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EC550" w14:textId="6F894011" w:rsidR="00D74605" w:rsidRPr="006A1EC7" w:rsidRDefault="00D74605" w:rsidP="00D74605">
      <w:pPr>
        <w:autoSpaceDE w:val="0"/>
        <w:autoSpaceDN w:val="0"/>
        <w:adjustRightInd w:val="0"/>
        <w:spacing w:line="360" w:lineRule="auto"/>
        <w:jc w:val="right"/>
        <w:rPr>
          <w:b/>
          <w:bCs/>
          <w:color w:val="222222"/>
          <w:sz w:val="44"/>
          <w:szCs w:val="44"/>
          <w:shd w:val="clear" w:color="auto" w:fill="FFFFFF"/>
        </w:rPr>
      </w:pPr>
      <w:bookmarkStart w:id="0" w:name="_Toc38821419"/>
      <w:bookmarkStart w:id="1" w:name="_Toc38821420"/>
      <w:r w:rsidRPr="006A1EC7">
        <w:rPr>
          <w:noProof/>
          <w:lang w:eastAsia="en-GB"/>
        </w:rPr>
        <w:drawing>
          <wp:anchor distT="0" distB="0" distL="114300" distR="114300" simplePos="0" relativeHeight="251659264" behindDoc="0" locked="0" layoutInCell="1" allowOverlap="1" wp14:anchorId="26DA0DFA" wp14:editId="7A5A11EB">
            <wp:simplePos x="0" y="0"/>
            <wp:positionH relativeFrom="column">
              <wp:posOffset>390067</wp:posOffset>
            </wp:positionH>
            <wp:positionV relativeFrom="paragraph">
              <wp:posOffset>185155</wp:posOffset>
            </wp:positionV>
            <wp:extent cx="4946393" cy="1798782"/>
            <wp:effectExtent l="0" t="0" r="0" b="5080"/>
            <wp:wrapNone/>
            <wp:docPr id="17" name="Picture 17"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393" cy="1798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464D4" w14:textId="768BE2D0" w:rsidR="00D74605" w:rsidRPr="006A1EC7" w:rsidRDefault="00D74605" w:rsidP="00D74605">
      <w:pPr>
        <w:autoSpaceDE w:val="0"/>
        <w:autoSpaceDN w:val="0"/>
        <w:adjustRightInd w:val="0"/>
        <w:spacing w:line="360" w:lineRule="auto"/>
        <w:jc w:val="center"/>
        <w:rPr>
          <w:b/>
          <w:bCs/>
          <w:color w:val="222222"/>
          <w:sz w:val="44"/>
          <w:szCs w:val="44"/>
          <w:shd w:val="clear" w:color="auto" w:fill="FFFFFF"/>
        </w:rPr>
      </w:pPr>
    </w:p>
    <w:p w14:paraId="618CFFE4" w14:textId="77777777" w:rsidR="00D74605" w:rsidRPr="006A1EC7" w:rsidRDefault="00D74605" w:rsidP="00D74605">
      <w:pPr>
        <w:autoSpaceDE w:val="0"/>
        <w:autoSpaceDN w:val="0"/>
        <w:adjustRightInd w:val="0"/>
        <w:spacing w:line="360" w:lineRule="auto"/>
        <w:jc w:val="center"/>
        <w:rPr>
          <w:b/>
          <w:bCs/>
          <w:color w:val="222222"/>
          <w:sz w:val="36"/>
          <w:szCs w:val="44"/>
          <w:shd w:val="clear" w:color="auto" w:fill="FFFFFF"/>
        </w:rPr>
      </w:pPr>
    </w:p>
    <w:p w14:paraId="7941B6B9" w14:textId="77777777" w:rsidR="00D74605" w:rsidRPr="006A1EC7" w:rsidRDefault="00D74605" w:rsidP="00D74605">
      <w:pPr>
        <w:autoSpaceDE w:val="0"/>
        <w:autoSpaceDN w:val="0"/>
        <w:adjustRightInd w:val="0"/>
        <w:spacing w:line="360" w:lineRule="auto"/>
        <w:jc w:val="center"/>
        <w:rPr>
          <w:b/>
          <w:bCs/>
          <w:color w:val="222222"/>
          <w:sz w:val="36"/>
          <w:szCs w:val="44"/>
          <w:shd w:val="clear" w:color="auto" w:fill="FFFFFF"/>
        </w:rPr>
      </w:pPr>
    </w:p>
    <w:p w14:paraId="0808953D" w14:textId="77777777" w:rsidR="00D74605" w:rsidRPr="006A1EC7" w:rsidRDefault="00D74605" w:rsidP="00D74605">
      <w:pPr>
        <w:autoSpaceDE w:val="0"/>
        <w:autoSpaceDN w:val="0"/>
        <w:adjustRightInd w:val="0"/>
        <w:spacing w:line="360" w:lineRule="auto"/>
        <w:rPr>
          <w:b/>
          <w:bCs/>
          <w:color w:val="222222"/>
          <w:sz w:val="36"/>
          <w:szCs w:val="44"/>
          <w:shd w:val="clear" w:color="auto" w:fill="FFFFFF"/>
        </w:rPr>
      </w:pPr>
    </w:p>
    <w:p w14:paraId="4C51F291" w14:textId="77777777" w:rsidR="00D74605" w:rsidRPr="006A1EC7" w:rsidRDefault="00D74605" w:rsidP="00D74605">
      <w:pPr>
        <w:autoSpaceDE w:val="0"/>
        <w:autoSpaceDN w:val="0"/>
        <w:adjustRightInd w:val="0"/>
        <w:spacing w:line="360" w:lineRule="auto"/>
        <w:jc w:val="center"/>
        <w:rPr>
          <w:b/>
          <w:bCs/>
          <w:color w:val="222222"/>
          <w:sz w:val="36"/>
          <w:szCs w:val="44"/>
          <w:shd w:val="clear" w:color="auto" w:fill="FFFFFF"/>
        </w:rPr>
      </w:pPr>
    </w:p>
    <w:p w14:paraId="7ED3815C" w14:textId="77777777" w:rsidR="00D74605" w:rsidRPr="006A1EC7" w:rsidRDefault="00D74605" w:rsidP="00D74605">
      <w:pPr>
        <w:autoSpaceDE w:val="0"/>
        <w:autoSpaceDN w:val="0"/>
        <w:adjustRightInd w:val="0"/>
        <w:spacing w:line="360" w:lineRule="auto"/>
        <w:jc w:val="center"/>
        <w:rPr>
          <w:b/>
          <w:bCs/>
          <w:sz w:val="36"/>
          <w:szCs w:val="44"/>
        </w:rPr>
      </w:pPr>
      <w:r w:rsidRPr="006A1EC7">
        <w:rPr>
          <w:b/>
          <w:bCs/>
          <w:color w:val="222222"/>
          <w:sz w:val="36"/>
          <w:szCs w:val="44"/>
          <w:shd w:val="clear" w:color="auto" w:fill="FFFFFF"/>
        </w:rPr>
        <w:t>The Development of a Clinician-Rated Clinical Outcome Assessment for Wolf-Hirschhorn Syndrome</w:t>
      </w:r>
      <w:r w:rsidRPr="006A1EC7">
        <w:rPr>
          <w:b/>
          <w:bCs/>
          <w:color w:val="222222"/>
          <w:sz w:val="36"/>
          <w:szCs w:val="44"/>
        </w:rPr>
        <w:br/>
      </w:r>
      <w:r w:rsidRPr="006A1EC7">
        <w:rPr>
          <w:b/>
          <w:bCs/>
          <w:color w:val="222222"/>
          <w:sz w:val="36"/>
          <w:szCs w:val="44"/>
        </w:rPr>
        <w:br/>
      </w:r>
      <w:r w:rsidRPr="006A1EC7">
        <w:rPr>
          <w:b/>
          <w:bCs/>
          <w:sz w:val="36"/>
          <w:szCs w:val="44"/>
        </w:rPr>
        <w:t>By</w:t>
      </w:r>
    </w:p>
    <w:p w14:paraId="13169AB7" w14:textId="77777777" w:rsidR="00D74605" w:rsidRPr="006A1EC7" w:rsidRDefault="00D74605" w:rsidP="00D74605">
      <w:pPr>
        <w:autoSpaceDE w:val="0"/>
        <w:autoSpaceDN w:val="0"/>
        <w:adjustRightInd w:val="0"/>
        <w:spacing w:line="360" w:lineRule="auto"/>
        <w:jc w:val="center"/>
        <w:rPr>
          <w:b/>
          <w:bCs/>
          <w:sz w:val="36"/>
          <w:szCs w:val="44"/>
        </w:rPr>
      </w:pPr>
    </w:p>
    <w:p w14:paraId="653A0E5C" w14:textId="77777777" w:rsidR="00D74605" w:rsidRPr="006A1EC7" w:rsidRDefault="00D74605" w:rsidP="00D74605">
      <w:pPr>
        <w:autoSpaceDE w:val="0"/>
        <w:autoSpaceDN w:val="0"/>
        <w:adjustRightInd w:val="0"/>
        <w:spacing w:line="360" w:lineRule="auto"/>
        <w:jc w:val="center"/>
        <w:rPr>
          <w:b/>
          <w:bCs/>
          <w:sz w:val="36"/>
          <w:szCs w:val="44"/>
        </w:rPr>
      </w:pPr>
      <w:r w:rsidRPr="006A1EC7">
        <w:rPr>
          <w:b/>
          <w:bCs/>
          <w:sz w:val="36"/>
          <w:szCs w:val="44"/>
        </w:rPr>
        <w:t>Katharina Sophie Vogt</w:t>
      </w:r>
    </w:p>
    <w:p w14:paraId="7F45BBE1" w14:textId="77777777" w:rsidR="00D74605" w:rsidRPr="006A1EC7" w:rsidRDefault="00D74605" w:rsidP="00D74605">
      <w:pPr>
        <w:autoSpaceDE w:val="0"/>
        <w:autoSpaceDN w:val="0"/>
        <w:adjustRightInd w:val="0"/>
        <w:jc w:val="center"/>
        <w:rPr>
          <w:b/>
          <w:bCs/>
          <w:sz w:val="28"/>
          <w:szCs w:val="28"/>
        </w:rPr>
      </w:pPr>
    </w:p>
    <w:p w14:paraId="3145AC7D" w14:textId="77777777" w:rsidR="00D74605" w:rsidRPr="006A1EC7" w:rsidRDefault="00D74605" w:rsidP="00D74605">
      <w:pPr>
        <w:autoSpaceDE w:val="0"/>
        <w:autoSpaceDN w:val="0"/>
        <w:adjustRightInd w:val="0"/>
        <w:jc w:val="center"/>
      </w:pPr>
    </w:p>
    <w:p w14:paraId="58F6F3BA" w14:textId="77777777" w:rsidR="00D74605" w:rsidRPr="006A1EC7" w:rsidRDefault="00D74605" w:rsidP="00D74605">
      <w:pPr>
        <w:autoSpaceDE w:val="0"/>
        <w:autoSpaceDN w:val="0"/>
        <w:adjustRightInd w:val="0"/>
        <w:jc w:val="center"/>
      </w:pPr>
    </w:p>
    <w:p w14:paraId="14F108E1" w14:textId="77777777" w:rsidR="00D74605" w:rsidRPr="006A1EC7" w:rsidRDefault="00D74605" w:rsidP="00D74605">
      <w:pPr>
        <w:autoSpaceDE w:val="0"/>
        <w:autoSpaceDN w:val="0"/>
        <w:adjustRightInd w:val="0"/>
        <w:jc w:val="center"/>
      </w:pPr>
      <w:r w:rsidRPr="006A1EC7">
        <w:t>A thesis submitted in partial fulfilment of the requirements for the degree of</w:t>
      </w:r>
    </w:p>
    <w:p w14:paraId="7DEE5F33" w14:textId="77777777" w:rsidR="00D74605" w:rsidRPr="006A1EC7" w:rsidRDefault="00D74605" w:rsidP="00D74605">
      <w:pPr>
        <w:jc w:val="center"/>
      </w:pPr>
      <w:r w:rsidRPr="006A1EC7">
        <w:t>Doctor of Philosophy</w:t>
      </w:r>
    </w:p>
    <w:p w14:paraId="3CC721F6" w14:textId="77777777" w:rsidR="00D74605" w:rsidRPr="006A1EC7" w:rsidRDefault="00D74605" w:rsidP="00D74605">
      <w:pPr>
        <w:jc w:val="center"/>
      </w:pPr>
    </w:p>
    <w:p w14:paraId="3E6EACB7" w14:textId="77777777" w:rsidR="00D74605" w:rsidRPr="006A1EC7" w:rsidRDefault="00D74605" w:rsidP="00D74605">
      <w:pPr>
        <w:jc w:val="center"/>
      </w:pPr>
    </w:p>
    <w:p w14:paraId="36E4B3DC" w14:textId="77777777" w:rsidR="00D74605" w:rsidRPr="006A1EC7" w:rsidRDefault="00D74605" w:rsidP="00D74605">
      <w:pPr>
        <w:jc w:val="center"/>
      </w:pPr>
    </w:p>
    <w:p w14:paraId="7ED4CE6B" w14:textId="77777777" w:rsidR="00D74605" w:rsidRPr="006A1EC7" w:rsidRDefault="00D74605" w:rsidP="00D74605">
      <w:pPr>
        <w:jc w:val="center"/>
      </w:pPr>
      <w:r w:rsidRPr="006A1EC7">
        <w:t>The University of Sheffield</w:t>
      </w:r>
    </w:p>
    <w:p w14:paraId="44FFD45C" w14:textId="77777777" w:rsidR="00D74605" w:rsidRPr="006A1EC7" w:rsidRDefault="00D74605" w:rsidP="00D74605">
      <w:pPr>
        <w:autoSpaceDE w:val="0"/>
        <w:autoSpaceDN w:val="0"/>
        <w:adjustRightInd w:val="0"/>
        <w:jc w:val="center"/>
      </w:pPr>
      <w:r w:rsidRPr="006A1EC7">
        <w:t>Sheffield Institute for Translational Neuroscience</w:t>
      </w:r>
    </w:p>
    <w:p w14:paraId="2582A012" w14:textId="77777777" w:rsidR="00D74605" w:rsidRPr="006A1EC7" w:rsidRDefault="00D74605" w:rsidP="00D74605">
      <w:pPr>
        <w:jc w:val="center"/>
      </w:pPr>
      <w:r w:rsidRPr="006A1EC7">
        <w:t>School of Medicine</w:t>
      </w:r>
    </w:p>
    <w:p w14:paraId="1F43936E" w14:textId="77777777" w:rsidR="00D74605" w:rsidRPr="006A1EC7" w:rsidRDefault="00D74605" w:rsidP="00D74605">
      <w:pPr>
        <w:jc w:val="center"/>
      </w:pPr>
    </w:p>
    <w:p w14:paraId="7E7BA1F9" w14:textId="77777777" w:rsidR="00D74605" w:rsidRPr="006A1EC7" w:rsidRDefault="00D74605" w:rsidP="00D74605">
      <w:pPr>
        <w:jc w:val="center"/>
      </w:pPr>
    </w:p>
    <w:p w14:paraId="0B971A7A" w14:textId="511FD535" w:rsidR="00D74605" w:rsidRPr="006A1EC7" w:rsidRDefault="00D74605" w:rsidP="00BE7390">
      <w:pPr>
        <w:jc w:val="center"/>
      </w:pPr>
      <w:r w:rsidRPr="006A1EC7">
        <w:t>Submission date:</w:t>
      </w:r>
    </w:p>
    <w:p w14:paraId="4D43274C" w14:textId="714DAB62" w:rsidR="00744A8E" w:rsidRPr="006A1EC7" w:rsidRDefault="00744A8E" w:rsidP="00BE7390">
      <w:pPr>
        <w:jc w:val="center"/>
      </w:pPr>
      <w:r w:rsidRPr="006A1EC7">
        <w:t>20</w:t>
      </w:r>
      <w:r w:rsidRPr="006A1EC7">
        <w:rPr>
          <w:vertAlign w:val="superscript"/>
        </w:rPr>
        <w:t>th</w:t>
      </w:r>
      <w:r w:rsidRPr="006A1EC7">
        <w:t xml:space="preserve"> November 2020</w:t>
      </w:r>
      <w:r w:rsidRPr="006A1EC7">
        <w:br/>
      </w:r>
    </w:p>
    <w:p w14:paraId="1D150055" w14:textId="6F69C4FE" w:rsidR="00744A8E" w:rsidRPr="006A1EC7" w:rsidRDefault="00744A8E" w:rsidP="00BE7390">
      <w:pPr>
        <w:jc w:val="center"/>
      </w:pPr>
      <w:r w:rsidRPr="006A1EC7">
        <w:t>Corrections accepted:</w:t>
      </w:r>
    </w:p>
    <w:p w14:paraId="47B73F01" w14:textId="01B3FF16" w:rsidR="00744A8E" w:rsidRPr="006A1EC7" w:rsidRDefault="00744A8E" w:rsidP="00BE7390">
      <w:pPr>
        <w:jc w:val="center"/>
      </w:pPr>
      <w:r w:rsidRPr="006A1EC7">
        <w:t>11</w:t>
      </w:r>
      <w:r w:rsidRPr="006A1EC7">
        <w:rPr>
          <w:vertAlign w:val="superscript"/>
        </w:rPr>
        <w:t>th</w:t>
      </w:r>
      <w:r w:rsidRPr="006A1EC7">
        <w:t xml:space="preserve"> May 2021</w:t>
      </w:r>
    </w:p>
    <w:p w14:paraId="1F7DBA83" w14:textId="77777777" w:rsidR="00BE7390" w:rsidRPr="006A1EC7" w:rsidRDefault="00BE7390" w:rsidP="00BE7390">
      <w:pPr>
        <w:rPr>
          <w:rFonts w:eastAsia="Arial"/>
        </w:rPr>
      </w:pPr>
    </w:p>
    <w:p w14:paraId="7A19DF55" w14:textId="77777777" w:rsidR="00BE7390" w:rsidRPr="006A1EC7" w:rsidRDefault="00BE7390" w:rsidP="00BE7390">
      <w:pPr>
        <w:pStyle w:val="Heading1"/>
        <w:rPr>
          <w:rFonts w:ascii="Times New Roman" w:hAnsi="Times New Roman" w:cs="Times New Roman"/>
        </w:rPr>
        <w:sectPr w:rsidR="00BE7390" w:rsidRPr="006A1EC7" w:rsidSect="00BE7390">
          <w:footerReference w:type="even" r:id="rId9"/>
          <w:footerReference w:type="default" r:id="rId10"/>
          <w:footerReference w:type="first" r:id="rId11"/>
          <w:pgSz w:w="11900" w:h="16840"/>
          <w:pgMar w:top="1440" w:right="1701" w:bottom="1440" w:left="1701" w:header="720" w:footer="720" w:gutter="0"/>
          <w:pgNumType w:fmt="lowerRoman"/>
          <w:cols w:space="720"/>
          <w:titlePg/>
          <w:docGrid w:linePitch="360"/>
        </w:sectPr>
      </w:pPr>
      <w:bookmarkStart w:id="2" w:name="_Toc23522701"/>
      <w:bookmarkStart w:id="3" w:name="_Toc25137902"/>
    </w:p>
    <w:p w14:paraId="7C055282" w14:textId="3DF84FCA" w:rsidR="00D74605" w:rsidRPr="006A1EC7" w:rsidRDefault="00D74605" w:rsidP="00BE7390">
      <w:pPr>
        <w:pStyle w:val="Heading1"/>
        <w:jc w:val="center"/>
        <w:rPr>
          <w:rFonts w:ascii="Times New Roman" w:hAnsi="Times New Roman" w:cs="Times New Roman"/>
        </w:rPr>
      </w:pPr>
      <w:bookmarkStart w:id="4" w:name="_Toc40172968"/>
      <w:r w:rsidRPr="006A1EC7">
        <w:rPr>
          <w:rFonts w:ascii="Times New Roman" w:hAnsi="Times New Roman" w:cs="Times New Roman"/>
        </w:rPr>
        <w:lastRenderedPageBreak/>
        <w:t>Acknowledgements</w:t>
      </w:r>
      <w:bookmarkEnd w:id="2"/>
      <w:bookmarkEnd w:id="3"/>
      <w:bookmarkEnd w:id="4"/>
    </w:p>
    <w:p w14:paraId="733B3371" w14:textId="77777777" w:rsidR="00D74605" w:rsidRPr="006A1EC7" w:rsidRDefault="00D74605" w:rsidP="00D74605">
      <w:pPr>
        <w:jc w:val="center"/>
      </w:pPr>
    </w:p>
    <w:p w14:paraId="41317DBF" w14:textId="77777777" w:rsidR="00D74605" w:rsidRPr="006A1EC7" w:rsidRDefault="00D74605" w:rsidP="00D74605">
      <w:pPr>
        <w:jc w:val="center"/>
        <w:rPr>
          <w:sz w:val="20"/>
          <w:szCs w:val="20"/>
        </w:rPr>
      </w:pPr>
    </w:p>
    <w:p w14:paraId="22B1E06E" w14:textId="77777777" w:rsidR="00D74605" w:rsidRPr="006A1EC7" w:rsidRDefault="00D74605" w:rsidP="00D74605">
      <w:pPr>
        <w:spacing w:line="276" w:lineRule="auto"/>
        <w:jc w:val="center"/>
        <w:rPr>
          <w:sz w:val="20"/>
          <w:szCs w:val="20"/>
        </w:rPr>
      </w:pPr>
      <w:r w:rsidRPr="006A1EC7">
        <w:rPr>
          <w:sz w:val="20"/>
          <w:szCs w:val="20"/>
        </w:rPr>
        <w:t xml:space="preserve">I would like to start by expressing my sincerest gratitude to my participants. Thank you to the families of adults and children with Wolf-Hirschhorn syndrome who shared their life stories with me, the Wolf-Hirschhorn syndrome Trust and the clinicians who took part – without you, I would not have been able to complete this PhD. </w:t>
      </w:r>
    </w:p>
    <w:p w14:paraId="1CFB9FD9" w14:textId="77777777" w:rsidR="00D74605" w:rsidRPr="006A1EC7" w:rsidRDefault="00D74605" w:rsidP="00D74605">
      <w:pPr>
        <w:spacing w:line="276" w:lineRule="auto"/>
        <w:rPr>
          <w:sz w:val="20"/>
          <w:szCs w:val="20"/>
        </w:rPr>
      </w:pPr>
    </w:p>
    <w:p w14:paraId="7C301109" w14:textId="77777777" w:rsidR="00D74605" w:rsidRPr="006A1EC7" w:rsidRDefault="00D74605" w:rsidP="00D74605">
      <w:pPr>
        <w:spacing w:line="276" w:lineRule="auto"/>
        <w:jc w:val="center"/>
        <w:rPr>
          <w:sz w:val="20"/>
          <w:szCs w:val="20"/>
        </w:rPr>
      </w:pPr>
      <w:r w:rsidRPr="006A1EC7">
        <w:rPr>
          <w:sz w:val="20"/>
          <w:szCs w:val="20"/>
        </w:rPr>
        <w:t xml:space="preserve">I would like to thank my supervisors Professor Georgina Jones and Dr Alisdair McNeill for their continued support, guidance and commitment to this project. </w:t>
      </w:r>
    </w:p>
    <w:p w14:paraId="5B0A71DD" w14:textId="77777777" w:rsidR="00D74605" w:rsidRPr="006A1EC7" w:rsidRDefault="00D74605" w:rsidP="00D74605">
      <w:pPr>
        <w:spacing w:line="276" w:lineRule="auto"/>
        <w:jc w:val="center"/>
        <w:rPr>
          <w:sz w:val="20"/>
          <w:szCs w:val="20"/>
        </w:rPr>
      </w:pPr>
      <w:r w:rsidRPr="006A1EC7">
        <w:rPr>
          <w:sz w:val="20"/>
          <w:szCs w:val="20"/>
        </w:rPr>
        <w:br/>
        <w:t>I would also like to gratefully acknowledge my funder, the Sir Halley Stewart Trust.</w:t>
      </w:r>
    </w:p>
    <w:p w14:paraId="3ABF2532" w14:textId="77777777" w:rsidR="00D74605" w:rsidRPr="006A1EC7" w:rsidRDefault="00D74605" w:rsidP="00D74605">
      <w:pPr>
        <w:spacing w:line="276" w:lineRule="auto"/>
        <w:jc w:val="center"/>
        <w:rPr>
          <w:sz w:val="20"/>
          <w:szCs w:val="20"/>
        </w:rPr>
      </w:pPr>
    </w:p>
    <w:p w14:paraId="5202B6F2" w14:textId="77777777" w:rsidR="00D74605" w:rsidRPr="006A1EC7" w:rsidRDefault="00D74605" w:rsidP="00D74605">
      <w:pPr>
        <w:spacing w:line="276" w:lineRule="auto"/>
        <w:jc w:val="center"/>
        <w:rPr>
          <w:sz w:val="20"/>
          <w:szCs w:val="20"/>
        </w:rPr>
      </w:pPr>
      <w:r w:rsidRPr="006A1EC7">
        <w:rPr>
          <w:sz w:val="20"/>
          <w:szCs w:val="20"/>
        </w:rPr>
        <w:t xml:space="preserve">Undertaking an interdisciplinary PhD project as a Psychologist in a Translational Neurosciences Department has been a challenging and, at times, very isolating experience. I will be forever grateful the support I have received from my personal tutor Dr Joanne Thompson. </w:t>
      </w:r>
    </w:p>
    <w:p w14:paraId="4D313C34" w14:textId="77777777" w:rsidR="00D74605" w:rsidRPr="006A1EC7" w:rsidRDefault="00D74605" w:rsidP="00D74605">
      <w:pPr>
        <w:spacing w:line="276" w:lineRule="auto"/>
        <w:jc w:val="center"/>
        <w:rPr>
          <w:sz w:val="20"/>
          <w:szCs w:val="20"/>
        </w:rPr>
      </w:pPr>
    </w:p>
    <w:p w14:paraId="74DF6C02" w14:textId="77777777" w:rsidR="00D74605" w:rsidRPr="006A1EC7" w:rsidRDefault="00D74605" w:rsidP="00D74605">
      <w:pPr>
        <w:spacing w:line="276" w:lineRule="auto"/>
        <w:jc w:val="center"/>
        <w:rPr>
          <w:sz w:val="20"/>
          <w:szCs w:val="20"/>
        </w:rPr>
      </w:pPr>
      <w:r w:rsidRPr="006A1EC7">
        <w:rPr>
          <w:sz w:val="20"/>
          <w:szCs w:val="20"/>
        </w:rPr>
        <w:t>Thank you to all my wonderful colleagues at the University of Huddersfield, you have made such a difference in these past few months and I feel incredibly privileged to know you.</w:t>
      </w:r>
    </w:p>
    <w:p w14:paraId="3A3F6FC1" w14:textId="77777777" w:rsidR="00D74605" w:rsidRPr="006A1EC7" w:rsidRDefault="00D74605" w:rsidP="00D74605">
      <w:pPr>
        <w:spacing w:line="276" w:lineRule="auto"/>
        <w:rPr>
          <w:sz w:val="20"/>
          <w:szCs w:val="20"/>
        </w:rPr>
      </w:pPr>
    </w:p>
    <w:p w14:paraId="2EAF0FAA" w14:textId="77777777" w:rsidR="00D74605" w:rsidRPr="006A1EC7" w:rsidRDefault="00D74605" w:rsidP="00D74605">
      <w:pPr>
        <w:spacing w:line="276" w:lineRule="auto"/>
        <w:jc w:val="center"/>
        <w:rPr>
          <w:sz w:val="20"/>
          <w:szCs w:val="20"/>
        </w:rPr>
      </w:pPr>
      <w:r w:rsidRPr="006A1EC7">
        <w:rPr>
          <w:sz w:val="20"/>
          <w:szCs w:val="20"/>
        </w:rPr>
        <w:t>Thank you to my wonderful family – the family I was born with and the God-gifted family:</w:t>
      </w:r>
    </w:p>
    <w:p w14:paraId="0CF8AA5A" w14:textId="77777777" w:rsidR="00D74605" w:rsidRPr="006A1EC7" w:rsidRDefault="00D74605" w:rsidP="00D74605">
      <w:pPr>
        <w:spacing w:line="276" w:lineRule="auto"/>
        <w:jc w:val="center"/>
        <w:rPr>
          <w:sz w:val="20"/>
          <w:szCs w:val="20"/>
        </w:rPr>
      </w:pPr>
    </w:p>
    <w:p w14:paraId="3AABFE03" w14:textId="77777777" w:rsidR="00D74605" w:rsidRPr="006A1EC7" w:rsidRDefault="00D74605" w:rsidP="00D74605">
      <w:pPr>
        <w:spacing w:line="276" w:lineRule="auto"/>
        <w:jc w:val="center"/>
        <w:rPr>
          <w:sz w:val="20"/>
          <w:szCs w:val="20"/>
        </w:rPr>
      </w:pPr>
      <w:r w:rsidRPr="006A1EC7">
        <w:rPr>
          <w:sz w:val="20"/>
          <w:szCs w:val="20"/>
        </w:rPr>
        <w:t>Thank you to my Mama, who has believed in me since day one. You are the most inspirational woman I know, and I hope I will, one day, be half the woman you are.</w:t>
      </w:r>
    </w:p>
    <w:p w14:paraId="733C7F38" w14:textId="77777777" w:rsidR="00D74605" w:rsidRPr="006A1EC7" w:rsidRDefault="00D74605" w:rsidP="00D74605">
      <w:pPr>
        <w:spacing w:line="276" w:lineRule="auto"/>
        <w:jc w:val="center"/>
        <w:rPr>
          <w:sz w:val="20"/>
          <w:szCs w:val="20"/>
        </w:rPr>
      </w:pPr>
      <w:r w:rsidRPr="006A1EC7">
        <w:rPr>
          <w:sz w:val="20"/>
          <w:szCs w:val="20"/>
        </w:rPr>
        <w:br/>
        <w:t xml:space="preserve">Thank you to the Barndens for accepting me as one of their own and especially to my best friend, Hayley. Thank you for sharing life, your nieces and nephew with me. I love you more than I can ever say. </w:t>
      </w:r>
    </w:p>
    <w:p w14:paraId="72E98825" w14:textId="77777777" w:rsidR="00D74605" w:rsidRPr="006A1EC7" w:rsidRDefault="00D74605" w:rsidP="00D74605">
      <w:pPr>
        <w:spacing w:line="276" w:lineRule="auto"/>
        <w:jc w:val="center"/>
        <w:rPr>
          <w:sz w:val="20"/>
          <w:szCs w:val="20"/>
        </w:rPr>
      </w:pPr>
      <w:r w:rsidRPr="006A1EC7">
        <w:rPr>
          <w:sz w:val="20"/>
          <w:szCs w:val="20"/>
        </w:rPr>
        <w:br/>
        <w:t>Thank you to Isabel, Peter and Ruby Hartland for your continued love and support for both me and my dog. You make everything better.</w:t>
      </w:r>
    </w:p>
    <w:p w14:paraId="0418D693" w14:textId="77777777" w:rsidR="00D74605" w:rsidRPr="006A1EC7" w:rsidRDefault="00D74605" w:rsidP="00D74605">
      <w:pPr>
        <w:spacing w:line="276" w:lineRule="auto"/>
        <w:jc w:val="center"/>
        <w:rPr>
          <w:sz w:val="20"/>
          <w:szCs w:val="20"/>
        </w:rPr>
      </w:pPr>
      <w:r w:rsidRPr="006A1EC7">
        <w:rPr>
          <w:sz w:val="20"/>
          <w:szCs w:val="20"/>
        </w:rPr>
        <w:br/>
        <w:t>Thank you to my wonderful church family at St Mark’s Broomhill &amp; Broomhall in Sheffield. Thank you for being a steadfast rock, always.</w:t>
      </w:r>
    </w:p>
    <w:p w14:paraId="47EC84DE" w14:textId="77777777" w:rsidR="00D74605" w:rsidRPr="006A1EC7" w:rsidRDefault="00D74605" w:rsidP="00D74605">
      <w:pPr>
        <w:spacing w:line="276" w:lineRule="auto"/>
        <w:jc w:val="center"/>
        <w:rPr>
          <w:sz w:val="20"/>
          <w:szCs w:val="20"/>
        </w:rPr>
      </w:pPr>
    </w:p>
    <w:p w14:paraId="57B20CB8" w14:textId="77777777" w:rsidR="00D74605" w:rsidRPr="006A1EC7" w:rsidRDefault="00D74605" w:rsidP="00D74605">
      <w:pPr>
        <w:spacing w:line="276" w:lineRule="auto"/>
        <w:jc w:val="center"/>
        <w:rPr>
          <w:sz w:val="20"/>
          <w:szCs w:val="20"/>
        </w:rPr>
      </w:pPr>
      <w:r w:rsidRPr="006A1EC7">
        <w:rPr>
          <w:sz w:val="20"/>
          <w:szCs w:val="20"/>
        </w:rPr>
        <w:t>Thank you to Freddie, the (canine) love of my life. It is an honour to be your human.</w:t>
      </w:r>
    </w:p>
    <w:p w14:paraId="649EC10A" w14:textId="77777777" w:rsidR="00D74605" w:rsidRPr="006A1EC7" w:rsidRDefault="00D74605" w:rsidP="00D74605">
      <w:pPr>
        <w:spacing w:line="276" w:lineRule="auto"/>
        <w:jc w:val="center"/>
        <w:rPr>
          <w:sz w:val="20"/>
          <w:szCs w:val="20"/>
        </w:rPr>
      </w:pPr>
    </w:p>
    <w:p w14:paraId="39608070" w14:textId="77777777" w:rsidR="00D74605" w:rsidRPr="006A1EC7" w:rsidRDefault="00D74605" w:rsidP="00D74605">
      <w:pPr>
        <w:spacing w:line="276" w:lineRule="auto"/>
        <w:jc w:val="center"/>
        <w:rPr>
          <w:sz w:val="20"/>
          <w:szCs w:val="20"/>
        </w:rPr>
      </w:pPr>
      <w:r w:rsidRPr="006A1EC7">
        <w:rPr>
          <w:sz w:val="20"/>
          <w:szCs w:val="20"/>
        </w:rPr>
        <w:t>Thank you to the most wonderful, amazing, loving and inspirational friends from different walks of life who have been there for me through it all. I love you all dearly and cannot imagine my life without you.</w:t>
      </w:r>
    </w:p>
    <w:p w14:paraId="462C206E" w14:textId="77777777" w:rsidR="00D74605" w:rsidRPr="006A1EC7" w:rsidRDefault="00D74605" w:rsidP="00D74605">
      <w:pPr>
        <w:spacing w:line="276" w:lineRule="auto"/>
        <w:rPr>
          <w:sz w:val="20"/>
          <w:szCs w:val="20"/>
        </w:rPr>
      </w:pPr>
    </w:p>
    <w:p w14:paraId="25E4EA56" w14:textId="77777777" w:rsidR="00D74605" w:rsidRPr="006A1EC7" w:rsidRDefault="00D74605" w:rsidP="00D74605">
      <w:pPr>
        <w:spacing w:line="276" w:lineRule="auto"/>
        <w:jc w:val="center"/>
        <w:rPr>
          <w:sz w:val="20"/>
          <w:szCs w:val="20"/>
        </w:rPr>
      </w:pPr>
      <w:r w:rsidRPr="006A1EC7">
        <w:rPr>
          <w:sz w:val="20"/>
          <w:szCs w:val="20"/>
        </w:rPr>
        <w:t xml:space="preserve">Thank you to everyone who has spent countless hours proofreading and not (entirely) despairing at my love for the Oxford Comma. Special thank you to Alex for spending your precious days (and nights) off trying to decipher my writing. Thank you for starting, and finishing, this PhD with me. </w:t>
      </w:r>
    </w:p>
    <w:p w14:paraId="59FEBEEE" w14:textId="77777777" w:rsidR="00D74605" w:rsidRPr="006A1EC7" w:rsidRDefault="00D74605" w:rsidP="00D74605">
      <w:pPr>
        <w:spacing w:line="276" w:lineRule="auto"/>
        <w:jc w:val="center"/>
        <w:rPr>
          <w:sz w:val="18"/>
          <w:szCs w:val="18"/>
        </w:rPr>
      </w:pPr>
    </w:p>
    <w:p w14:paraId="30D52A84" w14:textId="6326632C" w:rsidR="00D74605" w:rsidRPr="006A1EC7" w:rsidRDefault="00D74605" w:rsidP="00D74605">
      <w:pPr>
        <w:spacing w:line="276" w:lineRule="auto"/>
        <w:jc w:val="center"/>
        <w:rPr>
          <w:sz w:val="20"/>
          <w:szCs w:val="20"/>
        </w:rPr>
      </w:pPr>
      <w:r w:rsidRPr="006A1EC7">
        <w:rPr>
          <w:sz w:val="20"/>
          <w:szCs w:val="20"/>
        </w:rPr>
        <w:t xml:space="preserve">Thank you for believing in me. </w:t>
      </w:r>
    </w:p>
    <w:p w14:paraId="52B77243" w14:textId="271F9946" w:rsidR="00D85DAD" w:rsidRPr="006A1EC7" w:rsidRDefault="00D85DAD" w:rsidP="00D74605">
      <w:pPr>
        <w:spacing w:line="276" w:lineRule="auto"/>
        <w:jc w:val="center"/>
        <w:rPr>
          <w:sz w:val="20"/>
          <w:szCs w:val="20"/>
        </w:rPr>
      </w:pPr>
    </w:p>
    <w:p w14:paraId="0247C875" w14:textId="16E1E28F" w:rsidR="00D85DAD" w:rsidRPr="006A1EC7" w:rsidRDefault="00D85DAD" w:rsidP="00D74605">
      <w:pPr>
        <w:spacing w:line="276" w:lineRule="auto"/>
        <w:jc w:val="center"/>
        <w:rPr>
          <w:sz w:val="20"/>
          <w:szCs w:val="20"/>
        </w:rPr>
      </w:pPr>
    </w:p>
    <w:p w14:paraId="72BD4850" w14:textId="628C1707" w:rsidR="00D85DAD" w:rsidRPr="006A1EC7" w:rsidRDefault="00D85DAD" w:rsidP="00D74605">
      <w:pPr>
        <w:spacing w:line="276" w:lineRule="auto"/>
        <w:jc w:val="center"/>
        <w:rPr>
          <w:sz w:val="20"/>
          <w:szCs w:val="20"/>
        </w:rPr>
      </w:pPr>
    </w:p>
    <w:p w14:paraId="3210FF05" w14:textId="28E95CE1" w:rsidR="00D74605" w:rsidRPr="006A1EC7" w:rsidRDefault="00D74605" w:rsidP="00BE7390">
      <w:pPr>
        <w:pStyle w:val="Heading1"/>
        <w:jc w:val="center"/>
        <w:rPr>
          <w:rFonts w:ascii="Times New Roman" w:hAnsi="Times New Roman" w:cs="Times New Roman"/>
        </w:rPr>
      </w:pPr>
      <w:bookmarkStart w:id="5" w:name="_Toc25137907"/>
      <w:bookmarkStart w:id="6" w:name="_Toc25137903"/>
      <w:bookmarkStart w:id="7" w:name="_Toc40172969"/>
      <w:r w:rsidRPr="006A1EC7">
        <w:rPr>
          <w:rFonts w:ascii="Times New Roman" w:hAnsi="Times New Roman" w:cs="Times New Roman"/>
        </w:rPr>
        <w:lastRenderedPageBreak/>
        <w:t>Declaration</w:t>
      </w:r>
      <w:bookmarkEnd w:id="5"/>
      <w:bookmarkEnd w:id="7"/>
      <w:r w:rsidR="00BE7390" w:rsidRPr="006A1EC7">
        <w:rPr>
          <w:rFonts w:ascii="Times New Roman" w:hAnsi="Times New Roman" w:cs="Times New Roman"/>
        </w:rPr>
        <w:br/>
      </w:r>
    </w:p>
    <w:p w14:paraId="51143071" w14:textId="77777777" w:rsidR="00D74605" w:rsidRPr="006A1EC7" w:rsidRDefault="00D74605" w:rsidP="00D74605">
      <w:pPr>
        <w:jc w:val="center"/>
        <w:rPr>
          <w:i/>
          <w:iCs/>
        </w:rPr>
      </w:pPr>
      <w:r w:rsidRPr="006A1EC7">
        <w:rPr>
          <w:i/>
          <w:iCs/>
        </w:rPr>
        <w:t>I, Katharina Sophie Vogt, confirm that the Thesis is my own work. I am aware of the University’s Guidance on the Use of Unfair Means (</w:t>
      </w:r>
      <w:hyperlink r:id="rId12" w:history="1">
        <w:r w:rsidRPr="006A1EC7">
          <w:rPr>
            <w:rStyle w:val="Hyperlink"/>
            <w:rFonts w:eastAsiaTheme="majorEastAsia"/>
            <w:i/>
            <w:iCs/>
          </w:rPr>
          <w:t>www.sheffield.ac.uk/ssid/unfair-means</w:t>
        </w:r>
      </w:hyperlink>
      <w:r w:rsidRPr="006A1EC7">
        <w:rPr>
          <w:i/>
          <w:iCs/>
        </w:rPr>
        <w:t>).</w:t>
      </w:r>
    </w:p>
    <w:p w14:paraId="7B70C080" w14:textId="77777777" w:rsidR="00BE7390" w:rsidRPr="006A1EC7" w:rsidRDefault="00D74605" w:rsidP="00D74605">
      <w:pPr>
        <w:jc w:val="center"/>
        <w:rPr>
          <w:i/>
          <w:iCs/>
        </w:rPr>
        <w:sectPr w:rsidR="00BE7390" w:rsidRPr="006A1EC7" w:rsidSect="00BE7390">
          <w:pgSz w:w="11900" w:h="16840"/>
          <w:pgMar w:top="1440" w:right="1701" w:bottom="1440" w:left="1701" w:header="720" w:footer="720" w:gutter="0"/>
          <w:pgNumType w:fmt="lowerRoman"/>
          <w:cols w:space="720"/>
          <w:titlePg/>
          <w:docGrid w:linePitch="360"/>
        </w:sectPr>
      </w:pPr>
      <w:r w:rsidRPr="006A1EC7">
        <w:rPr>
          <w:i/>
          <w:iCs/>
        </w:rPr>
        <w:t>This work has not been previously been presented for an award at this, or any other, university.</w:t>
      </w:r>
    </w:p>
    <w:p w14:paraId="6971A3CA" w14:textId="01C4F17C" w:rsidR="00D74605" w:rsidRPr="006A1EC7" w:rsidRDefault="00D74605" w:rsidP="00D74605">
      <w:pPr>
        <w:jc w:val="center"/>
        <w:rPr>
          <w:rFonts w:eastAsiaTheme="majorEastAsia"/>
          <w:color w:val="2F5496" w:themeColor="accent1" w:themeShade="BF"/>
          <w:sz w:val="32"/>
          <w:szCs w:val="32"/>
        </w:rPr>
      </w:pPr>
    </w:p>
    <w:p w14:paraId="02829028" w14:textId="556D9ECB" w:rsidR="00D74605" w:rsidRPr="006A1EC7" w:rsidRDefault="00D74605" w:rsidP="00D74605">
      <w:pPr>
        <w:pStyle w:val="Heading1"/>
        <w:jc w:val="center"/>
        <w:rPr>
          <w:rFonts w:ascii="Times New Roman" w:hAnsi="Times New Roman" w:cs="Times New Roman"/>
        </w:rPr>
      </w:pPr>
      <w:bookmarkStart w:id="8" w:name="_Toc40172970"/>
      <w:r w:rsidRPr="006A1EC7">
        <w:rPr>
          <w:rFonts w:ascii="Times New Roman" w:hAnsi="Times New Roman" w:cs="Times New Roman"/>
        </w:rPr>
        <w:t>Abstract</w:t>
      </w:r>
      <w:bookmarkEnd w:id="6"/>
      <w:bookmarkEnd w:id="8"/>
    </w:p>
    <w:p w14:paraId="65E0ED8D" w14:textId="77777777" w:rsidR="00D74605" w:rsidRPr="006A1EC7" w:rsidRDefault="00D74605" w:rsidP="00D74605"/>
    <w:p w14:paraId="01061BB6" w14:textId="77777777" w:rsidR="00D74605" w:rsidRPr="006A1EC7" w:rsidRDefault="00D74605" w:rsidP="00D74605"/>
    <w:p w14:paraId="6261C54B" w14:textId="77777777" w:rsidR="00D74605" w:rsidRPr="006A1EC7" w:rsidRDefault="00D74605" w:rsidP="00D74605">
      <w:r w:rsidRPr="006A1EC7">
        <w:t xml:space="preserve">Wolf-Hirschhorn syndrome (WHS) is a rare genetic illness caused by a deletion of the short arm of chromosome 4. It is a complex, heterogenous illness; clinical features include learning disability, epilepsy, feeding difficulties and cardiac defects. As a result of its low prevalence and lack of appropriate assessments, clinicians unfamiliar with the disease may fail to assess the patients appropriately, resulting in unmet clinical needs of this population. </w:t>
      </w:r>
    </w:p>
    <w:p w14:paraId="5BDAC695" w14:textId="77777777" w:rsidR="00D74605" w:rsidRPr="006A1EC7" w:rsidRDefault="00D74605" w:rsidP="00D74605"/>
    <w:p w14:paraId="73011C7D" w14:textId="77777777" w:rsidR="00D74605" w:rsidRPr="006A1EC7" w:rsidRDefault="00D74605" w:rsidP="00D74605">
      <w:r w:rsidRPr="006A1EC7">
        <w:t xml:space="preserve">This study utilised a mixed-methods approach to develop a Clinician-rated Clinical Outcome Assessment (COA) to address this, to ensure appropriate and safe assessment of patients with WHS. </w:t>
      </w:r>
    </w:p>
    <w:p w14:paraId="0CAEE9DD" w14:textId="77777777" w:rsidR="00D74605" w:rsidRPr="006A1EC7" w:rsidRDefault="00D74605" w:rsidP="00D74605"/>
    <w:p w14:paraId="2D4E7FE7" w14:textId="77777777" w:rsidR="00D74605" w:rsidRPr="006A1EC7" w:rsidRDefault="00D74605" w:rsidP="00D74605">
      <w:r w:rsidRPr="006A1EC7">
        <w:t xml:space="preserve">COA development is a complex and iterative process; the methods of the current project included: </w:t>
      </w:r>
    </w:p>
    <w:p w14:paraId="378D98BC" w14:textId="77777777" w:rsidR="00D74605" w:rsidRPr="006A1EC7" w:rsidRDefault="00D74605" w:rsidP="00D74605">
      <w:pPr>
        <w:ind w:firstLine="720"/>
      </w:pPr>
    </w:p>
    <w:p w14:paraId="4E2939A4" w14:textId="77777777" w:rsidR="00D74605" w:rsidRPr="006A1EC7" w:rsidRDefault="00D74605" w:rsidP="00D74605">
      <w:pPr>
        <w:pStyle w:val="ListParagraph"/>
        <w:numPr>
          <w:ilvl w:val="0"/>
          <w:numId w:val="31"/>
        </w:numPr>
        <w:rPr>
          <w:rFonts w:ascii="Times New Roman" w:hAnsi="Times New Roman" w:cs="Times New Roman"/>
        </w:rPr>
      </w:pPr>
      <w:r w:rsidRPr="006A1EC7">
        <w:rPr>
          <w:rFonts w:ascii="Times New Roman" w:hAnsi="Times New Roman" w:cs="Times New Roman"/>
        </w:rPr>
        <w:t>Extensive literature reviews</w:t>
      </w:r>
    </w:p>
    <w:p w14:paraId="1E951E26" w14:textId="77777777" w:rsidR="00D74605" w:rsidRPr="006A1EC7" w:rsidRDefault="00D74605" w:rsidP="00D74605">
      <w:pPr>
        <w:ind w:firstLine="720"/>
      </w:pPr>
    </w:p>
    <w:p w14:paraId="59B25BEA" w14:textId="77777777" w:rsidR="00D74605" w:rsidRPr="006A1EC7" w:rsidRDefault="00D74605" w:rsidP="00D74605">
      <w:pPr>
        <w:pStyle w:val="ListParagraph"/>
        <w:numPr>
          <w:ilvl w:val="0"/>
          <w:numId w:val="31"/>
        </w:numPr>
        <w:rPr>
          <w:rFonts w:ascii="Times New Roman" w:hAnsi="Times New Roman" w:cs="Times New Roman"/>
        </w:rPr>
      </w:pPr>
      <w:r w:rsidRPr="006A1EC7">
        <w:rPr>
          <w:rFonts w:ascii="Times New Roman" w:hAnsi="Times New Roman" w:cs="Times New Roman"/>
        </w:rPr>
        <w:t>An interview study with family caregivers of adults and children with WHS living in the UK; results directly informed the content of the COA and highlighted a plethora of previously unreported psychosocial implications of being a caregiver for a relative with WHS</w:t>
      </w:r>
    </w:p>
    <w:p w14:paraId="2A7CFE1F" w14:textId="77777777" w:rsidR="00D74605" w:rsidRPr="006A1EC7" w:rsidRDefault="00D74605" w:rsidP="00D74605">
      <w:pPr>
        <w:pStyle w:val="ListParagraph"/>
        <w:rPr>
          <w:rFonts w:ascii="Times New Roman" w:hAnsi="Times New Roman" w:cs="Times New Roman"/>
        </w:rPr>
      </w:pPr>
    </w:p>
    <w:p w14:paraId="182DA423" w14:textId="77777777" w:rsidR="00D74605" w:rsidRPr="006A1EC7" w:rsidRDefault="00D74605" w:rsidP="00D74605">
      <w:pPr>
        <w:pStyle w:val="ListParagraph"/>
        <w:numPr>
          <w:ilvl w:val="0"/>
          <w:numId w:val="31"/>
        </w:numPr>
        <w:rPr>
          <w:rFonts w:ascii="Times New Roman" w:hAnsi="Times New Roman" w:cs="Times New Roman"/>
        </w:rPr>
      </w:pPr>
      <w:r w:rsidRPr="006A1EC7">
        <w:rPr>
          <w:rFonts w:ascii="Times New Roman" w:hAnsi="Times New Roman" w:cs="Times New Roman"/>
        </w:rPr>
        <w:t>Development of a Conceptual Framework, based on published literature and interview findings, that directly informed COA content (items, domain structure)</w:t>
      </w:r>
    </w:p>
    <w:p w14:paraId="29FE8106" w14:textId="77777777" w:rsidR="00D74605" w:rsidRPr="006A1EC7" w:rsidRDefault="00D74605" w:rsidP="00D74605">
      <w:pPr>
        <w:ind w:left="720"/>
      </w:pPr>
    </w:p>
    <w:p w14:paraId="23A88066" w14:textId="77777777" w:rsidR="00D74605" w:rsidRPr="006A1EC7" w:rsidRDefault="00D74605" w:rsidP="00D74605">
      <w:pPr>
        <w:pStyle w:val="ListParagraph"/>
        <w:numPr>
          <w:ilvl w:val="0"/>
          <w:numId w:val="31"/>
        </w:numPr>
        <w:rPr>
          <w:rFonts w:ascii="Times New Roman" w:hAnsi="Times New Roman" w:cs="Times New Roman"/>
        </w:rPr>
      </w:pPr>
      <w:r w:rsidRPr="006A1EC7">
        <w:rPr>
          <w:rFonts w:ascii="Times New Roman" w:hAnsi="Times New Roman" w:cs="Times New Roman"/>
        </w:rPr>
        <w:t>A consensus study with international clinician experts on WHS to ensure clinical utility, acceptability and content validity of the COA, changes were made in accordance with comments and suggestions</w:t>
      </w:r>
    </w:p>
    <w:p w14:paraId="12528BE5" w14:textId="77777777" w:rsidR="00D74605" w:rsidRPr="006A1EC7" w:rsidRDefault="00D74605" w:rsidP="00D74605">
      <w:pPr>
        <w:ind w:left="720"/>
      </w:pPr>
    </w:p>
    <w:p w14:paraId="03CD8492" w14:textId="77777777" w:rsidR="00D74605" w:rsidRPr="006A1EC7" w:rsidRDefault="00D74605" w:rsidP="00D74605">
      <w:pPr>
        <w:pStyle w:val="ListParagraph"/>
        <w:numPr>
          <w:ilvl w:val="0"/>
          <w:numId w:val="31"/>
        </w:numPr>
        <w:rPr>
          <w:rFonts w:ascii="Times New Roman" w:hAnsi="Times New Roman" w:cs="Times New Roman"/>
        </w:rPr>
      </w:pPr>
      <w:r w:rsidRPr="006A1EC7">
        <w:rPr>
          <w:rFonts w:ascii="Times New Roman" w:hAnsi="Times New Roman" w:cs="Times New Roman"/>
        </w:rPr>
        <w:t xml:space="preserve">A validation study to assess accuracy, reliability and construct validity of the COA; using vignettes as a creative, novel method to validate COAs for rare diseases </w:t>
      </w:r>
    </w:p>
    <w:p w14:paraId="7E63873D" w14:textId="77777777" w:rsidR="00D74605" w:rsidRPr="006A1EC7" w:rsidRDefault="00D74605" w:rsidP="00D74605">
      <w:pPr>
        <w:pStyle w:val="ListParagraph"/>
        <w:rPr>
          <w:rFonts w:ascii="Times New Roman" w:hAnsi="Times New Roman" w:cs="Times New Roman"/>
        </w:rPr>
      </w:pPr>
    </w:p>
    <w:p w14:paraId="4B4823D3" w14:textId="77777777" w:rsidR="00D74605" w:rsidRPr="006A1EC7" w:rsidRDefault="00D74605" w:rsidP="00D74605"/>
    <w:p w14:paraId="46DDF209" w14:textId="31AAE708" w:rsidR="00D85DAD" w:rsidRPr="006A1EC7" w:rsidRDefault="00D74605" w:rsidP="00D74605">
      <w:r w:rsidRPr="006A1EC7">
        <w:t>Overall, results indicated moderate to good reliability and high levels of construct validity. Due to the study design, future work is required to ensure field testing with a large patient cohort and an assessment of criterion-related validity.</w:t>
      </w:r>
      <w:r w:rsidR="00D85DAD" w:rsidRPr="006A1EC7">
        <w:br w:type="page"/>
      </w:r>
    </w:p>
    <w:p w14:paraId="3115481E" w14:textId="1DDE9888" w:rsidR="00D74605" w:rsidRPr="006A1EC7" w:rsidRDefault="00D74605" w:rsidP="00D74605">
      <w:pPr>
        <w:pStyle w:val="Heading1"/>
        <w:rPr>
          <w:rFonts w:ascii="Times New Roman" w:hAnsi="Times New Roman" w:cs="Times New Roman"/>
        </w:rPr>
      </w:pPr>
      <w:bookmarkStart w:id="9" w:name="_Toc25137908"/>
      <w:bookmarkStart w:id="10" w:name="_Toc40172971"/>
      <w:r w:rsidRPr="006A1EC7">
        <w:rPr>
          <w:rFonts w:ascii="Times New Roman" w:hAnsi="Times New Roman" w:cs="Times New Roman"/>
        </w:rPr>
        <w:lastRenderedPageBreak/>
        <w:t>Dissemination</w:t>
      </w:r>
      <w:bookmarkEnd w:id="9"/>
      <w:bookmarkEnd w:id="10"/>
      <w:r w:rsidRPr="006A1EC7">
        <w:rPr>
          <w:rFonts w:ascii="Times New Roman" w:hAnsi="Times New Roman" w:cs="Times New Roman"/>
        </w:rPr>
        <w:t xml:space="preserve"> </w:t>
      </w:r>
    </w:p>
    <w:p w14:paraId="187C71AE" w14:textId="77777777" w:rsidR="00D74605" w:rsidRPr="006A1EC7" w:rsidRDefault="00D74605" w:rsidP="00D74605"/>
    <w:p w14:paraId="7921DE53" w14:textId="77777777" w:rsidR="00D74605" w:rsidRPr="006A1EC7" w:rsidRDefault="00D74605" w:rsidP="00D74605"/>
    <w:p w14:paraId="235B063F" w14:textId="77777777" w:rsidR="00D74605" w:rsidRPr="006A1EC7" w:rsidRDefault="00D74605" w:rsidP="00D74605">
      <w:pPr>
        <w:pStyle w:val="Heading4"/>
        <w:rPr>
          <w:rFonts w:ascii="Times New Roman" w:hAnsi="Times New Roman" w:cs="Times New Roman"/>
        </w:rPr>
      </w:pPr>
      <w:r w:rsidRPr="006A1EC7">
        <w:rPr>
          <w:rFonts w:ascii="Times New Roman" w:hAnsi="Times New Roman" w:cs="Times New Roman"/>
        </w:rPr>
        <w:t>Accepted abstracts &amp; oral presentations</w:t>
      </w:r>
    </w:p>
    <w:p w14:paraId="760B6E88" w14:textId="77777777" w:rsidR="00D74605" w:rsidRPr="006A1EC7" w:rsidRDefault="00D74605" w:rsidP="00D74605"/>
    <w:p w14:paraId="2F9C5AD5" w14:textId="77777777" w:rsidR="00D74605" w:rsidRPr="006A1EC7" w:rsidRDefault="00D74605" w:rsidP="00D74605">
      <w:r w:rsidRPr="006A1EC7">
        <w:t>Vogt, K., Jones, G. &amp; McNeill, A. (2016). Development of a Clinician-Rated Clinical Outcome Assessment for Wolf-Hirschhorn Syndrome. Presented at Sheffield Rare Disease Research Day in September 2016, Sheffield UK.</w:t>
      </w:r>
    </w:p>
    <w:p w14:paraId="1C5567EF" w14:textId="77777777" w:rsidR="00D74605" w:rsidRPr="006A1EC7" w:rsidRDefault="00D74605" w:rsidP="00D74605"/>
    <w:p w14:paraId="13810B67" w14:textId="77777777" w:rsidR="00D74605" w:rsidRPr="006A1EC7" w:rsidRDefault="00D74605" w:rsidP="00D74605"/>
    <w:p w14:paraId="589F1E25" w14:textId="77777777" w:rsidR="00D74605" w:rsidRPr="006A1EC7" w:rsidRDefault="00D74605" w:rsidP="00D74605">
      <w:r w:rsidRPr="006A1EC7">
        <w:t>Vogt, K., Jones, G. &amp; McNeill, A. (2019). Development of a Clinician-Rated Clinical Outcome Assessment for Wolf-Hirschhorn Syndrome. Presented at Sheffield Rare Disease Research Day in January 2019, Sheffield, UK.</w:t>
      </w:r>
    </w:p>
    <w:p w14:paraId="6B546654" w14:textId="77777777" w:rsidR="00D74605" w:rsidRPr="006A1EC7" w:rsidRDefault="00D74605" w:rsidP="00D74605"/>
    <w:p w14:paraId="1FE68C25" w14:textId="1B9CF9FC" w:rsidR="00D74605" w:rsidRPr="006A1EC7" w:rsidRDefault="00D74605" w:rsidP="00D74605">
      <w:r w:rsidRPr="006A1EC7">
        <w:t>Vogt, K., Jones, G. &amp; McNeill, A. (2018). Development of a Clinician-Rated Clinical Outcome Assessment for Wolf-Hirschhorn Syndrome. Accepted abstract for BPS East of England Conference 2018: From Research Theory and practice: changing lives. September 2018, Norwich, UK.</w:t>
      </w:r>
      <w:r w:rsidR="00BE7390" w:rsidRPr="006A1EC7">
        <w:br/>
      </w:r>
    </w:p>
    <w:p w14:paraId="5C9AED13" w14:textId="77777777" w:rsidR="00D74605" w:rsidRPr="006A1EC7" w:rsidRDefault="00D74605" w:rsidP="00D74605">
      <w:pPr>
        <w:pStyle w:val="Heading4"/>
        <w:rPr>
          <w:rFonts w:ascii="Times New Roman" w:hAnsi="Times New Roman" w:cs="Times New Roman"/>
        </w:rPr>
      </w:pPr>
      <w:r w:rsidRPr="006A1EC7">
        <w:rPr>
          <w:rFonts w:ascii="Times New Roman" w:hAnsi="Times New Roman" w:cs="Times New Roman"/>
        </w:rPr>
        <w:t>Poster presentation</w:t>
      </w:r>
    </w:p>
    <w:p w14:paraId="3E85DA94" w14:textId="77777777" w:rsidR="00D74605" w:rsidRPr="006A1EC7" w:rsidRDefault="00D74605" w:rsidP="00D74605"/>
    <w:p w14:paraId="301F3017" w14:textId="77777777" w:rsidR="00D74605" w:rsidRPr="006A1EC7" w:rsidRDefault="00D74605" w:rsidP="00D74605">
      <w:r w:rsidRPr="006A1EC7">
        <w:t>Vogt, K., McNeill, A. &amp; Jones, G. (2019). Development and evaluation of a novel method to validate Clinical Outcome Assessments: the use of vignettes in rare disease research and assessment. Presented at Patient Reported Outcome Measures PROMS Annual Research Conference 2019, Leeds, UK.</w:t>
      </w:r>
    </w:p>
    <w:p w14:paraId="3784B168" w14:textId="702EEEA4" w:rsidR="00D74605" w:rsidRPr="006A1EC7" w:rsidRDefault="00D74605" w:rsidP="00D74605">
      <w:pPr>
        <w:rPr>
          <w:i/>
        </w:rPr>
      </w:pPr>
      <w:r w:rsidRPr="006A1EC7">
        <w:t xml:space="preserve"> </w:t>
      </w:r>
      <w:r w:rsidRPr="006A1EC7">
        <w:tab/>
      </w:r>
      <w:r w:rsidRPr="006A1EC7">
        <w:rPr>
          <w:i/>
        </w:rPr>
        <w:t>First price: Best poster.</w:t>
      </w:r>
      <w:r w:rsidR="00BE7390" w:rsidRPr="006A1EC7">
        <w:rPr>
          <w:i/>
        </w:rPr>
        <w:br/>
      </w:r>
    </w:p>
    <w:p w14:paraId="47AFA9E0" w14:textId="77777777" w:rsidR="00D74605" w:rsidRPr="006A1EC7" w:rsidRDefault="00D74605" w:rsidP="00D74605">
      <w:pPr>
        <w:pStyle w:val="Heading4"/>
        <w:rPr>
          <w:rFonts w:ascii="Times New Roman" w:hAnsi="Times New Roman" w:cs="Times New Roman"/>
        </w:rPr>
      </w:pPr>
      <w:r w:rsidRPr="006A1EC7">
        <w:rPr>
          <w:rFonts w:ascii="Times New Roman" w:hAnsi="Times New Roman" w:cs="Times New Roman"/>
        </w:rPr>
        <w:t>Patient-facing dissemination</w:t>
      </w:r>
    </w:p>
    <w:p w14:paraId="3914DB74" w14:textId="77777777" w:rsidR="00D74605" w:rsidRPr="006A1EC7" w:rsidRDefault="00D74605" w:rsidP="00D74605"/>
    <w:p w14:paraId="7033CC40" w14:textId="77777777" w:rsidR="00D74605" w:rsidRPr="006A1EC7" w:rsidRDefault="00D74605" w:rsidP="00D74605">
      <w:r w:rsidRPr="006A1EC7">
        <w:t>Presentations to the key stakeholders, the Wolf-Hirschhorn Syndrome UK Trust, at their biennial annual meetings:</w:t>
      </w:r>
    </w:p>
    <w:p w14:paraId="0E2FAEA9" w14:textId="77777777" w:rsidR="00D74605" w:rsidRPr="006A1EC7" w:rsidRDefault="00D74605" w:rsidP="00D74605">
      <w:pPr>
        <w:pStyle w:val="ListParagraph"/>
        <w:numPr>
          <w:ilvl w:val="0"/>
          <w:numId w:val="35"/>
        </w:numPr>
        <w:rPr>
          <w:rFonts w:ascii="Times New Roman" w:hAnsi="Times New Roman" w:cs="Times New Roman"/>
        </w:rPr>
      </w:pPr>
      <w:r w:rsidRPr="006A1EC7">
        <w:rPr>
          <w:rFonts w:ascii="Times New Roman" w:hAnsi="Times New Roman" w:cs="Times New Roman"/>
        </w:rPr>
        <w:t>April 2017: Development of a Clinician-Rated Clinical Outcome Assessment for Wolf-Hirschhorn Syndrome (Northampton, UK)</w:t>
      </w:r>
    </w:p>
    <w:p w14:paraId="564C432A" w14:textId="77777777" w:rsidR="00D74605" w:rsidRPr="006A1EC7" w:rsidRDefault="00D74605" w:rsidP="00D74605">
      <w:pPr>
        <w:pStyle w:val="ListParagraph"/>
        <w:numPr>
          <w:ilvl w:val="0"/>
          <w:numId w:val="35"/>
        </w:numPr>
        <w:rPr>
          <w:rFonts w:ascii="Times New Roman" w:hAnsi="Times New Roman" w:cs="Times New Roman"/>
        </w:rPr>
      </w:pPr>
      <w:r w:rsidRPr="006A1EC7">
        <w:rPr>
          <w:rFonts w:ascii="Times New Roman" w:hAnsi="Times New Roman" w:cs="Times New Roman"/>
        </w:rPr>
        <w:t>May 2019: Family experiences of living with, and caring for, a relative with Wolf-Hirschhorn Syndrome (Coventry, UK)</w:t>
      </w:r>
    </w:p>
    <w:p w14:paraId="46B97DD2" w14:textId="77777777" w:rsidR="00D74605" w:rsidRPr="006A1EC7" w:rsidRDefault="00D74605" w:rsidP="00D74605"/>
    <w:p w14:paraId="551CB9C7" w14:textId="77777777" w:rsidR="00D74605" w:rsidRPr="006A1EC7" w:rsidRDefault="00D74605" w:rsidP="00D74605">
      <w:pPr>
        <w:pStyle w:val="Heading4"/>
        <w:rPr>
          <w:rFonts w:ascii="Times New Roman" w:hAnsi="Times New Roman" w:cs="Times New Roman"/>
        </w:rPr>
      </w:pPr>
      <w:r w:rsidRPr="006A1EC7">
        <w:rPr>
          <w:rFonts w:ascii="Times New Roman" w:hAnsi="Times New Roman" w:cs="Times New Roman"/>
        </w:rPr>
        <w:t>Academic dissemination (in preparation)</w:t>
      </w:r>
    </w:p>
    <w:p w14:paraId="4A0FF4FD" w14:textId="77777777" w:rsidR="00D74605" w:rsidRPr="006A1EC7" w:rsidRDefault="00D74605" w:rsidP="00D74605"/>
    <w:p w14:paraId="613664C0" w14:textId="77777777" w:rsidR="00D74605" w:rsidRPr="006A1EC7" w:rsidRDefault="00D74605" w:rsidP="00D74605">
      <w:r w:rsidRPr="006A1EC7">
        <w:t>Vogt, K., McNeill, A. &amp; Jones, G. (in prep). Family experiences of living with, and caring for, a relative with Wolf-Hirschhorn Syndrome.</w:t>
      </w:r>
    </w:p>
    <w:p w14:paraId="7EC40797" w14:textId="77777777" w:rsidR="00D74605" w:rsidRPr="006A1EC7" w:rsidRDefault="00D74605" w:rsidP="00D74605"/>
    <w:p w14:paraId="416436FF" w14:textId="77777777" w:rsidR="00D74605" w:rsidRPr="006A1EC7" w:rsidRDefault="00D74605" w:rsidP="00D74605">
      <w:r w:rsidRPr="006A1EC7">
        <w:t>Vogt, K., McNeill, A. &amp; Jones, G. (in prep). Development of a Clinician-Rated Clinical Outcome Assessment for Wolf-Hirschhorn Syndrome</w:t>
      </w:r>
    </w:p>
    <w:p w14:paraId="3C9EBA51" w14:textId="77777777" w:rsidR="00D74605" w:rsidRPr="006A1EC7" w:rsidRDefault="00D74605" w:rsidP="00D74605"/>
    <w:p w14:paraId="0F92D492" w14:textId="77777777" w:rsidR="00D74605" w:rsidRPr="006A1EC7" w:rsidRDefault="00D74605" w:rsidP="00D85DAD">
      <w:r w:rsidRPr="006A1EC7">
        <w:t>Vogt, K., McNeill, A. &amp; Jones, G. (in prep). Furthering the development and evaluation of Clinical Outcome Assessments for rare diseases: the use of vignette</w:t>
      </w:r>
      <w:r w:rsidR="00D85DAD" w:rsidRPr="006A1EC7">
        <w:t>s.</w:t>
      </w:r>
    </w:p>
    <w:p w14:paraId="31513C93" w14:textId="148D9E09" w:rsidR="00CE3F96" w:rsidRPr="006A1EC7" w:rsidRDefault="00CE3F96" w:rsidP="00CE3F96">
      <w:pPr>
        <w:spacing w:line="276" w:lineRule="auto"/>
        <w:rPr>
          <w:sz w:val="20"/>
          <w:szCs w:val="20"/>
        </w:rPr>
      </w:pPr>
    </w:p>
    <w:sdt>
      <w:sdtPr>
        <w:rPr>
          <w:rFonts w:ascii="Times New Roman" w:eastAsia="Times New Roman" w:hAnsi="Times New Roman" w:cs="Times New Roman"/>
          <w:b w:val="0"/>
          <w:bCs w:val="0"/>
          <w:color w:val="auto"/>
          <w:sz w:val="24"/>
          <w:szCs w:val="24"/>
          <w:lang w:val="en-GB"/>
        </w:rPr>
        <w:id w:val="-1921704242"/>
        <w:docPartObj>
          <w:docPartGallery w:val="Table of Contents"/>
          <w:docPartUnique/>
        </w:docPartObj>
      </w:sdtPr>
      <w:sdtEndPr>
        <w:rPr>
          <w:noProof/>
        </w:rPr>
      </w:sdtEndPr>
      <w:sdtContent>
        <w:p w14:paraId="7B48CAB3" w14:textId="265C8730" w:rsidR="00780B57" w:rsidRPr="006A1EC7" w:rsidRDefault="00780B57">
          <w:pPr>
            <w:pStyle w:val="TOCHeading"/>
            <w:rPr>
              <w:rStyle w:val="Heading1Char"/>
              <w:rFonts w:ascii="Times New Roman" w:hAnsi="Times New Roman" w:cs="Times New Roman"/>
            </w:rPr>
          </w:pPr>
          <w:r w:rsidRPr="006A1EC7">
            <w:rPr>
              <w:rStyle w:val="Heading1Char"/>
              <w:rFonts w:ascii="Times New Roman" w:hAnsi="Times New Roman" w:cs="Times New Roman"/>
            </w:rPr>
            <w:t>Table of Contents</w:t>
          </w:r>
        </w:p>
        <w:p w14:paraId="052F45D6" w14:textId="1EFBF2A5" w:rsidR="006A1EC7" w:rsidRPr="006A1EC7" w:rsidRDefault="0026747E">
          <w:pPr>
            <w:pStyle w:val="TOC1"/>
            <w:tabs>
              <w:tab w:val="right" w:leader="dot" w:pos="8488"/>
            </w:tabs>
            <w:rPr>
              <w:rFonts w:ascii="Times New Roman" w:eastAsiaTheme="minorEastAsia" w:hAnsi="Times New Roman"/>
              <w:b w:val="0"/>
              <w:bCs w:val="0"/>
              <w:i w:val="0"/>
              <w:iCs w:val="0"/>
              <w:noProof/>
              <w:lang w:eastAsia="en-GB"/>
            </w:rPr>
          </w:pPr>
          <w:r w:rsidRPr="006A1EC7">
            <w:rPr>
              <w:rFonts w:ascii="Times New Roman" w:hAnsi="Times New Roman"/>
              <w:i w:val="0"/>
              <w:iCs w:val="0"/>
            </w:rPr>
            <w:fldChar w:fldCharType="begin"/>
          </w:r>
          <w:r w:rsidRPr="006A1EC7">
            <w:rPr>
              <w:rFonts w:ascii="Times New Roman" w:hAnsi="Times New Roman"/>
              <w:i w:val="0"/>
              <w:iCs w:val="0"/>
            </w:rPr>
            <w:instrText xml:space="preserve"> TOC \o "1-2" \h \z \u </w:instrText>
          </w:r>
          <w:r w:rsidRPr="006A1EC7">
            <w:rPr>
              <w:rFonts w:ascii="Times New Roman" w:hAnsi="Times New Roman"/>
              <w:i w:val="0"/>
              <w:iCs w:val="0"/>
            </w:rPr>
            <w:fldChar w:fldCharType="separate"/>
          </w:r>
          <w:hyperlink w:anchor="_Toc40172968" w:history="1">
            <w:r w:rsidR="006A1EC7" w:rsidRPr="006A1EC7">
              <w:rPr>
                <w:rStyle w:val="Hyperlink"/>
                <w:rFonts w:ascii="Times New Roman" w:hAnsi="Times New Roman"/>
                <w:noProof/>
              </w:rPr>
              <w:t>Acknowledgements</w:t>
            </w:r>
            <w:r w:rsidR="006A1EC7" w:rsidRPr="006A1EC7">
              <w:rPr>
                <w:rFonts w:ascii="Times New Roman" w:hAnsi="Times New Roman"/>
                <w:noProof/>
                <w:webHidden/>
              </w:rPr>
              <w:tab/>
            </w:r>
            <w:r w:rsidR="006A1EC7" w:rsidRPr="006A1EC7">
              <w:rPr>
                <w:rFonts w:ascii="Times New Roman" w:hAnsi="Times New Roman"/>
                <w:noProof/>
                <w:webHidden/>
              </w:rPr>
              <w:fldChar w:fldCharType="begin"/>
            </w:r>
            <w:r w:rsidR="006A1EC7" w:rsidRPr="006A1EC7">
              <w:rPr>
                <w:rFonts w:ascii="Times New Roman" w:hAnsi="Times New Roman"/>
                <w:noProof/>
                <w:webHidden/>
              </w:rPr>
              <w:instrText xml:space="preserve"> PAGEREF _Toc40172968 \h </w:instrText>
            </w:r>
            <w:r w:rsidR="006A1EC7" w:rsidRPr="006A1EC7">
              <w:rPr>
                <w:rFonts w:ascii="Times New Roman" w:hAnsi="Times New Roman"/>
                <w:noProof/>
                <w:webHidden/>
              </w:rPr>
            </w:r>
            <w:r w:rsidR="006A1EC7" w:rsidRPr="006A1EC7">
              <w:rPr>
                <w:rFonts w:ascii="Times New Roman" w:hAnsi="Times New Roman"/>
                <w:noProof/>
                <w:webHidden/>
              </w:rPr>
              <w:fldChar w:fldCharType="separate"/>
            </w:r>
            <w:r w:rsidR="006A1EC7" w:rsidRPr="006A1EC7">
              <w:rPr>
                <w:rFonts w:ascii="Times New Roman" w:hAnsi="Times New Roman"/>
                <w:noProof/>
                <w:webHidden/>
              </w:rPr>
              <w:t>ii</w:t>
            </w:r>
            <w:r w:rsidR="006A1EC7" w:rsidRPr="006A1EC7">
              <w:rPr>
                <w:rFonts w:ascii="Times New Roman" w:hAnsi="Times New Roman"/>
                <w:noProof/>
                <w:webHidden/>
              </w:rPr>
              <w:fldChar w:fldCharType="end"/>
            </w:r>
          </w:hyperlink>
        </w:p>
        <w:p w14:paraId="0196C570" w14:textId="247DBF96"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69" w:history="1">
            <w:r w:rsidRPr="006A1EC7">
              <w:rPr>
                <w:rStyle w:val="Hyperlink"/>
                <w:rFonts w:ascii="Times New Roman" w:hAnsi="Times New Roman"/>
                <w:noProof/>
              </w:rPr>
              <w:t>Declaration</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_Toc40172969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iii</w:t>
            </w:r>
            <w:r w:rsidRPr="006A1EC7">
              <w:rPr>
                <w:rFonts w:ascii="Times New Roman" w:hAnsi="Times New Roman"/>
                <w:noProof/>
                <w:webHidden/>
              </w:rPr>
              <w:fldChar w:fldCharType="end"/>
            </w:r>
          </w:hyperlink>
        </w:p>
        <w:p w14:paraId="102110FD" w14:textId="1BD29E48"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70" w:history="1">
            <w:r w:rsidRPr="006A1EC7">
              <w:rPr>
                <w:rStyle w:val="Hyperlink"/>
                <w:rFonts w:ascii="Times New Roman" w:hAnsi="Times New Roman"/>
                <w:noProof/>
              </w:rPr>
              <w:t>Abstract</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_Toc40172970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iv</w:t>
            </w:r>
            <w:r w:rsidRPr="006A1EC7">
              <w:rPr>
                <w:rFonts w:ascii="Times New Roman" w:hAnsi="Times New Roman"/>
                <w:noProof/>
                <w:webHidden/>
              </w:rPr>
              <w:fldChar w:fldCharType="end"/>
            </w:r>
          </w:hyperlink>
        </w:p>
        <w:p w14:paraId="5F956F55" w14:textId="18C2DF89"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71" w:history="1">
            <w:r w:rsidRPr="006A1EC7">
              <w:rPr>
                <w:rStyle w:val="Hyperlink"/>
                <w:rFonts w:ascii="Times New Roman" w:hAnsi="Times New Roman"/>
                <w:noProof/>
              </w:rPr>
              <w:t>Dissemination</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_Toc40172971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v</w:t>
            </w:r>
            <w:r w:rsidRPr="006A1EC7">
              <w:rPr>
                <w:rFonts w:ascii="Times New Roman" w:hAnsi="Times New Roman"/>
                <w:noProof/>
                <w:webHidden/>
              </w:rPr>
              <w:fldChar w:fldCharType="end"/>
            </w:r>
          </w:hyperlink>
        </w:p>
        <w:p w14:paraId="02DD08C8" w14:textId="66D0CEE0"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72" w:history="1">
            <w:r w:rsidRPr="006A1EC7">
              <w:rPr>
                <w:rStyle w:val="Hyperlink"/>
                <w:rFonts w:ascii="Times New Roman" w:hAnsi="Times New Roman"/>
                <w:noProof/>
              </w:rPr>
              <w:t>List of Tables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_Toc40172972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viii</w:t>
            </w:r>
            <w:r w:rsidRPr="006A1EC7">
              <w:rPr>
                <w:rFonts w:ascii="Times New Roman" w:hAnsi="Times New Roman"/>
                <w:noProof/>
                <w:webHidden/>
              </w:rPr>
              <w:fldChar w:fldCharType="end"/>
            </w:r>
          </w:hyperlink>
        </w:p>
        <w:p w14:paraId="74A683DF" w14:textId="45CBB302"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73" w:history="1">
            <w:r w:rsidRPr="006A1EC7">
              <w:rPr>
                <w:rStyle w:val="Hyperlink"/>
                <w:rFonts w:ascii="Times New Roman" w:eastAsia="Arial" w:hAnsi="Times New Roman"/>
                <w:noProof/>
              </w:rPr>
              <w:t>List of Graphics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_Toc40172973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ix</w:t>
            </w:r>
            <w:r w:rsidRPr="006A1EC7">
              <w:rPr>
                <w:rFonts w:ascii="Times New Roman" w:hAnsi="Times New Roman"/>
                <w:noProof/>
                <w:webHidden/>
              </w:rPr>
              <w:fldChar w:fldCharType="end"/>
            </w:r>
          </w:hyperlink>
        </w:p>
        <w:p w14:paraId="331DEA17" w14:textId="65E7F97B"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74" w:history="1">
            <w:r w:rsidRPr="006A1EC7">
              <w:rPr>
                <w:rStyle w:val="Hyperlink"/>
                <w:rFonts w:ascii="Times New Roman" w:hAnsi="Times New Roman"/>
                <w:noProof/>
              </w:rPr>
              <w:t>List of abbreviations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_Toc40172974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x</w:t>
            </w:r>
            <w:r w:rsidRPr="006A1EC7">
              <w:rPr>
                <w:rFonts w:ascii="Times New Roman" w:hAnsi="Times New Roman"/>
                <w:noProof/>
                <w:webHidden/>
              </w:rPr>
              <w:fldChar w:fldCharType="end"/>
            </w:r>
          </w:hyperlink>
        </w:p>
        <w:p w14:paraId="1DAA4A4D" w14:textId="2F8DE81F"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75" w:history="1">
            <w:r w:rsidRPr="006A1EC7">
              <w:rPr>
                <w:rStyle w:val="Hyperlink"/>
                <w:rFonts w:ascii="Times New Roman" w:eastAsia="Arial" w:hAnsi="Times New Roman"/>
                <w:noProof/>
              </w:rPr>
              <w:t>Chapter 1: Introduction</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_Toc40172975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w:t>
            </w:r>
            <w:r w:rsidRPr="006A1EC7">
              <w:rPr>
                <w:rFonts w:ascii="Times New Roman" w:hAnsi="Times New Roman"/>
                <w:noProof/>
                <w:webHidden/>
              </w:rPr>
              <w:fldChar w:fldCharType="end"/>
            </w:r>
          </w:hyperlink>
        </w:p>
        <w:p w14:paraId="28F12C90" w14:textId="4B942F70"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76" w:history="1">
            <w:r w:rsidRPr="006A1EC7">
              <w:rPr>
                <w:rStyle w:val="Hyperlink"/>
                <w:rFonts w:ascii="Times New Roman" w:hAnsi="Times New Roman"/>
                <w:noProof/>
              </w:rPr>
              <w:t>Chapter 2: Rare genetic illness and health measurement</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_Toc40172976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6</w:t>
            </w:r>
            <w:r w:rsidRPr="006A1EC7">
              <w:rPr>
                <w:rFonts w:ascii="Times New Roman" w:hAnsi="Times New Roman"/>
                <w:noProof/>
                <w:webHidden/>
              </w:rPr>
              <w:fldChar w:fldCharType="end"/>
            </w:r>
          </w:hyperlink>
        </w:p>
        <w:p w14:paraId="474759D1" w14:textId="4BE53570"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77" w:history="1">
            <w:r w:rsidRPr="006A1EC7">
              <w:rPr>
                <w:rStyle w:val="Hyperlink"/>
                <w:rFonts w:ascii="Times New Roman" w:hAnsi="Times New Roman"/>
                <w:noProof/>
              </w:rPr>
              <w:t>Rare genetic illness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_Toc40172977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6</w:t>
            </w:r>
            <w:r w:rsidRPr="006A1EC7">
              <w:rPr>
                <w:rFonts w:ascii="Times New Roman" w:hAnsi="Times New Roman"/>
                <w:noProof/>
                <w:webHidden/>
              </w:rPr>
              <w:fldChar w:fldCharType="end"/>
            </w:r>
          </w:hyperlink>
        </w:p>
        <w:p w14:paraId="174D8809" w14:textId="7F6AAF2C"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78" w:history="1">
            <w:r w:rsidRPr="006A1EC7">
              <w:rPr>
                <w:rStyle w:val="Hyperlink"/>
                <w:rFonts w:ascii="Times New Roman" w:hAnsi="Times New Roman"/>
                <w:noProof/>
              </w:rPr>
              <w:t>Wolf-Hirschhorn Syndrome (WHS)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_Toc40172978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7</w:t>
            </w:r>
            <w:r w:rsidRPr="006A1EC7">
              <w:rPr>
                <w:rFonts w:ascii="Times New Roman" w:hAnsi="Times New Roman"/>
                <w:noProof/>
                <w:webHidden/>
              </w:rPr>
              <w:fldChar w:fldCharType="end"/>
            </w:r>
          </w:hyperlink>
        </w:p>
        <w:p w14:paraId="14688455" w14:textId="45E6582B"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79" w:history="1">
            <w:r w:rsidRPr="006A1EC7">
              <w:rPr>
                <w:rStyle w:val="Hyperlink"/>
                <w:rFonts w:ascii="Times New Roman" w:hAnsi="Times New Roman"/>
                <w:noProof/>
              </w:rPr>
              <w:t>Health and rare disease</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_Toc40172979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17</w:t>
            </w:r>
            <w:r w:rsidRPr="006A1EC7">
              <w:rPr>
                <w:rFonts w:ascii="Times New Roman" w:hAnsi="Times New Roman"/>
                <w:noProof/>
                <w:webHidden/>
              </w:rPr>
              <w:fldChar w:fldCharType="end"/>
            </w:r>
          </w:hyperlink>
        </w:p>
        <w:p w14:paraId="08A97A2A" w14:textId="0461DF49"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80" w:history="1">
            <w:r w:rsidRPr="006A1EC7">
              <w:rPr>
                <w:rStyle w:val="Hyperlink"/>
                <w:rFonts w:ascii="Times New Roman" w:hAnsi="Times New Roman"/>
                <w:noProof/>
              </w:rPr>
              <w:t>Development of a Clinical Outcome Assessment</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_Toc40172980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26</w:t>
            </w:r>
            <w:r w:rsidRPr="006A1EC7">
              <w:rPr>
                <w:rFonts w:ascii="Times New Roman" w:hAnsi="Times New Roman"/>
                <w:noProof/>
                <w:webHidden/>
              </w:rPr>
              <w:fldChar w:fldCharType="end"/>
            </w:r>
          </w:hyperlink>
        </w:p>
        <w:p w14:paraId="68C04318" w14:textId="66563268"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81" w:history="1">
            <w:r w:rsidRPr="006A1EC7">
              <w:rPr>
                <w:rStyle w:val="Hyperlink"/>
                <w:rFonts w:ascii="Times New Roman" w:hAnsi="Times New Roman"/>
                <w:noProof/>
              </w:rPr>
              <w:t>Chapter 3: Systematic reviews to support the development of a Clinical Outcome Assessment for WHS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_Toc40172981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39</w:t>
            </w:r>
            <w:r w:rsidRPr="006A1EC7">
              <w:rPr>
                <w:rFonts w:ascii="Times New Roman" w:hAnsi="Times New Roman"/>
                <w:noProof/>
                <w:webHidden/>
              </w:rPr>
              <w:fldChar w:fldCharType="end"/>
            </w:r>
          </w:hyperlink>
        </w:p>
        <w:p w14:paraId="32DAE582" w14:textId="01315210"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82" w:history="1">
            <w:r w:rsidRPr="006A1EC7">
              <w:rPr>
                <w:rStyle w:val="Hyperlink"/>
                <w:rFonts w:ascii="Times New Roman" w:hAnsi="Times New Roman"/>
                <w:noProof/>
              </w:rPr>
              <w:t>Introduction</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_Toc40172982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39</w:t>
            </w:r>
            <w:r w:rsidRPr="006A1EC7">
              <w:rPr>
                <w:rFonts w:ascii="Times New Roman" w:hAnsi="Times New Roman"/>
                <w:noProof/>
                <w:webHidden/>
              </w:rPr>
              <w:fldChar w:fldCharType="end"/>
            </w:r>
          </w:hyperlink>
        </w:p>
        <w:p w14:paraId="12A37463" w14:textId="042AF55E"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83" w:history="1">
            <w:r w:rsidRPr="006A1EC7">
              <w:rPr>
                <w:rStyle w:val="Hyperlink"/>
                <w:rFonts w:ascii="Times New Roman" w:hAnsi="Times New Roman"/>
                <w:noProof/>
              </w:rPr>
              <w:t>Systematic Review 1: Investigating Clinical Outcome Assessments for WHS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_Toc40172983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41</w:t>
            </w:r>
            <w:r w:rsidRPr="006A1EC7">
              <w:rPr>
                <w:rFonts w:ascii="Times New Roman" w:hAnsi="Times New Roman"/>
                <w:noProof/>
                <w:webHidden/>
              </w:rPr>
              <w:fldChar w:fldCharType="end"/>
            </w:r>
          </w:hyperlink>
        </w:p>
        <w:p w14:paraId="23B4AA5F" w14:textId="6AFE3EFA"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84" w:history="1">
            <w:r w:rsidRPr="006A1EC7">
              <w:rPr>
                <w:rStyle w:val="Hyperlink"/>
                <w:rFonts w:ascii="Times New Roman" w:hAnsi="Times New Roman"/>
                <w:noProof/>
              </w:rPr>
              <w:t>Systematic review 2: The psychosocial impact of WHS on families and patients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_Toc40172984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47</w:t>
            </w:r>
            <w:r w:rsidRPr="006A1EC7">
              <w:rPr>
                <w:rFonts w:ascii="Times New Roman" w:hAnsi="Times New Roman"/>
                <w:noProof/>
                <w:webHidden/>
              </w:rPr>
              <w:fldChar w:fldCharType="end"/>
            </w:r>
          </w:hyperlink>
        </w:p>
        <w:p w14:paraId="64F8BF06" w14:textId="01141D4D"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85" w:history="1">
            <w:r w:rsidRPr="006A1EC7">
              <w:rPr>
                <w:rStyle w:val="Hyperlink"/>
                <w:rFonts w:ascii="Times New Roman" w:hAnsi="Times New Roman"/>
                <w:noProof/>
              </w:rPr>
              <w:t>Chapter 4: Family perspectives on living with and caring for family members with WHS: qualitative interview study to inform the development of the Clinical outcome assessment</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_Toc40172985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51</w:t>
            </w:r>
            <w:r w:rsidRPr="006A1EC7">
              <w:rPr>
                <w:rFonts w:ascii="Times New Roman" w:hAnsi="Times New Roman"/>
                <w:noProof/>
                <w:webHidden/>
              </w:rPr>
              <w:fldChar w:fldCharType="end"/>
            </w:r>
          </w:hyperlink>
        </w:p>
        <w:p w14:paraId="35C53215" w14:textId="5CE87B1C"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86" w:history="1">
            <w:r w:rsidRPr="006A1EC7">
              <w:rPr>
                <w:rStyle w:val="Hyperlink"/>
                <w:rFonts w:ascii="Times New Roman" w:hAnsi="Times New Roman"/>
                <w:noProof/>
              </w:rPr>
              <w:t>Introduction</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_Toc40172986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51</w:t>
            </w:r>
            <w:r w:rsidRPr="006A1EC7">
              <w:rPr>
                <w:rFonts w:ascii="Times New Roman" w:hAnsi="Times New Roman"/>
                <w:noProof/>
                <w:webHidden/>
              </w:rPr>
              <w:fldChar w:fldCharType="end"/>
            </w:r>
          </w:hyperlink>
        </w:p>
        <w:p w14:paraId="691F0E7E" w14:textId="4143107F"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87" w:history="1">
            <w:r w:rsidRPr="006A1EC7">
              <w:rPr>
                <w:rStyle w:val="Hyperlink"/>
                <w:rFonts w:ascii="Times New Roman" w:hAnsi="Times New Roman"/>
                <w:noProof/>
              </w:rPr>
              <w:t>The importance of qualitative research</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_Toc40172987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51</w:t>
            </w:r>
            <w:r w:rsidRPr="006A1EC7">
              <w:rPr>
                <w:rFonts w:ascii="Times New Roman" w:hAnsi="Times New Roman"/>
                <w:noProof/>
                <w:webHidden/>
              </w:rPr>
              <w:fldChar w:fldCharType="end"/>
            </w:r>
          </w:hyperlink>
        </w:p>
        <w:p w14:paraId="677BE0D2" w14:textId="4BCF0DCD"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88" w:history="1">
            <w:r w:rsidRPr="006A1EC7">
              <w:rPr>
                <w:rStyle w:val="Hyperlink"/>
                <w:rFonts w:ascii="Times New Roman" w:hAnsi="Times New Roman"/>
                <w:noProof/>
              </w:rPr>
              <w:t>Objective</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_Toc40172988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58</w:t>
            </w:r>
            <w:r w:rsidRPr="006A1EC7">
              <w:rPr>
                <w:rFonts w:ascii="Times New Roman" w:hAnsi="Times New Roman"/>
                <w:noProof/>
                <w:webHidden/>
              </w:rPr>
              <w:fldChar w:fldCharType="end"/>
            </w:r>
          </w:hyperlink>
        </w:p>
        <w:p w14:paraId="166CCB75" w14:textId="558D90D3"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89" w:history="1">
            <w:r w:rsidRPr="006A1EC7">
              <w:rPr>
                <w:rStyle w:val="Hyperlink"/>
                <w:rFonts w:ascii="Times New Roman" w:hAnsi="Times New Roman"/>
                <w:noProof/>
              </w:rPr>
              <w:t>Rationale</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_Toc40172989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58</w:t>
            </w:r>
            <w:r w:rsidRPr="006A1EC7">
              <w:rPr>
                <w:rFonts w:ascii="Times New Roman" w:hAnsi="Times New Roman"/>
                <w:noProof/>
                <w:webHidden/>
              </w:rPr>
              <w:fldChar w:fldCharType="end"/>
            </w:r>
          </w:hyperlink>
        </w:p>
        <w:p w14:paraId="66C601F2" w14:textId="7332FA14"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90" w:history="1">
            <w:r w:rsidRPr="006A1EC7">
              <w:rPr>
                <w:rStyle w:val="Hyperlink"/>
                <w:rFonts w:ascii="Times New Roman" w:hAnsi="Times New Roman"/>
                <w:noProof/>
              </w:rPr>
              <w:t>Method</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_Toc40172990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58</w:t>
            </w:r>
            <w:r w:rsidRPr="006A1EC7">
              <w:rPr>
                <w:rFonts w:ascii="Times New Roman" w:hAnsi="Times New Roman"/>
                <w:noProof/>
                <w:webHidden/>
              </w:rPr>
              <w:fldChar w:fldCharType="end"/>
            </w:r>
          </w:hyperlink>
        </w:p>
        <w:p w14:paraId="554594D4" w14:textId="18B3B559"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91" w:history="1">
            <w:r w:rsidRPr="006A1EC7">
              <w:rPr>
                <w:rStyle w:val="Hyperlink"/>
                <w:rFonts w:ascii="Times New Roman" w:hAnsi="Times New Roman"/>
                <w:noProof/>
              </w:rPr>
              <w:t>Results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_Toc40172991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60</w:t>
            </w:r>
            <w:r w:rsidRPr="006A1EC7">
              <w:rPr>
                <w:rFonts w:ascii="Times New Roman" w:hAnsi="Times New Roman"/>
                <w:noProof/>
                <w:webHidden/>
              </w:rPr>
              <w:fldChar w:fldCharType="end"/>
            </w:r>
          </w:hyperlink>
        </w:p>
        <w:p w14:paraId="696B62C7" w14:textId="448B588C"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92" w:history="1">
            <w:r w:rsidRPr="006A1EC7">
              <w:rPr>
                <w:rStyle w:val="Hyperlink"/>
                <w:rFonts w:ascii="Times New Roman" w:hAnsi="Times New Roman"/>
                <w:noProof/>
              </w:rPr>
              <w:t>Themes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_Toc40172992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65</w:t>
            </w:r>
            <w:r w:rsidRPr="006A1EC7">
              <w:rPr>
                <w:rFonts w:ascii="Times New Roman" w:hAnsi="Times New Roman"/>
                <w:noProof/>
                <w:webHidden/>
              </w:rPr>
              <w:fldChar w:fldCharType="end"/>
            </w:r>
          </w:hyperlink>
        </w:p>
        <w:p w14:paraId="57B95D5C" w14:textId="3E99E3FF"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93" w:history="1">
            <w:r w:rsidRPr="006A1EC7">
              <w:rPr>
                <w:rStyle w:val="Hyperlink"/>
                <w:rFonts w:ascii="Times New Roman" w:hAnsi="Times New Roman"/>
                <w:noProof/>
              </w:rPr>
              <w:t>Theme 1: Clinical Features of WHS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_Toc40172993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66</w:t>
            </w:r>
            <w:r w:rsidRPr="006A1EC7">
              <w:rPr>
                <w:rFonts w:ascii="Times New Roman" w:hAnsi="Times New Roman"/>
                <w:noProof/>
                <w:webHidden/>
              </w:rPr>
              <w:fldChar w:fldCharType="end"/>
            </w:r>
          </w:hyperlink>
        </w:p>
        <w:p w14:paraId="7D3F6FEE" w14:textId="64B1D6AB"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94" w:history="1">
            <w:r w:rsidRPr="006A1EC7">
              <w:rPr>
                <w:rStyle w:val="Hyperlink"/>
                <w:rFonts w:ascii="Times New Roman" w:hAnsi="Times New Roman"/>
                <w:noProof/>
              </w:rPr>
              <w:t>Discussion Chapter 4 (Theme 1)</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_Toc40172994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90</w:t>
            </w:r>
            <w:r w:rsidRPr="006A1EC7">
              <w:rPr>
                <w:rFonts w:ascii="Times New Roman" w:hAnsi="Times New Roman"/>
                <w:noProof/>
                <w:webHidden/>
              </w:rPr>
              <w:fldChar w:fldCharType="end"/>
            </w:r>
          </w:hyperlink>
        </w:p>
        <w:p w14:paraId="05B5F1AE" w14:textId="2E06B7B9"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95" w:history="1">
            <w:r w:rsidRPr="006A1EC7">
              <w:rPr>
                <w:rStyle w:val="Hyperlink"/>
                <w:rFonts w:ascii="Times New Roman" w:hAnsi="Times New Roman"/>
                <w:noProof/>
              </w:rPr>
              <w:t>Conclusion for Theme 1</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_Toc40172995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101</w:t>
            </w:r>
            <w:r w:rsidRPr="006A1EC7">
              <w:rPr>
                <w:rFonts w:ascii="Times New Roman" w:hAnsi="Times New Roman"/>
                <w:noProof/>
                <w:webHidden/>
              </w:rPr>
              <w:fldChar w:fldCharType="end"/>
            </w:r>
          </w:hyperlink>
        </w:p>
        <w:p w14:paraId="30054933" w14:textId="381C4084"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96" w:history="1">
            <w:r w:rsidRPr="006A1EC7">
              <w:rPr>
                <w:rStyle w:val="Hyperlink"/>
                <w:rFonts w:ascii="Times New Roman" w:hAnsi="Times New Roman"/>
                <w:noProof/>
              </w:rPr>
              <w:t>Implications for the COA</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_Toc40172996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101</w:t>
            </w:r>
            <w:r w:rsidRPr="006A1EC7">
              <w:rPr>
                <w:rFonts w:ascii="Times New Roman" w:hAnsi="Times New Roman"/>
                <w:noProof/>
                <w:webHidden/>
              </w:rPr>
              <w:fldChar w:fldCharType="end"/>
            </w:r>
          </w:hyperlink>
        </w:p>
        <w:p w14:paraId="55D5EAB7" w14:textId="584C2D92"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2997" w:history="1">
            <w:r w:rsidRPr="006A1EC7">
              <w:rPr>
                <w:rStyle w:val="Hyperlink"/>
                <w:rFonts w:ascii="Times New Roman" w:hAnsi="Times New Roman"/>
                <w:noProof/>
              </w:rPr>
              <w:t>Chapter 5: The psychosocial impact of living with and caring for adults and children with WHS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_Toc40172997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103</w:t>
            </w:r>
            <w:r w:rsidRPr="006A1EC7">
              <w:rPr>
                <w:rFonts w:ascii="Times New Roman" w:hAnsi="Times New Roman"/>
                <w:noProof/>
                <w:webHidden/>
              </w:rPr>
              <w:fldChar w:fldCharType="end"/>
            </w:r>
          </w:hyperlink>
        </w:p>
        <w:p w14:paraId="0A9A495F" w14:textId="4B8C1422"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98" w:history="1">
            <w:r w:rsidRPr="006A1EC7">
              <w:rPr>
                <w:rStyle w:val="Hyperlink"/>
                <w:rFonts w:ascii="Times New Roman" w:hAnsi="Times New Roman"/>
                <w:noProof/>
              </w:rPr>
              <w:t>Theme 2: Experiences with the NHS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_Toc40172998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105</w:t>
            </w:r>
            <w:r w:rsidRPr="006A1EC7">
              <w:rPr>
                <w:rFonts w:ascii="Times New Roman" w:hAnsi="Times New Roman"/>
                <w:noProof/>
                <w:webHidden/>
              </w:rPr>
              <w:fldChar w:fldCharType="end"/>
            </w:r>
          </w:hyperlink>
        </w:p>
        <w:p w14:paraId="5BFD81A6" w14:textId="1802228F"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2999" w:history="1">
            <w:r w:rsidRPr="006A1EC7">
              <w:rPr>
                <w:rStyle w:val="Hyperlink"/>
                <w:rFonts w:ascii="Times New Roman" w:hAnsi="Times New Roman"/>
                <w:noProof/>
              </w:rPr>
              <w:t>Theme 3: Family adaptation</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_Toc40172999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112</w:t>
            </w:r>
            <w:r w:rsidRPr="006A1EC7">
              <w:rPr>
                <w:rFonts w:ascii="Times New Roman" w:hAnsi="Times New Roman"/>
                <w:noProof/>
                <w:webHidden/>
              </w:rPr>
              <w:fldChar w:fldCharType="end"/>
            </w:r>
          </w:hyperlink>
        </w:p>
        <w:p w14:paraId="2763A9BA" w14:textId="0206B11D"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00" w:history="1">
            <w:r w:rsidRPr="006A1EC7">
              <w:rPr>
                <w:rStyle w:val="Hyperlink"/>
                <w:rFonts w:ascii="Times New Roman" w:hAnsi="Times New Roman"/>
                <w:noProof/>
              </w:rPr>
              <w:t>Theme 4: Quality of life</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_Toc40173000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118</w:t>
            </w:r>
            <w:r w:rsidRPr="006A1EC7">
              <w:rPr>
                <w:rFonts w:ascii="Times New Roman" w:hAnsi="Times New Roman"/>
                <w:noProof/>
                <w:webHidden/>
              </w:rPr>
              <w:fldChar w:fldCharType="end"/>
            </w:r>
          </w:hyperlink>
        </w:p>
        <w:p w14:paraId="3573180B" w14:textId="3813FAF9"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01" w:history="1">
            <w:r w:rsidRPr="006A1EC7">
              <w:rPr>
                <w:rStyle w:val="Hyperlink"/>
                <w:rFonts w:ascii="Times New Roman" w:hAnsi="Times New Roman"/>
                <w:noProof/>
              </w:rPr>
              <w:t>Theme 5: Support experience</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_Toc40173001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129</w:t>
            </w:r>
            <w:r w:rsidRPr="006A1EC7">
              <w:rPr>
                <w:rFonts w:ascii="Times New Roman" w:hAnsi="Times New Roman"/>
                <w:noProof/>
                <w:webHidden/>
              </w:rPr>
              <w:fldChar w:fldCharType="end"/>
            </w:r>
          </w:hyperlink>
        </w:p>
        <w:p w14:paraId="1B6E1ED0" w14:textId="654482F7"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02" w:history="1">
            <w:r w:rsidRPr="006A1EC7">
              <w:rPr>
                <w:rStyle w:val="Hyperlink"/>
                <w:rFonts w:ascii="Times New Roman" w:hAnsi="Times New Roman"/>
                <w:noProof/>
              </w:rPr>
              <w:t>Discussion Themes 1 - 5</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_Toc40173002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133</w:t>
            </w:r>
            <w:r w:rsidRPr="006A1EC7">
              <w:rPr>
                <w:rFonts w:ascii="Times New Roman" w:hAnsi="Times New Roman"/>
                <w:noProof/>
                <w:webHidden/>
              </w:rPr>
              <w:fldChar w:fldCharType="end"/>
            </w:r>
          </w:hyperlink>
        </w:p>
        <w:p w14:paraId="6AA0C99B" w14:textId="19A82204"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3003" w:history="1">
            <w:r w:rsidRPr="006A1EC7">
              <w:rPr>
                <w:rStyle w:val="Hyperlink"/>
                <w:rFonts w:ascii="Times New Roman" w:hAnsi="Times New Roman"/>
                <w:noProof/>
              </w:rPr>
              <w:t>Chapter 6: Development of a Clinician-Rated Clinical Outcome Assessment (Validity &amp; QI-10 Study)</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_Toc40173003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146</w:t>
            </w:r>
            <w:r w:rsidRPr="006A1EC7">
              <w:rPr>
                <w:rFonts w:ascii="Times New Roman" w:hAnsi="Times New Roman"/>
                <w:noProof/>
                <w:webHidden/>
              </w:rPr>
              <w:fldChar w:fldCharType="end"/>
            </w:r>
          </w:hyperlink>
        </w:p>
        <w:p w14:paraId="35633A6B" w14:textId="05E0C453"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04" w:history="1">
            <w:r w:rsidRPr="006A1EC7">
              <w:rPr>
                <w:rStyle w:val="Hyperlink"/>
                <w:rFonts w:ascii="Times New Roman" w:hAnsi="Times New Roman"/>
                <w:noProof/>
              </w:rPr>
              <w:t>Part 1: Development of the first draft of the Clinical Outcome Assessment</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_Toc40173004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146</w:t>
            </w:r>
            <w:r w:rsidRPr="006A1EC7">
              <w:rPr>
                <w:rFonts w:ascii="Times New Roman" w:hAnsi="Times New Roman"/>
                <w:noProof/>
                <w:webHidden/>
              </w:rPr>
              <w:fldChar w:fldCharType="end"/>
            </w:r>
          </w:hyperlink>
        </w:p>
        <w:p w14:paraId="3AC4DF0E" w14:textId="016C9108"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05" w:history="1">
            <w:r w:rsidRPr="006A1EC7">
              <w:rPr>
                <w:rStyle w:val="Hyperlink"/>
                <w:rFonts w:ascii="Times New Roman" w:hAnsi="Times New Roman"/>
                <w:noProof/>
              </w:rPr>
              <w:t>Part 2: Expert study, using the QI-10, to assess the face and content validity of the COA</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_Toc40173005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154</w:t>
            </w:r>
            <w:r w:rsidRPr="006A1EC7">
              <w:rPr>
                <w:rFonts w:ascii="Times New Roman" w:hAnsi="Times New Roman"/>
                <w:noProof/>
                <w:webHidden/>
              </w:rPr>
              <w:fldChar w:fldCharType="end"/>
            </w:r>
          </w:hyperlink>
        </w:p>
        <w:p w14:paraId="2DAE012A" w14:textId="6CC16DBC"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06" w:history="1">
            <w:r w:rsidRPr="006A1EC7">
              <w:rPr>
                <w:rStyle w:val="Hyperlink"/>
                <w:rFonts w:ascii="Times New Roman" w:hAnsi="Times New Roman"/>
                <w:noProof/>
              </w:rPr>
              <w:t>Methodology</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_Toc40173006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159</w:t>
            </w:r>
            <w:r w:rsidRPr="006A1EC7">
              <w:rPr>
                <w:rFonts w:ascii="Times New Roman" w:hAnsi="Times New Roman"/>
                <w:noProof/>
                <w:webHidden/>
              </w:rPr>
              <w:fldChar w:fldCharType="end"/>
            </w:r>
          </w:hyperlink>
        </w:p>
        <w:p w14:paraId="076F8360" w14:textId="37A4CCD7"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07" w:history="1">
            <w:r w:rsidRPr="006A1EC7">
              <w:rPr>
                <w:rStyle w:val="Hyperlink"/>
                <w:rFonts w:ascii="Times New Roman" w:hAnsi="Times New Roman"/>
                <w:noProof/>
              </w:rPr>
              <w:t>Results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_Toc40173007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161</w:t>
            </w:r>
            <w:r w:rsidRPr="006A1EC7">
              <w:rPr>
                <w:rFonts w:ascii="Times New Roman" w:hAnsi="Times New Roman"/>
                <w:noProof/>
                <w:webHidden/>
              </w:rPr>
              <w:fldChar w:fldCharType="end"/>
            </w:r>
          </w:hyperlink>
        </w:p>
        <w:p w14:paraId="5C0FA88E" w14:textId="1CA7BC5E"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08" w:history="1">
            <w:r w:rsidRPr="006A1EC7">
              <w:rPr>
                <w:rStyle w:val="Hyperlink"/>
                <w:rFonts w:ascii="Times New Roman" w:hAnsi="Times New Roman"/>
                <w:noProof/>
              </w:rPr>
              <w:t>Discussion</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_Toc40173008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168</w:t>
            </w:r>
            <w:r w:rsidRPr="006A1EC7">
              <w:rPr>
                <w:rFonts w:ascii="Times New Roman" w:hAnsi="Times New Roman"/>
                <w:noProof/>
                <w:webHidden/>
              </w:rPr>
              <w:fldChar w:fldCharType="end"/>
            </w:r>
          </w:hyperlink>
        </w:p>
        <w:p w14:paraId="5FC22FA4" w14:textId="7F7F3765"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3009" w:history="1">
            <w:r w:rsidRPr="006A1EC7">
              <w:rPr>
                <w:rStyle w:val="Hyperlink"/>
                <w:rFonts w:ascii="Times New Roman" w:hAnsi="Times New Roman"/>
                <w:noProof/>
              </w:rPr>
              <w:t>Chapter 7: Assessment of Measurement Properties of the Clinical Outcome Assessment (Reliability, Validity)</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_Toc40173009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173</w:t>
            </w:r>
            <w:r w:rsidRPr="006A1EC7">
              <w:rPr>
                <w:rFonts w:ascii="Times New Roman" w:hAnsi="Times New Roman"/>
                <w:noProof/>
                <w:webHidden/>
              </w:rPr>
              <w:fldChar w:fldCharType="end"/>
            </w:r>
          </w:hyperlink>
        </w:p>
        <w:p w14:paraId="37AAA189" w14:textId="09813447"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10" w:history="1">
            <w:r w:rsidRPr="006A1EC7">
              <w:rPr>
                <w:rStyle w:val="Hyperlink"/>
                <w:rFonts w:ascii="Times New Roman" w:hAnsi="Times New Roman"/>
                <w:noProof/>
              </w:rPr>
              <w:t>Introduction</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_Toc40173010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173</w:t>
            </w:r>
            <w:r w:rsidRPr="006A1EC7">
              <w:rPr>
                <w:rFonts w:ascii="Times New Roman" w:hAnsi="Times New Roman"/>
                <w:noProof/>
                <w:webHidden/>
              </w:rPr>
              <w:fldChar w:fldCharType="end"/>
            </w:r>
          </w:hyperlink>
        </w:p>
        <w:p w14:paraId="2803E162" w14:textId="52DF1F0A"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11" w:history="1">
            <w:r w:rsidRPr="006A1EC7">
              <w:rPr>
                <w:rStyle w:val="Hyperlink"/>
                <w:rFonts w:ascii="Times New Roman" w:hAnsi="Times New Roman"/>
                <w:noProof/>
              </w:rPr>
              <w:t>Reliability</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_Toc40173011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174</w:t>
            </w:r>
            <w:r w:rsidRPr="006A1EC7">
              <w:rPr>
                <w:rFonts w:ascii="Times New Roman" w:hAnsi="Times New Roman"/>
                <w:noProof/>
                <w:webHidden/>
              </w:rPr>
              <w:fldChar w:fldCharType="end"/>
            </w:r>
          </w:hyperlink>
        </w:p>
        <w:p w14:paraId="37EA338F" w14:textId="37280D80"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12" w:history="1">
            <w:r w:rsidRPr="006A1EC7">
              <w:rPr>
                <w:rStyle w:val="Hyperlink"/>
                <w:rFonts w:ascii="Times New Roman" w:hAnsi="Times New Roman"/>
                <w:noProof/>
              </w:rPr>
              <w:t>Objective</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_Toc40173012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183</w:t>
            </w:r>
            <w:r w:rsidRPr="006A1EC7">
              <w:rPr>
                <w:rFonts w:ascii="Times New Roman" w:hAnsi="Times New Roman"/>
                <w:noProof/>
                <w:webHidden/>
              </w:rPr>
              <w:fldChar w:fldCharType="end"/>
            </w:r>
          </w:hyperlink>
        </w:p>
        <w:p w14:paraId="2EC8CF50" w14:textId="6F965797"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13" w:history="1">
            <w:r w:rsidRPr="006A1EC7">
              <w:rPr>
                <w:rStyle w:val="Hyperlink"/>
                <w:rFonts w:ascii="Times New Roman" w:hAnsi="Times New Roman"/>
                <w:noProof/>
              </w:rPr>
              <w:t>Rationale</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_Toc40173013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183</w:t>
            </w:r>
            <w:r w:rsidRPr="006A1EC7">
              <w:rPr>
                <w:rFonts w:ascii="Times New Roman" w:hAnsi="Times New Roman"/>
                <w:noProof/>
                <w:webHidden/>
              </w:rPr>
              <w:fldChar w:fldCharType="end"/>
            </w:r>
          </w:hyperlink>
        </w:p>
        <w:p w14:paraId="68C60C26" w14:textId="4E94520F"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14" w:history="1">
            <w:r w:rsidRPr="006A1EC7">
              <w:rPr>
                <w:rStyle w:val="Hyperlink"/>
                <w:rFonts w:ascii="Times New Roman" w:hAnsi="Times New Roman"/>
                <w:noProof/>
              </w:rPr>
              <w:t>Methodology</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_Toc40173014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184</w:t>
            </w:r>
            <w:r w:rsidRPr="006A1EC7">
              <w:rPr>
                <w:rFonts w:ascii="Times New Roman" w:hAnsi="Times New Roman"/>
                <w:noProof/>
                <w:webHidden/>
              </w:rPr>
              <w:fldChar w:fldCharType="end"/>
            </w:r>
          </w:hyperlink>
        </w:p>
        <w:p w14:paraId="10CCF0B7" w14:textId="65DBC4D6"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15" w:history="1">
            <w:r w:rsidRPr="006A1EC7">
              <w:rPr>
                <w:rStyle w:val="Hyperlink"/>
                <w:rFonts w:ascii="Times New Roman" w:hAnsi="Times New Roman"/>
                <w:noProof/>
              </w:rPr>
              <w:t>Results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_Toc40173015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189</w:t>
            </w:r>
            <w:r w:rsidRPr="006A1EC7">
              <w:rPr>
                <w:rFonts w:ascii="Times New Roman" w:hAnsi="Times New Roman"/>
                <w:noProof/>
                <w:webHidden/>
              </w:rPr>
              <w:fldChar w:fldCharType="end"/>
            </w:r>
          </w:hyperlink>
        </w:p>
        <w:p w14:paraId="213B46F8" w14:textId="0F06104F"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16" w:history="1">
            <w:r w:rsidRPr="006A1EC7">
              <w:rPr>
                <w:rStyle w:val="Hyperlink"/>
                <w:rFonts w:ascii="Times New Roman" w:hAnsi="Times New Roman"/>
                <w:noProof/>
              </w:rPr>
              <w:t>Participant characteristics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_Toc40173016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189</w:t>
            </w:r>
            <w:r w:rsidRPr="006A1EC7">
              <w:rPr>
                <w:rFonts w:ascii="Times New Roman" w:hAnsi="Times New Roman"/>
                <w:noProof/>
                <w:webHidden/>
              </w:rPr>
              <w:fldChar w:fldCharType="end"/>
            </w:r>
          </w:hyperlink>
        </w:p>
        <w:p w14:paraId="7A1E4B31" w14:textId="293B6EF0"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17" w:history="1">
            <w:r w:rsidRPr="006A1EC7">
              <w:rPr>
                <w:rStyle w:val="Hyperlink"/>
                <w:rFonts w:ascii="Times New Roman" w:hAnsi="Times New Roman"/>
                <w:noProof/>
              </w:rPr>
              <w:t>Qualitative Results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_Toc40173017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213</w:t>
            </w:r>
            <w:r w:rsidRPr="006A1EC7">
              <w:rPr>
                <w:rFonts w:ascii="Times New Roman" w:hAnsi="Times New Roman"/>
                <w:noProof/>
                <w:webHidden/>
              </w:rPr>
              <w:fldChar w:fldCharType="end"/>
            </w:r>
          </w:hyperlink>
        </w:p>
        <w:p w14:paraId="7737925B" w14:textId="393D768A"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18" w:history="1">
            <w:r w:rsidRPr="006A1EC7">
              <w:rPr>
                <w:rStyle w:val="Hyperlink"/>
                <w:rFonts w:ascii="Times New Roman" w:hAnsi="Times New Roman"/>
                <w:noProof/>
              </w:rPr>
              <w:t>Discussion</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_Toc40173018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219</w:t>
            </w:r>
            <w:r w:rsidRPr="006A1EC7">
              <w:rPr>
                <w:rFonts w:ascii="Times New Roman" w:hAnsi="Times New Roman"/>
                <w:noProof/>
                <w:webHidden/>
              </w:rPr>
              <w:fldChar w:fldCharType="end"/>
            </w:r>
          </w:hyperlink>
        </w:p>
        <w:p w14:paraId="29F69B21" w14:textId="3E7EB0EF"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3019" w:history="1">
            <w:r w:rsidRPr="006A1EC7">
              <w:rPr>
                <w:rStyle w:val="Hyperlink"/>
                <w:rFonts w:ascii="Times New Roman" w:hAnsi="Times New Roman"/>
                <w:noProof/>
              </w:rPr>
              <w:t>References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_Toc40173019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230</w:t>
            </w:r>
            <w:r w:rsidRPr="006A1EC7">
              <w:rPr>
                <w:rFonts w:ascii="Times New Roman" w:hAnsi="Times New Roman"/>
                <w:noProof/>
                <w:webHidden/>
              </w:rPr>
              <w:fldChar w:fldCharType="end"/>
            </w:r>
          </w:hyperlink>
        </w:p>
        <w:p w14:paraId="74AA1461" w14:textId="682C6A6A" w:rsidR="006A1EC7" w:rsidRPr="006A1EC7" w:rsidRDefault="006A1EC7">
          <w:pPr>
            <w:pStyle w:val="TOC1"/>
            <w:tabs>
              <w:tab w:val="right" w:leader="dot" w:pos="8488"/>
            </w:tabs>
            <w:rPr>
              <w:rFonts w:ascii="Times New Roman" w:eastAsiaTheme="minorEastAsia" w:hAnsi="Times New Roman"/>
              <w:b w:val="0"/>
              <w:bCs w:val="0"/>
              <w:i w:val="0"/>
              <w:iCs w:val="0"/>
              <w:noProof/>
              <w:lang w:eastAsia="en-GB"/>
            </w:rPr>
          </w:pPr>
          <w:hyperlink w:anchor="_Toc40173020" w:history="1">
            <w:r w:rsidRPr="006A1EC7">
              <w:rPr>
                <w:rStyle w:val="Hyperlink"/>
                <w:rFonts w:ascii="Times New Roman" w:hAnsi="Times New Roman"/>
                <w:noProof/>
              </w:rPr>
              <w:t>Appendices</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_Toc40173020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258</w:t>
            </w:r>
            <w:r w:rsidRPr="006A1EC7">
              <w:rPr>
                <w:rFonts w:ascii="Times New Roman" w:hAnsi="Times New Roman"/>
                <w:noProof/>
                <w:webHidden/>
              </w:rPr>
              <w:fldChar w:fldCharType="end"/>
            </w:r>
          </w:hyperlink>
        </w:p>
        <w:p w14:paraId="3BDCD3CF" w14:textId="06BA7686"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21" w:history="1">
            <w:r w:rsidRPr="006A1EC7">
              <w:rPr>
                <w:rStyle w:val="Hyperlink"/>
                <w:rFonts w:ascii="Times New Roman" w:hAnsi="Times New Roman"/>
                <w:noProof/>
              </w:rPr>
              <w:t>Appendix Chapter 3: Systematic reviews to support the development of a Clinical Outcome Assessment for Wolf-Hirschhorn syndrome</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_Toc40173021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258</w:t>
            </w:r>
            <w:r w:rsidRPr="006A1EC7">
              <w:rPr>
                <w:rFonts w:ascii="Times New Roman" w:hAnsi="Times New Roman"/>
                <w:noProof/>
                <w:webHidden/>
              </w:rPr>
              <w:fldChar w:fldCharType="end"/>
            </w:r>
          </w:hyperlink>
        </w:p>
        <w:p w14:paraId="21B68EBB" w14:textId="3387E4CD"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22" w:history="1">
            <w:r w:rsidRPr="006A1EC7">
              <w:rPr>
                <w:rStyle w:val="Hyperlink"/>
                <w:rFonts w:ascii="Times New Roman" w:hAnsi="Times New Roman"/>
                <w:noProof/>
              </w:rPr>
              <w:t>Appendix Chapter 4: Family perspectives on living with and caring for family members with Wolf-Hirschhorn syndrome: qualitative interview study to inform the development of the Clinical outcome assessment</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_Toc40173022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262</w:t>
            </w:r>
            <w:r w:rsidRPr="006A1EC7">
              <w:rPr>
                <w:rFonts w:ascii="Times New Roman" w:hAnsi="Times New Roman"/>
                <w:noProof/>
                <w:webHidden/>
              </w:rPr>
              <w:fldChar w:fldCharType="end"/>
            </w:r>
          </w:hyperlink>
        </w:p>
        <w:p w14:paraId="738E704D" w14:textId="2EB4AF7B"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23" w:history="1">
            <w:r w:rsidRPr="006A1EC7">
              <w:rPr>
                <w:rStyle w:val="Hyperlink"/>
                <w:rFonts w:ascii="Times New Roman" w:hAnsi="Times New Roman"/>
                <w:noProof/>
              </w:rPr>
              <w:t>Appendix Chapter 5: The psychosocial impact of living with and caring for adults and children with Wolf-Hirschhorn syndrome</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_Toc40173023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272</w:t>
            </w:r>
            <w:r w:rsidRPr="006A1EC7">
              <w:rPr>
                <w:rFonts w:ascii="Times New Roman" w:hAnsi="Times New Roman"/>
                <w:noProof/>
                <w:webHidden/>
              </w:rPr>
              <w:fldChar w:fldCharType="end"/>
            </w:r>
          </w:hyperlink>
        </w:p>
        <w:p w14:paraId="3A77280B" w14:textId="09D25431"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24" w:history="1">
            <w:r w:rsidRPr="006A1EC7">
              <w:rPr>
                <w:rStyle w:val="Hyperlink"/>
                <w:rFonts w:ascii="Times New Roman" w:hAnsi="Times New Roman"/>
                <w:noProof/>
              </w:rPr>
              <w:t>Appendix Chapter 6: Development of a Clinician-Rated Clinical Outcome Assessment (Validity &amp; QI-10 Study)</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_Toc40173024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277</w:t>
            </w:r>
            <w:r w:rsidRPr="006A1EC7">
              <w:rPr>
                <w:rFonts w:ascii="Times New Roman" w:hAnsi="Times New Roman"/>
                <w:noProof/>
                <w:webHidden/>
              </w:rPr>
              <w:fldChar w:fldCharType="end"/>
            </w:r>
          </w:hyperlink>
        </w:p>
        <w:p w14:paraId="08480165" w14:textId="0110F6BB" w:rsidR="006A1EC7" w:rsidRPr="006A1EC7" w:rsidRDefault="006A1EC7">
          <w:pPr>
            <w:pStyle w:val="TOC2"/>
            <w:tabs>
              <w:tab w:val="right" w:leader="dot" w:pos="8488"/>
            </w:tabs>
            <w:rPr>
              <w:rFonts w:ascii="Times New Roman" w:eastAsiaTheme="minorEastAsia" w:hAnsi="Times New Roman"/>
              <w:b w:val="0"/>
              <w:bCs w:val="0"/>
              <w:noProof/>
              <w:sz w:val="24"/>
              <w:szCs w:val="24"/>
              <w:lang w:eastAsia="en-GB"/>
            </w:rPr>
          </w:pPr>
          <w:hyperlink w:anchor="_Toc40173025" w:history="1">
            <w:r w:rsidRPr="006A1EC7">
              <w:rPr>
                <w:rStyle w:val="Hyperlink"/>
                <w:rFonts w:ascii="Times New Roman" w:hAnsi="Times New Roman"/>
                <w:noProof/>
              </w:rPr>
              <w:t>Appendix Chapter 7: Assessment of Measurement Properties of the Clinical Outcome Assessment (Reliability, Validity)</w:t>
            </w:r>
            <w:r w:rsidRPr="006A1EC7">
              <w:rPr>
                <w:rFonts w:ascii="Times New Roman" w:hAnsi="Times New Roman"/>
                <w:noProof/>
                <w:webHidden/>
              </w:rPr>
              <w:tab/>
            </w:r>
            <w:r w:rsidRPr="006A1EC7">
              <w:rPr>
                <w:rFonts w:ascii="Times New Roman" w:hAnsi="Times New Roman"/>
                <w:noProof/>
                <w:webHidden/>
              </w:rPr>
              <w:fldChar w:fldCharType="begin"/>
            </w:r>
            <w:r w:rsidRPr="006A1EC7">
              <w:rPr>
                <w:rFonts w:ascii="Times New Roman" w:hAnsi="Times New Roman"/>
                <w:noProof/>
                <w:webHidden/>
              </w:rPr>
              <w:instrText xml:space="preserve"> PAGEREF _Toc40173025 \h </w:instrText>
            </w:r>
            <w:r w:rsidRPr="006A1EC7">
              <w:rPr>
                <w:rFonts w:ascii="Times New Roman" w:hAnsi="Times New Roman"/>
                <w:noProof/>
                <w:webHidden/>
              </w:rPr>
            </w:r>
            <w:r w:rsidRPr="006A1EC7">
              <w:rPr>
                <w:rFonts w:ascii="Times New Roman" w:hAnsi="Times New Roman"/>
                <w:noProof/>
                <w:webHidden/>
              </w:rPr>
              <w:fldChar w:fldCharType="separate"/>
            </w:r>
            <w:r w:rsidRPr="006A1EC7">
              <w:rPr>
                <w:rFonts w:ascii="Times New Roman" w:hAnsi="Times New Roman"/>
                <w:noProof/>
                <w:webHidden/>
              </w:rPr>
              <w:t>320</w:t>
            </w:r>
            <w:r w:rsidRPr="006A1EC7">
              <w:rPr>
                <w:rFonts w:ascii="Times New Roman" w:hAnsi="Times New Roman"/>
                <w:noProof/>
                <w:webHidden/>
              </w:rPr>
              <w:fldChar w:fldCharType="end"/>
            </w:r>
          </w:hyperlink>
        </w:p>
        <w:p w14:paraId="15D87285" w14:textId="4D6A3989" w:rsidR="00780B57" w:rsidRPr="006A1EC7" w:rsidRDefault="0026747E" w:rsidP="00497347">
          <w:r w:rsidRPr="006A1EC7">
            <w:rPr>
              <w:i/>
              <w:iCs/>
            </w:rPr>
            <w:fldChar w:fldCharType="end"/>
          </w:r>
        </w:p>
      </w:sdtContent>
    </w:sdt>
    <w:p w14:paraId="711E5AE6" w14:textId="2BAE0BA5" w:rsidR="00BE7390" w:rsidRPr="006A1EC7" w:rsidRDefault="00BE7390" w:rsidP="00780B57">
      <w:pPr>
        <w:spacing w:line="276" w:lineRule="auto"/>
        <w:rPr>
          <w:sz w:val="20"/>
          <w:szCs w:val="20"/>
        </w:rPr>
      </w:pPr>
      <w:r w:rsidRPr="006A1EC7">
        <w:rPr>
          <w:sz w:val="20"/>
          <w:szCs w:val="20"/>
        </w:rPr>
        <w:br w:type="page"/>
      </w:r>
    </w:p>
    <w:p w14:paraId="4F017CAD" w14:textId="7FCB567C" w:rsidR="00780B57" w:rsidRPr="006A1EC7" w:rsidRDefault="00780B57" w:rsidP="00780B57">
      <w:pPr>
        <w:pStyle w:val="Heading1"/>
        <w:rPr>
          <w:rFonts w:ascii="Times New Roman" w:hAnsi="Times New Roman" w:cs="Times New Roman"/>
        </w:rPr>
      </w:pPr>
      <w:bookmarkStart w:id="11" w:name="_Toc40172972"/>
      <w:r w:rsidRPr="006A1EC7">
        <w:rPr>
          <w:rFonts w:ascii="Times New Roman" w:hAnsi="Times New Roman" w:cs="Times New Roman"/>
        </w:rPr>
        <w:lastRenderedPageBreak/>
        <w:t>List of Tables</w:t>
      </w:r>
      <w:bookmarkEnd w:id="11"/>
    </w:p>
    <w:p w14:paraId="5087F61F" w14:textId="77777777" w:rsidR="00780B57" w:rsidRPr="006A1EC7" w:rsidRDefault="00780B57" w:rsidP="00780B57">
      <w:pPr>
        <w:spacing w:line="276" w:lineRule="auto"/>
        <w:rPr>
          <w:sz w:val="20"/>
          <w:szCs w:val="20"/>
        </w:rPr>
      </w:pPr>
    </w:p>
    <w:p w14:paraId="43034D47" w14:textId="6C6B4688" w:rsidR="006A1EC7" w:rsidRPr="006A1EC7" w:rsidRDefault="00780B57">
      <w:pPr>
        <w:pStyle w:val="TableofFigures"/>
        <w:tabs>
          <w:tab w:val="right" w:leader="dot" w:pos="8488"/>
        </w:tabs>
        <w:rPr>
          <w:rFonts w:eastAsiaTheme="minorEastAsia"/>
          <w:noProof/>
          <w:lang w:eastAsia="en-GB"/>
        </w:rPr>
      </w:pPr>
      <w:r w:rsidRPr="006A1EC7">
        <w:rPr>
          <w:rFonts w:eastAsia="Arial"/>
        </w:rPr>
        <w:fldChar w:fldCharType="begin"/>
      </w:r>
      <w:r w:rsidRPr="006A1EC7">
        <w:rPr>
          <w:rFonts w:eastAsia="Arial"/>
        </w:rPr>
        <w:instrText xml:space="preserve"> TOC \h \z \c "Table" </w:instrText>
      </w:r>
      <w:r w:rsidRPr="006A1EC7">
        <w:rPr>
          <w:rFonts w:eastAsia="Arial"/>
        </w:rPr>
        <w:fldChar w:fldCharType="separate"/>
      </w:r>
      <w:hyperlink w:anchor="_Toc40173026" w:history="1">
        <w:r w:rsidR="006A1EC7" w:rsidRPr="006A1EC7">
          <w:rPr>
            <w:rStyle w:val="Hyperlink"/>
            <w:rFonts w:eastAsiaTheme="majorEastAsia"/>
            <w:noProof/>
          </w:rPr>
          <w:t>Table 1: Overview of different types of Clinical Outcome Assessments</w:t>
        </w:r>
        <w:r w:rsidR="006A1EC7" w:rsidRPr="006A1EC7">
          <w:rPr>
            <w:noProof/>
            <w:webHidden/>
          </w:rPr>
          <w:tab/>
        </w:r>
        <w:r w:rsidR="006A1EC7" w:rsidRPr="006A1EC7">
          <w:rPr>
            <w:noProof/>
            <w:webHidden/>
          </w:rPr>
          <w:fldChar w:fldCharType="begin"/>
        </w:r>
        <w:r w:rsidR="006A1EC7" w:rsidRPr="006A1EC7">
          <w:rPr>
            <w:noProof/>
            <w:webHidden/>
          </w:rPr>
          <w:instrText xml:space="preserve"> PAGEREF _Toc40173026 \h </w:instrText>
        </w:r>
        <w:r w:rsidR="006A1EC7" w:rsidRPr="006A1EC7">
          <w:rPr>
            <w:noProof/>
            <w:webHidden/>
          </w:rPr>
        </w:r>
        <w:r w:rsidR="006A1EC7" w:rsidRPr="006A1EC7">
          <w:rPr>
            <w:noProof/>
            <w:webHidden/>
          </w:rPr>
          <w:fldChar w:fldCharType="separate"/>
        </w:r>
        <w:r w:rsidR="006A1EC7" w:rsidRPr="006A1EC7">
          <w:rPr>
            <w:noProof/>
            <w:webHidden/>
          </w:rPr>
          <w:t>23</w:t>
        </w:r>
        <w:r w:rsidR="006A1EC7" w:rsidRPr="006A1EC7">
          <w:rPr>
            <w:noProof/>
            <w:webHidden/>
          </w:rPr>
          <w:fldChar w:fldCharType="end"/>
        </w:r>
      </w:hyperlink>
    </w:p>
    <w:p w14:paraId="70B87714" w14:textId="37931A18" w:rsidR="006A1EC7" w:rsidRPr="006A1EC7" w:rsidRDefault="006A1EC7">
      <w:pPr>
        <w:pStyle w:val="TableofFigures"/>
        <w:tabs>
          <w:tab w:val="right" w:leader="dot" w:pos="8488"/>
        </w:tabs>
        <w:rPr>
          <w:rFonts w:eastAsiaTheme="minorEastAsia"/>
          <w:noProof/>
          <w:lang w:eastAsia="en-GB"/>
        </w:rPr>
      </w:pPr>
      <w:hyperlink w:anchor="_Toc40173027" w:history="1">
        <w:r w:rsidRPr="006A1EC7">
          <w:rPr>
            <w:rStyle w:val="Hyperlink"/>
            <w:rFonts w:eastAsiaTheme="majorEastAsia"/>
            <w:noProof/>
          </w:rPr>
          <w:t>Table 2: Further distinctions for Clinical Outcome Assessments</w:t>
        </w:r>
        <w:r w:rsidRPr="006A1EC7">
          <w:rPr>
            <w:noProof/>
            <w:webHidden/>
          </w:rPr>
          <w:tab/>
        </w:r>
        <w:r w:rsidRPr="006A1EC7">
          <w:rPr>
            <w:noProof/>
            <w:webHidden/>
          </w:rPr>
          <w:fldChar w:fldCharType="begin"/>
        </w:r>
        <w:r w:rsidRPr="006A1EC7">
          <w:rPr>
            <w:noProof/>
            <w:webHidden/>
          </w:rPr>
          <w:instrText xml:space="preserve"> PAGEREF _Toc40173027 \h </w:instrText>
        </w:r>
        <w:r w:rsidRPr="006A1EC7">
          <w:rPr>
            <w:noProof/>
            <w:webHidden/>
          </w:rPr>
        </w:r>
        <w:r w:rsidRPr="006A1EC7">
          <w:rPr>
            <w:noProof/>
            <w:webHidden/>
          </w:rPr>
          <w:fldChar w:fldCharType="separate"/>
        </w:r>
        <w:r w:rsidRPr="006A1EC7">
          <w:rPr>
            <w:noProof/>
            <w:webHidden/>
          </w:rPr>
          <w:t>24</w:t>
        </w:r>
        <w:r w:rsidRPr="006A1EC7">
          <w:rPr>
            <w:noProof/>
            <w:webHidden/>
          </w:rPr>
          <w:fldChar w:fldCharType="end"/>
        </w:r>
      </w:hyperlink>
    </w:p>
    <w:p w14:paraId="6FBD35BF" w14:textId="5FDD0AFD" w:rsidR="006A1EC7" w:rsidRPr="006A1EC7" w:rsidRDefault="006A1EC7">
      <w:pPr>
        <w:pStyle w:val="TableofFigures"/>
        <w:tabs>
          <w:tab w:val="right" w:leader="dot" w:pos="8488"/>
        </w:tabs>
        <w:rPr>
          <w:rFonts w:eastAsiaTheme="minorEastAsia"/>
          <w:noProof/>
          <w:lang w:eastAsia="en-GB"/>
        </w:rPr>
      </w:pPr>
      <w:hyperlink w:anchor="_Toc40173028" w:history="1">
        <w:r w:rsidRPr="006A1EC7">
          <w:rPr>
            <w:rStyle w:val="Hyperlink"/>
            <w:rFonts w:eastAsiaTheme="majorEastAsia"/>
            <w:noProof/>
          </w:rPr>
          <w:t>Table 3: Inclusion and Exclusion Criteria for Systematic Review 1</w:t>
        </w:r>
        <w:r w:rsidRPr="006A1EC7">
          <w:rPr>
            <w:noProof/>
            <w:webHidden/>
          </w:rPr>
          <w:tab/>
        </w:r>
        <w:r w:rsidRPr="006A1EC7">
          <w:rPr>
            <w:noProof/>
            <w:webHidden/>
          </w:rPr>
          <w:fldChar w:fldCharType="begin"/>
        </w:r>
        <w:r w:rsidRPr="006A1EC7">
          <w:rPr>
            <w:noProof/>
            <w:webHidden/>
          </w:rPr>
          <w:instrText xml:space="preserve"> PAGEREF _Toc40173028 \h </w:instrText>
        </w:r>
        <w:r w:rsidRPr="006A1EC7">
          <w:rPr>
            <w:noProof/>
            <w:webHidden/>
          </w:rPr>
        </w:r>
        <w:r w:rsidRPr="006A1EC7">
          <w:rPr>
            <w:noProof/>
            <w:webHidden/>
          </w:rPr>
          <w:fldChar w:fldCharType="separate"/>
        </w:r>
        <w:r w:rsidRPr="006A1EC7">
          <w:rPr>
            <w:noProof/>
            <w:webHidden/>
          </w:rPr>
          <w:t>42</w:t>
        </w:r>
        <w:r w:rsidRPr="006A1EC7">
          <w:rPr>
            <w:noProof/>
            <w:webHidden/>
          </w:rPr>
          <w:fldChar w:fldCharType="end"/>
        </w:r>
      </w:hyperlink>
    </w:p>
    <w:p w14:paraId="48C3C76A" w14:textId="77CABE67" w:rsidR="006A1EC7" w:rsidRPr="006A1EC7" w:rsidRDefault="006A1EC7">
      <w:pPr>
        <w:pStyle w:val="TableofFigures"/>
        <w:tabs>
          <w:tab w:val="right" w:leader="dot" w:pos="8488"/>
        </w:tabs>
        <w:rPr>
          <w:rFonts w:eastAsiaTheme="minorEastAsia"/>
          <w:noProof/>
          <w:lang w:eastAsia="en-GB"/>
        </w:rPr>
      </w:pPr>
      <w:hyperlink w:anchor="_Toc40173029" w:history="1">
        <w:r w:rsidRPr="006A1EC7">
          <w:rPr>
            <w:rStyle w:val="Hyperlink"/>
            <w:rFonts w:eastAsiaTheme="majorEastAsia"/>
            <w:noProof/>
          </w:rPr>
          <w:t>Table 4: Overview of studies excluded in the last step of the systematic review</w:t>
        </w:r>
        <w:r w:rsidRPr="006A1EC7">
          <w:rPr>
            <w:noProof/>
            <w:webHidden/>
          </w:rPr>
          <w:tab/>
        </w:r>
        <w:r w:rsidRPr="006A1EC7">
          <w:rPr>
            <w:noProof/>
            <w:webHidden/>
          </w:rPr>
          <w:fldChar w:fldCharType="begin"/>
        </w:r>
        <w:r w:rsidRPr="006A1EC7">
          <w:rPr>
            <w:noProof/>
            <w:webHidden/>
          </w:rPr>
          <w:instrText xml:space="preserve"> PAGEREF _Toc40173029 \h </w:instrText>
        </w:r>
        <w:r w:rsidRPr="006A1EC7">
          <w:rPr>
            <w:noProof/>
            <w:webHidden/>
          </w:rPr>
        </w:r>
        <w:r w:rsidRPr="006A1EC7">
          <w:rPr>
            <w:noProof/>
            <w:webHidden/>
          </w:rPr>
          <w:fldChar w:fldCharType="separate"/>
        </w:r>
        <w:r w:rsidRPr="006A1EC7">
          <w:rPr>
            <w:noProof/>
            <w:webHidden/>
          </w:rPr>
          <w:t>43</w:t>
        </w:r>
        <w:r w:rsidRPr="006A1EC7">
          <w:rPr>
            <w:noProof/>
            <w:webHidden/>
          </w:rPr>
          <w:fldChar w:fldCharType="end"/>
        </w:r>
      </w:hyperlink>
    </w:p>
    <w:p w14:paraId="19C5FE0F" w14:textId="27B3FBB2" w:rsidR="006A1EC7" w:rsidRPr="006A1EC7" w:rsidRDefault="006A1EC7">
      <w:pPr>
        <w:pStyle w:val="TableofFigures"/>
        <w:tabs>
          <w:tab w:val="right" w:leader="dot" w:pos="8488"/>
        </w:tabs>
        <w:rPr>
          <w:rFonts w:eastAsiaTheme="minorEastAsia"/>
          <w:noProof/>
          <w:lang w:eastAsia="en-GB"/>
        </w:rPr>
      </w:pPr>
      <w:hyperlink w:anchor="_Toc40173030" w:history="1">
        <w:r w:rsidRPr="006A1EC7">
          <w:rPr>
            <w:rStyle w:val="Hyperlink"/>
            <w:rFonts w:eastAsiaTheme="majorEastAsia"/>
            <w:noProof/>
          </w:rPr>
          <w:t>Table 5: Overview of non-validated scales used to study WHS</w:t>
        </w:r>
        <w:r w:rsidRPr="006A1EC7">
          <w:rPr>
            <w:noProof/>
            <w:webHidden/>
          </w:rPr>
          <w:tab/>
        </w:r>
        <w:r w:rsidRPr="006A1EC7">
          <w:rPr>
            <w:noProof/>
            <w:webHidden/>
          </w:rPr>
          <w:fldChar w:fldCharType="begin"/>
        </w:r>
        <w:r w:rsidRPr="006A1EC7">
          <w:rPr>
            <w:noProof/>
            <w:webHidden/>
          </w:rPr>
          <w:instrText xml:space="preserve"> PAGEREF _Toc40173030 \h </w:instrText>
        </w:r>
        <w:r w:rsidRPr="006A1EC7">
          <w:rPr>
            <w:noProof/>
            <w:webHidden/>
          </w:rPr>
        </w:r>
        <w:r w:rsidRPr="006A1EC7">
          <w:rPr>
            <w:noProof/>
            <w:webHidden/>
          </w:rPr>
          <w:fldChar w:fldCharType="separate"/>
        </w:r>
        <w:r w:rsidRPr="006A1EC7">
          <w:rPr>
            <w:noProof/>
            <w:webHidden/>
          </w:rPr>
          <w:t>44</w:t>
        </w:r>
        <w:r w:rsidRPr="006A1EC7">
          <w:rPr>
            <w:noProof/>
            <w:webHidden/>
          </w:rPr>
          <w:fldChar w:fldCharType="end"/>
        </w:r>
      </w:hyperlink>
    </w:p>
    <w:p w14:paraId="5BB0430A" w14:textId="1D7B9F1D" w:rsidR="006A1EC7" w:rsidRPr="006A1EC7" w:rsidRDefault="006A1EC7">
      <w:pPr>
        <w:pStyle w:val="TableofFigures"/>
        <w:tabs>
          <w:tab w:val="right" w:leader="dot" w:pos="8488"/>
        </w:tabs>
        <w:rPr>
          <w:rFonts w:eastAsiaTheme="minorEastAsia"/>
          <w:noProof/>
          <w:lang w:eastAsia="en-GB"/>
        </w:rPr>
      </w:pPr>
      <w:hyperlink w:anchor="_Toc40173031" w:history="1">
        <w:r w:rsidRPr="006A1EC7">
          <w:rPr>
            <w:rStyle w:val="Hyperlink"/>
            <w:rFonts w:eastAsiaTheme="majorEastAsia"/>
            <w:noProof/>
          </w:rPr>
          <w:t>Table 6: Inclusion and Exclusion Criteria for Systematic Review 2</w:t>
        </w:r>
        <w:r w:rsidRPr="006A1EC7">
          <w:rPr>
            <w:noProof/>
            <w:webHidden/>
          </w:rPr>
          <w:tab/>
        </w:r>
        <w:r w:rsidRPr="006A1EC7">
          <w:rPr>
            <w:noProof/>
            <w:webHidden/>
          </w:rPr>
          <w:fldChar w:fldCharType="begin"/>
        </w:r>
        <w:r w:rsidRPr="006A1EC7">
          <w:rPr>
            <w:noProof/>
            <w:webHidden/>
          </w:rPr>
          <w:instrText xml:space="preserve"> PAGEREF _Toc40173031 \h </w:instrText>
        </w:r>
        <w:r w:rsidRPr="006A1EC7">
          <w:rPr>
            <w:noProof/>
            <w:webHidden/>
          </w:rPr>
        </w:r>
        <w:r w:rsidRPr="006A1EC7">
          <w:rPr>
            <w:noProof/>
            <w:webHidden/>
          </w:rPr>
          <w:fldChar w:fldCharType="separate"/>
        </w:r>
        <w:r w:rsidRPr="006A1EC7">
          <w:rPr>
            <w:noProof/>
            <w:webHidden/>
          </w:rPr>
          <w:t>48</w:t>
        </w:r>
        <w:r w:rsidRPr="006A1EC7">
          <w:rPr>
            <w:noProof/>
            <w:webHidden/>
          </w:rPr>
          <w:fldChar w:fldCharType="end"/>
        </w:r>
      </w:hyperlink>
    </w:p>
    <w:p w14:paraId="1408BC50" w14:textId="0CACF353" w:rsidR="006A1EC7" w:rsidRPr="006A1EC7" w:rsidRDefault="006A1EC7">
      <w:pPr>
        <w:pStyle w:val="TableofFigures"/>
        <w:tabs>
          <w:tab w:val="right" w:leader="dot" w:pos="8488"/>
        </w:tabs>
        <w:rPr>
          <w:rFonts w:eastAsiaTheme="minorEastAsia"/>
          <w:noProof/>
          <w:lang w:eastAsia="en-GB"/>
        </w:rPr>
      </w:pPr>
      <w:hyperlink w:anchor="_Toc40173032" w:history="1">
        <w:r w:rsidRPr="006A1EC7">
          <w:rPr>
            <w:rStyle w:val="Hyperlink"/>
            <w:rFonts w:eastAsiaTheme="majorEastAsia"/>
            <w:noProof/>
          </w:rPr>
          <w:t>Table 7: Participant Overview for Qualitative Study</w:t>
        </w:r>
        <w:r w:rsidRPr="006A1EC7">
          <w:rPr>
            <w:noProof/>
            <w:webHidden/>
          </w:rPr>
          <w:tab/>
        </w:r>
        <w:r w:rsidRPr="006A1EC7">
          <w:rPr>
            <w:noProof/>
            <w:webHidden/>
          </w:rPr>
          <w:fldChar w:fldCharType="begin"/>
        </w:r>
        <w:r w:rsidRPr="006A1EC7">
          <w:rPr>
            <w:noProof/>
            <w:webHidden/>
          </w:rPr>
          <w:instrText xml:space="preserve"> PAGEREF _Toc40173032 \h </w:instrText>
        </w:r>
        <w:r w:rsidRPr="006A1EC7">
          <w:rPr>
            <w:noProof/>
            <w:webHidden/>
          </w:rPr>
        </w:r>
        <w:r w:rsidRPr="006A1EC7">
          <w:rPr>
            <w:noProof/>
            <w:webHidden/>
          </w:rPr>
          <w:fldChar w:fldCharType="separate"/>
        </w:r>
        <w:r w:rsidRPr="006A1EC7">
          <w:rPr>
            <w:noProof/>
            <w:webHidden/>
          </w:rPr>
          <w:t>61</w:t>
        </w:r>
        <w:r w:rsidRPr="006A1EC7">
          <w:rPr>
            <w:noProof/>
            <w:webHidden/>
          </w:rPr>
          <w:fldChar w:fldCharType="end"/>
        </w:r>
      </w:hyperlink>
    </w:p>
    <w:p w14:paraId="2E2D0F32" w14:textId="7109A4C3" w:rsidR="006A1EC7" w:rsidRPr="006A1EC7" w:rsidRDefault="006A1EC7">
      <w:pPr>
        <w:pStyle w:val="TableofFigures"/>
        <w:tabs>
          <w:tab w:val="right" w:leader="dot" w:pos="8488"/>
        </w:tabs>
        <w:rPr>
          <w:rFonts w:eastAsiaTheme="minorEastAsia"/>
          <w:noProof/>
          <w:lang w:eastAsia="en-GB"/>
        </w:rPr>
      </w:pPr>
      <w:hyperlink w:anchor="_Toc40173033" w:history="1">
        <w:r w:rsidRPr="006A1EC7">
          <w:rPr>
            <w:rStyle w:val="Hyperlink"/>
            <w:rFonts w:eastAsiaTheme="majorEastAsia"/>
            <w:noProof/>
          </w:rPr>
          <w:t>Table 8: Table for Theme 1: Subthemes and data saturation table</w:t>
        </w:r>
        <w:r w:rsidRPr="006A1EC7">
          <w:rPr>
            <w:noProof/>
            <w:webHidden/>
          </w:rPr>
          <w:tab/>
        </w:r>
        <w:r w:rsidRPr="006A1EC7">
          <w:rPr>
            <w:noProof/>
            <w:webHidden/>
          </w:rPr>
          <w:fldChar w:fldCharType="begin"/>
        </w:r>
        <w:r w:rsidRPr="006A1EC7">
          <w:rPr>
            <w:noProof/>
            <w:webHidden/>
          </w:rPr>
          <w:instrText xml:space="preserve"> PAGEREF _Toc40173033 \h </w:instrText>
        </w:r>
        <w:r w:rsidRPr="006A1EC7">
          <w:rPr>
            <w:noProof/>
            <w:webHidden/>
          </w:rPr>
        </w:r>
        <w:r w:rsidRPr="006A1EC7">
          <w:rPr>
            <w:noProof/>
            <w:webHidden/>
          </w:rPr>
          <w:fldChar w:fldCharType="separate"/>
        </w:r>
        <w:r w:rsidRPr="006A1EC7">
          <w:rPr>
            <w:noProof/>
            <w:webHidden/>
          </w:rPr>
          <w:t>62</w:t>
        </w:r>
        <w:r w:rsidRPr="006A1EC7">
          <w:rPr>
            <w:noProof/>
            <w:webHidden/>
          </w:rPr>
          <w:fldChar w:fldCharType="end"/>
        </w:r>
      </w:hyperlink>
    </w:p>
    <w:p w14:paraId="11ACCB9B" w14:textId="0B234BFF" w:rsidR="006A1EC7" w:rsidRPr="006A1EC7" w:rsidRDefault="006A1EC7">
      <w:pPr>
        <w:pStyle w:val="TableofFigures"/>
        <w:tabs>
          <w:tab w:val="right" w:leader="dot" w:pos="8488"/>
        </w:tabs>
        <w:rPr>
          <w:rFonts w:eastAsiaTheme="minorEastAsia"/>
          <w:noProof/>
          <w:lang w:eastAsia="en-GB"/>
        </w:rPr>
      </w:pPr>
      <w:hyperlink w:anchor="_Toc40173034" w:history="1">
        <w:r w:rsidRPr="006A1EC7">
          <w:rPr>
            <w:rStyle w:val="Hyperlink"/>
            <w:rFonts w:eastAsiaTheme="majorEastAsia"/>
            <w:noProof/>
          </w:rPr>
          <w:t>Table 9: Overview of themes, subthemes and data saturation grid for Themes 2-5</w:t>
        </w:r>
        <w:r w:rsidRPr="006A1EC7">
          <w:rPr>
            <w:noProof/>
            <w:webHidden/>
          </w:rPr>
          <w:tab/>
        </w:r>
        <w:r w:rsidRPr="006A1EC7">
          <w:rPr>
            <w:noProof/>
            <w:webHidden/>
          </w:rPr>
          <w:fldChar w:fldCharType="begin"/>
        </w:r>
        <w:r w:rsidRPr="006A1EC7">
          <w:rPr>
            <w:noProof/>
            <w:webHidden/>
          </w:rPr>
          <w:instrText xml:space="preserve"> PAGEREF _Toc40173034 \h </w:instrText>
        </w:r>
        <w:r w:rsidRPr="006A1EC7">
          <w:rPr>
            <w:noProof/>
            <w:webHidden/>
          </w:rPr>
        </w:r>
        <w:r w:rsidRPr="006A1EC7">
          <w:rPr>
            <w:noProof/>
            <w:webHidden/>
          </w:rPr>
          <w:fldChar w:fldCharType="separate"/>
        </w:r>
        <w:r w:rsidRPr="006A1EC7">
          <w:rPr>
            <w:noProof/>
            <w:webHidden/>
          </w:rPr>
          <w:t>103</w:t>
        </w:r>
        <w:r w:rsidRPr="006A1EC7">
          <w:rPr>
            <w:noProof/>
            <w:webHidden/>
          </w:rPr>
          <w:fldChar w:fldCharType="end"/>
        </w:r>
      </w:hyperlink>
    </w:p>
    <w:p w14:paraId="2D0BB601" w14:textId="3D2F00C6" w:rsidR="006A1EC7" w:rsidRPr="006A1EC7" w:rsidRDefault="006A1EC7">
      <w:pPr>
        <w:pStyle w:val="TableofFigures"/>
        <w:tabs>
          <w:tab w:val="right" w:leader="dot" w:pos="8488"/>
        </w:tabs>
        <w:rPr>
          <w:rFonts w:eastAsiaTheme="minorEastAsia"/>
          <w:noProof/>
          <w:lang w:eastAsia="en-GB"/>
        </w:rPr>
      </w:pPr>
      <w:hyperlink w:anchor="_Toc40173035" w:history="1">
        <w:r w:rsidRPr="006A1EC7">
          <w:rPr>
            <w:rStyle w:val="Hyperlink"/>
            <w:rFonts w:eastAsiaTheme="majorEastAsia"/>
            <w:noProof/>
          </w:rPr>
          <w:t>Table 10: Translation of Theme 1 (Clinical Features, Chapter 4) into the COA draft</w:t>
        </w:r>
        <w:r w:rsidRPr="006A1EC7">
          <w:rPr>
            <w:noProof/>
            <w:webHidden/>
          </w:rPr>
          <w:tab/>
        </w:r>
        <w:r w:rsidRPr="006A1EC7">
          <w:rPr>
            <w:noProof/>
            <w:webHidden/>
          </w:rPr>
          <w:fldChar w:fldCharType="begin"/>
        </w:r>
        <w:r w:rsidRPr="006A1EC7">
          <w:rPr>
            <w:noProof/>
            <w:webHidden/>
          </w:rPr>
          <w:instrText xml:space="preserve"> PAGEREF _Toc40173035 \h </w:instrText>
        </w:r>
        <w:r w:rsidRPr="006A1EC7">
          <w:rPr>
            <w:noProof/>
            <w:webHidden/>
          </w:rPr>
        </w:r>
        <w:r w:rsidRPr="006A1EC7">
          <w:rPr>
            <w:noProof/>
            <w:webHidden/>
          </w:rPr>
          <w:fldChar w:fldCharType="separate"/>
        </w:r>
        <w:r w:rsidRPr="006A1EC7">
          <w:rPr>
            <w:noProof/>
            <w:webHidden/>
          </w:rPr>
          <w:t>148</w:t>
        </w:r>
        <w:r w:rsidRPr="006A1EC7">
          <w:rPr>
            <w:noProof/>
            <w:webHidden/>
          </w:rPr>
          <w:fldChar w:fldCharType="end"/>
        </w:r>
      </w:hyperlink>
    </w:p>
    <w:p w14:paraId="3551FCC9" w14:textId="4F31F9CA" w:rsidR="006A1EC7" w:rsidRPr="006A1EC7" w:rsidRDefault="006A1EC7">
      <w:pPr>
        <w:pStyle w:val="TableofFigures"/>
        <w:tabs>
          <w:tab w:val="right" w:leader="dot" w:pos="8488"/>
        </w:tabs>
        <w:rPr>
          <w:rFonts w:eastAsiaTheme="minorEastAsia"/>
          <w:noProof/>
          <w:lang w:eastAsia="en-GB"/>
        </w:rPr>
      </w:pPr>
      <w:hyperlink w:anchor="_Toc40173036" w:history="1">
        <w:r w:rsidRPr="006A1EC7">
          <w:rPr>
            <w:rStyle w:val="Hyperlink"/>
            <w:rFonts w:eastAsiaTheme="majorEastAsia"/>
            <w:noProof/>
          </w:rPr>
          <w:t>Table 11: Descriptive Statistics: Results from the QI-10</w:t>
        </w:r>
        <w:r w:rsidRPr="006A1EC7">
          <w:rPr>
            <w:noProof/>
            <w:webHidden/>
          </w:rPr>
          <w:tab/>
        </w:r>
        <w:r w:rsidRPr="006A1EC7">
          <w:rPr>
            <w:noProof/>
            <w:webHidden/>
          </w:rPr>
          <w:fldChar w:fldCharType="begin"/>
        </w:r>
        <w:r w:rsidRPr="006A1EC7">
          <w:rPr>
            <w:noProof/>
            <w:webHidden/>
          </w:rPr>
          <w:instrText xml:space="preserve"> PAGEREF _Toc40173036 \h </w:instrText>
        </w:r>
        <w:r w:rsidRPr="006A1EC7">
          <w:rPr>
            <w:noProof/>
            <w:webHidden/>
          </w:rPr>
        </w:r>
        <w:r w:rsidRPr="006A1EC7">
          <w:rPr>
            <w:noProof/>
            <w:webHidden/>
          </w:rPr>
          <w:fldChar w:fldCharType="separate"/>
        </w:r>
        <w:r w:rsidRPr="006A1EC7">
          <w:rPr>
            <w:noProof/>
            <w:webHidden/>
          </w:rPr>
          <w:t>162</w:t>
        </w:r>
        <w:r w:rsidRPr="006A1EC7">
          <w:rPr>
            <w:noProof/>
            <w:webHidden/>
          </w:rPr>
          <w:fldChar w:fldCharType="end"/>
        </w:r>
      </w:hyperlink>
    </w:p>
    <w:p w14:paraId="255B7C3E" w14:textId="575DEBF8" w:rsidR="006A1EC7" w:rsidRPr="006A1EC7" w:rsidRDefault="006A1EC7">
      <w:pPr>
        <w:pStyle w:val="TableofFigures"/>
        <w:tabs>
          <w:tab w:val="right" w:leader="dot" w:pos="8488"/>
        </w:tabs>
        <w:rPr>
          <w:rFonts w:eastAsiaTheme="minorEastAsia"/>
          <w:noProof/>
          <w:lang w:eastAsia="en-GB"/>
        </w:rPr>
      </w:pPr>
      <w:hyperlink w:anchor="_Toc40173037" w:history="1">
        <w:r w:rsidRPr="006A1EC7">
          <w:rPr>
            <w:rStyle w:val="Hyperlink"/>
            <w:rFonts w:eastAsiaTheme="majorEastAsia"/>
            <w:noProof/>
          </w:rPr>
          <w:t>Table 12: Response frequencies for QI-10 items</w:t>
        </w:r>
        <w:r w:rsidRPr="006A1EC7">
          <w:rPr>
            <w:noProof/>
            <w:webHidden/>
          </w:rPr>
          <w:tab/>
        </w:r>
        <w:r w:rsidRPr="006A1EC7">
          <w:rPr>
            <w:noProof/>
            <w:webHidden/>
          </w:rPr>
          <w:fldChar w:fldCharType="begin"/>
        </w:r>
        <w:r w:rsidRPr="006A1EC7">
          <w:rPr>
            <w:noProof/>
            <w:webHidden/>
          </w:rPr>
          <w:instrText xml:space="preserve"> PAGEREF _Toc40173037 \h </w:instrText>
        </w:r>
        <w:r w:rsidRPr="006A1EC7">
          <w:rPr>
            <w:noProof/>
            <w:webHidden/>
          </w:rPr>
        </w:r>
        <w:r w:rsidRPr="006A1EC7">
          <w:rPr>
            <w:noProof/>
            <w:webHidden/>
          </w:rPr>
          <w:fldChar w:fldCharType="separate"/>
        </w:r>
        <w:r w:rsidRPr="006A1EC7">
          <w:rPr>
            <w:noProof/>
            <w:webHidden/>
          </w:rPr>
          <w:t>163</w:t>
        </w:r>
        <w:r w:rsidRPr="006A1EC7">
          <w:rPr>
            <w:noProof/>
            <w:webHidden/>
          </w:rPr>
          <w:fldChar w:fldCharType="end"/>
        </w:r>
      </w:hyperlink>
    </w:p>
    <w:p w14:paraId="41BA2C77" w14:textId="00289A4D" w:rsidR="006A1EC7" w:rsidRPr="006A1EC7" w:rsidRDefault="006A1EC7">
      <w:pPr>
        <w:pStyle w:val="TableofFigures"/>
        <w:tabs>
          <w:tab w:val="right" w:leader="dot" w:pos="8488"/>
        </w:tabs>
        <w:rPr>
          <w:rFonts w:eastAsiaTheme="minorEastAsia"/>
          <w:noProof/>
          <w:lang w:eastAsia="en-GB"/>
        </w:rPr>
      </w:pPr>
      <w:hyperlink w:anchor="_Toc40173038" w:history="1">
        <w:r w:rsidRPr="006A1EC7">
          <w:rPr>
            <w:rStyle w:val="Hyperlink"/>
            <w:rFonts w:eastAsiaTheme="majorEastAsia"/>
            <w:noProof/>
          </w:rPr>
          <w:t>Table 13: Overview of professions of participants</w:t>
        </w:r>
        <w:r w:rsidRPr="006A1EC7">
          <w:rPr>
            <w:noProof/>
            <w:webHidden/>
          </w:rPr>
          <w:tab/>
        </w:r>
        <w:r w:rsidRPr="006A1EC7">
          <w:rPr>
            <w:noProof/>
            <w:webHidden/>
          </w:rPr>
          <w:fldChar w:fldCharType="begin"/>
        </w:r>
        <w:r w:rsidRPr="006A1EC7">
          <w:rPr>
            <w:noProof/>
            <w:webHidden/>
          </w:rPr>
          <w:instrText xml:space="preserve"> PAGEREF _Toc40173038 \h </w:instrText>
        </w:r>
        <w:r w:rsidRPr="006A1EC7">
          <w:rPr>
            <w:noProof/>
            <w:webHidden/>
          </w:rPr>
        </w:r>
        <w:r w:rsidRPr="006A1EC7">
          <w:rPr>
            <w:noProof/>
            <w:webHidden/>
          </w:rPr>
          <w:fldChar w:fldCharType="separate"/>
        </w:r>
        <w:r w:rsidRPr="006A1EC7">
          <w:rPr>
            <w:noProof/>
            <w:webHidden/>
          </w:rPr>
          <w:t>190</w:t>
        </w:r>
        <w:r w:rsidRPr="006A1EC7">
          <w:rPr>
            <w:noProof/>
            <w:webHidden/>
          </w:rPr>
          <w:fldChar w:fldCharType="end"/>
        </w:r>
      </w:hyperlink>
    </w:p>
    <w:p w14:paraId="1E48B82F" w14:textId="4BDAFFA7" w:rsidR="006A1EC7" w:rsidRPr="006A1EC7" w:rsidRDefault="006A1EC7">
      <w:pPr>
        <w:pStyle w:val="TableofFigures"/>
        <w:tabs>
          <w:tab w:val="right" w:leader="dot" w:pos="8488"/>
        </w:tabs>
        <w:rPr>
          <w:rFonts w:eastAsiaTheme="minorEastAsia"/>
          <w:noProof/>
          <w:lang w:eastAsia="en-GB"/>
        </w:rPr>
      </w:pPr>
      <w:hyperlink w:anchor="_Toc40173039" w:history="1">
        <w:r w:rsidRPr="006A1EC7">
          <w:rPr>
            <w:rStyle w:val="Hyperlink"/>
            <w:rFonts w:eastAsiaTheme="majorEastAsia"/>
            <w:noProof/>
          </w:rPr>
          <w:t>Table 14: Descriptive statistics for Case Study 1 (Time 1-Time 2)</w:t>
        </w:r>
        <w:r w:rsidRPr="006A1EC7">
          <w:rPr>
            <w:noProof/>
            <w:webHidden/>
          </w:rPr>
          <w:tab/>
        </w:r>
        <w:r w:rsidRPr="006A1EC7">
          <w:rPr>
            <w:noProof/>
            <w:webHidden/>
          </w:rPr>
          <w:fldChar w:fldCharType="begin"/>
        </w:r>
        <w:r w:rsidRPr="006A1EC7">
          <w:rPr>
            <w:noProof/>
            <w:webHidden/>
          </w:rPr>
          <w:instrText xml:space="preserve"> PAGEREF _Toc40173039 \h </w:instrText>
        </w:r>
        <w:r w:rsidRPr="006A1EC7">
          <w:rPr>
            <w:noProof/>
            <w:webHidden/>
          </w:rPr>
        </w:r>
        <w:r w:rsidRPr="006A1EC7">
          <w:rPr>
            <w:noProof/>
            <w:webHidden/>
          </w:rPr>
          <w:fldChar w:fldCharType="separate"/>
        </w:r>
        <w:r w:rsidRPr="006A1EC7">
          <w:rPr>
            <w:noProof/>
            <w:webHidden/>
          </w:rPr>
          <w:t>192</w:t>
        </w:r>
        <w:r w:rsidRPr="006A1EC7">
          <w:rPr>
            <w:noProof/>
            <w:webHidden/>
          </w:rPr>
          <w:fldChar w:fldCharType="end"/>
        </w:r>
      </w:hyperlink>
    </w:p>
    <w:p w14:paraId="66CEAC94" w14:textId="0DFCCD76" w:rsidR="006A1EC7" w:rsidRPr="006A1EC7" w:rsidRDefault="006A1EC7">
      <w:pPr>
        <w:pStyle w:val="TableofFigures"/>
        <w:tabs>
          <w:tab w:val="right" w:leader="dot" w:pos="8488"/>
        </w:tabs>
        <w:rPr>
          <w:rFonts w:eastAsiaTheme="minorEastAsia"/>
          <w:noProof/>
          <w:lang w:eastAsia="en-GB"/>
        </w:rPr>
      </w:pPr>
      <w:hyperlink w:anchor="_Toc40173040" w:history="1">
        <w:r w:rsidRPr="006A1EC7">
          <w:rPr>
            <w:rStyle w:val="Hyperlink"/>
            <w:rFonts w:eastAsiaTheme="majorEastAsia"/>
            <w:noProof/>
          </w:rPr>
          <w:t>Table 15: Descriptive statistics for Case Study 2 (Time 1-Time 2)</w:t>
        </w:r>
        <w:r w:rsidRPr="006A1EC7">
          <w:rPr>
            <w:noProof/>
            <w:webHidden/>
          </w:rPr>
          <w:tab/>
        </w:r>
        <w:r w:rsidRPr="006A1EC7">
          <w:rPr>
            <w:noProof/>
            <w:webHidden/>
          </w:rPr>
          <w:fldChar w:fldCharType="begin"/>
        </w:r>
        <w:r w:rsidRPr="006A1EC7">
          <w:rPr>
            <w:noProof/>
            <w:webHidden/>
          </w:rPr>
          <w:instrText xml:space="preserve"> PAGEREF _Toc40173040 \h </w:instrText>
        </w:r>
        <w:r w:rsidRPr="006A1EC7">
          <w:rPr>
            <w:noProof/>
            <w:webHidden/>
          </w:rPr>
        </w:r>
        <w:r w:rsidRPr="006A1EC7">
          <w:rPr>
            <w:noProof/>
            <w:webHidden/>
          </w:rPr>
          <w:fldChar w:fldCharType="separate"/>
        </w:r>
        <w:r w:rsidRPr="006A1EC7">
          <w:rPr>
            <w:noProof/>
            <w:webHidden/>
          </w:rPr>
          <w:t>192</w:t>
        </w:r>
        <w:r w:rsidRPr="006A1EC7">
          <w:rPr>
            <w:noProof/>
            <w:webHidden/>
          </w:rPr>
          <w:fldChar w:fldCharType="end"/>
        </w:r>
      </w:hyperlink>
    </w:p>
    <w:p w14:paraId="21BF8AE0" w14:textId="6B23069C" w:rsidR="006A1EC7" w:rsidRPr="006A1EC7" w:rsidRDefault="006A1EC7">
      <w:pPr>
        <w:pStyle w:val="TableofFigures"/>
        <w:tabs>
          <w:tab w:val="right" w:leader="dot" w:pos="8488"/>
        </w:tabs>
        <w:rPr>
          <w:rFonts w:eastAsiaTheme="minorEastAsia"/>
          <w:noProof/>
          <w:lang w:eastAsia="en-GB"/>
        </w:rPr>
      </w:pPr>
      <w:hyperlink w:anchor="_Toc40173041" w:history="1">
        <w:r w:rsidRPr="006A1EC7">
          <w:rPr>
            <w:rStyle w:val="Hyperlink"/>
            <w:rFonts w:eastAsiaTheme="majorEastAsia"/>
            <w:noProof/>
          </w:rPr>
          <w:t>Table 16: Descriptive statistics for Case Study 3 (Time 1-Time 2)</w:t>
        </w:r>
        <w:r w:rsidRPr="006A1EC7">
          <w:rPr>
            <w:noProof/>
            <w:webHidden/>
          </w:rPr>
          <w:tab/>
        </w:r>
        <w:r w:rsidRPr="006A1EC7">
          <w:rPr>
            <w:noProof/>
            <w:webHidden/>
          </w:rPr>
          <w:fldChar w:fldCharType="begin"/>
        </w:r>
        <w:r w:rsidRPr="006A1EC7">
          <w:rPr>
            <w:noProof/>
            <w:webHidden/>
          </w:rPr>
          <w:instrText xml:space="preserve"> PAGEREF _Toc40173041 \h </w:instrText>
        </w:r>
        <w:r w:rsidRPr="006A1EC7">
          <w:rPr>
            <w:noProof/>
            <w:webHidden/>
          </w:rPr>
        </w:r>
        <w:r w:rsidRPr="006A1EC7">
          <w:rPr>
            <w:noProof/>
            <w:webHidden/>
          </w:rPr>
          <w:fldChar w:fldCharType="separate"/>
        </w:r>
        <w:r w:rsidRPr="006A1EC7">
          <w:rPr>
            <w:noProof/>
            <w:webHidden/>
          </w:rPr>
          <w:t>193</w:t>
        </w:r>
        <w:r w:rsidRPr="006A1EC7">
          <w:rPr>
            <w:noProof/>
            <w:webHidden/>
          </w:rPr>
          <w:fldChar w:fldCharType="end"/>
        </w:r>
      </w:hyperlink>
    </w:p>
    <w:p w14:paraId="4C3F766F" w14:textId="3316CC7B" w:rsidR="006A1EC7" w:rsidRPr="006A1EC7" w:rsidRDefault="006A1EC7">
      <w:pPr>
        <w:pStyle w:val="TableofFigures"/>
        <w:tabs>
          <w:tab w:val="right" w:leader="dot" w:pos="8488"/>
        </w:tabs>
        <w:rPr>
          <w:rFonts w:eastAsiaTheme="minorEastAsia"/>
          <w:noProof/>
          <w:lang w:eastAsia="en-GB"/>
        </w:rPr>
      </w:pPr>
      <w:hyperlink w:anchor="_Toc40173042" w:history="1">
        <w:r w:rsidRPr="006A1EC7">
          <w:rPr>
            <w:rStyle w:val="Hyperlink"/>
            <w:rFonts w:eastAsiaTheme="majorEastAsia"/>
            <w:noProof/>
          </w:rPr>
          <w:t>Table 17: Descriptive statistics for Case Study 4 (Time 1-Time 2)</w:t>
        </w:r>
        <w:r w:rsidRPr="006A1EC7">
          <w:rPr>
            <w:noProof/>
            <w:webHidden/>
          </w:rPr>
          <w:tab/>
        </w:r>
        <w:r w:rsidRPr="006A1EC7">
          <w:rPr>
            <w:noProof/>
            <w:webHidden/>
          </w:rPr>
          <w:fldChar w:fldCharType="begin"/>
        </w:r>
        <w:r w:rsidRPr="006A1EC7">
          <w:rPr>
            <w:noProof/>
            <w:webHidden/>
          </w:rPr>
          <w:instrText xml:space="preserve"> PAGEREF _Toc40173042 \h </w:instrText>
        </w:r>
        <w:r w:rsidRPr="006A1EC7">
          <w:rPr>
            <w:noProof/>
            <w:webHidden/>
          </w:rPr>
        </w:r>
        <w:r w:rsidRPr="006A1EC7">
          <w:rPr>
            <w:noProof/>
            <w:webHidden/>
          </w:rPr>
          <w:fldChar w:fldCharType="separate"/>
        </w:r>
        <w:r w:rsidRPr="006A1EC7">
          <w:rPr>
            <w:noProof/>
            <w:webHidden/>
          </w:rPr>
          <w:t>194</w:t>
        </w:r>
        <w:r w:rsidRPr="006A1EC7">
          <w:rPr>
            <w:noProof/>
            <w:webHidden/>
          </w:rPr>
          <w:fldChar w:fldCharType="end"/>
        </w:r>
      </w:hyperlink>
    </w:p>
    <w:p w14:paraId="39AF6FF8" w14:textId="2CABB2CD" w:rsidR="006A1EC7" w:rsidRPr="006A1EC7" w:rsidRDefault="006A1EC7">
      <w:pPr>
        <w:pStyle w:val="TableofFigures"/>
        <w:tabs>
          <w:tab w:val="right" w:leader="dot" w:pos="8488"/>
        </w:tabs>
        <w:rPr>
          <w:rFonts w:eastAsiaTheme="minorEastAsia"/>
          <w:noProof/>
          <w:lang w:eastAsia="en-GB"/>
        </w:rPr>
      </w:pPr>
      <w:hyperlink w:anchor="_Toc40173043" w:history="1">
        <w:r w:rsidRPr="006A1EC7">
          <w:rPr>
            <w:rStyle w:val="Hyperlink"/>
            <w:rFonts w:eastAsiaTheme="majorEastAsia"/>
            <w:noProof/>
          </w:rPr>
          <w:t>Table 18: Descriptive statistics for Case Study 5 (Time 1-Time 2)</w:t>
        </w:r>
        <w:r w:rsidRPr="006A1EC7">
          <w:rPr>
            <w:noProof/>
            <w:webHidden/>
          </w:rPr>
          <w:tab/>
        </w:r>
        <w:r w:rsidRPr="006A1EC7">
          <w:rPr>
            <w:noProof/>
            <w:webHidden/>
          </w:rPr>
          <w:fldChar w:fldCharType="begin"/>
        </w:r>
        <w:r w:rsidRPr="006A1EC7">
          <w:rPr>
            <w:noProof/>
            <w:webHidden/>
          </w:rPr>
          <w:instrText xml:space="preserve"> PAGEREF _Toc40173043 \h </w:instrText>
        </w:r>
        <w:r w:rsidRPr="006A1EC7">
          <w:rPr>
            <w:noProof/>
            <w:webHidden/>
          </w:rPr>
        </w:r>
        <w:r w:rsidRPr="006A1EC7">
          <w:rPr>
            <w:noProof/>
            <w:webHidden/>
          </w:rPr>
          <w:fldChar w:fldCharType="separate"/>
        </w:r>
        <w:r w:rsidRPr="006A1EC7">
          <w:rPr>
            <w:noProof/>
            <w:webHidden/>
          </w:rPr>
          <w:t>194</w:t>
        </w:r>
        <w:r w:rsidRPr="006A1EC7">
          <w:rPr>
            <w:noProof/>
            <w:webHidden/>
          </w:rPr>
          <w:fldChar w:fldCharType="end"/>
        </w:r>
      </w:hyperlink>
    </w:p>
    <w:p w14:paraId="1A67494C" w14:textId="29ECAF0F" w:rsidR="006A1EC7" w:rsidRPr="006A1EC7" w:rsidRDefault="006A1EC7">
      <w:pPr>
        <w:pStyle w:val="TableofFigures"/>
        <w:tabs>
          <w:tab w:val="right" w:leader="dot" w:pos="8488"/>
        </w:tabs>
        <w:rPr>
          <w:rFonts w:eastAsiaTheme="minorEastAsia"/>
          <w:noProof/>
          <w:lang w:eastAsia="en-GB"/>
        </w:rPr>
      </w:pPr>
      <w:hyperlink w:anchor="_Toc40173044" w:history="1">
        <w:r w:rsidRPr="006A1EC7">
          <w:rPr>
            <w:rStyle w:val="Hyperlink"/>
            <w:rFonts w:eastAsiaTheme="majorEastAsia"/>
            <w:noProof/>
          </w:rPr>
          <w:t>Table 20: Case Study 1: Joshua</w:t>
        </w:r>
        <w:r w:rsidRPr="006A1EC7">
          <w:rPr>
            <w:noProof/>
            <w:webHidden/>
          </w:rPr>
          <w:tab/>
        </w:r>
        <w:r w:rsidRPr="006A1EC7">
          <w:rPr>
            <w:noProof/>
            <w:webHidden/>
          </w:rPr>
          <w:fldChar w:fldCharType="begin"/>
        </w:r>
        <w:r w:rsidRPr="006A1EC7">
          <w:rPr>
            <w:noProof/>
            <w:webHidden/>
          </w:rPr>
          <w:instrText xml:space="preserve"> PAGEREF _Toc40173044 \h </w:instrText>
        </w:r>
        <w:r w:rsidRPr="006A1EC7">
          <w:rPr>
            <w:noProof/>
            <w:webHidden/>
          </w:rPr>
        </w:r>
        <w:r w:rsidRPr="006A1EC7">
          <w:rPr>
            <w:noProof/>
            <w:webHidden/>
          </w:rPr>
          <w:fldChar w:fldCharType="separate"/>
        </w:r>
        <w:r w:rsidRPr="006A1EC7">
          <w:rPr>
            <w:noProof/>
            <w:webHidden/>
          </w:rPr>
          <w:t>197</w:t>
        </w:r>
        <w:r w:rsidRPr="006A1EC7">
          <w:rPr>
            <w:noProof/>
            <w:webHidden/>
          </w:rPr>
          <w:fldChar w:fldCharType="end"/>
        </w:r>
      </w:hyperlink>
    </w:p>
    <w:p w14:paraId="0773B80A" w14:textId="2F365AD1" w:rsidR="006A1EC7" w:rsidRPr="006A1EC7" w:rsidRDefault="006A1EC7">
      <w:pPr>
        <w:pStyle w:val="TableofFigures"/>
        <w:tabs>
          <w:tab w:val="right" w:leader="dot" w:pos="8488"/>
        </w:tabs>
        <w:rPr>
          <w:rFonts w:eastAsiaTheme="minorEastAsia"/>
          <w:noProof/>
          <w:lang w:eastAsia="en-GB"/>
        </w:rPr>
      </w:pPr>
      <w:hyperlink w:anchor="_Toc40173045" w:history="1">
        <w:r w:rsidRPr="006A1EC7">
          <w:rPr>
            <w:rStyle w:val="Hyperlink"/>
            <w:rFonts w:eastAsiaTheme="majorEastAsia"/>
            <w:noProof/>
          </w:rPr>
          <w:t>Table 21: Case Study 2: Bronagh</w:t>
        </w:r>
        <w:r w:rsidRPr="006A1EC7">
          <w:rPr>
            <w:noProof/>
            <w:webHidden/>
          </w:rPr>
          <w:tab/>
        </w:r>
        <w:r w:rsidRPr="006A1EC7">
          <w:rPr>
            <w:noProof/>
            <w:webHidden/>
          </w:rPr>
          <w:fldChar w:fldCharType="begin"/>
        </w:r>
        <w:r w:rsidRPr="006A1EC7">
          <w:rPr>
            <w:noProof/>
            <w:webHidden/>
          </w:rPr>
          <w:instrText xml:space="preserve"> PAGEREF _Toc40173045 \h </w:instrText>
        </w:r>
        <w:r w:rsidRPr="006A1EC7">
          <w:rPr>
            <w:noProof/>
            <w:webHidden/>
          </w:rPr>
        </w:r>
        <w:r w:rsidRPr="006A1EC7">
          <w:rPr>
            <w:noProof/>
            <w:webHidden/>
          </w:rPr>
          <w:fldChar w:fldCharType="separate"/>
        </w:r>
        <w:r w:rsidRPr="006A1EC7">
          <w:rPr>
            <w:noProof/>
            <w:webHidden/>
          </w:rPr>
          <w:t>197</w:t>
        </w:r>
        <w:r w:rsidRPr="006A1EC7">
          <w:rPr>
            <w:noProof/>
            <w:webHidden/>
          </w:rPr>
          <w:fldChar w:fldCharType="end"/>
        </w:r>
      </w:hyperlink>
    </w:p>
    <w:p w14:paraId="7D67F96C" w14:textId="6AC02685" w:rsidR="006A1EC7" w:rsidRPr="006A1EC7" w:rsidRDefault="006A1EC7">
      <w:pPr>
        <w:pStyle w:val="TableofFigures"/>
        <w:tabs>
          <w:tab w:val="right" w:leader="dot" w:pos="8488"/>
        </w:tabs>
        <w:rPr>
          <w:rFonts w:eastAsiaTheme="minorEastAsia"/>
          <w:noProof/>
          <w:lang w:eastAsia="en-GB"/>
        </w:rPr>
      </w:pPr>
      <w:hyperlink w:anchor="_Toc40173046" w:history="1">
        <w:r w:rsidRPr="006A1EC7">
          <w:rPr>
            <w:rStyle w:val="Hyperlink"/>
            <w:rFonts w:eastAsiaTheme="majorEastAsia"/>
            <w:noProof/>
          </w:rPr>
          <w:t>Table 22: Case Study 3: Emma</w:t>
        </w:r>
        <w:r w:rsidRPr="006A1EC7">
          <w:rPr>
            <w:noProof/>
            <w:webHidden/>
          </w:rPr>
          <w:tab/>
        </w:r>
        <w:r w:rsidRPr="006A1EC7">
          <w:rPr>
            <w:noProof/>
            <w:webHidden/>
          </w:rPr>
          <w:fldChar w:fldCharType="begin"/>
        </w:r>
        <w:r w:rsidRPr="006A1EC7">
          <w:rPr>
            <w:noProof/>
            <w:webHidden/>
          </w:rPr>
          <w:instrText xml:space="preserve"> PAGEREF _Toc40173046 \h </w:instrText>
        </w:r>
        <w:r w:rsidRPr="006A1EC7">
          <w:rPr>
            <w:noProof/>
            <w:webHidden/>
          </w:rPr>
        </w:r>
        <w:r w:rsidRPr="006A1EC7">
          <w:rPr>
            <w:noProof/>
            <w:webHidden/>
          </w:rPr>
          <w:fldChar w:fldCharType="separate"/>
        </w:r>
        <w:r w:rsidRPr="006A1EC7">
          <w:rPr>
            <w:noProof/>
            <w:webHidden/>
          </w:rPr>
          <w:t>198</w:t>
        </w:r>
        <w:r w:rsidRPr="006A1EC7">
          <w:rPr>
            <w:noProof/>
            <w:webHidden/>
          </w:rPr>
          <w:fldChar w:fldCharType="end"/>
        </w:r>
      </w:hyperlink>
    </w:p>
    <w:p w14:paraId="18D8A15E" w14:textId="6F9D17C1" w:rsidR="006A1EC7" w:rsidRPr="006A1EC7" w:rsidRDefault="006A1EC7">
      <w:pPr>
        <w:pStyle w:val="TableofFigures"/>
        <w:tabs>
          <w:tab w:val="right" w:leader="dot" w:pos="8488"/>
        </w:tabs>
        <w:rPr>
          <w:rFonts w:eastAsiaTheme="minorEastAsia"/>
          <w:noProof/>
          <w:lang w:eastAsia="en-GB"/>
        </w:rPr>
      </w:pPr>
      <w:hyperlink w:anchor="_Toc40173047" w:history="1">
        <w:r w:rsidRPr="006A1EC7">
          <w:rPr>
            <w:rStyle w:val="Hyperlink"/>
            <w:rFonts w:eastAsiaTheme="majorEastAsia"/>
            <w:noProof/>
          </w:rPr>
          <w:t>Table 23: Case Study 4: Fineen</w:t>
        </w:r>
        <w:r w:rsidRPr="006A1EC7">
          <w:rPr>
            <w:noProof/>
            <w:webHidden/>
          </w:rPr>
          <w:tab/>
        </w:r>
        <w:r w:rsidRPr="006A1EC7">
          <w:rPr>
            <w:noProof/>
            <w:webHidden/>
          </w:rPr>
          <w:fldChar w:fldCharType="begin"/>
        </w:r>
        <w:r w:rsidRPr="006A1EC7">
          <w:rPr>
            <w:noProof/>
            <w:webHidden/>
          </w:rPr>
          <w:instrText xml:space="preserve"> PAGEREF _Toc40173047 \h </w:instrText>
        </w:r>
        <w:r w:rsidRPr="006A1EC7">
          <w:rPr>
            <w:noProof/>
            <w:webHidden/>
          </w:rPr>
        </w:r>
        <w:r w:rsidRPr="006A1EC7">
          <w:rPr>
            <w:noProof/>
            <w:webHidden/>
          </w:rPr>
          <w:fldChar w:fldCharType="separate"/>
        </w:r>
        <w:r w:rsidRPr="006A1EC7">
          <w:rPr>
            <w:noProof/>
            <w:webHidden/>
          </w:rPr>
          <w:t>199</w:t>
        </w:r>
        <w:r w:rsidRPr="006A1EC7">
          <w:rPr>
            <w:noProof/>
            <w:webHidden/>
          </w:rPr>
          <w:fldChar w:fldCharType="end"/>
        </w:r>
      </w:hyperlink>
    </w:p>
    <w:p w14:paraId="49B353D0" w14:textId="7C7B75C2" w:rsidR="006A1EC7" w:rsidRPr="006A1EC7" w:rsidRDefault="006A1EC7">
      <w:pPr>
        <w:pStyle w:val="TableofFigures"/>
        <w:tabs>
          <w:tab w:val="right" w:leader="dot" w:pos="8488"/>
        </w:tabs>
        <w:rPr>
          <w:rFonts w:eastAsiaTheme="minorEastAsia"/>
          <w:noProof/>
          <w:lang w:eastAsia="en-GB"/>
        </w:rPr>
      </w:pPr>
      <w:hyperlink w:anchor="_Toc40173048" w:history="1">
        <w:r w:rsidRPr="006A1EC7">
          <w:rPr>
            <w:rStyle w:val="Hyperlink"/>
            <w:rFonts w:eastAsiaTheme="majorEastAsia"/>
            <w:noProof/>
          </w:rPr>
          <w:t>Table 24: Case Study 5: Alessandro</w:t>
        </w:r>
        <w:r w:rsidRPr="006A1EC7">
          <w:rPr>
            <w:noProof/>
            <w:webHidden/>
          </w:rPr>
          <w:tab/>
        </w:r>
        <w:r w:rsidRPr="006A1EC7">
          <w:rPr>
            <w:noProof/>
            <w:webHidden/>
          </w:rPr>
          <w:fldChar w:fldCharType="begin"/>
        </w:r>
        <w:r w:rsidRPr="006A1EC7">
          <w:rPr>
            <w:noProof/>
            <w:webHidden/>
          </w:rPr>
          <w:instrText xml:space="preserve"> PAGEREF _Toc40173048 \h </w:instrText>
        </w:r>
        <w:r w:rsidRPr="006A1EC7">
          <w:rPr>
            <w:noProof/>
            <w:webHidden/>
          </w:rPr>
        </w:r>
        <w:r w:rsidRPr="006A1EC7">
          <w:rPr>
            <w:noProof/>
            <w:webHidden/>
          </w:rPr>
          <w:fldChar w:fldCharType="separate"/>
        </w:r>
        <w:r w:rsidRPr="006A1EC7">
          <w:rPr>
            <w:noProof/>
            <w:webHidden/>
          </w:rPr>
          <w:t>199</w:t>
        </w:r>
        <w:r w:rsidRPr="006A1EC7">
          <w:rPr>
            <w:noProof/>
            <w:webHidden/>
          </w:rPr>
          <w:fldChar w:fldCharType="end"/>
        </w:r>
      </w:hyperlink>
    </w:p>
    <w:p w14:paraId="7FA32308" w14:textId="062AE322" w:rsidR="006A1EC7" w:rsidRPr="006A1EC7" w:rsidRDefault="006A1EC7">
      <w:pPr>
        <w:pStyle w:val="TableofFigures"/>
        <w:tabs>
          <w:tab w:val="right" w:leader="dot" w:pos="8488"/>
        </w:tabs>
        <w:rPr>
          <w:rFonts w:eastAsiaTheme="minorEastAsia"/>
          <w:noProof/>
          <w:lang w:eastAsia="en-GB"/>
        </w:rPr>
      </w:pPr>
      <w:hyperlink w:anchor="_Toc40173049" w:history="1">
        <w:r w:rsidRPr="006A1EC7">
          <w:rPr>
            <w:rStyle w:val="Hyperlink"/>
            <w:rFonts w:eastAsiaTheme="majorEastAsia"/>
            <w:noProof/>
          </w:rPr>
          <w:t>Table 25: Overview of significant one sample t-test results</w:t>
        </w:r>
        <w:r w:rsidRPr="006A1EC7">
          <w:rPr>
            <w:noProof/>
            <w:webHidden/>
          </w:rPr>
          <w:tab/>
        </w:r>
        <w:r w:rsidRPr="006A1EC7">
          <w:rPr>
            <w:noProof/>
            <w:webHidden/>
          </w:rPr>
          <w:fldChar w:fldCharType="begin"/>
        </w:r>
        <w:r w:rsidRPr="006A1EC7">
          <w:rPr>
            <w:noProof/>
            <w:webHidden/>
          </w:rPr>
          <w:instrText xml:space="preserve"> PAGEREF _Toc40173049 \h </w:instrText>
        </w:r>
        <w:r w:rsidRPr="006A1EC7">
          <w:rPr>
            <w:noProof/>
            <w:webHidden/>
          </w:rPr>
        </w:r>
        <w:r w:rsidRPr="006A1EC7">
          <w:rPr>
            <w:noProof/>
            <w:webHidden/>
          </w:rPr>
          <w:fldChar w:fldCharType="separate"/>
        </w:r>
        <w:r w:rsidRPr="006A1EC7">
          <w:rPr>
            <w:noProof/>
            <w:webHidden/>
          </w:rPr>
          <w:t>201</w:t>
        </w:r>
        <w:r w:rsidRPr="006A1EC7">
          <w:rPr>
            <w:noProof/>
            <w:webHidden/>
          </w:rPr>
          <w:fldChar w:fldCharType="end"/>
        </w:r>
      </w:hyperlink>
    </w:p>
    <w:p w14:paraId="3083ED42" w14:textId="2219CD13" w:rsidR="006A1EC7" w:rsidRPr="006A1EC7" w:rsidRDefault="006A1EC7">
      <w:pPr>
        <w:pStyle w:val="TableofFigures"/>
        <w:tabs>
          <w:tab w:val="right" w:leader="dot" w:pos="8488"/>
        </w:tabs>
        <w:rPr>
          <w:rFonts w:eastAsiaTheme="minorEastAsia"/>
          <w:noProof/>
          <w:lang w:eastAsia="en-GB"/>
        </w:rPr>
      </w:pPr>
      <w:hyperlink w:anchor="_Toc40173050" w:history="1">
        <w:r w:rsidRPr="006A1EC7">
          <w:rPr>
            <w:rStyle w:val="Hyperlink"/>
            <w:rFonts w:eastAsiaTheme="majorEastAsia"/>
            <w:noProof/>
          </w:rPr>
          <w:t>Table 26: Overview of range of Percent Agreement scores for each vignette (within raters for Time1 -Time 2 completions for exact scores)</w:t>
        </w:r>
        <w:r w:rsidRPr="006A1EC7">
          <w:rPr>
            <w:noProof/>
            <w:webHidden/>
          </w:rPr>
          <w:tab/>
        </w:r>
        <w:r w:rsidRPr="006A1EC7">
          <w:rPr>
            <w:noProof/>
            <w:webHidden/>
          </w:rPr>
          <w:fldChar w:fldCharType="begin"/>
        </w:r>
        <w:r w:rsidRPr="006A1EC7">
          <w:rPr>
            <w:noProof/>
            <w:webHidden/>
          </w:rPr>
          <w:instrText xml:space="preserve"> PAGEREF _Toc40173050 \h </w:instrText>
        </w:r>
        <w:r w:rsidRPr="006A1EC7">
          <w:rPr>
            <w:noProof/>
            <w:webHidden/>
          </w:rPr>
        </w:r>
        <w:r w:rsidRPr="006A1EC7">
          <w:rPr>
            <w:noProof/>
            <w:webHidden/>
          </w:rPr>
          <w:fldChar w:fldCharType="separate"/>
        </w:r>
        <w:r w:rsidRPr="006A1EC7">
          <w:rPr>
            <w:noProof/>
            <w:webHidden/>
          </w:rPr>
          <w:t>202</w:t>
        </w:r>
        <w:r w:rsidRPr="006A1EC7">
          <w:rPr>
            <w:noProof/>
            <w:webHidden/>
          </w:rPr>
          <w:fldChar w:fldCharType="end"/>
        </w:r>
      </w:hyperlink>
    </w:p>
    <w:p w14:paraId="5031C07C" w14:textId="3E8243FC" w:rsidR="006A1EC7" w:rsidRPr="006A1EC7" w:rsidRDefault="006A1EC7">
      <w:pPr>
        <w:pStyle w:val="TableofFigures"/>
        <w:tabs>
          <w:tab w:val="right" w:leader="dot" w:pos="8488"/>
        </w:tabs>
        <w:rPr>
          <w:rFonts w:eastAsiaTheme="minorEastAsia"/>
          <w:noProof/>
          <w:lang w:eastAsia="en-GB"/>
        </w:rPr>
      </w:pPr>
      <w:hyperlink w:anchor="_Toc40173051" w:history="1">
        <w:r w:rsidRPr="006A1EC7">
          <w:rPr>
            <w:rStyle w:val="Hyperlink"/>
            <w:rFonts w:eastAsiaTheme="majorEastAsia"/>
            <w:noProof/>
          </w:rPr>
          <w:t>Table 27: Overview of Percent Agreement Scores for each subscale and vignette (within raters, Time1 -Time 2)</w:t>
        </w:r>
        <w:r w:rsidRPr="006A1EC7">
          <w:rPr>
            <w:noProof/>
            <w:webHidden/>
          </w:rPr>
          <w:tab/>
        </w:r>
        <w:r w:rsidRPr="006A1EC7">
          <w:rPr>
            <w:noProof/>
            <w:webHidden/>
          </w:rPr>
          <w:fldChar w:fldCharType="begin"/>
        </w:r>
        <w:r w:rsidRPr="006A1EC7">
          <w:rPr>
            <w:noProof/>
            <w:webHidden/>
          </w:rPr>
          <w:instrText xml:space="preserve"> PAGEREF _Toc40173051 \h </w:instrText>
        </w:r>
        <w:r w:rsidRPr="006A1EC7">
          <w:rPr>
            <w:noProof/>
            <w:webHidden/>
          </w:rPr>
        </w:r>
        <w:r w:rsidRPr="006A1EC7">
          <w:rPr>
            <w:noProof/>
            <w:webHidden/>
          </w:rPr>
          <w:fldChar w:fldCharType="separate"/>
        </w:r>
        <w:r w:rsidRPr="006A1EC7">
          <w:rPr>
            <w:noProof/>
            <w:webHidden/>
          </w:rPr>
          <w:t>203</w:t>
        </w:r>
        <w:r w:rsidRPr="006A1EC7">
          <w:rPr>
            <w:noProof/>
            <w:webHidden/>
          </w:rPr>
          <w:fldChar w:fldCharType="end"/>
        </w:r>
      </w:hyperlink>
    </w:p>
    <w:p w14:paraId="1FB24824" w14:textId="7E69C56E" w:rsidR="006A1EC7" w:rsidRPr="006A1EC7" w:rsidRDefault="006A1EC7">
      <w:pPr>
        <w:pStyle w:val="TableofFigures"/>
        <w:tabs>
          <w:tab w:val="right" w:leader="dot" w:pos="8488"/>
        </w:tabs>
        <w:rPr>
          <w:rFonts w:eastAsiaTheme="minorEastAsia"/>
          <w:noProof/>
          <w:lang w:eastAsia="en-GB"/>
        </w:rPr>
      </w:pPr>
      <w:hyperlink w:anchor="_Toc40173052" w:history="1">
        <w:r w:rsidRPr="006A1EC7">
          <w:rPr>
            <w:rStyle w:val="Hyperlink"/>
            <w:rFonts w:eastAsiaTheme="majorEastAsia"/>
            <w:noProof/>
          </w:rPr>
          <w:t>Table 28: Overview of range of Percent Agreement scores for each vignette (within raters for Time1 -Time 2 completions for scores within range of +/- 1)</w:t>
        </w:r>
        <w:r w:rsidRPr="006A1EC7">
          <w:rPr>
            <w:noProof/>
            <w:webHidden/>
          </w:rPr>
          <w:tab/>
        </w:r>
        <w:r w:rsidRPr="006A1EC7">
          <w:rPr>
            <w:noProof/>
            <w:webHidden/>
          </w:rPr>
          <w:fldChar w:fldCharType="begin"/>
        </w:r>
        <w:r w:rsidRPr="006A1EC7">
          <w:rPr>
            <w:noProof/>
            <w:webHidden/>
          </w:rPr>
          <w:instrText xml:space="preserve"> PAGEREF _Toc40173052 \h </w:instrText>
        </w:r>
        <w:r w:rsidRPr="006A1EC7">
          <w:rPr>
            <w:noProof/>
            <w:webHidden/>
          </w:rPr>
        </w:r>
        <w:r w:rsidRPr="006A1EC7">
          <w:rPr>
            <w:noProof/>
            <w:webHidden/>
          </w:rPr>
          <w:fldChar w:fldCharType="separate"/>
        </w:r>
        <w:r w:rsidRPr="006A1EC7">
          <w:rPr>
            <w:noProof/>
            <w:webHidden/>
          </w:rPr>
          <w:t>204</w:t>
        </w:r>
        <w:r w:rsidRPr="006A1EC7">
          <w:rPr>
            <w:noProof/>
            <w:webHidden/>
          </w:rPr>
          <w:fldChar w:fldCharType="end"/>
        </w:r>
      </w:hyperlink>
    </w:p>
    <w:p w14:paraId="1586408F" w14:textId="1B47CDCB" w:rsidR="006A1EC7" w:rsidRPr="006A1EC7" w:rsidRDefault="006A1EC7">
      <w:pPr>
        <w:pStyle w:val="TableofFigures"/>
        <w:tabs>
          <w:tab w:val="right" w:leader="dot" w:pos="8488"/>
        </w:tabs>
        <w:rPr>
          <w:rFonts w:eastAsiaTheme="minorEastAsia"/>
          <w:noProof/>
          <w:lang w:eastAsia="en-GB"/>
        </w:rPr>
      </w:pPr>
      <w:hyperlink w:anchor="_Toc40173053" w:history="1">
        <w:r w:rsidRPr="006A1EC7">
          <w:rPr>
            <w:rStyle w:val="Hyperlink"/>
            <w:rFonts w:eastAsiaTheme="majorEastAsia"/>
            <w:noProof/>
          </w:rPr>
          <w:t>Table 29: Overview of Percent Agreement Scores for each subscale and vignette (within raters, Time1 -Time 2; for scores within range of +/- 1)</w:t>
        </w:r>
        <w:r w:rsidRPr="006A1EC7">
          <w:rPr>
            <w:noProof/>
            <w:webHidden/>
          </w:rPr>
          <w:tab/>
        </w:r>
        <w:r w:rsidRPr="006A1EC7">
          <w:rPr>
            <w:noProof/>
            <w:webHidden/>
          </w:rPr>
          <w:fldChar w:fldCharType="begin"/>
        </w:r>
        <w:r w:rsidRPr="006A1EC7">
          <w:rPr>
            <w:noProof/>
            <w:webHidden/>
          </w:rPr>
          <w:instrText xml:space="preserve"> PAGEREF _Toc40173053 \h </w:instrText>
        </w:r>
        <w:r w:rsidRPr="006A1EC7">
          <w:rPr>
            <w:noProof/>
            <w:webHidden/>
          </w:rPr>
        </w:r>
        <w:r w:rsidRPr="006A1EC7">
          <w:rPr>
            <w:noProof/>
            <w:webHidden/>
          </w:rPr>
          <w:fldChar w:fldCharType="separate"/>
        </w:r>
        <w:r w:rsidRPr="006A1EC7">
          <w:rPr>
            <w:noProof/>
            <w:webHidden/>
          </w:rPr>
          <w:t>205</w:t>
        </w:r>
        <w:r w:rsidRPr="006A1EC7">
          <w:rPr>
            <w:noProof/>
            <w:webHidden/>
          </w:rPr>
          <w:fldChar w:fldCharType="end"/>
        </w:r>
      </w:hyperlink>
    </w:p>
    <w:p w14:paraId="5A675942" w14:textId="285D2C7A" w:rsidR="006A1EC7" w:rsidRPr="006A1EC7" w:rsidRDefault="006A1EC7">
      <w:pPr>
        <w:pStyle w:val="TableofFigures"/>
        <w:tabs>
          <w:tab w:val="right" w:leader="dot" w:pos="8488"/>
        </w:tabs>
        <w:rPr>
          <w:rFonts w:eastAsiaTheme="minorEastAsia"/>
          <w:noProof/>
          <w:lang w:eastAsia="en-GB"/>
        </w:rPr>
      </w:pPr>
      <w:hyperlink w:anchor="_Toc40173054" w:history="1">
        <w:r w:rsidRPr="006A1EC7">
          <w:rPr>
            <w:rStyle w:val="Hyperlink"/>
            <w:rFonts w:eastAsiaTheme="majorEastAsia"/>
            <w:noProof/>
          </w:rPr>
          <w:t>Table 30: One-way ANOVA results for comparison of scores given by differently skilled professionals (Consultants/Registrars versus Other)</w:t>
        </w:r>
        <w:r w:rsidRPr="006A1EC7">
          <w:rPr>
            <w:noProof/>
            <w:webHidden/>
          </w:rPr>
          <w:tab/>
        </w:r>
        <w:r w:rsidRPr="006A1EC7">
          <w:rPr>
            <w:noProof/>
            <w:webHidden/>
          </w:rPr>
          <w:fldChar w:fldCharType="begin"/>
        </w:r>
        <w:r w:rsidRPr="006A1EC7">
          <w:rPr>
            <w:noProof/>
            <w:webHidden/>
          </w:rPr>
          <w:instrText xml:space="preserve"> PAGEREF _Toc40173054 \h </w:instrText>
        </w:r>
        <w:r w:rsidRPr="006A1EC7">
          <w:rPr>
            <w:noProof/>
            <w:webHidden/>
          </w:rPr>
        </w:r>
        <w:r w:rsidRPr="006A1EC7">
          <w:rPr>
            <w:noProof/>
            <w:webHidden/>
          </w:rPr>
          <w:fldChar w:fldCharType="separate"/>
        </w:r>
        <w:r w:rsidRPr="006A1EC7">
          <w:rPr>
            <w:noProof/>
            <w:webHidden/>
          </w:rPr>
          <w:t>206</w:t>
        </w:r>
        <w:r w:rsidRPr="006A1EC7">
          <w:rPr>
            <w:noProof/>
            <w:webHidden/>
          </w:rPr>
          <w:fldChar w:fldCharType="end"/>
        </w:r>
      </w:hyperlink>
    </w:p>
    <w:p w14:paraId="49D8125E" w14:textId="1CD75F3B" w:rsidR="006A1EC7" w:rsidRPr="006A1EC7" w:rsidRDefault="006A1EC7">
      <w:pPr>
        <w:pStyle w:val="TableofFigures"/>
        <w:tabs>
          <w:tab w:val="right" w:leader="dot" w:pos="8488"/>
        </w:tabs>
        <w:rPr>
          <w:rFonts w:eastAsiaTheme="minorEastAsia"/>
          <w:noProof/>
          <w:lang w:eastAsia="en-GB"/>
        </w:rPr>
      </w:pPr>
      <w:hyperlink w:anchor="_Toc40173055" w:history="1">
        <w:r w:rsidRPr="006A1EC7">
          <w:rPr>
            <w:rStyle w:val="Hyperlink"/>
            <w:rFonts w:eastAsiaTheme="majorEastAsia"/>
            <w:noProof/>
          </w:rPr>
          <w:t>Table 31: One-way ANOVA result of comparison of results of those participants who had heard of WHS before and those who had not</w:t>
        </w:r>
        <w:r w:rsidRPr="006A1EC7">
          <w:rPr>
            <w:noProof/>
            <w:webHidden/>
          </w:rPr>
          <w:tab/>
        </w:r>
        <w:r w:rsidRPr="006A1EC7">
          <w:rPr>
            <w:noProof/>
            <w:webHidden/>
          </w:rPr>
          <w:fldChar w:fldCharType="begin"/>
        </w:r>
        <w:r w:rsidRPr="006A1EC7">
          <w:rPr>
            <w:noProof/>
            <w:webHidden/>
          </w:rPr>
          <w:instrText xml:space="preserve"> PAGEREF _Toc40173055 \h </w:instrText>
        </w:r>
        <w:r w:rsidRPr="006A1EC7">
          <w:rPr>
            <w:noProof/>
            <w:webHidden/>
          </w:rPr>
        </w:r>
        <w:r w:rsidRPr="006A1EC7">
          <w:rPr>
            <w:noProof/>
            <w:webHidden/>
          </w:rPr>
          <w:fldChar w:fldCharType="separate"/>
        </w:r>
        <w:r w:rsidRPr="006A1EC7">
          <w:rPr>
            <w:noProof/>
            <w:webHidden/>
          </w:rPr>
          <w:t>207</w:t>
        </w:r>
        <w:r w:rsidRPr="006A1EC7">
          <w:rPr>
            <w:noProof/>
            <w:webHidden/>
          </w:rPr>
          <w:fldChar w:fldCharType="end"/>
        </w:r>
      </w:hyperlink>
    </w:p>
    <w:p w14:paraId="01456E61" w14:textId="224E5E30" w:rsidR="006A1EC7" w:rsidRPr="006A1EC7" w:rsidRDefault="006A1EC7">
      <w:pPr>
        <w:pStyle w:val="TableofFigures"/>
        <w:tabs>
          <w:tab w:val="right" w:leader="dot" w:pos="8488"/>
        </w:tabs>
        <w:rPr>
          <w:rFonts w:eastAsiaTheme="minorEastAsia"/>
          <w:noProof/>
          <w:lang w:eastAsia="en-GB"/>
        </w:rPr>
      </w:pPr>
      <w:hyperlink w:anchor="_Toc40173056" w:history="1">
        <w:r w:rsidRPr="006A1EC7">
          <w:rPr>
            <w:rStyle w:val="Hyperlink"/>
            <w:rFonts w:eastAsiaTheme="majorEastAsia"/>
            <w:noProof/>
          </w:rPr>
          <w:t>Table 32: A priori Hypotheses, results &amp; p-values</w:t>
        </w:r>
        <w:r w:rsidRPr="006A1EC7">
          <w:rPr>
            <w:noProof/>
            <w:webHidden/>
          </w:rPr>
          <w:tab/>
        </w:r>
        <w:r w:rsidRPr="006A1EC7">
          <w:rPr>
            <w:noProof/>
            <w:webHidden/>
          </w:rPr>
          <w:fldChar w:fldCharType="begin"/>
        </w:r>
        <w:r w:rsidRPr="006A1EC7">
          <w:rPr>
            <w:noProof/>
            <w:webHidden/>
          </w:rPr>
          <w:instrText xml:space="preserve"> PAGEREF _Toc40173056 \h </w:instrText>
        </w:r>
        <w:r w:rsidRPr="006A1EC7">
          <w:rPr>
            <w:noProof/>
            <w:webHidden/>
          </w:rPr>
        </w:r>
        <w:r w:rsidRPr="006A1EC7">
          <w:rPr>
            <w:noProof/>
            <w:webHidden/>
          </w:rPr>
          <w:fldChar w:fldCharType="separate"/>
        </w:r>
        <w:r w:rsidRPr="006A1EC7">
          <w:rPr>
            <w:noProof/>
            <w:webHidden/>
          </w:rPr>
          <w:t>208</w:t>
        </w:r>
        <w:r w:rsidRPr="006A1EC7">
          <w:rPr>
            <w:noProof/>
            <w:webHidden/>
          </w:rPr>
          <w:fldChar w:fldCharType="end"/>
        </w:r>
      </w:hyperlink>
    </w:p>
    <w:p w14:paraId="5FA824A0" w14:textId="07696FAC" w:rsidR="006A1EC7" w:rsidRPr="006A1EC7" w:rsidRDefault="006A1EC7">
      <w:pPr>
        <w:pStyle w:val="TableofFigures"/>
        <w:tabs>
          <w:tab w:val="right" w:leader="dot" w:pos="8488"/>
        </w:tabs>
        <w:rPr>
          <w:rFonts w:eastAsiaTheme="minorEastAsia"/>
          <w:noProof/>
          <w:lang w:eastAsia="en-GB"/>
        </w:rPr>
      </w:pPr>
      <w:hyperlink w:anchor="_Toc40173057" w:history="1">
        <w:r w:rsidRPr="006A1EC7">
          <w:rPr>
            <w:rStyle w:val="Hyperlink"/>
            <w:rFonts w:eastAsiaTheme="majorEastAsia"/>
            <w:noProof/>
          </w:rPr>
          <w:t>Table 33: Thematic Table for Theme 1 (Comments about the ClinRo)</w:t>
        </w:r>
        <w:r w:rsidRPr="006A1EC7">
          <w:rPr>
            <w:noProof/>
            <w:webHidden/>
          </w:rPr>
          <w:tab/>
        </w:r>
        <w:r w:rsidRPr="006A1EC7">
          <w:rPr>
            <w:noProof/>
            <w:webHidden/>
          </w:rPr>
          <w:fldChar w:fldCharType="begin"/>
        </w:r>
        <w:r w:rsidRPr="006A1EC7">
          <w:rPr>
            <w:noProof/>
            <w:webHidden/>
          </w:rPr>
          <w:instrText xml:space="preserve"> PAGEREF _Toc40173057 \h </w:instrText>
        </w:r>
        <w:r w:rsidRPr="006A1EC7">
          <w:rPr>
            <w:noProof/>
            <w:webHidden/>
          </w:rPr>
        </w:r>
        <w:r w:rsidRPr="006A1EC7">
          <w:rPr>
            <w:noProof/>
            <w:webHidden/>
          </w:rPr>
          <w:fldChar w:fldCharType="separate"/>
        </w:r>
        <w:r w:rsidRPr="006A1EC7">
          <w:rPr>
            <w:noProof/>
            <w:webHidden/>
          </w:rPr>
          <w:t>215</w:t>
        </w:r>
        <w:r w:rsidRPr="006A1EC7">
          <w:rPr>
            <w:noProof/>
            <w:webHidden/>
          </w:rPr>
          <w:fldChar w:fldCharType="end"/>
        </w:r>
      </w:hyperlink>
    </w:p>
    <w:p w14:paraId="6305EF81" w14:textId="50920077" w:rsidR="00780B57" w:rsidRPr="006A1EC7" w:rsidRDefault="00780B57" w:rsidP="00780B57">
      <w:pPr>
        <w:rPr>
          <w:rFonts w:eastAsia="Arial"/>
        </w:rPr>
      </w:pPr>
      <w:r w:rsidRPr="006A1EC7">
        <w:rPr>
          <w:rFonts w:eastAsia="Arial"/>
        </w:rPr>
        <w:fldChar w:fldCharType="end"/>
      </w:r>
    </w:p>
    <w:p w14:paraId="6A389610" w14:textId="77777777" w:rsidR="00780B57" w:rsidRPr="006A1EC7" w:rsidRDefault="00780B57" w:rsidP="00780B57">
      <w:pPr>
        <w:rPr>
          <w:rFonts w:eastAsia="Arial"/>
        </w:rPr>
        <w:sectPr w:rsidR="00780B57" w:rsidRPr="006A1EC7" w:rsidSect="00BE7390">
          <w:pgSz w:w="11900" w:h="16840"/>
          <w:pgMar w:top="1440" w:right="1701" w:bottom="1440" w:left="1701" w:header="720" w:footer="720" w:gutter="0"/>
          <w:pgNumType w:fmt="lowerRoman"/>
          <w:cols w:space="720"/>
          <w:titlePg/>
          <w:docGrid w:linePitch="360"/>
        </w:sectPr>
      </w:pPr>
    </w:p>
    <w:p w14:paraId="0E0717F6" w14:textId="512BC67B" w:rsidR="00780B57" w:rsidRPr="006A1EC7" w:rsidRDefault="00780B57" w:rsidP="00780B57">
      <w:pPr>
        <w:pStyle w:val="Heading1"/>
        <w:rPr>
          <w:rFonts w:ascii="Times New Roman" w:eastAsia="Arial" w:hAnsi="Times New Roman" w:cs="Times New Roman"/>
        </w:rPr>
      </w:pPr>
      <w:bookmarkStart w:id="12" w:name="_Toc40172973"/>
      <w:r w:rsidRPr="006A1EC7">
        <w:rPr>
          <w:rFonts w:ascii="Times New Roman" w:eastAsia="Arial" w:hAnsi="Times New Roman" w:cs="Times New Roman"/>
        </w:rPr>
        <w:lastRenderedPageBreak/>
        <w:t>List of Graphics</w:t>
      </w:r>
      <w:bookmarkEnd w:id="12"/>
    </w:p>
    <w:p w14:paraId="7A16A102" w14:textId="77777777" w:rsidR="00780B57" w:rsidRPr="006A1EC7" w:rsidRDefault="00780B57" w:rsidP="00780B57">
      <w:pPr>
        <w:rPr>
          <w:rFonts w:eastAsia="Arial"/>
        </w:rPr>
      </w:pPr>
    </w:p>
    <w:p w14:paraId="203B9185" w14:textId="36EF0DFF" w:rsidR="006A1EC7" w:rsidRPr="006A1EC7" w:rsidRDefault="00780B57">
      <w:pPr>
        <w:pStyle w:val="TableofFigures"/>
        <w:tabs>
          <w:tab w:val="right" w:leader="dot" w:pos="8488"/>
        </w:tabs>
        <w:rPr>
          <w:rFonts w:eastAsiaTheme="minorEastAsia"/>
          <w:noProof/>
          <w:lang w:eastAsia="en-GB"/>
        </w:rPr>
      </w:pPr>
      <w:r w:rsidRPr="006A1EC7">
        <w:rPr>
          <w:rFonts w:eastAsia="Arial"/>
        </w:rPr>
        <w:fldChar w:fldCharType="begin"/>
      </w:r>
      <w:r w:rsidRPr="006A1EC7">
        <w:rPr>
          <w:rFonts w:eastAsia="Arial"/>
        </w:rPr>
        <w:instrText xml:space="preserve"> TOC \h \z \c "Graphic" </w:instrText>
      </w:r>
      <w:r w:rsidRPr="006A1EC7">
        <w:rPr>
          <w:rFonts w:eastAsia="Arial"/>
        </w:rPr>
        <w:fldChar w:fldCharType="separate"/>
      </w:r>
      <w:hyperlink w:anchor="_Toc40173058" w:history="1">
        <w:r w:rsidR="006A1EC7" w:rsidRPr="006A1EC7">
          <w:rPr>
            <w:rStyle w:val="Hyperlink"/>
            <w:rFonts w:eastAsiaTheme="majorEastAsia"/>
            <w:noProof/>
          </w:rPr>
          <w:t>Graphic 1: Graphic of the project's methodology</w:t>
        </w:r>
        <w:r w:rsidR="006A1EC7" w:rsidRPr="006A1EC7">
          <w:rPr>
            <w:noProof/>
            <w:webHidden/>
          </w:rPr>
          <w:tab/>
        </w:r>
        <w:r w:rsidR="006A1EC7" w:rsidRPr="006A1EC7">
          <w:rPr>
            <w:noProof/>
            <w:webHidden/>
          </w:rPr>
          <w:fldChar w:fldCharType="begin"/>
        </w:r>
        <w:r w:rsidR="006A1EC7" w:rsidRPr="006A1EC7">
          <w:rPr>
            <w:noProof/>
            <w:webHidden/>
          </w:rPr>
          <w:instrText xml:space="preserve"> PAGEREF _Toc40173058 \h </w:instrText>
        </w:r>
        <w:r w:rsidR="006A1EC7" w:rsidRPr="006A1EC7">
          <w:rPr>
            <w:noProof/>
            <w:webHidden/>
          </w:rPr>
        </w:r>
        <w:r w:rsidR="006A1EC7" w:rsidRPr="006A1EC7">
          <w:rPr>
            <w:noProof/>
            <w:webHidden/>
          </w:rPr>
          <w:fldChar w:fldCharType="separate"/>
        </w:r>
        <w:r w:rsidR="006A1EC7" w:rsidRPr="006A1EC7">
          <w:rPr>
            <w:noProof/>
            <w:webHidden/>
          </w:rPr>
          <w:t>5</w:t>
        </w:r>
        <w:r w:rsidR="006A1EC7" w:rsidRPr="006A1EC7">
          <w:rPr>
            <w:noProof/>
            <w:webHidden/>
          </w:rPr>
          <w:fldChar w:fldCharType="end"/>
        </w:r>
      </w:hyperlink>
    </w:p>
    <w:p w14:paraId="284A6FC3" w14:textId="7FD6B0EF" w:rsidR="006A1EC7" w:rsidRPr="006A1EC7" w:rsidRDefault="006A1EC7">
      <w:pPr>
        <w:pStyle w:val="TableofFigures"/>
        <w:tabs>
          <w:tab w:val="right" w:leader="dot" w:pos="8488"/>
        </w:tabs>
        <w:rPr>
          <w:rFonts w:eastAsiaTheme="minorEastAsia"/>
          <w:noProof/>
          <w:lang w:eastAsia="en-GB"/>
        </w:rPr>
      </w:pPr>
      <w:hyperlink w:anchor="_Toc40173059" w:history="1">
        <w:r w:rsidRPr="006A1EC7">
          <w:rPr>
            <w:rStyle w:val="Hyperlink"/>
            <w:rFonts w:eastAsiaTheme="majorEastAsia"/>
            <w:noProof/>
          </w:rPr>
          <w:t>Graphic 3: Overview of different clinical outcome assessments (Martinez-Martin, 2010)</w:t>
        </w:r>
        <w:r w:rsidRPr="006A1EC7">
          <w:rPr>
            <w:noProof/>
            <w:webHidden/>
          </w:rPr>
          <w:tab/>
        </w:r>
        <w:r w:rsidRPr="006A1EC7">
          <w:rPr>
            <w:noProof/>
            <w:webHidden/>
          </w:rPr>
          <w:fldChar w:fldCharType="begin"/>
        </w:r>
        <w:r w:rsidRPr="006A1EC7">
          <w:rPr>
            <w:noProof/>
            <w:webHidden/>
          </w:rPr>
          <w:instrText xml:space="preserve"> PAGEREF _Toc40173059 \h </w:instrText>
        </w:r>
        <w:r w:rsidRPr="006A1EC7">
          <w:rPr>
            <w:noProof/>
            <w:webHidden/>
          </w:rPr>
        </w:r>
        <w:r w:rsidRPr="006A1EC7">
          <w:rPr>
            <w:noProof/>
            <w:webHidden/>
          </w:rPr>
          <w:fldChar w:fldCharType="separate"/>
        </w:r>
        <w:r w:rsidRPr="006A1EC7">
          <w:rPr>
            <w:noProof/>
            <w:webHidden/>
          </w:rPr>
          <w:t>20</w:t>
        </w:r>
        <w:r w:rsidRPr="006A1EC7">
          <w:rPr>
            <w:noProof/>
            <w:webHidden/>
          </w:rPr>
          <w:fldChar w:fldCharType="end"/>
        </w:r>
      </w:hyperlink>
    </w:p>
    <w:p w14:paraId="4AAE5A84" w14:textId="758A9DBC" w:rsidR="006A1EC7" w:rsidRPr="006A1EC7" w:rsidRDefault="006A1EC7">
      <w:pPr>
        <w:pStyle w:val="TableofFigures"/>
        <w:tabs>
          <w:tab w:val="right" w:leader="dot" w:pos="8488"/>
        </w:tabs>
        <w:rPr>
          <w:rFonts w:eastAsiaTheme="minorEastAsia"/>
          <w:noProof/>
          <w:lang w:eastAsia="en-GB"/>
        </w:rPr>
      </w:pPr>
      <w:hyperlink w:anchor="_Toc40173060" w:history="1">
        <w:r w:rsidRPr="006A1EC7">
          <w:rPr>
            <w:rStyle w:val="Hyperlink"/>
            <w:rFonts w:eastAsiaTheme="majorEastAsia"/>
            <w:noProof/>
          </w:rPr>
          <w:t>Graphic 4: Steps involved in the development of a COA (U.S. Food and Drug Administration, 2017a)</w:t>
        </w:r>
        <w:r w:rsidRPr="006A1EC7">
          <w:rPr>
            <w:noProof/>
            <w:webHidden/>
          </w:rPr>
          <w:tab/>
        </w:r>
        <w:r w:rsidRPr="006A1EC7">
          <w:rPr>
            <w:noProof/>
            <w:webHidden/>
          </w:rPr>
          <w:fldChar w:fldCharType="begin"/>
        </w:r>
        <w:r w:rsidRPr="006A1EC7">
          <w:rPr>
            <w:noProof/>
            <w:webHidden/>
          </w:rPr>
          <w:instrText xml:space="preserve"> PAGEREF _Toc40173060 \h </w:instrText>
        </w:r>
        <w:r w:rsidRPr="006A1EC7">
          <w:rPr>
            <w:noProof/>
            <w:webHidden/>
          </w:rPr>
        </w:r>
        <w:r w:rsidRPr="006A1EC7">
          <w:rPr>
            <w:noProof/>
            <w:webHidden/>
          </w:rPr>
          <w:fldChar w:fldCharType="separate"/>
        </w:r>
        <w:r w:rsidRPr="006A1EC7">
          <w:rPr>
            <w:noProof/>
            <w:webHidden/>
          </w:rPr>
          <w:t>27</w:t>
        </w:r>
        <w:r w:rsidRPr="006A1EC7">
          <w:rPr>
            <w:noProof/>
            <w:webHidden/>
          </w:rPr>
          <w:fldChar w:fldCharType="end"/>
        </w:r>
      </w:hyperlink>
    </w:p>
    <w:p w14:paraId="1DD34928" w14:textId="7AA325A3" w:rsidR="006A1EC7" w:rsidRPr="006A1EC7" w:rsidRDefault="006A1EC7">
      <w:pPr>
        <w:pStyle w:val="TableofFigures"/>
        <w:tabs>
          <w:tab w:val="right" w:leader="dot" w:pos="8488"/>
        </w:tabs>
        <w:rPr>
          <w:rFonts w:eastAsiaTheme="minorEastAsia"/>
          <w:noProof/>
          <w:lang w:eastAsia="en-GB"/>
        </w:rPr>
      </w:pPr>
      <w:hyperlink w:anchor="_Toc40173061" w:history="1">
        <w:r w:rsidRPr="006A1EC7">
          <w:rPr>
            <w:rStyle w:val="Hyperlink"/>
            <w:rFonts w:eastAsiaTheme="majorEastAsia"/>
            <w:noProof/>
          </w:rPr>
          <w:t>Graphic 5: Conceptual Framework of COPD patients’ experience of physical activity, developed by Dobbels et al. (2014)</w:t>
        </w:r>
        <w:r w:rsidRPr="006A1EC7">
          <w:rPr>
            <w:noProof/>
            <w:webHidden/>
          </w:rPr>
          <w:tab/>
        </w:r>
        <w:r w:rsidRPr="006A1EC7">
          <w:rPr>
            <w:noProof/>
            <w:webHidden/>
          </w:rPr>
          <w:fldChar w:fldCharType="begin"/>
        </w:r>
        <w:r w:rsidRPr="006A1EC7">
          <w:rPr>
            <w:noProof/>
            <w:webHidden/>
          </w:rPr>
          <w:instrText xml:space="preserve"> PAGEREF _Toc40173061 \h </w:instrText>
        </w:r>
        <w:r w:rsidRPr="006A1EC7">
          <w:rPr>
            <w:noProof/>
            <w:webHidden/>
          </w:rPr>
        </w:r>
        <w:r w:rsidRPr="006A1EC7">
          <w:rPr>
            <w:noProof/>
            <w:webHidden/>
          </w:rPr>
          <w:fldChar w:fldCharType="separate"/>
        </w:r>
        <w:r w:rsidRPr="006A1EC7">
          <w:rPr>
            <w:noProof/>
            <w:webHidden/>
          </w:rPr>
          <w:t>31</w:t>
        </w:r>
        <w:r w:rsidRPr="006A1EC7">
          <w:rPr>
            <w:noProof/>
            <w:webHidden/>
          </w:rPr>
          <w:fldChar w:fldCharType="end"/>
        </w:r>
      </w:hyperlink>
    </w:p>
    <w:p w14:paraId="4DAA36C8" w14:textId="2F57B729" w:rsidR="006A1EC7" w:rsidRPr="006A1EC7" w:rsidRDefault="006A1EC7">
      <w:pPr>
        <w:pStyle w:val="TableofFigures"/>
        <w:tabs>
          <w:tab w:val="right" w:leader="dot" w:pos="8488"/>
        </w:tabs>
        <w:rPr>
          <w:rFonts w:eastAsiaTheme="minorEastAsia"/>
          <w:noProof/>
          <w:lang w:eastAsia="en-GB"/>
        </w:rPr>
      </w:pPr>
      <w:hyperlink w:anchor="_Toc40173062" w:history="1">
        <w:r w:rsidRPr="006A1EC7">
          <w:rPr>
            <w:rStyle w:val="Hyperlink"/>
            <w:rFonts w:eastAsiaTheme="majorEastAsia"/>
            <w:noProof/>
          </w:rPr>
          <w:t>Graphic 6: Conceptual Framework of the Autosomal Dominant Polycystic Kidney Disease Impact Scale (Oberdhan et al., 2018)</w:t>
        </w:r>
        <w:r w:rsidRPr="006A1EC7">
          <w:rPr>
            <w:noProof/>
            <w:webHidden/>
          </w:rPr>
          <w:tab/>
        </w:r>
        <w:r w:rsidRPr="006A1EC7">
          <w:rPr>
            <w:noProof/>
            <w:webHidden/>
          </w:rPr>
          <w:fldChar w:fldCharType="begin"/>
        </w:r>
        <w:r w:rsidRPr="006A1EC7">
          <w:rPr>
            <w:noProof/>
            <w:webHidden/>
          </w:rPr>
          <w:instrText xml:space="preserve"> PAGEREF _Toc40173062 \h </w:instrText>
        </w:r>
        <w:r w:rsidRPr="006A1EC7">
          <w:rPr>
            <w:noProof/>
            <w:webHidden/>
          </w:rPr>
        </w:r>
        <w:r w:rsidRPr="006A1EC7">
          <w:rPr>
            <w:noProof/>
            <w:webHidden/>
          </w:rPr>
          <w:fldChar w:fldCharType="separate"/>
        </w:r>
        <w:r w:rsidRPr="006A1EC7">
          <w:rPr>
            <w:noProof/>
            <w:webHidden/>
          </w:rPr>
          <w:t>31</w:t>
        </w:r>
        <w:r w:rsidRPr="006A1EC7">
          <w:rPr>
            <w:noProof/>
            <w:webHidden/>
          </w:rPr>
          <w:fldChar w:fldCharType="end"/>
        </w:r>
      </w:hyperlink>
    </w:p>
    <w:p w14:paraId="160479CA" w14:textId="36582454" w:rsidR="006A1EC7" w:rsidRPr="006A1EC7" w:rsidRDefault="006A1EC7">
      <w:pPr>
        <w:pStyle w:val="TableofFigures"/>
        <w:tabs>
          <w:tab w:val="right" w:leader="dot" w:pos="8488"/>
        </w:tabs>
        <w:rPr>
          <w:rFonts w:eastAsiaTheme="minorEastAsia"/>
          <w:noProof/>
          <w:lang w:eastAsia="en-GB"/>
        </w:rPr>
      </w:pPr>
      <w:hyperlink w:anchor="_Toc40173063" w:history="1">
        <w:r w:rsidRPr="006A1EC7">
          <w:rPr>
            <w:rStyle w:val="Hyperlink"/>
            <w:rFonts w:eastAsiaTheme="majorEastAsia"/>
            <w:noProof/>
          </w:rPr>
          <w:t>Graphic 7: Measurement Properties of Outcome Measurement Instruments (COSMIN initiative)</w:t>
        </w:r>
        <w:r w:rsidRPr="006A1EC7">
          <w:rPr>
            <w:noProof/>
            <w:webHidden/>
          </w:rPr>
          <w:tab/>
        </w:r>
        <w:r w:rsidRPr="006A1EC7">
          <w:rPr>
            <w:noProof/>
            <w:webHidden/>
          </w:rPr>
          <w:fldChar w:fldCharType="begin"/>
        </w:r>
        <w:r w:rsidRPr="006A1EC7">
          <w:rPr>
            <w:noProof/>
            <w:webHidden/>
          </w:rPr>
          <w:instrText xml:space="preserve"> PAGEREF _Toc40173063 \h </w:instrText>
        </w:r>
        <w:r w:rsidRPr="006A1EC7">
          <w:rPr>
            <w:noProof/>
            <w:webHidden/>
          </w:rPr>
        </w:r>
        <w:r w:rsidRPr="006A1EC7">
          <w:rPr>
            <w:noProof/>
            <w:webHidden/>
          </w:rPr>
          <w:fldChar w:fldCharType="separate"/>
        </w:r>
        <w:r w:rsidRPr="006A1EC7">
          <w:rPr>
            <w:noProof/>
            <w:webHidden/>
          </w:rPr>
          <w:t>34</w:t>
        </w:r>
        <w:r w:rsidRPr="006A1EC7">
          <w:rPr>
            <w:noProof/>
            <w:webHidden/>
          </w:rPr>
          <w:fldChar w:fldCharType="end"/>
        </w:r>
      </w:hyperlink>
    </w:p>
    <w:p w14:paraId="44C0F9C6" w14:textId="64F9E536" w:rsidR="006A1EC7" w:rsidRPr="006A1EC7" w:rsidRDefault="006A1EC7">
      <w:pPr>
        <w:pStyle w:val="TableofFigures"/>
        <w:tabs>
          <w:tab w:val="right" w:leader="dot" w:pos="8488"/>
        </w:tabs>
        <w:rPr>
          <w:rFonts w:eastAsiaTheme="minorEastAsia"/>
          <w:noProof/>
          <w:lang w:eastAsia="en-GB"/>
        </w:rPr>
      </w:pPr>
      <w:hyperlink w:anchor="_Toc40173064" w:history="1">
        <w:r w:rsidRPr="006A1EC7">
          <w:rPr>
            <w:rStyle w:val="Hyperlink"/>
            <w:rFonts w:eastAsiaTheme="majorEastAsia"/>
            <w:noProof/>
          </w:rPr>
          <w:t>Graphic 8: Braun &amp; Clarke (2006)’s: 6-step thematic analysis process</w:t>
        </w:r>
        <w:r w:rsidRPr="006A1EC7">
          <w:rPr>
            <w:noProof/>
            <w:webHidden/>
          </w:rPr>
          <w:tab/>
        </w:r>
        <w:r w:rsidRPr="006A1EC7">
          <w:rPr>
            <w:noProof/>
            <w:webHidden/>
          </w:rPr>
          <w:fldChar w:fldCharType="begin"/>
        </w:r>
        <w:r w:rsidRPr="006A1EC7">
          <w:rPr>
            <w:noProof/>
            <w:webHidden/>
          </w:rPr>
          <w:instrText xml:space="preserve"> PAGEREF _Toc40173064 \h </w:instrText>
        </w:r>
        <w:r w:rsidRPr="006A1EC7">
          <w:rPr>
            <w:noProof/>
            <w:webHidden/>
          </w:rPr>
        </w:r>
        <w:r w:rsidRPr="006A1EC7">
          <w:rPr>
            <w:noProof/>
            <w:webHidden/>
          </w:rPr>
          <w:fldChar w:fldCharType="separate"/>
        </w:r>
        <w:r w:rsidRPr="006A1EC7">
          <w:rPr>
            <w:noProof/>
            <w:webHidden/>
          </w:rPr>
          <w:t>56</w:t>
        </w:r>
        <w:r w:rsidRPr="006A1EC7">
          <w:rPr>
            <w:noProof/>
            <w:webHidden/>
          </w:rPr>
          <w:fldChar w:fldCharType="end"/>
        </w:r>
      </w:hyperlink>
    </w:p>
    <w:p w14:paraId="3A3AEE08" w14:textId="2BCBA4EF" w:rsidR="006A1EC7" w:rsidRPr="006A1EC7" w:rsidRDefault="006A1EC7">
      <w:pPr>
        <w:pStyle w:val="TableofFigures"/>
        <w:tabs>
          <w:tab w:val="right" w:leader="dot" w:pos="8488"/>
        </w:tabs>
        <w:rPr>
          <w:rFonts w:eastAsiaTheme="minorEastAsia"/>
          <w:noProof/>
          <w:lang w:eastAsia="en-GB"/>
        </w:rPr>
      </w:pPr>
      <w:hyperlink w:anchor="_Toc40173065" w:history="1">
        <w:r w:rsidRPr="006A1EC7">
          <w:rPr>
            <w:rStyle w:val="Hyperlink"/>
            <w:rFonts w:eastAsiaTheme="majorEastAsia"/>
            <w:noProof/>
          </w:rPr>
          <w:t>Graphic 9: UK Map illustrating the locations of interviews</w:t>
        </w:r>
        <w:r w:rsidRPr="006A1EC7">
          <w:rPr>
            <w:noProof/>
            <w:webHidden/>
          </w:rPr>
          <w:tab/>
        </w:r>
        <w:r w:rsidRPr="006A1EC7">
          <w:rPr>
            <w:noProof/>
            <w:webHidden/>
          </w:rPr>
          <w:fldChar w:fldCharType="begin"/>
        </w:r>
        <w:r w:rsidRPr="006A1EC7">
          <w:rPr>
            <w:noProof/>
            <w:webHidden/>
          </w:rPr>
          <w:instrText xml:space="preserve"> PAGEREF _Toc40173065 \h </w:instrText>
        </w:r>
        <w:r w:rsidRPr="006A1EC7">
          <w:rPr>
            <w:noProof/>
            <w:webHidden/>
          </w:rPr>
        </w:r>
        <w:r w:rsidRPr="006A1EC7">
          <w:rPr>
            <w:noProof/>
            <w:webHidden/>
          </w:rPr>
          <w:fldChar w:fldCharType="separate"/>
        </w:r>
        <w:r w:rsidRPr="006A1EC7">
          <w:rPr>
            <w:noProof/>
            <w:webHidden/>
          </w:rPr>
          <w:t>62</w:t>
        </w:r>
        <w:r w:rsidRPr="006A1EC7">
          <w:rPr>
            <w:noProof/>
            <w:webHidden/>
          </w:rPr>
          <w:fldChar w:fldCharType="end"/>
        </w:r>
      </w:hyperlink>
    </w:p>
    <w:p w14:paraId="01CA7F3A" w14:textId="35E2B81B" w:rsidR="006A1EC7" w:rsidRPr="006A1EC7" w:rsidRDefault="006A1EC7">
      <w:pPr>
        <w:pStyle w:val="TableofFigures"/>
        <w:tabs>
          <w:tab w:val="right" w:leader="dot" w:pos="8488"/>
        </w:tabs>
        <w:rPr>
          <w:rFonts w:eastAsiaTheme="minorEastAsia"/>
          <w:noProof/>
          <w:lang w:eastAsia="en-GB"/>
        </w:rPr>
      </w:pPr>
      <w:hyperlink w:anchor="_Toc40173066" w:history="1">
        <w:r w:rsidRPr="006A1EC7">
          <w:rPr>
            <w:rStyle w:val="Hyperlink"/>
            <w:rFonts w:eastAsiaTheme="majorEastAsia"/>
            <w:noProof/>
          </w:rPr>
          <w:t>Graphic 10: Overview of Themes developed from the interviews</w:t>
        </w:r>
        <w:r w:rsidRPr="006A1EC7">
          <w:rPr>
            <w:noProof/>
            <w:webHidden/>
          </w:rPr>
          <w:tab/>
        </w:r>
        <w:r w:rsidRPr="006A1EC7">
          <w:rPr>
            <w:noProof/>
            <w:webHidden/>
          </w:rPr>
          <w:fldChar w:fldCharType="begin"/>
        </w:r>
        <w:r w:rsidRPr="006A1EC7">
          <w:rPr>
            <w:noProof/>
            <w:webHidden/>
          </w:rPr>
          <w:instrText xml:space="preserve"> PAGEREF _Toc40173066 \h </w:instrText>
        </w:r>
        <w:r w:rsidRPr="006A1EC7">
          <w:rPr>
            <w:noProof/>
            <w:webHidden/>
          </w:rPr>
        </w:r>
        <w:r w:rsidRPr="006A1EC7">
          <w:rPr>
            <w:noProof/>
            <w:webHidden/>
          </w:rPr>
          <w:fldChar w:fldCharType="separate"/>
        </w:r>
        <w:r w:rsidRPr="006A1EC7">
          <w:rPr>
            <w:noProof/>
            <w:webHidden/>
          </w:rPr>
          <w:t>62</w:t>
        </w:r>
        <w:r w:rsidRPr="006A1EC7">
          <w:rPr>
            <w:noProof/>
            <w:webHidden/>
          </w:rPr>
          <w:fldChar w:fldCharType="end"/>
        </w:r>
      </w:hyperlink>
    </w:p>
    <w:p w14:paraId="507F9123" w14:textId="2D7C8746" w:rsidR="006A1EC7" w:rsidRPr="006A1EC7" w:rsidRDefault="006A1EC7">
      <w:pPr>
        <w:pStyle w:val="TableofFigures"/>
        <w:tabs>
          <w:tab w:val="right" w:leader="dot" w:pos="8488"/>
        </w:tabs>
        <w:rPr>
          <w:rFonts w:eastAsiaTheme="minorEastAsia"/>
          <w:noProof/>
          <w:lang w:eastAsia="en-GB"/>
        </w:rPr>
      </w:pPr>
      <w:hyperlink w:anchor="_Toc40173067" w:history="1">
        <w:r w:rsidRPr="006A1EC7">
          <w:rPr>
            <w:rStyle w:val="Hyperlink"/>
            <w:rFonts w:eastAsiaTheme="majorEastAsia"/>
            <w:noProof/>
          </w:rPr>
          <w:t>Graphic 11: Graphic representation of the Themes developed in the Qualitative Interview Study</w:t>
        </w:r>
        <w:r w:rsidRPr="006A1EC7">
          <w:rPr>
            <w:noProof/>
            <w:webHidden/>
          </w:rPr>
          <w:tab/>
        </w:r>
        <w:r w:rsidRPr="006A1EC7">
          <w:rPr>
            <w:noProof/>
            <w:webHidden/>
          </w:rPr>
          <w:fldChar w:fldCharType="begin"/>
        </w:r>
        <w:r w:rsidRPr="006A1EC7">
          <w:rPr>
            <w:noProof/>
            <w:webHidden/>
          </w:rPr>
          <w:instrText xml:space="preserve"> PAGEREF _Toc40173067 \h </w:instrText>
        </w:r>
        <w:r w:rsidRPr="006A1EC7">
          <w:rPr>
            <w:noProof/>
            <w:webHidden/>
          </w:rPr>
        </w:r>
        <w:r w:rsidRPr="006A1EC7">
          <w:rPr>
            <w:noProof/>
            <w:webHidden/>
          </w:rPr>
          <w:fldChar w:fldCharType="separate"/>
        </w:r>
        <w:r w:rsidRPr="006A1EC7">
          <w:rPr>
            <w:noProof/>
            <w:webHidden/>
          </w:rPr>
          <w:t>103</w:t>
        </w:r>
        <w:r w:rsidRPr="006A1EC7">
          <w:rPr>
            <w:noProof/>
            <w:webHidden/>
          </w:rPr>
          <w:fldChar w:fldCharType="end"/>
        </w:r>
      </w:hyperlink>
    </w:p>
    <w:p w14:paraId="48EFC6FB" w14:textId="2A0302FF" w:rsidR="006A1EC7" w:rsidRPr="006A1EC7" w:rsidRDefault="006A1EC7">
      <w:pPr>
        <w:pStyle w:val="TableofFigures"/>
        <w:tabs>
          <w:tab w:val="right" w:leader="dot" w:pos="8488"/>
        </w:tabs>
        <w:rPr>
          <w:rFonts w:eastAsiaTheme="minorEastAsia"/>
          <w:noProof/>
          <w:lang w:eastAsia="en-GB"/>
        </w:rPr>
      </w:pPr>
      <w:hyperlink w:anchor="_Toc40173068" w:history="1">
        <w:r w:rsidRPr="006A1EC7">
          <w:rPr>
            <w:rStyle w:val="Hyperlink"/>
            <w:rFonts w:eastAsiaTheme="majorEastAsia"/>
            <w:noProof/>
          </w:rPr>
          <w:t>Graphic 12: WHS: clinical features included in the COA’s first draft</w:t>
        </w:r>
        <w:r w:rsidRPr="006A1EC7">
          <w:rPr>
            <w:noProof/>
            <w:webHidden/>
          </w:rPr>
          <w:tab/>
        </w:r>
        <w:r w:rsidRPr="006A1EC7">
          <w:rPr>
            <w:noProof/>
            <w:webHidden/>
          </w:rPr>
          <w:fldChar w:fldCharType="begin"/>
        </w:r>
        <w:r w:rsidRPr="006A1EC7">
          <w:rPr>
            <w:noProof/>
            <w:webHidden/>
          </w:rPr>
          <w:instrText xml:space="preserve"> PAGEREF _Toc40173068 \h </w:instrText>
        </w:r>
        <w:r w:rsidRPr="006A1EC7">
          <w:rPr>
            <w:noProof/>
            <w:webHidden/>
          </w:rPr>
        </w:r>
        <w:r w:rsidRPr="006A1EC7">
          <w:rPr>
            <w:noProof/>
            <w:webHidden/>
          </w:rPr>
          <w:fldChar w:fldCharType="separate"/>
        </w:r>
        <w:r w:rsidRPr="006A1EC7">
          <w:rPr>
            <w:noProof/>
            <w:webHidden/>
          </w:rPr>
          <w:t>149</w:t>
        </w:r>
        <w:r w:rsidRPr="006A1EC7">
          <w:rPr>
            <w:noProof/>
            <w:webHidden/>
          </w:rPr>
          <w:fldChar w:fldCharType="end"/>
        </w:r>
      </w:hyperlink>
    </w:p>
    <w:p w14:paraId="31B15ECE" w14:textId="2172D95B" w:rsidR="006A1EC7" w:rsidRPr="006A1EC7" w:rsidRDefault="006A1EC7">
      <w:pPr>
        <w:pStyle w:val="TableofFigures"/>
        <w:tabs>
          <w:tab w:val="right" w:leader="dot" w:pos="8488"/>
        </w:tabs>
        <w:rPr>
          <w:rFonts w:eastAsiaTheme="minorEastAsia"/>
          <w:noProof/>
          <w:lang w:eastAsia="en-GB"/>
        </w:rPr>
      </w:pPr>
      <w:hyperlink w:anchor="_Toc40173069" w:history="1">
        <w:r w:rsidRPr="006A1EC7">
          <w:rPr>
            <w:rStyle w:val="Hyperlink"/>
            <w:rFonts w:eastAsiaTheme="majorEastAsia"/>
            <w:noProof/>
          </w:rPr>
          <w:t>Graphic 13: Conceptual Framework (Version 1)</w:t>
        </w:r>
        <w:r w:rsidRPr="006A1EC7">
          <w:rPr>
            <w:noProof/>
            <w:webHidden/>
          </w:rPr>
          <w:tab/>
        </w:r>
        <w:r w:rsidRPr="006A1EC7">
          <w:rPr>
            <w:noProof/>
            <w:webHidden/>
          </w:rPr>
          <w:fldChar w:fldCharType="begin"/>
        </w:r>
        <w:r w:rsidRPr="006A1EC7">
          <w:rPr>
            <w:noProof/>
            <w:webHidden/>
          </w:rPr>
          <w:instrText xml:space="preserve"> PAGEREF _Toc40173069 \h </w:instrText>
        </w:r>
        <w:r w:rsidRPr="006A1EC7">
          <w:rPr>
            <w:noProof/>
            <w:webHidden/>
          </w:rPr>
        </w:r>
        <w:r w:rsidRPr="006A1EC7">
          <w:rPr>
            <w:noProof/>
            <w:webHidden/>
          </w:rPr>
          <w:fldChar w:fldCharType="separate"/>
        </w:r>
        <w:r w:rsidRPr="006A1EC7">
          <w:rPr>
            <w:noProof/>
            <w:webHidden/>
          </w:rPr>
          <w:t>150</w:t>
        </w:r>
        <w:r w:rsidRPr="006A1EC7">
          <w:rPr>
            <w:noProof/>
            <w:webHidden/>
          </w:rPr>
          <w:fldChar w:fldCharType="end"/>
        </w:r>
      </w:hyperlink>
    </w:p>
    <w:p w14:paraId="7C8ED395" w14:textId="70031DED" w:rsidR="006A1EC7" w:rsidRPr="006A1EC7" w:rsidRDefault="006A1EC7">
      <w:pPr>
        <w:pStyle w:val="TableofFigures"/>
        <w:tabs>
          <w:tab w:val="right" w:leader="dot" w:pos="8488"/>
        </w:tabs>
        <w:rPr>
          <w:rFonts w:eastAsiaTheme="minorEastAsia"/>
          <w:noProof/>
          <w:lang w:eastAsia="en-GB"/>
        </w:rPr>
      </w:pPr>
      <w:hyperlink w:anchor="_Toc40173070" w:history="1">
        <w:r w:rsidRPr="006A1EC7">
          <w:rPr>
            <w:rStyle w:val="Hyperlink"/>
            <w:rFonts w:eastAsiaTheme="majorEastAsia"/>
            <w:noProof/>
          </w:rPr>
          <w:t>Graphic 14: Types of variables</w:t>
        </w:r>
        <w:r w:rsidRPr="006A1EC7">
          <w:rPr>
            <w:noProof/>
            <w:webHidden/>
          </w:rPr>
          <w:tab/>
        </w:r>
        <w:r w:rsidRPr="006A1EC7">
          <w:rPr>
            <w:noProof/>
            <w:webHidden/>
          </w:rPr>
          <w:fldChar w:fldCharType="begin"/>
        </w:r>
        <w:r w:rsidRPr="006A1EC7">
          <w:rPr>
            <w:noProof/>
            <w:webHidden/>
          </w:rPr>
          <w:instrText xml:space="preserve"> PAGEREF _Toc40173070 \h </w:instrText>
        </w:r>
        <w:r w:rsidRPr="006A1EC7">
          <w:rPr>
            <w:noProof/>
            <w:webHidden/>
          </w:rPr>
        </w:r>
        <w:r w:rsidRPr="006A1EC7">
          <w:rPr>
            <w:noProof/>
            <w:webHidden/>
          </w:rPr>
          <w:fldChar w:fldCharType="separate"/>
        </w:r>
        <w:r w:rsidRPr="006A1EC7">
          <w:rPr>
            <w:noProof/>
            <w:webHidden/>
          </w:rPr>
          <w:t>152</w:t>
        </w:r>
        <w:r w:rsidRPr="006A1EC7">
          <w:rPr>
            <w:noProof/>
            <w:webHidden/>
          </w:rPr>
          <w:fldChar w:fldCharType="end"/>
        </w:r>
      </w:hyperlink>
    </w:p>
    <w:p w14:paraId="0E57F7AA" w14:textId="505D43EC" w:rsidR="006A1EC7" w:rsidRPr="006A1EC7" w:rsidRDefault="006A1EC7">
      <w:pPr>
        <w:pStyle w:val="TableofFigures"/>
        <w:tabs>
          <w:tab w:val="right" w:leader="dot" w:pos="8488"/>
        </w:tabs>
        <w:rPr>
          <w:rFonts w:eastAsiaTheme="minorEastAsia"/>
          <w:noProof/>
          <w:lang w:eastAsia="en-GB"/>
        </w:rPr>
      </w:pPr>
      <w:hyperlink w:anchor="_Toc40173071" w:history="1">
        <w:r w:rsidRPr="006A1EC7">
          <w:rPr>
            <w:rStyle w:val="Hyperlink"/>
            <w:rFonts w:eastAsiaTheme="majorEastAsia"/>
            <w:noProof/>
          </w:rPr>
          <w:t>Graphic 15: Measurement Properties of Outcome Measurement Instruments (COSMIN initiative)</w:t>
        </w:r>
        <w:r w:rsidRPr="006A1EC7">
          <w:rPr>
            <w:noProof/>
            <w:webHidden/>
          </w:rPr>
          <w:tab/>
        </w:r>
        <w:r w:rsidRPr="006A1EC7">
          <w:rPr>
            <w:noProof/>
            <w:webHidden/>
          </w:rPr>
          <w:fldChar w:fldCharType="begin"/>
        </w:r>
        <w:r w:rsidRPr="006A1EC7">
          <w:rPr>
            <w:noProof/>
            <w:webHidden/>
          </w:rPr>
          <w:instrText xml:space="preserve"> PAGEREF _Toc40173071 \h </w:instrText>
        </w:r>
        <w:r w:rsidRPr="006A1EC7">
          <w:rPr>
            <w:noProof/>
            <w:webHidden/>
          </w:rPr>
        </w:r>
        <w:r w:rsidRPr="006A1EC7">
          <w:rPr>
            <w:noProof/>
            <w:webHidden/>
          </w:rPr>
          <w:fldChar w:fldCharType="separate"/>
        </w:r>
        <w:r w:rsidRPr="006A1EC7">
          <w:rPr>
            <w:noProof/>
            <w:webHidden/>
          </w:rPr>
          <w:t>155</w:t>
        </w:r>
        <w:r w:rsidRPr="006A1EC7">
          <w:rPr>
            <w:noProof/>
            <w:webHidden/>
          </w:rPr>
          <w:fldChar w:fldCharType="end"/>
        </w:r>
      </w:hyperlink>
    </w:p>
    <w:p w14:paraId="5FC4E409" w14:textId="5E9DFDDB" w:rsidR="006A1EC7" w:rsidRPr="006A1EC7" w:rsidRDefault="006A1EC7">
      <w:pPr>
        <w:pStyle w:val="TableofFigures"/>
        <w:tabs>
          <w:tab w:val="right" w:leader="dot" w:pos="8488"/>
        </w:tabs>
        <w:rPr>
          <w:rFonts w:eastAsiaTheme="minorEastAsia"/>
          <w:noProof/>
          <w:lang w:eastAsia="en-GB"/>
        </w:rPr>
      </w:pPr>
      <w:hyperlink w:anchor="_Toc40173072" w:history="1">
        <w:r w:rsidRPr="006A1EC7">
          <w:rPr>
            <w:rStyle w:val="Hyperlink"/>
            <w:rFonts w:eastAsiaTheme="majorEastAsia"/>
            <w:noProof/>
          </w:rPr>
          <w:t>Graphic 16: Graphic representation of themes</w:t>
        </w:r>
        <w:r w:rsidRPr="006A1EC7">
          <w:rPr>
            <w:noProof/>
            <w:webHidden/>
          </w:rPr>
          <w:tab/>
        </w:r>
        <w:r w:rsidRPr="006A1EC7">
          <w:rPr>
            <w:noProof/>
            <w:webHidden/>
          </w:rPr>
          <w:fldChar w:fldCharType="begin"/>
        </w:r>
        <w:r w:rsidRPr="006A1EC7">
          <w:rPr>
            <w:noProof/>
            <w:webHidden/>
          </w:rPr>
          <w:instrText xml:space="preserve"> PAGEREF _Toc40173072 \h </w:instrText>
        </w:r>
        <w:r w:rsidRPr="006A1EC7">
          <w:rPr>
            <w:noProof/>
            <w:webHidden/>
          </w:rPr>
        </w:r>
        <w:r w:rsidRPr="006A1EC7">
          <w:rPr>
            <w:noProof/>
            <w:webHidden/>
          </w:rPr>
          <w:fldChar w:fldCharType="separate"/>
        </w:r>
        <w:r w:rsidRPr="006A1EC7">
          <w:rPr>
            <w:noProof/>
            <w:webHidden/>
          </w:rPr>
          <w:t>164</w:t>
        </w:r>
        <w:r w:rsidRPr="006A1EC7">
          <w:rPr>
            <w:noProof/>
            <w:webHidden/>
          </w:rPr>
          <w:fldChar w:fldCharType="end"/>
        </w:r>
      </w:hyperlink>
    </w:p>
    <w:p w14:paraId="1F6D1EB7" w14:textId="74A240DE" w:rsidR="006A1EC7" w:rsidRPr="006A1EC7" w:rsidRDefault="006A1EC7">
      <w:pPr>
        <w:pStyle w:val="TableofFigures"/>
        <w:tabs>
          <w:tab w:val="right" w:leader="dot" w:pos="8488"/>
        </w:tabs>
        <w:rPr>
          <w:rFonts w:eastAsiaTheme="minorEastAsia"/>
          <w:noProof/>
          <w:lang w:eastAsia="en-GB"/>
        </w:rPr>
      </w:pPr>
      <w:hyperlink w:anchor="_Toc40173073" w:history="1">
        <w:r w:rsidRPr="006A1EC7">
          <w:rPr>
            <w:rStyle w:val="Hyperlink"/>
            <w:rFonts w:eastAsiaTheme="majorEastAsia"/>
            <w:noProof/>
          </w:rPr>
          <w:t>Graphic 17: Conceptual Framework post expert study</w:t>
        </w:r>
        <w:r w:rsidRPr="006A1EC7">
          <w:rPr>
            <w:noProof/>
            <w:webHidden/>
          </w:rPr>
          <w:tab/>
        </w:r>
        <w:r w:rsidRPr="006A1EC7">
          <w:rPr>
            <w:noProof/>
            <w:webHidden/>
          </w:rPr>
          <w:fldChar w:fldCharType="begin"/>
        </w:r>
        <w:r w:rsidRPr="006A1EC7">
          <w:rPr>
            <w:noProof/>
            <w:webHidden/>
          </w:rPr>
          <w:instrText xml:space="preserve"> PAGEREF _Toc40173073 \h </w:instrText>
        </w:r>
        <w:r w:rsidRPr="006A1EC7">
          <w:rPr>
            <w:noProof/>
            <w:webHidden/>
          </w:rPr>
        </w:r>
        <w:r w:rsidRPr="006A1EC7">
          <w:rPr>
            <w:noProof/>
            <w:webHidden/>
          </w:rPr>
          <w:fldChar w:fldCharType="separate"/>
        </w:r>
        <w:r w:rsidRPr="006A1EC7">
          <w:rPr>
            <w:noProof/>
            <w:webHidden/>
          </w:rPr>
          <w:t>172</w:t>
        </w:r>
        <w:r w:rsidRPr="006A1EC7">
          <w:rPr>
            <w:noProof/>
            <w:webHidden/>
          </w:rPr>
          <w:fldChar w:fldCharType="end"/>
        </w:r>
      </w:hyperlink>
    </w:p>
    <w:p w14:paraId="3840061B" w14:textId="55AD38DD" w:rsidR="006A1EC7" w:rsidRPr="006A1EC7" w:rsidRDefault="006A1EC7">
      <w:pPr>
        <w:pStyle w:val="TableofFigures"/>
        <w:tabs>
          <w:tab w:val="right" w:leader="dot" w:pos="8488"/>
        </w:tabs>
        <w:rPr>
          <w:rFonts w:eastAsiaTheme="minorEastAsia"/>
          <w:noProof/>
          <w:lang w:eastAsia="en-GB"/>
        </w:rPr>
      </w:pPr>
      <w:hyperlink w:anchor="_Toc40173074" w:history="1">
        <w:r w:rsidRPr="006A1EC7">
          <w:rPr>
            <w:rStyle w:val="Hyperlink"/>
            <w:rFonts w:eastAsiaTheme="majorEastAsia"/>
            <w:noProof/>
          </w:rPr>
          <w:t>Graphic 18: Measurement Properties of Outcome Measurement Instruments (COSMIN initiative)</w:t>
        </w:r>
        <w:r w:rsidRPr="006A1EC7">
          <w:rPr>
            <w:noProof/>
            <w:webHidden/>
          </w:rPr>
          <w:tab/>
        </w:r>
        <w:r w:rsidRPr="006A1EC7">
          <w:rPr>
            <w:noProof/>
            <w:webHidden/>
          </w:rPr>
          <w:fldChar w:fldCharType="begin"/>
        </w:r>
        <w:r w:rsidRPr="006A1EC7">
          <w:rPr>
            <w:noProof/>
            <w:webHidden/>
          </w:rPr>
          <w:instrText xml:space="preserve"> PAGEREF _Toc40173074 \h </w:instrText>
        </w:r>
        <w:r w:rsidRPr="006A1EC7">
          <w:rPr>
            <w:noProof/>
            <w:webHidden/>
          </w:rPr>
        </w:r>
        <w:r w:rsidRPr="006A1EC7">
          <w:rPr>
            <w:noProof/>
            <w:webHidden/>
          </w:rPr>
          <w:fldChar w:fldCharType="separate"/>
        </w:r>
        <w:r w:rsidRPr="006A1EC7">
          <w:rPr>
            <w:noProof/>
            <w:webHidden/>
          </w:rPr>
          <w:t>173</w:t>
        </w:r>
        <w:r w:rsidRPr="006A1EC7">
          <w:rPr>
            <w:noProof/>
            <w:webHidden/>
          </w:rPr>
          <w:fldChar w:fldCharType="end"/>
        </w:r>
      </w:hyperlink>
    </w:p>
    <w:p w14:paraId="0B37196C" w14:textId="18D0FE48" w:rsidR="006A1EC7" w:rsidRPr="006A1EC7" w:rsidRDefault="006A1EC7">
      <w:pPr>
        <w:pStyle w:val="TableofFigures"/>
        <w:tabs>
          <w:tab w:val="right" w:leader="dot" w:pos="8488"/>
        </w:tabs>
        <w:rPr>
          <w:rFonts w:eastAsiaTheme="minorEastAsia"/>
          <w:noProof/>
          <w:lang w:eastAsia="en-GB"/>
        </w:rPr>
      </w:pPr>
      <w:hyperlink w:anchor="_Toc40173075" w:history="1">
        <w:r w:rsidRPr="006A1EC7">
          <w:rPr>
            <w:rStyle w:val="Hyperlink"/>
            <w:rFonts w:eastAsiaTheme="majorEastAsia"/>
            <w:noProof/>
          </w:rPr>
          <w:t>Graphic 19: Number of completions per vignette, per time point</w:t>
        </w:r>
        <w:r w:rsidRPr="006A1EC7">
          <w:rPr>
            <w:noProof/>
            <w:webHidden/>
          </w:rPr>
          <w:tab/>
        </w:r>
        <w:r w:rsidRPr="006A1EC7">
          <w:rPr>
            <w:noProof/>
            <w:webHidden/>
          </w:rPr>
          <w:fldChar w:fldCharType="begin"/>
        </w:r>
        <w:r w:rsidRPr="006A1EC7">
          <w:rPr>
            <w:noProof/>
            <w:webHidden/>
          </w:rPr>
          <w:instrText xml:space="preserve"> PAGEREF _Toc40173075 \h </w:instrText>
        </w:r>
        <w:r w:rsidRPr="006A1EC7">
          <w:rPr>
            <w:noProof/>
            <w:webHidden/>
          </w:rPr>
        </w:r>
        <w:r w:rsidRPr="006A1EC7">
          <w:rPr>
            <w:noProof/>
            <w:webHidden/>
          </w:rPr>
          <w:fldChar w:fldCharType="separate"/>
        </w:r>
        <w:r w:rsidRPr="006A1EC7">
          <w:rPr>
            <w:noProof/>
            <w:webHidden/>
          </w:rPr>
          <w:t>189</w:t>
        </w:r>
        <w:r w:rsidRPr="006A1EC7">
          <w:rPr>
            <w:noProof/>
            <w:webHidden/>
          </w:rPr>
          <w:fldChar w:fldCharType="end"/>
        </w:r>
      </w:hyperlink>
    </w:p>
    <w:p w14:paraId="5BD6EF04" w14:textId="33E723A8" w:rsidR="006A1EC7" w:rsidRPr="006A1EC7" w:rsidRDefault="006A1EC7">
      <w:pPr>
        <w:pStyle w:val="TableofFigures"/>
        <w:tabs>
          <w:tab w:val="right" w:leader="dot" w:pos="8488"/>
        </w:tabs>
        <w:rPr>
          <w:rFonts w:eastAsiaTheme="minorEastAsia"/>
          <w:noProof/>
          <w:lang w:eastAsia="en-GB"/>
        </w:rPr>
      </w:pPr>
      <w:hyperlink w:anchor="_Toc40173076" w:history="1">
        <w:r w:rsidRPr="006A1EC7">
          <w:rPr>
            <w:rStyle w:val="Hyperlink"/>
            <w:rFonts w:eastAsiaTheme="majorEastAsia"/>
            <w:noProof/>
          </w:rPr>
          <w:t>Graphic 20: Participant Overview in the form of a pie chart</w:t>
        </w:r>
        <w:r w:rsidRPr="006A1EC7">
          <w:rPr>
            <w:noProof/>
            <w:webHidden/>
          </w:rPr>
          <w:tab/>
        </w:r>
        <w:r w:rsidRPr="006A1EC7">
          <w:rPr>
            <w:noProof/>
            <w:webHidden/>
          </w:rPr>
          <w:fldChar w:fldCharType="begin"/>
        </w:r>
        <w:r w:rsidRPr="006A1EC7">
          <w:rPr>
            <w:noProof/>
            <w:webHidden/>
          </w:rPr>
          <w:instrText xml:space="preserve"> PAGEREF _Toc40173076 \h </w:instrText>
        </w:r>
        <w:r w:rsidRPr="006A1EC7">
          <w:rPr>
            <w:noProof/>
            <w:webHidden/>
          </w:rPr>
        </w:r>
        <w:r w:rsidRPr="006A1EC7">
          <w:rPr>
            <w:noProof/>
            <w:webHidden/>
          </w:rPr>
          <w:fldChar w:fldCharType="separate"/>
        </w:r>
        <w:r w:rsidRPr="006A1EC7">
          <w:rPr>
            <w:noProof/>
            <w:webHidden/>
          </w:rPr>
          <w:t>191</w:t>
        </w:r>
        <w:r w:rsidRPr="006A1EC7">
          <w:rPr>
            <w:noProof/>
            <w:webHidden/>
          </w:rPr>
          <w:fldChar w:fldCharType="end"/>
        </w:r>
      </w:hyperlink>
    </w:p>
    <w:p w14:paraId="5F9C61CA" w14:textId="7B55A0D1" w:rsidR="006A1EC7" w:rsidRPr="006A1EC7" w:rsidRDefault="006A1EC7">
      <w:pPr>
        <w:pStyle w:val="TableofFigures"/>
        <w:tabs>
          <w:tab w:val="right" w:leader="dot" w:pos="8488"/>
        </w:tabs>
        <w:rPr>
          <w:rFonts w:eastAsiaTheme="minorEastAsia"/>
          <w:noProof/>
          <w:lang w:eastAsia="en-GB"/>
        </w:rPr>
      </w:pPr>
      <w:hyperlink w:anchor="_Toc40173077" w:history="1">
        <w:r w:rsidRPr="006A1EC7">
          <w:rPr>
            <w:rStyle w:val="Hyperlink"/>
            <w:rFonts w:eastAsiaTheme="majorEastAsia"/>
            <w:noProof/>
          </w:rPr>
          <w:t>Graphic 21: Themes derived from Analysis of Vignette Comments, using Content Analysis</w:t>
        </w:r>
        <w:r w:rsidRPr="006A1EC7">
          <w:rPr>
            <w:noProof/>
            <w:webHidden/>
          </w:rPr>
          <w:tab/>
        </w:r>
        <w:r w:rsidRPr="006A1EC7">
          <w:rPr>
            <w:noProof/>
            <w:webHidden/>
          </w:rPr>
          <w:fldChar w:fldCharType="begin"/>
        </w:r>
        <w:r w:rsidRPr="006A1EC7">
          <w:rPr>
            <w:noProof/>
            <w:webHidden/>
          </w:rPr>
          <w:instrText xml:space="preserve"> PAGEREF _Toc40173077 \h </w:instrText>
        </w:r>
        <w:r w:rsidRPr="006A1EC7">
          <w:rPr>
            <w:noProof/>
            <w:webHidden/>
          </w:rPr>
        </w:r>
        <w:r w:rsidRPr="006A1EC7">
          <w:rPr>
            <w:noProof/>
            <w:webHidden/>
          </w:rPr>
          <w:fldChar w:fldCharType="separate"/>
        </w:r>
        <w:r w:rsidRPr="006A1EC7">
          <w:rPr>
            <w:noProof/>
            <w:webHidden/>
          </w:rPr>
          <w:t>213</w:t>
        </w:r>
        <w:r w:rsidRPr="006A1EC7">
          <w:rPr>
            <w:noProof/>
            <w:webHidden/>
          </w:rPr>
          <w:fldChar w:fldCharType="end"/>
        </w:r>
      </w:hyperlink>
    </w:p>
    <w:p w14:paraId="2E974A43" w14:textId="0D606D75" w:rsidR="00780B57" w:rsidRPr="006A1EC7" w:rsidRDefault="00780B57" w:rsidP="00780B57">
      <w:pPr>
        <w:rPr>
          <w:rFonts w:eastAsia="Arial"/>
        </w:rPr>
      </w:pPr>
      <w:r w:rsidRPr="006A1EC7">
        <w:rPr>
          <w:rFonts w:eastAsia="Arial"/>
        </w:rPr>
        <w:fldChar w:fldCharType="end"/>
      </w:r>
    </w:p>
    <w:p w14:paraId="5399708A" w14:textId="77777777" w:rsidR="00780B57" w:rsidRPr="006A1EC7" w:rsidRDefault="00780B57" w:rsidP="00780B57">
      <w:pPr>
        <w:rPr>
          <w:rFonts w:eastAsia="Arial"/>
        </w:rPr>
      </w:pPr>
    </w:p>
    <w:p w14:paraId="6C119770" w14:textId="176A4729" w:rsidR="00780B57" w:rsidRPr="006A1EC7" w:rsidRDefault="00780B57" w:rsidP="00780B57">
      <w:pPr>
        <w:rPr>
          <w:rFonts w:eastAsia="Arial"/>
        </w:rPr>
      </w:pPr>
    </w:p>
    <w:p w14:paraId="68CFCCF1" w14:textId="2DAB8813" w:rsidR="0026747E" w:rsidRPr="006A1EC7" w:rsidRDefault="0026747E" w:rsidP="00780B57">
      <w:pPr>
        <w:rPr>
          <w:rFonts w:eastAsia="Arial"/>
        </w:rPr>
      </w:pPr>
      <w:r w:rsidRPr="006A1EC7">
        <w:rPr>
          <w:rFonts w:eastAsia="Arial"/>
        </w:rPr>
        <w:br w:type="page"/>
      </w:r>
    </w:p>
    <w:p w14:paraId="698876E0" w14:textId="77777777" w:rsidR="0026747E" w:rsidRPr="006A1EC7" w:rsidRDefault="0026747E" w:rsidP="0026747E">
      <w:pPr>
        <w:pStyle w:val="Heading1"/>
        <w:rPr>
          <w:rFonts w:ascii="Times New Roman" w:hAnsi="Times New Roman" w:cs="Times New Roman"/>
        </w:rPr>
      </w:pPr>
      <w:bookmarkStart w:id="13" w:name="_Toc25137909"/>
      <w:bookmarkStart w:id="14" w:name="_Toc40172974"/>
      <w:r w:rsidRPr="006A1EC7">
        <w:rPr>
          <w:rFonts w:ascii="Times New Roman" w:hAnsi="Times New Roman" w:cs="Times New Roman"/>
        </w:rPr>
        <w:lastRenderedPageBreak/>
        <w:t>List of abbreviations</w:t>
      </w:r>
      <w:bookmarkEnd w:id="13"/>
      <w:bookmarkEnd w:id="14"/>
    </w:p>
    <w:p w14:paraId="33455F3E" w14:textId="77777777" w:rsidR="0026747E" w:rsidRPr="006A1EC7" w:rsidRDefault="0026747E" w:rsidP="0026747E">
      <w:pPr>
        <w:spacing w:line="360" w:lineRule="auto"/>
      </w:pPr>
    </w:p>
    <w:p w14:paraId="0763AEA2" w14:textId="77777777" w:rsidR="0026747E" w:rsidRPr="006A1EC7" w:rsidRDefault="0026747E" w:rsidP="0026747E">
      <w:r w:rsidRPr="006A1EC7">
        <w:t>AM: Dr Alisdair McNeill, The University of Sheffield</w:t>
      </w:r>
    </w:p>
    <w:p w14:paraId="162F3FEA" w14:textId="77777777" w:rsidR="0026747E" w:rsidRPr="006A1EC7" w:rsidRDefault="0026747E" w:rsidP="0026747E"/>
    <w:p w14:paraId="2DB3BD4A" w14:textId="77777777" w:rsidR="0026747E" w:rsidRPr="006A1EC7" w:rsidRDefault="0026747E" w:rsidP="0026747E">
      <w:r w:rsidRPr="006A1EC7">
        <w:t>CF: Conceptual Framework</w:t>
      </w:r>
    </w:p>
    <w:p w14:paraId="63718C15" w14:textId="77777777" w:rsidR="0026747E" w:rsidRPr="006A1EC7" w:rsidRDefault="0026747E" w:rsidP="0026747E"/>
    <w:p w14:paraId="1617F76B" w14:textId="77777777" w:rsidR="0026747E" w:rsidRPr="006A1EC7" w:rsidRDefault="0026747E" w:rsidP="0026747E">
      <w:r w:rsidRPr="006A1EC7">
        <w:t>CFA: Confirmatory Factor Analysis</w:t>
      </w:r>
    </w:p>
    <w:p w14:paraId="307B8C07" w14:textId="77777777" w:rsidR="0026747E" w:rsidRPr="006A1EC7" w:rsidRDefault="0026747E" w:rsidP="0026747E"/>
    <w:p w14:paraId="0EB7BF50" w14:textId="77777777" w:rsidR="0026747E" w:rsidRPr="006A1EC7" w:rsidRDefault="0026747E" w:rsidP="0026747E">
      <w:r w:rsidRPr="006A1EC7">
        <w:t>COA: Clinical Outcome Assessment</w:t>
      </w:r>
    </w:p>
    <w:p w14:paraId="3A332094" w14:textId="77777777" w:rsidR="0026747E" w:rsidRPr="006A1EC7" w:rsidRDefault="0026747E" w:rsidP="0026747E"/>
    <w:p w14:paraId="5675904D" w14:textId="77777777" w:rsidR="0026747E" w:rsidRPr="006A1EC7" w:rsidRDefault="0026747E" w:rsidP="0026747E">
      <w:r w:rsidRPr="006A1EC7">
        <w:t>COI: Concept of Interest</w:t>
      </w:r>
    </w:p>
    <w:p w14:paraId="772DBF33" w14:textId="77777777" w:rsidR="0026747E" w:rsidRPr="006A1EC7" w:rsidRDefault="0026747E" w:rsidP="0026747E"/>
    <w:p w14:paraId="310CF094" w14:textId="77777777" w:rsidR="0026747E" w:rsidRPr="006A1EC7" w:rsidRDefault="0026747E" w:rsidP="0026747E">
      <w:r w:rsidRPr="006A1EC7">
        <w:t>CLINRO: Clinician-Reported Outcome Assessment</w:t>
      </w:r>
    </w:p>
    <w:p w14:paraId="58762AB7" w14:textId="77777777" w:rsidR="0026747E" w:rsidRPr="006A1EC7" w:rsidRDefault="0026747E" w:rsidP="0026747E"/>
    <w:p w14:paraId="48519D39" w14:textId="77777777" w:rsidR="0026747E" w:rsidRPr="006A1EC7" w:rsidRDefault="0026747E" w:rsidP="0026747E">
      <w:r w:rsidRPr="006A1EC7">
        <w:t>COPD: Chronic Obstructive Pulmonary Disease</w:t>
      </w:r>
    </w:p>
    <w:p w14:paraId="7E097F60" w14:textId="77777777" w:rsidR="0026747E" w:rsidRPr="006A1EC7" w:rsidRDefault="0026747E" w:rsidP="0026747E"/>
    <w:p w14:paraId="4D6886C0" w14:textId="77777777" w:rsidR="0026747E" w:rsidRPr="006A1EC7" w:rsidRDefault="0026747E" w:rsidP="0026747E">
      <w:r w:rsidRPr="006A1EC7">
        <w:rPr>
          <w:color w:val="000000" w:themeColor="text1"/>
        </w:rPr>
        <w:t xml:space="preserve">E-CHESS: Early </w:t>
      </w:r>
      <w:r w:rsidRPr="006A1EC7">
        <w:t xml:space="preserve">Childhood Epilepsy Severity Scale </w:t>
      </w:r>
    </w:p>
    <w:p w14:paraId="3E065DC6" w14:textId="77777777" w:rsidR="0026747E" w:rsidRPr="006A1EC7" w:rsidRDefault="0026747E" w:rsidP="0026747E"/>
    <w:p w14:paraId="15484F99" w14:textId="77777777" w:rsidR="0026747E" w:rsidRPr="006A1EC7" w:rsidRDefault="0026747E" w:rsidP="0026747E">
      <w:r w:rsidRPr="006A1EC7">
        <w:t>EFA: Exploratory Factor Analysis</w:t>
      </w:r>
    </w:p>
    <w:p w14:paraId="12224BD2" w14:textId="77777777" w:rsidR="0026747E" w:rsidRPr="006A1EC7" w:rsidRDefault="0026747E" w:rsidP="0026747E"/>
    <w:p w14:paraId="48C36359" w14:textId="77777777" w:rsidR="0026747E" w:rsidRPr="006A1EC7" w:rsidRDefault="0026747E" w:rsidP="0026747E">
      <w:r w:rsidRPr="006A1EC7">
        <w:t>EU: European Union</w:t>
      </w:r>
    </w:p>
    <w:p w14:paraId="0AC71FAF" w14:textId="77777777" w:rsidR="0026747E" w:rsidRPr="006A1EC7" w:rsidRDefault="0026747E" w:rsidP="0026747E"/>
    <w:p w14:paraId="14172198" w14:textId="77777777" w:rsidR="0026747E" w:rsidRPr="006A1EC7" w:rsidRDefault="0026747E" w:rsidP="0026747E">
      <w:r w:rsidRPr="006A1EC7">
        <w:t>FA: Factor Analysis</w:t>
      </w:r>
    </w:p>
    <w:p w14:paraId="56706D5A" w14:textId="77777777" w:rsidR="0026747E" w:rsidRPr="006A1EC7" w:rsidRDefault="0026747E" w:rsidP="0026747E"/>
    <w:p w14:paraId="32200B2F" w14:textId="77777777" w:rsidR="0026747E" w:rsidRPr="006A1EC7" w:rsidRDefault="0026747E" w:rsidP="0026747E">
      <w:r w:rsidRPr="006A1EC7">
        <w:t xml:space="preserve">ICF: International Classification of Functioning, Disability and Health Framework </w:t>
      </w:r>
    </w:p>
    <w:p w14:paraId="1259DCB9" w14:textId="77777777" w:rsidR="0026747E" w:rsidRPr="006A1EC7" w:rsidRDefault="0026747E" w:rsidP="0026747E"/>
    <w:p w14:paraId="1C756619" w14:textId="77777777" w:rsidR="0026747E" w:rsidRPr="006A1EC7" w:rsidRDefault="0026747E" w:rsidP="0026747E">
      <w:r w:rsidRPr="006A1EC7">
        <w:t xml:space="preserve">IQ: Intelligence Quotient </w:t>
      </w:r>
    </w:p>
    <w:p w14:paraId="5EDA8C18" w14:textId="77777777" w:rsidR="0026747E" w:rsidRPr="006A1EC7" w:rsidRDefault="0026747E" w:rsidP="0026747E"/>
    <w:p w14:paraId="013D6BB6" w14:textId="77777777" w:rsidR="0026747E" w:rsidRPr="006A1EC7" w:rsidRDefault="0026747E" w:rsidP="0026747E">
      <w:r w:rsidRPr="006A1EC7">
        <w:t>GJ: Professor Georgina Jones, Leeds Beckett University</w:t>
      </w:r>
    </w:p>
    <w:p w14:paraId="2C59C351" w14:textId="77777777" w:rsidR="0026747E" w:rsidRPr="006A1EC7" w:rsidRDefault="0026747E" w:rsidP="0026747E"/>
    <w:p w14:paraId="0AA6B5A0" w14:textId="77777777" w:rsidR="0026747E" w:rsidRPr="006A1EC7" w:rsidRDefault="0026747E" w:rsidP="0026747E">
      <w:r w:rsidRPr="006A1EC7">
        <w:t>GP: General Practitioner</w:t>
      </w:r>
    </w:p>
    <w:p w14:paraId="389266C6" w14:textId="77777777" w:rsidR="0026747E" w:rsidRPr="006A1EC7" w:rsidRDefault="0026747E" w:rsidP="0026747E"/>
    <w:p w14:paraId="637D7921" w14:textId="77777777" w:rsidR="0026747E" w:rsidRPr="006A1EC7" w:rsidRDefault="0026747E" w:rsidP="0026747E">
      <w:r w:rsidRPr="006A1EC7">
        <w:t>IQ: Intelligence Quotient</w:t>
      </w:r>
    </w:p>
    <w:p w14:paraId="5F9CDC2D" w14:textId="77777777" w:rsidR="0026747E" w:rsidRPr="006A1EC7" w:rsidRDefault="0026747E" w:rsidP="0026747E">
      <w:r w:rsidRPr="006A1EC7">
        <w:br/>
        <w:t>HCP: Health care professional</w:t>
      </w:r>
    </w:p>
    <w:p w14:paraId="1FB7877C" w14:textId="77777777" w:rsidR="0026747E" w:rsidRPr="006A1EC7" w:rsidRDefault="0026747E" w:rsidP="0026747E"/>
    <w:p w14:paraId="5ED5716B" w14:textId="77777777" w:rsidR="0026747E" w:rsidRPr="006A1EC7" w:rsidRDefault="0026747E" w:rsidP="0026747E">
      <w:r w:rsidRPr="006A1EC7">
        <w:t>HRQoL: Health-related Quality of Life</w:t>
      </w:r>
    </w:p>
    <w:p w14:paraId="3D6CF9C0" w14:textId="77777777" w:rsidR="0026747E" w:rsidRPr="006A1EC7" w:rsidRDefault="0026747E" w:rsidP="0026747E"/>
    <w:p w14:paraId="18B61976" w14:textId="77777777" w:rsidR="0026747E" w:rsidRPr="006A1EC7" w:rsidRDefault="0026747E" w:rsidP="0026747E">
      <w:r w:rsidRPr="006A1EC7">
        <w:t>IPA: Interpretative Phenomenological Analysis</w:t>
      </w:r>
    </w:p>
    <w:p w14:paraId="1CFB8E20" w14:textId="77777777" w:rsidR="0026747E" w:rsidRPr="006A1EC7" w:rsidRDefault="0026747E" w:rsidP="0026747E"/>
    <w:p w14:paraId="79881553" w14:textId="77777777" w:rsidR="0026747E" w:rsidRPr="006A1EC7" w:rsidRDefault="0026747E" w:rsidP="0026747E">
      <w:r w:rsidRPr="006A1EC7">
        <w:t>IQ: intelligence quotient</w:t>
      </w:r>
    </w:p>
    <w:p w14:paraId="74A6F7BA" w14:textId="77777777" w:rsidR="0026747E" w:rsidRPr="006A1EC7" w:rsidRDefault="0026747E" w:rsidP="0026747E"/>
    <w:p w14:paraId="447A8E09" w14:textId="77777777" w:rsidR="0026747E" w:rsidRPr="006A1EC7" w:rsidRDefault="0026747E" w:rsidP="0026747E">
      <w:r w:rsidRPr="006A1EC7">
        <w:t>KV: Katharina Vogt, author of this thesis</w:t>
      </w:r>
    </w:p>
    <w:p w14:paraId="2CA7C5AA" w14:textId="77777777" w:rsidR="0026747E" w:rsidRPr="006A1EC7" w:rsidRDefault="0026747E" w:rsidP="0026747E"/>
    <w:p w14:paraId="3B56CECB" w14:textId="77777777" w:rsidR="0026747E" w:rsidRPr="006A1EC7" w:rsidRDefault="0026747E" w:rsidP="0026747E">
      <w:r w:rsidRPr="006A1EC7">
        <w:t xml:space="preserve">OBSRO: Observer-reported Outcome </w:t>
      </w:r>
    </w:p>
    <w:p w14:paraId="0C4818E4" w14:textId="77777777" w:rsidR="0026747E" w:rsidRPr="006A1EC7" w:rsidRDefault="0026747E" w:rsidP="0026747E"/>
    <w:p w14:paraId="44EF9FD2" w14:textId="77777777" w:rsidR="0026747E" w:rsidRPr="006A1EC7" w:rsidRDefault="0026747E" w:rsidP="0026747E">
      <w:r w:rsidRPr="006A1EC7">
        <w:t>PECS: Picture Exchange Communication System</w:t>
      </w:r>
    </w:p>
    <w:p w14:paraId="37D30F96" w14:textId="77777777" w:rsidR="0026747E" w:rsidRPr="006A1EC7" w:rsidRDefault="0026747E" w:rsidP="0026747E"/>
    <w:p w14:paraId="3709AE3B" w14:textId="77777777" w:rsidR="0026747E" w:rsidRPr="006A1EC7" w:rsidRDefault="0026747E" w:rsidP="0026747E">
      <w:r w:rsidRPr="006A1EC7">
        <w:t>PerfRo: Performance Outcome Measure</w:t>
      </w:r>
    </w:p>
    <w:p w14:paraId="096DE4E1" w14:textId="77777777" w:rsidR="0026747E" w:rsidRPr="006A1EC7" w:rsidRDefault="0026747E" w:rsidP="0026747E">
      <w:r w:rsidRPr="006A1EC7">
        <w:lastRenderedPageBreak/>
        <w:t xml:space="preserve"> </w:t>
      </w:r>
    </w:p>
    <w:p w14:paraId="57F23E3D" w14:textId="77777777" w:rsidR="0026747E" w:rsidRPr="006A1EC7" w:rsidRDefault="0026747E" w:rsidP="0026747E">
      <w:r w:rsidRPr="006A1EC7">
        <w:t>PRO: Patient-reported Outcome</w:t>
      </w:r>
    </w:p>
    <w:p w14:paraId="034A9456" w14:textId="77777777" w:rsidR="0026747E" w:rsidRPr="006A1EC7" w:rsidRDefault="0026747E" w:rsidP="0026747E"/>
    <w:p w14:paraId="5F29697A" w14:textId="77777777" w:rsidR="0026747E" w:rsidRPr="006A1EC7" w:rsidRDefault="0026747E" w:rsidP="0026747E">
      <w:r w:rsidRPr="006A1EC7">
        <w:t>PRO: Patient-reported Outcome Measure</w:t>
      </w:r>
    </w:p>
    <w:p w14:paraId="52C05D0A" w14:textId="77777777" w:rsidR="0026747E" w:rsidRPr="006A1EC7" w:rsidRDefault="0026747E" w:rsidP="0026747E"/>
    <w:p w14:paraId="38BE32CF" w14:textId="77777777" w:rsidR="0026747E" w:rsidRPr="006A1EC7" w:rsidRDefault="0026747E" w:rsidP="0026747E">
      <w:r w:rsidRPr="006A1EC7">
        <w:t>QoL: Quality of Life</w:t>
      </w:r>
    </w:p>
    <w:p w14:paraId="73AFF16F" w14:textId="77777777" w:rsidR="0026747E" w:rsidRPr="006A1EC7" w:rsidRDefault="0026747E" w:rsidP="0026747E"/>
    <w:p w14:paraId="3FCE1F0B" w14:textId="77777777" w:rsidR="0026747E" w:rsidRPr="006A1EC7" w:rsidRDefault="0026747E" w:rsidP="0026747E">
      <w:r w:rsidRPr="006A1EC7">
        <w:t>RSV: Respiratory Syncytial Virus</w:t>
      </w:r>
    </w:p>
    <w:p w14:paraId="6189BC3D" w14:textId="77777777" w:rsidR="0026747E" w:rsidRPr="006A1EC7" w:rsidRDefault="0026747E" w:rsidP="0026747E"/>
    <w:p w14:paraId="7C0768CB" w14:textId="77777777" w:rsidR="0026747E" w:rsidRPr="006A1EC7" w:rsidRDefault="0026747E" w:rsidP="0026747E">
      <w:r w:rsidRPr="006A1EC7">
        <w:t xml:space="preserve">SPSS: Statistical Program for the Social Sciences </w:t>
      </w:r>
    </w:p>
    <w:p w14:paraId="434C1E85" w14:textId="77777777" w:rsidR="0026747E" w:rsidRPr="006A1EC7" w:rsidRDefault="0026747E" w:rsidP="0026747E"/>
    <w:p w14:paraId="5A3BA803" w14:textId="77777777" w:rsidR="0026747E" w:rsidRPr="006A1EC7" w:rsidRDefault="0026747E" w:rsidP="0026747E">
      <w:r w:rsidRPr="006A1EC7">
        <w:t>TA: Thematic Analysis</w:t>
      </w:r>
    </w:p>
    <w:p w14:paraId="3DA950CF" w14:textId="77777777" w:rsidR="0026747E" w:rsidRPr="006A1EC7" w:rsidRDefault="0026747E" w:rsidP="0026747E"/>
    <w:p w14:paraId="238DE73F" w14:textId="77777777" w:rsidR="0026747E" w:rsidRPr="006A1EC7" w:rsidRDefault="0026747E" w:rsidP="0026747E">
      <w:r w:rsidRPr="006A1EC7">
        <w:t>UK: United Kingdom</w:t>
      </w:r>
    </w:p>
    <w:p w14:paraId="15ED31C2" w14:textId="77777777" w:rsidR="0026747E" w:rsidRPr="006A1EC7" w:rsidRDefault="0026747E" w:rsidP="0026747E"/>
    <w:p w14:paraId="479A9919" w14:textId="77777777" w:rsidR="0026747E" w:rsidRPr="006A1EC7" w:rsidRDefault="0026747E" w:rsidP="0026747E">
      <w:r w:rsidRPr="006A1EC7">
        <w:t>U.S.: United States of America</w:t>
      </w:r>
    </w:p>
    <w:p w14:paraId="10F021B6" w14:textId="77777777" w:rsidR="0026747E" w:rsidRPr="006A1EC7" w:rsidRDefault="0026747E" w:rsidP="0026747E"/>
    <w:p w14:paraId="6749FD7C" w14:textId="77777777" w:rsidR="0026747E" w:rsidRPr="006A1EC7" w:rsidRDefault="0026747E" w:rsidP="0026747E">
      <w:r w:rsidRPr="006A1EC7">
        <w:t>U.S. FDA: U.S. Food and Drug Administration</w:t>
      </w:r>
    </w:p>
    <w:p w14:paraId="1C8E6AFF" w14:textId="77777777" w:rsidR="0026747E" w:rsidRPr="006A1EC7" w:rsidRDefault="0026747E" w:rsidP="0026747E"/>
    <w:p w14:paraId="1EAB7029" w14:textId="77777777" w:rsidR="0026747E" w:rsidRPr="006A1EC7" w:rsidRDefault="0026747E" w:rsidP="0026747E">
      <w:r w:rsidRPr="006A1EC7">
        <w:t>WHO: World Health Organisation</w:t>
      </w:r>
    </w:p>
    <w:p w14:paraId="31FA9F39" w14:textId="77777777" w:rsidR="0026747E" w:rsidRPr="006A1EC7" w:rsidRDefault="0026747E" w:rsidP="0026747E"/>
    <w:p w14:paraId="76BB2EBC" w14:textId="77777777" w:rsidR="0026747E" w:rsidRPr="006A1EC7" w:rsidRDefault="0026747E" w:rsidP="0026747E">
      <w:r w:rsidRPr="006A1EC7">
        <w:t>WHS: Wolf-Hirschhorn Syndrome (4p- syndrome)</w:t>
      </w:r>
    </w:p>
    <w:p w14:paraId="288FF953" w14:textId="77777777" w:rsidR="00780B57" w:rsidRPr="006A1EC7" w:rsidRDefault="00780B57" w:rsidP="00780B57">
      <w:pPr>
        <w:rPr>
          <w:rFonts w:eastAsia="Arial"/>
        </w:rPr>
      </w:pPr>
    </w:p>
    <w:p w14:paraId="124329B6" w14:textId="77777777" w:rsidR="00780B57" w:rsidRPr="006A1EC7" w:rsidRDefault="00780B57" w:rsidP="00780B57">
      <w:pPr>
        <w:rPr>
          <w:rFonts w:eastAsia="Arial"/>
        </w:rPr>
      </w:pPr>
    </w:p>
    <w:p w14:paraId="4D6C32B9" w14:textId="407F3B45" w:rsidR="00780B57" w:rsidRPr="006A1EC7" w:rsidRDefault="00780B57" w:rsidP="00780B57">
      <w:pPr>
        <w:rPr>
          <w:rFonts w:eastAsia="Arial"/>
        </w:rPr>
        <w:sectPr w:rsidR="00780B57" w:rsidRPr="006A1EC7" w:rsidSect="00BE7390">
          <w:pgSz w:w="11900" w:h="16840"/>
          <w:pgMar w:top="1440" w:right="1701" w:bottom="1440" w:left="1701" w:header="720" w:footer="720" w:gutter="0"/>
          <w:pgNumType w:fmt="lowerRoman"/>
          <w:cols w:space="720"/>
          <w:titlePg/>
          <w:docGrid w:linePitch="360"/>
        </w:sectPr>
      </w:pPr>
    </w:p>
    <w:p w14:paraId="23A07B3F" w14:textId="0C810A13" w:rsidR="00D20EB9" w:rsidRPr="006A1EC7" w:rsidRDefault="00D20EB9" w:rsidP="00D20EB9">
      <w:pPr>
        <w:pStyle w:val="Heading1"/>
        <w:spacing w:line="360" w:lineRule="auto"/>
        <w:rPr>
          <w:rFonts w:ascii="Times New Roman" w:eastAsia="Arial" w:hAnsi="Times New Roman" w:cs="Times New Roman"/>
        </w:rPr>
      </w:pPr>
      <w:bookmarkStart w:id="15" w:name="_Toc40172975"/>
      <w:r w:rsidRPr="006A1EC7">
        <w:rPr>
          <w:rFonts w:ascii="Times New Roman" w:eastAsia="Arial" w:hAnsi="Times New Roman" w:cs="Times New Roman"/>
        </w:rPr>
        <w:lastRenderedPageBreak/>
        <w:t>Chapter 1: Introduction</w:t>
      </w:r>
      <w:bookmarkEnd w:id="0"/>
      <w:bookmarkEnd w:id="15"/>
    </w:p>
    <w:p w14:paraId="5EA4E831" w14:textId="77777777" w:rsidR="00D20EB9" w:rsidRPr="006A1EC7" w:rsidRDefault="00D20EB9" w:rsidP="00D20EB9">
      <w:pPr>
        <w:spacing w:line="360" w:lineRule="auto"/>
        <w:rPr>
          <w:rFonts w:eastAsia="Arial"/>
        </w:rPr>
      </w:pPr>
    </w:p>
    <w:p w14:paraId="776C8480" w14:textId="5B31769C" w:rsidR="00D20EB9" w:rsidRPr="006A1EC7" w:rsidRDefault="00D20EB9" w:rsidP="00D20EB9">
      <w:pPr>
        <w:spacing w:line="360" w:lineRule="auto"/>
        <w:ind w:firstLine="720"/>
        <w:rPr>
          <w:rFonts w:eastAsia="Arial"/>
        </w:rPr>
      </w:pPr>
      <w:r w:rsidRPr="006A1EC7">
        <w:rPr>
          <w:rFonts w:eastAsia="Arial"/>
        </w:rPr>
        <w:t xml:space="preserve">There are an estimated 7000 rare diseases; affecting around 350 million people worldwide. The majority are genetic in nature, chronic and often life-limiting </w:t>
      </w:r>
      <w:r w:rsidRPr="006A1EC7">
        <w:fldChar w:fldCharType="begin" w:fldLock="1"/>
      </w:r>
      <w:r w:rsidRPr="006A1EC7">
        <w:instrText>ADDIN CSL_CITATION {"citationItems":[{"id":"ITEM-1","itemData":{"author":[{"dropping-particle":"","family":"Global Genes","given":"","non-dropping-particle":"","parse-names":false,"suffix":""}],"id":"ITEM-1","issued":{"date-parts":[["2017"]]},"title":"Rare Disease: Facts and Statistics","type":"thesis"},"uris":["http://www.mendeley.com/documents/?uuid=48c9b53b-f760-4b50-b041-de751d623209"]},{"id":"ITEM-2","itemData":{"ISBN":"2013010710","author":[{"dropping-particle":"","family":"Department of Health","given":"","non-dropping-particle":"","parse-names":false,"suffix":""}],"id":"ITEM-2","issue":"November","issued":{"date-parts":[["2013"]]},"title":"The UK Strategy for Rare Diseases","type":"report"},"uris":["http://www.mendeley.com/documents/?uuid=02383414-239a-4c80-aa97-53dc9742ebff"]},{"id":"ITEM-3","itemData":{"URL":"http://www.eurordis.org/about-rare-diseases","accessed":{"date-parts":[["2017","9","18"]]},"author":[{"dropping-particle":"","family":"Eurodis (Rare Diseases Europe)","given":"","non-dropping-particle":"","parse-names":false,"suffix":""}],"id":"ITEM-3","issued":{"date-parts":[["2017"]]},"title":"About Rare Diseases","type":"webpage"},"uris":["http://www.mendeley.com/documents/?uuid=51ecef33-e1ea-47a8-bc16-8e18353f621f"]},{"id":"ITEM-4","itemData":{"URL":"http://www.eurordis.org/content/what-rare-disease","accessed":{"date-parts":[["2017","9","19"]]},"author":[{"dropping-particle":"","family":"Eurodis (Rare Diseases Europe)","given":"","non-dropping-particle":"","parse-names":false,"suffix":""}],"id":"ITEM-4","issued":{"date-parts":[["2014"]]},"title":"What is a rare disease?","type":"webpage"},"uris":["http://www.mendeley.com/documents/?uuid=6393be53-3d47-4951-b840-d9a9846c6423"]},{"id":"ITEM-5","itemData":{"author":[{"dropping-particle":"","family":"Eurodis (Rare Diseases Europe)","given":"","non-dropping-particle":"","parse-names":false,"suffix":""}],"id":"ITEM-5","issue":"November","issued":{"date-parts":[["2005"]]},"title":"“ Rare Diseases : understanding this Public Health Priority ”","type":"report"},"uris":["http://www.mendeley.com/documents/?uuid=61217cad-eec2-409a-9e73-0c9d8901e8f7"]}],"mendeley":{"formattedCitation":"(Department of Health, 2013; Eurodis (Rare Diseases Europe), 2005, 2014, 2017; Global Genes, 2017)","plainTextFormattedCitation":"(Department of Health, 2013; Eurodis (Rare Diseases Europe), 2005, 2014, 2017; Global Genes, 2017)","previouslyFormattedCitation":"(Department of Health, 2013; Eurodis (Rare Diseases Europe), 2005, 2014, 2017; Global Genes, 2017)"},"properties":{"noteIndex":0},"schema":"https://github.com/citation-style-language/schema/raw/master/csl-citation.json"}</w:instrText>
      </w:r>
      <w:r w:rsidRPr="006A1EC7">
        <w:fldChar w:fldCharType="separate"/>
      </w:r>
      <w:r w:rsidRPr="006A1EC7">
        <w:rPr>
          <w:noProof/>
        </w:rPr>
        <w:t>(Department of Health, 2013; Eurodis (Rare Diseases Europe), 2005, 2014, 2017; Global Genes, 2017)</w:t>
      </w:r>
      <w:r w:rsidRPr="006A1EC7">
        <w:fldChar w:fldCharType="end"/>
      </w:r>
      <w:r w:rsidRPr="006A1EC7">
        <w:rPr>
          <w:rFonts w:eastAsia="Arial"/>
        </w:rPr>
        <w:t xml:space="preserve">. One such rare disease is </w:t>
      </w:r>
      <w:r w:rsidR="009F0718" w:rsidRPr="006A1EC7">
        <w:rPr>
          <w:rFonts w:eastAsia="Arial"/>
        </w:rPr>
        <w:t>Wolf-Hirschhorn Syndrome</w:t>
      </w:r>
      <w:r w:rsidRPr="006A1EC7">
        <w:rPr>
          <w:rFonts w:eastAsia="Arial"/>
        </w:rPr>
        <w:t xml:space="preserve"> (WHS), caused by a deletion of the short arm (p) of chromosome 4, with a live birth incidence of 1 in 50 000 - 96 000 </w:t>
      </w:r>
      <w:r w:rsidRPr="006A1EC7">
        <w:rPr>
          <w:color w:val="000000" w:themeColor="text1"/>
        </w:rPr>
        <w:fldChar w:fldCharType="begin" w:fldLock="1"/>
      </w:r>
      <w:r w:rsidRPr="006A1EC7">
        <w:rPr>
          <w:color w:val="000000" w:themeColor="text1"/>
        </w:rPr>
        <w:instrText>ADDIN CSL_CITATION {"citationItems":[{"id":"ITEM-1","itemData":{"DOI":"10.1136/jmg.38.10.674","ISBN":"1468-6244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genetics","id":"ITEM-1","issue":"10","issued":{"date-parts":[["2001","10"]]},"language":"English","note":"From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mortality.","type":"article-journal","volume":"38"},"uris":["http://www.mendeley.com/documents/?uuid=01ece509-b613-40ab-ac37-fa4a5c49d71d"]}],"mendeley":{"formattedCitation":"(Shannon, Maltby, Rigby, &amp; Quarrell, 2001)","plainTextFormattedCitation":"(Shannon, Maltby, Rigby, &amp; Quarrell, 2001)","previouslyFormattedCitation":"(Shannon, Maltby, Rigby, &amp; Quarrell, 2001)"},"properties":{"noteIndex":0},"schema":"https://github.com/citation-style-language/schema/raw/master/csl-citation.json"}</w:instrText>
      </w:r>
      <w:r w:rsidRPr="006A1EC7">
        <w:rPr>
          <w:color w:val="000000" w:themeColor="text1"/>
        </w:rPr>
        <w:fldChar w:fldCharType="separate"/>
      </w:r>
      <w:r w:rsidRPr="006A1EC7">
        <w:rPr>
          <w:noProof/>
          <w:color w:val="000000" w:themeColor="text1"/>
        </w:rPr>
        <w:t>(Shannon, Maltby, Rigby, &amp; Quarrell, 2001)</w:t>
      </w:r>
      <w:r w:rsidRPr="006A1EC7">
        <w:rPr>
          <w:color w:val="000000" w:themeColor="text1"/>
        </w:rPr>
        <w:fldChar w:fldCharType="end"/>
      </w:r>
      <w:r w:rsidRPr="006A1EC7">
        <w:rPr>
          <w:rFonts w:eastAsia="Arial"/>
        </w:rPr>
        <w:t xml:space="preserve">. The symptom profile associated with WHS is heterogeneous, but includes epilepsy, learning disability, cardiac defects and hypotonia </w:t>
      </w:r>
      <w:r w:rsidRPr="006A1EC7">
        <w:rPr>
          <w:rFonts w:eastAsia="Arial"/>
        </w:rPr>
        <w:fldChar w:fldCharType="begin" w:fldLock="1"/>
      </w:r>
      <w:r w:rsidRPr="006A1EC7">
        <w:rPr>
          <w:rFonts w:eastAsia="Arial"/>
        </w:rPr>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update","type":"article-journal","volume":"169"},"uris":["http://www.mendeley.com/documents/?uuid=24c81fdd-ba44-4a54-bde3-6fe1c64d9570"]},{"id":"ITEM-2","itemData":{"DOI":"10.2478/bjmg-2014-0021","ISSN":"1311-0160","abstract":"Wolf-Hirschhorn syndrome (WHS) is a rare chromosomal disorder caused by terminal deletion of the short arm of chromosome 4. The clinical picture includes growth retardation, severe mental retardation, characteristic “Greek helmet” like face, seizures and midline defects in the brain, heart, palate and genitalia. Recently-used molecular techniques increase the number of diagnosed cases due to the detection of smaller deletions. The severity of the clinical presentation is variable depending on the haploinsufficiency of genes in a deleted region.","author":[{"dropping-particle":"","family":"Sukarova-Angelovska","given":"E","non-dropping-particle":"","parse-names":false,"suffix":""},{"dropping-particle":"","family":"Kocova","given":"M","non-dropping-particle":"","parse-names":false,"suffix":""},{"dropping-particle":"","family":"Sabolich","given":"V","non-dropping-particle":"","parse-names":false,"suffix":""},{"dropping-particle":"","family":"Palcevska","given":"S","non-dropping-particle":"","parse-names":false,"suffix":""},{"dropping-particle":"","family":"Angelkova","given":"N","non-dropping-particle":"","parse-names":false,"suffix":""}],"container-title":"Balkan Journal of Medical Genetics","id":"ITEM-2","issue":"1","issued":{"date-parts":[["2014"]]},"page":"23-30","title":"Phenotypic Variations in Wolfhirschhorn Syndrome","type":"article-journal","volume":"17"},"uris":["http://www.mendeley.com/documents/?uuid=316ec31e-fdd7-485a-a83e-ff103fe9e72f"]},{"id":"ITEM-3","itemData":{"DOI":"10.1046/j.1365-2788.2002.00441.x","ISBN":"0964-2633 (Print)\\r0964-2633 (Linking)","ISSN":"09642633","PMID":"12354314","abstract":"BACKGROUND: Wolf-Hirschhorn syndrome (WHS) is a genetic condition characterized by many clinical disorders, learning difficulties, dysphagia, neuromotor deficits and communicative deficits. Up until now, no studies in the literature have described the development of communicative and functional abilities in subjects with WHS. METHOD: In the present study of 11 patients with WHS, a descriptive analysis was made of several abilities and three groups of patients were identified on the basis of the severity of their functional deficit. RESULTS: A non-homogeneous picture of impairment emerged in various areas of development. Overall, the neuromotor abilities of these patients were more adequate than their abilities related to autonomy in personal life, alimentary function, and cognitive and communicative-linguistic aspects. CONCLUSION: Based on the identification of specific patterns of communicative and functional impairment in subjects with WHS, rehabilitative intervention strategies can be planned to increase their communicative opportunities, and possibilities for active and autonomous participation in various life contexts (e.g. home, school and the social environment).","author":[{"dropping-particle":"","family":"Sabbadini","given":"M.","non-dropping-particle":"","parse-names":false,"suffix":""},{"dropping-particle":"","family":"Bombardi","given":"P.","non-dropping-particle":"","parse-names":false,"suffix":""},{"dropping-particle":"","family":"Carlesimo","given":"G. A.","non-dropping-particle":"","parse-names":false,"suffix":""},{"dropping-particle":"","family":"Rosato","given":"V.","non-dropping-particle":"","parse-names":false,"suffix":""},{"dropping-particle":"","family":"Pierro","given":"M. M.","non-dropping-particle":"","parse-names":false,"suffix":""}],"container-title":"Journal of Intellectual Disability Research","id":"ITEM-3","issue":"7","issued":{"date-parts":[["2002"]]},"page":"575-582","title":"Evaluation of communicative and functional abilities in Wolf-Hirshhorn syndrome","type":"article-journal","volume":"46"},"uris":["http://www.mendeley.com/documents/?uuid=0c03b625-5e35-44f5-8a79-47377293009e"]}],"mendeley":{"formattedCitation":"(Agatino Battaglia, Carey, &amp; South, 2015a; Sabbadini, Bombardi, Carlesimo, Rosato, &amp; Pierro, 2002; Sukarova-Angelovska, Kocova, Sabolich, Palcevska, &amp; Angelkova, 2014)","manualFormatting":"(Battaglia, Carey, &amp; South, 2015; Sabbadini, Bombardi, Carlesimo, Rosato, &amp; Pierro, 2002; Sukarova-Angelovska, Kocova, Sabolich, Palcevska, &amp; Angelkova, 2014)","plainTextFormattedCitation":"(Agatino Battaglia, Carey, &amp; South, 2015a; Sabbadini, Bombardi, Carlesimo, Rosato, &amp; Pierro, 2002; Sukarova-Angelovska, Kocova, Sabolich, Palcevska, &amp; Angelkova, 2014)","previouslyFormattedCitation":"(Agatino Battaglia, Carey, &amp; South, 2015a; Sabbadini, Bombardi, Carlesimo, Rosato, &amp; Pierro, 2002; Sukarova-Angelovska, Kocova, Sabolich, Palcevska, &amp; Angelkova, 2014)"},"properties":{"noteIndex":0},"schema":"https://github.com/citation-style-language/schema/raw/master/csl-citation.json"}</w:instrText>
      </w:r>
      <w:r w:rsidRPr="006A1EC7">
        <w:rPr>
          <w:rFonts w:eastAsia="Arial"/>
        </w:rPr>
        <w:fldChar w:fldCharType="separate"/>
      </w:r>
      <w:r w:rsidRPr="006A1EC7">
        <w:rPr>
          <w:rFonts w:eastAsia="Arial"/>
          <w:noProof/>
        </w:rPr>
        <w:t>(Battaglia, Carey, &amp; South, 2015; Sabbadini, Bombardi, Carlesimo, Rosato, &amp; Pierro, 2002; Sukarova-Angelovska, Kocova, Sabolich, Palcevska, &amp; Angelkova, 2014)</w:t>
      </w:r>
      <w:r w:rsidRPr="006A1EC7">
        <w:rPr>
          <w:rFonts w:eastAsia="Arial"/>
        </w:rPr>
        <w:fldChar w:fldCharType="end"/>
      </w:r>
    </w:p>
    <w:p w14:paraId="6CCD3778" w14:textId="751CB3EE" w:rsidR="00D20EB9" w:rsidRPr="006A1EC7" w:rsidRDefault="00D20EB9" w:rsidP="00D20EB9">
      <w:pPr>
        <w:spacing w:line="360" w:lineRule="auto"/>
        <w:ind w:firstLine="720"/>
        <w:rPr>
          <w:rFonts w:eastAsia="Arial"/>
        </w:rPr>
      </w:pPr>
      <w:r w:rsidRPr="006A1EC7">
        <w:rPr>
          <w:rFonts w:eastAsia="Arial"/>
        </w:rPr>
        <w:t xml:space="preserve">Due to the complexity and rarity of these diseases there is a plethora of unmet clinical needs, which include the assessment of health status and functioning </w:t>
      </w:r>
      <w:r w:rsidRPr="006A1EC7">
        <w:fldChar w:fldCharType="begin" w:fldLock="1"/>
      </w:r>
      <w:r w:rsidRPr="006A1EC7">
        <w:instrText>ADDIN CSL_CITATION {"citationItems":[{"id":"ITEM-1","itemData":{"DOI":"10.1136/bmj.d4163","author":[{"dropping-particle":"","family":"Huber","given":"M","non-dropping-particle":"","parse-names":false,"suffix":""},{"dropping-particle":"","family":"Knotterus","given":"A","non-dropping-particle":"","parse-names":false,"suffix":""},{"dropping-particle":"","family":"Green","given":"L","non-dropping-particle":"","parse-names":false,"suffix":""},{"dropping-particle":"","family":"Horst","given":"H","non-dropping-particle":"van der","parse-names":false,"suffix":""},{"dropping-particle":"","family":"Jadad","given":"A","non-dropping-particle":"","parse-names":false,"suffix":""},{"dropping-particle":"","family":"Kromhout","given":"D","non-dropping-particle":"","parse-names":false,"suffix":""},{"dropping-particle":"","family":"Leonard","given":"B","non-dropping-particle":"","parse-names":false,"suffix":""},{"dropping-particle":"","family":"Lorig","given":"K","non-dropping-particle":"","parse-names":false,"suffix":""},{"dropping-particle":"","family":"Loureiro","given":"M","non-dropping-particle":"","parse-names":false,"suffix":""},{"dropping-particle":"","family":"Meer","given":"J","non-dropping-particle":"van den","parse-names":false,"suffix":""},{"dropping-particle":"","family":"Schnabel","given":"P","non-dropping-particle":"","parse-names":false,"suffix":""},{"dropping-particle":"","family":"Smith","given":"R","non-dropping-particle":"","parse-names":false,"suffix":""},{"dropping-particle":"","family":"Weel","given":"C","non-dropping-particle":"van","parse-names":false,"suffix":""},{"dropping-particle":"","family":"Smid","given":"H","non-dropping-particle":"","parse-names":false,"suffix":""}],"container-title":"British Medical Journal","id":"ITEM-1","issued":{"date-parts":[["2011"]]},"page":"1-3","title":"How should we define health ?","type":"article-journal"},"uris":["http://www.mendeley.com/documents/?uuid=3e66224a-ce74-4f55-8882-15e3092aa562"]}],"mendeley":{"formattedCitation":"(Huber et al., 2011)","plainTextFormattedCitation":"(Huber et al., 2011)","previouslyFormattedCitation":"(Huber et al., 2011)"},"properties":{"noteIndex":0},"schema":"https://github.com/citation-style-language/schema/raw/master/csl-citation.json"}</w:instrText>
      </w:r>
      <w:r w:rsidRPr="006A1EC7">
        <w:fldChar w:fldCharType="separate"/>
      </w:r>
      <w:r w:rsidRPr="006A1EC7">
        <w:rPr>
          <w:noProof/>
        </w:rPr>
        <w:t>(Huber et al., 2011)</w:t>
      </w:r>
      <w:r w:rsidRPr="006A1EC7">
        <w:fldChar w:fldCharType="end"/>
      </w:r>
      <w:r w:rsidRPr="006A1EC7">
        <w:rPr>
          <w:rFonts w:eastAsia="Arial"/>
        </w:rPr>
        <w:t>. Traditional definitions of ‘</w:t>
      </w:r>
      <w:r w:rsidRPr="006A1EC7">
        <w:rPr>
          <w:rFonts w:eastAsia="Arial"/>
          <w:i/>
        </w:rPr>
        <w:t>health</w:t>
      </w:r>
      <w:r w:rsidRPr="006A1EC7">
        <w:rPr>
          <w:rFonts w:eastAsia="Arial"/>
        </w:rPr>
        <w:t>’ fail patients with rare diseases due to the goal of ‘</w:t>
      </w:r>
      <w:r w:rsidRPr="006A1EC7">
        <w:rPr>
          <w:rFonts w:eastAsia="Arial"/>
          <w:i/>
        </w:rPr>
        <w:t>complete health’</w:t>
      </w:r>
      <w:r w:rsidRPr="006A1EC7">
        <w:rPr>
          <w:rFonts w:eastAsia="Arial"/>
        </w:rPr>
        <w:t xml:space="preserve"> being neither realistic nor obtainable for patients whose illnesses are characterised as chronic. There are discrepancies between </w:t>
      </w:r>
      <w:r w:rsidRPr="006A1EC7">
        <w:rPr>
          <w:rFonts w:eastAsia="Arial"/>
          <w:color w:val="000000" w:themeColor="text1"/>
        </w:rPr>
        <w:t xml:space="preserve">perceptions of indicators of ‘health’ between patients, or their advocates and families, and </w:t>
      </w:r>
      <w:r w:rsidRPr="006A1EC7">
        <w:rPr>
          <w:rFonts w:eastAsia="Arial"/>
        </w:rPr>
        <w:t xml:space="preserve">treating health care professionals </w:t>
      </w:r>
      <w:r w:rsidRPr="006A1EC7">
        <w:fldChar w:fldCharType="begin" w:fldLock="1"/>
      </w:r>
      <w:r w:rsidRPr="006A1EC7">
        <w:instrText>ADDIN CSL_CITATION {"citationItems":[{"id":"ITEM-1","itemData":{"author":[{"dropping-particle":"","family":"IRDiRc","given":"","non-dropping-particle":"","parse-names":false,"suffix":""}],"container-title":"International Rare Disease Research Consortium","id":"ITEM-1","issue":"February","issued":{"date-parts":[["2016"]]},"title":"Patient-Centered Outcome Measures Initiatives in the Field of Rare Diseases February 2016","type":"article-journal"},"uris":["http://www.mendeley.com/documents/?uuid=b7393621-9e3e-4be4-bfd4-91aa7f2ac852"]},{"id":"ITEM-2","itemData":{"URL":"http://blogs.bmj.com/bmj/2008/07/08/richard-smith-the-end-of-disease-and-the-beginning-of-health/","accessed":{"date-parts":[["2017","9","18"]]},"author":[{"dropping-particle":"","family":"Smith","given":"R","non-dropping-particle":"","parse-names":false,"suffix":""}],"container-title":"British Medical Journal","id":"ITEM-2","issued":{"date-parts":[["2008"]]},"title":"The end of disease and the beginning of health","type":"webpage"},"uris":["http://www.mendeley.com/documents/?uuid=7df8be7e-30a3-416f-8d8d-25e289d6c641"]},{"id":"ITEM-3","itemData":{"DOI":"10.1038/bjc.1988.20","ISBN":"0007-0920 LA - eng PT - Journal Article","ISSN":"0007-0920","PMID":"3348942","abstract":"The extent to which a doctor or health professional can make a valid assessment of a patient's quality of life, anxiety and depression was investigated in a series of cancer patients. Doctors and patients filled out the same forms, viz. the Karnofsky, Spitzer, Linear Analogue Self Assessment Scales and a series of simple scales designed for this study, at the same time. Correlations between the two sets of scores were poor, suggesting that the doctors could not accurately determine what the patients felt. A further study examining the reproducibility of these scales demonstrated considerable variability in results between different doctors. It is concluded that if a reliable and consistent method of measuring quality of life in cancer patients is required, it must come from the patients themselves and not from their doctors and nurses.","author":[{"dropping-particle":"","family":"Slevin","given":"M L","non-dropping-particle":"","parse-names":false,"suffix":""},{"dropping-particle":"","family":"Plant","given":"H","non-dropping-particle":"","parse-names":false,"suffix":""},{"dropping-particle":"","family":"Lynch","given":"D","non-dropping-particle":"","parse-names":false,"suffix":""},{"dropping-particle":"","family":"Drinkwater","given":"J","non-dropping-particle":"","parse-names":false,"suffix":""},{"dropping-particle":"","family":"Gregory","given":"W M","non-dropping-particle":"","parse-names":false,"suffix":""}],"container-title":"British Journal of Cancer","id":"ITEM-3","issue":"1","issued":{"date-parts":[["1988"]]},"page":"109-112","title":"Who Should Measure Quality of Life, the Doctor or the Patient?","type":"article-journal","volume":"57"},"uris":["http://www.mendeley.com/documents/?uuid=c8626025-8d6b-4581-bdfd-894716936102"]}],"mendeley":{"formattedCitation":"(IRDiRc, 2016; Slevin, Plant, Lynch, Drinkwater, &amp; Gregory, 1988; R. Smith, 2008)","manualFormatting":"(IRDiRc, 2016; O’ Boyle, 1995; Slevin, Plant, Lynch, Drinkwater, &amp; Gregory, 1988; Smith, 2008)","plainTextFormattedCitation":"(IRDiRc, 2016; Slevin, Plant, Lynch, Drinkwater, &amp; Gregory, 1988; R. Smith, 2008)","previouslyFormattedCitation":"(IRDiRc, 2016; Slevin, Plant, Lynch, Drinkwater, &amp; Gregory, 1988; R. Smith, 2008)"},"properties":{"noteIndex":0},"schema":"https://github.com/citation-style-language/schema/raw/master/csl-citation.json"}</w:instrText>
      </w:r>
      <w:r w:rsidRPr="006A1EC7">
        <w:fldChar w:fldCharType="separate"/>
      </w:r>
      <w:r w:rsidRPr="006A1EC7">
        <w:rPr>
          <w:noProof/>
        </w:rPr>
        <w:t>(IRDiRc, 2016; O’ Boyle, 1995; Slevin, Plant, Lynch, Drinkwater, &amp; Gregory, 1988; Smith, 2008)</w:t>
      </w:r>
      <w:r w:rsidRPr="006A1EC7">
        <w:fldChar w:fldCharType="end"/>
      </w:r>
      <w:r w:rsidRPr="006A1EC7">
        <w:t xml:space="preserve">. </w:t>
      </w:r>
      <w:r w:rsidRPr="006A1EC7">
        <w:rPr>
          <w:rFonts w:eastAsia="Arial"/>
        </w:rPr>
        <w:t>Clinical Outcome Assessments (COAs) used in routine care can offer alternative, valuable and more objective insights into patient health and functioning. Their development is iterative, complex and challenging; requiring multi-step processes (</w:t>
      </w:r>
      <w:r w:rsidRPr="006A1EC7">
        <w:rPr>
          <w:noProof/>
        </w:rPr>
        <w:t>Martinez-Martin, 2010; O’ Boyle, 1995; Relja, 2012; Slevin et al., 1988; Smith &amp; Weldring, 2013)</w:t>
      </w:r>
      <w:r w:rsidRPr="006A1EC7">
        <w:rPr>
          <w:rFonts w:eastAsia="Arial"/>
        </w:rPr>
        <w:t>.</w:t>
      </w:r>
    </w:p>
    <w:p w14:paraId="06F32442" w14:textId="77777777" w:rsidR="00D20EB9" w:rsidRPr="006A1EC7" w:rsidRDefault="00D20EB9" w:rsidP="00D20EB9">
      <w:pPr>
        <w:spacing w:line="360" w:lineRule="auto"/>
        <w:ind w:firstLine="720"/>
        <w:rPr>
          <w:rFonts w:eastAsia="Arial"/>
        </w:rPr>
      </w:pPr>
    </w:p>
    <w:p w14:paraId="17D5D707" w14:textId="77777777" w:rsidR="00D20EB9" w:rsidRPr="006A1EC7" w:rsidRDefault="00D20EB9" w:rsidP="00D20EB9">
      <w:pPr>
        <w:spacing w:line="360" w:lineRule="auto"/>
        <w:ind w:firstLine="720"/>
        <w:rPr>
          <w:rFonts w:eastAsia="Arial"/>
        </w:rPr>
      </w:pPr>
      <w:r w:rsidRPr="006A1EC7">
        <w:rPr>
          <w:rFonts w:eastAsia="Arial"/>
        </w:rPr>
        <w:t>The primary objective of this thesis was to develop a Clinician-Rated Clinical Outcome Assessment (COA) for WHS. Specific, secondary objectives were:</w:t>
      </w:r>
    </w:p>
    <w:p w14:paraId="01A6F8B2" w14:textId="77777777" w:rsidR="00D20EB9" w:rsidRPr="006A1EC7" w:rsidRDefault="00D20EB9" w:rsidP="00D20EB9">
      <w:pPr>
        <w:spacing w:line="360" w:lineRule="auto"/>
        <w:rPr>
          <w:rFonts w:eastAsia="Arial"/>
        </w:rPr>
      </w:pPr>
    </w:p>
    <w:p w14:paraId="7D9F6D46" w14:textId="77777777" w:rsidR="00D20EB9" w:rsidRPr="006A1EC7" w:rsidRDefault="00D20EB9" w:rsidP="00D20EB9">
      <w:pPr>
        <w:numPr>
          <w:ilvl w:val="0"/>
          <w:numId w:val="34"/>
        </w:numPr>
        <w:pBdr>
          <w:top w:val="nil"/>
          <w:left w:val="nil"/>
          <w:bottom w:val="nil"/>
          <w:right w:val="nil"/>
          <w:between w:val="nil"/>
        </w:pBdr>
        <w:spacing w:line="360" w:lineRule="auto"/>
        <w:rPr>
          <w:rFonts w:eastAsia="Arial"/>
          <w:color w:val="000000"/>
        </w:rPr>
      </w:pPr>
      <w:r w:rsidRPr="006A1EC7">
        <w:rPr>
          <w:rFonts w:eastAsia="Arial"/>
          <w:color w:val="000000"/>
        </w:rPr>
        <w:t xml:space="preserve">the conduction of extensive, systematic literature reviews (i) to ensure no previously developed COA existed or that (ii) no previously developed measure could be developed into a COA, (iii) to assess the psychosocial aspects of living </w:t>
      </w:r>
      <w:r w:rsidRPr="006A1EC7">
        <w:rPr>
          <w:rFonts w:eastAsia="Arial"/>
          <w:color w:val="000000"/>
        </w:rPr>
        <w:lastRenderedPageBreak/>
        <w:t>with, and caring for, adults and children with WHS</w:t>
      </w:r>
      <w:r w:rsidRPr="006A1EC7">
        <w:rPr>
          <w:rFonts w:eastAsia="Arial"/>
          <w:color w:val="000000"/>
        </w:rPr>
        <w:br/>
      </w:r>
    </w:p>
    <w:p w14:paraId="68300180" w14:textId="77777777" w:rsidR="00D20EB9" w:rsidRPr="006A1EC7" w:rsidRDefault="00D20EB9" w:rsidP="00D20EB9">
      <w:pPr>
        <w:numPr>
          <w:ilvl w:val="0"/>
          <w:numId w:val="34"/>
        </w:numPr>
        <w:pBdr>
          <w:top w:val="nil"/>
          <w:left w:val="nil"/>
          <w:bottom w:val="nil"/>
          <w:right w:val="nil"/>
          <w:between w:val="nil"/>
        </w:pBdr>
        <w:spacing w:line="360" w:lineRule="auto"/>
        <w:rPr>
          <w:rFonts w:eastAsia="Arial"/>
          <w:color w:val="000000"/>
        </w:rPr>
      </w:pPr>
      <w:r w:rsidRPr="006A1EC7">
        <w:rPr>
          <w:rFonts w:eastAsia="Arial"/>
          <w:color w:val="000000"/>
        </w:rPr>
        <w:t xml:space="preserve">the conduction of a qualitative interview study to gain insight into the lived experiences of relatives of patients with WHS living in the UK, as by proxy </w:t>
      </w:r>
      <w:r w:rsidRPr="006A1EC7">
        <w:rPr>
          <w:rFonts w:eastAsia="Arial"/>
          <w:color w:val="000000" w:themeColor="text1"/>
        </w:rPr>
        <w:t xml:space="preserve">reports, to inform </w:t>
      </w:r>
      <w:r w:rsidRPr="006A1EC7">
        <w:rPr>
          <w:rFonts w:eastAsia="Arial"/>
          <w:color w:val="000000"/>
        </w:rPr>
        <w:t xml:space="preserve">the development of a Conceptual Framework on which to base the COA on </w:t>
      </w:r>
    </w:p>
    <w:p w14:paraId="14B6869C" w14:textId="77777777" w:rsidR="00D20EB9" w:rsidRPr="006A1EC7" w:rsidRDefault="00D20EB9" w:rsidP="00D20EB9">
      <w:pPr>
        <w:pBdr>
          <w:top w:val="nil"/>
          <w:left w:val="nil"/>
          <w:bottom w:val="nil"/>
          <w:right w:val="nil"/>
          <w:between w:val="nil"/>
        </w:pBdr>
        <w:spacing w:line="360" w:lineRule="auto"/>
        <w:ind w:left="720" w:hanging="720"/>
        <w:rPr>
          <w:rFonts w:eastAsia="Arial"/>
          <w:color w:val="000000"/>
        </w:rPr>
      </w:pPr>
    </w:p>
    <w:p w14:paraId="3956D2DB" w14:textId="77777777" w:rsidR="00D20EB9" w:rsidRPr="006A1EC7" w:rsidRDefault="00D20EB9" w:rsidP="00D20EB9">
      <w:pPr>
        <w:numPr>
          <w:ilvl w:val="0"/>
          <w:numId w:val="34"/>
        </w:numPr>
        <w:pBdr>
          <w:top w:val="nil"/>
          <w:left w:val="nil"/>
          <w:bottom w:val="nil"/>
          <w:right w:val="nil"/>
          <w:between w:val="nil"/>
        </w:pBdr>
        <w:spacing w:line="360" w:lineRule="auto"/>
        <w:rPr>
          <w:rFonts w:eastAsia="Arial"/>
          <w:color w:val="000000"/>
        </w:rPr>
      </w:pPr>
      <w:r w:rsidRPr="006A1EC7">
        <w:rPr>
          <w:rFonts w:eastAsia="Arial"/>
          <w:color w:val="000000"/>
        </w:rPr>
        <w:t>the involvement of international experts in the field of WHS as part of a consensus study, to ensure clinical utility, acceptability and content validity of the COA</w:t>
      </w:r>
      <w:r w:rsidRPr="006A1EC7">
        <w:rPr>
          <w:rFonts w:eastAsia="Arial"/>
          <w:color w:val="000000"/>
        </w:rPr>
        <w:br/>
      </w:r>
    </w:p>
    <w:p w14:paraId="52E400A3" w14:textId="77777777" w:rsidR="00D20EB9" w:rsidRPr="006A1EC7" w:rsidRDefault="00D20EB9" w:rsidP="00D20EB9">
      <w:pPr>
        <w:numPr>
          <w:ilvl w:val="0"/>
          <w:numId w:val="34"/>
        </w:numPr>
        <w:pBdr>
          <w:top w:val="nil"/>
          <w:left w:val="nil"/>
          <w:bottom w:val="nil"/>
          <w:right w:val="nil"/>
          <w:between w:val="nil"/>
        </w:pBdr>
        <w:spacing w:after="80" w:line="360" w:lineRule="auto"/>
        <w:rPr>
          <w:rFonts w:eastAsia="Arial"/>
          <w:color w:val="000000"/>
        </w:rPr>
      </w:pPr>
      <w:r w:rsidRPr="006A1EC7">
        <w:rPr>
          <w:rFonts w:eastAsia="Arial"/>
          <w:color w:val="000000"/>
        </w:rPr>
        <w:t xml:space="preserve">the conduction of a validation study using a novel approach to scale validation for rare diseases, to assess the COA’s reliability, accuracy and construct validity. </w:t>
      </w:r>
    </w:p>
    <w:p w14:paraId="0FF94855" w14:textId="77777777" w:rsidR="00D20EB9" w:rsidRPr="006A1EC7" w:rsidRDefault="00D20EB9" w:rsidP="00D20EB9">
      <w:pPr>
        <w:spacing w:line="360" w:lineRule="auto"/>
        <w:rPr>
          <w:rFonts w:eastAsia="Arial"/>
        </w:rPr>
      </w:pPr>
    </w:p>
    <w:p w14:paraId="6958938F" w14:textId="692FA8F8" w:rsidR="00D20EB9" w:rsidRPr="006A1EC7" w:rsidRDefault="00D20EB9" w:rsidP="00D20EB9">
      <w:pPr>
        <w:spacing w:line="360" w:lineRule="auto"/>
        <w:ind w:firstLine="360"/>
        <w:rPr>
          <w:rFonts w:eastAsia="Arial"/>
        </w:rPr>
      </w:pPr>
      <w:r w:rsidRPr="006A1EC7">
        <w:rPr>
          <w:rFonts w:eastAsia="Arial"/>
        </w:rPr>
        <w:t xml:space="preserve">Chapter 2 provides an overview of definitions of rare diseases. The reader is introduced </w:t>
      </w:r>
      <w:r w:rsidRPr="006A1EC7">
        <w:rPr>
          <w:rFonts w:eastAsia="Arial"/>
          <w:color w:val="000000" w:themeColor="text1"/>
        </w:rPr>
        <w:t xml:space="preserve">to the rare disease that is </w:t>
      </w:r>
      <w:r w:rsidR="009F0718" w:rsidRPr="006A1EC7">
        <w:rPr>
          <w:rFonts w:eastAsia="Arial"/>
          <w:color w:val="000000" w:themeColor="text1"/>
        </w:rPr>
        <w:t>WHS</w:t>
      </w:r>
      <w:r w:rsidRPr="006A1EC7">
        <w:rPr>
          <w:rFonts w:eastAsia="Arial"/>
        </w:rPr>
        <w:t xml:space="preserve"> and its clinical features. Challenges patients with these illnesses present to prevalent discourse of ‘health’ and health assessment are discussed. The development of COAs is one approach to addressing these issues. Their development and validation, in accordance with guidance by the U.S Food and Drug Administration (FDA)</w:t>
      </w:r>
      <w:r w:rsidRPr="006A1EC7">
        <w:rPr>
          <w:rFonts w:eastAsia="Arial"/>
          <w:color w:val="FF0000"/>
        </w:rPr>
        <w:t>,</w:t>
      </w:r>
      <w:r w:rsidRPr="006A1EC7">
        <w:rPr>
          <w:rFonts w:eastAsia="Arial"/>
        </w:rPr>
        <w:t xml:space="preserve"> is presented. This guidance is supplemented by other sources to address the issue of developing and using COAs in clinical practice, rather than for research purposes only.</w:t>
      </w:r>
      <w:r w:rsidRPr="006A1EC7">
        <w:rPr>
          <w:rFonts w:eastAsia="Arial"/>
        </w:rPr>
        <w:br/>
      </w:r>
    </w:p>
    <w:p w14:paraId="0621B503" w14:textId="64722781" w:rsidR="00D20EB9" w:rsidRPr="006A1EC7" w:rsidRDefault="00D20EB9" w:rsidP="00D20EB9">
      <w:pPr>
        <w:spacing w:line="360" w:lineRule="auto"/>
        <w:rPr>
          <w:rFonts w:eastAsia="Arial"/>
        </w:rPr>
      </w:pPr>
      <w:bookmarkStart w:id="16" w:name="_heading=h.30j0zll" w:colFirst="0" w:colLast="0"/>
      <w:bookmarkEnd w:id="16"/>
      <w:r w:rsidRPr="006A1EC7">
        <w:rPr>
          <w:rFonts w:eastAsia="Arial"/>
        </w:rPr>
        <w:tab/>
        <w:t xml:space="preserve">Scale development must be grounded in the scientific literature, as an evidence base. Systematic reviews are the ‘gold standard’ of collecting </w:t>
      </w:r>
      <w:r w:rsidRPr="006A1EC7">
        <w:rPr>
          <w:rFonts w:eastAsia="Arial"/>
          <w:color w:val="000000" w:themeColor="text1"/>
        </w:rPr>
        <w:t xml:space="preserve">evidence; </w:t>
      </w:r>
      <w:r w:rsidRPr="006A1EC7">
        <w:rPr>
          <w:rFonts w:eastAsia="Arial"/>
        </w:rPr>
        <w:t>therefore,</w:t>
      </w:r>
      <w:r w:rsidRPr="006A1EC7">
        <w:rPr>
          <w:rFonts w:eastAsia="Arial"/>
          <w:color w:val="FF0000"/>
        </w:rPr>
        <w:t xml:space="preserve"> </w:t>
      </w:r>
      <w:r w:rsidRPr="006A1EC7">
        <w:rPr>
          <w:rFonts w:eastAsia="Arial"/>
        </w:rPr>
        <w:t xml:space="preserve">two systematic reviews were conducted to support the development of the </w:t>
      </w:r>
      <w:r w:rsidRPr="006A1EC7">
        <w:rPr>
          <w:rFonts w:eastAsia="Arial"/>
          <w:color w:val="000000" w:themeColor="text1"/>
        </w:rPr>
        <w:t xml:space="preserve">current COA; these </w:t>
      </w:r>
      <w:r w:rsidRPr="006A1EC7">
        <w:rPr>
          <w:rFonts w:eastAsia="Arial"/>
        </w:rPr>
        <w:t xml:space="preserve">are presented in Chapter 3. The first systematic review sought to assess whether there already was an excising COA for WHS and which existing measures have been used with patients with WHS. While a number of clinical outcome assessments were found to have been used with patients with WHS, none were validated for this purpose and the use of some was inappropriate. The second systematic review sought to investigate the psychosocial impact of WHS on patients and families. This systematic review obtained nil findings. These results reflect a gap in the academic literature and a </w:t>
      </w:r>
      <w:r w:rsidRPr="006A1EC7">
        <w:rPr>
          <w:rFonts w:eastAsia="Arial"/>
        </w:rPr>
        <w:lastRenderedPageBreak/>
        <w:t>clear unmet need in regard to understanding psychosocial impact of the condition on patients and their families.</w:t>
      </w:r>
    </w:p>
    <w:p w14:paraId="6C1E3B0E" w14:textId="77777777" w:rsidR="00345ED4" w:rsidRPr="006A1EC7" w:rsidRDefault="00D20EB9" w:rsidP="00345ED4">
      <w:pPr>
        <w:spacing w:line="360" w:lineRule="auto"/>
        <w:ind w:firstLine="720"/>
        <w:rPr>
          <w:rFonts w:eastAsia="Arial"/>
        </w:rPr>
      </w:pPr>
      <w:r w:rsidRPr="006A1EC7">
        <w:rPr>
          <w:rFonts w:eastAsia="Arial"/>
        </w:rPr>
        <w:t xml:space="preserve">An immediate consequence of these </w:t>
      </w:r>
      <w:r w:rsidRPr="006A1EC7">
        <w:rPr>
          <w:rFonts w:eastAsia="Arial"/>
          <w:color w:val="000000" w:themeColor="text1"/>
        </w:rPr>
        <w:t xml:space="preserve">findings </w:t>
      </w:r>
      <w:r w:rsidRPr="006A1EC7">
        <w:rPr>
          <w:rFonts w:eastAsia="Arial"/>
        </w:rPr>
        <w:t xml:space="preserve">for the current project was that no past psychosocial research informed the development of the interview schedule for </w:t>
      </w:r>
      <w:r w:rsidRPr="006A1EC7">
        <w:rPr>
          <w:rFonts w:eastAsia="Arial"/>
          <w:color w:val="000000" w:themeColor="text1"/>
        </w:rPr>
        <w:t xml:space="preserve">the </w:t>
      </w:r>
      <w:r w:rsidRPr="006A1EC7">
        <w:rPr>
          <w:rFonts w:eastAsia="Arial"/>
        </w:rPr>
        <w:t xml:space="preserve">qualitative interview </w:t>
      </w:r>
      <w:r w:rsidRPr="006A1EC7">
        <w:rPr>
          <w:rFonts w:eastAsia="Arial"/>
          <w:color w:val="000000" w:themeColor="text1"/>
        </w:rPr>
        <w:t xml:space="preserve">study that followed (Chapters 4, 5). This </w:t>
      </w:r>
      <w:r w:rsidRPr="006A1EC7">
        <w:rPr>
          <w:rFonts w:eastAsia="Arial"/>
        </w:rPr>
        <w:t xml:space="preserve">qualitative interview study had the primary aim of informing the development of the </w:t>
      </w:r>
      <w:r w:rsidRPr="006A1EC7">
        <w:rPr>
          <w:rFonts w:eastAsia="Arial"/>
          <w:color w:val="000000" w:themeColor="text1"/>
        </w:rPr>
        <w:t xml:space="preserve">COA, to represent </w:t>
      </w:r>
      <w:r w:rsidRPr="006A1EC7">
        <w:rPr>
          <w:rFonts w:eastAsia="Arial"/>
        </w:rPr>
        <w:t xml:space="preserve">the caregivers’ views on the condition and its impacts. Its secondary aim was to investigate potential psychosocial impacts of WHS on patients and families, to address the insufficient knowledge in the systematic review. Twenty-two family members of adults and children with WHS from geographically diverse locations in the United Kingdom were recruited for this interview study. Interviews were analysed using Thematic Analysis. </w:t>
      </w:r>
    </w:p>
    <w:p w14:paraId="1FDC4067" w14:textId="6DDC2B19" w:rsidR="00D20EB9" w:rsidRPr="006A1EC7" w:rsidRDefault="00D20EB9" w:rsidP="00345ED4">
      <w:pPr>
        <w:spacing w:line="360" w:lineRule="auto"/>
        <w:ind w:firstLine="720"/>
        <w:rPr>
          <w:rFonts w:eastAsia="Arial"/>
        </w:rPr>
      </w:pPr>
      <w:r w:rsidRPr="006A1EC7">
        <w:rPr>
          <w:rFonts w:eastAsia="Arial"/>
        </w:rPr>
        <w:t xml:space="preserve">Five over-arching themes were identified in the interviews: (1) Clinical Features of </w:t>
      </w:r>
      <w:r w:rsidR="009F0718" w:rsidRPr="006A1EC7">
        <w:rPr>
          <w:rFonts w:eastAsia="Arial"/>
        </w:rPr>
        <w:t>WHS</w:t>
      </w:r>
      <w:r w:rsidRPr="006A1EC7">
        <w:rPr>
          <w:rFonts w:eastAsia="Arial"/>
        </w:rPr>
        <w:t xml:space="preserve">, (2) Experiences with the NHS, (3) Family adaptation, (4) Quality of life of patients and relatives and (5) Support needs. The results of the first theme (1: Clinical Features) are presented and discussed in Chapter 4, due to the direct relevance to informing </w:t>
      </w:r>
      <w:r w:rsidRPr="006A1EC7">
        <w:rPr>
          <w:rFonts w:eastAsia="Arial"/>
          <w:color w:val="000000" w:themeColor="text1"/>
        </w:rPr>
        <w:t xml:space="preserve">the content of the COA. </w:t>
      </w:r>
      <w:r w:rsidRPr="006A1EC7">
        <w:rPr>
          <w:rFonts w:eastAsia="Arial"/>
        </w:rPr>
        <w:t xml:space="preserve">The remaining four themes are presented Chapter 5; these remaining four themes were classed as psychosocial. They addressed gaps in the literature </w:t>
      </w:r>
      <w:r w:rsidRPr="006A1EC7">
        <w:rPr>
          <w:rFonts w:eastAsia="Arial"/>
          <w:color w:val="000000" w:themeColor="text1"/>
        </w:rPr>
        <w:t xml:space="preserve">and complimenting research </w:t>
      </w:r>
      <w:r w:rsidRPr="006A1EC7">
        <w:rPr>
          <w:rFonts w:eastAsia="Arial"/>
        </w:rPr>
        <w:t xml:space="preserve">on the impact and </w:t>
      </w:r>
      <w:r w:rsidRPr="006A1EC7">
        <w:rPr>
          <w:rFonts w:eastAsia="Arial"/>
          <w:color w:val="000000" w:themeColor="text1"/>
        </w:rPr>
        <w:t xml:space="preserve">management of </w:t>
      </w:r>
      <w:r w:rsidRPr="006A1EC7">
        <w:rPr>
          <w:rFonts w:eastAsia="Arial"/>
        </w:rPr>
        <w:t>clinical features, while not directly impacting the content of the COA. However, it is important to report these aspects to ensure inadequacies are addressed</w:t>
      </w:r>
      <w:r w:rsidRPr="006A1EC7">
        <w:rPr>
          <w:rFonts w:eastAsia="Arial"/>
          <w:color w:val="FF0000"/>
        </w:rPr>
        <w:t xml:space="preserve"> </w:t>
      </w:r>
      <w:r w:rsidRPr="006A1EC7">
        <w:rPr>
          <w:rFonts w:eastAsia="Arial"/>
        </w:rPr>
        <w:t xml:space="preserve">in order to improve quality of life for patients and their caregivers. </w:t>
      </w:r>
    </w:p>
    <w:p w14:paraId="5F9F7660" w14:textId="77777777" w:rsidR="00D20EB9" w:rsidRPr="006A1EC7" w:rsidRDefault="00D20EB9" w:rsidP="00D20EB9">
      <w:pPr>
        <w:spacing w:line="360" w:lineRule="auto"/>
        <w:ind w:firstLine="720"/>
        <w:rPr>
          <w:rFonts w:eastAsia="Arial"/>
        </w:rPr>
      </w:pPr>
      <w:r w:rsidRPr="006A1EC7">
        <w:rPr>
          <w:rFonts w:eastAsia="Arial"/>
        </w:rPr>
        <w:t xml:space="preserve">From these findings, in combination with the literature, a conceptual framework for the COA was </w:t>
      </w:r>
      <w:r w:rsidRPr="006A1EC7">
        <w:rPr>
          <w:rFonts w:eastAsia="Arial"/>
          <w:color w:val="000000" w:themeColor="text1"/>
        </w:rPr>
        <w:t xml:space="preserve">produced and further </w:t>
      </w:r>
      <w:r w:rsidRPr="006A1EC7">
        <w:rPr>
          <w:rFonts w:eastAsia="Arial"/>
        </w:rPr>
        <w:t xml:space="preserve">developed into the first draft </w:t>
      </w:r>
      <w:r w:rsidRPr="006A1EC7">
        <w:rPr>
          <w:rFonts w:eastAsia="Arial"/>
          <w:color w:val="000000" w:themeColor="text1"/>
        </w:rPr>
        <w:t xml:space="preserve">of the COA; this is presented </w:t>
      </w:r>
      <w:r w:rsidRPr="006A1EC7">
        <w:rPr>
          <w:rFonts w:eastAsia="Arial"/>
        </w:rPr>
        <w:t xml:space="preserve">in Chapter 6. This first draft of the COA was then sent to international experts (n=9) in the field of WHS for feedback, utilising the QQ-10 questionnaire and open-ended questions (Chapter 5), to assess content validity, clinical utility and acceptability. Overall, the quantitative results were positive and qualitative comments received were constructive, enabling valuable changes to be made to the COA. Although some participants evidently did not understand the purpose of the COA. </w:t>
      </w:r>
    </w:p>
    <w:p w14:paraId="038D1B3E" w14:textId="0A6271E8" w:rsidR="00D20EB9" w:rsidRPr="006A1EC7" w:rsidRDefault="00D20EB9" w:rsidP="00D20EB9">
      <w:pPr>
        <w:spacing w:line="360" w:lineRule="auto"/>
        <w:ind w:firstLine="720"/>
        <w:rPr>
          <w:rFonts w:eastAsia="Arial"/>
        </w:rPr>
      </w:pPr>
      <w:r w:rsidRPr="006A1EC7">
        <w:rPr>
          <w:rFonts w:eastAsia="Arial"/>
        </w:rPr>
        <w:t xml:space="preserve">Following from this, Chapter 7 represents the result of the validation study of the COA. Validation of COAs for rare diseases are complex and challenging, due to issues of highly heterogeneous patient populations and lack of patients, creating issues for psychometric testing requiring large samples. As a result, clinical outcome </w:t>
      </w:r>
      <w:r w:rsidRPr="006A1EC7">
        <w:rPr>
          <w:rFonts w:eastAsia="Arial"/>
        </w:rPr>
        <w:lastRenderedPageBreak/>
        <w:t xml:space="preserve">assessments for rare diseases are often not validated fully but nonetheless used </w:t>
      </w:r>
      <w:r w:rsidRPr="006A1EC7">
        <w:rPr>
          <w:rFonts w:eastAsia="Arial"/>
          <w:color w:val="000000" w:themeColor="text1"/>
        </w:rPr>
        <w:t xml:space="preserve">by both clinicians and researchers. The literature recognises that novel and creative approaches are needed to address these challenges; this thesis presents a novel technique, using vignettes to further the validation of COAs for rare diseases. Using five vignettes, the COA </w:t>
      </w:r>
      <w:r w:rsidRPr="006A1EC7">
        <w:rPr>
          <w:rFonts w:eastAsia="Arial"/>
        </w:rPr>
        <w:t>was trialled on a range of medical health professionals (n = 91) at either one, or two time points to assess inter-rater reliability, intra-rater reliability and construct validity of the COA. Results indicate that the COA has excellent construct validity and moderate inter- rater</w:t>
      </w:r>
      <w:r w:rsidRPr="006A1EC7">
        <w:rPr>
          <w:rFonts w:eastAsia="Arial"/>
          <w:color w:val="000000" w:themeColor="text1"/>
        </w:rPr>
        <w:t xml:space="preserve"> as well as good intra</w:t>
      </w:r>
      <w:r w:rsidRPr="006A1EC7">
        <w:rPr>
          <w:rFonts w:eastAsia="Arial"/>
        </w:rPr>
        <w:t xml:space="preserve">-rater reliability. Participants made suggestions about how the COA could be further developed and used; these were also incorporated into the final version of the COA. This chapter also presents an overall evaluation of the COA and recommendations for future work. </w:t>
      </w:r>
    </w:p>
    <w:p w14:paraId="575ACF3F" w14:textId="77777777" w:rsidR="00D20EB9" w:rsidRPr="006A1EC7" w:rsidRDefault="00D20EB9" w:rsidP="00D20EB9">
      <w:pPr>
        <w:spacing w:line="360" w:lineRule="auto"/>
        <w:ind w:firstLine="720"/>
        <w:rPr>
          <w:rFonts w:eastAsia="Arial"/>
        </w:rPr>
      </w:pPr>
    </w:p>
    <w:p w14:paraId="51CD86CB" w14:textId="77777777" w:rsidR="00D20EB9" w:rsidRPr="006A1EC7" w:rsidRDefault="00D20EB9" w:rsidP="00D20EB9">
      <w:pPr>
        <w:spacing w:line="360" w:lineRule="auto"/>
        <w:rPr>
          <w:rFonts w:eastAsia="Arial"/>
          <w:u w:val="single"/>
        </w:rPr>
      </w:pPr>
      <w:r w:rsidRPr="006A1EC7">
        <w:rPr>
          <w:rFonts w:eastAsia="Arial"/>
          <w:u w:val="single"/>
        </w:rPr>
        <w:t xml:space="preserve">This thesis’ original contributions to research are three-fold: </w:t>
      </w:r>
    </w:p>
    <w:p w14:paraId="54B8EA98" w14:textId="77777777" w:rsidR="00D20EB9" w:rsidRPr="006A1EC7" w:rsidRDefault="00D20EB9" w:rsidP="00D20EB9">
      <w:pPr>
        <w:spacing w:line="360" w:lineRule="auto"/>
        <w:rPr>
          <w:rFonts w:eastAsia="Arial"/>
        </w:rPr>
      </w:pPr>
    </w:p>
    <w:p w14:paraId="550CA2AF" w14:textId="77777777" w:rsidR="00D20EB9" w:rsidRPr="006A1EC7" w:rsidRDefault="00D20EB9" w:rsidP="00D20EB9">
      <w:pPr>
        <w:spacing w:line="360" w:lineRule="auto"/>
        <w:ind w:firstLine="720"/>
        <w:rPr>
          <w:rFonts w:eastAsia="Arial"/>
        </w:rPr>
      </w:pPr>
      <w:r w:rsidRPr="006A1EC7">
        <w:rPr>
          <w:rFonts w:eastAsia="Arial"/>
        </w:rPr>
        <w:t>Firstly, this thesis presents the development and validation of a new COA specifically developed to be used for the assessment of adults and children with WHS. This was needed as there was no validated COA for this group. The developed COA will ensure patients with WHS are assessed appropriately in clinical practice, due to its clinical utility, acceptability and construct validity.</w:t>
      </w:r>
    </w:p>
    <w:p w14:paraId="60C9E8C4" w14:textId="77777777" w:rsidR="00D20EB9" w:rsidRPr="006A1EC7" w:rsidRDefault="00D20EB9" w:rsidP="00D20EB9">
      <w:pPr>
        <w:spacing w:line="360" w:lineRule="auto"/>
        <w:ind w:firstLine="720"/>
        <w:rPr>
          <w:rFonts w:eastAsia="Arial"/>
          <w:color w:val="000000" w:themeColor="text1"/>
        </w:rPr>
      </w:pPr>
      <w:r w:rsidRPr="006A1EC7">
        <w:rPr>
          <w:rFonts w:eastAsia="Arial"/>
          <w:color w:val="000000" w:themeColor="text1"/>
        </w:rPr>
        <w:t>Secondly, this thesis presents a novel and creative approach to scale validation for rare diseases using vignettes. While this methodology requires future refinement, it is a positive step towards enabling the validation of COAs for rare diseases while circumventing the need for unattainably large patient samples.</w:t>
      </w:r>
    </w:p>
    <w:p w14:paraId="6204B79D" w14:textId="7DB89649" w:rsidR="00D20EB9" w:rsidRPr="006A1EC7" w:rsidRDefault="00D20EB9" w:rsidP="00D20EB9">
      <w:pPr>
        <w:spacing w:line="360" w:lineRule="auto"/>
        <w:ind w:firstLine="720"/>
        <w:rPr>
          <w:rFonts w:eastAsia="Arial"/>
        </w:rPr>
        <w:sectPr w:rsidR="00D20EB9" w:rsidRPr="006A1EC7" w:rsidSect="0026747E">
          <w:pgSz w:w="11900" w:h="16840"/>
          <w:pgMar w:top="1440" w:right="1701" w:bottom="1440" w:left="1701" w:header="720" w:footer="720" w:gutter="0"/>
          <w:pgNumType w:start="1"/>
          <w:cols w:space="720"/>
          <w:titlePg/>
          <w:docGrid w:linePitch="360"/>
        </w:sectPr>
      </w:pPr>
      <w:r w:rsidRPr="006A1EC7">
        <w:rPr>
          <w:rFonts w:eastAsia="Arial"/>
        </w:rPr>
        <w:t xml:space="preserve">Thirdly, the thesis is the </w:t>
      </w:r>
      <w:r w:rsidRPr="006A1EC7">
        <w:rPr>
          <w:rFonts w:eastAsia="Arial"/>
          <w:color w:val="000000" w:themeColor="text1"/>
        </w:rPr>
        <w:t xml:space="preserve">first to report the psychosocial </w:t>
      </w:r>
      <w:r w:rsidRPr="006A1EC7">
        <w:rPr>
          <w:rFonts w:eastAsia="Arial"/>
        </w:rPr>
        <w:t>impact of being a family caregiver of an adult or child with WHS. The implications of these findings are discussed, and future research must be carried out to address identified and unmet support needs of these individuals.</w:t>
      </w:r>
    </w:p>
    <w:p w14:paraId="4F77FA40" w14:textId="0C7A7D37" w:rsidR="00D20EB9" w:rsidRPr="006A1EC7" w:rsidRDefault="00D20EB9" w:rsidP="006B5C59">
      <w:pPr>
        <w:pStyle w:val="Heading3"/>
        <w:rPr>
          <w:rFonts w:ascii="Times New Roman" w:hAnsi="Times New Roman" w:cs="Times New Roman"/>
        </w:rPr>
      </w:pPr>
      <w:bookmarkStart w:id="17" w:name="_Toc39270358"/>
      <w:bookmarkStart w:id="18" w:name="_Toc39270603"/>
      <w:bookmarkStart w:id="19" w:name="_Toc40173058"/>
      <w:r w:rsidRPr="006A1EC7">
        <w:rPr>
          <w:rFonts w:ascii="Times New Roman" w:hAnsi="Times New Roman" w:cs="Times New Roman"/>
        </w:rPr>
        <w:lastRenderedPageBreak/>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1</w:t>
      </w:r>
      <w:r w:rsidRPr="006A1EC7">
        <w:rPr>
          <w:rFonts w:ascii="Times New Roman" w:hAnsi="Times New Roman" w:cs="Times New Roman"/>
        </w:rPr>
        <w:fldChar w:fldCharType="end"/>
      </w:r>
      <w:r w:rsidRPr="006A1EC7">
        <w:rPr>
          <w:rFonts w:ascii="Times New Roman" w:hAnsi="Times New Roman" w:cs="Times New Roman"/>
        </w:rPr>
        <w:t>:</w:t>
      </w:r>
      <w:r w:rsidR="006B5C59" w:rsidRPr="006A1EC7">
        <w:rPr>
          <w:rFonts w:ascii="Times New Roman" w:hAnsi="Times New Roman" w:cs="Times New Roman"/>
        </w:rPr>
        <w:t xml:space="preserve"> </w:t>
      </w:r>
      <w:r w:rsidRPr="006A1EC7">
        <w:rPr>
          <w:rFonts w:ascii="Times New Roman" w:hAnsi="Times New Roman" w:cs="Times New Roman"/>
        </w:rPr>
        <w:t>Graphic of the project's methodology</w:t>
      </w:r>
      <w:bookmarkEnd w:id="17"/>
      <w:bookmarkEnd w:id="18"/>
      <w:bookmarkEnd w:id="19"/>
    </w:p>
    <w:p w14:paraId="2BAADBA4" w14:textId="77777777" w:rsidR="00D20EB9" w:rsidRPr="006A1EC7" w:rsidRDefault="00D20EB9" w:rsidP="00D20EB9"/>
    <w:p w14:paraId="3E1BAADB" w14:textId="7A59FDCB" w:rsidR="00D20EB9" w:rsidRPr="006A1EC7" w:rsidRDefault="00D20EB9" w:rsidP="00D20EB9">
      <w:pPr>
        <w:spacing w:line="360" w:lineRule="auto"/>
        <w:ind w:firstLine="720"/>
      </w:pPr>
      <w:r w:rsidRPr="006A1EC7">
        <w:rPr>
          <w:noProof/>
          <w:sz w:val="20"/>
          <w:szCs w:val="20"/>
        </w:rPr>
        <w:drawing>
          <wp:inline distT="0" distB="0" distL="0" distR="0" wp14:anchorId="696A4CC7" wp14:editId="2E106E32">
            <wp:extent cx="8505912" cy="3460831"/>
            <wp:effectExtent l="0" t="0" r="3175" b="6350"/>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67854" cy="3486034"/>
                    </a:xfrm>
                    <a:prstGeom prst="rect">
                      <a:avLst/>
                    </a:prstGeom>
                  </pic:spPr>
                </pic:pic>
              </a:graphicData>
            </a:graphic>
          </wp:inline>
        </w:drawing>
      </w:r>
    </w:p>
    <w:p w14:paraId="48B72F12" w14:textId="77777777" w:rsidR="00D20EB9" w:rsidRPr="006A1EC7" w:rsidRDefault="00D20EB9" w:rsidP="00D20EB9">
      <w:pPr>
        <w:spacing w:line="360" w:lineRule="auto"/>
        <w:ind w:firstLine="720"/>
      </w:pPr>
    </w:p>
    <w:p w14:paraId="25C255E5" w14:textId="77777777" w:rsidR="00D20EB9" w:rsidRPr="006A1EC7" w:rsidRDefault="00D20EB9" w:rsidP="00D20EB9">
      <w:pPr>
        <w:spacing w:line="360" w:lineRule="auto"/>
        <w:ind w:firstLine="720"/>
      </w:pPr>
    </w:p>
    <w:p w14:paraId="010B8D12" w14:textId="77777777" w:rsidR="00D20EB9" w:rsidRPr="006A1EC7" w:rsidRDefault="00D20EB9" w:rsidP="00D20EB9">
      <w:pPr>
        <w:spacing w:line="360" w:lineRule="auto"/>
        <w:ind w:firstLine="720"/>
      </w:pPr>
    </w:p>
    <w:p w14:paraId="449DF202" w14:textId="77777777" w:rsidR="00D20EB9" w:rsidRPr="006A1EC7" w:rsidRDefault="00D20EB9" w:rsidP="00D20EB9">
      <w:pPr>
        <w:spacing w:line="360" w:lineRule="auto"/>
        <w:ind w:firstLine="720"/>
      </w:pPr>
    </w:p>
    <w:p w14:paraId="5CC504D9" w14:textId="332F9CC5" w:rsidR="00D20EB9" w:rsidRPr="006A1EC7" w:rsidRDefault="00D20EB9" w:rsidP="00D20EB9">
      <w:pPr>
        <w:spacing w:line="360" w:lineRule="auto"/>
        <w:ind w:firstLine="720"/>
        <w:sectPr w:rsidR="00D20EB9" w:rsidRPr="006A1EC7" w:rsidSect="00D20EB9">
          <w:pgSz w:w="16840" w:h="11900" w:orient="landscape"/>
          <w:pgMar w:top="1701" w:right="1440" w:bottom="1701" w:left="1440" w:header="720" w:footer="720" w:gutter="0"/>
          <w:cols w:space="720"/>
          <w:docGrid w:linePitch="360"/>
        </w:sectPr>
      </w:pPr>
    </w:p>
    <w:p w14:paraId="2A02E882" w14:textId="6A04FF5A" w:rsidR="00065496" w:rsidRPr="006A1EC7" w:rsidRDefault="00065496" w:rsidP="006B5C59">
      <w:pPr>
        <w:pStyle w:val="Heading1"/>
        <w:rPr>
          <w:rFonts w:ascii="Times New Roman" w:eastAsia="Arial" w:hAnsi="Times New Roman" w:cs="Times New Roman"/>
        </w:rPr>
      </w:pPr>
      <w:bookmarkStart w:id="20" w:name="_Toc40172976"/>
      <w:r w:rsidRPr="006A1EC7">
        <w:rPr>
          <w:rFonts w:ascii="Times New Roman" w:hAnsi="Times New Roman" w:cs="Times New Roman"/>
        </w:rPr>
        <w:lastRenderedPageBreak/>
        <w:t>Chapter 2: Rare genetic illness and health measurement</w:t>
      </w:r>
      <w:bookmarkEnd w:id="1"/>
      <w:bookmarkEnd w:id="20"/>
    </w:p>
    <w:p w14:paraId="4C9E97AC" w14:textId="77777777" w:rsidR="00065496" w:rsidRPr="006A1EC7" w:rsidRDefault="00065496" w:rsidP="00A40374">
      <w:pPr>
        <w:spacing w:line="360" w:lineRule="auto"/>
        <w:rPr>
          <w:b/>
          <w:u w:val="single"/>
        </w:rPr>
      </w:pPr>
    </w:p>
    <w:p w14:paraId="7B2D7028" w14:textId="4D2814FA" w:rsidR="00065496" w:rsidRPr="006A1EC7" w:rsidRDefault="00065496" w:rsidP="00A40374">
      <w:pPr>
        <w:pStyle w:val="Heading2"/>
        <w:rPr>
          <w:rFonts w:ascii="Times New Roman" w:hAnsi="Times New Roman" w:cs="Times New Roman"/>
        </w:rPr>
      </w:pPr>
      <w:bookmarkStart w:id="21" w:name="_Toc2336979"/>
      <w:bookmarkStart w:id="22" w:name="_Toc17977831"/>
      <w:bookmarkStart w:id="23" w:name="_Toc23522706"/>
      <w:bookmarkStart w:id="24" w:name="_Toc38821421"/>
      <w:bookmarkStart w:id="25" w:name="_Toc40172977"/>
      <w:r w:rsidRPr="006A1EC7">
        <w:rPr>
          <w:rFonts w:ascii="Times New Roman" w:hAnsi="Times New Roman" w:cs="Times New Roman"/>
        </w:rPr>
        <w:t>Rare genetic illness</w:t>
      </w:r>
      <w:bookmarkEnd w:id="21"/>
      <w:bookmarkEnd w:id="22"/>
      <w:bookmarkEnd w:id="23"/>
      <w:bookmarkEnd w:id="24"/>
      <w:bookmarkEnd w:id="25"/>
    </w:p>
    <w:p w14:paraId="15B987D9" w14:textId="77777777" w:rsidR="00A40374" w:rsidRPr="006A1EC7" w:rsidRDefault="00A40374" w:rsidP="00A40374"/>
    <w:p w14:paraId="1934A419" w14:textId="7969BF0E" w:rsidR="00065496" w:rsidRPr="006A1EC7" w:rsidRDefault="00065496" w:rsidP="00A40374">
      <w:pPr>
        <w:spacing w:line="360" w:lineRule="auto"/>
        <w:ind w:firstLine="720"/>
        <w:rPr>
          <w:highlight w:val="yellow"/>
        </w:rPr>
      </w:pPr>
      <w:r w:rsidRPr="006A1EC7">
        <w:t xml:space="preserve">It is estimated that there are more than 7000 rare diseases in humans, most of which are genetic in nature. An exact number of rare diseases is almost impossible to state, as new rare diseases are continually discovered through advances in technology and science </w:t>
      </w:r>
      <w:r w:rsidRPr="006A1EC7">
        <w:fldChar w:fldCharType="begin" w:fldLock="1"/>
      </w:r>
      <w:r w:rsidRPr="006A1EC7">
        <w:instrText>ADDIN CSL_CITATION {"citationItems":[{"id":"ITEM-1","itemData":{"ISBN":"2013010710","author":[{"dropping-particle":"","family":"Department of Health","given":"","non-dropping-particle":"","parse-names":false,"suffix":""}],"id":"ITEM-1","issue":"November","issued":{"date-parts":[["2013"]]},"title":"The UK Strategy for Rare Diseases","type":"report"},"uris":["http://www.mendeley.com/documents/?uuid=02383414-239a-4c80-aa97-53dc9742ebff"]}],"mendeley":{"formattedCitation":"(Department of Health, 2013)","manualFormatting":"(Department of Health, 2013, Genetic and Rare Diseases Information Center, 2010, 2017)","plainTextFormattedCitation":"(Department of Health, 2013)","previouslyFormattedCitation":"(Department of Health, 2013)"},"properties":{"noteIndex":0},"schema":"https://github.com/citation-style-language/schema/raw/master/csl-citation.json"}</w:instrText>
      </w:r>
      <w:r w:rsidRPr="006A1EC7">
        <w:fldChar w:fldCharType="separate"/>
      </w:r>
      <w:r w:rsidRPr="006A1EC7">
        <w:rPr>
          <w:noProof/>
        </w:rPr>
        <w:t>(Department of Health, 2013, Genetic and Rare Diseases Information Center, 2010, 2017)</w:t>
      </w:r>
      <w:r w:rsidRPr="006A1EC7">
        <w:fldChar w:fldCharType="end"/>
      </w:r>
      <w:r w:rsidRPr="006A1EC7">
        <w:t xml:space="preserve">. Approximately 350 million people worldwide are affected by a rare disease; thirty million of whom live in the European Union (EU), and thus make up about 6-8% of EU citizens. In the UK, there are thought to be three million people affected by rare illness </w:t>
      </w:r>
      <w:r w:rsidRPr="006A1EC7">
        <w:fldChar w:fldCharType="begin" w:fldLock="1"/>
      </w:r>
      <w:r w:rsidRPr="006A1EC7">
        <w:instrText>ADDIN CSL_CITATION {"citationItems":[{"id":"ITEM-1","itemData":{"author":[{"dropping-particle":"","family":"Global Genes","given":"","non-dropping-particle":"","parse-names":false,"suffix":""}],"id":"ITEM-1","issued":{"date-parts":[["2017"]]},"title":"Rare Disease: Facts and Statistics","type":"thesis"},"uris":["http://www.mendeley.com/documents/?uuid=48c9b53b-f760-4b50-b041-de751d623209"]},{"id":"ITEM-2","itemData":{"ISBN":"2013010710","author":[{"dropping-particle":"","family":"Department of Health","given":"","non-dropping-particle":"","parse-names":false,"suffix":""}],"id":"ITEM-2","issue":"November","issued":{"date-parts":[["2013"]]},"title":"The UK Strategy for Rare Diseases","type":"report"},"uris":["http://www.mendeley.com/documents/?uuid=02383414-239a-4c80-aa97-53dc9742ebff"]},{"id":"ITEM-3","itemData":{"URL":"http://www.eurordis.org/about-rare-diseases","accessed":{"date-parts":[["2017","9","18"]]},"author":[{"dropping-particle":"","family":"Eurodis (Rare Diseases Europe)","given":"","non-dropping-particle":"","parse-names":false,"suffix":""}],"id":"ITEM-3","issued":{"date-parts":[["2017"]]},"title":"About Rare Diseases","type":"webpage"},"uris":["http://www.mendeley.com/documents/?uuid=51ecef33-e1ea-47a8-bc16-8e18353f621f"]},{"id":"ITEM-4","itemData":{"URL":"http://www.eurordis.org/content/what-rare-disease","accessed":{"date-parts":[["2017","9","19"]]},"author":[{"dropping-particle":"","family":"Eurodis (Rare Diseases Europe)","given":"","non-dropping-particle":"","parse-names":false,"suffix":""}],"id":"ITEM-4","issued":{"date-parts":[["2014"]]},"title":"What is a rare disease?","type":"webpage"},"uris":["http://www.mendeley.com/documents/?uuid=6393be53-3d47-4951-b840-d9a9846c6423"]},{"id":"ITEM-5","itemData":{"author":[{"dropping-particle":"","family":"Eurodis (Rare Diseases Europe)","given":"","non-dropping-particle":"","parse-names":false,"suffix":""}],"id":"ITEM-5","issue":"November","issued":{"date-parts":[["2005"]]},"title":"“ Rare Diseases : understanding this Public Health Priority ”","type":"report"},"uris":["http://www.mendeley.com/documents/?uuid=61217cad-eec2-409a-9e73-0c9d8901e8f7"]}],"mendeley":{"formattedCitation":"(Department of Health, 2013; Eurodis (Rare Diseases Europe), 2005, 2014, 2017; Global Genes, 2017)","plainTextFormattedCitation":"(Department of Health, 2013; Eurodis (Rare Diseases Europe), 2005, 2014, 2017; Global Genes, 2017)","previouslyFormattedCitation":"(Department of Health, 2013; Eurodis (Rare Diseases Europe), 2005, 2014, 2017; Global Genes, 2017)"},"properties":{"noteIndex":0},"schema":"https://github.com/citation-style-language/schema/raw/master/csl-citation.json"}</w:instrText>
      </w:r>
      <w:r w:rsidRPr="006A1EC7">
        <w:fldChar w:fldCharType="separate"/>
      </w:r>
      <w:r w:rsidRPr="006A1EC7">
        <w:rPr>
          <w:noProof/>
        </w:rPr>
        <w:t>(Department of Health, 2013; Eurodis (Rare Diseases Europe), 2005, 2014, 2017; Global Genes, 2017)</w:t>
      </w:r>
      <w:r w:rsidRPr="006A1EC7">
        <w:fldChar w:fldCharType="end"/>
      </w:r>
      <w:r w:rsidRPr="006A1EC7">
        <w:t>. Seventy-five percent (75%) of whom are children; and it is estimated that around 30% die before their 5</w:t>
      </w:r>
      <w:r w:rsidRPr="006A1EC7">
        <w:rPr>
          <w:vertAlign w:val="superscript"/>
        </w:rPr>
        <w:t>th</w:t>
      </w:r>
      <w:r w:rsidRPr="006A1EC7">
        <w:t xml:space="preserve"> birthday as a result of their rare disease </w:t>
      </w:r>
      <w:r w:rsidRPr="006A1EC7">
        <w:fldChar w:fldCharType="begin" w:fldLock="1"/>
      </w:r>
      <w:r w:rsidRPr="006A1EC7">
        <w:instrText>ADDIN CSL_CITATION {"citationItems":[{"id":"ITEM-1","itemData":{"DOI":"10.1186/s13023-018-0810-x","ISSN":"17501172","PMID":"29688860","abstract":"Rare diseases can lead to a significant reduction in quality of life for patients and their families. Ensuring the patients voice is central to clinical decision making is key to delivering, evaluating and understanding the efficacy of therapeutic interventions. Patient reported outcome measures (PROMs) are used to capture the patient’s views about their health status and facilitate our understanding of the impact of these diseases and their treatments on patient’s quality of life and symptoms. This review explores some of the current issues around the utilisation of PROMs in rare diseases, including small patient populations and dearth of valid PROMs. Difficulties in validating new or current PROMs for use in clinical trials and research are discussed. The review highlights potential solutions for some of the issues outlined in the review and the implementation of PROMs in research and clinical practice are discussed. Patient input throughout the development of PROMs including qualitative research is essential to ensure that outcomes that matter to people living with rare disease are appropriately captured. Given the large number of rare diseases, small numbers of patients living with each condition and the cost of instrument development, creative and pragmatic solutions to PROM development and use may be necessary. Solutions include qualitative interviews, modern psychometrics and resources such as item banking and computer adaptive testing. Use of PROMs in rare disease research and clinical practice offers the potential to improve patient care and clinical outcomes.","author":[{"dropping-particle":"","family":"Slade","given":"Anita","non-dropping-particle":"","parse-names":false,"suffix":""},{"dropping-particle":"","family":"Isa","given":"Fatima","non-dropping-particle":"","parse-names":false,"suffix":""},{"dropping-particle":"","family":"Kyte","given":"Derek","non-dropping-particle":"","parse-names":false,"suffix":""},{"dropping-particle":"","family":"Pankhurst","given":"Tanya","non-dropping-particle":"","parse-names":false,"suffix":""},{"dropping-particle":"","family":"Kerecuk","given":"Larissa","non-dropping-particle":"","parse-names":false,"suffix":""},{"dropping-particle":"","family":"Ferguson","given":"James","non-dropping-particle":"","parse-names":false,"suffix":""},{"dropping-particle":"","family":"Lipkin","given":"Graham","non-dropping-particle":"","parse-names":false,"suffix":""},{"dropping-particle":"","family":"Calvert","given":"Melanie","non-dropping-particle":"","parse-names":false,"suffix":""}],"container-title":"Orphanet Journal of Rare Diseases","id":"ITEM-1","issue":"1","issued":{"date-parts":[["2018"]]},"page":"1-9","publisher":"Orphanet Journal of Rare Diseases","title":"Patient reported outcome measures in rare diseases: A narrative review","type":"article-journal","volume":"13"},"uris":["http://www.mendeley.com/documents/?uuid=aa040719-d005-4e61-b178-183c7293c6eb"]},{"id":"ITEM-2","itemData":{"abstract":"Downloaded 19.04.12","author":[{"dropping-particle":"","family":"Limb","given":"Lauren","non-dropping-particle":"","parse-names":false,"suffix":""},{"dropping-particle":"","family":"Nutt","given":"Stephen","non-dropping-particle":"","parse-names":false,"suffix":""},{"dropping-particle":"","family":"Sen","given":"Alev","non-dropping-particle":"","parse-names":false,"suffix":""}],"id":"ITEM-2","issue":"December","issued":{"date-parts":[["2010"]]},"page":"37","title":"Experience of Rare Diseases: An insight from patients and families","type":"article-journal"},"uris":["http://www.mendeley.com/documents/?uuid=8539bd31-ad19-442b-9603-47379c61ce1b"]}],"mendeley":{"formattedCitation":"(Limb, Nutt, &amp; Sen, 2010; Slade et al., 2018)","plainTextFormattedCitation":"(Limb, Nutt, &amp; Sen, 2010; Slade et al., 2018)","previouslyFormattedCitation":"(Limb, Nutt, &amp; Sen, 2010; Slade et al., 2018)"},"properties":{"noteIndex":0},"schema":"https://github.com/citation-style-language/schema/raw/master/csl-citation.json"}</w:instrText>
      </w:r>
      <w:r w:rsidRPr="006A1EC7">
        <w:fldChar w:fldCharType="separate"/>
      </w:r>
      <w:r w:rsidRPr="006A1EC7">
        <w:rPr>
          <w:noProof/>
        </w:rPr>
        <w:t>(Limb, Nutt, &amp; Sen, 2010; Slade et al., 2018)</w:t>
      </w:r>
      <w:r w:rsidRPr="006A1EC7">
        <w:fldChar w:fldCharType="end"/>
      </w:r>
      <w:r w:rsidRPr="006A1EC7">
        <w:t>.</w:t>
      </w:r>
    </w:p>
    <w:p w14:paraId="13880669" w14:textId="77777777" w:rsidR="00065496" w:rsidRPr="006A1EC7" w:rsidRDefault="00065496" w:rsidP="00A40374">
      <w:pPr>
        <w:spacing w:line="360" w:lineRule="auto"/>
        <w:ind w:firstLine="720"/>
      </w:pPr>
      <w:r w:rsidRPr="006A1EC7">
        <w:t xml:space="preserve">Rare diseases are predominantly chronic in nature, and often life-threatening </w:t>
      </w:r>
      <w:r w:rsidRPr="006A1EC7">
        <w:fldChar w:fldCharType="begin" w:fldLock="1"/>
      </w:r>
      <w:r w:rsidRPr="006A1EC7">
        <w:instrText>ADDIN CSL_CITATION {"citationItems":[{"id":"ITEM-1","itemData":{"author":[{"dropping-particle":"","family":"Eurodis (Rare Diseases Europe)","given":"","non-dropping-particle":"","parse-names":false,"suffix":""}],"id":"ITEM-1","issue":"November","issued":{"date-parts":[["2005"]]},"title":"“ Rare Diseases : understanding this Public Health Priority ”","type":"report"},"uris":["http://www.mendeley.com/documents/?uuid=61217cad-eec2-409a-9e73-0c9d8901e8f7"]}],"mendeley":{"formattedCitation":"(Eurodis (Rare Diseases Europe), 2005)","plainTextFormattedCitation":"(Eurodis (Rare Diseases Europe), 2005)","previouslyFormattedCitation":"(Eurodis (Rare Diseases Europe), 2005)"},"properties":{"noteIndex":0},"schema":"https://github.com/citation-style-language/schema/raw/master/csl-citation.json"}</w:instrText>
      </w:r>
      <w:r w:rsidRPr="006A1EC7">
        <w:fldChar w:fldCharType="separate"/>
      </w:r>
      <w:r w:rsidRPr="006A1EC7">
        <w:rPr>
          <w:noProof/>
        </w:rPr>
        <w:t>(Eurodis (Rare Diseases Europe), 2005)</w:t>
      </w:r>
      <w:r w:rsidRPr="006A1EC7">
        <w:fldChar w:fldCharType="end"/>
      </w:r>
      <w:r w:rsidRPr="006A1EC7">
        <w:t xml:space="preserve">. They have a significant impact on patients, their families, resources, health-care professionals and health-care systems </w:t>
      </w:r>
      <w:r w:rsidRPr="006A1EC7">
        <w:fldChar w:fldCharType="begin" w:fldLock="1"/>
      </w:r>
      <w:r w:rsidRPr="006A1EC7">
        <w:instrText>ADDIN CSL_CITATION {"citationItems":[{"id":"ITEM-1","itemData":{"ISBN":"2013010710","author":[{"dropping-particle":"","family":"Department of Health","given":"","non-dropping-particle":"","parse-names":false,"suffix":""}],"id":"ITEM-1","issue":"November","issued":{"date-parts":[["2013"]]},"title":"The UK Strategy for Rare Diseases","type":"report"},"uris":["http://www.mendeley.com/documents/?uuid=02383414-239a-4c80-aa97-53dc9742ebff"]},{"id":"ITEM-2","itemData":{"DOI":"10.1016/j.healthpol.2014.12.016","author":[{"dropping-particle":"","family":"Angelis","given":"Aris","non-dropping-particle":"","parse-names":false,"suffix":""},{"dropping-particle":"","family":"Tordrup","given":"David","non-dropping-particle":"","parse-names":false,"suffix":""},{"dropping-particle":"","family":"Kanavos","given":"Panos","non-dropping-particle":"","parse-names":false,"suffix":""}],"id":"ITEM-2","issued":{"date-parts":[["2015"]]},"title":"Socio-economic burden of rare diseases : a systematic review of cost of illness evidence","type":"article-journal"},"uris":["http://www.mendeley.com/documents/?uuid=7a226625-0d64-4f28-b3b6-f6a88c5b85b5"]},{"id":"ITEM-3","itemData":{"DOI":"10.1186/s13023-018-0810-x","ISSN":"17501172","PMID":"29688860","abstract":"Rare diseases can lead to a significant reduction in quality of life for patients and their families. Ensuring the patients voice is central to clinical decision making is key to delivering, evaluating and understanding the efficacy of therapeutic interventions. Patient reported outcome measures (PROMs) are used to capture the patient’s views about their health status and facilitate our understanding of the impact of these diseases and their treatments on patient’s quality of life and symptoms. This review explores some of the current issues around the utilisation of PROMs in rare diseases, including small patient populations and dearth of valid PROMs. Difficulties in validating new or current PROMs for use in clinical trials and research are discussed. The review highlights potential solutions for some of the issues outlined in the review and the implementation of PROMs in research and clinical practice are discussed. Patient input throughout the development of PROMs including qualitative research is essential to ensure that outcomes that matter to people living with rare disease are appropriately captured. Given the large number of rare diseases, small numbers of patients living with each condition and the cost of instrument development, creative and pragmatic solutions to PROM development and use may be necessary. Solutions include qualitative interviews, modern psychometrics and resources such as item banking and computer adaptive testing. Use of PROMs in rare disease research and clinical practice offers the potential to improve patient care and clinical outcomes.","author":[{"dropping-particle":"","family":"Slade","given":"Anita","non-dropping-particle":"","parse-names":false,"suffix":""},{"dropping-particle":"","family":"Isa","given":"Fatima","non-dropping-particle":"","parse-names":false,"suffix":""},{"dropping-particle":"","family":"Kyte","given":"Derek","non-dropping-particle":"","parse-names":false,"suffix":""},{"dropping-particle":"","family":"Pankhurst","given":"Tanya","non-dropping-particle":"","parse-names":false,"suffix":""},{"dropping-particle":"","family":"Kerecuk","given":"Larissa","non-dropping-particle":"","parse-names":false,"suffix":""},{"dropping-particle":"","family":"Ferguson","given":"James","non-dropping-particle":"","parse-names":false,"suffix":""},{"dropping-particle":"","family":"Lipkin","given":"Graham","non-dropping-particle":"","parse-names":false,"suffix":""},{"dropping-particle":"","family":"Calvert","given":"Melanie","non-dropping-particle":"","parse-names":false,"suffix":""}],"container-title":"Orphanet Journal of Rare Diseases","id":"ITEM-3","issue":"1","issued":{"date-parts":[["2018"]]},"page":"1-9","publisher":"Orphanet Journal of Rare Diseases","title":"Patient reported outcome measures in rare diseases: A narrative review","type":"article-journal","volume":"13"},"uris":["http://www.mendeley.com/documents/?uuid=aa040719-d005-4e61-b178-183c7293c6eb"]}],"mendeley":{"formattedCitation":"(Angelis, Tordrup, &amp; Kanavos, 2015; Department of Health, 2013; Slade et al., 2018)","plainTextFormattedCitation":"(Angelis, Tordrup, &amp; Kanavos, 2015; Department of Health, 2013; Slade et al., 2018)","previouslyFormattedCitation":"(Angelis, Tordrup, &amp; Kanavos, 2015; Department of Health, 2013; Slade et al., 2018)"},"properties":{"noteIndex":0},"schema":"https://github.com/citation-style-language/schema/raw/master/csl-citation.json"}</w:instrText>
      </w:r>
      <w:r w:rsidRPr="006A1EC7">
        <w:fldChar w:fldCharType="separate"/>
      </w:r>
      <w:r w:rsidRPr="006A1EC7">
        <w:rPr>
          <w:noProof/>
        </w:rPr>
        <w:t>(Angelis, Tordrup, &amp; Kanavos, 2015; Department of Health, 2013; Slade et al., 2018)</w:t>
      </w:r>
      <w:r w:rsidRPr="006A1EC7">
        <w:fldChar w:fldCharType="end"/>
      </w:r>
      <w:r w:rsidRPr="006A1EC7">
        <w:t xml:space="preserve">. As a result, patients and family members frequently report a significant impact on their quality of life as a result of the rare disease, and emphasise serious unmet clinical needs </w:t>
      </w:r>
      <w:r w:rsidRPr="006A1EC7">
        <w:fldChar w:fldCharType="begin" w:fldLock="1"/>
      </w:r>
      <w:r w:rsidRPr="006A1EC7">
        <w:instrText>ADDIN CSL_CITATION {"citationItems":[{"id":"ITEM-1","itemData":{"DOI":"10.1186/s13023-018-0810-x","ISSN":"17501172","PMID":"29688860","abstract":"Rare diseases can lead to a significant reduction in quality of life for patients and their families. Ensuring the patients voice is central to clinical decision making is key to delivering, evaluating and understanding the efficacy of therapeutic interventions. Patient reported outcome measures (PROMs) are used to capture the patient’s views about their health status and facilitate our understanding of the impact of these diseases and their treatments on patient’s quality of life and symptoms. This review explores some of the current issues around the utilisation of PROMs in rare diseases, including small patient populations and dearth of valid PROMs. Difficulties in validating new or current PROMs for use in clinical trials and research are discussed. The review highlights potential solutions for some of the issues outlined in the review and the implementation of PROMs in research and clinical practice are discussed. Patient input throughout the development of PROMs including qualitative research is essential to ensure that outcomes that matter to people living with rare disease are appropriately captured. Given the large number of rare diseases, small numbers of patients living with each condition and the cost of instrument development, creative and pragmatic solutions to PROM development and use may be necessary. Solutions include qualitative interviews, modern psychometrics and resources such as item banking and computer adaptive testing. Use of PROMs in rare disease research and clinical practice offers the potential to improve patient care and clinical outcomes.","author":[{"dropping-particle":"","family":"Slade","given":"Anita","non-dropping-particle":"","parse-names":false,"suffix":""},{"dropping-particle":"","family":"Isa","given":"Fatima","non-dropping-particle":"","parse-names":false,"suffix":""},{"dropping-particle":"","family":"Kyte","given":"Derek","non-dropping-particle":"","parse-names":false,"suffix":""},{"dropping-particle":"","family":"Pankhurst","given":"Tanya","non-dropping-particle":"","parse-names":false,"suffix":""},{"dropping-particle":"","family":"Kerecuk","given":"Larissa","non-dropping-particle":"","parse-names":false,"suffix":""},{"dropping-particle":"","family":"Ferguson","given":"James","non-dropping-particle":"","parse-names":false,"suffix":""},{"dropping-particle":"","family":"Lipkin","given":"Graham","non-dropping-particle":"","parse-names":false,"suffix":""},{"dropping-particle":"","family":"Calvert","given":"Melanie","non-dropping-particle":"","parse-names":false,"suffix":""}],"container-title":"Orphanet Journal of Rare Diseases","id":"ITEM-1","issue":"1","issued":{"date-parts":[["2018"]]},"page":"1-9","publisher":"Orphanet Journal of Rare Diseases","title":"Patient reported outcome measures in rare diseases: A narrative review","type":"article-journal","volume":"13"},"uris":["http://www.mendeley.com/documents/?uuid=aa040719-d005-4e61-b178-183c7293c6eb"]}],"mendeley":{"formattedCitation":"(Slade et al., 2018)","plainTextFormattedCitation":"(Slade et al., 2018)","previouslyFormattedCitation":"(Slade et al., 2018)"},"properties":{"noteIndex":0},"schema":"https://github.com/citation-style-language/schema/raw/master/csl-citation.json"}</w:instrText>
      </w:r>
      <w:r w:rsidRPr="006A1EC7">
        <w:fldChar w:fldCharType="separate"/>
      </w:r>
      <w:r w:rsidRPr="006A1EC7">
        <w:rPr>
          <w:noProof/>
        </w:rPr>
        <w:t>(Slade et al., 2018)</w:t>
      </w:r>
      <w:r w:rsidRPr="006A1EC7">
        <w:fldChar w:fldCharType="end"/>
      </w:r>
      <w:r w:rsidRPr="006A1EC7">
        <w:t xml:space="preserve">. </w:t>
      </w:r>
    </w:p>
    <w:p w14:paraId="646AADE1" w14:textId="77777777" w:rsidR="00065496" w:rsidRPr="006A1EC7" w:rsidRDefault="00065496" w:rsidP="00A40374">
      <w:pPr>
        <w:spacing w:line="360" w:lineRule="auto"/>
      </w:pPr>
    </w:p>
    <w:p w14:paraId="6B9D725E" w14:textId="77777777" w:rsidR="00065496" w:rsidRPr="006A1EC7" w:rsidRDefault="00065496" w:rsidP="00A40374">
      <w:pPr>
        <w:pStyle w:val="Heading3"/>
        <w:spacing w:line="360" w:lineRule="auto"/>
        <w:rPr>
          <w:rFonts w:ascii="Times New Roman" w:hAnsi="Times New Roman" w:cs="Times New Roman"/>
        </w:rPr>
      </w:pPr>
      <w:bookmarkStart w:id="26" w:name="_Toc2336980"/>
      <w:bookmarkStart w:id="27" w:name="_Toc17977832"/>
      <w:r w:rsidRPr="006A1EC7">
        <w:rPr>
          <w:rFonts w:ascii="Times New Roman" w:hAnsi="Times New Roman" w:cs="Times New Roman"/>
        </w:rPr>
        <w:t>Different definitions of rare disease</w:t>
      </w:r>
      <w:bookmarkEnd w:id="26"/>
      <w:bookmarkEnd w:id="27"/>
    </w:p>
    <w:p w14:paraId="123973FE" w14:textId="03154AA9" w:rsidR="00065496" w:rsidRPr="006A1EC7" w:rsidRDefault="00065496" w:rsidP="00A40374">
      <w:pPr>
        <w:spacing w:line="360" w:lineRule="auto"/>
        <w:ind w:firstLine="720"/>
      </w:pPr>
      <w:r w:rsidRPr="006A1EC7">
        <w:t>Across the field, there are differences of opinion concerning the definition of a “rare disease”. Literature from the EU classes an illness as “rare” if, statistically, one (or less than one) in 2000 people is</w:t>
      </w:r>
      <w:r w:rsidR="00A40374" w:rsidRPr="006A1EC7">
        <w:t>/are aff</w:t>
      </w:r>
      <w:r w:rsidRPr="006A1EC7">
        <w:t xml:space="preserve">ected; whereas the American definition states that, collectively, “fewer than 20 000” individuals in the United States must suffer the illness </w:t>
      </w:r>
      <w:r w:rsidRPr="006A1EC7">
        <w:fldChar w:fldCharType="begin" w:fldLock="1"/>
      </w:r>
      <w:r w:rsidRPr="006A1EC7">
        <w:instrText>ADDIN CSL_CITATION {"citationItems":[{"id":"ITEM-1","itemData":{"URL":"https://rarediseases.info.nih.gov/diseases/pages/31/faqs-about-rare-diseases","accessed":{"date-parts":[["2017","9","18"]]},"author":[{"dropping-particle":"","family":"Genetic and Rare Diseases Information Center","given":"","non-dropping-particle":"","parse-names":false,"suffix":""}],"id":"ITEM-1","issued":{"date-parts":[["2017"]]},"title":"FAQ about Rare Diseases","type":"webpage"},"uris":["http://www.mendeley.com/documents/?uuid=283a45b3-04fd-44d5-b554-7c05b0e8c620"]},{"id":"ITEM-2","itemData":{"ISBN":"2013010710","author":[{"dropping-particle":"","family":"Department of Health","given":"","non-dropping-particle":"","parse-names":false,"suffix":""}],"id":"ITEM-2","issue":"November","issued":{"date-parts":[["2013"]]},"title":"The UK Strategy for Rare Diseases","type":"report"},"uris":["http://www.mendeley.com/documents/?uuid=02383414-239a-4c80-aa97-53dc9742ebff"]},{"id":"ITEM-3","itemData":{"URL":"http://www.eurordis.org/about-rare-diseases","accessed":{"date-parts":[["2017","9","18"]]},"author":[{"dropping-particle":"","family":"Eurodis (Rare Diseases Europe)","given":"","non-dropping-particle":"","parse-names":false,"suffix":""}],"id":"ITEM-3","issued":{"date-parts":[["2017"]]},"title":"About Rare Diseases","type":"webpage"},"uris":["http://www.mendeley.com/documents/?uuid=51ecef33-e1ea-47a8-bc16-8e18353f621f"]},{"id":"ITEM-4","itemData":{"URL":"http://www.eurordis.org/content/what-rare-disease","accessed":{"date-parts":[["2017","9","19"]]},"author":[{"dropping-particle":"","family":"Eurodis (Rare Diseases Europe)","given":"","non-dropping-particle":"","parse-names":false,"suffix":""}],"id":"ITEM-4","issued":{"date-parts":[["2014"]]},"title":"What is a rare disease?","type":"webpage"},"uris":["http://www.mendeley.com/documents/?uuid=6393be53-3d47-4951-b840-d9a9846c6423"]}],"mendeley":{"formattedCitation":"(Department of Health, 2013; Eurodis (Rare Diseases Europe), 2014, 2017; Genetic and Rare Diseases Information Center, 2017)","plainTextFormattedCitation":"(Department of Health, 2013; Eurodis (Rare Diseases Europe), 2014, 2017; Genetic and Rare Diseases Information Center, 2017)","previouslyFormattedCitation":"(Department of Health, 2013; Eurodis (Rare Diseases Europe), 2014, 2017; Genetic and Rare Diseases Information Center, 2017)"},"properties":{"noteIndex":0},"schema":"https://github.com/citation-style-language/schema/raw/master/csl-citation.json"}</w:instrText>
      </w:r>
      <w:r w:rsidRPr="006A1EC7">
        <w:fldChar w:fldCharType="separate"/>
      </w:r>
      <w:r w:rsidRPr="006A1EC7">
        <w:rPr>
          <w:noProof/>
        </w:rPr>
        <w:t>(Department of Health, 2013; Eurodis (Rare Diseases Europe), 2014, 2017; Genetic and Rare Diseases Information Center, 2017)</w:t>
      </w:r>
      <w:r w:rsidRPr="006A1EC7">
        <w:fldChar w:fldCharType="end"/>
      </w:r>
      <w:r w:rsidRPr="006A1EC7">
        <w:t xml:space="preserve">. This could possibly mean that, according to the EU definition, more illnesses could be classed as rare in those countries. </w:t>
      </w:r>
    </w:p>
    <w:p w14:paraId="412383DB" w14:textId="2E0A8696" w:rsidR="00065496" w:rsidRPr="006A1EC7" w:rsidRDefault="00065496" w:rsidP="00A40374">
      <w:pPr>
        <w:spacing w:line="360" w:lineRule="auto"/>
        <w:ind w:firstLine="720"/>
      </w:pPr>
      <w:r w:rsidRPr="006A1EC7">
        <w:lastRenderedPageBreak/>
        <w:t xml:space="preserve">A synonym for “rare disease”, predominantly used in the American literature, is “orphan disease” </w:t>
      </w:r>
      <w:r w:rsidRPr="006A1EC7">
        <w:fldChar w:fldCharType="begin" w:fldLock="1"/>
      </w:r>
      <w:r w:rsidRPr="006A1EC7">
        <w:instrText>ADDIN CSL_CITATION {"citationItems":[{"id":"ITEM-1","itemData":{"URL":"http://www.eurordis.org/content/what-rare-disease","accessed":{"date-parts":[["2017","9","19"]]},"author":[{"dropping-particle":"","family":"Eurodis (Rare Diseases Europe)","given":"","non-dropping-particle":"","parse-names":false,"suffix":""}],"id":"ITEM-1","issued":{"date-parts":[["2014"]]},"title":"What is a rare disease?","type":"webpage"},"uris":["http://www.mendeley.com/documents/?uuid=6393be53-3d47-4951-b840-d9a9846c6423"]},{"id":"ITEM-2","itemData":{"URL":"https://rarediseases.info.nih.gov/diseases/pages/31/faqs-about-rare-diseases","accessed":{"date-parts":[["2017","9","18"]]},"author":[{"dropping-particle":"","family":"Genetic and Rare Diseases Information Center","given":"","non-dropping-particle":"","parse-names":false,"suffix":""}],"id":"ITEM-2","issued":{"date-parts":[["2017"]]},"title":"FAQ about Rare Diseases","type":"webpage"},"uris":["http://www.mendeley.com/documents/?uuid=283a45b3-04fd-44d5-b554-7c05b0e8c620"]}],"mendeley":{"formattedCitation":"(Eurodis (Rare Diseases Europe), 2014; Genetic and Rare Diseases Information Center, 2017)","plainTextFormattedCitation":"(Eurodis (Rare Diseases Europe), 2014; Genetic and Rare Diseases Information Center, 2017)","previouslyFormattedCitation":"(Eurodis (Rare Diseases Europe), 2014; Genetic and Rare Diseases Information Center, 2017)"},"properties":{"noteIndex":0},"schema":"https://github.com/citation-style-language/schema/raw/master/csl-citation.json"}</w:instrText>
      </w:r>
      <w:r w:rsidRPr="006A1EC7">
        <w:fldChar w:fldCharType="separate"/>
      </w:r>
      <w:r w:rsidRPr="006A1EC7">
        <w:rPr>
          <w:noProof/>
        </w:rPr>
        <w:t>(Eurodis (Rare Diseases Europe), 2014; Genetic and Rare Diseases Information Center, 2017)</w:t>
      </w:r>
      <w:r w:rsidRPr="006A1EC7">
        <w:fldChar w:fldCharType="end"/>
      </w:r>
      <w:r w:rsidRPr="006A1EC7">
        <w:t xml:space="preserve">. This synonym emerged because until the 1980s, U.S. drug companies had little interest in investigating rare illnesses or developing medications to treat these diseases and their symptoms </w:t>
      </w:r>
      <w:r w:rsidRPr="006A1EC7">
        <w:fldChar w:fldCharType="begin" w:fldLock="1"/>
      </w:r>
      <w:r w:rsidRPr="006A1EC7">
        <w:instrText>ADDIN CSL_CITATION {"citationItems":[{"id":"ITEM-1","itemData":{"URL":"https://rarediseases.info.nih.gov/diseases/pages/31/faqs-about-rare-diseases","accessed":{"date-parts":[["2017","9","18"]]},"author":[{"dropping-particle":"","family":"Genetic and Rare Diseases Information Center","given":"","non-dropping-particle":"","parse-names":false,"suffix":""}],"id":"ITEM-1","issued":{"date-parts":[["2017"]]},"title":"FAQ about Rare Diseases","type":"webpage"},"uris":["http://www.mendeley.com/documents/?uuid=283a45b3-04fd-44d5-b554-7c05b0e8c620"]}],"mendeley":{"formattedCitation":"(Genetic and Rare Diseases Information Center, 2017)","plainTextFormattedCitation":"(Genetic and Rare Diseases Information Center, 2017)","previouslyFormattedCitation":"(Genetic and Rare Diseases Information Center, 2017)"},"properties":{"noteIndex":0},"schema":"https://github.com/citation-style-language/schema/raw/master/csl-citation.json"}</w:instrText>
      </w:r>
      <w:r w:rsidRPr="006A1EC7">
        <w:fldChar w:fldCharType="separate"/>
      </w:r>
      <w:r w:rsidRPr="006A1EC7">
        <w:rPr>
          <w:noProof/>
        </w:rPr>
        <w:t>(Genetic and Rare Diseases Information Center, 2017)</w:t>
      </w:r>
      <w:r w:rsidRPr="006A1EC7">
        <w:fldChar w:fldCharType="end"/>
      </w:r>
      <w:r w:rsidRPr="006A1EC7">
        <w:t xml:space="preserve"> due to the limited financial gain from this niche area. As a response, in 1983, the U.S. Congress introduced the “Orphan Drug Act of 1983” which promised financial incentives for companies investigating drug therapies for rare illnesses </w:t>
      </w:r>
      <w:r w:rsidRPr="006A1EC7">
        <w:fldChar w:fldCharType="begin" w:fldLock="1"/>
      </w:r>
      <w:r w:rsidRPr="006A1EC7">
        <w:instrText>ADDIN CSL_CITATION {"citationItems":[{"id":"ITEM-1","itemData":{"URL":"https://rarediseases.info.nih.gov/diseases/pages/31/faqs-about-rare-diseases","accessed":{"date-parts":[["2017","9","18"]]},"author":[{"dropping-particle":"","family":"Genetic and Rare Diseases Information Center","given":"","non-dropping-particle":"","parse-names":false,"suffix":""}],"id":"ITEM-1","issued":{"date-parts":[["2017"]]},"title":"FAQ about Rare Diseases","type":"webpage"},"uris":["http://www.mendeley.com/documents/?uuid=283a45b3-04fd-44d5-b554-7c05b0e8c620"]}],"mendeley":{"formattedCitation":"(Genetic and Rare Diseases Information Center, 2017)","plainTextFormattedCitation":"(Genetic and Rare Diseases Information Center, 2017)","previouslyFormattedCitation":"(Genetic and Rare Diseases Information Center, 2017)"},"properties":{"noteIndex":0},"schema":"https://github.com/citation-style-language/schema/raw/master/csl-citation.json"}</w:instrText>
      </w:r>
      <w:r w:rsidRPr="006A1EC7">
        <w:fldChar w:fldCharType="separate"/>
      </w:r>
      <w:r w:rsidRPr="006A1EC7">
        <w:rPr>
          <w:noProof/>
        </w:rPr>
        <w:t>(Genetic and Rare Diseases Information Center, 2017)</w:t>
      </w:r>
      <w:r w:rsidRPr="006A1EC7">
        <w:fldChar w:fldCharType="end"/>
      </w:r>
      <w:r w:rsidRPr="006A1EC7">
        <w:t>. Since then, a significant effort has been made to develop drug treatments for these diseases</w:t>
      </w:r>
      <w:r w:rsidRPr="006A1EC7">
        <w:fldChar w:fldCharType="begin" w:fldLock="1"/>
      </w:r>
      <w:r w:rsidRPr="006A1EC7">
        <w:instrText>ADDIN CSL_CITATION {"citationItems":[{"id":"ITEM-1","itemData":{"URL":"https://rarediseases.info.nih.gov/diseases/pages/31/faqs-about-rare-diseases","accessed":{"date-parts":[["2017","9","18"]]},"author":[{"dropping-particle":"","family":"Genetic and Rare Diseases Information Center","given":"","non-dropping-particle":"","parse-names":false,"suffix":""}],"id":"ITEM-1","issued":{"date-parts":[["2017"]]},"title":"FAQ about Rare Diseases","type":"webpage"},"uris":["http://www.mendeley.com/documents/?uuid=283a45b3-04fd-44d5-b554-7c05b0e8c620"]}],"mendeley":{"formattedCitation":"(Genetic and Rare Diseases Information Center, 2017)","plainTextFormattedCitation":"(Genetic and Rare Diseases Information Center, 2017)","previouslyFormattedCitation":"(Genetic and Rare Diseases Information Center, 2017)"},"properties":{"noteIndex":0},"schema":"https://github.com/citation-style-language/schema/raw/master/csl-citation.json"}</w:instrText>
      </w:r>
      <w:r w:rsidRPr="006A1EC7">
        <w:fldChar w:fldCharType="separate"/>
      </w:r>
      <w:r w:rsidRPr="006A1EC7">
        <w:rPr>
          <w:noProof/>
        </w:rPr>
        <w:t>(Genetic and Rare Diseases Information Center, 2017)</w:t>
      </w:r>
      <w:r w:rsidRPr="006A1EC7">
        <w:fldChar w:fldCharType="end"/>
      </w:r>
      <w:r w:rsidRPr="006A1EC7">
        <w:t xml:space="preserve">, in order to increase the quality of life of patients suffering such illnesses. This was the first important step towards improving the health-related quality of life (HRQoL) of patients suffering such rare diseases </w:t>
      </w:r>
      <w:r w:rsidRPr="006A1EC7">
        <w:fldChar w:fldCharType="begin" w:fldLock="1"/>
      </w:r>
      <w:r w:rsidRPr="006A1EC7">
        <w:instrText>ADDIN CSL_CITATION {"citationItems":[{"id":"ITEM-1","itemData":{"author":[{"dropping-particle":"","family":"Eurodis (Rare Diseases Europe)","given":"","non-dropping-particle":"","parse-names":false,"suffix":""}],"id":"ITEM-1","issue":"November","issued":{"date-parts":[["2005"]]},"title":"“ Rare Diseases : understanding this Public Health Priority ”","type":"report"},"uris":["http://www.mendeley.com/documents/?uuid=61217cad-eec2-409a-9e73-0c9d8901e8f7"]},{"id":"ITEM-2","itemData":{"DOI":"10.1002/ajmg.a.33380.Quality","author":[{"dropping-particle":"","family":"Cohen","given":"Julie","non-dropping-particle":"","parse-names":false,"suffix":""},{"dropping-particle":"","family":"Biesecker","given":"Barbara","non-dropping-particle":"","parse-names":false,"suffix":""}],"container-title":"American Journal of Medical Genetics, Part A","id":"ITEM-2","issue":"5","issued":{"date-parts":[["2010"]]},"page":"1136-1156","title":"Quality of Life in Rare Genetic Conditions: A Systematic Review of the Literature","type":"article-journal","volume":"152!"},"uris":["http://www.mendeley.com/documents/?uuid=bba415db-8f6a-4d2c-abb2-72c9efbf7a6d"]}],"mendeley":{"formattedCitation":"(Julie Cohen &amp; Biesecker, 2010; Eurodis (Rare Diseases Europe), 2005)","manualFormatting":"(e.g. Cohen &amp; Biesecker, 2010; Eurodis Rare Diseases Europe, 2005)","plainTextFormattedCitation":"(Julie Cohen &amp; Biesecker, 2010; Eurodis (Rare Diseases Europe), 2005)","previouslyFormattedCitation":"(Julie Cohen &amp; Biesecker, 2010; Eurodis (Rare Diseases Europe), 2005)"},"properties":{"noteIndex":0},"schema":"https://github.com/citation-style-language/schema/raw/master/csl-citation.json"}</w:instrText>
      </w:r>
      <w:r w:rsidRPr="006A1EC7">
        <w:fldChar w:fldCharType="separate"/>
      </w:r>
      <w:r w:rsidRPr="006A1EC7">
        <w:rPr>
          <w:noProof/>
        </w:rPr>
        <w:t>(e.g. Cohen &amp; Biesecker, 2010; Eurodis Rare Diseases Europe, 2005)</w:t>
      </w:r>
      <w:r w:rsidRPr="006A1EC7">
        <w:fldChar w:fldCharType="end"/>
      </w:r>
      <w:r w:rsidRPr="006A1EC7">
        <w:t xml:space="preserve">. </w:t>
      </w:r>
    </w:p>
    <w:p w14:paraId="0A864553" w14:textId="77777777" w:rsidR="00065496" w:rsidRPr="006A1EC7" w:rsidRDefault="00065496" w:rsidP="00A40374">
      <w:pPr>
        <w:spacing w:line="360" w:lineRule="auto"/>
        <w:rPr>
          <w:u w:val="single"/>
        </w:rPr>
      </w:pPr>
    </w:p>
    <w:p w14:paraId="5C1E2FAE" w14:textId="3ACA5CDA" w:rsidR="00065496" w:rsidRPr="006A1EC7" w:rsidRDefault="009F0718" w:rsidP="00A40374">
      <w:pPr>
        <w:pStyle w:val="Heading2"/>
        <w:spacing w:line="360" w:lineRule="auto"/>
        <w:rPr>
          <w:rFonts w:ascii="Times New Roman" w:hAnsi="Times New Roman" w:cs="Times New Roman"/>
        </w:rPr>
      </w:pPr>
      <w:bookmarkStart w:id="28" w:name="_Toc40172978"/>
      <w:r w:rsidRPr="006A1EC7">
        <w:rPr>
          <w:rFonts w:ascii="Times New Roman" w:hAnsi="Times New Roman" w:cs="Times New Roman"/>
        </w:rPr>
        <w:t>W</w:t>
      </w:r>
      <w:r w:rsidR="0026747E" w:rsidRPr="006A1EC7">
        <w:rPr>
          <w:rFonts w:ascii="Times New Roman" w:hAnsi="Times New Roman" w:cs="Times New Roman"/>
        </w:rPr>
        <w:t>olf-Hirschhorn Syndrome (W</w:t>
      </w:r>
      <w:r w:rsidRPr="006A1EC7">
        <w:rPr>
          <w:rFonts w:ascii="Times New Roman" w:hAnsi="Times New Roman" w:cs="Times New Roman"/>
        </w:rPr>
        <w:t>HS</w:t>
      </w:r>
      <w:r w:rsidR="0026747E" w:rsidRPr="006A1EC7">
        <w:rPr>
          <w:rFonts w:ascii="Times New Roman" w:hAnsi="Times New Roman" w:cs="Times New Roman"/>
        </w:rPr>
        <w:t>)</w:t>
      </w:r>
      <w:bookmarkEnd w:id="28"/>
    </w:p>
    <w:p w14:paraId="44B7759E" w14:textId="77777777" w:rsidR="00A40374" w:rsidRPr="006A1EC7" w:rsidRDefault="00A40374" w:rsidP="00A40374"/>
    <w:p w14:paraId="0D181EB3" w14:textId="77777777" w:rsidR="00065496" w:rsidRPr="006A1EC7" w:rsidRDefault="00065496" w:rsidP="00A40374">
      <w:pPr>
        <w:pStyle w:val="Heading3"/>
        <w:spacing w:line="360" w:lineRule="auto"/>
        <w:rPr>
          <w:rFonts w:ascii="Times New Roman" w:hAnsi="Times New Roman" w:cs="Times New Roman"/>
        </w:rPr>
      </w:pPr>
      <w:bookmarkStart w:id="29" w:name="_Toc17977834"/>
      <w:r w:rsidRPr="006A1EC7">
        <w:rPr>
          <w:rFonts w:ascii="Times New Roman" w:hAnsi="Times New Roman" w:cs="Times New Roman"/>
        </w:rPr>
        <w:t>Overview</w:t>
      </w:r>
      <w:bookmarkEnd w:id="29"/>
    </w:p>
    <w:p w14:paraId="715E6F7F" w14:textId="184F54C8" w:rsidR="00065496" w:rsidRPr="006A1EC7" w:rsidRDefault="00065496" w:rsidP="00A40374">
      <w:pPr>
        <w:spacing w:line="360" w:lineRule="auto"/>
        <w:ind w:firstLine="720"/>
        <w:rPr>
          <w:i/>
          <w:color w:val="9CC2E5" w:themeColor="accent5" w:themeTint="99"/>
        </w:rPr>
      </w:pPr>
      <w:r w:rsidRPr="006A1EC7">
        <w:t xml:space="preserve">One such rare genetic illness is </w:t>
      </w:r>
      <w:r w:rsidR="009F0718" w:rsidRPr="006A1EC7">
        <w:t>WHS</w:t>
      </w:r>
      <w:r w:rsidRPr="006A1EC7">
        <w:t xml:space="preserve"> </w:t>
      </w:r>
      <w:r w:rsidRPr="006A1EC7">
        <w:rPr>
          <w:color w:val="000000" w:themeColor="text1"/>
        </w:rPr>
        <w:t xml:space="preserve">(WHS). It is referred to as OMIM number 194190 (Online Mendelian Inheritance in Man, 2017; </w:t>
      </w:r>
      <w:r w:rsidRPr="006A1EC7">
        <w:rPr>
          <w:noProof/>
          <w:color w:val="000000" w:themeColor="text1"/>
        </w:rPr>
        <w:t>World Health Organisation, 2016</w:t>
      </w:r>
      <w:r w:rsidRPr="006A1EC7">
        <w:rPr>
          <w:color w:val="000000" w:themeColor="text1"/>
        </w:rPr>
        <w:t xml:space="preserve">) and is typically caused by deletions of the short arm (p) of chromosome 4. It has an incidence rate of 1 in 96000 live births </w:t>
      </w:r>
      <w:r w:rsidRPr="006A1EC7">
        <w:rPr>
          <w:color w:val="000000" w:themeColor="text1"/>
        </w:rPr>
        <w:fldChar w:fldCharType="begin" w:fldLock="1"/>
      </w:r>
      <w:r w:rsidRPr="006A1EC7">
        <w:rPr>
          <w:color w:val="000000" w:themeColor="text1"/>
        </w:rPr>
        <w:instrText>ADDIN CSL_CITATION {"citationItems":[{"id":"ITEM-1","itemData":{"DOI":"10.1136/jmg.38.10.674","ISBN":"1468-6244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genetics","id":"ITEM-1","issue":"10","issued":{"date-parts":[["2001","10"]]},"language":"English","note":"From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mortality.","type":"article-journal","volume":"38"},"uris":["http://www.mendeley.com/documents/?uuid=01ece509-b613-40ab-ac37-fa4a5c49d71d"]}],"mendeley":{"formattedCitation":"(Shannon et al., 2001)","plainTextFormattedCitation":"(Shannon et al., 2001)","previouslyFormattedCitation":"(Shannon et al., 2001)"},"properties":{"noteIndex":0},"schema":"https://github.com/citation-style-language/schema/raw/master/csl-citation.json"}</w:instrText>
      </w:r>
      <w:r w:rsidRPr="006A1EC7">
        <w:rPr>
          <w:color w:val="000000" w:themeColor="text1"/>
        </w:rPr>
        <w:fldChar w:fldCharType="separate"/>
      </w:r>
      <w:r w:rsidRPr="006A1EC7">
        <w:rPr>
          <w:noProof/>
          <w:color w:val="000000" w:themeColor="text1"/>
        </w:rPr>
        <w:t>(Shannon et al., 2001)</w:t>
      </w:r>
      <w:r w:rsidRPr="006A1EC7">
        <w:rPr>
          <w:color w:val="000000" w:themeColor="text1"/>
        </w:rPr>
        <w:fldChar w:fldCharType="end"/>
      </w:r>
      <w:r w:rsidRPr="006A1EC7">
        <w:rPr>
          <w:color w:val="000000" w:themeColor="text1"/>
        </w:rPr>
        <w:t xml:space="preserve"> and as such it satisfies both the definitions for rare diseases provided by the European Union and the United States.</w:t>
      </w:r>
      <w:r w:rsidRPr="006A1EC7">
        <w:rPr>
          <w:i/>
          <w:color w:val="9CC2E5" w:themeColor="accent5" w:themeTint="99"/>
        </w:rPr>
        <w:t xml:space="preserve"> </w:t>
      </w:r>
    </w:p>
    <w:p w14:paraId="4EE85D5D" w14:textId="37C41129" w:rsidR="00065496" w:rsidRPr="006A1EC7" w:rsidRDefault="00065496" w:rsidP="00A40374">
      <w:pPr>
        <w:spacing w:line="360" w:lineRule="auto"/>
        <w:ind w:firstLine="720"/>
        <w:rPr>
          <w:color w:val="000000" w:themeColor="text1"/>
        </w:rPr>
      </w:pPr>
      <w:r w:rsidRPr="006A1EC7">
        <w:rPr>
          <w:color w:val="000000" w:themeColor="text1"/>
        </w:rPr>
        <w:t xml:space="preserve">WHS was first described in 1961 by Hirschhorn and Cooper </w:t>
      </w:r>
      <w:r w:rsidRPr="006A1EC7">
        <w:rPr>
          <w:color w:val="000000" w:themeColor="text1"/>
        </w:rPr>
        <w:fldChar w:fldCharType="begin" w:fldLock="1"/>
      </w:r>
      <w:r w:rsidRPr="006A1EC7">
        <w:rPr>
          <w:color w:val="000000" w:themeColor="text1"/>
        </w:rPr>
        <w:instrText>ADDIN CSL_CITATION {"citationItems":[{"id":"ITEM-1","itemData":{"author":[{"dropping-particle":"","family":"Cooper","given":"H","non-dropping-particle":"","parse-names":false,"suffix":""},{"dropping-particle":"","family":"Hirschhorn","given":"Kurt","non-dropping-particle":"","parse-names":false,"suffix":""}],"container-title":"Mammalian Chromosomes Newsletter","id":"ITEM-1","issue":"14","issued":{"date-parts":[["1961"]]},"title":"Apparent deletion of short arms of one chromosome (4 or 5) in a child with defects of midline fusion","type":"article-journal","volume":"4"},"uris":["http://www.mendeley.com/documents/?uuid=4bdf1095-01b4-4a97-b7e4-658e050e18ba"]}],"mendeley":{"formattedCitation":"(Cooper &amp; Hirschhorn, 1961)","manualFormatting":"(1961)","plainTextFormattedCitation":"(Cooper &amp; Hirschhorn, 1961)","previouslyFormattedCitation":"(Cooper &amp; Hirschhorn, 1961)"},"properties":{"noteIndex":0},"schema":"https://github.com/citation-style-language/schema/raw/master/csl-citation.json"}</w:instrText>
      </w:r>
      <w:r w:rsidRPr="006A1EC7">
        <w:rPr>
          <w:color w:val="000000" w:themeColor="text1"/>
        </w:rPr>
        <w:fldChar w:fldCharType="separate"/>
      </w:r>
      <w:r w:rsidRPr="006A1EC7">
        <w:rPr>
          <w:noProof/>
          <w:color w:val="000000" w:themeColor="text1"/>
        </w:rPr>
        <w:t>(1961)</w:t>
      </w:r>
      <w:r w:rsidRPr="006A1EC7">
        <w:rPr>
          <w:color w:val="000000" w:themeColor="text1"/>
        </w:rPr>
        <w:fldChar w:fldCharType="end"/>
      </w:r>
      <w:r w:rsidRPr="006A1EC7">
        <w:rPr>
          <w:color w:val="000000" w:themeColor="text1"/>
        </w:rPr>
        <w:t xml:space="preserve">, who described a child with a multitude of congenital malformations, low birth weight, delayed development and recurrent seizures. A case with similar features was later also described by </w:t>
      </w:r>
      <w:r w:rsidRPr="006A1EC7">
        <w:rPr>
          <w:color w:val="000000" w:themeColor="text1"/>
        </w:rPr>
        <w:fldChar w:fldCharType="begin" w:fldLock="1"/>
      </w:r>
      <w:r w:rsidRPr="006A1EC7">
        <w:rPr>
          <w:color w:val="000000" w:themeColor="text1"/>
        </w:rPr>
        <w:instrText>ADDIN CSL_CITATION {"citationItems":[{"id":"ITEM-1","itemData":{"author":[{"dropping-particle":"","family":"Wolf","given":"U","non-dropping-particle":"","parse-names":false,"suffix":""},{"dropping-particle":"","family":"Reinwein","given":"H","non-dropping-particle":"","parse-names":false,"suffix":""},{"dropping-particle":"","family":"Porsch","given":"R","non-dropping-particle":"","parse-names":false,"suffix":""},{"dropping-particle":"","family":"Schroter","given":"R","non-dropping-particle":"","parse-names":false,"suffix":""},{"dropping-particle":"","family":"Baitsch","given":"H","non-dropping-particle":"","parse-names":false,"suffix":""}],"container-title":"Humangenetik","id":"ITEM-1","issue":"397","issued":{"date-parts":[["1965"]]},"title":"Defizienz an den kurzen Armen eines Chromosoms Nr. 4.","type":"article-journal","volume":"1"},"uris":["http://www.mendeley.com/documents/?uuid=4ec9df30-8a4c-443e-b34b-79446560b47f"]}],"mendeley":{"formattedCitation":"(U. Wolf, Reinwein, Porsch, Schroter, &amp; Baitsch, 1965)","manualFormatting":"Wolf, Reinwein, Porsch, Schroter and Baitsch (1965)","plainTextFormattedCitation":"(U. Wolf, Reinwein, Porsch, Schroter, &amp; Baitsch, 1965)","previouslyFormattedCitation":"(U. Wolf, Reinwein, Porsch, Schroter, &amp; Baitsch, 1965)"},"properties":{"noteIndex":0},"schema":"https://github.com/citation-style-language/schema/raw/master/csl-citation.json"}</w:instrText>
      </w:r>
      <w:r w:rsidRPr="006A1EC7">
        <w:rPr>
          <w:color w:val="000000" w:themeColor="text1"/>
        </w:rPr>
        <w:fldChar w:fldCharType="separate"/>
      </w:r>
      <w:r w:rsidRPr="006A1EC7">
        <w:rPr>
          <w:noProof/>
          <w:color w:val="000000" w:themeColor="text1"/>
        </w:rPr>
        <w:t>Wolf, Reinwein, Porsch, Schroter and Baitsch (1965)</w:t>
      </w:r>
      <w:r w:rsidRPr="006A1EC7">
        <w:rPr>
          <w:color w:val="000000" w:themeColor="text1"/>
        </w:rPr>
        <w:fldChar w:fldCharType="end"/>
      </w:r>
      <w:r w:rsidRPr="006A1EC7">
        <w:rPr>
          <w:color w:val="000000" w:themeColor="text1"/>
        </w:rPr>
        <w:t xml:space="preserve">. Eventually, this led to the use of the term </w:t>
      </w:r>
      <w:r w:rsidR="009F0718" w:rsidRPr="006A1EC7">
        <w:rPr>
          <w:color w:val="000000" w:themeColor="text1"/>
        </w:rPr>
        <w:t>WHS</w:t>
      </w:r>
      <w:r w:rsidRPr="006A1EC7">
        <w:rPr>
          <w:color w:val="000000" w:themeColor="text1"/>
        </w:rPr>
        <w:t>, after a full report of both cases was published in the journal Humangenetik, now called Human Genetics</w:t>
      </w:r>
      <w:r w:rsidRPr="006A1EC7">
        <w:rPr>
          <w:color w:val="000000" w:themeColor="text1"/>
        </w:rPr>
        <w:fldChar w:fldCharType="begin" w:fldLock="1"/>
      </w:r>
      <w:r w:rsidRPr="006A1EC7">
        <w:rPr>
          <w:color w:val="000000" w:themeColor="text1"/>
        </w:rPr>
        <w:instrText>ADDIN CSL_CITATION {"citationItems":[{"id":"ITEM-1","itemData":{"author":[{"dropping-particle":"","family":"Hirschhorn","given":"K","non-dropping-particle":"","parse-names":false,"suffix":""},{"dropping-particle":"","family":"Cooper","given":"H","non-dropping-particle":"","parse-names":false,"suffix":""},{"dropping-particle":"","family":"Firschein","given":"I","non-dropping-particle":"","parse-names":false,"suffix":""}],"container-title":"Humangenetik","id":"ITEM-1","issued":{"date-parts":[["1965"]]},"page":"479-482","title":"Deletion of short arms of chromosome 4–5 in a child with defects of midline fusion","type":"article-journal","volume":"1"},"uris":["http://www.mendeley.com/documents/?uuid=ae98cd17-263e-46dc-a780-7df7807df02c"]},{"id":"ITEM-2","itemData":{"DOI":"10.1002/ajmg.c.30186","ISBN":"1552-4876 (Electronic)","ISSN":"15524868","PMID":"18932223","abstract":"Deletion of the short arm of chromosome 4 (4p-) was first described in 1961 [Hirschhorn and Cooper, 1961], and the second case of 4p- was published in 1965 [Hirschhorn et al., 1965]. This short history describes the original case and the sequence of events leading to the publications.","author":[{"dropping-particle":"","family":"Hirschhorn","given":"Kurt","non-dropping-particle":"","parse-names":false,"suffix":""}],"container-title":"American Journal of Medical Genetics, Part C: Seminars in Medical Genetics","id":"ITEM-2","issue":"4","issued":{"date-parts":[["2008"]]},"page":"244-245","title":"A short history of the initial discovery of the Wolf-Hirschhorn syndrome","type":"article-journal","volume":"148"},"uris":["http://www.mendeley.com/documents/?uuid=452f3f39-94c9-44e0-9688-2516e4f96cf4"]}],"mendeley":{"formattedCitation":"(K Hirschhorn, Cooper, &amp; Firschein, 1965; Kurt Hirschhorn, 2008)","manualFormatting":" (Hirschhorn, Cooper, &amp; Firschein, 1965; Hirschhorn, 2008)","plainTextFormattedCitation":"(K Hirschhorn, Cooper, &amp; Firschein, 1965; Kurt Hirschhorn, 2008)","previouslyFormattedCitation":"(K Hirschhorn, Cooper, &amp; Firschein, 1965; Kurt Hirschhorn, 2008)"},"properties":{"noteIndex":0},"schema":"https://github.com/citation-style-language/schema/raw/master/csl-citation.json"}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 xml:space="preserve"> (Hirschhorn, Cooper, &amp; Firschein, 1965; Hirschhorn, 2008)</w:t>
      </w:r>
      <w:r w:rsidRPr="006A1EC7">
        <w:rPr>
          <w:color w:val="000000" w:themeColor="text1"/>
        </w:rPr>
        <w:fldChar w:fldCharType="end"/>
      </w:r>
      <w:r w:rsidRPr="006A1EC7">
        <w:rPr>
          <w:color w:val="000000" w:themeColor="text1"/>
        </w:rPr>
        <w:t xml:space="preserve">. </w:t>
      </w:r>
    </w:p>
    <w:p w14:paraId="435286EF" w14:textId="77777777" w:rsidR="00065496" w:rsidRPr="006A1EC7" w:rsidRDefault="00065496" w:rsidP="00A40374">
      <w:pPr>
        <w:spacing w:line="360" w:lineRule="auto"/>
        <w:ind w:firstLine="720"/>
        <w:rPr>
          <w:color w:val="000000" w:themeColor="text1"/>
        </w:rPr>
      </w:pPr>
    </w:p>
    <w:p w14:paraId="500F69F9" w14:textId="542D82FC" w:rsidR="00065496" w:rsidRPr="006A1EC7" w:rsidRDefault="00A40374" w:rsidP="00A40374">
      <w:pPr>
        <w:pStyle w:val="Heading3"/>
        <w:spacing w:line="360" w:lineRule="auto"/>
        <w:rPr>
          <w:rFonts w:ascii="Times New Roman" w:hAnsi="Times New Roman" w:cs="Times New Roman"/>
        </w:rPr>
      </w:pPr>
      <w:bookmarkStart w:id="30" w:name="_Toc22126788"/>
      <w:r w:rsidRPr="006A1EC7">
        <w:rPr>
          <w:rFonts w:ascii="Times New Roman" w:hAnsi="Times New Roman" w:cs="Times New Roman"/>
        </w:rPr>
        <w:lastRenderedPageBreak/>
        <w:t xml:space="preserve">WHS: </w:t>
      </w:r>
      <w:r w:rsidR="00065496" w:rsidRPr="006A1EC7">
        <w:rPr>
          <w:rFonts w:ascii="Times New Roman" w:hAnsi="Times New Roman" w:cs="Times New Roman"/>
        </w:rPr>
        <w:t>Aetiology and Diagnosis</w:t>
      </w:r>
      <w:bookmarkEnd w:id="30"/>
      <w:r w:rsidR="00065496" w:rsidRPr="006A1EC7">
        <w:rPr>
          <w:rFonts w:ascii="Times New Roman" w:hAnsi="Times New Roman" w:cs="Times New Roman"/>
        </w:rPr>
        <w:t xml:space="preserve"> </w:t>
      </w:r>
    </w:p>
    <w:p w14:paraId="3BDF7C1F" w14:textId="77777777" w:rsidR="002705C1" w:rsidRPr="006A1EC7" w:rsidRDefault="002705C1" w:rsidP="00960C82">
      <w:pPr>
        <w:spacing w:line="360" w:lineRule="auto"/>
        <w:ind w:firstLine="720"/>
      </w:pPr>
    </w:p>
    <w:p w14:paraId="451E0728" w14:textId="77777777" w:rsidR="002705C1" w:rsidRPr="006A1EC7" w:rsidRDefault="002705C1" w:rsidP="002705C1">
      <w:pPr>
        <w:spacing w:line="360" w:lineRule="auto"/>
        <w:ind w:firstLine="720"/>
        <w:rPr>
          <w:color w:val="000000"/>
          <w:lang w:eastAsia="en-GB"/>
        </w:rPr>
      </w:pPr>
      <w:r w:rsidRPr="006A1EC7">
        <w:t xml:space="preserve">A diagnosis of Wolf-Hirschhorn is made when a heterozygous deletion of the Wolf-Hirschhorn critical region occurs (WHSCR) at 4p16.3 </w:t>
      </w:r>
      <w:r w:rsidRPr="006A1EC7">
        <w:fldChar w:fldCharType="begin" w:fldLock="1"/>
      </w:r>
      <w:r w:rsidRPr="006A1EC7">
        <w:instrText>ADDIN CSL_CITATION {"citationItems":[{"id":"ITEM-1","itemData":{"DOI":"10.1086/367925","ISBN":"0002-9297 (Print)\\n0002-9297 (Linking)","ISSN":"00029297","PMID":"12563561","abstract":"In an attempt to define the distinctive Wolf-Hirschhorn syndrome (WHS) phenotype, and to map its specific clinical manifestations, a total of eight patients carrying a 4p16.3 microdeletion were analyzed for their clinical phenotype and their respective genotypes. The extent of each individual deletion was established by fluorescence in situ hybridization, with a cosmid contig spanning the genomic region from MSX1 (distal half of 4p16.1) to the subtelomeric locus D4S3359. The deletions were 1.9-3.5 Mb, and all were terminal. All the patients presented with a mild phenotype, in which major malformations were usually absent. It is worth noting that head circumference was normal for height in two patients (those with the smallest deletions [1.9 and 2.2 Mb]). The currently accepted WHS critical region (WHSCR) was fully preserved in the patient with the 1.9-Mb deletion, in spite of a typical WHS phenotype. The deletion in this patient spanned the chromosome region from D4S3327 (190 b4 cosmid clone included) to the telomere. From a clinical point of view, the distinctive WHS phenotype is defined by the presence of typical facial appearance, mental retardation, growth delay, congenital hypotonia, and seizures. These signs represent the minimal diagnostic criteria for WHS. This basic phenotype maps distal to the currently accepted WHSCR. Here, we propose a new critical region for WHS, and we refer to this region as \"WHSCR-2.\" It falls within a 300-600-kb interval in 4p16.3, between the loci D4S3327 and D4S98-D4S168. Among the candidate genes already described for WHS, LETM1 (leucine zipper/EF-hand-containing transmembrane) is likely to be pathogenetically involved in seizures. On the basis of genotype-phenotype correlation analysis, dividing the WHS phenotype into two distinct clinical entities, a \"classical\" and a \"mild\" form, is recommended for the purpose of proper genetic counseling.","author":[{"dropping-particle":"","family":"Zollino","given":"Marcella","non-dropping-particle":"","parse-names":false,"suffix":""},{"dropping-particle":"","family":"Lecce","given":"Rosetta","non-dropping-particle":"","parse-names":false,"suffix":""},{"dropping-particle":"","family":"Fischetto","given":"Rita","non-dropping-particle":"","parse-names":false,"suffix":""},{"dropping-particle":"","family":"Murdolo","given":"Marina","non-dropping-particle":"","parse-names":false,"suffix":""},{"dropping-particle":"","family":"Faravelli","given":"Francesca","non-dropping-particle":"","parse-names":false,"suffix":""},{"dropping-particle":"","family":"Selicorni","given":"Angelo","non-dropping-particle":"","parse-names":false,"suffix":""},{"dropping-particle":"","family":"Buttè","given":"Cinzia","non-dropping-particle":"","parse-names":false,"suffix":""},{"dropping-particle":"","family":"Memo","given":"Luigi","non-dropping-particle":"","parse-names":false,"suffix":""},{"dropping-particle":"","family":"Capovilla","given":"Giuseppe","non-dropping-particle":"","parse-names":false,"suffix":""},{"dropping-particle":"","family":"Neri","given":"Giovanni","non-dropping-particle":"","parse-names":false,"suffix":""}],"container-title":"American journal of human genetics","id":"ITEM-1","issue":"3","issued":{"date-parts":[["2003","3"]]},"language":"English","note":"From Duplicate 1 (Mapping the Wolf-Hirschhorn syndrome phenotype outside the currently accepted WHS critical region and defining a new critical region, WHSCR-2 - Zollino, Marcella; Lecce, Rosetta; Fischetto, Rita; Murdolo, Marina; Faravelli, Francesca; Selicorni, Angelo; Buttè, Cinzia; Memo, Luigi; Capovilla, Giuseppe; Neri, Giovanni)\n\nFrom Duplicate 1 (Mapping the Wolf-Hirschhorn syndrome phenotype outside the currently accepted WHS critical region and defining a new critical region, WHSCR-2 - Zollino, M; Lecce, R; Fischetto, R; Murdolo, M; Faravelli, F; Selicorni, A; Buttè, C; Memo, L; Capovilla, G; Neri, G)\n\nCited By :140\n\nExport Date: 5 January 2018\n\nCODEN: AJHGA\n\nCorrespondence Address: Zollino, M.; Istituto di Genetica Medica, Fac. di Medicina A. Gemelli, U.C.S.C., L.go F. Vito, 1 00168 Rome, Italy; email: mzollino@rm.unicatt.it","page":"590-597","publisher":"University of Chicago Press","publisher-place":"Istituto di Genetica Medica, Fac. di Medicina A. Gemelli, Univ. Cattolica Sacro Cuore, Roma, Italy","title":"Mapping the Wolf-Hirschhorn syndrome phenotype outside the currently accepted WHS critical region and defining a new critical region, WHSCR-2.","type":"article-journal","volume":"72"},"uris":["http://www.mendeley.com/documents/?uuid=2ddf7814-f9cd-4247-bc3e-462776a5f49f"]}],"mendeley":{"formattedCitation":"(Zollino et al., 2003)","manualFormatting":"(Zollino et al., 2003)","plainTextFormattedCitation":"(Zollino et al., 2003)","previouslyFormattedCitation":"(Zollino et al., 2003)"},"properties":{"noteIndex":0},"schema":"https://github.com/citation-style-language/schema/raw/master/csl-citation.json"}</w:instrText>
      </w:r>
      <w:r w:rsidRPr="006A1EC7">
        <w:fldChar w:fldCharType="separate"/>
      </w:r>
      <w:r w:rsidRPr="006A1EC7">
        <w:rPr>
          <w:noProof/>
        </w:rPr>
        <w:t>(Zollino et al., 2003)</w:t>
      </w:r>
      <w:r w:rsidRPr="006A1EC7">
        <w:fldChar w:fldCharType="end"/>
      </w:r>
      <w:r w:rsidRPr="006A1EC7">
        <w:t xml:space="preserve">. About 50% of WHS diagnoses can be made through G-banding karyotype analysis </w:t>
      </w:r>
      <w:r w:rsidRPr="006A1EC7">
        <w:fldChar w:fldCharType="begin" w:fldLock="1"/>
      </w:r>
      <w:r w:rsidRPr="006A1EC7">
        <w:instrText>ADDIN CSL_CITATION {"citationItems":[{"id":"ITEM-1","itemData":{"DOI":"10.1136/jmedgenet-2015-103626","ISBN":"0022-2593","ISSN":"1468-6244","PMID":"26747863","abstract":"BACKGROUND: Wolf-Hirschhorn syndrome (WHS) is a contiguous gene deletion syndrome involving variable size deletions of the 4p16.3 region. Seizures are frequently, but not always, associated with WHS. We hypothesised that the size and location of the deleted region may correlate with seizure presentation.\\n\\nMETHODS: Using chromosomal microarray analysis, we finely mapped the breakpoints of copy number variants (CNVs) in 48 individuals with WHS. Seizure phenotype data were collected through parent-reported answers to a comprehensive questionnaire and supplemented with available medical records.\\n\\nRESULTS: We observed a significant correlation between the presence of an interstitial 4p deletion and lack of a seizure phenotype (Fisher's exact test p=3.59e-6). In our cohort, there were five individuals with interstitial deletions with a distal breakpoint at least 751 kbp proximal to the 4p terminus. Four of these individuals have never had an observable seizure, and the fifth individual had a single febrile seizure at the age of 1.5 years. All other individuals in our cohort whose deletions encompass the terminal 751 kbp region report having seizures typical of WHS. Additional examples from the literature corroborate these observations and further refine the candidate seizure susceptibility region to a region 197 kbp in size, starting 368 kbp from the terminus of chromosome 4.\\n\\nCONCLUSIONS: We identify a small terminal region of chromosome 4p that represents a seizure susceptibility region. Deletion of this region in the context of WHS is sufficient for seizure occurrence.","author":[{"dropping-particle":"","family":"Ho","given":"Karen S","non-dropping-particle":"","parse-names":false,"suffix":""},{"dropping-particle":"","family":"South","given":"Sarah T","non-dropping-particle":"","parse-names":false,"suffix":""},{"dropping-particle":"","family":"Lortz","given":"Amanda","non-dropping-particle":"","parse-names":false,"suffix":""},{"dropping-particle":"","family":"Hensel","given":"Charles H","non-dropping-particle":"","parse-names":false,"suffix":""},{"dropping-particle":"","family":"Sdano","given":"Mallory R","non-dropping-particle":"","parse-names":false,"suffix":""},{"dropping-particle":"","family":"Vanzo","given":"Rena J","non-dropping-particle":"","parse-names":false,"suffix":""},{"dropping-particle":"","family":"Martin","given":"Megan M","non-dropping-particle":"","parse-names":false,"suffix":""},{"dropping-particle":"","family":"Peiffer","given":"Andreas","non-dropping-particle":"","parse-names":false,"suffix":""},{"dropping-particle":"","family":"Lambert","given":"Christophe G","non-dropping-particle":"","parse-names":false,"suffix":""},{"dropping-particle":"","family":"Calhoun","given":"Amy","non-dropping-particle":"","parse-names":false,"suffix":""},{"dropping-particle":"","family":"Carey","given":"John C","non-dropping-particle":"","parse-names":false,"suffix":""},{"dropping-particle":"","family":"Battaglia","given":"Agatino","non-dropping-particle":"","parse-names":false,"suffix":""}],"container-title":"Journal of medical genetics","id":"ITEM-1","issue":"4","issued":{"date-parts":[["2016","4"]]},"page":"1-8","title":"Chromosomal microarray testing identifies a 4p terminal region associated with seizures in Wolf-Hirschhorn syndrome.","type":"article-journal","volume":"53"},"uris":["http://www.mendeley.com/documents/?uuid=be537038-33d9-439e-b274-7e555e3fc4df"]}],"mendeley":{"formattedCitation":"(Ho et al., 2016)","plainTextFormattedCitation":"(Ho et al., 2016)","previouslyFormattedCitation":"(Ho et al., 2016)"},"properties":{"noteIndex":0},"schema":"https://github.com/citation-style-language/schema/raw/master/csl-citation.json"}</w:instrText>
      </w:r>
      <w:r w:rsidRPr="006A1EC7">
        <w:fldChar w:fldCharType="separate"/>
      </w:r>
      <w:r w:rsidRPr="006A1EC7">
        <w:rPr>
          <w:noProof/>
        </w:rPr>
        <w:t>(Ho et al., 2016)</w:t>
      </w:r>
      <w:r w:rsidRPr="006A1EC7">
        <w:fldChar w:fldCharType="end"/>
      </w:r>
      <w:r w:rsidRPr="006A1EC7">
        <w:t xml:space="preserve">. The detection of smaller deletions may require ‘targeted fluorescent in-situ hybridisation’ (FISH) </w:t>
      </w:r>
      <w:r w:rsidRPr="006A1EC7">
        <w:fldChar w:fldCharType="begin" w:fldLock="1"/>
      </w:r>
      <w:r w:rsidRPr="006A1EC7">
        <w:instrText>ADDIN CSL_CITATION {"citationItems":[{"id":"ITEM-1","itemData":{"DOI":"10.1016/j.gene.2012.09.108","ISSN":"03781119","PMID":"23064045","abstract":"Wolf-Hirschhorn syndrome is a well-known clinical entity caused by a terminal deletion of the short arm of chromosome 4 (4p-). The diagnosis is usually made in childhood because of the pathognomonic facial dysmorphism, multi-organ involvement and seizures. Epilepsy is a major medical complication during the first years of life, with seizures typically being frequent, although they tend to improve or cease with age. We report on a woman diagnosed with WHS in her thirties by array-CGH. She presents with milder dysmorphic features, recognized by stereophotogrammetry and seizures persistent in adulthood. ?? 2012 Elsevier B.V.","author":[{"dropping-particle":"","family":"Coppola","given":"Antonietta","non-dropping-particle":"","parse-names":false,"suffix":""},{"dropping-particle":"","family":"Chinthapalli","given":"Krishna","non-dropping-particle":"","parse-names":false,"suffix":""},{"dropping-particle":"","family":"Hammond","given":"Peter","non-dropping-particle":"","parse-names":false,"suffix":""},{"dropping-particle":"","family":"Sander","given":"Josemir W.","non-dropping-particle":"","parse-names":false,"suffix":""},{"dropping-particle":"","family":"Sisodiya","given":"Sanjay M.","non-dropping-particle":"","parse-names":false,"suffix":""}],"container-title":"Gene","id":"ITEM-1","issue":"2","issued":{"date-parts":[["2013","1"]]},"page":"532-535","publisher":"Elsevier B.V.","title":"Pediatric diagnosis not made until adulthood: A case of Wolf-Hirschhorn syndrome","type":"article-journal","volume":"512"},"uris":["http://www.mendeley.com/documents/?uuid=78d0e1f1-2294-4cd3-9f12-4921b3e69a26"]},{"id":"ITEM-2","itemData":{"DOI":"10.1136/jmedgenet-2015-103626","ISBN":"0022-2593","ISSN":"1468-6244","PMID":"26747863","abstract":"BACKGROUND: Wolf-Hirschhorn syndrome (WHS) is a contiguous gene deletion syndrome involving variable size deletions of the 4p16.3 region. Seizures are frequently, but not always, associated with WHS. We hypothesised that the size and location of the deleted region may correlate with seizure presentation.\\n\\nMETHODS: Using chromosomal microarray analysis, we finely mapped the breakpoints of copy number variants (CNVs) in 48 individuals with WHS. Seizure phenotype data were collected through parent-reported answers to a comprehensive questionnaire and supplemented with available medical records.\\n\\nRESULTS: We observed a significant correlation between the presence of an interstitial 4p deletion and lack of a seizure phenotype (Fisher's exact test p=3.59e-6). In our cohort, there were five individuals with interstitial deletions with a distal breakpoint at least 751 kbp proximal to the 4p terminus. Four of these individuals have never had an observable seizure, and the fifth individual had a single febrile seizure at the age of 1.5 years. All other individuals in our cohort whose deletions encompass the terminal 751 kbp region report having seizures typical of WHS. Additional examples from the literature corroborate these observations and further refine the candidate seizure susceptibility region to a region 197 kbp in size, starting 368 kbp from the terminus of chromosome 4.\\n\\nCONCLUSIONS: We identify a small terminal region of chromosome 4p that represents a seizure susceptibility region. Deletion of this region in the context of WHS is sufficient for seizure occurrence.","author":[{"dropping-particle":"","family":"Ho","given":"Karen S","non-dropping-particle":"","parse-names":false,"suffix":""},{"dropping-particle":"","family":"South","given":"Sarah T","non-dropping-particle":"","parse-names":false,"suffix":""},{"dropping-particle":"","family":"Lortz","given":"Amanda","non-dropping-particle":"","parse-names":false,"suffix":""},{"dropping-particle":"","family":"Hensel","given":"Charles H","non-dropping-particle":"","parse-names":false,"suffix":""},{"dropping-particle":"","family":"Sdano","given":"Mallory R","non-dropping-particle":"","parse-names":false,"suffix":""},{"dropping-particle":"","family":"Vanzo","given":"Rena J","non-dropping-particle":"","parse-names":false,"suffix":""},{"dropping-particle":"","family":"Martin","given":"Megan M","non-dropping-particle":"","parse-names":false,"suffix":""},{"dropping-particle":"","family":"Peiffer","given":"Andreas","non-dropping-particle":"","parse-names":false,"suffix":""},{"dropping-particle":"","family":"Lambert","given":"Christophe G","non-dropping-particle":"","parse-names":false,"suffix":""},{"dropping-particle":"","family":"Calhoun","given":"Amy","non-dropping-particle":"","parse-names":false,"suffix":""},{"dropping-particle":"","family":"Carey","given":"John C","non-dropping-particle":"","parse-names":false,"suffix":""},{"dropping-particle":"","family":"Battaglia","given":"Agatino","non-dropping-particle":"","parse-names":false,"suffix":""}],"container-title":"Journal of medical genetics","id":"ITEM-2","issue":"4","issued":{"date-parts":[["2016","4"]]},"page":"1-8","title":"Chromosomal microarray testing identifies a 4p terminal region associated with seizures in Wolf-Hirschhorn syndrome.","type":"article-journal","volume":"53"},"uris":["http://www.mendeley.com/documents/?uuid=be537038-33d9-439e-b274-7e555e3fc4df"]}],"mendeley":{"formattedCitation":"(Coppola, Chinthapalli, Hammond, Sander, &amp; Sisodiya, 2013; Ho et al., 2016)","plainTextFormattedCitation":"(Coppola, Chinthapalli, Hammond, Sander, &amp; Sisodiya, 2013; Ho et al., 2016)","previouslyFormattedCitation":"(Coppola, Chinthapalli, Hammond, Sander, &amp; Sisodiya, 2013; Ho et al., 2016)"},"properties":{"noteIndex":0},"schema":"https://github.com/citation-style-language/schema/raw/master/csl-citation.json"}</w:instrText>
      </w:r>
      <w:r w:rsidRPr="006A1EC7">
        <w:fldChar w:fldCharType="separate"/>
      </w:r>
      <w:r w:rsidRPr="006A1EC7">
        <w:rPr>
          <w:noProof/>
        </w:rPr>
        <w:t>(Coppola, Chinthapalli, Hammond, Sander, &amp; Sisodiya, 2013; Ho et al., 2016)</w:t>
      </w:r>
      <w:r w:rsidRPr="006A1EC7">
        <w:fldChar w:fldCharType="end"/>
      </w:r>
      <w:r w:rsidRPr="006A1EC7">
        <w:t xml:space="preserve"> or ‘array comparative genomic hybridisation’, also known as array-CGH </w:t>
      </w:r>
      <w:r w:rsidRPr="006A1EC7">
        <w:fldChar w:fldCharType="begin" w:fldLock="1"/>
      </w:r>
      <w:r w:rsidRPr="006A1EC7">
        <w:instrText xml:space="preserve">ADDIN CSL_CITATION {"citationItems":[{"id":"ITEM-1","itemData":{"DOI":"10.1016/j.gene.2012.09.108","ISSN":"03781119","PMID":"23064045","abstract":"Wolf-Hirschhorn syndrome is a well-known clinical entity caused by a terminal deletion of the short arm of chromosome 4 (4p-). The diagnosis is usually made in childhood because of the pathognomonic facial dysmorphism, multi-organ involvement and seizures. Epilepsy is a major medical complication during the first years of life, with seizures typically being frequent, although they tend to improve or cease with age. We report on a woman diagnosed with WHS in her thirties by array-CGH. She presents with milder dysmorphic features, recognized by stereophotogrammetry and seizures persistent in adulthood. ?? 2012 Elsevier B.V.","author":[{"dropping-particle":"","family":"Coppola","given":"Antonietta","non-dropping-particle":"","parse-names":false,"suffix":""},{"dropping-particle":"","family":"Chinthapalli","given":"Krishna","non-dropping-particle":"","parse-names":false,"suffix":""},{"dropping-particle":"","family":"Hammond","given":"Peter","non-dropping-particle":"","parse-names":false,"suffix":""},{"dropping-particle":"","family":"Sander","given":"Josemir W.","non-dropping-particle":"","parse-names":false,"suffix":""},{"dropping-particle":"","family":"Sisodiya","given":"Sanjay M.","non-dropping-particle":"","parse-names":false,"suffix":""}],"container-title":"Gene","id":"ITEM-1","issue":"2","issued":{"date-parts":[["2013","1"]]},"page":"532-535","publisher":"Elsevier B.V.","title":"Pediatric diagnosis not made until adulthood: A case of Wolf-Hirschhorn syndrome","type":"article-journal","volume":"512"},"uris":["http://www.mendeley.com/documents/?uuid=78d0e1f1-2294-4cd3-9f12-4921b3e69a26"]},{"id":"ITEM-2","itemData":{"DOI":"10.1111/j.1528-1167.2010.02932.x","ISBN":"1528-1167 (Electronic)\\r0013-9580 (Linking)","ISSN":"00139580","PMID":"21269290","abstract":"We set out to review the extent to which molecular karyotyping has overtaken conventional cytogenetics in applications related to epilepsy. Multiplex ligase-dependent probe amplification (MLPA) targeted to predetermined regions such as SCN1A and KCNQ2 has been effectively applied over the last half a decade, and oligonucleotide array comparative genome hybridization (array CGH) is now well established for genome-wide exploration of microchromosomal variation. Array CGH is applicable to the characterization of lesions present in both sporadic and familial epilepsy, especially where clinical features of affected cases depart from established syndromes. Copy number variants (CNVs) associated with epilepsy and a range of other syndromes and conditions can be recurrent due to nonallelic homologous recombination in regions of segmental duplication. The most common of the recurrent microdeletions associated with generalized epilepsy are typically seen at a frequency of </w:instrText>
      </w:r>
      <w:r w:rsidRPr="006A1EC7">
        <w:rPr>
          <w:rFonts w:ascii="Cambria Math" w:hAnsi="Cambria Math" w:cs="Cambria Math"/>
        </w:rPr>
        <w:instrText>∼</w:instrText>
      </w:r>
      <w:r w:rsidRPr="006A1EC7">
        <w:instrText xml:space="preserve"> 1% at 15q13.3, 16p13.11, and 15q11.2, sites that also confer susceptibility for intellectual disability, autism, and schizophrenia. Incomplete penetrance and variable expressivity confound the established rules of cytogenetics for determining the pathogenicity for novel CNVs; however, as knowledge is gained for each of the recurrent CNVs, this is translated to genetic counseling. CNVs play a significant role in the susceptibility profile for epilepsies, with complex genetics and their comorbidities both from the \"hotspots\" defined by segmental duplication and elsewhere in the genome where their location and size are often novel.","author":[{"dropping-particle":"","family":"Mulley","given":"John C.","non-dropping-particle":"","parse-names":false,"suffix":""},{"dropping-particle":"","family":"Mefford","given":"Heather C.","non-dropping-particle":"","parse-names":false,"suffix":""}],"container-title":"Epilepsia","id":"ITEM-2","issue":"3","issued":{"date-parts":[["2011"]]},"page":"423-432","title":"Epilepsy and the new cytogenetics","type":"article-journal","volume":"52"},"uris":["http://www.mendeley.com/documents/?uuid=d1641d37-a306-4349-97e6-74792b291fd7"]}],"mendeley":{"formattedCitation":"(Coppola et al., 2013; Mulley &amp; Mefford, 2011)","plainTextFormattedCitation":"(Coppola et al., 2013; Mulley &amp; Mefford, 2011)","previouslyFormattedCitation":"(Coppola et al., 2013; Mulley &amp; Mefford, 2011)"},"properties":{"noteIndex":0},"schema":"https://github.com/citation-style-language/schema/raw/master/csl-citation.json"}</w:instrText>
      </w:r>
      <w:r w:rsidRPr="006A1EC7">
        <w:fldChar w:fldCharType="separate"/>
      </w:r>
      <w:r w:rsidRPr="006A1EC7">
        <w:rPr>
          <w:noProof/>
        </w:rPr>
        <w:t>(Coppola et al., 2013; Mulley &amp; Mefford, 2011)</w:t>
      </w:r>
      <w:r w:rsidRPr="006A1EC7">
        <w:fldChar w:fldCharType="end"/>
      </w:r>
      <w:r w:rsidRPr="006A1EC7">
        <w:t xml:space="preserve">. The genetics of WHS are complex: it is believed that multiple genes are involved in its aetiology </w:t>
      </w:r>
      <w:r w:rsidRPr="006A1EC7">
        <w:fldChar w:fldCharType="begin" w:fldLock="1"/>
      </w:r>
      <w:r w:rsidRPr="006A1EC7">
        <w:instrText>ADDIN CSL_CITATION {"citationItems":[{"id":"ITEM-1","itemData":{"DOI":"10.1002/ajmg.c.30184","ISBN":"1552-4876 (Electronic)","ISSN":"15524868","PMID":"18932126","abstract":"Subtelomeric deletion syndromes represent a significant cause of mental retardation and craniofacial disease. However, for most of these syndromes the pathogenic genes have yet to be identified. Currently there is every indication that identification of these genes will be a slow process if we continue to rely strictly upon clinical data. An alternative approach is the use of mouse models to complement the patient studies. Wolf-Hirschhorn syndrome (WHS), caused by deletions in 4p16.3, is the first recognized subtelomeric deletion syndrome. As with other syndromes of this class, WHS has not yet been subjected to an intensive, systematic analysis using mouse models. Nonetheless, a significant number of targeted mutations have been introduced into mouse genomic region, 5B1, which is orthologous to 4p16.3. Included among these mutations are a series of deletions approximating the deletions in some patients. The mouse lines carrying these deletions display a remarkable concordance of phenotypes with the human patient's characteristics, strongly indicating that the mouse models can be used to phenocopy WHS. In this review, we will catalog the currently existing targeted mutations in mice in the regions orthologous to the WHS critical regions. For each mutation we will discuss the resulting phenotype and its potential relevance to the pathogenesis of the syndrome. Further, we will describe how the phenotypes of some of the mutations suggest new directions for the clinical studies. Finally we will outline approaches for the efficient creation of new mouse models of WHS going forward.","author":[{"dropping-particle":"","family":"Simon","given":"Ruth","non-dropping-particle":"","parse-names":false,"suffix":""},{"dropping-particle":"","family":"Bergemann","given":"Andrew D.","non-dropping-particle":"","parse-names":false,"suffix":""}],"container-title":"American Journal of Medical Genetics, Part C: Seminars in Medical Genetics","id":"ITEM-1","issue":"4","issued":{"date-parts":[["2008"]]},"page":"275-280","title":"Mouse models of Wolf-Hirschhorn syndrome","type":"article-journal","volume":"148"},"uris":["http://www.mendeley.com/documents/?uuid=e6f0cf9a-d6cd-4dcb-86a3-630d877f8d39"]},{"id":"ITEM-2","itemData":{"DOI":"10.1086/367925","ISBN":"0002-9297 (Print)\\n0002-9297 (Linking)","ISSN":"00029297","PMID":"12563561","abstract":"In an attempt to define the distinctive Wolf-Hirschhorn syndrome (WHS) phenotype, and to map its specific clinical manifestations, a total of eight patients carrying a 4p16.3 microdeletion were analyzed for their clinical phenotype and their respective genotypes. The extent of each individual deletion was established by fluorescence in situ hybridization, with a cosmid contig spanning the genomic region from MSX1 (distal half of 4p16.1) to the subtelomeric locus D4S3359. The deletions were 1.9-3.5 Mb, and all were terminal. All the patients presented with a mild phenotype, in which major malformations were usually absent. It is worth noting that head circumference was normal for height in two patients (those with the smallest deletions [1.9 and 2.2 Mb]). The currently accepted WHS critical region (WHSCR) was fully preserved in the patient with the 1.9-Mb deletion, in spite of a typical WHS phenotype. The deletion in this patient spanned the chromosome region from D4S3327 (190 b4 cosmid clone included) to the telomere. From a clinical point of view, the distinctive WHS phenotype is defined by the presence of typical facial appearance, mental retardation, growth delay, congenital hypotonia, and seizures. These signs represent the minimal diagnostic criteria for WHS. This basic phenotype maps distal to the currently accepted WHSCR. Here, we propose a new critical region for WHS, and we refer to this region as \"WHSCR-2.\" It falls within a 300-600-kb interval in 4p16.3, between the loci D4S3327 and D4S98-D4S168. Among the candidate genes already described for WHS, LETM1 (leucine zipper/EF-hand-containing transmembrane) is likely to be pathogenetically involved in seizures. On the basis of genotype-phenotype correlation analysis, dividing the WHS phenotype into two distinct clinical entities, a \"classical\" and a \"mild\" form, is recommended for the purpose of proper genetic counseling.","author":[{"dropping-particle":"","family":"Zollino","given":"Marcella","non-dropping-particle":"","parse-names":false,"suffix":""},{"dropping-particle":"","family":"Lecce","given":"Rosetta","non-dropping-particle":"","parse-names":false,"suffix":""},{"dropping-particle":"","family":"Fischetto","given":"Rita","non-dropping-particle":"","parse-names":false,"suffix":""},{"dropping-particle":"","family":"Murdolo","given":"Marina","non-dropping-particle":"","parse-names":false,"suffix":""},{"dropping-particle":"","family":"Faravelli","given":"Francesca","non-dropping-particle":"","parse-names":false,"suffix":""},{"dropping-particle":"","family":"Selicorni","given":"Angelo","non-dropping-particle":"","parse-names":false,"suffix":""},{"dropping-particle":"","family":"Buttè","given":"Cinzia","non-dropping-particle":"","parse-names":false,"suffix":""},{"dropping-particle":"","family":"Memo","given":"Luigi","non-dropping-particle":"","parse-names":false,"suffix":""},{"dropping-particle":"","family":"Capovilla","given":"Giuseppe","non-dropping-particle":"","parse-names":false,"suffix":""},{"dropping-particle":"","family":"Neri","given":"Giovanni","non-dropping-particle":"","parse-names":false,"suffix":""}],"container-title":"American journal of human genetics","id":"ITEM-2","issue":"3","issued":{"date-parts":[["2003","3"]]},"language":"English","note":"From Duplicate 1 (Mapping the Wolf-Hirschhorn syndrome phenotype outside the currently accepted WHS critical region and defining a new critical region, WHSCR-2 - Zollino, Marcella; Lecce, Rosetta; Fischetto, Rita; Murdolo, Marina; Faravelli, Francesca; Selicorni, Angelo; Buttè, Cinzia; Memo, Luigi; Capovilla, Giuseppe; Neri, Giovanni)\n\nFrom Duplicate 1 (Mapping the Wolf-Hirschhorn syndrome phenotype outside the currently accepted WHS critical region and defining a new critical region, WHSCR-2 - Zollino, M; Lecce, R; Fischetto, R; Murdolo, M; Faravelli, F; Selicorni, A; Buttè, C; Memo, L; Capovilla, G; Neri, G)\n\nCited By :140\n\nExport Date: 5 January 2018\n\nCODEN: AJHGA\n\nCorrespondence Address: Zollino, M.; Istituto di Genetica Medica, Fac. di Medicina A. Gemelli, U.C.S.C., L.go F. Vito, 1 00168 Rome, Italy; email: mzollino@rm.unicatt.it","page":"590-597","publisher":"University of Chicago Press","publisher-place":"Istituto di Genetica Medica, Fac. di Medicina A. Gemelli, Univ. Cattolica Sacro Cuore, Roma, Italy","title":"Mapping the Wolf-Hirschhorn syndrome phenotype outside the currently accepted WHS critical region and defining a new critical region, WHSCR-2.","type":"article-journal","volume":"72"},"uris":["http://www.mendeley.com/documents/?uuid=2ddf7814-f9cd-4247-bc3e-462776a5f49f"]}],"mendeley":{"formattedCitation":"(Simon &amp; Bergemann, 2008; Zollino et al., 2003)","manualFormatting":"(Simon &amp; Bergemann, 2008; Zollino et al., 2003)","plainTextFormattedCitation":"(Simon &amp; Bergemann, 2008; Zollino et al., 2003)","previouslyFormattedCitation":"(Simon &amp; Bergemann, 2008; Zollino et al., 2003)"},"properties":{"noteIndex":0},"schema":"https://github.com/citation-style-language/schema/raw/master/csl-citation.json"}</w:instrText>
      </w:r>
      <w:r w:rsidRPr="006A1EC7">
        <w:fldChar w:fldCharType="separate"/>
      </w:r>
      <w:r w:rsidRPr="006A1EC7">
        <w:rPr>
          <w:noProof/>
        </w:rPr>
        <w:t>(Simon &amp; Bergemann, 2008; Zollino et al., 2003)</w:t>
      </w:r>
      <w:r w:rsidRPr="006A1EC7">
        <w:fldChar w:fldCharType="end"/>
      </w:r>
      <w:r w:rsidRPr="006A1EC7">
        <w:t xml:space="preserve">, such as </w:t>
      </w:r>
      <w:r w:rsidRPr="006A1EC7">
        <w:rPr>
          <w:i/>
        </w:rPr>
        <w:t xml:space="preserve">WHSC1 </w:t>
      </w:r>
      <w:r w:rsidRPr="006A1EC7">
        <w:t xml:space="preserve">and </w:t>
      </w:r>
      <w:r w:rsidRPr="006A1EC7">
        <w:rPr>
          <w:i/>
        </w:rPr>
        <w:t>LETM1</w:t>
      </w:r>
      <w:r w:rsidRPr="006A1EC7">
        <w:t xml:space="preserve"> </w:t>
      </w:r>
      <w:r w:rsidRPr="006A1EC7">
        <w:fldChar w:fldCharType="begin" w:fldLock="1"/>
      </w:r>
      <w:r w:rsidRPr="006A1EC7">
        <w:instrText>ADDIN CSL_CITATION {"citationItems":[{"id":"ITEM-1","itemData":{"DOI":"10.1086/367925","ISBN":"0002-9297 (Print)\\n0002-9297 (Linking)","ISSN":"00029297","PMID":"12563561","abstract":"In an attempt to define the distinctive Wolf-Hirschhorn syndrome (WHS) phenotype, and to map its specific clinical manifestations, a total of eight patients carrying a 4p16.3 microdeletion were analyzed for their clinical phenotype and their respective genotypes. The extent of each individual deletion was established by fluorescence in situ hybridization, with a cosmid contig spanning the genomic region from MSX1 (distal half of 4p16.1) to the subtelomeric locus D4S3359. The deletions were 1.9-3.5 Mb, and all were terminal. All the patients presented with a mild phenotype, in which major malformations were usually absent. It is worth noting that head circumference was normal for height in two patients (those with the smallest deletions [1.9 and 2.2 Mb]). The currently accepted WHS critical region (WHSCR) was fully preserved in the patient with the 1.9-Mb deletion, in spite of a typical WHS phenotype. The deletion in this patient spanned the chromosome region from D4S3327 (190 b4 cosmid clone included) to the telomere. From a clinical point of view, the distinctive WHS phenotype is defined by the presence of typical facial appearance, mental retardation, growth delay, congenital hypotonia, and seizures. These signs represent the minimal diagnostic criteria for WHS. This basic phenotype maps distal to the currently accepted WHSCR. Here, we propose a new critical region for WHS, and we refer to this region as \"WHSCR-2.\" It falls within a 300-600-kb interval in 4p16.3, between the loci D4S3327 and D4S98-D4S168. Among the candidate genes already described for WHS, LETM1 (leucine zipper/EF-hand-containing transmembrane) is likely to be pathogenetically involved in seizures. On the basis of genotype-phenotype correlation analysis, dividing the WHS phenotype into two distinct clinical entities, a \"classical\" and a \"mild\" form, is recommended for the purpose of proper genetic counseling.","author":[{"dropping-particle":"","family":"Zollino","given":"Marcella","non-dropping-particle":"","parse-names":false,"suffix":""},{"dropping-particle":"","family":"Lecce","given":"Rosetta","non-dropping-particle":"","parse-names":false,"suffix":""},{"dropping-particle":"","family":"Fischetto","given":"Rita","non-dropping-particle":"","parse-names":false,"suffix":""},{"dropping-particle":"","family":"Murdolo","given":"Marina","non-dropping-particle":"","parse-names":false,"suffix":""},{"dropping-particle":"","family":"Faravelli","given":"Francesca","non-dropping-particle":"","parse-names":false,"suffix":""},{"dropping-particle":"","family":"Selicorni","given":"Angelo","non-dropping-particle":"","parse-names":false,"suffix":""},{"dropping-particle":"","family":"Buttè","given":"Cinzia","non-dropping-particle":"","parse-names":false,"suffix":""},{"dropping-particle":"","family":"Memo","given":"Luigi","non-dropping-particle":"","parse-names":false,"suffix":""},{"dropping-particle":"","family":"Capovilla","given":"Giuseppe","non-dropping-particle":"","parse-names":false,"suffix":""},{"dropping-particle":"","family":"Neri","given":"Giovanni","non-dropping-particle":"","parse-names":false,"suffix":""}],"container-title":"American journal of human genetics","id":"ITEM-1","issue":"3","issued":{"date-parts":[["2003","3"]]},"language":"English","note":"From Duplicate 1 (Mapping the Wolf-Hirschhorn syndrome phenotype outside the currently accepted WHS critical region and defining a new critical region, WHSCR-2 - Zollino, Marcella; Lecce, Rosetta; Fischetto, Rita; Murdolo, Marina; Faravelli, Francesca; Selicorni, Angelo; Buttè, Cinzia; Memo, Luigi; Capovilla, Giuseppe; Neri, Giovanni)\n\nFrom Duplicate 1 (Mapping the Wolf-Hirschhorn syndrome phenotype outside the currently accepted WHS critical region and defining a new critical region, WHSCR-2 - Zollino, M; Lecce, R; Fischetto, R; Murdolo, M; Faravelli, F; Selicorni, A; Buttè, C; Memo, L; Capovilla, G; Neri, G)\n\nCited By :140\n\nExport Date: 5 January 2018\n\nCODEN: AJHGA\n\nCorrespondence Address: Zollino, M.; Istituto di Genetica Medica, Fac. di Medicina A. Gemelli, U.C.S.C., L.go F. Vito, 1 00168 Rome, Italy; email: mzollino@rm.unicatt.it","page":"590-597","publisher":"University of Chicago Press","publisher-place":"Istituto di Genetica Medica, Fac. di Medicina A. Gemelli, Univ. Cattolica Sacro Cuore, Roma, Italy","title":"Mapping the Wolf-Hirschhorn syndrome phenotype outside the currently accepted WHS critical region and defining a new critical region, WHSCR-2.","type":"article-journal","volume":"72"},"uris":["http://www.mendeley.com/documents/?uuid=2ddf7814-f9cd-4247-bc3e-462776a5f49f"]}],"mendeley":{"formattedCitation":"(Zollino et al., 2003)","manualFormatting":"(Zollino et al., 2003)","plainTextFormattedCitation":"(Zollino et al., 2003)","previouslyFormattedCitation":"(Zollino et al., 2003)"},"properties":{"noteIndex":0},"schema":"https://github.com/citation-style-language/schema/raw/master/csl-citation.json"}</w:instrText>
      </w:r>
      <w:r w:rsidRPr="006A1EC7">
        <w:fldChar w:fldCharType="separate"/>
      </w:r>
      <w:r w:rsidRPr="006A1EC7">
        <w:rPr>
          <w:noProof/>
        </w:rPr>
        <w:t>(Zollino et al., 2003)</w:t>
      </w:r>
      <w:r w:rsidRPr="006A1EC7">
        <w:fldChar w:fldCharType="end"/>
      </w:r>
      <w:r w:rsidRPr="006A1EC7">
        <w:t xml:space="preserve">. </w:t>
      </w:r>
      <w:r w:rsidRPr="006A1EC7">
        <w:rPr>
          <w:color w:val="000000"/>
          <w:lang w:eastAsia="en-GB"/>
        </w:rPr>
        <w:t xml:space="preserve">Within the location 4p16.3 on the short arm of chromosome 4, there are two smaller regions, deletion of either of which can cause WHS. These are termed WHS critical region1 and 2 (WHSCR1, WHSCR2). WHSCR1 contains the genes WHSC1 and WHSC2, while WHSCR2 contains the genes WHSC1 and LETM1. It is believed that loss of WHSC1 is the key factor in causing WHS, although it can be caused by </w:t>
      </w:r>
      <w:r w:rsidRPr="006A1EC7">
        <w:t xml:space="preserve">a deletion of WHSCR1 or a deletion of WHSCR2 without a deletion of WHSCR1 </w:t>
      </w:r>
      <w:r w:rsidRPr="006A1EC7">
        <w:fldChar w:fldCharType="begin" w:fldLock="1"/>
      </w:r>
      <w:r w:rsidRPr="006A1EC7">
        <w:instrText>ADDIN CSL_CITATION {"citationItems":[{"id":"ITEM-1","itemData":{"DOI":"10.1002/ajmg.a.30775","ISBN":"1552-4825 (Print)","ISSN":"15524825","PMID":"15948183","abstract":"The Wolf-Hirschhorn syndrome (WHS), is a well known contiguous gene syndrome characterized by microcephaly, hypertelorism, prominent glabella, epicanthal folds, cleft lip or palate, cardiac defects, growth and mental retardation and seizures. The currently accepted WHS critical region (WHSCR) is localized between the loci D4S166 and D4S3327, where a deletion seems to generate all the clinical manifestations of the syndrome. Here we present a patient with a subtelomeric deletion of 4p16.3 showing growth and psychomotor delay with a typical WHS facial appearance and two episodes of seizures in conjunction with fever. The high-resolution G-banded karyotype was normal. Fluorescence in situ hybridization (FISH) with a set of cosmids from 4p16.3, showed that the deletion in this patient was from the D4S3327 to the telomere, enabling the size of the deletion to be estimated as 1.9 Mb, excluding the accepted WHSCR deletion. This patient supports the recent proposal by Zollino et al. [2003] that the critical region for WHS is located distally to the WHSCR between the loci D4S3327 and D4S98-D4S16, and it is called \"WHSCR-2\" [Zollino et al., 2003].","author":[{"dropping-particle":"","family":"Rodriguez","given":"Laura","non-dropping-particle":"","parse-names":false,"suffix":""},{"dropping-particle":"","family":"Zollino","given":"Marcella","non-dropping-particle":"","parse-names":false,"suffix":""},{"dropping-particle":"","family":"Climent","given":"Salvador","non-dropping-particle":"","parse-names":false,"suffix":""},{"dropping-particle":"","family":"Mansilla","given":"Elena","non-dropping-particle":"","parse-names":false,"suffix":""},{"dropping-particle":"","family":"Lopez-Grondona","given":"Fermina","non-dropping-particle":"","parse-names":false,"suffix":""},{"dropping-particle":"","family":"Martinez-Fernandez","given":"Maria Luisa","non-dropping-particle":"","parse-names":false,"suffix":""},{"dropping-particle":"","family":"Murdolo","given":"Marina","non-dropping-particle":"","parse-names":false,"suffix":""},{"dropping-particle":"","family":"Martinez-Frias","given":"Maria Luisa","non-dropping-particle":"","parse-names":false,"suffix":""}],"container-title":"American Journal of Medical Genetics","id":"ITEM-1","issue":"2","issued":{"date-parts":[["2005"]]},"page":"175-178","title":"The new Wolf-Hirschhorn syndrome critical region (WHSCR-2): A description of a second case","type":"article-journal","volume":"136 A"},"uris":["http://www.mendeley.com/documents/?uuid=ddf4bb37-fb48-4e9f-b8cd-435ea95e4661"]},{"id":"ITEM-2","itemData":{"DOI":"10.1086/367925","ISBN":"0002-9297 (Print)\\n0002-9297 (Linking)","ISSN":"00029297","PMID":"12563561","abstract":"In an attempt to define the distinctive Wolf-Hirschhorn syndrome (WHS) phenotype, and to map its specific clinical manifestations, a total of eight patients carrying a 4p16.3 microdeletion were analyzed for their clinical phenotype and their respective genotypes. The extent of each individual deletion was established by fluorescence in situ hybridization, with a cosmid contig spanning the genomic region from MSX1 (distal half of 4p16.1) to the subtelomeric locus D4S3359. The deletions were 1.9-3.5 Mb, and all were terminal. All the patients presented with a mild phenotype, in which major malformations were usually absent. It is worth noting that head circumference was normal for height in two patients (those with the smallest deletions [1.9 and 2.2 Mb]). The currently accepted WHS critical region (WHSCR) was fully preserved in the patient with the 1.9-Mb deletion, in spite of a typical WHS phenotype. The deletion in this patient spanned the chromosome region from D4S3327 (190 b4 cosmid clone included) to the telomere. From a clinical point of view, the distinctive WHS phenotype is defined by the presence of typical facial appearance, mental retardation, growth delay, congenital hypotonia, and seizures. These signs represent the minimal diagnostic criteria for WHS. This basic phenotype maps distal to the currently accepted WHSCR. Here, we propose a new critical region for WHS, and we refer to this region as \"WHSCR-2.\" It falls within a 300-600-kb interval in 4p16.3, between the loci D4S3327 and D4S98-D4S168. Among the candidate genes already described for WHS, LETM1 (leucine zipper/EF-hand-containing transmembrane) is likely to be pathogenetically involved in seizures. On the basis of genotype-phenotype correlation analysis, dividing the WHS phenotype into two distinct clinical entities, a \"classical\" and a \"mild\" form, is recommended for the purpose of proper genetic counseling.","author":[{"dropping-particle":"","family":"Zollino","given":"Marcella","non-dropping-particle":"","parse-names":false,"suffix":""},{"dropping-particle":"","family":"Lecce","given":"Rosetta","non-dropping-particle":"","parse-names":false,"suffix":""},{"dropping-particle":"","family":"Fischetto","given":"Rita","non-dropping-particle":"","parse-names":false,"suffix":""},{"dropping-particle":"","family":"Murdolo","given":"Marina","non-dropping-particle":"","parse-names":false,"suffix":""},{"dropping-particle":"","family":"Faravelli","given":"Francesca","non-dropping-particle":"","parse-names":false,"suffix":""},{"dropping-particle":"","family":"Selicorni","given":"Angelo","non-dropping-particle":"","parse-names":false,"suffix":""},{"dropping-particle":"","family":"Buttè","given":"Cinzia","non-dropping-particle":"","parse-names":false,"suffix":""},{"dropping-particle":"","family":"Memo","given":"Luigi","non-dropping-particle":"","parse-names":false,"suffix":""},{"dropping-particle":"","family":"Capovilla","given":"Giuseppe","non-dropping-particle":"","parse-names":false,"suffix":""},{"dropping-particle":"","family":"Neri","given":"Giovanni","non-dropping-particle":"","parse-names":false,"suffix":""}],"container-title":"American journal of human genetics","id":"ITEM-2","issue":"3","issued":{"date-parts":[["2003","3"]]},"language":"English","note":"From Duplicate 1 (Mapping the Wolf-Hirschhorn syndrome phenotype outside the currently accepted WHS critical region and defining a new critical region, WHSCR-2 - Zollino, Marcella; Lecce, Rosetta; Fischetto, Rita; Murdolo, Marina; Faravelli, Francesca; Selicorni, Angelo; Buttè, Cinzia; Memo, Luigi; Capovilla, Giuseppe; Neri, Giovanni)\n\nFrom Duplicate 1 (Mapping the Wolf-Hirschhorn syndrome phenotype outside the currently accepted WHS critical region and defining a new critical region, WHSCR-2 - Zollino, M; Lecce, R; Fischetto, R; Murdolo, M; Faravelli, F; Selicorni, A; Buttè, C; Memo, L; Capovilla, G; Neri, G)\n\nCited By :140\n\nExport Date: 5 January 2018\n\nCODEN: AJHGA\n\nCorrespondence Address: Zollino, M.; Istituto di Genetica Medica, Fac. di Medicina A. Gemelli, U.C.S.C., L.go F. Vito, 1 00168 Rome, Italy; email: mzollino@rm.unicatt.it","page":"590-597","publisher":"University of Chicago Press","publisher-place":"Istituto di Genetica Medica, Fac. di Medicina A. Gemelli, Univ. Cattolica Sacro Cuore, Roma, Italy","title":"Mapping the Wolf-Hirschhorn syndrome phenotype outside the currently accepted WHS critical region and defining a new critical region, WHSCR-2.","type":"article-journal","volume":"72"},"uris":["http://www.mendeley.com/documents/?uuid=2ddf7814-f9cd-4247-bc3e-462776a5f49f"]}],"mendeley":{"formattedCitation":"(Rodriguez et al., 2005; Zollino et al., 2003)","manualFormatting":"(Rodriguez et al., 2005; Zollino et al., 2003)","plainTextFormattedCitation":"(Rodriguez et al., 2005; Zollino et al., 2003)","previouslyFormattedCitation":"(Rodriguez et al., 2005; Zollino et al., 2003)"},"properties":{"noteIndex":0},"schema":"https://github.com/citation-style-language/schema/raw/master/csl-citation.json"}</w:instrText>
      </w:r>
      <w:r w:rsidRPr="006A1EC7">
        <w:fldChar w:fldCharType="separate"/>
      </w:r>
      <w:r w:rsidRPr="006A1EC7">
        <w:rPr>
          <w:noProof/>
        </w:rPr>
        <w:t>(Rodriguez et al., 2005; Zollino et al., 2003)</w:t>
      </w:r>
      <w:r w:rsidRPr="006A1EC7">
        <w:fldChar w:fldCharType="end"/>
      </w:r>
      <w:r w:rsidRPr="006A1EC7">
        <w:t xml:space="preserve">, suggesting limited knowledge about the specific chromosomal deletion site. </w:t>
      </w:r>
    </w:p>
    <w:p w14:paraId="2C057475" w14:textId="77777777" w:rsidR="002705C1" w:rsidRPr="006A1EC7" w:rsidRDefault="002705C1" w:rsidP="002705C1">
      <w:pPr>
        <w:spacing w:line="360" w:lineRule="auto"/>
        <w:ind w:firstLine="720"/>
        <w:rPr>
          <w:noProof/>
        </w:rPr>
      </w:pPr>
      <w:r w:rsidRPr="006A1EC7">
        <w:rPr>
          <w:color w:val="000000" w:themeColor="text1"/>
        </w:rPr>
        <w:t xml:space="preserve">WHS can also occur due to unbalanced chromosome translocations </w:t>
      </w:r>
      <w:r w:rsidRPr="006A1EC7">
        <w:rPr>
          <w:color w:val="000000" w:themeColor="text1"/>
        </w:rPr>
        <w:fldChar w:fldCharType="begin" w:fldLock="1"/>
      </w:r>
      <w:r w:rsidRPr="006A1EC7">
        <w:rPr>
          <w:color w:val="000000" w:themeColor="text1"/>
        </w:rPr>
        <w:instrText>ADDIN CSL_CITATION {"citationItems":[{"id":"ITEM-1","itemData":{"DOI":"10.1016/j.gene.2012.09.108","ISSN":"03781119","PMID":"23064045","abstract":"Wolf-Hirschhorn syndrome is a well-known clinical entity caused by a terminal deletion of the short arm of chromosome 4 (4p-). The diagnosis is usually made in childhood because of the pathognomonic facial dysmorphism, multi-organ involvement and seizures. Epilepsy is a major medical complication during the first years of life, with seizures typically being frequent, although they tend to improve or cease with age. We report on a woman diagnosed with WHS in her thirties by array-CGH. She presents with milder dysmorphic features, recognized by stereophotogrammetry and seizures persistent in adulthood. ?? 2012 Elsevier B.V.","author":[{"dropping-particle":"","family":"Coppola","given":"Antonietta","non-dropping-particle":"","parse-names":false,"suffix":""},{"dropping-particle":"","family":"Chinthapalli","given":"Krishna","non-dropping-particle":"","parse-names":false,"suffix":""},{"dropping-particle":"","family":"Hammond","given":"Peter","non-dropping-particle":"","parse-names":false,"suffix":""},{"dropping-particle":"","family":"Sander","given":"Josemir W.","non-dropping-particle":"","parse-names":false,"suffix":""},{"dropping-particle":"","family":"Sisodiya","given":"Sanjay M.","non-dropping-particle":"","parse-names":false,"suffix":""}],"container-title":"Gene","id":"ITEM-1","issue":"2","issued":{"date-parts":[["2013","1"]]},"page":"532-535","publisher":"Elsevier B.V.","title":"Pediatric diagnosis not made until adulthood: A case of Wolf-Hirschhorn syndrome","type":"article-journal","volume":"512"},"uris":["http://www.mendeley.com/documents/?uuid=78d0e1f1-2294-4cd3-9f12-4921b3e69a26"]}],"mendeley":{"formattedCitation":"(Coppola et al., 2013)","plainTextFormattedCitation":"(Coppola et al., 2013)","previouslyFormattedCitation":"(Coppola et al., 2013)"},"properties":{"noteIndex":0},"schema":"https://github.com/citation-style-language/schema/raw/master/csl-citation.json"}</w:instrText>
      </w:r>
      <w:r w:rsidRPr="006A1EC7">
        <w:rPr>
          <w:color w:val="000000" w:themeColor="text1"/>
        </w:rPr>
        <w:fldChar w:fldCharType="separate"/>
      </w:r>
      <w:r w:rsidRPr="006A1EC7">
        <w:rPr>
          <w:noProof/>
          <w:color w:val="000000" w:themeColor="text1"/>
        </w:rPr>
        <w:t>(Coppola et al., 2013)</w:t>
      </w:r>
      <w:r w:rsidRPr="006A1EC7">
        <w:rPr>
          <w:color w:val="000000" w:themeColor="text1"/>
        </w:rPr>
        <w:fldChar w:fldCharType="end"/>
      </w:r>
      <w:r w:rsidRPr="006A1EC7">
        <w:rPr>
          <w:color w:val="000000" w:themeColor="text1"/>
        </w:rPr>
        <w:t xml:space="preserve">, interstitial deletions </w:t>
      </w:r>
      <w:r w:rsidRPr="006A1EC7">
        <w:rPr>
          <w:color w:val="000000" w:themeColor="text1"/>
        </w:rPr>
        <w:fldChar w:fldCharType="begin" w:fldLock="1"/>
      </w:r>
      <w:r w:rsidRPr="006A1EC7">
        <w:rPr>
          <w:color w:val="000000" w:themeColor="text1"/>
        </w:rPr>
        <w:instrText>ADDIN CSL_CITATION {"citationItems":[{"id":"ITEM-1","itemData":{"author":[{"dropping-particle":"","family":"Rauch","given":"Anita","non-dropping-particle":"","parse-names":false,"suffix":""},{"dropping-particle":"","family":"Schellmoser","given":"Stefan","non-dropping-particle":"","parse-names":false,"suffix":""},{"dropping-particle":"","family":"Kraus","given":"Cornelia","non-dropping-particle":"","parse-names":false,"suffix":""},{"dropping-particle":"","family":"Doerr","given":"Helmuth","non-dropping-particle":"","parse-names":false,"suffix":""},{"dropping-particle":"","family":"Trautmann","given":"Udo","non-dropping-particle":"","parse-names":false,"suffix":""},{"dropping-particle":"","family":"Altherr","given":"Michael","non-dropping-particle":"","parse-names":false,"suffix":""},{"dropping-particle":"","family":"Pfeiffer","given":"Rudolph","non-dropping-particle":"","parse-names":false,"suffix":""},{"dropping-particle":"","family":"Reis","given":"Andre","non-dropping-particle":"","parse-names":false,"suffix":""}],"id":"ITEM-1","issue":"January","issued":{"date-parts":[["2001"]]},"page":"338-342","title":"Rapid Publication First Known Microdeletion Within the Wolf- Hirschhorn-Syndrome Critical Region Re ® nes Genotype ± Phenotype Correlation","type":"article-journal","volume":"342"},"uris":["http://www.mendeley.com/documents/?uuid=111f0a63-ecbe-4acd-8092-d21c9bc14d26"]}],"mendeley":{"formattedCitation":"(Rauch et al., 2001)","plainTextFormattedCitation":"(Rauch et al., 2001)","previouslyFormattedCitation":"(Rauch et al., 2001)"},"properties":{"noteIndex":0},"schema":"https://github.com/citation-style-language/schema/raw/master/csl-citation.json"}</w:instrText>
      </w:r>
      <w:r w:rsidRPr="006A1EC7">
        <w:rPr>
          <w:color w:val="000000" w:themeColor="text1"/>
        </w:rPr>
        <w:fldChar w:fldCharType="separate"/>
      </w:r>
      <w:r w:rsidRPr="006A1EC7">
        <w:rPr>
          <w:noProof/>
          <w:color w:val="000000" w:themeColor="text1"/>
        </w:rPr>
        <w:t>(Rauch et al., 2001)</w:t>
      </w:r>
      <w:r w:rsidRPr="006A1EC7">
        <w:rPr>
          <w:color w:val="000000" w:themeColor="text1"/>
        </w:rPr>
        <w:fldChar w:fldCharType="end"/>
      </w:r>
      <w:r w:rsidRPr="006A1EC7">
        <w:rPr>
          <w:color w:val="000000" w:themeColor="text1"/>
        </w:rPr>
        <w:t xml:space="preserve"> and further genetic mechanisms </w:t>
      </w:r>
      <w:r w:rsidRPr="006A1EC7">
        <w:rPr>
          <w:color w:val="000000" w:themeColor="text1"/>
        </w:rPr>
        <w:fldChar w:fldCharType="begin" w:fldLock="1"/>
      </w:r>
      <w:r w:rsidRPr="006A1EC7">
        <w:rPr>
          <w:color w:val="000000" w:themeColor="text1"/>
        </w:rPr>
        <w:instrText>ADDIN CSL_CITATION {"citationItems":[{"id":"ITEM-1","itemData":{"DOI":"10.1136/jmedgenet-2015-103626","ISBN":"0022-2593","ISSN":"1468-6244","PMID":"26747863","abstract":"BACKGROUND: Wolf-Hirschhorn syndrome (WHS) is a contiguous gene deletion syndrome involving variable size deletions of the 4p16.3 region. Seizures are frequently, but not always, associated with WHS. We hypothesised that the size and location of the deleted region may correlate with seizure presentation.\\n\\nMETHODS: Using chromosomal microarray analysis, we finely mapped the breakpoints of copy number variants (CNVs) in 48 individuals with WHS. Seizure phenotype data were collected through parent-reported answers to a comprehensive questionnaire and supplemented with available medical records.\\n\\nRESULTS: We observed a significant correlation between the presence of an interstitial 4p deletion and lack of a seizure phenotype (Fisher's exact test p=3.59e-6). In our cohort, there were five individuals with interstitial deletions with a distal breakpoint at least 751 kbp proximal to the 4p terminus. Four of these individuals have never had an observable seizure, and the fifth individual had a single febrile seizure at the age of 1.5 years. All other individuals in our cohort whose deletions encompass the terminal 751 kbp region report having seizures typical of WHS. Additional examples from the literature corroborate these observations and further refine the candidate seizure susceptibility region to a region 197 kbp in size, starting 368 kbp from the terminus of chromosome 4.\\n\\nCONCLUSIONS: We identify a small terminal region of chromosome 4p that represents a seizure susceptibility region. Deletion of this region in the context of WHS is sufficient for seizure occurrence.","author":[{"dropping-particle":"","family":"Ho","given":"Karen S","non-dropping-particle":"","parse-names":false,"suffix":""},{"dropping-particle":"","family":"South","given":"Sarah T","non-dropping-particle":"","parse-names":false,"suffix":""},{"dropping-particle":"","family":"Lortz","given":"Amanda","non-dropping-particle":"","parse-names":false,"suffix":""},{"dropping-particle":"","family":"Hensel","given":"Charles H","non-dropping-particle":"","parse-names":false,"suffix":""},{"dropping-particle":"","family":"Sdano","given":"Mallory R","non-dropping-particle":"","parse-names":false,"suffix":""},{"dropping-particle":"","family":"Vanzo","given":"Rena J","non-dropping-particle":"","parse-names":false,"suffix":""},{"dropping-particle":"","family":"Martin","given":"Megan M","non-dropping-particle":"","parse-names":false,"suffix":""},{"dropping-particle":"","family":"Peiffer","given":"Andreas","non-dropping-particle":"","parse-names":false,"suffix":""},{"dropping-particle":"","family":"Lambert","given":"Christophe G","non-dropping-particle":"","parse-names":false,"suffix":""},{"dropping-particle":"","family":"Calhoun","given":"Amy","non-dropping-particle":"","parse-names":false,"suffix":""},{"dropping-particle":"","family":"Carey","given":"John C","non-dropping-particle":"","parse-names":false,"suffix":""},{"dropping-particle":"","family":"Battaglia","given":"Agatino","non-dropping-particle":"","parse-names":false,"suffix":""}],"container-title":"Journal of medical genetics","id":"ITEM-1","issue":"4","issued":{"date-parts":[["2016","4"]]},"page":"1-8","title":"Chromosomal microarray testing identifies a 4p terminal region associated with seizures in Wolf-Hirschhorn syndrome.","type":"article-journal","volume":"53"},"uris":["http://www.mendeley.com/documents/?uuid=be537038-33d9-439e-b274-7e555e3fc4df"]}],"mendeley":{"formattedCitation":"(Ho et al., 2016)","plainTextFormattedCitation":"(Ho et al., 2016)","previouslyFormattedCitation":"(Ho et al., 2016)"},"properties":{"noteIndex":0},"schema":"https://github.com/citation-style-language/schema/raw/master/csl-citation.json"}</w:instrText>
      </w:r>
      <w:r w:rsidRPr="006A1EC7">
        <w:rPr>
          <w:color w:val="000000" w:themeColor="text1"/>
        </w:rPr>
        <w:fldChar w:fldCharType="separate"/>
      </w:r>
      <w:r w:rsidRPr="006A1EC7">
        <w:rPr>
          <w:noProof/>
          <w:color w:val="000000" w:themeColor="text1"/>
        </w:rPr>
        <w:t>(Ho et al., 2016)</w:t>
      </w:r>
      <w:r w:rsidRPr="006A1EC7">
        <w:rPr>
          <w:color w:val="000000" w:themeColor="text1"/>
        </w:rPr>
        <w:fldChar w:fldCharType="end"/>
      </w:r>
      <w:r w:rsidRPr="006A1EC7">
        <w:rPr>
          <w:color w:val="000000" w:themeColor="text1"/>
        </w:rPr>
        <w:t xml:space="preserve">. It is therefore not a genetically homogeneous condition. </w:t>
      </w:r>
      <w:r w:rsidRPr="006A1EC7">
        <w:t xml:space="preserve">Around 50-60% of WHS patients have a pure deletion of 4p16.3 while the other 40-45% of patients have an “unbalanced translocation” with deletion of the WHSCR as well as trisomy of another portion of a chromosome </w:t>
      </w:r>
      <w:r w:rsidRPr="006A1EC7">
        <w:fldChar w:fldCharType="begin" w:fldLock="1"/>
      </w:r>
      <w:r w:rsidRPr="006A1EC7">
        <w:instrText>ADDIN CSL_CITATION {"citationItems":[{"id":"ITEM-1","itemData":{"author":[{"dropping-particle":"","family":"Battaglia","given":"Agatino","non-dropping-particle":"","parse-names":false,"suffix":""},{"dropping-particle":"","family":"Carey","given":"John C.","non-dropping-particle":"","parse-names":false,"suffix":""},{"dropping-particle":"","family":"Wright","given":"C G","non-dropping-particle":"","parse-names":false,"suffix":""}],"container-title":"Advances in Pediatrics","id":"ITEM-1","issued":{"date-parts":[["2001"]]},"page":"75–113.","title":"Wolf– Hirschhorn (4p-) syndrome.","type":"article-journal","volume":"48"},"uris":["http://www.mendeley.com/documents/?uuid=7f33f23a-bc46-4c5c-b29e-ea6cbd3aea53"]}],"mendeley":{"formattedCitation":"(Agatino Battaglia, Carey, &amp; Wright, 2001)","manualFormatting":"(Battaglia, Carey, &amp; Wright, 2001)","plainTextFormattedCitation":"(Agatino Battaglia, Carey, &amp; Wright, 2001)","previouslyFormattedCitation":"(Agatino Battaglia, Carey, &amp; Wright, 2001)"},"properties":{"noteIndex":0},"schema":"https://github.com/citation-style-language/schema/raw/master/csl-citation.json"}</w:instrText>
      </w:r>
      <w:r w:rsidRPr="006A1EC7">
        <w:fldChar w:fldCharType="separate"/>
      </w:r>
      <w:r w:rsidRPr="006A1EC7">
        <w:rPr>
          <w:noProof/>
        </w:rPr>
        <w:t>(Battaglia, Carey, &amp; Wright, 2001)</w:t>
      </w:r>
      <w:r w:rsidRPr="006A1EC7">
        <w:fldChar w:fldCharType="end"/>
      </w:r>
      <w:r w:rsidRPr="006A1EC7">
        <w:t xml:space="preserve"> (for example: “monosomy for distal 4p, partial trisomy for distal 8p” in </w:t>
      </w:r>
      <w:r w:rsidRPr="006A1EC7">
        <w:fldChar w:fldCharType="begin" w:fldLock="1"/>
      </w:r>
      <w:r w:rsidRPr="006A1EC7">
        <w:instrText>ADDIN CSL_CITATION {"citationItems":[{"id":"ITEM-1","itemData":{"DOI":"10.1111/j.1442-200X.2012.03684.x","ISBN":"1328-8067","ISSN":"1442200X","abstract":"Wolf-Hirschhorn syndrome (WHS) is caused by deletions involving chromosome region 4p16.3, which is characterized by growth delay, mild-to-severe mental retardation, hypotonia, facial dysmorphisms and shows extensive phenotypic variability include feeding difficulties, epilepsy and congenital anomalies. Variation in the size of the deletion involving chromosome region 4p16.3 may explain the clinical variation. However, previous studies indicate that duplication for another chromosome region due to an unbalanced translocation elucidate approximately 40-45% WHS patients. Therefore, we used whole genomic cytogenetics array to analyze the entire genome at a significantly higher resolution over conventional cytogenetics to characterize the exact subtelomeric aberration region of one patient with developmental delay and several facial characteristics reminiscent Wolf-Hirschhorn syndrome. Here we report that our patient had 3.7 Mb deletion at the 4p16.2 and 6.8 Mb duplication at 8p23.1 resulted from the unbalanced translocations der(4)t(4;8)(p16.2;p23.1). We confirmed that our patient with monosomy 4p16.2 which is consistent with Wolf-Hirschhorn syndrome and trisomy 8p23.1. The combination of the 4p deletion with 8p partial trisomy explains the complex phenotype presented by our patient. © 2013 The Authors.","author":[{"dropping-particle":"","family":"Dai","given":"Ying","non-dropping-particle":"","parse-names":false,"suffix":""},{"dropping-particle":"","family":"Yang","given":"Jing","non-dropping-particle":"","parse-names":false,"suffix":""},{"dropping-particle":"","family":"Chen","given":"Yuanyuan","non-dropping-particle":"","parse-names":false,"suffix":""},{"dropping-particle":"","family":"Bao","given":"Liming","non-dropping-particle":"","parse-names":false,"suffix":""},{"dropping-particle":"","family":"Cheng","given":"Qian","non-dropping-particle":"","parse-names":false,"suffix":""}],"container-title":"Pediatrics International","id":"ITEM-1","issue":"3","issued":{"date-parts":[["2013","6"]]},"page":"368-370","title":"Microarray analysis of unbalanced translocation in Wolf-Hirschhorn syndrome","type":"article-journal","volume":"55"},"uris":["http://www.mendeley.com/documents/?uuid=6a68d3b4-250f-4c4d-a844-517a2eb75464"]}],"mendeley":{"formattedCitation":"(Dai, Yang, Chen, Bao, &amp; Cheng, 2013)","manualFormatting":"Dai, Yang, Chen, Bao and Cheng, 2013)","plainTextFormattedCitation":"(Dai, Yang, Chen, Bao, &amp; Cheng, 2013)","previouslyFormattedCitation":"(Dai, Yang, Chen, Bao, &amp; Cheng, 2013)"},"properties":{"noteIndex":0},"schema":"https://github.com/citation-style-language/schema/raw/master/csl-citation.json"}</w:instrText>
      </w:r>
      <w:r w:rsidRPr="006A1EC7">
        <w:fldChar w:fldCharType="separate"/>
      </w:r>
      <w:r w:rsidRPr="006A1EC7">
        <w:rPr>
          <w:noProof/>
        </w:rPr>
        <w:t>Dai, Yang, Chen, Bao and Cheng, 2013)</w:t>
      </w:r>
      <w:r w:rsidRPr="006A1EC7">
        <w:fldChar w:fldCharType="end"/>
      </w:r>
      <w:r w:rsidRPr="006A1EC7">
        <w:t xml:space="preserve">. When WHS is the result of a translocation, it is possible that additional symptoms of WHS may be present or that there will be some variation in the patients’ clinical presentations </w:t>
      </w:r>
      <w:r w:rsidRPr="006A1EC7">
        <w:fldChar w:fldCharType="begin" w:fldLock="1"/>
      </w:r>
      <w:r w:rsidRPr="006A1EC7">
        <w:instrText>ADDIN CSL_CITATION {"citationItems":[{"id":"ITEM-1","itemData":{"DOI":"10.1111/j.1442-200X.2012.03684.x","ISBN":"1328-8067","ISSN":"1442200X","abstract":"Wolf-Hirschhorn syndrome (WHS) is caused by deletions involving chromosome region 4p16.3, which is characterized by growth delay, mild-to-severe mental retardation, hypotonia, facial dysmorphisms and shows extensive phenotypic variability include feeding difficulties, epilepsy and congenital anomalies. Variation in the size of the deletion involving chromosome region 4p16.3 may explain the clinical variation. However, previous studies indicate that duplication for another chromosome region due to an unbalanced translocation elucidate approximately 40-45% WHS patients. Therefore, we used whole genomic cytogenetics array to analyze the entire genome at a significantly higher resolution over conventional cytogenetics to characterize the exact subtelomeric aberration region of one patient with developmental delay and several facial characteristics reminiscent Wolf-Hirschhorn syndrome. Here we report that our patient had 3.7 Mb deletion at the 4p16.2 and 6.8 Mb duplication at 8p23.1 resulted from the unbalanced translocations der(4)t(4;8)(p16.2;p23.1). We confirmed that our patient with monosomy 4p16.2 which is consistent with Wolf-Hirschhorn syndrome and trisomy 8p23.1. The combination of the 4p deletion with 8p partial trisomy explains the complex phenotype presented by our patient. © 2013 The Authors.","author":[{"dropping-particle":"","family":"Dai","given":"Ying","non-dropping-particle":"","parse-names":false,"suffix":""},{"dropping-particle":"","family":"Yang","given":"Jing","non-dropping-particle":"","parse-names":false,"suffix":""},{"dropping-particle":"","family":"Chen","given":"Yuanyuan","non-dropping-particle":"","parse-names":false,"suffix":""},{"dropping-particle":"","family":"Bao","given":"Liming","non-dropping-particle":"","parse-names":false,"suffix":""},{"dropping-particle":"","family":"Cheng","given":"Qian","non-dropping-particle":"","parse-names":false,"suffix":""}],"container-title":"Pediatrics International","id":"ITEM-1","issue":"3","issued":{"date-parts":[["2013","6"]]},"page":"368-370","title":"Microarray analysis of unbalanced translocation in Wolf-Hirschhorn syndrome","type":"article-journal","volume":"55"},"uris":["http://www.mendeley.com/documents/?uuid=6a68d3b4-250f-4c4d-a844-517a2eb75464"]}],"mendeley":{"formattedCitation":"(Dai et al., 2013)","plainTextFormattedCitation":"(Dai et al., 2013)","previouslyFormattedCitation":"(Dai et al., 2013)"},"properties":{"noteIndex":0},"schema":"https://github.com/citation-style-language/schema/raw/master/csl-citation.json"}</w:instrText>
      </w:r>
      <w:r w:rsidRPr="006A1EC7">
        <w:fldChar w:fldCharType="separate"/>
      </w:r>
      <w:r w:rsidRPr="006A1EC7">
        <w:rPr>
          <w:noProof/>
        </w:rPr>
        <w:t>(Dai et al., 2013)</w:t>
      </w:r>
      <w:r w:rsidRPr="006A1EC7">
        <w:fldChar w:fldCharType="end"/>
      </w:r>
      <w:r w:rsidRPr="006A1EC7">
        <w:t xml:space="preserve">. </w:t>
      </w:r>
    </w:p>
    <w:p w14:paraId="2F696C95" w14:textId="77777777" w:rsidR="002705C1" w:rsidRPr="006A1EC7" w:rsidRDefault="002705C1" w:rsidP="002705C1">
      <w:pPr>
        <w:spacing w:line="360" w:lineRule="auto"/>
        <w:ind w:firstLine="720"/>
        <w:rPr>
          <w:color w:val="000000" w:themeColor="text1"/>
        </w:rPr>
      </w:pPr>
      <w:r w:rsidRPr="006A1EC7">
        <w:rPr>
          <w:color w:val="000000" w:themeColor="text1"/>
        </w:rPr>
        <w:t xml:space="preserve">However, the most common translocation in WHS is between the short arm of chromosome  4 (4p) and the short arm of 8 (8p) </w:t>
      </w:r>
      <w:r w:rsidRPr="006A1EC7">
        <w:rPr>
          <w:color w:val="000000" w:themeColor="text1"/>
        </w:rPr>
        <w:fldChar w:fldCharType="begin" w:fldLock="1"/>
      </w:r>
      <w:r w:rsidRPr="006A1EC7">
        <w:rPr>
          <w:color w:val="000000" w:themeColor="text1"/>
        </w:rPr>
        <w:instrText>ADDIN CSL_CITATION {"citationItems":[{"id":"ITEM-1","itemData":{"DOI":"10.1038/sj.ejhg.5201915","ISBN":"1018-4813 (Print)\\r1018-4813","ISSN":"1018-4813","PMID":"17726485","abstract":"Wolf–Hirschhorn syndrome (WHS) is caused by deletions involving chromosome region 4p16.3. The minimal diagnostic criteria include mild-to-severe mental retardation, hypotonia, growth delay and a distinctive facial appearance. Variable manifestations include feeding difficulties, seizures and major congenital anomalies. Clinical variation may be explained by variation in the size of the deletion. However, in addition to having a deletion involving 4p16.3, previous studies indicate that approximately 15% of WHS patients are also duplicated for another chromosome region due to an unbalanced translocation. It is likely that the prevalence of unbalanced translocations resulting in WHS is underestimated since they can be missed using conventional chromosome analyses such as karyotyping and WHS-specific fluorescence in situ hybridization (FISH). Therefore, we hypothesized that some of the clinical variation may be due to an unrecognized and unbalanced translocation. Array comparative genomic hybridization (aCGH) is a new technology that can analyze the entire genome at a significantly higher resolution over conventional cytogenetics to characterize unbalanced rearrangements. We used aCGH to analyze 33 patients with WHS and found a much higher than expected frequency of unbalanced translocations (15/33, 45%). Seven of these 15 cases were cryptic translocations not detected by a previous karyotype combined with WHS-specific FISH. Three of these 15 cases had an unbalanced translocation involving the short arm of an acrocentric chromosome and were not detected by either aCGH or subtelomere FISH. Analysis of clinical manifestations of each patient also revealed that patients with an unbalanced translocation often presented with exceptions to some expected phenotypes.","author":[{"dropping-particle":"","family":"South","given":"Sarah T","non-dropping-particle":"","parse-names":false,"suffix":""},{"dropping-particle":"","family":"Whitby","given":"Heidi","non-dropping-particle":"","parse-names":false,"suffix":""},{"dropping-particle":"","family":"Battaglia","given":"Agatino","non-dropping-particle":"","parse-names":false,"suffix":""},{"dropping-particle":"","family":"Carey","given":"John C","non-dropping-particle":"","parse-names":false,"suffix":""},{"dropping-particle":"","family":"Brothman","given":"Arthur R","non-dropping-particle":"","parse-names":false,"suffix":""}],"container-title":"European Journal of Human Genetics","id":"ITEM-1","issue":"1","issued":{"date-parts":[["2008","1"]]},"page":"45-52","title":"Comprehensive analysis of Wolf–Hirschhorn syndrome using array CGH indicates a high prevalence of translocations","type":"article-journal","volume":"16"},"uris":["http://www.mendeley.com/documents/?uuid=e879da40-afc9-4b1b-92bf-edca290396de"]}],"mendeley":{"formattedCitation":"(South, Whitby, Battaglia, Carey, &amp; Brothman, 2008)","plainTextFormattedCitation":"(South, Whitby, Battaglia, Carey, &amp; Brothman, 2008)","previouslyFormattedCitation":"(South, Whitby, Battaglia, Carey, &amp; Brothman, 2008)"},"properties":{"noteIndex":0},"schema":"https://github.com/citation-style-language/schema/raw/master/csl-citation.json"}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(South, Whitby, Battaglia, Carey, &amp; Brothman, 2008)</w:t>
      </w:r>
      <w:r w:rsidRPr="006A1EC7">
        <w:rPr>
          <w:color w:val="000000" w:themeColor="text1"/>
        </w:rPr>
        <w:fldChar w:fldCharType="end"/>
      </w:r>
      <w:r w:rsidRPr="006A1EC7">
        <w:rPr>
          <w:color w:val="000000" w:themeColor="text1"/>
        </w:rPr>
        <w:t xml:space="preserve">. In children with this type of translocation, one of the parents carries a “balanced translocation”, whereby the short arm of chromosome 4 is swapped with the </w:t>
      </w:r>
      <w:r w:rsidRPr="006A1EC7">
        <w:rPr>
          <w:color w:val="000000" w:themeColor="text1"/>
        </w:rPr>
        <w:lastRenderedPageBreak/>
        <w:t>short arm of chromosome 8. The parent themselves remains unaffected by the re-arrangement of chromosomes as they still have the correct number of genes; but</w:t>
      </w:r>
      <w:r w:rsidRPr="006A1EC7">
        <w:t xml:space="preserve"> if they pass on the affected translocated chromosome, containing 8p instead of 4p, the child will develop WHS as a result of the missing WHSCR on 4p</w:t>
      </w:r>
      <w:r w:rsidRPr="006A1EC7">
        <w:rPr>
          <w:color w:val="000000" w:themeColor="text1"/>
        </w:rPr>
        <w:t>.</w:t>
      </w:r>
    </w:p>
    <w:p w14:paraId="7EEA6DB9" w14:textId="23091B4F" w:rsidR="00065496" w:rsidRPr="006A1EC7" w:rsidRDefault="00065496" w:rsidP="002705C1">
      <w:pPr>
        <w:spacing w:line="360" w:lineRule="auto"/>
        <w:ind w:firstLine="720"/>
        <w:rPr>
          <w:color w:val="000000" w:themeColor="text1"/>
        </w:rPr>
      </w:pPr>
      <w:r w:rsidRPr="006A1EC7">
        <w:rPr>
          <w:color w:val="000000" w:themeColor="text1"/>
        </w:rPr>
        <w:t xml:space="preserve">Most commonly, a diagnosis of WHS is made early in life. However, some later diagnoses have been reported </w:t>
      </w:r>
      <w:r w:rsidRPr="006A1EC7">
        <w:rPr>
          <w:color w:val="000000" w:themeColor="text1"/>
        </w:rPr>
        <w:fldChar w:fldCharType="begin" w:fldLock="1"/>
      </w:r>
      <w:r w:rsidRPr="006A1EC7">
        <w:rPr>
          <w:color w:val="000000" w:themeColor="text1"/>
        </w:rPr>
        <w:instrText>ADDIN CSL_CITATION {"citationItems":[{"id":"ITEM-1","itemData":{"DOI":"10.1016/j.gene.2012.09.108","ISSN":"03781119","PMID":"23064045","abstract":"Wolf-Hirschhorn syndrome is a well-known clinical entity caused by a terminal deletion of the short arm of chromosome 4 (4p-). The diagnosis is usually made in childhood because of the pathognomonic facial dysmorphism, multi-organ involvement and seizures. Epilepsy is a major medical complication during the first years of life, with seizures typically being frequent, although they tend to improve or cease with age. We report on a woman diagnosed with WHS in her thirties by array-CGH. She presents with milder dysmorphic features, recognized by stereophotogrammetry and seizures persistent in adulthood. ?? 2012 Elsevier B.V.","author":[{"dropping-particle":"","family":"Coppola","given":"Antonietta","non-dropping-particle":"","parse-names":false,"suffix":""},{"dropping-particle":"","family":"Chinthapalli","given":"Krishna","non-dropping-particle":"","parse-names":false,"suffix":""},{"dropping-particle":"","family":"Hammond","given":"Peter","non-dropping-particle":"","parse-names":false,"suffix":""},{"dropping-particle":"","family":"Sander","given":"Josemir W.","non-dropping-particle":"","parse-names":false,"suffix":""},{"dropping-particle":"","family":"Sisodiya","given":"Sanjay M.","non-dropping-particle":"","parse-names":false,"suffix":""}],"container-title":"Gene","id":"ITEM-1","issue":"2","issued":{"date-parts":[["2013","1"]]},"page":"532-535","publisher":"Elsevier B.V.","title":"Pediatric diagnosis not made until adulthood: A case of Wolf-Hirschhorn syndrome","type":"article-journal","volume":"512"},"uris":["http://www.mendeley.com/documents/?uuid=78d0e1f1-2294-4cd3-9f12-4921b3e69a26"]}],"mendeley":{"formattedCitation":"(Coppola et al., 2013)","plainTextFormattedCitation":"(Coppola et al., 2013)","previouslyFormattedCitation":"(Coppola et al., 2013)"},"properties":{"noteIndex":0},"schema":"https://github.com/citation-style-language/schema/raw/master/csl-citation.json"}</w:instrText>
      </w:r>
      <w:r w:rsidRPr="006A1EC7">
        <w:rPr>
          <w:color w:val="000000" w:themeColor="text1"/>
        </w:rPr>
        <w:fldChar w:fldCharType="separate"/>
      </w:r>
      <w:r w:rsidRPr="006A1EC7">
        <w:rPr>
          <w:noProof/>
          <w:color w:val="000000" w:themeColor="text1"/>
        </w:rPr>
        <w:t>(Coppola et al., 2013)</w:t>
      </w:r>
      <w:r w:rsidRPr="006A1EC7">
        <w:rPr>
          <w:color w:val="000000" w:themeColor="text1"/>
        </w:rPr>
        <w:fldChar w:fldCharType="end"/>
      </w:r>
      <w:r w:rsidRPr="006A1EC7">
        <w:rPr>
          <w:color w:val="000000" w:themeColor="text1"/>
        </w:rPr>
        <w:t xml:space="preserve">. </w:t>
      </w:r>
      <w:r w:rsidRPr="006A1EC7">
        <w:t xml:space="preserve">As previously outlined, </w:t>
      </w:r>
      <w:r w:rsidRPr="006A1EC7">
        <w:rPr>
          <w:color w:val="000000" w:themeColor="text1"/>
        </w:rPr>
        <w:t xml:space="preserve">the incidence rate of WHS is estimated as 1 in 50 000 to 96 000 live births </w:t>
      </w:r>
      <w:r w:rsidRPr="006A1EC7">
        <w:rPr>
          <w:color w:val="000000" w:themeColor="text1"/>
        </w:rPr>
        <w:fldChar w:fldCharType="begin" w:fldLock="1"/>
      </w:r>
      <w:r w:rsidRPr="006A1EC7">
        <w:rPr>
          <w:color w:val="000000" w:themeColor="text1"/>
        </w:rPr>
        <w:instrText>ADDIN CSL_CITATION {"citationItems":[{"id":"ITEM-1","itemData":{"DOI":"10.1136/jmg.38.10.674","ISBN":"1468-6244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genetics","id":"ITEM-1","issue":"10","issued":{"date-parts":[["2001","10"]]},"language":"English","note":"From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mortality.","type":"article-journal","volume":"38"},"uris":["http://www.mendeley.com/documents/?uuid=01ece509-b613-40ab-ac37-fa4a5c49d71d"]}],"mendeley":{"formattedCitation":"(Shannon et al., 2001)","plainTextFormattedCitation":"(Shannon et al., 2001)","previouslyFormattedCitation":"(Shannon et al., 2001)"},"properties":{"noteIndex":0},"schema":"https://github.com/citation-style-language/schema/raw/master/csl-citation.json"}</w:instrText>
      </w:r>
      <w:r w:rsidRPr="006A1EC7">
        <w:rPr>
          <w:color w:val="000000" w:themeColor="text1"/>
        </w:rPr>
        <w:fldChar w:fldCharType="separate"/>
      </w:r>
      <w:r w:rsidRPr="006A1EC7">
        <w:rPr>
          <w:noProof/>
          <w:color w:val="000000" w:themeColor="text1"/>
        </w:rPr>
        <w:t>(Shannon et al., 2001)</w:t>
      </w:r>
      <w:r w:rsidRPr="006A1EC7">
        <w:rPr>
          <w:color w:val="000000" w:themeColor="text1"/>
        </w:rPr>
        <w:fldChar w:fldCharType="end"/>
      </w:r>
      <w:r w:rsidRPr="006A1EC7">
        <w:rPr>
          <w:color w:val="000000" w:themeColor="text1"/>
        </w:rPr>
        <w:t xml:space="preserve">. It has previously been suggested that such a low number may be an underestimate of its actual prevalence due to the lack of clinical knowledge of doctors </w:t>
      </w:r>
      <w:r w:rsidRPr="006A1EC7">
        <w:rPr>
          <w:color w:val="000000" w:themeColor="text1"/>
        </w:rPr>
        <w:fldChar w:fldCharType="begin" w:fldLock="1"/>
      </w:r>
      <w:r w:rsidRPr="006A1EC7">
        <w:rPr>
          <w:color w:val="000000" w:themeColor="text1"/>
        </w:rPr>
        <w:instrText>ADDIN CSL_CITATION {"citationItems":[{"id":"ITEM-1","itemData":{"author":[{"dropping-particle":"","family":"Battaglia","given":"Agatino","non-dropping-particle":"","parse-names":false,"suffix":""},{"dropping-particle":"","family":"Carey","given":"John C.","non-dropping-particle":"","parse-names":false,"suffix":""},{"dropping-particle":"","family":"Wright","given":"C G","non-dropping-particle":"","parse-names":false,"suffix":""}],"container-title":"Advances in Pediatrics","id":"ITEM-1","issued":{"date-parts":[["2001"]]},"page":"75–113.","title":"Wolf– Hirschhorn (4p-) syndrome.","type":"article-journal","volume":"48"},"uris":["http://www.mendeley.com/documents/?uuid=7f33f23a-bc46-4c5c-b29e-ea6cbd3aea53"]}],"mendeley":{"formattedCitation":"(Agatino Battaglia et al., 2001)","manualFormatting":"(Battaglia et al., 2001)","plainTextFormattedCitation":"(Agatino Battaglia et al., 2001)","previouslyFormattedCitation":"(Agatino Battaglia et al., 2001)"},"properties":{"noteIndex":0},"schema":"https://github.com/citation-style-language/schema/raw/master/csl-citation.json"}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(Battaglia et al., 2001)</w:t>
      </w:r>
      <w:r w:rsidRPr="006A1EC7">
        <w:rPr>
          <w:color w:val="000000" w:themeColor="text1"/>
        </w:rPr>
        <w:fldChar w:fldCharType="end"/>
      </w:r>
      <w:r w:rsidRPr="006A1EC7">
        <w:rPr>
          <w:color w:val="000000" w:themeColor="text1"/>
        </w:rPr>
        <w:t xml:space="preserve">, who are not necessarily able to reliably identify the disease, especially in mild cases where the typical dysmorphic features are not obvious </w:t>
      </w:r>
      <w:r w:rsidRPr="006A1EC7">
        <w:rPr>
          <w:color w:val="000000" w:themeColor="text1"/>
        </w:rPr>
        <w:fldChar w:fldCharType="begin" w:fldLock="1"/>
      </w:r>
      <w:r w:rsidRPr="006A1EC7">
        <w:rPr>
          <w:color w:val="000000" w:themeColor="text1"/>
        </w:rPr>
        <w:instrText>ADDIN CSL_CITATION {"citationItems":[{"id":"ITEM-1","itemData":{"DOI":"10.1016/j.gene.2012.09.108","ISSN":"03781119","PMID":"23064045","abstract":"Wolf-Hirschhorn syndrome is a well-known clinical entity caused by a terminal deletion of the short arm of chromosome 4 (4p-). The diagnosis is usually made in childhood because of the pathognomonic facial dysmorphism, multi-organ involvement and seizures. Epilepsy is a major medical complication during the first years of life, with seizures typically being frequent, although they tend to improve or cease with age. We report on a woman diagnosed with WHS in her thirties by array-CGH. She presents with milder dysmorphic features, recognized by stereophotogrammetry and seizures persistent in adulthood. ?? 2012 Elsevier B.V.","author":[{"dropping-particle":"","family":"Coppola","given":"Antonietta","non-dropping-particle":"","parse-names":false,"suffix":""},{"dropping-particle":"","family":"Chinthapalli","given":"Krishna","non-dropping-particle":"","parse-names":false,"suffix":""},{"dropping-particle":"","family":"Hammond","given":"Peter","non-dropping-particle":"","parse-names":false,"suffix":""},{"dropping-particle":"","family":"Sander","given":"Josemir W.","non-dropping-particle":"","parse-names":false,"suffix":""},{"dropping-particle":"","family":"Sisodiya","given":"Sanjay M.","non-dropping-particle":"","parse-names":false,"suffix":""}],"container-title":"Gene","id":"ITEM-1","issue":"2","issued":{"date-parts":[["2013","1"]]},"page":"532-535","publisher":"Elsevier B.V.","title":"Pediatric diagnosis not made until adulthood: A case of Wolf-Hirschhorn syndrome","type":"article-journal","volume":"512"},"uris":["http://www.mendeley.com/documents/?uuid=78d0e1f1-2294-4cd3-9f12-4921b3e69a26"]}],"mendeley":{"formattedCitation":"(Coppola et al., 2013)","plainTextFormattedCitation":"(Coppola et al., 2013)","previouslyFormattedCitation":"(Coppola et al., 2013)"},"properties":{"noteIndex":0},"schema":"https://github.com/citation-style-language/schema/raw/master/csl-citation.json"}</w:instrText>
      </w:r>
      <w:r w:rsidRPr="006A1EC7">
        <w:rPr>
          <w:color w:val="000000" w:themeColor="text1"/>
        </w:rPr>
        <w:fldChar w:fldCharType="separate"/>
      </w:r>
      <w:r w:rsidRPr="006A1EC7">
        <w:rPr>
          <w:noProof/>
          <w:color w:val="000000" w:themeColor="text1"/>
        </w:rPr>
        <w:t>(Coppola et al., 2013)</w:t>
      </w:r>
      <w:r w:rsidRPr="006A1EC7">
        <w:rPr>
          <w:color w:val="000000" w:themeColor="text1"/>
        </w:rPr>
        <w:fldChar w:fldCharType="end"/>
      </w:r>
      <w:r w:rsidRPr="006A1EC7">
        <w:rPr>
          <w:color w:val="000000" w:themeColor="text1"/>
        </w:rPr>
        <w:t xml:space="preserve">. </w:t>
      </w:r>
    </w:p>
    <w:p w14:paraId="02804D3E" w14:textId="2CA41DC1" w:rsidR="00065496" w:rsidRPr="006A1EC7" w:rsidRDefault="00A40374" w:rsidP="00A40374">
      <w:pPr>
        <w:spacing w:line="360" w:lineRule="auto"/>
        <w:ind w:firstLine="720"/>
        <w:rPr>
          <w:color w:val="000000" w:themeColor="text1"/>
        </w:rPr>
      </w:pPr>
      <w:r w:rsidRPr="006A1EC7">
        <w:rPr>
          <w:color w:val="000000" w:themeColor="text1"/>
        </w:rPr>
        <w:t>In</w:t>
      </w:r>
      <w:r w:rsidR="00065496" w:rsidRPr="006A1EC7">
        <w:rPr>
          <w:color w:val="000000" w:themeColor="text1"/>
        </w:rPr>
        <w:t xml:space="preserve"> </w:t>
      </w:r>
      <w:r w:rsidRPr="006A1EC7">
        <w:rPr>
          <w:color w:val="000000" w:themeColor="text1"/>
        </w:rPr>
        <w:t>regard</w:t>
      </w:r>
      <w:r w:rsidR="00065496" w:rsidRPr="006A1EC7">
        <w:rPr>
          <w:color w:val="000000" w:themeColor="text1"/>
        </w:rPr>
        <w:t xml:space="preserve"> to prevalence, two things must be noted: firstly, infant mortality is increased in this patient group. An epidemiological study calculated an infant mortality rate of 17.4 % for WHS children (aged between 0 and 12 months), increasing to 21% between the first and second year of life. These deaths are often the result of the severe malformations they are born with </w:t>
      </w:r>
      <w:r w:rsidR="00065496" w:rsidRPr="006A1EC7">
        <w:rPr>
          <w:color w:val="000000" w:themeColor="text1"/>
        </w:rPr>
        <w:fldChar w:fldCharType="begin" w:fldLock="1"/>
      </w:r>
      <w:r w:rsidR="00065496" w:rsidRPr="006A1EC7">
        <w:rPr>
          <w:color w:val="000000" w:themeColor="text1"/>
        </w:rPr>
        <w:instrText>ADDIN CSL_CITATION {"citationItems":[{"id":"ITEM-1","itemData":{"DOI":"10.1136/jmg.38.10.674","ISBN":"1468-6244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genetics","id":"ITEM-1","issue":"10","issued":{"date-parts":[["2001","10"]]},"language":"English","note":"From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mortality.","type":"article-journal","volume":"38"},"uris":["http://www.mendeley.com/documents/?uuid=01ece509-b613-40ab-ac37-fa4a5c49d71d"]}],"mendeley":{"formattedCitation":"(Shannon et al., 2001)","plainTextFormattedCitation":"(Shannon et al., 2001)","previouslyFormattedCitation":"(Shannon et al., 2001)"},"properties":{"noteIndex":0},"schema":"https://github.com/citation-style-language/schema/raw/master/csl-citation.json"}</w:instrText>
      </w:r>
      <w:r w:rsidR="00065496" w:rsidRPr="006A1EC7">
        <w:rPr>
          <w:color w:val="000000" w:themeColor="text1"/>
        </w:rPr>
        <w:fldChar w:fldCharType="separate"/>
      </w:r>
      <w:r w:rsidR="00065496" w:rsidRPr="006A1EC7">
        <w:rPr>
          <w:noProof/>
          <w:color w:val="000000" w:themeColor="text1"/>
        </w:rPr>
        <w:t>(Shannon et al., 2001)</w:t>
      </w:r>
      <w:r w:rsidR="00065496" w:rsidRPr="006A1EC7">
        <w:rPr>
          <w:color w:val="000000" w:themeColor="text1"/>
        </w:rPr>
        <w:fldChar w:fldCharType="end"/>
      </w:r>
      <w:r w:rsidR="00065496" w:rsidRPr="006A1EC7">
        <w:rPr>
          <w:color w:val="000000" w:themeColor="text1"/>
        </w:rPr>
        <w:t xml:space="preserve">. Secondly, females are twice as likely to be affected </w:t>
      </w:r>
      <w:r w:rsidR="00065496" w:rsidRPr="006A1EC7">
        <w:rPr>
          <w:color w:val="000000" w:themeColor="text1"/>
        </w:rPr>
        <w:fldChar w:fldCharType="begin" w:fldLock="1"/>
      </w:r>
      <w:r w:rsidR="00065496" w:rsidRPr="006A1EC7">
        <w:rPr>
          <w:color w:val="000000" w:themeColor="text1"/>
        </w:rPr>
        <w:instrText>ADDIN CSL_CITATION {"citationItems":[{"id":"ITEM-1","itemData":{"DOI":"10.1111/j.1399-0004.1980.tb00167.x","ISSN":"0009-9163","PMID":"7398109","abstract":"Four new cases of the Wolf-Hirschhorn syndrome are presented, two of which were due to t(4;22)mat. Review of the literature (more than 100 cases of the Wolf-Hirschhorn syndrome) showed that 13 % of all the reported cases were not mutations but segregations of parental chromosomal aberrations, primarily translocations. Similar data were obtained previously for other deletions (5p--, 18p--, 18q--). Analysis of data on some \"new\" deletion syndromes (4q--, 8p--, 9p--, 10p--, 11p--, 11q--) revealed that 14.5 % were inherited cases. Thus, all human autosomal deletions have virtually the same genetic pattern.","author":[{"dropping-particle":"","family":"Lurie","given":"I W","non-dropping-particle":"","parse-names":false,"suffix":""},{"dropping-particle":"","family":"Lazjuk","given":"G I","non-dropping-particle":"","parse-names":false,"suffix":""},{"dropping-particle":"","family":"Ussova","given":"Y I","non-dropping-particle":"","parse-names":false,"suffix":""},{"dropping-particle":"","family":"Presman","given":"E B","non-dropping-particle":"","parse-names":false,"suffix":""},{"dropping-particle":"","family":"Gurevich","given":"D B","non-dropping-particle":"","parse-names":false,"suffix":""}],"container-title":"Clinical genetics","id":"ITEM-1","issue":"6","issued":{"date-parts":[["1980"]]},"page":"375-84","title":"The Wolf-Hirschhorn syndrome. I. Genetics.","type":"article-journal","volume":"17"},"uris":["http://www.mendeley.com/documents/?uuid=61931e63-a57a-4b92-a3bd-bf5b59a7cb63"]},{"id":"ITEM-2","itemData":{"DOI":"10.1136/jmg.38.10.674","ISBN":"1468-6244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genetics","id":"ITEM-2","issue":"10","issued":{"date-parts":[["2001","10"]]},"language":"English","note":"From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mortality.","type":"article-journal","volume":"38"},"uris":["http://www.mendeley.com/documents/?uuid=01ece509-b613-40ab-ac37-fa4a5c49d71d"]}],"mendeley":{"formattedCitation":"(Lurie, Lazjuk, Ussova, Presman, &amp; Gurevich, 1980; Shannon et al., 2001)","plainTextFormattedCitation":"(Lurie, Lazjuk, Ussova, Presman, &amp; Gurevich, 1980; Shannon et al., 2001)","previouslyFormattedCitation":"(Lurie, Lazjuk, Ussova, Presman, &amp; Gurevich, 1980; Shannon et al., 2001)"},"properties":{"noteIndex":0},"schema":"https://github.com/citation-style-language/schema/raw/master/csl-citation.json"}</w:instrText>
      </w:r>
      <w:r w:rsidR="00065496" w:rsidRPr="006A1EC7">
        <w:rPr>
          <w:color w:val="000000" w:themeColor="text1"/>
        </w:rPr>
        <w:fldChar w:fldCharType="separate"/>
      </w:r>
      <w:r w:rsidR="00065496" w:rsidRPr="006A1EC7">
        <w:rPr>
          <w:noProof/>
          <w:color w:val="000000" w:themeColor="text1"/>
        </w:rPr>
        <w:t>(Lurie, Lazjuk, Ussova, Presman, &amp; Gurevich, 1980; Shannon et al., 2001)</w:t>
      </w:r>
      <w:r w:rsidR="00065496" w:rsidRPr="006A1EC7">
        <w:rPr>
          <w:color w:val="000000" w:themeColor="text1"/>
        </w:rPr>
        <w:fldChar w:fldCharType="end"/>
      </w:r>
      <w:r w:rsidR="00065496" w:rsidRPr="006A1EC7">
        <w:rPr>
          <w:color w:val="000000" w:themeColor="text1"/>
        </w:rPr>
        <w:t xml:space="preserve">, although no ethnic differences are noted </w:t>
      </w:r>
      <w:r w:rsidR="00065496" w:rsidRPr="006A1EC7">
        <w:rPr>
          <w:noProof/>
          <w:color w:val="000000" w:themeColor="text1"/>
        </w:rPr>
        <w:fldChar w:fldCharType="begin" w:fldLock="1"/>
      </w:r>
      <w:r w:rsidR="00065496" w:rsidRPr="006A1EC7">
        <w:rPr>
          <w:noProof/>
          <w:color w:val="000000" w:themeColor="text1"/>
        </w:rPr>
        <w:instrText>ADDIN CSL_CITATION {"citationItems":[{"id":"ITEM-1","itemData":{"author":[{"dropping-particle":"","family":"Johnston","given":"N J","non-dropping-particle":"","parse-names":false,"suffix":""},{"dropping-particle":"","family":"Franklin","given":"D L","non-dropping-particle":"","parse-names":false,"suffix":""}],"container-title":"International Journal of Paediatric Dentistry","id":"ITEM-1","issued":{"date-parts":[["2006"]]},"page":"139-142","title":"Dental findings of a child with Wolf – Hirschhorn syndrome","type":"article-journal"},"uris":["http://www.mendeley.com/documents/?uuid=de9f9c13-3a70-4f46-bee1-3463e0d52643"]}],"mendeley":{"formattedCitation":"(N. J. Johnston &amp; Franklin, 2006)","manualFormatting":"(Johnston &amp; Franklin, 2006)","plainTextFormattedCitation":"(N. J. Johnston &amp; Franklin, 2006)","previouslyFormattedCitation":"(N. J. Johnston &amp; Franklin, 2006)"},"properties":{"noteIndex":0},"schema":"https://github.com/citation-style-language/schema/raw/master/csl-citation.json"}</w:instrText>
      </w:r>
      <w:r w:rsidR="00065496" w:rsidRPr="006A1EC7">
        <w:rPr>
          <w:noProof/>
          <w:color w:val="000000" w:themeColor="text1"/>
        </w:rPr>
        <w:fldChar w:fldCharType="separate"/>
      </w:r>
      <w:r w:rsidR="00065496" w:rsidRPr="006A1EC7">
        <w:rPr>
          <w:noProof/>
          <w:color w:val="000000" w:themeColor="text1"/>
        </w:rPr>
        <w:t>(Johnston &amp; Franklin, 2006)</w:t>
      </w:r>
      <w:r w:rsidR="00065496" w:rsidRPr="006A1EC7">
        <w:rPr>
          <w:noProof/>
          <w:color w:val="000000" w:themeColor="text1"/>
        </w:rPr>
        <w:fldChar w:fldCharType="end"/>
      </w:r>
      <w:r w:rsidR="00065496" w:rsidRPr="006A1EC7">
        <w:rPr>
          <w:noProof/>
          <w:color w:val="000000" w:themeColor="text1"/>
        </w:rPr>
        <w:t>.</w:t>
      </w:r>
    </w:p>
    <w:p w14:paraId="0F2000E5" w14:textId="77777777" w:rsidR="00065496" w:rsidRPr="006A1EC7" w:rsidRDefault="00065496" w:rsidP="00A40374">
      <w:pPr>
        <w:spacing w:line="360" w:lineRule="auto"/>
        <w:ind w:firstLine="720"/>
        <w:rPr>
          <w:color w:val="000000" w:themeColor="text1"/>
        </w:rPr>
      </w:pPr>
    </w:p>
    <w:p w14:paraId="59CEFB9A" w14:textId="6D9CD7CF" w:rsidR="00065496" w:rsidRPr="006A1EC7" w:rsidRDefault="00A40374" w:rsidP="00A40374">
      <w:pPr>
        <w:pStyle w:val="Heading3"/>
        <w:spacing w:line="360" w:lineRule="auto"/>
        <w:rPr>
          <w:rFonts w:ascii="Times New Roman" w:hAnsi="Times New Roman" w:cs="Times New Roman"/>
        </w:rPr>
      </w:pPr>
      <w:bookmarkStart w:id="31" w:name="_Toc2336983"/>
      <w:bookmarkStart w:id="32" w:name="_Toc17977836"/>
      <w:r w:rsidRPr="006A1EC7">
        <w:rPr>
          <w:rFonts w:ascii="Times New Roman" w:hAnsi="Times New Roman" w:cs="Times New Roman"/>
        </w:rPr>
        <w:t>WHS</w:t>
      </w:r>
      <w:r w:rsidR="00065496" w:rsidRPr="006A1EC7">
        <w:rPr>
          <w:rFonts w:ascii="Times New Roman" w:hAnsi="Times New Roman" w:cs="Times New Roman"/>
        </w:rPr>
        <w:t>: Clinical features</w:t>
      </w:r>
      <w:bookmarkEnd w:id="31"/>
      <w:bookmarkEnd w:id="32"/>
    </w:p>
    <w:p w14:paraId="74972C71" w14:textId="023C6238" w:rsidR="00065496" w:rsidRPr="006A1EC7" w:rsidRDefault="00065496" w:rsidP="00A40374">
      <w:pPr>
        <w:spacing w:line="360" w:lineRule="auto"/>
        <w:ind w:firstLine="720"/>
        <w:rPr>
          <w:noProof/>
          <w:color w:val="000000" w:themeColor="text1"/>
        </w:rPr>
      </w:pPr>
      <w:r w:rsidRPr="006A1EC7">
        <w:rPr>
          <w:color w:val="000000" w:themeColor="text1"/>
        </w:rPr>
        <w:t xml:space="preserve">Patients with WHS present on a spectrum of syndrome severity, with some individuals being more affected by the condition than others. Some literature suggests that the size of the deletion site is responsible for the varying severity of disability; however, it has been found that individuals with similar deletion sizes can present with marked individual differences, </w:t>
      </w:r>
      <w:r w:rsidRPr="006A1EC7">
        <w:rPr>
          <w:noProof/>
          <w:color w:val="000000" w:themeColor="text1"/>
        </w:rPr>
        <w:t xml:space="preserve">which suggests that other </w:t>
      </w:r>
      <w:r w:rsidR="00A40374" w:rsidRPr="006A1EC7">
        <w:rPr>
          <w:noProof/>
          <w:color w:val="000000" w:themeColor="text1"/>
        </w:rPr>
        <w:t>mechanisms</w:t>
      </w:r>
      <w:r w:rsidRPr="006A1EC7">
        <w:rPr>
          <w:noProof/>
          <w:color w:val="000000" w:themeColor="text1"/>
        </w:rPr>
        <w:t xml:space="preserve"> may also be involved </w:t>
      </w:r>
      <w:r w:rsidRPr="006A1EC7">
        <w:rPr>
          <w:noProof/>
          <w:color w:val="000000" w:themeColor="text1"/>
        </w:rPr>
        <w:fldChar w:fldCharType="begin" w:fldLock="1"/>
      </w:r>
      <w:r w:rsidRPr="006A1EC7">
        <w:rPr>
          <w:noProof/>
          <w:color w:val="000000" w:themeColor="text1"/>
        </w:rPr>
        <w:instrText>ADDIN CSL_CITATION {"citationItems":[{"id":"ITEM-1","itemData":{"DOI":"10.2478/bjmg-2014-0021","ISSN":"1311-0160","abstract":"Wolf-Hirschhorn syndrome (WHS) is a rare chromosomal disorder caused by terminal deletion of the short arm of chromosome 4. The clinical picture includes growth retardation, severe mental retardation, characteristic “Greek helmet” like face, seizures and midline defects in the brain, heart, palate and genitalia. Recently-used molecular techniques increase the number of diagnosed cases due to the detection of smaller deletions. The severity of the clinical presentation is variable depending on the haploinsufficiency of genes in a deleted region.","author":[{"dropping-particle":"","family":"Sukarova-Angelovska","given":"E","non-dropping-particle":"","parse-names":false,"suffix":""},{"dropping-particle":"","family":"Kocova","given":"M","non-dropping-particle":"","parse-names":false,"suffix":""},{"dropping-particle":"","family":"Sabolich","given":"V","non-dropping-particle":"","parse-names":false,"suffix":""},{"dropping-particle":"","family":"Palcevska","given":"S","non-dropping-particle":"","parse-names":false,"suffix":""},{"dropping-particle":"","family":"Angelkova","given":"N","non-dropping-particle":"","parse-names":false,"suffix":""}],"container-title":"Balkan Journal of Medical Genetics","id":"ITEM-1","issue":"1","issued":{"date-parts":[["2014"]]},"page":"23-30","title":"Phenotypic Variations in Wolfhirschhorn Syndrome","type":"article-journal","volume":"17"},"uris":["http://www.mendeley.com/documents/?uuid=316ec31e-fdd7-485a-a83e-ff103fe9e72f"]}],"mendeley":{"formattedCitation":"(Sukarova-Angelovska et al., 2014)","plainTextFormattedCitation":"(Sukarova-Angelovska et al., 2014)","previouslyFormattedCitation":"(Sukarova-Angelovska et al., 2014)"},"properties":{"noteIndex":0},"schema":"https://github.com/citation-style-language/schema/raw/master/csl-citation.json"}</w:instrText>
      </w:r>
      <w:r w:rsidRPr="006A1EC7">
        <w:rPr>
          <w:noProof/>
          <w:color w:val="000000" w:themeColor="text1"/>
        </w:rPr>
        <w:fldChar w:fldCharType="separate"/>
      </w:r>
      <w:r w:rsidRPr="006A1EC7">
        <w:rPr>
          <w:noProof/>
          <w:color w:val="000000" w:themeColor="text1"/>
        </w:rPr>
        <w:t>(Sukarova-Angelovska et al., 2014)</w:t>
      </w:r>
      <w:r w:rsidRPr="006A1EC7">
        <w:rPr>
          <w:noProof/>
          <w:color w:val="000000" w:themeColor="text1"/>
        </w:rPr>
        <w:fldChar w:fldCharType="end"/>
      </w:r>
      <w:r w:rsidRPr="006A1EC7">
        <w:rPr>
          <w:noProof/>
          <w:color w:val="000000" w:themeColor="text1"/>
        </w:rPr>
        <w:t xml:space="preserve">. Graphic 2 is taken from a recent review on the clinical features of WHS and depicts children with varying deletion sizes and different degrees of dysmorphic features </w:t>
      </w:r>
      <w:r w:rsidRPr="006A1EC7">
        <w:rPr>
          <w:noProof/>
          <w:color w:val="000000" w:themeColor="text1"/>
        </w:rPr>
        <w:fldChar w:fldCharType="begin" w:fldLock="1"/>
      </w:r>
      <w:r w:rsidRPr="006A1EC7">
        <w:rPr>
          <w:noProof/>
          <w:color w:val="000000" w:themeColor="text1"/>
        </w:rPr>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2015a)","manualFormatting":"(Battaglia et al., 2015)","plainTextFormattedCitation":"(Agatino Battaglia et al., 2015a)","previouslyFormattedCitation":"(Agatino Battaglia et al., 2015a)"},"properties":{"noteIndex":0},"schema":"https://github.com/citation-style-language/schema/raw/master/csl-citation.json"}</w:instrText>
      </w:r>
      <w:r w:rsidRPr="006A1EC7">
        <w:rPr>
          <w:noProof/>
          <w:color w:val="000000" w:themeColor="text1"/>
        </w:rPr>
        <w:fldChar w:fldCharType="separate"/>
      </w:r>
      <w:r w:rsidRPr="006A1EC7">
        <w:rPr>
          <w:noProof/>
          <w:color w:val="000000" w:themeColor="text1"/>
        </w:rPr>
        <w:t>(Battaglia et al., 2015)</w:t>
      </w:r>
      <w:r w:rsidRPr="006A1EC7">
        <w:rPr>
          <w:noProof/>
          <w:color w:val="000000" w:themeColor="text1"/>
        </w:rPr>
        <w:fldChar w:fldCharType="end"/>
      </w:r>
      <w:r w:rsidRPr="006A1EC7">
        <w:rPr>
          <w:noProof/>
          <w:color w:val="000000" w:themeColor="text1"/>
        </w:rPr>
        <w:t xml:space="preserve">. </w:t>
      </w:r>
    </w:p>
    <w:p w14:paraId="6690E1A9" w14:textId="77D31E3E" w:rsidR="00065496" w:rsidRPr="006A1EC7" w:rsidRDefault="00065496" w:rsidP="00A40374">
      <w:pPr>
        <w:spacing w:line="360" w:lineRule="auto"/>
        <w:ind w:firstLine="720"/>
        <w:rPr>
          <w:noProof/>
          <w:color w:val="000000" w:themeColor="text1"/>
        </w:rPr>
      </w:pPr>
      <w:r w:rsidRPr="006A1EC7">
        <w:rPr>
          <w:noProof/>
          <w:color w:val="000000" w:themeColor="text1"/>
        </w:rPr>
        <w:t>Sukarova-Angelovska et al</w:t>
      </w:r>
      <w:r w:rsidR="00A40374" w:rsidRPr="006A1EC7">
        <w:rPr>
          <w:noProof/>
          <w:color w:val="000000" w:themeColor="text1"/>
        </w:rPr>
        <w:t xml:space="preserve">. </w:t>
      </w:r>
      <w:r w:rsidRPr="006A1EC7">
        <w:rPr>
          <w:noProof/>
          <w:color w:val="000000" w:themeColor="text1"/>
        </w:rPr>
        <w:t xml:space="preserve">(2014) compared six children with WHS and found a positive correlation between clinical presentation (classed as minor, mild and severe) and the size of the deletion. Consequently, the authors claim that their results ‘confirm’ the hypothesis that the deletion site is responsible for the syndrome severity. This claim </w:t>
      </w:r>
      <w:r w:rsidRPr="006A1EC7">
        <w:rPr>
          <w:noProof/>
          <w:color w:val="000000" w:themeColor="text1"/>
        </w:rPr>
        <w:lastRenderedPageBreak/>
        <w:t>is however problematic, as the sample size is considerably too small in size to achieve representative results. Furthermore, the use of the word ‘confirm’ remains questionable as is possible that the reported results represent a type 1 error.</w:t>
      </w:r>
    </w:p>
    <w:p w14:paraId="27E21DB6" w14:textId="7E97BAB0" w:rsidR="00780B57" w:rsidRPr="006A1EC7" w:rsidRDefault="00065496" w:rsidP="00780B57">
      <w:pPr>
        <w:spacing w:line="360" w:lineRule="auto"/>
        <w:ind w:firstLine="720"/>
        <w:rPr>
          <w:noProof/>
          <w:color w:val="000000" w:themeColor="text1"/>
        </w:rPr>
      </w:pPr>
      <w:r w:rsidRPr="006A1EC7">
        <w:rPr>
          <w:noProof/>
          <w:color w:val="000000" w:themeColor="text1"/>
        </w:rPr>
        <w:t xml:space="preserve">The clinical features of </w:t>
      </w:r>
      <w:r w:rsidR="009F0718" w:rsidRPr="006A1EC7">
        <w:rPr>
          <w:noProof/>
          <w:color w:val="000000" w:themeColor="text1"/>
        </w:rPr>
        <w:t>WHS</w:t>
      </w:r>
      <w:r w:rsidRPr="006A1EC7">
        <w:rPr>
          <w:noProof/>
          <w:color w:val="000000" w:themeColor="text1"/>
        </w:rPr>
        <w:t xml:space="preserve"> are multifaceted and complex. </w:t>
      </w:r>
    </w:p>
    <w:p w14:paraId="1DE1E987" w14:textId="77777777" w:rsidR="00780B57" w:rsidRPr="006A1EC7" w:rsidRDefault="00780B57" w:rsidP="00780B57">
      <w:pPr>
        <w:spacing w:line="360" w:lineRule="auto"/>
        <w:ind w:firstLine="720"/>
        <w:rPr>
          <w:noProof/>
          <w:color w:val="000000" w:themeColor="text1"/>
        </w:rPr>
      </w:pPr>
    </w:p>
    <w:p w14:paraId="39270F23" w14:textId="4E8A7B6C" w:rsidR="00780B57" w:rsidRPr="006A1EC7" w:rsidRDefault="00780B57" w:rsidP="0026747E">
      <w:pPr>
        <w:pStyle w:val="Heading3"/>
        <w:rPr>
          <w:rFonts w:ascii="Times New Roman" w:hAnsi="Times New Roman" w:cs="Times New Roman"/>
        </w:rPr>
      </w:pPr>
      <w:r w:rsidRPr="006A1EC7">
        <w:rPr>
          <w:rFonts w:ascii="Times New Roman" w:hAnsi="Times New Roman" w:cs="Times New Roman"/>
        </w:rPr>
        <w:t xml:space="preserve">Figure </w:t>
      </w:r>
      <w:r w:rsidRPr="006A1EC7">
        <w:rPr>
          <w:rFonts w:ascii="Times New Roman" w:hAnsi="Times New Roman" w:cs="Times New Roman"/>
        </w:rPr>
        <w:fldChar w:fldCharType="begin"/>
      </w:r>
      <w:r w:rsidRPr="006A1EC7">
        <w:rPr>
          <w:rFonts w:ascii="Times New Roman" w:hAnsi="Times New Roman" w:cs="Times New Roman"/>
        </w:rPr>
        <w:instrText xml:space="preserve"> SEQ Figure \* ARABIC </w:instrText>
      </w:r>
      <w:r w:rsidRPr="006A1EC7">
        <w:rPr>
          <w:rFonts w:ascii="Times New Roman" w:hAnsi="Times New Roman" w:cs="Times New Roman"/>
        </w:rPr>
        <w:fldChar w:fldCharType="separate"/>
      </w:r>
      <w:r w:rsidRPr="006A1EC7">
        <w:rPr>
          <w:rFonts w:ascii="Times New Roman" w:hAnsi="Times New Roman" w:cs="Times New Roman"/>
          <w:noProof/>
        </w:rPr>
        <w:t>1</w:t>
      </w:r>
      <w:r w:rsidRPr="006A1EC7">
        <w:rPr>
          <w:rFonts w:ascii="Times New Roman" w:hAnsi="Times New Roman" w:cs="Times New Roman"/>
        </w:rPr>
        <w:fldChar w:fldCharType="end"/>
      </w:r>
      <w:r w:rsidRPr="006A1EC7">
        <w:rPr>
          <w:rFonts w:ascii="Times New Roman" w:hAnsi="Times New Roman" w:cs="Times New Roman"/>
        </w:rPr>
        <w:t>: Overview of characteristics facial features typically found in patients with WHS (Battaglia et al, 2015)</w:t>
      </w:r>
      <w:r w:rsidR="00744A8E" w:rsidRPr="006A1EC7">
        <w:rPr>
          <w:rStyle w:val="FootnoteReference"/>
          <w:rFonts w:ascii="Times New Roman" w:hAnsi="Times New Roman" w:cs="Times New Roman"/>
        </w:rPr>
        <w:footnoteReference w:id="1"/>
      </w:r>
    </w:p>
    <w:p w14:paraId="02992DC7" w14:textId="4F425CD5" w:rsidR="00065496" w:rsidRPr="006A1EC7" w:rsidRDefault="00780B57" w:rsidP="00780B57">
      <w:pPr>
        <w:spacing w:line="360" w:lineRule="auto"/>
        <w:ind w:firstLine="720"/>
        <w:jc w:val="both"/>
        <w:rPr>
          <w:noProof/>
          <w:color w:val="000000" w:themeColor="text1"/>
        </w:rPr>
      </w:pPr>
      <w:r w:rsidRPr="006A1EC7">
        <w:rPr>
          <w:noProof/>
          <w:color w:val="000000" w:themeColor="text1"/>
        </w:rPr>
        <w:drawing>
          <wp:inline distT="0" distB="0" distL="0" distR="0" wp14:anchorId="525BA981" wp14:editId="29637253">
            <wp:extent cx="4356100" cy="3771900"/>
            <wp:effectExtent l="0" t="0" r="0" b="0"/>
            <wp:docPr id="30" name="Picture 30" descr="A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5-02 at 00.04.09.png"/>
                    <pic:cNvPicPr/>
                  </pic:nvPicPr>
                  <pic:blipFill>
                    <a:blip r:embed="rId14">
                      <a:extLst>
                        <a:ext uri="{28A0092B-C50C-407E-A947-70E740481C1C}">
                          <a14:useLocalDpi xmlns:a14="http://schemas.microsoft.com/office/drawing/2010/main" val="0"/>
                        </a:ext>
                      </a:extLst>
                    </a:blip>
                    <a:stretch>
                      <a:fillRect/>
                    </a:stretch>
                  </pic:blipFill>
                  <pic:spPr>
                    <a:xfrm>
                      <a:off x="0" y="0"/>
                      <a:ext cx="4356100" cy="3771900"/>
                    </a:xfrm>
                    <a:prstGeom prst="rect">
                      <a:avLst/>
                    </a:prstGeom>
                  </pic:spPr>
                </pic:pic>
              </a:graphicData>
            </a:graphic>
          </wp:inline>
        </w:drawing>
      </w:r>
    </w:p>
    <w:p w14:paraId="3FF03484" w14:textId="7D1B7D52" w:rsidR="00780B57" w:rsidRPr="006A1EC7" w:rsidRDefault="00780B57" w:rsidP="00780B57">
      <w:pPr>
        <w:spacing w:line="360" w:lineRule="auto"/>
        <w:ind w:firstLine="720"/>
        <w:jc w:val="both"/>
        <w:rPr>
          <w:noProof/>
          <w:color w:val="000000" w:themeColor="text1"/>
        </w:rPr>
      </w:pPr>
    </w:p>
    <w:p w14:paraId="22A3BD09" w14:textId="77777777" w:rsidR="00780B57" w:rsidRPr="006A1EC7" w:rsidRDefault="00780B57" w:rsidP="00780B57">
      <w:pPr>
        <w:spacing w:line="360" w:lineRule="auto"/>
        <w:ind w:firstLine="720"/>
        <w:jc w:val="both"/>
        <w:rPr>
          <w:noProof/>
          <w:color w:val="000000" w:themeColor="text1"/>
        </w:rPr>
      </w:pPr>
    </w:p>
    <w:p w14:paraId="67AAB8CD" w14:textId="77777777" w:rsidR="00A40374" w:rsidRPr="006A1EC7" w:rsidRDefault="00A40374" w:rsidP="00A40374"/>
    <w:p w14:paraId="78F6F686" w14:textId="75E5D189" w:rsidR="00065496" w:rsidRPr="006A1EC7" w:rsidRDefault="00A40374" w:rsidP="00A40374">
      <w:pPr>
        <w:pStyle w:val="Heading4"/>
        <w:spacing w:line="360" w:lineRule="auto"/>
        <w:rPr>
          <w:rFonts w:ascii="Times New Roman" w:hAnsi="Times New Roman" w:cs="Times New Roman"/>
          <w:noProof/>
        </w:rPr>
      </w:pPr>
      <w:r w:rsidRPr="006A1EC7">
        <w:rPr>
          <w:rFonts w:ascii="Times New Roman" w:hAnsi="Times New Roman" w:cs="Times New Roman"/>
          <w:noProof/>
        </w:rPr>
        <w:t>Fac</w:t>
      </w:r>
      <w:r w:rsidR="00065496" w:rsidRPr="006A1EC7">
        <w:rPr>
          <w:rFonts w:ascii="Times New Roman" w:hAnsi="Times New Roman" w:cs="Times New Roman"/>
          <w:noProof/>
        </w:rPr>
        <w:t>ial Features</w:t>
      </w:r>
    </w:p>
    <w:p w14:paraId="355C792D" w14:textId="108A8624" w:rsidR="00065496" w:rsidRPr="006A1EC7" w:rsidRDefault="00065496" w:rsidP="00A40374">
      <w:pPr>
        <w:spacing w:line="360" w:lineRule="auto"/>
        <w:ind w:firstLine="720"/>
        <w:rPr>
          <w:noProof/>
          <w:color w:val="000000" w:themeColor="text1"/>
        </w:rPr>
      </w:pPr>
      <w:r w:rsidRPr="006A1EC7">
        <w:rPr>
          <w:noProof/>
          <w:color w:val="000000" w:themeColor="text1"/>
        </w:rPr>
        <w:t xml:space="preserve">As depicted in Graphic 2, patients with WHS typically have characteristic facial features in varying degrees: a wide nasal bridge with a raised forehead, which is referred to as the “Greek warrior helmet”. Microcephaly (birth defect, small head circumference due to under-developed brain), (cranio-) facial asymmetry and hypertelorism (widely spaces eyes) are also reported </w:t>
      </w:r>
      <w:r w:rsidRPr="006A1EC7">
        <w:rPr>
          <w:noProof/>
          <w:color w:val="000000" w:themeColor="text1"/>
        </w:rPr>
        <w:fldChar w:fldCharType="begin" w:fldLock="1"/>
      </w:r>
      <w:r w:rsidRPr="006A1EC7">
        <w:rPr>
          <w:noProof/>
          <w:color w:val="000000" w:themeColor="text1"/>
        </w:rPr>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update","type":"article-journal","volume":"169"},"uris":["http://www.mendeley.com/documents/?uuid=24c81fdd-ba44-4a54-bde3-6fe1c64d9570"]},{"id":"ITEM-2","itemData":{"DOI":"10.2478/bjmg-2014-0021","ISSN":"1311-0160","abstract":"Wolf-Hirschhorn syndrome (WHS) is a rare chromosomal disorder caused by terminal deletion of the short arm of chromosome 4. The clinical picture includes growth retardation, severe mental retardation, characteristic “Greek helmet” like face, seizures and midline defects in the brain, heart, palate and genitalia. Recently-used molecular techniques increase the number of diagnosed cases due to the detection of smaller deletions. The severity of the clinical presentation is variable depending on the haploinsufficiency of genes in a deleted region.","author":[{"dropping-particle":"","family":"Sukarova-Angelovska","given":"E","non-dropping-particle":"","parse-names":false,"suffix":""},{"dropping-particle":"","family":"Kocova","given":"M","non-dropping-particle":"","parse-names":false,"suffix":""},{"dropping-particle":"","family":"Sabolich","given":"V","non-dropping-particle":"","parse-names":false,"suffix":""},{"dropping-particle":"","family":"Palcevska","given":"S","non-dropping-particle":"","parse-names":false,"suffix":""},{"dropping-particle":"","family":"Angelkova","given":"N","non-dropping-particle":"","parse-names":false,"suffix":""}],"container-title":"Balkan Journal of Medical Genetics","id":"ITEM-2","issue":"1","issued":{"date-parts":[["2014"]]},"page":"23-30","title":"Phenotypic Variations in Wolfhirschhorn Syndrome","type":"article-journal","volume":"17"},"uris":["http://www.mendeley.com/documents/?uuid=316ec31e-fdd7-485a-a83e-ff103fe9e72f"]},{"id":"ITEM-3","itemData":{"DOI":"10.1002/ajmg.c.30190","ISBN":"1552-4876 (Electronic)","ISSN":"15524868","PMID":"18932124","abstract":"Based on genotype-phenotype correlation analysis of 80 Wolf-Hirschhorn syndrome (WHS) patients, as well as on review of relevant literature, we add further insights to the following aspects of WHS: (1) clinical delineation and phenotypic categories; (2) characterization of the basic genomic defect, mechanisms of origin and familiarity; (3) identification of prognostic factors for mental retardation; (4) chromosome mapping of the distinctive clinical signs, in an effort to identify pathogenic genes. Clinically, we consider that minimal diagnostic criteria for WHS, defining a \"core\" phenotype, are typical facial appearance, mental retardation, growth delay and seizures (or EEG anomalies). Three different categories of the WHS phenotype were defined, generally correlating with the extent of the 4p deletion. The first one comprises a small deletion not exceeding 3.5 Mb, that is usually associated with a mild phenotype, lacking major malformations. This category is likely under-diagnosed. The second and by far the more frequent category is identified by large deletions, averaging between 5 and 18 Mb, and causes the widely recognizable WHS phenotype. The third clinical category results from a very large deletion exceeding 22-25 Mb causing a severe phenotype, that can hardly be defined as typical WHS. Genetically, de novo chromosome abnormalities in WHS include pure deletions but also complex rearrangements, mainly unbalanced translocations. With the exception of t(4p;8p), WHS-associated chromosome abnormalities are neither mediated by segmental duplications, nor associated with a parental inversion polymorphism on 4p16.3. Factors involved in prediction of prognosis include the extent of the deletion, the occurrence of complex chromosome anomalies, and the severity of seizures. We found that the core phenotype maps within the terminal 1.9 Mb region of chromosome 4p. Therefore, WHSCR-2 should be considered the critical region for this condition. We also confirmed that the pathogenesis of WHS is multigenic. Specific and independent chromosome regions were characterized for growth delay and seizures, as well as for the additional clinical signs that characterize this condition. With the exception of parental balanced translocations, familial recurrence is uncommon.","author":[{"dropping-particle":"","family":"Zollino","given":"Marcella","non-dropping-particle":"","parse-names":false,"suffix":""},{"dropping-particle":"","family":"Murdolo","given":"Marina","non-dropping-particle":"","parse-names":false,"suffix":""},{"dropping-particle":"","family":"Marangi","given":"Giuseppe","non-dropping-particle":"","parse-names":false,"suffix":""},{"dropping-particle":"","family":"Pecile","given":"Vanna","non-dropping-particle":"","parse-names":false,"suffix":""},{"dropping-particle":"","family":"Galasso","given":"Cinzia","non-dropping-particle":"","parse-names":false,"suffix":""},{"dropping-particle":"","family":"Mazzanti","given":"Laura","non-dropping-particle":"","parse-names":false,"suffix":""},{"dropping-particle":"","family":"Neri","given":"Giovanni","non-dropping-particle":"","parse-names":false,"suffix":""}],"container-title":"American journal of medical genetics. Part C, Seminars in medical genetics","id":"ITEM-3","issue":"4","issued":{"date-parts":[["2008","11"]]},"page":"257-269","title":"On the nosology and pathogenesis of Wolf-Hirschhorn syndrome: Genotype-phenotype correlation analysis of 80 patients and literature review","type":"article-journal","volume":"148C"},"uris":["http://www.mendeley.com/documents/?uuid=70e28f91-bd88-443c-a4a0-868c7479c7f1"]}],"mendeley":{"formattedCitation":"(Agatino Battaglia et al., 2015a; Sukarova-Angelovska et al., 2014; Zollino et al., 2008)","manualFormatting":"(Battaglia, Carey, &amp; South, 2015; Sukarova-Aneglovska, Kocova &amp; Sabolich, 2014)","plainTextFormattedCitation":"(Agatino Battaglia et al., 2015a; Sukarova-Angelovska et al., 2014; Zollino et al., 2008)","previouslyFormattedCitation":"(Agatino Battaglia et al., 2015a; Sukarova-Angelovska et al., 2014; Zollino et al., 2008)"},"properties":{"noteIndex":0},"schema":"https://github.com/citation-style-language/schema/raw/master/csl-citation.json"}</w:instrText>
      </w:r>
      <w:r w:rsidRPr="006A1EC7">
        <w:rPr>
          <w:noProof/>
          <w:color w:val="000000" w:themeColor="text1"/>
        </w:rPr>
        <w:fldChar w:fldCharType="separate"/>
      </w:r>
      <w:r w:rsidRPr="006A1EC7">
        <w:rPr>
          <w:noProof/>
          <w:color w:val="000000" w:themeColor="text1"/>
        </w:rPr>
        <w:t>(Battaglia, Carey, &amp; South, 2015; Sukarova-Aneglovska, Kocova &amp; Sabolich, 2014)</w:t>
      </w:r>
      <w:r w:rsidRPr="006A1EC7">
        <w:rPr>
          <w:noProof/>
          <w:color w:val="000000" w:themeColor="text1"/>
        </w:rPr>
        <w:fldChar w:fldCharType="end"/>
      </w:r>
      <w:r w:rsidRPr="006A1EC7">
        <w:rPr>
          <w:noProof/>
          <w:color w:val="000000" w:themeColor="text1"/>
        </w:rPr>
        <w:t xml:space="preserve">. In </w:t>
      </w:r>
      <w:r w:rsidR="00A40374" w:rsidRPr="006A1EC7">
        <w:rPr>
          <w:noProof/>
          <w:color w:val="000000" w:themeColor="text1"/>
        </w:rPr>
        <w:t>regard</w:t>
      </w:r>
      <w:r w:rsidRPr="006A1EC7">
        <w:rPr>
          <w:noProof/>
          <w:color w:val="000000" w:themeColor="text1"/>
        </w:rPr>
        <w:t xml:space="preserve"> to hypertelorism, there is some inconsistency in the literature. One study found that all their participants presented </w:t>
      </w:r>
      <w:r w:rsidRPr="006A1EC7">
        <w:rPr>
          <w:noProof/>
          <w:color w:val="000000" w:themeColor="text1"/>
        </w:rPr>
        <w:lastRenderedPageBreak/>
        <w:t xml:space="preserve">with this feature regardless of deletion size </w:t>
      </w:r>
      <w:r w:rsidRPr="006A1EC7">
        <w:rPr>
          <w:noProof/>
          <w:color w:val="000000" w:themeColor="text1"/>
        </w:rPr>
        <w:fldChar w:fldCharType="begin" w:fldLock="1"/>
      </w:r>
      <w:r w:rsidRPr="006A1EC7">
        <w:rPr>
          <w:noProof/>
          <w:color w:val="000000" w:themeColor="text1"/>
        </w:rPr>
        <w:instrText>ADDIN CSL_CITATION {"citationItems":[{"id":"ITEM-1","itemData":{"DOI":"10.1016/j.jaapos.2009.02.011","ISBN":"1528-3933 (Electronic)\\n1528-3933 (Linking)","ISSN":"10918531","PMID":"19541266","abstract":"Introduction: Wolf-Hirschhorn syndrome (WHS) multiple congenital anomalies/mental retardation is caused by partial deletion of the short arm of chromosome 4 and can be considered a contiguous gene syndrome, characterized by typical facial appearance, mental retardation, growth delay, and seizures. Methods: We investigated the ocular defects in a population of 10 patients with WHS and analyzed the relationship between ocular findings and the extent of deletion on chromosome 4. Results: The ocular abnormalities found included hypertelorism, strabismus, refractive errors, epicanthal folds, proptosis, downslanting palpebral fissures, microphthalmos, microcornea, iris coloboma, optic nerve coloboma, ocular cyst, ptosis, glaucoma, and nystagmus. Different breakpoints of the chromosomal rearrangement were observed in individual patients, ranging from 4p15.1 to 4p16.3, and the size of chromosomal deletion ranged from 2.6 to 26 million base pairs. Conclusions: Congenital glaucoma and colobomatous ocular cysts have rarely been described in WHS patients that were previously reported. In all cases exhibiting strabismus, an exodeviation was present. Comparing genotype with ocular phenotype, a relationship between the size of deletion and the severity of the ocular involvement was observed in all cases but one.{A figure is presented}. ?? 2009 American Association for Pediatric Ophthalmology and Strabismus.","author":[{"dropping-particle":"","family":"Dickmann","given":"Anna","non-dropping-particle":"","parse-names":false,"suffix":""},{"dropping-particle":"","family":"Parrilla","given":"Rosa","non-dropping-particle":"","parse-names":false,"suffix":""},{"dropping-particle":"","family":"Salerni","given":"Annabella","non-dropping-particle":"","parse-names":false,"suffix":""},{"dropping-particle":"","family":"Savino","given":"Gustavo","non-dropping-particle":"","parse-names":false,"suffix":""},{"dropping-particle":"","family":"Vasta","given":"Isabella","non-dropping-particle":"","parse-names":false,"suffix":""},{"dropping-particle":"","family":"Zollino","given":"Marcella","non-dropping-particle":"","parse-names":false,"suffix":""},{"dropping-particle":"","family":"Petroni","given":"Sergio","non-dropping-particle":"","parse-names":false,"suffix":""},{"dropping-particle":"","family":"Zampino","given":"Giuseppe","non-dropping-particle":"","parse-names":false,"suffix":""}],"container-title":"Journal of AAPOS","id":"ITEM-1","issue":"3","issued":{"date-parts":[["2009"]]},"language":"English","note":"From Duplicate 1 (Ocular manifestations in Wolf-Hirschhorn syndrome - Dickmann, A; Parrilla, R; Salerni, A; Savino, G; Vasta, I; Zollino, M; Petroni, S; Zampino, G)\n\nCited By :9\n\nExport Date: 5 January 2018\n\nCODEN: JAOAB\n\nCorrespondence Address: Parrilla, R.; Ophtalmology Institute, Catholic University of Rome, Rome, Italy; email: roparrilla@yahoo.it","page":"264-267","publisher":"American Association for Pediatric Ophthalmology and Strabismus","publisher-place":"Ophtalmology Institute, Catholic University of Rome, Rome, Italy","title":"Ocular manifestations in Wolf-Hirschhorn syndrome","type":"article-journal","volume":"13"},"uris":["http://www.mendeley.com/documents/?uuid=c118a99f-0455-44c1-9c89-0965cfca7051"]}],"mendeley":{"formattedCitation":"(Anna Dickmann et al., 2009)","manualFormatting":"(Dickmann et al., 2009)","plainTextFormattedCitation":"(Anna Dickmann et al., 2009)","previouslyFormattedCitation":"(Anna Dickmann et al., 2009)"},"properties":{"noteIndex":0},"schema":"https://github.com/citation-style-language/schema/raw/master/csl-citation.json"}</w:instrText>
      </w:r>
      <w:r w:rsidRPr="006A1EC7">
        <w:rPr>
          <w:noProof/>
          <w:color w:val="000000" w:themeColor="text1"/>
        </w:rPr>
        <w:fldChar w:fldCharType="separate"/>
      </w:r>
      <w:r w:rsidRPr="006A1EC7">
        <w:rPr>
          <w:noProof/>
          <w:color w:val="000000" w:themeColor="text1"/>
        </w:rPr>
        <w:t>(Dickmann et al., 2009)</w:t>
      </w:r>
      <w:r w:rsidRPr="006A1EC7">
        <w:rPr>
          <w:noProof/>
          <w:color w:val="000000" w:themeColor="text1"/>
        </w:rPr>
        <w:fldChar w:fldCharType="end"/>
      </w:r>
      <w:r w:rsidRPr="006A1EC7">
        <w:rPr>
          <w:noProof/>
          <w:color w:val="000000" w:themeColor="text1"/>
        </w:rPr>
        <w:t xml:space="preserve">, another found this feature present in all of their participants with large deletion sites as well as in the majority of patients with smaller deletion sites </w:t>
      </w:r>
      <w:r w:rsidRPr="006A1EC7">
        <w:rPr>
          <w:noProof/>
          <w:color w:val="000000" w:themeColor="text1"/>
        </w:rPr>
        <w:fldChar w:fldCharType="begin" w:fldLock="1"/>
      </w:r>
      <w:r w:rsidRPr="006A1EC7">
        <w:rPr>
          <w:noProof/>
          <w:color w:val="000000" w:themeColor="text1"/>
        </w:rPr>
        <w:instrText>ADDIN CSL_CITATION {"citationItems":[{"id":"ITEM-1","itemData":{"DOI":"10.1136/jmg.2007.052910","ISBN":"1468-6244 (Electronic)\\r0022-2593 (Linking)","ISSN":"1468-6244","PMID":"17873117","abstract":"BACKGROUND: The Wolf-Hirschhorn syndrome (WHS) is usually caused by terminal deletions of the short arm of chromosome 4 and is phenotypically defined by growth and mental retardation, seizures, and specific craniofacial manifestations. Large variation is observed in phenotypic expression of these features. In order to compare the phenotype with the genotype, we localised the breakpoints of the 4 pter aberrations using a chromosome 4 specific tiling BAC/PAC array. METHODS: In total, DNA from 21 patients was analysed, of which 8 had a cytogenetic visible and 13 a submicroscopic deletion. RESULTS AND CONCLUSION: In addition to classical terminal deletions sized between 1.9 and 30 Mb, we observed the smallest terminal deletion (1.4 Mb) ever reported in a patient with mild WHS stigmata. In addition, we identified and mapped interstitial deletions in four patients. This study positions the genes causing microcephaly, intrauterine and postnatal growth retardation between 0.3 and 1.4 Mb and further refines the regions causing congenital heart disease, cleft lip and/or palate, oligodontia, and hypospadias.","author":[{"dropping-particle":"","family":"Maas","given":"N M C","non-dropping-particle":"","parse-names":false,"suffix":""},{"dropping-particle":"","family":"Buggenhout","given":"G","non-dropping-particle":"Van","parse-names":false,"suffix":""},{"dropping-particle":"","family":"Hannes","given":"F","non-dropping-particle":"","parse-names":false,"suffix":""},{"dropping-particle":"","family":"Thienpont","given":"B","non-dropping-particle":"","parse-names":false,"suffix":""},{"dropping-particle":"","family":"Sanlaville","given":"D","non-dropping-particle":"","parse-names":false,"suffix":""},{"dropping-particle":"","family":"Kok","given":"K","non-dropping-particle":"","parse-names":false,"suffix":""},{"dropping-particle":"","family":"Midro","given":"a","non-dropping-particle":"","parse-names":false,"suffix":""},{"dropping-particle":"","family":"Andrieux","given":"J","non-dropping-particle":"","parse-names":false,"suffix":""},{"dropping-particle":"","family":"Anderlid","given":"B-M B.-M.","non-dropping-particle":"","parse-names":false,"suffix":""},{"dropping-particle":"","family":"Schoumans","given":"J","non-dropping-particle":"","parse-names":false,"suffix":""},{"dropping-particle":"","family":"Hordijk","given":"R","non-dropping-particle":"","parse-names":false,"suffix":""},{"dropping-particle":"","family":"Devriendt","given":"K","non-dropping-particle":"","parse-names":false,"suffix":""},{"dropping-particle":"","family":"Fryns","given":"J.-P. J-P","non-dropping-particle":"","parse-names":false,"suffix":""},{"dropping-particle":"","family":"Vermeesch","given":"J R","non-dropping-particle":"","parse-names":false,"suffix":""}],"container-title":"Journal of medical genetics","id":"ITEM-1","issue":"2","issued":{"date-parts":[["2008"]]},"language":"English","note":"From Duplicate 2 (Genotype-phenotype correlation in 21 patients with Wolf-Hirschhorn syndrome using high resolution array comparative genome hybridisation (CGH) - Maas, N M C; Van Buggenhout, G; Hannes, F; Thienpont, B; Sanlaville, D; Kok, K; Midro, A; Andrieux, J; Anderlid, B.-M.; Schoumans, J; Hordijk, R; Devriendt, K; Fryns, J.-P.; Vermeesch, J R)\n\nCited By :85\n\nExport Date: 5 January 2018\n\nCODEN: JMDGA\n\nCorrespondence Address: Vermeesch, J.R.; Center for Human Genetics, Herestraat 49, 3000 Leuven, Belgium; email: Joris.Vermeesch@uz.kuleuven.ac.be","page":"71-80","publisher-place":"Center for Human Genetics, University Hospital, Catholic University of Leuven, Leuven, Belgium","title":"Genotype-phenotype correlation in 21 patients with Wolf-Hirschhorn syndrome using high resolution array comparative genome hybridisation (CGH).","type":"article-journal","volume":"45"},"uris":["http://www.mendeley.com/documents/?uuid=bd13d367-68ce-4ba4-997a-c9e12a4ee481"]}],"mendeley":{"formattedCitation":"(Maas et al., 2008)","plainTextFormattedCitation":"(Maas et al., 2008)","previouslyFormattedCitation":"(Maas et al., 2008)"},"properties":{"noteIndex":0},"schema":"https://github.com/citation-style-language/schema/raw/master/csl-citation.json"}</w:instrText>
      </w:r>
      <w:r w:rsidRPr="006A1EC7">
        <w:rPr>
          <w:noProof/>
          <w:color w:val="000000" w:themeColor="text1"/>
        </w:rPr>
        <w:fldChar w:fldCharType="separate"/>
      </w:r>
      <w:r w:rsidRPr="006A1EC7">
        <w:rPr>
          <w:noProof/>
          <w:color w:val="000000" w:themeColor="text1"/>
        </w:rPr>
        <w:t>(Maas et al., 2008)</w:t>
      </w:r>
      <w:r w:rsidRPr="006A1EC7">
        <w:rPr>
          <w:noProof/>
          <w:color w:val="000000" w:themeColor="text1"/>
        </w:rPr>
        <w:fldChar w:fldCharType="end"/>
      </w:r>
      <w:r w:rsidRPr="006A1EC7">
        <w:rPr>
          <w:noProof/>
          <w:color w:val="000000" w:themeColor="text1"/>
        </w:rPr>
        <w:t xml:space="preserve"> and a third study found hypertelorism in only one out of ten patients </w:t>
      </w:r>
      <w:r w:rsidRPr="006A1EC7">
        <w:rPr>
          <w:noProof/>
          <w:color w:val="000000" w:themeColor="text1"/>
        </w:rPr>
        <w:fldChar w:fldCharType="begin" w:fldLock="1"/>
      </w:r>
      <w:r w:rsidRPr="006A1EC7">
        <w:rPr>
          <w:noProof/>
          <w:color w:val="000000" w:themeColor="text1"/>
        </w:rPr>
        <w:instrText>ADDIN CSL_CITATION {"citationItems":[{"id":"ITEM-1","itemData":{"DOI":"10.1016/j.jaapos.2004.04.009","ISBN":"1091-8531 (Print)\\n1091-8531 (Linking)","ISSN":"10918531","PMID":"15314595","abstract":"Purpose Wolf-Hirschhorn syndrome is caused by partial deletion of the short arm of chromosome 4 (4p-). Common features include developmental delay, microcephaly, seizures, craniofacial anomalies, mental retardation, and cardiac defects. This article further describes the ocular manifestations of this rare disorder. Methods Charts of patients with 4p- from the University of Arkansas (n = 3) and the University of Minnesota (n = 7) were reviewed. Diagnosis was made by a geneticist and was confirmed by karyotype. Cytogenetic reports were available for review in eight patients. Results Ten patients (six females and four males) aged 4 months to 11 years were included. Ophthalmic findings included exodeviation (9/10), nasolacrimal obstruction (6/10), shallow orbits (3/10), epicanthal folds (3/10), foveal hypoplasia (3/10), upper lid coloboma (2/10), optic disk anomalies (2/10), downslanting palpebral fissures (2/10), microcornea (2/10), hypertelorism (1/10), nystagmus (1/10), and chorioretinal coloboma (1/10). Eight patients with 4p- had break points ranging from band 4p14 to 4p16.3. Conclusions This study expands on previous reports of the ophthalmic phenotype in 4p- and includes the additional findings of foveal hypoplasia, nystagmus, shallow orbits, epicanthal folds, and upper lid colobomas. Ophthalmic findings in 4p- are variable, likely related to the size of the deletion.","author":[{"dropping-particle":"","family":"Wu-Chen","given":"Wen Y.","non-dropping-particle":"","parse-names":false,"suffix":""},{"dropping-particle":"","family":"Christiansen","given":"Stephen P.","non-dropping-particle":"","parse-names":false,"suffix":""},{"dropping-particle":"","family":"Berry","given":"Susan A.","non-dropping-particle":"","parse-names":false,"suffix":""},{"dropping-particle":"","family":"Engel","given":"W. Keith","non-dropping-particle":"","parse-names":false,"suffix":""},{"dropping-particle":"","family":"Fray","given":"Katherine J.","non-dropping-particle":"","parse-names":false,"suffix":""},{"dropping-particle":"","family":"Summers","given":"C. Gail","non-dropping-particle":"","parse-names":false,"suffix":""}],"container-title":"Journal of AAPOS","id":"ITEM-1","issue":"4","issued":{"date-parts":[["2004","8"]]},"language":"English","note":"From Duplicate 1 (Ophthalmic manifestations of Wolf-Hirschhorn syndrome - Wu-Chen, Wen Y; Christiansen, Stephen P; Berry, Susan A; Engel, W Keith; Fray, Katherine J; Summers, C Gail)\n\nFrom Duplicate 2 (Ophthalmic manifestations of Wolf-Hirschhorn syndrome - Wu-Chen, W Y; Christiansen, S P; Berry, S A; Engel, W K; Fray, K J; Summers, C G)\n\nCited By :11\n\nExport Date: 5 January 2018\n\nCODEN: JAOAB\n\nCorrespondence Address: Summers, C.G.; Department of Ophthalmology, University of Minnesota, Minneapolis, MN, United States","page":"345-348","publisher-place":"Department of Ophthalmology, University of Minnesota, Minneapolis, MN, United States","title":"Ophthalmic manifestations of Wolf-Hirschhorn syndrome","type":"article-journal","volume":"8"},"uris":["http://www.mendeley.com/documents/?uuid=1302c797-5ab9-4620-b7e7-c4fe11180552"]}],"mendeley":{"formattedCitation":"(Wu-Chen et al., 2004)","plainTextFormattedCitation":"(Wu-Chen et al., 2004)","previouslyFormattedCitation":"(Wu-Chen et al., 2004)"},"properties":{"noteIndex":0},"schema":"https://github.com/citation-style-language/schema/raw/master/csl-citation.json"}</w:instrText>
      </w:r>
      <w:r w:rsidRPr="006A1EC7">
        <w:rPr>
          <w:noProof/>
          <w:color w:val="000000" w:themeColor="text1"/>
        </w:rPr>
        <w:fldChar w:fldCharType="separate"/>
      </w:r>
      <w:r w:rsidRPr="006A1EC7">
        <w:rPr>
          <w:noProof/>
          <w:color w:val="000000" w:themeColor="text1"/>
        </w:rPr>
        <w:t>(Wu-Chen et al., 2004)</w:t>
      </w:r>
      <w:r w:rsidRPr="006A1EC7">
        <w:rPr>
          <w:noProof/>
          <w:color w:val="000000" w:themeColor="text1"/>
        </w:rPr>
        <w:fldChar w:fldCharType="end"/>
      </w:r>
      <w:r w:rsidRPr="006A1EC7">
        <w:rPr>
          <w:noProof/>
          <w:color w:val="000000" w:themeColor="text1"/>
        </w:rPr>
        <w:t xml:space="preserve">. While the findings of Dickman et al. and Wu-Chen et al.’s studies are somewhat compromised due to their sample sizes of only ten patients each, they clearly demonstrate the nature of individual differences between different patients with </w:t>
      </w:r>
      <w:r w:rsidR="009F0718" w:rsidRPr="006A1EC7">
        <w:rPr>
          <w:noProof/>
          <w:color w:val="000000" w:themeColor="text1"/>
        </w:rPr>
        <w:t>WHS</w:t>
      </w:r>
      <w:r w:rsidRPr="006A1EC7">
        <w:rPr>
          <w:noProof/>
          <w:color w:val="000000" w:themeColor="text1"/>
        </w:rPr>
        <w:t xml:space="preserve">. In rare disease research, having small sample sizes is an unavoidable, recurrent and extensive problem </w:t>
      </w:r>
      <w:r w:rsidRPr="006A1EC7">
        <w:rPr>
          <w:noProof/>
          <w:color w:val="000000" w:themeColor="text1"/>
        </w:rPr>
        <w:fldChar w:fldCharType="begin" w:fldLock="1"/>
      </w:r>
      <w:r w:rsidRPr="006A1EC7">
        <w:rPr>
          <w:noProof/>
          <w:color w:val="000000" w:themeColor="text1"/>
        </w:rPr>
        <w:instrText>ADDIN CSL_CITATION {"citationItems":[{"id":"ITEM-1","itemData":{"DOI":"10.1177/0883073813495959.Clinical","author":[{"dropping-particle":"","family":"Augustine","given":"E","non-dropping-particle":"","parse-names":false,"suffix":""},{"dropping-particle":"","family":"Adams","given":"H","non-dropping-particle":"","parse-names":false,"suffix":""},{"dropping-particle":"","family":"Wink","given":"J","non-dropping-particle":"","parse-names":false,"suffix":""}],"container-title":"Journal of Clinical Neurology","id":"ITEM-1","issue":"9","issued":{"date-parts":[["2013"]]},"page":"1142-1150","title":"Clinical Trials in Rare Disease: Challenges and Opportunities","type":"article-journal","volume":"28"},"uris":["http://www.mendeley.com/documents/?uuid=1a17302e-a810-4440-a6d8-de00ae02a0cd"]}],"mendeley":{"formattedCitation":"(Augustine, Adams, &amp; Wink, 2013)","plainTextFormattedCitation":"(Augustine, Adams, &amp; Wink, 2013)","previouslyFormattedCitation":"(Augustine, Adams, &amp; Wink, 2013)"},"properties":{"noteIndex":0},"schema":"https://github.com/citation-style-language/schema/raw/master/csl-citation.json"}</w:instrText>
      </w:r>
      <w:r w:rsidRPr="006A1EC7">
        <w:rPr>
          <w:noProof/>
          <w:color w:val="000000" w:themeColor="text1"/>
        </w:rPr>
        <w:fldChar w:fldCharType="separate"/>
      </w:r>
      <w:r w:rsidRPr="006A1EC7">
        <w:rPr>
          <w:noProof/>
          <w:color w:val="000000" w:themeColor="text1"/>
        </w:rPr>
        <w:t>(Augustine, Adams, &amp; Wink, 2013)</w:t>
      </w:r>
      <w:r w:rsidRPr="006A1EC7">
        <w:rPr>
          <w:noProof/>
          <w:color w:val="000000" w:themeColor="text1"/>
        </w:rPr>
        <w:fldChar w:fldCharType="end"/>
      </w:r>
      <w:r w:rsidRPr="006A1EC7">
        <w:rPr>
          <w:noProof/>
          <w:color w:val="000000" w:themeColor="text1"/>
        </w:rPr>
        <w:t>, which is difficult to overcome.</w:t>
      </w:r>
    </w:p>
    <w:p w14:paraId="37A18EFC" w14:textId="77777777" w:rsidR="00065496" w:rsidRPr="006A1EC7" w:rsidRDefault="00065496" w:rsidP="00A40374">
      <w:pPr>
        <w:spacing w:line="360" w:lineRule="auto"/>
        <w:ind w:firstLine="720"/>
        <w:rPr>
          <w:noProof/>
          <w:color w:val="000000" w:themeColor="text1"/>
        </w:rPr>
      </w:pPr>
    </w:p>
    <w:p w14:paraId="4BF73901" w14:textId="77777777" w:rsidR="00065496" w:rsidRPr="006A1EC7" w:rsidRDefault="00065496" w:rsidP="00A40374">
      <w:pPr>
        <w:pStyle w:val="Heading4"/>
        <w:spacing w:line="360" w:lineRule="auto"/>
        <w:rPr>
          <w:rFonts w:ascii="Times New Roman" w:hAnsi="Times New Roman" w:cs="Times New Roman"/>
          <w:noProof/>
        </w:rPr>
      </w:pPr>
      <w:r w:rsidRPr="006A1EC7">
        <w:rPr>
          <w:rFonts w:ascii="Times New Roman" w:hAnsi="Times New Roman" w:cs="Times New Roman"/>
          <w:noProof/>
        </w:rPr>
        <w:t>Slow growth and development</w:t>
      </w:r>
    </w:p>
    <w:p w14:paraId="6652C4EF" w14:textId="793C343F" w:rsidR="00065496" w:rsidRPr="006A1EC7" w:rsidRDefault="00065496" w:rsidP="00A40374">
      <w:pPr>
        <w:spacing w:line="360" w:lineRule="auto"/>
        <w:ind w:firstLine="720"/>
        <w:rPr>
          <w:color w:val="000000" w:themeColor="text1"/>
        </w:rPr>
      </w:pPr>
      <w:r w:rsidRPr="006A1EC7">
        <w:rPr>
          <w:noProof/>
          <w:color w:val="000000" w:themeColor="text1"/>
        </w:rPr>
        <w:t xml:space="preserve">Poor foetal and post-natal growth, low birth weight and developmental delay are common features </w:t>
      </w:r>
      <w:r w:rsidRPr="006A1EC7">
        <w:rPr>
          <w:noProof/>
          <w:color w:val="000000" w:themeColor="text1"/>
        </w:rPr>
        <w:fldChar w:fldCharType="begin" w:fldLock="1"/>
      </w:r>
      <w:r w:rsidRPr="006A1EC7">
        <w:rPr>
          <w:noProof/>
          <w:color w:val="000000" w:themeColor="text1"/>
        </w:rPr>
        <w:instrText>ADDIN CSL_CITATION {"citationItems":[{"id":"ITEM-1","itemData":{"DOI":"10.1007/s00431-007-0595-8","ISBN":"1432-1076","ISSN":"03406199","PMID":"17874131","abstract":"Wolf-Hirschhorn syndrome is characterized by severe growth and mental retardation, microcephaly, seizures and 'Greek helmet' facies, caused by partial deletion of the short arm of chromosome 4. Growth charts are given from 0-4 years of age, based on the study of 101 individuals. Use of these specific growth charts is recommended, because standard growth charts are inapplicable for patients with WHS.","author":[{"dropping-particle":"","family":"Antonius","given":"T.","non-dropping-particle":"","parse-names":false,"suffix":""},{"dropping-particle":"","family":"Draaisma","given":"J.","non-dropping-particle":"","parse-names":false,"suffix":""},{"dropping-particle":"","family":"Levtchenko","given":"E.","non-dropping-particle":"","parse-names":false,"suffix":""},{"dropping-particle":"","family":"Knoers","given":"N.","non-dropping-particle":"","parse-names":false,"suffix":""},{"dropping-particle":"","family":"Renier","given":"W.","non-dropping-particle":"","parse-names":false,"suffix":""},{"dropping-particle":"","family":"Ravenswaaij","given":"C.","non-dropping-particle":"Van","parse-names":false,"suffix":""}],"container-title":"European Journal of Pediatrics","id":"ITEM-1","issue":"7","issued":{"date-parts":[["2008"]]},"language":"English","note":"From Duplicate 2 (Growth charts for Wolf-Hirschhorn syndrome (0-4 years of age) - Antonius, T; Draaisma, J; Levtchenko, E; Knoers, N; Renier, W; Van Ravenswaaij, C)\n\nCited By :12\n\nExport Date: 5 January 2018\n\nCODEN: EJPED\n\nCorrespondence Address: Antonius, T.; Department of Paediatrics, Radboud University Medical Center Nijmegen, Geert Grooteplein 10, Nijmegen 6500 HB, Netherlands; email: t.antonius@cukz.umcn.nl","page":"807-810","publisher-place":"Department of Paediatrics, Radboud University Medical Center Nijmegen, Geert Grooteplein 10, Nijmegen 6500 HB, Netherlands","title":"Growth charts for Wolf-Hirschhorn syndrome (0-4 years of age)","type":"article-journal","volume":"167"},"uris":["http://www.mendeley.com/documents/?uuid=39e6f6c8-790f-41a1-b3a8-fe1faef0a948"]},{"id":"ITEM-2","itemData":{"DOI":"10.1093/omcr/omv008","ISSN":"2053-8855","PMID":"25988083","abstract":"Wolf-Hirschhorn syndrome (WHS) is a rare congenital disorder occurring in approximately 1/50 000 births, with marked pre- and postnatal growth failure. WHS results from the hemizygous deletion encompassing the 4p16.3 region. This report of two children with WHS shows that growth hormone treatment in selected children with WHS and severe short stature may have a substantial effect on long-term growth.","author":[{"dropping-particle":"","family":"Austin","given":"Devon E","non-dropping-particle":"","parse-names":false,"suffix":""},{"dropping-particle":"","family":"Gunn","given":"Alistair J","non-dropping-particle":"","parse-names":false,"suffix":""},{"dropping-particle":"","family":"Jefferies","given":"Craig A","non-dropping-particle":"","parse-names":false,"suffix":""}],"container-title":"Oxford medical case reports","id":"ITEM-2","issue":"2","issued":{"date-parts":[["2015"]]},"page":"211-4","title":"Severe short stature and Wolf-Hirschhorn syndrome: response to growth hormone in two cases without growth hormone deficiency.","type":"article-journal","volume":"2015"},"uris":["http://www.mendeley.com/documents/?uuid=a3ad77ec-daf3-4d3b-8f28-569e85e8dc45"]},{"id":"ITEM-3","itemData":{"DOI":"10.1002/ajmg.c.31449","ISBN":"0000000000000","ISSN":"15524876","PMID":"26239400","abstract":"Since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Genetics","id":"ITEM-3","issue":"3","issued":{"date-parts":[["2015","9"]]},"language":"English","note":"From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update","type":"article-journal","volume":"169"},"uris":["http://www.mendeley.com/documents/?uuid=24c81fdd-ba44-4a54-bde3-6fe1c64d9570"]},{"id":"ITEM-4","itemData":{"DOI":"10.1136/jmg.38.10.674","ISBN":"1468-6244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genetics","id":"ITEM-4","issue":"10","issued":{"date-parts":[["2001","10"]]},"language":"English","note":"From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mortality.","type":"article-journal","volume":"38"},"uris":["http://www.mendeley.com/documents/?uuid=01ece509-b613-40ab-ac37-fa4a5c49d71d"]},{"id":"ITEM-5","itemData":{"DOI":"10.1002/ajmg.c.30190","ISBN":"1552-4876 (Electronic)","ISSN":"15524868","PMID":"18932124","abstract":"Based on genotype-phenotype correlation analysis of 80 Wolf-Hirschhorn syndrome (WHS) patients, as well as on review of relevant literature, we add further insights to the following aspects of WHS: (1) clinical delineation and phenotypic categories; (2) characterization of the basic genomic defect, mechanisms of origin and familiarity; (3) identification of prognostic factors for mental retardation; (4) chromosome mapping of the distinctive clinical signs, in an effort to identify pathogenic genes. Clinically, we consider that minimal diagnostic criteria for WHS, defining a \"core\" phenotype, are typical facial appearance, mental retardation, growth delay and seizures (or EEG anomalies). Three different categories of the WHS phenotype were defined, generally correlating with the extent of the 4p deletion. The first one comprises a small deletion not exceeding 3.5 Mb, that is usually associated with a mild phenotype, lacking major malformations. This category is likely under-diagnosed. The second and by far the more frequent category is identified by large deletions, averaging between 5 and 18 Mb, and causes the widely recognizable WHS phenotype. The third clinical category results from a very large deletion exceeding 22-25 Mb causing a severe phenotype, that can hardly be defined as typical WHS. Genetically, de novo chromosome abnormalities in WHS include pure deletions but also complex rearrangements, mainly unbalanced translocations. With the exception of t(4p;8p), WHS-associated chromosome abnormalities are neither mediated by segmental duplications, nor associated with a parental inversion polymorphism on 4p16.3. Factors involved in prediction of prognosis include the extent of the deletion, the occurrence of complex chromosome anomalies, and the severity of seizures. We found that the core phenotype maps within the terminal 1.9 Mb region of chromosome 4p. Therefore, WHSCR-2 should be considered the critical region for this condition. We also confirmed that the pathogenesis of WHS is multigenic. Specific and independent chromosome regions were characterized for growth delay and seizures, as well as for the additional clinical signs that characterize this condition. With the exception of parental balanced translocations, familial recurrence is uncommon.","author":[{"dropping-particle":"","family":"Zollino","given":"Marcella","non-dropping-particle":"","parse-names":false,"suffix":""},{"dropping-particle":"","family":"Murdolo","given":"Marina","non-dropping-particle":"","parse-names":false,"suffix":""},{"dropping-particle":"","family":"Marangi","given":"Giuseppe","non-dropping-particle":"","parse-names":false,"suffix":""},{"dropping-particle":"","family":"Pecile","given":"Vanna","non-dropping-particle":"","parse-names":false,"suffix":""},{"dropping-particle":"","family":"Galasso","given":"Cinzia","non-dropping-particle":"","parse-names":false,"suffix":""},{"dropping-particle":"","family":"Mazzanti","given":"Laura","non-dropping-particle":"","parse-names":false,"suffix":""},{"dropping-particle":"","family":"Neri","given":"Giovanni","non-dropping-particle":"","parse-names":false,"suffix":""}],"container-title":"American journal of medical genetics. Part C, Seminars in medical genetics","id":"ITEM-5","issue":"4","issued":{"date-parts":[["2008","11"]]},"page":"257-269","title":"On the nosology and pathogenesis of Wolf-Hirschhorn syndrome: Genotype-phenotype correlation analysis of 80 patients and literature review","type":"article-journal","volume":"148C"},"uris":["http://www.mendeley.com/documents/?uuid=70e28f91-bd88-443c-a4a0-868c7479c7f1"]},{"id":"ITEM-6","itemData":{"author":[{"dropping-particle":"","family":"Centerwall","given":"W.","non-dropping-particle":"","parse-names":false,"suffix":""},{"dropping-particle":"","family":"Thompson","given":"W.","non-dropping-particle":"","parse-names":false,"suffix":""},{"dropping-particle":"","family":"Irving","given":"A.","non-dropping-particle":"","parse-names":false,"suffix":""},{"dropping-particle":"","family":"Fobes","given":"C.","non-dropping-particle":"","parse-names":false,"suffix":""}],"container-title":"American Journal of Disease of Children","id":"ITEM-6","issued":{"date-parts":[["1975"]]},"title":"Translocation 4p- Syndrome: A general review","type":"article-journal","volume":"129"},"uris":["http://www.mendeley.com/documents/?uuid=f0608f1e-822f-4a72-ae90-cdc64016ad0f"]},{"id":"ITEM-7","itemData":{"DOI":"10.1002/ajmg.a.36200","ISBN":"1552-4833 (Electronic)\\r1552-4825 (Linking)","ISSN":"15524825","PMID":"24243641","abstract":"We report on a 21-year old woman with intellectual disability, autistic features, severe obesity, and facial dysmorphisms suggestive of Wolf-Hirschhorn syndrome (WHS). Array-CGH analysis showed a 2.89 Mb deletion on chromosome 14q11.2 containing 47 known genes. The most interesting genes included in this deletion are CHD8, a chromodomain helicase DNA binding protein that is associated with autism spectrum disorders, and MMP14, a matrix metalloproteinase that has been linked to obesity and type 2 diabetes. This report shows that 14q11.2 microdeletions can mimic WHS and suggests that gene(s) in the deleted interval that may be responsible for a phenocopy of WHS.","author":[{"dropping-particle":"","family":"Terrone","given":"Gaetano","non-dropping-particle":"","parse-names":false,"suffix":""},{"dropping-particle":"","family":"Cappuccio","given":"Gerarda","non-dropping-particle":"","parse-names":false,"suffix":""},{"dropping-particle":"","family":"Genesio","given":"Rita","non-dropping-particle":"","parse-names":false,"suffix":""},{"dropping-particle":"","family":"Esposito","given":"Annalisa","non-dropping-particle":"","parse-names":false,"suffix":""},{"dropping-particle":"","family":"Fiorentino","given":"Valeria","non-dropping-particle":"","parse-names":false,"suffix":""},{"dropping-particle":"","family":"Riccitelli","given":"Marina","non-dropping-particle":"","parse-names":false,"suffix":""},{"dropping-particle":"","family":"Nitsch","given":"Lucio","non-dropping-particle":"","parse-names":false,"suffix":""},{"dropping-particle":"","family":"Brunetti-Pierri","given":"Nicola","non-dropping-particle":"","parse-names":false,"suffix":""},{"dropping-particle":"","family":"Giudice","given":"Ennio","non-dropping-particle":"Del","parse-names":false,"suffix":""}],"container-title":"American Journal of Medical Genetics, Part A","id":"ITEM-7","issue":"1","issued":{"date-parts":[["2014"]]},"page":"190-193","title":"A case of 14q11.2 microdeletion with autistic features, severe obesity and facial dysmorphisms suggestive of Wolf-Hirschhorn syndrome","type":"article-journal","volume":"164"},"uris":["http://www.mendeley.com/documents/?uuid=36d60243-c6a7-4c90-bb10-12521ba6aac1"]},{"id":"ITEM-8","itemData":{"DOI":"10.1046/j.1365-2788.2002.00441.x","ISBN":"0964-2633 (Print)\\r0964-2633 (Linking)","ISSN":"09642633","PMID":"12354314","abstract":"BACKGROUND: Wolf-Hirschhorn syndrome (WHS) is a genetic condition characterized by many clinical disorders, learning difficulties, dysphagia, neuromotor deficits and communicative deficits. Up until now, no studies in the literature have described the development of communicative and functional abilities in subjects with WHS. METHOD: In the present study of 11 patients with WHS, a descriptive analysis was made of several abilities and three groups of patients were identified on the basis of the severity of their functional deficit. RESULTS: A non-homogeneous picture of impairment emerged in various areas of development. Overall, the neuromotor abilities of these patients were more adequate than their abilities related to autonomy in personal life, alimentary function, and cognitive and communicative-linguistic aspects. CONCLUSION: Based on the identification of specific patterns of communicative and functional impairment in subjects with WHS, rehabilitative intervention strategies can be planned to increase their communicative opportunities, and possibilities for active and autonomous participation in various life contexts (e.g. home, school and the social environment).","author":[{"dropping-particle":"","family":"Sabbadini","given":"M.","non-dropping-particle":"","parse-names":false,"suffix":""},{"dropping-particle":"","family":"Bombardi","given":"P.","non-dropping-particle":"","parse-names":false,"suffix":""},{"dropping-particle":"","family":"Carlesimo","given":"G. A.","non-dropping-particle":"","parse-names":false,"suffix":""},{"dropping-particle":"","family":"Rosato","given":"V.","non-dropping-particle":"","parse-names":false,"suffix":""},{"dropping-particle":"","family":"Pierro","given":"M. M.","non-dropping-particle":"","parse-names":false,"suffix":""}],"container-title":"Journal of Intellectual Disability Research","id":"ITEM-8","issue":"7","issued":{"date-parts":[["2002"]]},"page":"575-582","title":"Evaluation of communicative and functional abilities in Wolf-Hirshhorn syndrome","type":"article-journal","volume":"46"},"uris":["http://www.mendeley.com/documents/?uuid=0c03b625-5e35-44f5-8a79-47377293009e"]},{"id":"ITEM-9","itemData":{"DOI":"10.1002/ajmg.c.30279","ISBN":"1552-4868\\r1552-4876","ISSN":"15524868","PMID":"20981770","abstract":"Wolf-Hirschhorn syndrome (WHS) is a complex congenital malformation produced by a loss of genomic material at the locus 4p16.3. In addition to its dysmorphic features, the deletion produces a range of intellectual disability (ID). Many clinical aspects of WHS are well-characterized; however, the cognitive-behavioral characteristics have been rarely examined in a systematic fashion. The purpose of our study was to examine the cognitive-behavioral features of WHS and to compare them to children with other subtelomeric deletions that also produce ID. We recruited 45 children with subtelomeric deletions and examined their cognitive-behavioral abilities using a neuropsychological assessment battery composed of standardized instruments. Nineteen children were diagnosed with WHS and 26 children with one of three other subtelomeric deletions-11q25 (Jacobsen syndrome), deletion 2q37, and inversion duplication deletion 8p21-23. We found children with WHS to be more severely impacted cognitively than children from any of the other groups. Their overall adaptive behavior was lower as well. However, children with WHS exhibit strengths in socialization skills comparable to the levels attained by the other groups we assessed. Importantly, the proportion of children with WHS with autism or autistic-like features is significantly lower than the rates of autism found in the other subtelomeric disorders we examined.","author":[{"dropping-particle":"","family":"Fisch","given":"Gene S.","non-dropping-particle":"","parse-names":false,"suffix":""},{"dropping-particle":"","family":"Grossfeld","given":"Paul","non-dropping-particle":"","parse-names":false,"suffix":""},{"dropping-particle":"","family":"Falk","given":"Rena","non-dropping-particle":"","parse-names":false,"suffix":""},{"dropping-particle":"","family":"Battaglia","given":"Agatino","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Genetics","id":"ITEM-9","issue":"4","issued":{"date-parts":[["2010","11"]]},"page":"417-426","title":"Cognitive-behavioral features of Wolf-Hirschhorn syndrome and other subtelomeric microdeletions","type":"article-journal","volume":"154"},"uris":["http://www.mendeley.com/documents/?uuid=f815fb82-5e00-4368-91c4-ec6e9a68e668"]}],"mendeley":{"formattedCitation":"(Antonius et al., 2008; D. E. Austin, Gunn, &amp; Jefferies, 2015; Agatino Battaglia et al., 2015a; Centerwall, Thompson, Irving, &amp; Fobes, 1975; Gene S. Fisch et al., 2010; Sabbadini et al., 2002; Shannon et al., 2001; Terrone et al., 2014; Zollino et al., 2008)","manualFormatting":"(Antonius et al., 2008; Austin et al., 2015; Battaglia et al., 2015; Centerwall et al., 1975; Fisch et al., 2010; Sabbadini et al., 2002; Shannon et al., 2001; Terrone et al., 2014; Zollino et al., 2008)","plainTextFormattedCitation":"(Antonius et al., 2008; D. E. Austin, Gunn, &amp; Jefferies, 2015; Agatino Battaglia et al., 2015a; Centerwall, Thompson, Irving, &amp; Fobes, 1975; Gene S. Fisch et al., 2010; Sabbadini et al., 2002; Shannon et al., 2001; Terrone et al., 2014; Zollino et al., 2008)","previouslyFormattedCitation":"(Antonius et al., 2008; D. E. Austin, Gunn, &amp; Jefferies, 2015; Agatino Battaglia et al., 2015a; Centerwall, Thompson, Irving, &amp; Fobes, 1975; Gene S. Fisch et al., 2010; Sabbadini et al., 2002; Shannon et al., 2001; Terrone et al., 2014; Zollino et al., 2008)"},"properties":{"noteIndex":0},"schema":"https://github.com/citation-style-language/schema/raw/master/csl-citation.json"}</w:instrText>
      </w:r>
      <w:r w:rsidRPr="006A1EC7">
        <w:rPr>
          <w:noProof/>
          <w:color w:val="000000" w:themeColor="text1"/>
        </w:rPr>
        <w:fldChar w:fldCharType="separate"/>
      </w:r>
      <w:r w:rsidRPr="006A1EC7">
        <w:rPr>
          <w:noProof/>
          <w:color w:val="000000" w:themeColor="text1"/>
        </w:rPr>
        <w:t>(Antonius et al., 2008; Austin et al., 2015; Battaglia et al., 2015; Centerwall et al., 1975; Fisch et al., 2010; Sabbadini et al., 2002; Shannon et al., 2001; Terrone et al., 2014; Zollino et al., 2008)</w:t>
      </w:r>
      <w:r w:rsidRPr="006A1EC7">
        <w:rPr>
          <w:noProof/>
          <w:color w:val="000000" w:themeColor="text1"/>
        </w:rPr>
        <w:fldChar w:fldCharType="end"/>
      </w:r>
      <w:r w:rsidRPr="006A1EC7">
        <w:rPr>
          <w:noProof/>
          <w:color w:val="000000" w:themeColor="text1"/>
        </w:rPr>
        <w:t xml:space="preserve">. </w:t>
      </w:r>
      <w:r w:rsidRPr="006A1EC7">
        <w:rPr>
          <w:color w:val="000000" w:themeColor="text1"/>
        </w:rPr>
        <w:t xml:space="preserve">One cohort study found that the mean height of WHS children at age four was 4 to 4.5 standard deviations away from the mean of healthy controls </w:t>
      </w:r>
      <w:r w:rsidRPr="006A1EC7">
        <w:rPr>
          <w:color w:val="000000" w:themeColor="text1"/>
        </w:rPr>
        <w:fldChar w:fldCharType="begin" w:fldLock="1"/>
      </w:r>
      <w:r w:rsidRPr="006A1EC7">
        <w:rPr>
          <w:color w:val="000000" w:themeColor="text1"/>
        </w:rPr>
        <w:instrText>ADDIN CSL_CITATION {"citationItems":[{"id":"ITEM-1","itemData":{"DOI":"10.1007/s00431-007-0595-8","ISBN":"1432-1076","ISSN":"03406199","PMID":"17874131","abstract":"Wolf-Hirschhorn syndrome is characterized by severe growth and mental retardation, microcephaly, seizures and 'Greek helmet' facies, caused by partial deletion of the short arm of chromosome 4. Growth charts are given from 0-4 years of age, based on the study of 101 individuals. Use of these specific growth charts is recommended, because standard growth charts are inapplicable for patients with WHS.","author":[{"dropping-particle":"","family":"Antonius","given":"T.","non-dropping-particle":"","parse-names":false,"suffix":""},{"dropping-particle":"","family":"Draaisma","given":"J.","non-dropping-particle":"","parse-names":false,"suffix":""},{"dropping-particle":"","family":"Levtchenko","given":"E.","non-dropping-particle":"","parse-names":false,"suffix":""},{"dropping-particle":"","family":"Knoers","given":"N.","non-dropping-particle":"","parse-names":false,"suffix":""},{"dropping-particle":"","family":"Renier","given":"W.","non-dropping-particle":"","parse-names":false,"suffix":""},{"dropping-particle":"","family":"Ravenswaaij","given":"C.","non-dropping-particle":"Van","parse-names":false,"suffix":""}],"container-title":"European Journal of Pediatrics","id":"ITEM-1","issue":"7","issued":{"date-parts":[["2008"]]},"language":"English","note":"From Duplicate 2 (Growth charts for Wolf-Hirschhorn syndrome (0-4 years of age) - Antonius, T; Draaisma, J; Levtchenko, E; Knoers, N; Renier, W; Van Ravenswaaij, C)\n\nCited By :12\n\nExport Date: 5 January 2018\n\nCODEN: EJPED\n\nCorrespondence Address: Antonius, T.; Department of Paediatrics, Radboud University Medical Center Nijmegen, Geert Grooteplein 10, Nijmegen 6500 HB, Netherlands; email: t.antonius@cukz.umcn.nl","page":"807-810","publisher-place":"Department of Paediatrics, Radboud University Medical Center Nijmegen, Geert Grooteplein 10, Nijmegen 6500 HB, Netherlands","title":"Growth charts for Wolf-Hirschhorn syndrome (0-4 years of age)","type":"article-journal","volume":"167"},"uris":["http://www.mendeley.com/documents/?uuid=39e6f6c8-790f-41a1-b3a8-fe1faef0a948"]}],"mendeley":{"formattedCitation":"(Antonius et al., 2008)","plainTextFormattedCitation":"(Antonius et al., 2008)","previouslyFormattedCitation":"(Antonius et al., 2008)"},"properties":{"noteIndex":0},"schema":"https://github.com/citation-style-language/schema/raw/master/csl-citation.json"}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(Antonius et al., 2008)</w:t>
      </w:r>
      <w:r w:rsidRPr="006A1EC7">
        <w:rPr>
          <w:color w:val="000000" w:themeColor="text1"/>
        </w:rPr>
        <w:fldChar w:fldCharType="end"/>
      </w:r>
      <w:r w:rsidRPr="006A1EC7">
        <w:rPr>
          <w:color w:val="000000" w:themeColor="text1"/>
        </w:rPr>
        <w:t>; which indicates a pronounced growth delay. This study however may be biased as children with varying deletion sizes were included and there is no record of the actual sizes of deletion sites. It is possible that disproportionately more children with greater deletion sizes were included, to achieve such a marked difference in height as deletion size is thought to impact the severity of WHS in patients, with reduced size and weight being two symptoms. Furthermore, it is not clear whether the poor growth, as recorded in this study, is the result of the condition itself or other additional factors, such as poor feeding or gastrointestinal issues</w:t>
      </w:r>
      <w:r w:rsidRPr="006A1EC7">
        <w:t xml:space="preserve">. </w:t>
      </w:r>
      <w:r w:rsidRPr="006A1EC7">
        <w:rPr>
          <w:color w:val="000000" w:themeColor="text1"/>
        </w:rPr>
        <w:t>(e.g. Battaglia et al</w:t>
      </w:r>
      <w:r w:rsidR="00A40374" w:rsidRPr="006A1EC7">
        <w:rPr>
          <w:color w:val="000000" w:themeColor="text1"/>
        </w:rPr>
        <w:t>.,</w:t>
      </w:r>
      <w:r w:rsidRPr="006A1EC7">
        <w:rPr>
          <w:color w:val="000000" w:themeColor="text1"/>
        </w:rPr>
        <w:t xml:space="preserve"> 2015), additional genetic factors, associated disease or repeated infections </w:t>
      </w:r>
      <w:r w:rsidRPr="006A1EC7">
        <w:rPr>
          <w:color w:val="000000" w:themeColor="text1"/>
        </w:rPr>
        <w:fldChar w:fldCharType="begin" w:fldLock="1"/>
      </w:r>
      <w:r w:rsidRPr="006A1EC7">
        <w:rPr>
          <w:color w:val="000000" w:themeColor="text1"/>
        </w:rPr>
        <w:instrText>ADDIN CSL_CITATION {"citationItems":[{"id":"ITEM-1","itemData":{"DOI":"10.1016/S0022-3476(98)70194-5","ISSN":"00223476","abstract":"We identified antibody deficiencies in 9 of 13 infection-prone children with the Wolf-Hirschhorn syndrome (4p-monosomy). Eight of the immunodeficient children were identified by a questionnaire sent to 190 families with an affected child. Two of the children had common variable immunodeficiency, one had IgA and IgG2 subclass deficiency, three had IgA deficiency, and three had impaired polysaccharide responsiveness. T-cell immunity was normal. The association of antibody defects with Wolf-Hirschhorn syndrome suggests a regulatory gene within the deleted chromosome region that affects the B cell system. (J Pediatr 1998;133:141-3)","author":[{"dropping-particle":"","family":"Hanley-Lopez","given":"Jean","non-dropping-particle":"","parse-names":false,"suffix":""},{"dropping-particle":"","family":"Estabrooks","given":"Laurel L.","non-dropping-particle":"","parse-names":false,"suffix":""},{"dropping-particle":"","family":"Stiehm","given":"E.Richard R","non-dropping-particle":"","parse-names":false,"suffix":""}],"container-title":"Journal of Pediatrics","id":"ITEM-1","issue":"1","issued":{"date-parts":[["1998"]]},"language":"English","note":"From Duplicate 2 (Antibody deficiency in Wolf-Hirschhorn syndrome - Hanley-Lopez, J; Estabrooks, L L; Stiehm, E R)\n\nCited By :37\n\nExport Date: 5 January 2018\n\nCODEN: JOPDA\n\nCorrespondence Address: Stiehm, E.R.; UCLA Children's Hospital, 10833 Le Conte Ave., Los Angeles, CA 90095-1752, United States","page":"141-143","publisher":"Mosby Inc.","publisher-place":"UCLA Children's Hospital, 10833 Le Conte Ave., Los Angeles, CA 90095-1752, United States","title":"Antibody deficiency in Wolf-Hirschhorn syndrome","type":"article-journal","volume":"133"},"uris":["http://www.mendeley.com/documents/?uuid=8a8e21ad-987e-4416-a2ba-e90a62fdea79"]}],"mendeley":{"formattedCitation":"(Jean Hanley-Lopez, Estabrooks, &amp; Stiehm, 1998)","manualFormatting":"(Hanley-Lopez, Estabrooks, &amp; Stiehm, 1998)","plainTextFormattedCitation":"(Jean Hanley-Lopez, Estabrooks, &amp; Stiehm, 1998)","previouslyFormattedCitation":"(Jean Hanley-Lopez, Estabrooks, &amp; Stiehm, 1998)"},"properties":{"noteIndex":0},"schema":"https://github.com/citation-style-language/schema/raw/master/csl-citation.json"}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(Hanley-Lopez, Estabrooks, &amp; Stiehm, 1998)</w:t>
      </w:r>
      <w:r w:rsidRPr="006A1EC7">
        <w:rPr>
          <w:color w:val="000000" w:themeColor="text1"/>
        </w:rPr>
        <w:fldChar w:fldCharType="end"/>
      </w:r>
      <w:r w:rsidRPr="006A1EC7">
        <w:rPr>
          <w:color w:val="000000" w:themeColor="text1"/>
        </w:rPr>
        <w:t xml:space="preserve">, which are other commonly reported problems in WHS affecting growth </w:t>
      </w:r>
      <w:r w:rsidRPr="006A1EC7">
        <w:rPr>
          <w:color w:val="000000" w:themeColor="text1"/>
        </w:rPr>
        <w:fldChar w:fldCharType="begin" w:fldLock="1"/>
      </w:r>
      <w:r w:rsidRPr="006A1EC7">
        <w:rPr>
          <w:color w:val="000000" w:themeColor="text1"/>
        </w:rPr>
        <w:instrText>ADDIN CSL_CITATION {"citationItems":[{"id":"ITEM-1","itemData":{"DOI":"10.1590/S1415-47572007000300007","ISBN":"1415-4757","ISSN":"14154757","author":[{"dropping-particle":"","family":"Mazzeu","given":"Juliana F.","non-dropping-particle":"","parse-names":false,"suffix":""},{"dropping-particle":"","family":"Krepischi-Santos","given":"Ana Cristina","non-dropping-particle":"","parse-names":false,"suffix":""},{"dropping-particle":"","family":"Rosenberg","given":"Carla","non-dropping-particle":"","parse-names":false,"suffix":""},{"dropping-particle":"","family":"Lourenço","given":"Charles M.","non-dropping-particle":"","parse-names":false,"suffix":""},{"dropping-particle":"","family":"Lezirovitz","given":"Karina","non-dropping-particle":"","parse-names":false,"suffix":""},{"dropping-particle":"","family":"Szuhai","given":"Karoly","non-dropping-particle":"","parse-names":false,"suffix":""},{"dropping-particle":"","family":"Martelli","given":"Lúcia R.","non-dropping-particle":"","parse-names":false,"suffix":""},{"dropping-particle":"","family":"Vianna-Morgante","given":"Angela M.","non-dropping-particle":"","parse-names":false,"suffix":""}],"container-title":"Genetics and Molecular Biology","id":"ITEM-1","issue":"2","issued":{"date-parts":[["2007"]]},"language":"English","note":"From Duplicate 2 (Widening the clinical spectrum of Pitt-Rogers-Danks/Wolf-Hirschhorn syndromes - Mazzeu, J F; Krepischi-Santos, A C; Rosenberg, C; Lourenço, C M; Lezirovitz, K; Szuhai, K; Martelli, L R; Vianna-Morgante, A M)\n\nCited By :1\n\nExport Date: 5 January 2018\n\nCODEN: GMBIF\n\nCorrespondence Address: Vianna-Morgante, A.M.; Departamento de Genética e Biologia Evolutiva, Instituto de Biociências, Universidade de São Paulo, Caixa Postal 11461, 05422-970 São Paulo, SP, Brazil; email: avmorgan@ib.usp.br","page":"339-342","publisher-place":"Departamento de Genética e Biologia Evolutiva, Instituto de Biociências, Universidade de São Paulo, Caixa Postal 11461, 05422-970 São Paulo, SP, Brazil","title":"Widening the clinical spectrum of Pitt-Rogers-Danks/Wolf-Hirschhorn syndromes","type":"article-journal","volume":"30"},"uris":["http://www.mendeley.com/documents/?uuid=b89b1ceb-fe42-49be-8111-6863522e690a"]},{"id":"ITEM-2","itemData":{"DOI":"10.1002/ajmg.c.31449","ISBN":"0000000000000","ISSN":"15524876","PMID":"26239400","abstract":"Since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Genetics","id":"ITEM-2","issue":"3","issued":{"date-parts":[["2015","9"]]},"language":"English","note":"From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update","type":"article-journal","volume":"169"},"uris":["http://www.mendeley.com/documents/?uuid=24c81fdd-ba44-4a54-bde3-6fe1c64d9570"]},{"id":"ITEM-3","itemData":{"DOI":"10.1136/jmg.38.10.674","ISBN":"1468-6244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genetics","id":"ITEM-3","issue":"10","issued":{"date-parts":[["2001","10"]]},"language":"English","note":"From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mortality.","type":"article-journal","volume":"38"},"uris":["http://www.mendeley.com/documents/?uuid=01ece509-b613-40ab-ac37-fa4a5c49d71d"]}],"mendeley":{"formattedCitation":"(Agatino Battaglia et al., 2015a; Mazzeu et al., 2007; Shannon et al., 2001)","manualFormatting":"(Battaglia et al., 2015; Mazzeu et al., 2007; Shannon et al., 2001)","plainTextFormattedCitation":"(Agatino Battaglia et al., 2015a; Mazzeu et al., 2007; Shannon et al., 2001)","previouslyFormattedCitation":"(Agatino Battaglia et al., 2015a; Mazzeu et al., 2007; Shannon et al., 2001)"},"properties":{"noteIndex":0},"schema":"https://github.com/citation-style-language/schema/raw/master/csl-citation.json"}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(Battaglia et al., 2015; Mazzeu et al., 2007; Shannon et al., 2001)</w:t>
      </w:r>
      <w:r w:rsidRPr="006A1EC7">
        <w:rPr>
          <w:color w:val="000000" w:themeColor="text1"/>
        </w:rPr>
        <w:fldChar w:fldCharType="end"/>
      </w:r>
      <w:r w:rsidRPr="006A1EC7">
        <w:rPr>
          <w:color w:val="000000" w:themeColor="text1"/>
        </w:rPr>
        <w:t xml:space="preserve">. These possibilities are not considered in the publication and neither are its limitations, thus the research must be regarded as correlational, rather than causal. </w:t>
      </w:r>
    </w:p>
    <w:p w14:paraId="105A0268" w14:textId="77777777" w:rsidR="00065496" w:rsidRPr="006A1EC7" w:rsidRDefault="00065496" w:rsidP="00A40374">
      <w:pPr>
        <w:spacing w:line="360" w:lineRule="auto"/>
        <w:rPr>
          <w:color w:val="000000" w:themeColor="text1"/>
        </w:rPr>
      </w:pPr>
    </w:p>
    <w:p w14:paraId="681B13BD" w14:textId="77777777" w:rsidR="00065496" w:rsidRPr="006A1EC7" w:rsidRDefault="00065496" w:rsidP="00A40374">
      <w:pPr>
        <w:pStyle w:val="Heading4"/>
        <w:spacing w:line="360" w:lineRule="auto"/>
        <w:rPr>
          <w:rFonts w:ascii="Times New Roman" w:hAnsi="Times New Roman" w:cs="Times New Roman"/>
        </w:rPr>
      </w:pPr>
      <w:r w:rsidRPr="006A1EC7">
        <w:rPr>
          <w:rFonts w:ascii="Times New Roman" w:hAnsi="Times New Roman" w:cs="Times New Roman"/>
        </w:rPr>
        <w:lastRenderedPageBreak/>
        <w:t>Developmental delay (learning disability, language)</w:t>
      </w:r>
    </w:p>
    <w:p w14:paraId="71D13032" w14:textId="62B98130" w:rsidR="00065496" w:rsidRPr="006A1EC7" w:rsidRDefault="00065496" w:rsidP="00A40374">
      <w:pPr>
        <w:spacing w:line="360" w:lineRule="auto"/>
        <w:ind w:firstLine="720"/>
        <w:rPr>
          <w:color w:val="000000" w:themeColor="text1"/>
        </w:rPr>
      </w:pPr>
      <w:r w:rsidRPr="006A1EC7">
        <w:rPr>
          <w:color w:val="000000" w:themeColor="text1"/>
        </w:rPr>
        <w:t xml:space="preserve">Global developmental delay, learning disability </w:t>
      </w:r>
      <w:r w:rsidRPr="006A1EC7">
        <w:rPr>
          <w:color w:val="000000" w:themeColor="text1"/>
        </w:rPr>
        <w:fldChar w:fldCharType="begin" w:fldLock="1"/>
      </w:r>
      <w:r w:rsidRPr="006A1EC7">
        <w:rPr>
          <w:color w:val="000000" w:themeColor="text1"/>
        </w:rPr>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update","type":"article-journal","volume":"169"},"uris":["http://www.mendeley.com/documents/?uuid=24c81fdd-ba44-4a54-bde3-6fe1c64d9570"]},{"id":"ITEM-2","itemData":{"DOI":"10.1002/ajmg.a.36200","ISBN":"1552-4833 (Electronic)\\r1552-4825 (Linking)","ISSN":"15524825","PMID":"24243641","abstract":"We report on a 21-year old woman with intellectual disability, autistic features, severe obesity, and facial dysmorphisms suggestive of Wolf-Hirschhorn syndrome (WHS). Array-CGH analysis showed a 2.89 Mb deletion on chromosome 14q11.2 containing 47 known genes. The most interesting genes included in this deletion are CHD8, a chromodomain helicase DNA binding protein that is associated with autism spectrum disorders, and MMP14, a matrix metalloproteinase that has been linked to obesity and type 2 diabetes. This report shows that 14q11.2 microdeletions can mimic WHS and suggests that gene(s) in the deleted interval that may be responsible for a phenocopy of WHS.","author":[{"dropping-particle":"","family":"Terrone","given":"Gaetano","non-dropping-particle":"","parse-names":false,"suffix":""},{"dropping-particle":"","family":"Cappuccio","given":"Gerarda","non-dropping-particle":"","parse-names":false,"suffix":""},{"dropping-particle":"","family":"Genesio","given":"Rita","non-dropping-particle":"","parse-names":false,"suffix":""},{"dropping-particle":"","family":"Esposito","given":"Annalisa","non-dropping-particle":"","parse-names":false,"suffix":""},{"dropping-particle":"","family":"Fiorentino","given":"Valeria","non-dropping-particle":"","parse-names":false,"suffix":""},{"dropping-particle":"","family":"Riccitelli","given":"Marina","non-dropping-particle":"","parse-names":false,"suffix":""},{"dropping-particle":"","family":"Nitsch","given":"Lucio","non-dropping-particle":"","parse-names":false,"suffix":""},{"dropping-particle":"","family":"Brunetti-Pierri","given":"Nicola","non-dropping-particle":"","parse-names":false,"suffix":""},{"dropping-particle":"","family":"Giudice","given":"Ennio","non-dropping-particle":"Del","parse-names":false,"suffix":""}],"container-title":"American Journal of Medical Genetics, Part A","id":"ITEM-2","issue":"1","issued":{"date-parts":[["2014"]]},"page":"190-193","title":"A case of 14q11.2 microdeletion with autistic features, severe obesity and facial dysmorphisms suggestive of Wolf-Hirschhorn syndrome","type":"article-journal","volume":"164"},"uris":["http://www.mendeley.com/documents/?uuid=36d60243-c6a7-4c90-bb10-12521ba6aac1"]}],"mendeley":{"formattedCitation":"(Agatino Battaglia et al., 2015a; Terrone et al., 2014)","manualFormatting":"(Battaglia et al., 2015; Terrone et al., 2014)","plainTextFormattedCitation":"(Agatino Battaglia et al., 2015a; Terrone et al., 2014)","previouslyFormattedCitation":"(Agatino Battaglia et al., 2015a; Terrone et al., 2014)"},"properties":{"noteIndex":0},"schema":"https://github.com/citation-style-language/schema/raw/master/csl-citation.json"}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(Battaglia et al., 2015; Terrone et al., 2014)</w:t>
      </w:r>
      <w:r w:rsidRPr="006A1EC7">
        <w:rPr>
          <w:color w:val="000000" w:themeColor="text1"/>
        </w:rPr>
        <w:fldChar w:fldCharType="end"/>
      </w:r>
      <w:r w:rsidRPr="006A1EC7">
        <w:rPr>
          <w:color w:val="000000" w:themeColor="text1"/>
        </w:rPr>
        <w:t xml:space="preserve"> and speech impairments are further features of WHS. To date, there have only been a handful of studies assessing the cognitive-behavioural features of the disorder in detail </w:t>
      </w:r>
      <w:r w:rsidRPr="006A1EC7">
        <w:rPr>
          <w:color w:val="000000" w:themeColor="text1"/>
        </w:rPr>
        <w:fldChar w:fldCharType="begin" w:fldLock="1"/>
      </w:r>
      <w:r w:rsidRPr="006A1EC7">
        <w:rPr>
          <w:color w:val="000000" w:themeColor="text1"/>
        </w:rPr>
        <w:instrText>ADDIN CSL_CITATION {"citationItems":[{"id":"ITEM-1","itemData":{"DOI":"10.1046/j.1365-2788.2002.00441.x","ISBN":"0964-2633 (Print)\\r0964-2633 (Linking)","ISSN":"09642633","PMID":"12354314","abstract":"BACKGROUND: Wolf-Hirschhorn syndrome (WHS) is a genetic condition characterized by many clinical disorders, learning difficulties, dysphagia, neuromotor deficits and communicative deficits. Up until now, no studies in the literature have described the development of communicative and functional abilities in subjects with WHS. METHOD: In the present study of 11 patients with WHS, a descriptive analysis was made of several abilities and three groups of patients were identified on the basis of the severity of their functional deficit. RESULTS: A non-homogeneous picture of impairment emerged in various areas of development. Overall, the neuromotor abilities of these patients were more adequate than their abilities related to autonomy in personal life, alimentary function, and cognitive and communicative-linguistic aspects. CONCLUSION: Based on the identification of specific patterns of communicative and functional impairment in subjects with WHS, rehabilitative intervention strategies can be planned to increase their communicative opportunities, and possibilities for active and autonomous participation in various life contexts (e.g. home, school and the social environment).","author":[{"dropping-particle":"","family":"Sabbadini","given":"M.","non-dropping-particle":"","parse-names":false,"suffix":""},{"dropping-particle":"","family":"Bombardi","given":"P.","non-dropping-particle":"","parse-names":false,"suffix":""},{"dropping-particle":"","family":"Carlesimo","given":"G. A.","non-dropping-particle":"","parse-names":false,"suffix":""},{"dropping-particle":"","family":"Rosato","given":"V.","non-dropping-particle":"","parse-names":false,"suffix":""},{"dropping-particle":"","family":"Pierro","given":"M. M.","non-dropping-particle":"","parse-names":false,"suffix":""}],"container-title":"Journal of Intellectual Disability Research","id":"ITEM-1","issue":"7","issued":{"date-parts":[["2002"]]},"page":"575-582","title":"Evaluation of communicative and functional abilities in Wolf-Hirshhorn syndrome","type":"article-journal","volume":"46"},"uris":["http://www.mendeley.com/documents/?uuid=0c03b625-5e35-44f5-8a79-47377293009e"]},{"id":"ITEM-2","itemData":{"DOI":"10.1002/ajmg.c.30279","ISBN":"1552-4868\\r1552-4876","ISSN":"15524868","PMID":"20981770","abstract":"Wolf-Hirschhorn syndrome (WHS) is a complex congenital malformation produced by a loss of genomic material at the locus 4p16.3. In addition to its dysmorphic features, the deletion produces a range of intellectual disability (ID). Many clinical aspects of WHS are well-characterized; however, the cognitive-behavioral characteristics have been rarely examined in a systematic fashion. The purpose of our study was to examine the cognitive-behavioral features of WHS and to compare them to children with other subtelomeric deletions that also produce ID. We recruited 45 children with subtelomeric deletions and examined their cognitive-behavioral abilities using a neuropsychological assessment battery composed of standardized instruments. Nineteen children were diagnosed with WHS and 26 children with one of three other subtelomeric deletions-11q25 (Jacobsen syndrome), deletion 2q37, and inversion duplication deletion 8p21-23. We found children with WHS to be more severely impacted cognitively than children from any of the other groups. Their overall adaptive behavior was lower as well. However, children with WHS exhibit strengths in socialization skills comparable to the levels attained by the other groups we assessed. Importantly, the proportion of children with WHS with autism or autistic-like features is significantly lower than the rates of autism found in the other subtelomeric disorders we examined.","author":[{"dropping-particle":"","family":"Fisch","given":"Gene S.","non-dropping-particle":"","parse-names":false,"suffix":""},{"dropping-particle":"","family":"Grossfeld","given":"Paul","non-dropping-particle":"","parse-names":false,"suffix":""},{"dropping-particle":"","family":"Falk","given":"Rena","non-dropping-particle":"","parse-names":false,"suffix":""},{"dropping-particle":"","family":"Battaglia","given":"Agatino","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Genetics","id":"ITEM-2","issue":"4","issued":{"date-parts":[["2010","11"]]},"page":"417-426","title":"Cognitive-behavioral features of Wolf-Hirschhorn syndrome and other subtelomeric microdeletions","type":"article-journal","volume":"154"},"uris":["http://www.mendeley.com/documents/?uuid=f815fb82-5e00-4368-91c4-ec6e9a68e668"]},{"id":"ITEM-3","itemData":{"DOI":"10.1352/1944-7558-117.2.167","ISSN":"19447515","PMID":"22515830","abstract":"Few studies exist of developmental trajectories in children with intellectual disability, and none for those with subtelomeric deletions. We compared developmental trajectories of children with Wolf-Hirschhorn syndrome to other genetic disorders. We recruited 106 children diagnosed with fragile X, Williams-Beuren syndrome, or Wolf-Hirschhorn syndrome, assessing their intellectual and adaptive behavior abilities. We retested 61 children 2 years later. We compared Time 1 and Time 2 difference scores related to genetic disorder, age, initial IQ, or adaptive behavior composite. Results show genetic disorder and initial IQ score were significant factors for IQ differences, but only genetic disorder affected adaptive behavior differences. Results suggest different gene-brain-behavior pathways likely exist for these genetic disorders. Different developmental trajectories will influence the type and intensity of intervention implemented by caregivers.","author":[{"dropping-particle":"","family":"Fisch","given":"Gene S.","non-dropping-particle":"","parse-names":false,"suffix":""},{"dropping-particle":"","family":"Carpenter","given":"Nancy","non-dropping-particle":"","parse-names":false,"suffix":""},{"dropping-particle":"","family":"Howard-Peebles","given":"Patricia N.","non-dropping-particle":"","parse-names":false,"suffix":""},{"dropping-particle":"","family":"Holden","given":"Jeanette J A","non-dropping-particle":"","parse-names":false,"suffix":""},{"dropping-particle":"","family":"Tarleton","given":"Jack","non-dropping-particle":"","parse-names":false,"suffix":""},{"dropping-particle":"","family":"Simensen","given":"Richard","non-dropping-particle":"","parse-names":false,"suffix":""},{"dropping-particle":"","family":"Battaglia","given":"Agatino","non-dropping-particle":"","parse-names":false,"suffix":""}],"collection-title":"American Journal of Mental Deficiency, American Journal on Mental Retardation","container-title":"American Journal on Intellectual and Developmental Disabilities","editor":[{"dropping-particle":"","family":"Axelrad  Battaglia  Borghgraef, Carr, Dykens, Dykens, Fisch, Fisch, Fisch, Fisch, Fisch, Fisch, Fisch, Gosch, Gothelf, Hagerman, Hall, Hyman, Lachiewicz, Maas, McGill, Mervis, Mervis, Morris, Roberts, Rooms, Skinner, South, South, South, Udwin,, Baileyy","given":"Battaglia","non-dropping-particle":"","parse-names":false,"suffix":""}],"id":"ITEM-3","issue":"2","issued":{"date-parts":[["2012","3"]]},"page":"167-179","publisher":"American Association on Intellectual and Developmental Disabilities","publisher-place":"Fisch, Gene S.: New York University, Epidemiology and Health Promotion, 250 Park Avenue South, 6th Floor, New York, NY, US, 10003, gene.fisch@nyu.edu","title":"Developmental trajectories in syndromes with intellectual disability, with a focus on wolf-hirschhorn and its cognitive-behavioral profile","type":"article-journal","volume":"117"},"uris":["http://www.mendeley.com/documents/?uuid=150d6988-0592-4309-99bb-d5e735bf22eb"]},{"id":"ITEM-4","itemData":{"DOI":"10.1002/ajmg.c.30185","ISSN":"1552-4876","PMID":"18932225","abstract":"As a subset of genetic abnormalities, subtelomeric deletions have been found in 7-10% of individuals with mental retardation (MR). One subtelomeric deletion, Wolf-Hirschhorn syndrome (WHS), causes mild to severe MR, but the cognitive-behavioral features of individuals with WHS have not been studied systematically. To that end, we administered a comprehensive cognitive-behavioral battery to 12 children with WHS, ages 4-17 years, who also had some expressive language. Using the Stanford-Binet (4th Edition), we found cognitive deficits ranged from mild to severe, with mean IQ = 44.1. Interviewing parents with the Vineland Adaptive Behavior Scales, we found mean adaptive behavior score (DQ) = 37.3, with females exhibiting slightly higher scores than males. Cognitive profiles indicated relative strengths in Verbal and Quantitative Reasoning. Adaptive behavior profiles noted significant relative strengths in the Socialization Domain. These cognitive-behavioral profiles differed from children with other subtelomeric deletion syndromes, 2q37 or 8p23. Attention deficits and hyperactivity (ADHD) were observed in 7/12 (58%) of the children we tested. One child attained a score on the Child Autism Rating Scale (CARS) suggestive of mild autism. We conclude that different genetic disorders, which cause MR, produce diverse cognitive-behavioral profiles. Consequently, cognitive-behavioral profiles of children with MR need to be assessed more comprehensively.","author":[{"dropping-particle":"","family":"Fisch","given":"Gene S","non-dropping-particle":"","parse-names":false,"suffix":""},{"dropping-particle":"","family":"Battaglia","given":"Agatino","non-dropping-particle":"","parse-names":false,"suffix":""},{"dropping-particle":"","family":"Parrini","given":"Barbara","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genetics","id":"ITEM-4","issue":"4","issued":{"date-parts":[["2008","11","15"]]},"page":"252-6","title":"Cognitive-behavioral features of children with Wolf-Hirschhorn syndrome: preliminary report of 12 cases.","type":"article-journal","volume":"148C"},"uris":["http://www.mendeley.com/documents/?uuid=b0177e36-efa1-301e-ae10-dedd8fb3b2a4"]},{"id":"ITEM-5","itemData":{"DOI":"10.1016/j.ejmg.2017.08.013","abstract":"The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genetics","id":"ITEM-5","issue":"11","issued":{"date-parts":[["2017","11"]]},"page":"610-617","title":"A structured assessment of motor function, behavior, and communication in patients with Wolf-Hirschhorn syndrome.","type":"article-journal","volume":"60"},"uris":["http://www.mendeley.com/documents/?uuid=290aecbf-c91b-4edf-a7e4-bf884192a1cc"]}],"mendeley":{"formattedCitation":"(Gene S. Fisch et al., 2012, 2010; Gene S Fisch, Battaglia, Parrini, Youngblom, &amp; Simensen, 2008; Nag, Bergsaker, Hunn, Schmidt, &amp; Hoxmark, 2017; Sabbadini et al., 2002)","manualFormatting":"(Fisch et al., 2012, 2010; Fisch, Battaglia, Parrini, Youngblom, &amp; Simensen, 2008; Nag, Bergsaker, Hunn, Schmidt, &amp; Hoxmark, 2017; Sabbadini et al., 2002)","plainTextFormattedCitation":"(Gene S. Fisch et al., 2012, 2010; Gene S Fisch, Battaglia, Parrini, Youngblom, &amp; Simensen, 2008; Nag, Bergsaker, Hunn, Schmidt, &amp; Hoxmark, 2017; Sabbadini et al., 2002)","previouslyFormattedCitation":"(Gene S. Fisch et al., 2012, 2010; Gene S Fisch, Battaglia, Parrini, Youngblom, &amp; Simensen, 2008; Nag, Bergsaker, Hunn, Schmidt, &amp; Hoxmark, 2017; Sabbadini et al., 2002)"},"properties":{"noteIndex":0},"schema":"https://github.com/citation-style-language/schema/raw/master/csl-citation.json"}</w:instrText>
      </w:r>
      <w:r w:rsidRPr="006A1EC7">
        <w:rPr>
          <w:color w:val="000000" w:themeColor="text1"/>
        </w:rPr>
        <w:fldChar w:fldCharType="separate"/>
      </w:r>
      <w:r w:rsidRPr="006A1EC7">
        <w:rPr>
          <w:noProof/>
          <w:color w:val="000000" w:themeColor="text1"/>
          <w:lang w:val="it-IT"/>
        </w:rPr>
        <w:t>(Fisch et al., 2012, 2010; Fisch, Battaglia, Parrini, Youngblom, &amp; Simensen, 2008; Nag, Bergsaker, Hunn, Schmidt, &amp; Hoxmark, 2017; Sabbadini et al., 2002)</w:t>
      </w:r>
      <w:r w:rsidRPr="006A1EC7">
        <w:rPr>
          <w:color w:val="000000" w:themeColor="text1"/>
        </w:rPr>
        <w:fldChar w:fldCharType="end"/>
      </w:r>
      <w:r w:rsidRPr="006A1EC7">
        <w:rPr>
          <w:color w:val="000000" w:themeColor="text1"/>
          <w:lang w:val="it-IT"/>
        </w:rPr>
        <w:t xml:space="preserve">. </w:t>
      </w:r>
      <w:r w:rsidRPr="006A1EC7">
        <w:rPr>
          <w:color w:val="000000" w:themeColor="text1"/>
        </w:rPr>
        <w:t xml:space="preserve">One 2002 study revealed that all of their eleven WHS participants presented with learning disabilities, which were often further exacerbated by both behavioural and attention disorders </w:t>
      </w:r>
      <w:r w:rsidRPr="006A1EC7">
        <w:rPr>
          <w:color w:val="000000" w:themeColor="text1"/>
        </w:rPr>
        <w:fldChar w:fldCharType="begin" w:fldLock="1"/>
      </w:r>
      <w:r w:rsidRPr="006A1EC7">
        <w:rPr>
          <w:color w:val="000000" w:themeColor="text1"/>
        </w:rPr>
        <w:instrText>ADDIN CSL_CITATION {"citationItems":[{"id":"ITEM-1","itemData":{"DOI":"10.1046/j.1365-2788.2002.00441.x","ISBN":"0964-2633 (Print)\\r0964-2633 (Linking)","ISSN":"09642633","PMID":"12354314","abstract":"BACKGROUND: Wolf-Hirschhorn syndrome (WHS) is a genetic condition characterized by many clinical disorders, learning difficulties, dysphagia, neuromotor deficits and communicative deficits. Up until now, no studies in the literature have described the development of communicative and functional abilities in subjects with WHS. METHOD: In the present study of 11 patients with WHS, a descriptive analysis was made of several abilities and three groups of patients were identified on the basis of the severity of their functional deficit. RESULTS: A non-homogeneous picture of impairment emerged in various areas of development. Overall, the neuromotor abilities of these patients were more adequate than their abilities related to autonomy in personal life, alimentary function, and cognitive and communicative-linguistic aspects. CONCLUSION: Based on the identification of specific patterns of communicative and functional impairment in subjects with WHS, rehabilitative intervention strategies can be planned to increase their communicative opportunities, and possibilities for active and autonomous participation in various life contexts (e.g. home, school and the social environment).","author":[{"dropping-particle":"","family":"Sabbadini","given":"M.","non-dropping-particle":"","parse-names":false,"suffix":""},{"dropping-particle":"","family":"Bombardi","given":"P.","non-dropping-particle":"","parse-names":false,"suffix":""},{"dropping-particle":"","family":"Carlesimo","given":"G. A.","non-dropping-particle":"","parse-names":false,"suffix":""},{"dropping-particle":"","family":"Rosato","given":"V.","non-dropping-particle":"","parse-names":false,"suffix":""},{"dropping-particle":"","family":"Pierro","given":"M. M.","non-dropping-particle":"","parse-names":false,"suffix":""}],"container-title":"Journal of Intellectual Disability Research","id":"ITEM-1","issue":"7","issued":{"date-parts":[["2002"]]},"page":"575-582","title":"Evaluation of communicative and functional abilities in Wolf-Hirshhorn syndrome","type":"article-journal","volume":"46"},"uris":["http://www.mendeley.com/documents/?uuid=0c03b625-5e35-44f5-8a79-47377293009e"]}],"mendeley":{"formattedCitation":"(Sabbadini et al., 2002)","plainTextFormattedCitation":"(Sabbadini et al., 2002)","previouslyFormattedCitation":"(Sabbadini et al., 2002)"},"properties":{"noteIndex":0},"schema":"https://github.com/citation-style-language/schema/raw/master/csl-citation.json"}</w:instrText>
      </w:r>
      <w:r w:rsidRPr="006A1EC7">
        <w:rPr>
          <w:color w:val="000000" w:themeColor="text1"/>
        </w:rPr>
        <w:fldChar w:fldCharType="separate"/>
      </w:r>
      <w:r w:rsidRPr="006A1EC7">
        <w:rPr>
          <w:noProof/>
          <w:color w:val="000000" w:themeColor="text1"/>
        </w:rPr>
        <w:t>(Sabbadini et al., 2002)</w:t>
      </w:r>
      <w:r w:rsidRPr="006A1EC7">
        <w:rPr>
          <w:color w:val="000000" w:themeColor="text1"/>
        </w:rPr>
        <w:fldChar w:fldCharType="end"/>
      </w:r>
      <w:r w:rsidRPr="006A1EC7">
        <w:rPr>
          <w:color w:val="000000" w:themeColor="text1"/>
        </w:rPr>
        <w:t>. However, the study also concluded that there were marked individual differences between patients with WHS. A further study compared intelligence quotient (IQ) scores of children with WHS to those of children with other subtelomeric deletion syndromes: it was found that the mean scores for children with 4p- were lower (mean = 44.1; range = 33-64) than children with 2q37 (mean = 50.3) or 8p23 (mean = 51.3), however the difference did not reach statistical significance (</w:t>
      </w:r>
      <w:r w:rsidRPr="006A1EC7">
        <w:rPr>
          <w:color w:val="000000" w:themeColor="text1"/>
        </w:rPr>
        <w:fldChar w:fldCharType="begin" w:fldLock="1"/>
      </w:r>
      <w:r w:rsidRPr="006A1EC7">
        <w:rPr>
          <w:color w:val="000000" w:themeColor="text1"/>
        </w:rPr>
        <w:instrText>ADDIN CSL_CITATION {"citationItems":[{"id":"ITEM-1","itemData":{"DOI":"10.1002/ajmg.c.30185","ISSN":"1552-4876","PMID":"18932225","abstract":"As a subset of genetic abnormalities, subtelomeric deletions have been found in 7-10% of individuals with mental retardation (MR). One subtelomeric deletion, Wolf-Hirschhorn syndrome (WHS), causes mild to severe MR, but the cognitive-behavioral features of individuals with WHS have not been studied systematically. To that end, we administered a comprehensive cognitive-behavioral battery to 12 children with WHS, ages 4-17 years, who also had some expressive language. Using the Stanford-Binet (4th Edition), we found cognitive deficits ranged from mild to severe, with mean IQ = 44.1. Interviewing parents with the Vineland Adaptive Behavior Scales, we found mean adaptive behavior score (DQ) = 37.3, with females exhibiting slightly higher scores than males. Cognitive profiles indicated relative strengths in Verbal and Quantitative Reasoning. Adaptive behavior profiles noted significant relative strengths in the Socialization Domain. These cognitive-behavioral profiles differed from children with other subtelomeric deletion syndromes, 2q37 or 8p23. Attention deficits and hyperactivity (ADHD) were observed in 7/12 (58%) of the children we tested. One child attained a score on the Child Autism Rating Scale (CARS) suggestive of mild autism. We conclude that different genetic disorders, which cause MR, produce diverse cognitive-behavioral profiles. Consequently, cognitive-behavioral profiles of children with MR need to be assessed more comprehensively.","author":[{"dropping-particle":"","family":"Fisch","given":"Gene S","non-dropping-particle":"","parse-names":false,"suffix":""},{"dropping-particle":"","family":"Battaglia","given":"Agatino","non-dropping-particle":"","parse-names":false,"suffix":""},{"dropping-particle":"","family":"Parrini","given":"Barbara","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genetics","id":"ITEM-1","issue":"4","issued":{"date-parts":[["2008","11","15"]]},"page":"252-6","title":"Cognitive-behavioral features of children with Wolf-Hirschhorn syndrome: preliminary report of 12 cases.","type":"article-journal","volume":"148C"},"uris":["http://www.mendeley.com/documents/?uuid=b0177e36-efa1-301e-ae10-dedd8fb3b2a4"]}],"mendeley":{"formattedCitation":"(Gene S Fisch et al., 2008)","manualFormatting":"Fisch et al., 2008)","plainTextFormattedCitation":"(Gene S Fisch et al., 2008)","previouslyFormattedCitation":"(Gene S Fisch et al., 2008)"},"properties":{"noteIndex":0},"schema":"https://github.com/citation-style-language/schema/raw/master/csl-citation.json"}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Fisch et al., 2008)</w:t>
      </w:r>
      <w:r w:rsidRPr="006A1EC7">
        <w:rPr>
          <w:color w:val="000000" w:themeColor="text1"/>
        </w:rPr>
        <w:fldChar w:fldCharType="end"/>
      </w:r>
      <w:r w:rsidRPr="006A1EC7">
        <w:rPr>
          <w:color w:val="000000" w:themeColor="text1"/>
        </w:rPr>
        <w:t>. Unfortunately, neither standard deviations nor further range scores were reported as they may have revealed more details about the differences.</w:t>
      </w:r>
    </w:p>
    <w:p w14:paraId="0132D5A5" w14:textId="0C5A1545" w:rsidR="00065496" w:rsidRPr="006A1EC7" w:rsidRDefault="00065496" w:rsidP="00A40374">
      <w:pPr>
        <w:spacing w:line="360" w:lineRule="auto"/>
        <w:ind w:firstLine="720"/>
        <w:rPr>
          <w:color w:val="000000" w:themeColor="text1"/>
        </w:rPr>
      </w:pPr>
      <w:r w:rsidRPr="006A1EC7">
        <w:rPr>
          <w:color w:val="000000" w:themeColor="text1"/>
        </w:rPr>
        <w:t>Regarding, language and communication abilities, the most detailed description of WHS patients has been produced by Sabbadini et al</w:t>
      </w:r>
      <w:r w:rsidR="00A40374" w:rsidRPr="006A1EC7">
        <w:rPr>
          <w:color w:val="000000" w:themeColor="text1"/>
        </w:rPr>
        <w:t xml:space="preserve">. </w:t>
      </w:r>
      <w:r w:rsidRPr="006A1EC7">
        <w:rPr>
          <w:color w:val="000000" w:themeColor="text1"/>
        </w:rPr>
        <w:t xml:space="preserve">in 2002. This study involved a sample of eleven patients with WHS with age ranges between 7 and 20 years (mean: 12.7 years). This study reported that 91% of patients were able to respond to their names, 82% were able to understand statements relating to personal needs and requirements and 73% communicated using non-verbal expressions. Only four out of the eleven participating patients were able to use a number of single words, and only one patient was able to have a meaningful conversation. While this study effectively reflects the role of individual differences and heterogeneity of the abilities of patients with WHS, it must be taken into consideration that this is both relatively dated and based on a very small sample. </w:t>
      </w:r>
    </w:p>
    <w:p w14:paraId="163AC893" w14:textId="77777777" w:rsidR="00065496" w:rsidRPr="006A1EC7" w:rsidRDefault="00065496" w:rsidP="00A40374">
      <w:pPr>
        <w:spacing w:line="360" w:lineRule="auto"/>
        <w:ind w:firstLine="720"/>
        <w:rPr>
          <w:color w:val="000000" w:themeColor="text1"/>
        </w:rPr>
      </w:pPr>
      <w:r w:rsidRPr="006A1EC7">
        <w:rPr>
          <w:color w:val="000000" w:themeColor="text1"/>
        </w:rPr>
        <w:t xml:space="preserve">This is especially important as educational tools, such as the Picture Exchange Communication system (PECs) </w:t>
      </w:r>
      <w:r w:rsidRPr="006A1EC7">
        <w:rPr>
          <w:color w:val="000000" w:themeColor="text1"/>
        </w:rPr>
        <w:fldChar w:fldCharType="begin" w:fldLock="1"/>
      </w:r>
      <w:r w:rsidRPr="006A1EC7">
        <w:rPr>
          <w:color w:val="000000" w:themeColor="text1"/>
        </w:rPr>
        <w:instrText>ADDIN CSL_CITATION {"citationItems":[{"id":"ITEM-1","itemData":{"DOI":"10.1002/jaba.99","ISSN":"00218855","PMID":"24435619","abstract":"We evaluated the effectiveness of a behavioral skills training package to teach implementation of Phases 1, 2, and 3A of the picture exchange communication system (PECS) to teachers employed at a therapeutic center for children with autism. Probes in the natural environment and follow-up were conducted with children who were assigned to work with the teachers in their own classrooms. Results provide additional support for the efficacy of behavioral skills training to teach implementation of PECS. [ABSTRACT FROM AUTHOR]","author":[{"dropping-particle":"","family":"Homlitas","given":"Christa","non-dropping-particle":"","parse-names":false,"suffix":""},{"dropping-particle":"","family":"Rosales","given":"Rocío","non-dropping-particle":"","parse-names":false,"suffix":""},{"dropping-particle":"","family":"Candel","given":"Lindsay","non-dropping-particle":"","parse-names":false,"suffix":""}],"container-title":"Journal of Applied Behavior Analysis","id":"ITEM-1","issue":"1","issued":{"date-parts":[["2014"]]},"page":"198-203","title":"A further evaluation of behavioral skills training for implementation of the picture exchange communication system","type":"article-journal","volume":"47"},"uris":["http://www.mendeley.com/documents/?uuid=17603c82-0936-4869-9b55-bbaf8ec02edd"]},{"id":"ITEM-2","itemData":{"ISBN":"0964-2633","abstract":"Background: Little is known about behavioural flexibility in children and adults with Angelman syndrome and whether people with this syndrome have more or less problems in being behaviourally flexible as compared with other people. Method: Behavioural flexibility scores were assessed in 129 individuals with Angelman syndrome using 11 items from the Behavioural Flexibility Rating Scale-Revised (Green et al. 2007). Level of behavioural flexibility scores in individuals with Angelman syndrome (N = 129) was compared with that of people with non-specific intellectual disability (ID) (N = 90), Down syndrome (N = 398) and Autism spectrum disorder (N = 235). Results: Comparative analyses show that individuals with Angelman syndrome were more flexible than those with non-specific ID (P &lt; 0.001) and those with Autism spectrum disorder (P &lt; 0.01). There were no differences in behavioural flexibility scores between individuals with Angelman syndrome and those with Down syndrome (P = 0.94). Conclusion: It is concluded that individuals with Angelman syndrome are comparatively flexible in their behaviour. (PsycINFO Database Record (c) 2016 APA, all rights reserved)","author":[{"dropping-particle":"","family":"Didden","given":"R","non-dropping-particle":"","parse-names":false,"suffix":""},{"dropping-particle":"","family":"Sigafoos","given":"J","non-dropping-particle":"","parse-names":false,"suffix":""},{"dropping-particle":"","family":"Green","given":"V A","non-dropping-particle":"","parse-names":false,"suffix":""},{"dropping-particle":"","family":"Korzilius","given":"H","non-dropping-particle":"","parse-names":false,"suffix":""},{"dropping-particle":"","family":"Mouws","given":"C","non-dropping-particle":"","parse-names":false,"suffix":""},{"dropping-particle":"","family":"Lancioni","given":"G E","non-dropping-particle":"","parse-names":false,"suffix":""},{"dropping-particle":"","family":"O'Reilly","given":"M F","non-dropping-particle":"","parse-names":false,"suffix":""},{"dropping-particle":"","family":"Curfs  G. E.; ORCID: http://orcid.org/0000-0002-6515-5690","given":"L M G A I - ORCID: http://orcid.org/Lancioni","non-dropping-particle":"","parse-names":false,"suffix":""}],"collection-title":"Journal of Mental Deficiency Research","container-title":"Journal of Intellectual Disability Research","editor":[{"dropping-particle":"","family":"Berry  Cohen, Didden, Didden, Green, Green, Horsler, Kraijer, Peters-Scheffer, Pituch, Steffenburg, Williams","given":"Clayton-Smith","non-dropping-particle":"","parse-names":false,"suffix":""}],"id":"ITEM-2","issue":"6","issued":{"date-parts":[["2008"]]},"page":"503-509","publisher":"Wiley-Blackwell Publishing Ltd.","publisher-place":"Didden, R.: Radboud University Nijmegen, PO Box 9104, Nijmegen, Netherlands, 6500 HE, R.Didden@pwo.ru.nl","title":"Behavioural flexibility in individuals with Angelman syndrome, Down syndrome, non-specific intellectual disability and Autism spectrum disorder.","type":"article","volume":"52"},"uris":["http://www.mendeley.com/documents/?uuid=6df7ba1e-0409-41bb-b92c-ee1f9fee53a5"]}],"mendeley":{"formattedCitation":"(Didden et al., 2008; Homlitas, Rosales, &amp; Candel, 2014)","plainTextFormattedCitation":"(Didden et al., 2008; Homlitas, Rosales, &amp; Candel, 2014)","previouslyFormattedCitation":"(Didden et al., 2008; Homlitas, Rosales, &amp; Candel, 2014)"},"properties":{"noteIndex":0},"schema":"https://github.com/citation-style-language/schema/raw/master/csl-citation.json"}</w:instrText>
      </w:r>
      <w:r w:rsidRPr="006A1EC7">
        <w:rPr>
          <w:color w:val="000000" w:themeColor="text1"/>
        </w:rPr>
        <w:fldChar w:fldCharType="separate"/>
      </w:r>
      <w:r w:rsidRPr="006A1EC7">
        <w:rPr>
          <w:noProof/>
          <w:color w:val="000000" w:themeColor="text1"/>
        </w:rPr>
        <w:t>(Didden et al., 2008; Homlitas, Rosales, &amp; Candel, 2014)</w:t>
      </w:r>
      <w:r w:rsidRPr="006A1EC7">
        <w:rPr>
          <w:color w:val="000000" w:themeColor="text1"/>
        </w:rPr>
        <w:fldChar w:fldCharType="end"/>
      </w:r>
      <w:r w:rsidRPr="006A1EC7">
        <w:rPr>
          <w:color w:val="000000" w:themeColor="text1"/>
        </w:rPr>
        <w:t xml:space="preserve"> or the rise of electronic communication devices </w:t>
      </w:r>
      <w:r w:rsidRPr="006A1EC7">
        <w:rPr>
          <w:color w:val="000000" w:themeColor="text1"/>
        </w:rPr>
        <w:fldChar w:fldCharType="begin" w:fldLock="1"/>
      </w:r>
      <w:r w:rsidRPr="006A1EC7">
        <w:rPr>
          <w:color w:val="000000" w:themeColor="text1"/>
        </w:rPr>
        <w:instrText>ADDIN CSL_CITATION {"citationItems":[{"id":"ITEM-1","itemData":{"DOI":"10.1108/S0270-4013(2013)0000025011","ISBN":"0000025011","ISSN":"0270-4013","abstract":"The purpose ofthis study was to investigate coping strategies ofstudents with learning disabilities attending a large midwestern university with no special program for such students. Twenty-five students identified as learning disabledprior to entering the uni- versity volunteered to participate in the research. They were tested to determine their present cognitive and achievement profiles. They were then interviewed to determine their coping strategies. The testing indicated that they had persistent visual and ondary institutions develop strategies auditory processing deficits and academic skills deficits. The findings indicated that they had developed coping strategies to bypass or compensatefor theirprocessing and skill deficits.","author":[{"dropping-particle":"","family":"Courtad","given":"Carrie Anna","non-dropping-particle":"","parse-names":false,"suffix":""},{"dropping-particle":"","family":"Bouck","given":"Emily C.","non-dropping-particle":"","parse-names":false,"suffix":""}],"container-title":"Journal of Learning Disabilities","id":"ITEM-1","issue":"5","issued":{"date-parts":[["2013"]]},"number-of-pages":"153-173","publisher":"Emerald Group Publishing Limited","title":"Assistive technology for students with learning disabilities","type":"book","volume":"29"},"uris":["http://www.mendeley.com/documents/?uuid=7f7b9d4c-1a12-4407-96b1-964622f44a41"]},{"id":"ITEM-2","itemData":{"ISSN":"15474712","abstract":"ASSISTIVE TECHNOLOGY In the field of instructional technology (IT), special education, and in ABA, the varying definitions of AT are as follows: (a) \"Any item, piece of equipment, or product system, whether acquired commercially, modified, or customized, that is used to increase, maintain, or improve functional capabilities of individuals with disabilities\" (Assistive Technology Act, 2004, p. Y); (b) devices and software designed specifically for those with learning or physical disabilities (Smaldino, Lowther, &amp; Russell, 2008); and (c) AT has powerful tools that support physically challenged students with equal opportunities to more fully participate in the teaching-learning process (Hager &amp; Smith, 2003). The research suggests that students that use AT display positive effects for psychological health when compared to other children in the program who do not use AT (Cavanaugh, 2002; Hasselbring &amp; William-Glaser, 2000; Khek, Lim, &amp; Zhong, 2006; Smaldino et al., 2008, 2012). [...]this body of research refers to the IT devices as a system of positive reinforcement used to help students learn.","author":[{"dropping-particle":"","family":"Cobb","given":"Aries","non-dropping-particle":"","parse-names":false,"suffix":""}],"container-title":"Distance Learning","id":"ITEM-2","issue":"4","issued":{"date-parts":[["2011"]]},"page":"47-57","title":"Assistive Technology: Enhancing the Life Skills of Students With Learning Disabilities","type":"article-journal","volume":"8"},"uris":["http://www.mendeley.com/documents/?uuid=b9f871fb-7f5e-4f94-87b3-b039dcb077ef"]}],"mendeley":{"formattedCitation":"(Cobb, 2011; Courtad &amp; Bouck, 2013)","plainTextFormattedCitation":"(Cobb, 2011; Courtad &amp; Bouck, 2013)","previouslyFormattedCitation":"(Cobb, 2011; Courtad &amp; Bouck, 2013)"},"properties":{"noteIndex":0},"schema":"https://github.com/citation-style-language/schema/raw/master/csl-citation.json"}</w:instrText>
      </w:r>
      <w:r w:rsidRPr="006A1EC7">
        <w:rPr>
          <w:color w:val="000000" w:themeColor="text1"/>
        </w:rPr>
        <w:fldChar w:fldCharType="separate"/>
      </w:r>
      <w:r w:rsidRPr="006A1EC7">
        <w:rPr>
          <w:noProof/>
          <w:color w:val="000000" w:themeColor="text1"/>
        </w:rPr>
        <w:t>(Cobb, 2011; Courtad &amp; Bouck, 2013)</w:t>
      </w:r>
      <w:r w:rsidRPr="006A1EC7">
        <w:rPr>
          <w:color w:val="000000" w:themeColor="text1"/>
        </w:rPr>
        <w:fldChar w:fldCharType="end"/>
      </w:r>
      <w:r w:rsidRPr="006A1EC7">
        <w:rPr>
          <w:color w:val="000000" w:themeColor="text1"/>
        </w:rPr>
        <w:t xml:space="preserve">, may have had an influence on the abilities and skills of WHS patients. There is a need for more research into the communication abilities that takes into consideration </w:t>
      </w:r>
      <w:r w:rsidRPr="006A1EC7">
        <w:rPr>
          <w:color w:val="000000" w:themeColor="text1"/>
        </w:rPr>
        <w:lastRenderedPageBreak/>
        <w:t xml:space="preserve">more recent electronic advances, as well as more longitudinal research into the development of language in WHS. </w:t>
      </w:r>
    </w:p>
    <w:p w14:paraId="682D7AA1" w14:textId="77777777" w:rsidR="00065496" w:rsidRPr="006A1EC7" w:rsidRDefault="00065496" w:rsidP="00A40374">
      <w:pPr>
        <w:spacing w:line="360" w:lineRule="auto"/>
        <w:rPr>
          <w:color w:val="000000" w:themeColor="text1"/>
        </w:rPr>
      </w:pPr>
    </w:p>
    <w:p w14:paraId="33C665EB" w14:textId="77777777" w:rsidR="00065496" w:rsidRPr="006A1EC7" w:rsidRDefault="00065496" w:rsidP="00A40374">
      <w:pPr>
        <w:pStyle w:val="Heading4"/>
        <w:spacing w:line="360" w:lineRule="auto"/>
        <w:rPr>
          <w:rFonts w:ascii="Times New Roman" w:hAnsi="Times New Roman" w:cs="Times New Roman"/>
        </w:rPr>
      </w:pPr>
      <w:r w:rsidRPr="006A1EC7">
        <w:rPr>
          <w:rFonts w:ascii="Times New Roman" w:hAnsi="Times New Roman" w:cs="Times New Roman"/>
        </w:rPr>
        <w:t>Functioning (daily activities)</w:t>
      </w:r>
    </w:p>
    <w:p w14:paraId="5D40A80F" w14:textId="76EEAF66" w:rsidR="00065496" w:rsidRPr="006A1EC7" w:rsidRDefault="00065496" w:rsidP="00A40374">
      <w:pPr>
        <w:spacing w:line="360" w:lineRule="auto"/>
        <w:ind w:firstLine="720"/>
        <w:rPr>
          <w:color w:val="000000" w:themeColor="text1"/>
        </w:rPr>
      </w:pPr>
      <w:r w:rsidRPr="006A1EC7">
        <w:rPr>
          <w:color w:val="000000" w:themeColor="text1"/>
        </w:rPr>
        <w:t xml:space="preserve">Due to the severity of the learning disability for WHS patients, only a small minority of patients are able to, for example, dress or undress themselves, do limited household chores or express themselves graphically, i.e. writing or drawing as the graphic abilities of most are limited to scribbling </w:t>
      </w:r>
      <w:r w:rsidRPr="006A1EC7">
        <w:rPr>
          <w:color w:val="000000" w:themeColor="text1"/>
        </w:rPr>
        <w:fldChar w:fldCharType="begin" w:fldLock="1"/>
      </w:r>
      <w:r w:rsidRPr="006A1EC7">
        <w:rPr>
          <w:color w:val="000000" w:themeColor="text1"/>
        </w:rPr>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2015a)","manualFormatting":"(Battaglia et al., 2015)","plainTextFormattedCitation":"(Agatino Battaglia et al., 2015a)","previouslyFormattedCitation":"(Agatino Battaglia et al., 2015a)"},"properties":{"noteIndex":0},"schema":"https://github.com/citation-style-language/schema/raw/master/csl-citation.json"}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(Battaglia et al., 2015)</w:t>
      </w:r>
      <w:r w:rsidRPr="006A1EC7">
        <w:rPr>
          <w:color w:val="000000" w:themeColor="text1"/>
        </w:rPr>
        <w:fldChar w:fldCharType="end"/>
      </w:r>
      <w:r w:rsidRPr="006A1EC7">
        <w:rPr>
          <w:color w:val="000000" w:themeColor="text1"/>
        </w:rPr>
        <w:t xml:space="preserve">. </w:t>
      </w:r>
    </w:p>
    <w:p w14:paraId="147C306D" w14:textId="77777777" w:rsidR="00065496" w:rsidRPr="006A1EC7" w:rsidRDefault="00065496" w:rsidP="00A40374">
      <w:pPr>
        <w:spacing w:line="360" w:lineRule="auto"/>
        <w:ind w:firstLine="720"/>
      </w:pPr>
      <w:r w:rsidRPr="006A1EC7">
        <w:t xml:space="preserve">In relation to WHS patients’ social skills, some potential links to autism have been described; however no consensus as to whether this constitutes a clinical feature of the disorder has been reached </w:t>
      </w:r>
      <w:r w:rsidRPr="006A1EC7">
        <w:fldChar w:fldCharType="begin" w:fldLock="1"/>
      </w:r>
      <w:r w:rsidRPr="006A1EC7">
        <w:instrText>ADDIN CSL_CITATION {"citationItems":[{"id":"ITEM-1","itemData":{"DOI":"10.1002/ajmg.a.36200","ISBN":"1552-4833 (Electronic)\\r1552-4825 (Linking)","ISSN":"15524825","PMID":"24243641","abstract":"We report on a 21-year old woman with intellectual disability, autistic features, severe obesity, and facial dysmorphisms suggestive of Wolf-Hirschhorn syndrome (WHS). Array-CGH analysis showed a 2.89 Mb deletion on chromosome 14q11.2 containing 47 known genes. The most interesting genes included in this deletion are CHD8, a chromodomain helicase DNA binding protein that is associated with autism spectrum disorders, and MMP14, a matrix metalloproteinase that has been linked to obesity and type 2 diabetes. This report shows that 14q11.2 microdeletions can mimic WHS and suggests that gene(s) in the deleted interval that may be responsible for a phenocopy of WHS.","author":[{"dropping-particle":"","family":"Terrone","given":"Gaetano","non-dropping-particle":"","parse-names":false,"suffix":""},{"dropping-particle":"","family":"Cappuccio","given":"Gerarda","non-dropping-particle":"","parse-names":false,"suffix":""},{"dropping-particle":"","family":"Genesio","given":"Rita","non-dropping-particle":"","parse-names":false,"suffix":""},{"dropping-particle":"","family":"Esposito","given":"Annalisa","non-dropping-particle":"","parse-names":false,"suffix":""},{"dropping-particle":"","family":"Fiorentino","given":"Valeria","non-dropping-particle":"","parse-names":false,"suffix":""},{"dropping-particle":"","family":"Riccitelli","given":"Marina","non-dropping-particle":"","parse-names":false,"suffix":""},{"dropping-particle":"","family":"Nitsch","given":"Lucio","non-dropping-particle":"","parse-names":false,"suffix":""},{"dropping-particle":"","family":"Brunetti-Pierri","given":"Nicola","non-dropping-particle":"","parse-names":false,"suffix":""},{"dropping-particle":"","family":"Giudice","given":"Ennio","non-dropping-particle":"Del","parse-names":false,"suffix":""}],"container-title":"American Journal of Medical Genetics, Part A","id":"ITEM-1","issue":"1","issued":{"date-parts":[["2014"]]},"page":"190-193","title":"A case of 14q11.2 microdeletion with autistic features, severe obesity and facial dysmorphisms suggestive of Wolf-Hirschhorn syndrome","type":"article-journal","volume":"164"},"uris":["http://www.mendeley.com/documents/?uuid=36d60243-c6a7-4c90-bb10-12521ba6aac1"]},{"id":"ITEM-2","itemData":{"abstract":"Objective: Wolf-Hirschhorn Syndrome (WHS) was ﬁrst described by Hirschhorn et al. (1). It is a condition resulting from a distal deletion of the short arm of chromosome 4. It is usually associated with a severe phenotypic expression including multiple malformations, delayed psychomotor development, and profound learning disabilities (2). Up to date, we found only one case report with WHS with autistic features (3). This paper reports on an individual with WHS who has autistic features as chief complaints. Case Report: Ten years-old male patient was diagnosed with WHS in Germany when he was 2 years-old. He had several dysmorphic features including long eyelashes, large earshells, short philtrum, left auricle is down situated, thin upper and lower lips, pointed chin, partial choanal atresia, hypospadias, etc. Developmetal delay in terms of body length (&lt;3th percentile) and head circumference (&lt;3th percentile) was the reason for genetic investigations. Genetic evaluation reported a deletion in 4p16.3 area. Psychiatric assessment at ten years of age revealed that he tells only two words. His eye contact is restricted. He does not spontaneously communicate. He does not react to call of his name most of the times. He walked when he was 7 years old. In addition, he has chewing problems and severe teeth decay. Discussion: WHS has an estimated incidence of one in 50,000 births and arises de novo in 90% of the cases (4). It is a multiple malformation syndrome with abnormal craniofacial features including hypertelorism, highly arched eyebrows, and oral/facial cleft. Communicative development is concerned, speech is usually absent and comprehension is limited to simple orders or to a speciﬁc context (2). In our case with WHS chief complaints were restrictive social interaction and language delay which were core symptoms of autism spectrum disorder. This case is another WHS with autistic feature predominate.","author":[{"dropping-particle":"","family":"Karabekiroglu","given":"K.","non-dropping-particle":"","parse-names":false,"suffix":""},{"dropping-particle":"","family":"Yüce","given":"M.","non-dropping-particle":"","parse-names":false,"suffix":""},{"dropping-particle":"","family":"Karabekiroğlu","given":"A.","non-dropping-particle":"","parse-names":false,"suffix":""}],"container-title":"6th International Congress on Psychopharmacology","id":"ITEM-2","issued":{"date-parts":[["2014"]]},"title":"Wolf-Hirschhorn Syndrome with Autistic Spectrum Disorder Diagnosis: A Case Report","type":"paper-conference"},"uris":["http://www.mendeley.com/documents/?uuid=a16e32ef-7bb4-4279-ac87-06bb7a4e94e4","http://www.mendeley.com/documents/?uuid=9b1b1234-6fdc-4ed2-9e90-e288d098e239","http://www.mendeley.com/documents/?uuid=18615ffe-1f1f-4953-8555-a193b3f720b3"]}],"mendeley":{"formattedCitation":"(Karabekiroglu, Yüce, &amp; Karabekiroğlu, 2014; Terrone et al., 2014)","manualFormatting":"(Karabekiroglu, Yüce, &amp; Karabekiroğlu, 2014; Terrone et al., 2014)","plainTextFormattedCitation":"(Karabekiroglu, Yüce, &amp; Karabekiroğlu, 2014; Terrone et al., 2014)","previouslyFormattedCitation":"(Karabekiroglu, Yüce, &amp; Karabekiroğlu, 2014; Terrone et al., 2014)"},"properties":{"noteIndex":0},"schema":"https://github.com/citation-style-language/schema/raw/master/csl-citation.json"}</w:instrText>
      </w:r>
      <w:r w:rsidRPr="006A1EC7">
        <w:fldChar w:fldCharType="separate"/>
      </w:r>
      <w:r w:rsidRPr="006A1EC7">
        <w:rPr>
          <w:noProof/>
        </w:rPr>
        <w:t>(Karabekiroglu, Yüce, &amp; Karabekiroğlu, 2014; Terrone et al., 2014)</w:t>
      </w:r>
      <w:r w:rsidRPr="006A1EC7">
        <w:fldChar w:fldCharType="end"/>
      </w:r>
      <w:r w:rsidRPr="006A1EC7">
        <w:t xml:space="preserve">. </w:t>
      </w:r>
    </w:p>
    <w:p w14:paraId="5BA3DFE3" w14:textId="77777777" w:rsidR="00065496" w:rsidRPr="006A1EC7" w:rsidRDefault="00065496" w:rsidP="00BE607C">
      <w:pPr>
        <w:spacing w:line="360" w:lineRule="auto"/>
        <w:rPr>
          <w:color w:val="000000" w:themeColor="text1"/>
        </w:rPr>
      </w:pPr>
    </w:p>
    <w:p w14:paraId="38D0FB14" w14:textId="77777777" w:rsidR="00065496" w:rsidRPr="006A1EC7" w:rsidRDefault="00065496" w:rsidP="00A40374">
      <w:pPr>
        <w:pStyle w:val="Heading4"/>
        <w:spacing w:line="360" w:lineRule="auto"/>
        <w:rPr>
          <w:rFonts w:ascii="Times New Roman" w:hAnsi="Times New Roman" w:cs="Times New Roman"/>
        </w:rPr>
      </w:pPr>
      <w:r w:rsidRPr="006A1EC7">
        <w:rPr>
          <w:rFonts w:ascii="Times New Roman" w:hAnsi="Times New Roman" w:cs="Times New Roman"/>
        </w:rPr>
        <w:t>Epilepsy &amp; seizure activity</w:t>
      </w:r>
    </w:p>
    <w:p w14:paraId="443D1285" w14:textId="3DCBCE82" w:rsidR="00065496" w:rsidRPr="006A1EC7" w:rsidRDefault="00065496" w:rsidP="00A40374">
      <w:pPr>
        <w:spacing w:line="360" w:lineRule="auto"/>
        <w:ind w:firstLine="720"/>
        <w:rPr>
          <w:noProof/>
          <w:color w:val="000000" w:themeColor="text1"/>
        </w:rPr>
      </w:pPr>
      <w:r w:rsidRPr="006A1EC7">
        <w:rPr>
          <w:color w:val="000000" w:themeColor="text1"/>
        </w:rPr>
        <w:t>Lastly, one of the major concerns in WHS is epilepsy, a common feature of chromosomal abnormalities which is thought to affect around 90% of 4p- patients (</w:t>
      </w:r>
      <w:r w:rsidRPr="006A1EC7">
        <w:rPr>
          <w:color w:val="000000" w:themeColor="text1"/>
        </w:rPr>
        <w:fldChar w:fldCharType="begin" w:fldLock="1"/>
      </w:r>
      <w:r w:rsidRPr="006A1EC7">
        <w:rPr>
          <w:color w:val="000000" w:themeColor="text1"/>
        </w:rPr>
        <w:instrText>ADDIN CSL_CITATION {"citationItems":[{"id":"ITEM-1","itemData":{"author":[{"dropping-particle":"","family":"Battaglia","given":"Agatino","non-dropping-particle":"","parse-names":false,"suffix":""},{"dropping-particle":"","family":"Carey","given":"John C.","non-dropping-particle":"","parse-names":false,"suffix":""},{"dropping-particle":"","family":"Wright","given":"C G","non-dropping-particle":"","parse-names":false,"suffix":""}],"container-title":"Advances in Pediatrics","id":"ITEM-1","issued":{"date-parts":[["2001"]]},"page":"75–113.","title":"Wolf– Hirschhorn (4p-) syndrome.","type":"article-journal","volume":"48"},"uris":["http://www.mendeley.com/documents/?uuid=7f33f23a-bc46-4c5c-b29e-ea6cbd3aea53"]},{"id":"ITEM-2","itemData":{"DOI":"10.1002/ajmg.a.32483","ISBN":"1552-4833 (Electronic)","ISSN":"15524825","PMID":"18792972","abstract":"Epilepsy is a characteristic feature of Wolf-Hirschhorn syndrome (WHS) with onset usually in the first 2 years of life. There have been several reports of epilepsy ceasing as children get older. We have inspected a register of WHS cases from the UK and identified 27 adults with the condition; their mean age was 24.8 years (range 17-40 years). We conducted a telephone survey and asked parents to comment on their experience of seizures in WHS. In 18 patients (66%) a seizure had not occurred within 3 years. The mean age of those who have been seizure free for over 3 years was 23.7 years (range 17-33 years) whereas for those who had a recent seizure their mean age was 27.1 years (range 17-40 years). The mean age of the last seizure for those who were seizure free for 3 years was 11.3 years (range 2-28 years); in the majority of patients, seizures ceased within childhood years. Many parents commented that seizures were precipitated by fever. Individuals with WHS who had a deletion were more likely to be seizure free than those with a translocation. This reached statistical significance: chi(2) = 4.6, P = 0.03, odds ratio = 6.5 (95% CI 1.1-38.6). Data from this survey may be helpful when counseling families with a very young child with WHS.","author":[{"dropping-particle":"","family":"Worthington","given":"Jeanie C.","non-dropping-particle":"","parse-names":false,"suffix":""},{"dropping-particle":"","family":"Rigby","given":"Alan S.","non-dropping-particle":"","parse-names":false,"suffix":""},{"dropping-particle":"","family":"Quarrell","given":"Oliver W.","non-dropping-particle":"","parse-names":false,"suffix":""}],"container-title":"American Journal of Medical Genetics, Part A","id":"ITEM-2","issue":"19","issued":{"date-parts":[["2008","10"]]},"page":"2528-2531","title":"Seizure frequency in adults with Wolf-Hirschhorn syndrome","type":"article-journal","volume":"146"},"uris":["http://www.mendeley.com/documents/?uuid=fb6858d3-c0cd-4497-95e4-0924bff83667"]}],"mendeley":{"formattedCitation":"(Agatino Battaglia et al., 2001; Worthington, Rigby, &amp; Quarrell, 2008)","manualFormatting":"Battaglia et al., 2001; Worthington, Rigby, &amp; Quarrell, 2008)","plainTextFormattedCitation":"(Agatino Battaglia et al., 2001; Worthington, Rigby, &amp; Quarrell, 2008)","previouslyFormattedCitation":"(Agatino Battaglia et al., 2001; Worthington, Rigby, &amp; Quarrell, 2008)"},"properties":{"noteIndex":0},"schema":"https://github.com/citation-style-language/schema/raw/master/csl-citation.json"}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Battaglia et al., 2001; Worthington, Rigby, &amp; Quarrell, 2008)</w:t>
      </w:r>
      <w:r w:rsidRPr="006A1EC7">
        <w:rPr>
          <w:color w:val="000000" w:themeColor="text1"/>
        </w:rPr>
        <w:fldChar w:fldCharType="end"/>
      </w:r>
      <w:r w:rsidRPr="006A1EC7">
        <w:rPr>
          <w:color w:val="000000" w:themeColor="text1"/>
        </w:rPr>
        <w:t xml:space="preserve">, with peak onset being between the ages of 6 to 12 months. There are different types of seizures reported for WHS, these include </w:t>
      </w:r>
      <w:r w:rsidR="00A40374" w:rsidRPr="006A1EC7">
        <w:rPr>
          <w:color w:val="000000" w:themeColor="text1"/>
        </w:rPr>
        <w:t>generalised</w:t>
      </w:r>
      <w:r w:rsidRPr="006A1EC7">
        <w:rPr>
          <w:color w:val="000000" w:themeColor="text1"/>
        </w:rPr>
        <w:t xml:space="preserve"> tonic-clonic, tonic spasms,  complex partial seizures and clonic seizures </w:t>
      </w:r>
      <w:r w:rsidRPr="006A1EC7">
        <w:rPr>
          <w:color w:val="000000" w:themeColor="text1"/>
        </w:rPr>
        <w:fldChar w:fldCharType="begin" w:fldLock="1"/>
      </w:r>
      <w:r w:rsidRPr="006A1EC7">
        <w:rPr>
          <w:color w:val="000000" w:themeColor="text1"/>
        </w:rPr>
        <w:instrText>ADDIN CSL_CITATION {"citationItems":[{"id":"ITEM-1","itemData":{"DOI":"10.1111/j.1469-8749.2008.03233.x","ISBN":"1469-8749 (Electronic)\\n1469-8749 (Linking)","ISSN":"00121622","PMID":"19379291","abstract":"To define the spectrum of epilepsy in Wolf-Hirschhorn syndrome (WHS) better, we studied 87 patients (54 females, 33 males; median age 5.6 years; age range 1-25.6 years) with confirmed 4p16.3 deletion. On the basis of clinical charts, we retrospectively analyzed the evolution of the electroencephalogram (EEG) findings and seizures. Epilepsy occurred in 81 patients (93%) within the first 3 years of life. Sixty out of 81 (74%) had generalized tonic-clonic seizures, which was the only seizure pattern in 32. Tonic spasms occurred in 15 out of 81 (18%), complex partial seizures in 10 out of 81 (12%), and clonic seizures in 6 out of 81 (7%). Seizures were frequently triggered by fever (59 out of 81; 73%), and occurred in clusters in 36 out of 72 (50%). In the same 36 (50%), unilateral or generalized clonic or tonic-clonic status epilepticus occurred during the first 3 years of life. Twenty-seven out of 81 patients (33%) developed atypical absences between 1 and 6 years, accompanied by a myoclonic component involving the eyelids and the hands. Distinctive EEG abnormalities were observed in 73 out of 81 (90%). Epilepsy was well controlled in 65 out of 81 (81%), mainly with valproate and phenobarbital, and improved with age in all. Thirty-two out of 58 (55%) are currently seizure-free. Seizures stopped at a median age of 4 years 6 months. Epilepsy represents a major clinical challenge in WHS; however, it has a good prognosis. Early diagnosis and treatment of atypical absences, subtle and often misdiagnosed, is mandatory.","author":[{"dropping-particle":"","family":"Battaglia","given":"Agatino","non-dropping-particle":"","parse-names":false,"suffix":""},{"dropping-particle":"","family":"Filippi","given":"Tiziana","non-dropping-particle":"","parse-names":false,"suffix":""},{"dropping-particle":"","family":"South","given":"Sarah T.","non-dropping-particle":"","parse-names":false,"suffix":""},{"dropping-particle":"","family":"Carey","given":"John C.","non-dropping-particle":"","parse-names":false,"suffix":""}],"container-title":"Developmental Medicine and Child Neurology","id":"ITEM-1","issue":"5","issued":{"date-parts":[["2009","5"]]},"page":"373-380","title":"Spectrum of epilepsy and electroencephalogram patterns in Wolf-Hirschhorn syndrome: Experience with 87 patients","type":"article-journal","volume":"51"},"uris":["http://www.mendeley.com/documents/?uuid=894220e4-2389-4700-bdba-6492cb4c02af"]}],"mendeley":{"formattedCitation":"(Agatino Battaglia, Filippi, South, &amp; Carey, 2009)","manualFormatting":"(Battaglia, Filippi, South, &amp; Carey, 2009)","plainTextFormattedCitation":"(Agatino Battaglia, Filippi, South, &amp; Carey, 2009)","previouslyFormattedCitation":"(Agatino Battaglia, Filippi, South, &amp; Carey, 2009)"},"properties":{"noteIndex":0},"schema":"https://github.com/citation-style-language/schema/raw/master/csl-citation.json"}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(Battaglia, Filippi, South, &amp; Carey, 2009)</w:t>
      </w:r>
      <w:r w:rsidRPr="006A1EC7">
        <w:rPr>
          <w:color w:val="000000" w:themeColor="text1"/>
        </w:rPr>
        <w:fldChar w:fldCharType="end"/>
      </w:r>
      <w:r w:rsidRPr="006A1EC7">
        <w:rPr>
          <w:color w:val="000000" w:themeColor="text1"/>
        </w:rPr>
        <w:t>.</w:t>
      </w:r>
    </w:p>
    <w:p w14:paraId="75FC5380" w14:textId="758F621C" w:rsidR="00065496" w:rsidRPr="006A1EC7" w:rsidRDefault="00065496" w:rsidP="00A40374">
      <w:pPr>
        <w:spacing w:line="360" w:lineRule="auto"/>
        <w:ind w:firstLine="720"/>
        <w:rPr>
          <w:color w:val="000000" w:themeColor="text1"/>
        </w:rPr>
      </w:pPr>
      <w:r w:rsidRPr="006A1EC7">
        <w:rPr>
          <w:color w:val="000000" w:themeColor="text1"/>
        </w:rPr>
        <w:t xml:space="preserve">Seizures are mainly </w:t>
      </w:r>
      <w:r w:rsidR="00A40374" w:rsidRPr="006A1EC7">
        <w:rPr>
          <w:color w:val="000000" w:themeColor="text1"/>
        </w:rPr>
        <w:t>generalised</w:t>
      </w:r>
      <w:r w:rsidRPr="006A1EC7">
        <w:rPr>
          <w:color w:val="000000" w:themeColor="text1"/>
        </w:rPr>
        <w:t xml:space="preserve"> tonic-clonic (formerly referred to as grand mal seizures or convulsive seizure; their signs are muscles stiffening and twitching) in nature, and are often fever-induced </w:t>
      </w:r>
      <w:r w:rsidRPr="006A1EC7">
        <w:rPr>
          <w:color w:val="000000" w:themeColor="text1"/>
        </w:rPr>
        <w:fldChar w:fldCharType="begin" w:fldLock="1"/>
      </w:r>
      <w:r w:rsidRPr="006A1EC7">
        <w:rPr>
          <w:color w:val="000000" w:themeColor="text1"/>
        </w:rPr>
        <w:instrText>ADDIN CSL_CITATION {"citationItems":[{"id":"ITEM-1","itemData":{"DOI":"10.1111/j.1469-8749.2008.03233.x","ISBN":"1469-8749 (Electronic)\\n1469-8749 (Linking)","ISSN":"00121622","PMID":"19379291","abstract":"To define the spectrum of epilepsy in Wolf-Hirschhorn syndrome (WHS) better, we studied 87 patients (54 females, 33 males; median age 5.6 years; age range 1-25.6 years) with confirmed 4p16.3 deletion. On the basis of clinical charts, we retrospectively analyzed the evolution of the electroencephalogram (EEG) findings and seizures. Epilepsy occurred in 81 patients (93%) within the first 3 years of life. Sixty out of 81 (74%) had generalized tonic-clonic seizures, which was the only seizure pattern in 32. Tonic spasms occurred in 15 out of 81 (18%), complex partial seizures in 10 out of 81 (12%), and clonic seizures in 6 out of 81 (7%). Seizures were frequently triggered by fever (59 out of 81; 73%), and occurred in clusters in 36 out of 72 (50%). In the same 36 (50%), unilateral or generalized clonic or tonic-clonic status epilepticus occurred during the first 3 years of life. Twenty-seven out of 81 patients (33%) developed atypical absences between 1 and 6 years, accompanied by a myoclonic component involving the eyelids and the hands. Distinctive EEG abnormalities were observed in 73 out of 81 (90%). Epilepsy was well controlled in 65 out of 81 (81%), mainly with valproate and phenobarbital, and improved with age in all. Thirty-two out of 58 (55%) are currently seizure-free. Seizures stopped at a median age of 4 years 6 months. Epilepsy represents a major clinical challenge in WHS; however, it has a good prognosis. Early diagnosis and treatment of atypical absences, subtle and often misdiagnosed, is mandatory.","author":[{"dropping-particle":"","family":"Battaglia","given":"Agatino","non-dropping-particle":"","parse-names":false,"suffix":""},{"dropping-particle":"","family":"Filippi","given":"Tiziana","non-dropping-particle":"","parse-names":false,"suffix":""},{"dropping-particle":"","family":"South","given":"Sarah T.","non-dropping-particle":"","parse-names":false,"suffix":""},{"dropping-particle":"","family":"Carey","given":"John C.","non-dropping-particle":"","parse-names":false,"suffix":""}],"container-title":"Developmental Medicine and Child Neurology","id":"ITEM-1","issue":"5","issued":{"date-parts":[["2009","5"]]},"page":"373-380","title":"Spectrum of epilepsy and electroencephalogram patterns in Wolf-Hirschhorn syndrome: Experience with 87 patients","type":"article-journal","volume":"51"},"uris":["http://www.mendeley.com/documents/?uuid=894220e4-2389-4700-bdba-6492cb4c02af"]},{"id":"ITEM-2","itemData":{"DOI":"10.1016/j.gene.2012.09.108","ISSN":"03781119","PMID":"23064045","abstract":"Wolf-Hirschhorn syndrome is a well-known clinical entity caused by a terminal deletion of the short arm of chromosome 4 (4p-). The diagnosis is usually made in childhood because of the pathognomonic facial dysmorphism, multi-organ involvement and seizures. Epilepsy is a major medical complication during the first years of life, with seizures typically being frequent, although they tend to improve or cease with age. We report on a woman diagnosed with WHS in her thirties by array-CGH. She presents with milder dysmorphic features, recognized by stereophotogrammetry and seizures persistent in adulthood. ?? 2012 Elsevier B.V.","author":[{"dropping-particle":"","family":"Coppola","given":"Antonietta","non-dropping-particle":"","parse-names":false,"suffix":""},{"dropping-particle":"","family":"Chinthapalli","given":"Krishna","non-dropping-particle":"","parse-names":false,"suffix":""},{"dropping-particle":"","family":"Hammond","given":"Peter","non-dropping-particle":"","parse-names":false,"suffix":""},{"dropping-particle":"","family":"Sander","given":"Josemir W.","non-dropping-particle":"","parse-names":false,"suffix":""},{"dropping-particle":"","family":"Sisodiya","given":"Sanjay M.","non-dropping-particle":"","parse-names":false,"suffix":""}],"container-title":"Gene","id":"ITEM-2","issue":"2","issued":{"date-parts":[["2013","1"]]},"page":"532-535","publisher":"Elsevier B.V.","title":"Pediatric diagnosis not made until adulthood: A case of Wolf-Hirschhorn syndrome","type":"article-journal","volume":"512"},"uris":["http://www.mendeley.com/documents/?uuid=78d0e1f1-2294-4cd3-9f12-4921b3e69a26"]},{"id":"ITEM-3","itemData":{"DOI":"10.1002/ajmg.a.32483","ISBN":"1552-4833 (Electronic)","ISSN":"15524825","PMID":"18792972","abstract":"Epilepsy is a characteristic feature of Wolf-Hirschhorn syndrome (WHS) with onset usually in the first 2 years of life. There have been several reports of epilepsy ceasing as children get older. We have inspected a register of WHS cases from the UK and identified 27 adults with the condition; their mean age was 24.8 years (range 17-40 years). We conducted a telephone survey and asked parents to comment on their experience of seizures in WHS. In 18 patients (66%) a seizure had not occurred within 3 years. The mean age of those who have been seizure free for over 3 years was 23.7 years (range 17-33 years) whereas for those who had a recent seizure their mean age was 27.1 years (range 17-40 years). The mean age of the last seizure for those who were seizure free for 3 years was 11.3 years (range 2-28 years); in the majority of patients, seizures ceased within childhood years. Many parents commented that seizures were precipitated by fever. Individuals with WHS who had a deletion were more likely to be seizure free than those with a translocation. This reached statistical significance: chi(2) = 4.6, P = 0.03, odds ratio = 6.5 (95% CI 1.1-38.6). Data from this survey may be helpful when counseling families with a very young child with WHS.","author":[{"dropping-particle":"","family":"Worthington","given":"Jeanie C.","non-dropping-particle":"","parse-names":false,"suffix":""},{"dropping-particle":"","family":"Rigby","given":"Alan S.","non-dropping-particle":"","parse-names":false,"suffix":""},{"dropping-particle":"","family":"Quarrell","given":"Oliver W.","non-dropping-particle":"","parse-names":false,"suffix":""}],"container-title":"American Journal of Medical Genetics, Part A","id":"ITEM-3","issue":"19","issued":{"date-parts":[["2008","10"]]},"page":"2528-2531","title":"Seizure frequency in adults with Wolf-Hirschhorn syndrome","type":"article-journal","volume":"146"},"uris":["http://www.mendeley.com/documents/?uuid=fb6858d3-c0cd-4497-95e4-0924bff83667"]},{"id":"ITEM-4","itemData":{"DOI":"10.1002/ajmg.c.31449","ISBN":"0000000000000","ISSN":"15524876","PMID":"26239400","abstract":"Since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Genetics","id":"ITEM-4","issue":"3","issued":{"date-parts":[["2015","9"]]},"language":"English","note":"From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 2009; Coppola et al., 2013; Worthington et al., 2008)","manualFormatting":"(Battaglia et al., 2015, 2009; Coppola et al., 2013; Worthington et al., 2008)","plainTextFormattedCitation":"(Agatino Battaglia et al., 2015a, 2009; Coppola et al., 2013; Worthington et al., 2008)","previouslyFormattedCitation":"(Agatino Battaglia et al., 2015a, 2009; Coppola et al., 2013; Worthington et al., 2008)"},"properties":{"noteIndex":0},"schema":"https://github.com/citation-style-language/schema/raw/master/csl-citation.json"}</w:instrText>
      </w:r>
      <w:r w:rsidRPr="006A1EC7">
        <w:rPr>
          <w:color w:val="000000" w:themeColor="text1"/>
        </w:rPr>
        <w:fldChar w:fldCharType="separate"/>
      </w:r>
      <w:r w:rsidRPr="006A1EC7">
        <w:rPr>
          <w:noProof/>
          <w:color w:val="000000" w:themeColor="text1"/>
          <w:lang w:val="it-IT"/>
        </w:rPr>
        <w:t>(Battaglia et al., 2015, 2009; Coppola et al., 2013; Worthington et al., 2008)</w:t>
      </w:r>
      <w:r w:rsidRPr="006A1EC7">
        <w:rPr>
          <w:color w:val="000000" w:themeColor="text1"/>
        </w:rPr>
        <w:fldChar w:fldCharType="end"/>
      </w:r>
      <w:r w:rsidRPr="006A1EC7">
        <w:rPr>
          <w:color w:val="000000" w:themeColor="text1"/>
          <w:lang w:val="it-IT"/>
        </w:rPr>
        <w:t xml:space="preserve">. </w:t>
      </w:r>
      <w:r w:rsidRPr="006A1EC7">
        <w:rPr>
          <w:color w:val="000000" w:themeColor="text1"/>
        </w:rPr>
        <w:t>However, one study also reported that for two patients, high-degree fevers appeared to inhibit seizures, which- again- demonstrates individual differences within the syndrome (Battaglia et al</w:t>
      </w:r>
      <w:r w:rsidR="00A40374" w:rsidRPr="006A1EC7">
        <w:rPr>
          <w:color w:val="000000" w:themeColor="text1"/>
        </w:rPr>
        <w:t>.,</w:t>
      </w:r>
      <w:r w:rsidRPr="006A1EC7">
        <w:rPr>
          <w:color w:val="000000" w:themeColor="text1"/>
        </w:rPr>
        <w:t xml:space="preserve"> 2009). In a cohort study with 27 adults with WHS aged between 17 and 40, all were reported by their parents to suffer from epilepsy, with 96% of patients in this sample experiencing an onset of epilepsy between ages one and two. The study also found that many families attempted to prevent seizures by managing raised temperatures. The study classed the WHS patients into two categories, those who have had seizures in the past three years (group 1, n = 9) and those who did not (group 2, n = 18). A mean of 11.3 years (range 2-28 years) was calculated for the last seizures of group 2, which may suggest that a considerable </w:t>
      </w:r>
      <w:r w:rsidRPr="006A1EC7">
        <w:rPr>
          <w:color w:val="000000" w:themeColor="text1"/>
        </w:rPr>
        <w:lastRenderedPageBreak/>
        <w:t xml:space="preserve">amount of WHS patients stop having seizures during their teenage years. It is also noteworthy that the 28 years was the only outlier; most patients stopped having seizures before reaching adulthood </w:t>
      </w:r>
      <w:r w:rsidRPr="006A1EC7">
        <w:rPr>
          <w:color w:val="000000" w:themeColor="text1"/>
        </w:rPr>
        <w:fldChar w:fldCharType="begin" w:fldLock="1"/>
      </w:r>
      <w:r w:rsidRPr="006A1EC7">
        <w:rPr>
          <w:color w:val="000000" w:themeColor="text1"/>
        </w:rPr>
        <w:instrText>ADDIN CSL_CITATION {"citationItems":[{"id":"ITEM-1","itemData":{"DOI":"10.1002/ajmg.a.32483","ISBN":"1552-4833 (Electronic)","ISSN":"15524825","PMID":"18792972","abstract":"Epilepsy is a characteristic feature of Wolf-Hirschhorn syndrome (WHS) with onset usually in the first 2 years of life. There have been several reports of epilepsy ceasing as children get older. We have inspected a register of WHS cases from the UK and identified 27 adults with the condition; their mean age was 24.8 years (range 17-40 years). We conducted a telephone survey and asked parents to comment on their experience of seizures in WHS. In 18 patients (66%) a seizure had not occurred within 3 years. The mean age of those who have been seizure free for over 3 years was 23.7 years (range 17-33 years) whereas for those who had a recent seizure their mean age was 27.1 years (range 17-40 years). The mean age of the last seizure for those who were seizure free for 3 years was 11.3 years (range 2-28 years); in the majority of patients, seizures ceased within childhood years. Many parents commented that seizures were precipitated by fever. Individuals with WHS who had a deletion were more likely to be seizure free than those with a translocation. This reached statistical significance: chi(2) = 4.6, P = 0.03, odds ratio = 6.5 (95% CI 1.1-38.6). Data from this survey may be helpful when counseling families with a very young child with WHS.","author":[{"dropping-particle":"","family":"Worthington","given":"Jeanie C.","non-dropping-particle":"","parse-names":false,"suffix":""},{"dropping-particle":"","family":"Rigby","given":"Alan S.","non-dropping-particle":"","parse-names":false,"suffix":""},{"dropping-particle":"","family":"Quarrell","given":"Oliver W.","non-dropping-particle":"","parse-names":false,"suffix":""}],"container-title":"American Journal of Medical Genetics, Part A","id":"ITEM-1","issue":"19","issued":{"date-parts":[["2008","10"]]},"page":"2528-2531","title":"Seizure frequency in adults with Wolf-Hirschhorn syndrome","type":"article-journal","volume":"146"},"uris":["http://www.mendeley.com/documents/?uuid=fb6858d3-c0cd-4497-95e4-0924bff83667"]}],"mendeley":{"formattedCitation":"(Worthington et al., 2008)","plainTextFormattedCitation":"(Worthington et al., 2008)","previouslyFormattedCitation":"(Worthington et al., 2008)"},"properties":{"noteIndex":0},"schema":"https://github.com/citation-style-language/schema/raw/master/csl-citation.json"}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(Worthington et al., 2008)</w:t>
      </w:r>
      <w:r w:rsidRPr="006A1EC7">
        <w:rPr>
          <w:color w:val="000000" w:themeColor="text1"/>
        </w:rPr>
        <w:fldChar w:fldCharType="end"/>
      </w:r>
      <w:r w:rsidRPr="006A1EC7">
        <w:rPr>
          <w:color w:val="000000" w:themeColor="text1"/>
        </w:rPr>
        <w:t xml:space="preserve">. While this study has a good sample size of 27 for a rare disease patient group, there is a range of limitations. Firstly, the authors have described the participants of the study insufficiently; there are no records of how many mothers or fathers took part in the study. It could be suggested that there may be reporting differences in regard to gender. A further limitation arises from the study design, as the telephone study relied on the memory of participants to accurately report about seizure activity and the corresponding ages of their children; and no medical records were used to validate statements. </w:t>
      </w:r>
    </w:p>
    <w:p w14:paraId="6C1C57DF" w14:textId="77777777" w:rsidR="00065496" w:rsidRPr="006A1EC7" w:rsidRDefault="00065496" w:rsidP="00A40374">
      <w:pPr>
        <w:spacing w:line="360" w:lineRule="auto"/>
        <w:rPr>
          <w:color w:val="000000" w:themeColor="text1"/>
        </w:rPr>
      </w:pPr>
      <w:r w:rsidRPr="006A1EC7">
        <w:rPr>
          <w:color w:val="000000" w:themeColor="text1"/>
        </w:rPr>
        <w:tab/>
        <w:t xml:space="preserve">Despite the inconsistencies between different research findings, many poorly designed or insufficiently reported studies and a lack of agreement over the aetiology of the syndrome, the conclusion remains that WHS is a severe and complex multi-system disorder with individuals suffering from significantly compromised health. </w:t>
      </w:r>
      <w:bookmarkStart w:id="33" w:name="_Toc2336986"/>
      <w:bookmarkStart w:id="34" w:name="_Toc17977839"/>
    </w:p>
    <w:p w14:paraId="16640851" w14:textId="77777777" w:rsidR="00065496" w:rsidRPr="006A1EC7" w:rsidRDefault="00065496" w:rsidP="00A40374">
      <w:pPr>
        <w:spacing w:line="360" w:lineRule="auto"/>
        <w:rPr>
          <w:color w:val="000000" w:themeColor="text1"/>
        </w:rPr>
      </w:pPr>
    </w:p>
    <w:p w14:paraId="169FBA1C" w14:textId="77777777" w:rsidR="00065496" w:rsidRPr="006A1EC7" w:rsidRDefault="00065496" w:rsidP="00A40374">
      <w:pPr>
        <w:pStyle w:val="Heading4"/>
        <w:spacing w:line="360" w:lineRule="auto"/>
        <w:rPr>
          <w:rFonts w:ascii="Times New Roman" w:hAnsi="Times New Roman" w:cs="Times New Roman"/>
        </w:rPr>
      </w:pPr>
      <w:r w:rsidRPr="006A1EC7">
        <w:rPr>
          <w:rFonts w:ascii="Times New Roman" w:hAnsi="Times New Roman" w:cs="Times New Roman"/>
        </w:rPr>
        <w:t>Skeletal abnormalities &amp; hypotonia</w:t>
      </w:r>
    </w:p>
    <w:p w14:paraId="08B37DDF" w14:textId="3DE93365" w:rsidR="00065496" w:rsidRPr="006A1EC7" w:rsidRDefault="00065496" w:rsidP="00A40374">
      <w:pPr>
        <w:spacing w:line="360" w:lineRule="auto"/>
        <w:ind w:firstLine="720"/>
        <w:rPr>
          <w:lang w:val="it-IT"/>
        </w:rPr>
      </w:pPr>
      <w:r w:rsidRPr="006A1EC7">
        <w:rPr>
          <w:lang w:val="it-IT"/>
        </w:rPr>
        <w:t xml:space="preserve">Skeletal anomalies </w:t>
      </w:r>
      <w:r w:rsidRPr="006A1EC7">
        <w:t xml:space="preserve">, such as congenital hip dysplasia </w:t>
      </w:r>
      <w:r w:rsidRPr="006A1EC7">
        <w:rPr>
          <w:lang w:val="de-DE"/>
        </w:rPr>
        <w:fldChar w:fldCharType="begin" w:fldLock="1"/>
      </w:r>
      <w:r w:rsidRPr="006A1EC7">
        <w:instrText>ADDIN CSL_CITATION {"citationItems":[{"id":"ITEM-1","itemData":{"author":[{"dropping-particle":"","family":"Centerwall","given":"W.","non-dropping-particle":"","parse-names":false,"suffix":""},{"dropping-particle":"","family":"Thompson","given":"W.","non-dropping-particle":"","parse-names":false,"suffix":""},{"dropping-particle":"","family":"Irving","given":"A.","non-dropping-particle":"","parse-names":false,"suffix":""},{"dropping-particle":"","family":"Fobes","given":"C.","non-dropping-particle":"","parse-names":false,"suffix":""}],"container-title":"American Journal of Disease of Children","id":"ITEM-1","issued":{"date-parts":[["1975"]]},"title":"Translocation 4p- Syndrome: A general review","type":"article-journal","volume":"129"},"uris":["http://www.mendeley.com/documents/?uuid=f0608f1e-822f-4a72-ae90-cdc64016ad0f"]}],"mendeley":{"formattedCitation":"(Centerwall et al., 1975)","plainTextFormattedCitation":"(Centerwall et al., 1975)","previouslyFormattedCitation":"(Centerwall et al., 1975)"},"properties":{"noteIndex":0},"schema":"https://github.com/citation-style-language/schema/raw/master/csl-citation.json"}</w:instrText>
      </w:r>
      <w:r w:rsidRPr="006A1EC7">
        <w:rPr>
          <w:lang w:val="de-DE"/>
        </w:rPr>
        <w:fldChar w:fldCharType="separate"/>
      </w:r>
      <w:r w:rsidRPr="006A1EC7">
        <w:rPr>
          <w:noProof/>
        </w:rPr>
        <w:t>(Centerwall et al., 1975)</w:t>
      </w:r>
      <w:r w:rsidRPr="006A1EC7">
        <w:rPr>
          <w:lang w:val="de-DE"/>
        </w:rPr>
        <w:fldChar w:fldCharType="end"/>
      </w:r>
      <w:r w:rsidRPr="006A1EC7">
        <w:t xml:space="preserve">, and extremity malformations </w:t>
      </w:r>
      <w:r w:rsidRPr="006A1EC7">
        <w:fldChar w:fldCharType="begin" w:fldLock="1"/>
      </w:r>
      <w:r w:rsidRPr="006A1EC7">
        <w:instrText>ADDIN CSL_CITATION {"citationItems":[{"id":"ITEM-1","itemData":{"DOI":"10.1016/j.ejmg.2010.02.004","ISBN":"1769-7212","ISSN":"17697212","PMID":"20197130","abstract":"Wolf-Hirschhorn Syndrome (WHS) is caused by deletions on chromosome 4p and is clinically well defined. Genotype-phenotype correlations of patients with WHS point to a critical locus to be responsible for the main characteristics of this disorder. Submicroscopic duplications of this region, however, are not known. Here we report a patient with an interstitial 560??kb duplication overlapping this critical locus. The present case shows that not only deletions but also duplications of the Wolf-Hirshhorn critical region cause mental retardation and multiple congenital anomalies. Interestingly, the duplication phenotype overlaps partially with the deletion phenotype. However, his facial phenotype differs from the typical WHS gestalt. ?? 2010 Elsevier Masson SAS. All rights reserved.","author":[{"dropping-particle":"","family":"Hannes","given":"Femke","non-dropping-particle":"","parse-names":false,"suffix":""},{"dropping-particle":"","family":"Drozniewska","given":"Malgorzata","non-dropping-particle":"","parse-names":false,"suffix":""},{"dropping-particle":"","family":"Vermeesch","given":"Joris R.","non-dropping-particle":"","parse-names":false,"suffix":""},{"dropping-particle":"","family":"Haus","given":"Olga","non-dropping-particle":"","parse-names":false,"suffix":""}],"container-title":"European Journal of Medical Genetics","id":"ITEM-1","issue":"3","issued":{"date-parts":[["2010"]]},"page":"136-140","publisher":"Elsevier Masson SAS","title":"Duplication of the Wolf-Hirschhorn syndrome critical region causes neurodevelopmental delay","type":"article-journal","volume":"53"},"uris":["http://www.mendeley.com/documents/?uuid=04fbcb1f-7eed-4889-bd30-10ee412ee509"]}],"mendeley":{"formattedCitation":"(Hannes, Drozniewska, Vermeesch, &amp; Haus, 2010)","plainTextFormattedCitation":"(Hannes, Drozniewska, Vermeesch, &amp; Haus, 2010)","previouslyFormattedCitation":"(Hannes, Drozniewska, Vermeesch, &amp; Haus, 2010)"},"properties":{"noteIndex":0},"schema":"https://github.com/citation-style-language/schema/raw/master/csl-citation.json"}</w:instrText>
      </w:r>
      <w:r w:rsidRPr="006A1EC7">
        <w:fldChar w:fldCharType="separate"/>
      </w:r>
      <w:r w:rsidRPr="006A1EC7">
        <w:rPr>
          <w:noProof/>
        </w:rPr>
        <w:t>(Hannes, Drozniewska, Vermeesch, &amp; Haus, 2010)</w:t>
      </w:r>
      <w:r w:rsidRPr="006A1EC7">
        <w:fldChar w:fldCharType="end"/>
      </w:r>
      <w:r w:rsidRPr="006A1EC7">
        <w:t xml:space="preserve">, such as such as Ectrodactyly </w:t>
      </w:r>
      <w:r w:rsidRPr="006A1EC7">
        <w:fldChar w:fldCharType="begin" w:fldLock="1"/>
      </w:r>
      <w:r w:rsidRPr="006A1EC7">
        <w:instrText>ADDIN CSL_CITATION {"citationItems":[{"id":"ITEM-1","itemData":{"DOI":"10.1002/ajmg.a.33159","ISBN":"1552-4833 (Electronic)","ISSN":"15524825","PMID":"20034099","author":[{"dropping-particle":"","family":"Shanske","given":"Alan L.","non-dropping-particle":"","parse-names":false,"suffix":""},{"dropping-particle":"","family":"Yachelevich","given":"Naomi","non-dropping-particle":"","parse-names":false,"suffix":""},{"dropping-particle":"","family":"Ala-Kokko","given":"Leena","non-dropping-particle":"","parse-names":false,"suffix":""},{"dropping-particle":"","family":"Leonard","given":"Jay","non-dropping-particle":"","parse-names":false,"suffix":""},{"dropping-particle":"","family":"Levy","given":"Brynn","non-dropping-particle":"","parse-names":false,"suffix":""}],"container-title":"American Journal of Medical Genetics, Part A","id":"ITEM-1","issue":"1","issued":{"date-parts":[["2010"]]},"language":"English","note":"From Duplicate 2 (Wolf-Hirschhorn syndrome and ectrodactyly: New findings and a review of the literature - Shanske, A L; Yachelevich, N; Ala-Kokko, L; Leonard, J; Levy, B)\n\nCited By :5\n\nExport Date: 5 January 2018\n\nCODEN: AJMGD\n\nCorrespondence Address: Shanske, A. L.; Center for Craniofacial Disorders, Children's Hospital at Montefiore, Albert Einstein College of Medicine, Bronx, NY, United States; email: ashanske@aol.com","page":"203-208","publisher-place":"Center for Craniofacial Disorders, Children's Hospital at Montefiore, Albert Einstein College of Medicine, Bronx, NY, United States","title":"Wolf-Hirschhorn syndrome and ectrodactyly: New findings and a review of the literature","type":"article-journal","volume":"152"},"uris":["http://www.mendeley.com/documents/?uuid=f2ec0bff-4966-49f3-b78b-29aa47b69398"]}],"mendeley":{"formattedCitation":"(Shanske, Yachelevich, Ala-Kokko, Leonard, &amp; Levy, 2010)","manualFormatting":"(Shanske, Yachelevich, Ala-Kokko, Leonard, &amp; Levy, 2010; Shanske et al., 2010)","plainTextFormattedCitation":"(Shanske, Yachelevich, Ala-Kokko, Leonard, &amp; Levy, 2010)","previouslyFormattedCitation":"(Shanske, Yachelevich, Ala-Kokko, Leonard, &amp; Levy, 2010)"},"properties":{"noteIndex":0},"schema":"https://github.com/citation-style-language/schema/raw/master/csl-citation.json"}</w:instrText>
      </w:r>
      <w:r w:rsidRPr="006A1EC7">
        <w:fldChar w:fldCharType="separate"/>
      </w:r>
      <w:r w:rsidRPr="006A1EC7">
        <w:rPr>
          <w:noProof/>
        </w:rPr>
        <w:t>(Shanske, Yachelevich, Ala-Kokko, Leonard, &amp; Levy, 2010; Shanske et al., 2010)</w:t>
      </w:r>
      <w:r w:rsidRPr="006A1EC7">
        <w:fldChar w:fldCharType="end"/>
      </w:r>
      <w:r w:rsidRPr="006A1EC7">
        <w:t xml:space="preserve">, polydactyly and syndactyly </w:t>
      </w:r>
      <w:r w:rsidRPr="006A1EC7">
        <w:fldChar w:fldCharType="begin" w:fldLock="1"/>
      </w:r>
      <w:r w:rsidRPr="006A1EC7">
        <w:instrText>ADDIN CSL_CITATION {"citationItems":[{"id":"ITEM-1","itemData":{"DOI":"10.3126/jnps.v34i3.10289","ISSN":"19907982","abstract":"Wolf-Hirschhorn syndrome (WHS) is caused by a chromosomal deletion of the band 4p16.3 with characteristic craniofacial features -&amp;rsquo;Greek warrior helmet&amp;rsquo;5 facies (prominent glabella, hypertelorism, broad beaked nose and frontal bossing), high-arched eyebrows, protruding eyes, epicanthal folds, short philtrum, distinct mouth with downturned corners, micrognathia, dysplastic ears, preauricular tags. Till date there are very few case reports of Wolf-Hirschhorn syndrome.Here we report a case that had characteristic dysmorphic facies (Figure 1) &amp;lsquo;Greek warrior helmet&amp;rsquo; and was diagnosed as a case of WHS. But presence of Meningo-encephalocele and lissencephaly is rarely reported in literature in association with Wolf-hirschhorn syndrome till date.   J Nepal Paediatr Soc 2014;34(3):239-243   DOI:  http://dx.doi.org/10.3126/jnps.v34i3.10289","author":[{"dropping-particle":"","family":"Biswas","given":"Prativa","non-dropping-particle":"","parse-names":false,"suffix":""},{"dropping-particle":"","family":"Choudhury","given":"Rupam","non-dropping-particle":"","parse-names":false,"suffix":""},{"dropping-particle":"","family":"Gayen","given":"Sibnath","non-dropping-particle":"","parse-names":false,"suffix":""},{"dropping-particle":"","family":"Guha","given":"Debashree","non-dropping-particle":"","parse-names":false,"suffix":""},{"dropping-particle":"","family":"Roy","given":"Sutirtha","non-dropping-particle":"","parse-names":false,"suffix":""},{"dropping-particle":"","family":"Dasgupta","given":"Malay Kumar","non-dropping-particle":"","parse-names":false,"suffix":""}],"container-title":"Journal of Nepal Paediatric Society","id":"ITEM-1","issue":"3","issued":{"date-parts":[["2014"]]},"language":"English","note":"From Duplicate 1 (Greek warrior helmet facies (Wolf-hirschhorn syndrome) - Biswas, P; Choudhury, R; Gayen, S; Guha, D; Roy, S; Dasgupta, M K)\n\nExport Date: 5 January 2018\n\nCorrespondence Address: Biswas, P.; Department of Paediatrics, Midnapur Medical College and HospitalIndia","page":"239-243","publisher":"Nepal Paediatric Society (NEPAS)","publisher-place":"Department of Paediatrics, Midnapur Medical College and Hospital, Paschim Midnapur, India","title":"Greek warrior helmet facies (Wolf-hirschhorn syndrome)","type":"article-journal","volume":"34"},"uris":["http://www.mendeley.com/documents/?uuid=c143061e-8592-43ec-8ddd-9586baf739a7"]}],"mendeley":{"formattedCitation":"(Biswas et al., 2014)","plainTextFormattedCitation":"(Biswas et al., 2014)","previouslyFormattedCitation":"(Biswas et al., 2014)"},"properties":{"noteIndex":0},"schema":"https://github.com/citation-style-language/schema/raw/master/csl-citation.json"}</w:instrText>
      </w:r>
      <w:r w:rsidRPr="006A1EC7">
        <w:fldChar w:fldCharType="separate"/>
      </w:r>
      <w:r w:rsidRPr="006A1EC7">
        <w:rPr>
          <w:noProof/>
        </w:rPr>
        <w:t>(Biswas et al., 2014)</w:t>
      </w:r>
      <w:r w:rsidRPr="006A1EC7">
        <w:fldChar w:fldCharType="end"/>
      </w:r>
      <w:r w:rsidRPr="006A1EC7">
        <w:t xml:space="preserve"> are also reported as Clinical features of the phenotypic expression of </w:t>
      </w:r>
      <w:r w:rsidR="009F0718" w:rsidRPr="006A1EC7">
        <w:t>WHS</w:t>
      </w:r>
      <w:r w:rsidRPr="006A1EC7">
        <w:t xml:space="preserve">. Patients also commonly experience delay or difficulty in walking, and it is estimated that only around 45% of patients are able to walk independently or with support </w:t>
      </w:r>
      <w:r w:rsidRPr="006A1EC7">
        <w:fldChar w:fldCharType="begin" w:fldLock="1"/>
      </w:r>
      <w:r w:rsidR="00AD67F5" w:rsidRPr="006A1EC7">
        <w:instrText>ADDIN CSL_CITATION {"citationItems":[{"id":"ITEM-1","itemData":{"DOI":"10.1002/ajmg.c.31449","abstract":"Since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update","type":"article-journal","volume":"169"},"uris":["http://www.mendeley.com/documents/?uuid=acb46dbc-8007-4dc4-b32c-d930a3f9d182"]}],"mendeley":{"formattedCitation":"(Agatino Battaglia, Carey, &amp; South, 2015b)","plainTextFormattedCitation":"(Agatino Battaglia, Carey, &amp; South, 2015b)","previouslyFormattedCitation":"(Agatino Battaglia et al., 2015b)"},"properties":{"noteIndex":0},"schema":"https://github.com/citation-style-language/schema/raw/master/csl-citation.json"}</w:instrText>
      </w:r>
      <w:r w:rsidRPr="006A1EC7">
        <w:fldChar w:fldCharType="separate"/>
      </w:r>
      <w:r w:rsidR="00AD67F5" w:rsidRPr="006A1EC7">
        <w:rPr>
          <w:noProof/>
        </w:rPr>
        <w:t>(Battaglia, Carey, &amp; South, 2015)</w:t>
      </w:r>
      <w:r w:rsidRPr="006A1EC7">
        <w:fldChar w:fldCharType="end"/>
      </w:r>
      <w:r w:rsidRPr="006A1EC7">
        <w:t xml:space="preserve">. </w:t>
      </w:r>
    </w:p>
    <w:p w14:paraId="68F0823E" w14:textId="6C298FF8" w:rsidR="00065496" w:rsidRPr="006A1EC7" w:rsidRDefault="00065496" w:rsidP="00A40374">
      <w:pPr>
        <w:spacing w:line="360" w:lineRule="auto"/>
        <w:ind w:firstLine="720"/>
      </w:pPr>
      <w:r w:rsidRPr="006A1EC7">
        <w:t xml:space="preserve">As aforementioned, hypotonia, a condition describing decreased muscle tone, is also common and especially associated with muscle hypotrophy of the lower legs in Wolf-Hirschhorn-syndrome, which is a condition whereby the muscle fibres are smaller than usual </w:t>
      </w:r>
      <w:r w:rsidRPr="006A1EC7">
        <w:fldChar w:fldCharType="begin" w:fldLock="1"/>
      </w:r>
      <w:r w:rsidRPr="006A1EC7">
        <w:instrText>ADDIN CSL_CITATION {"citationItems":[{"id":"ITEM-1","itemData":{"DOI":"10.1002/ajmg.c.31449","abstract":"Since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update","type":"article-journal","volume":"169"},"uris":["http://www.mendeley.com/documents/?uuid=acb46dbc-8007-4dc4-b32c-d930a3f9d182"]}],"mendeley":{"formattedCitation":"(Agatino Battaglia et al., 2015b)","plainTextFormattedCitation":"(Agatino Battaglia et al., 2015b)","previouslyFormattedCitation":"(Agatino Battaglia et al., 2015b)"},"properties":{"noteIndex":0},"schema":"https://github.com/citation-style-language/schema/raw/master/csl-citation.json"}</w:instrText>
      </w:r>
      <w:r w:rsidRPr="006A1EC7">
        <w:fldChar w:fldCharType="separate"/>
      </w:r>
      <w:r w:rsidRPr="006A1EC7">
        <w:rPr>
          <w:noProof/>
        </w:rPr>
        <w:t>( Battaglia et al., 2015)</w:t>
      </w:r>
      <w:r w:rsidRPr="006A1EC7">
        <w:fldChar w:fldCharType="end"/>
      </w:r>
      <w:r w:rsidRPr="006A1EC7">
        <w:t xml:space="preserve">. </w:t>
      </w:r>
    </w:p>
    <w:p w14:paraId="6DC16122" w14:textId="77777777" w:rsidR="00065496" w:rsidRPr="006A1EC7" w:rsidRDefault="00065496" w:rsidP="00A40374">
      <w:pPr>
        <w:spacing w:line="360" w:lineRule="auto"/>
        <w:rPr>
          <w:color w:val="000000" w:themeColor="text1"/>
        </w:rPr>
      </w:pPr>
    </w:p>
    <w:p w14:paraId="2EB842AC" w14:textId="77777777" w:rsidR="00065496" w:rsidRPr="006A1EC7" w:rsidRDefault="00065496" w:rsidP="00A40374">
      <w:pPr>
        <w:pStyle w:val="Heading4"/>
        <w:spacing w:line="360" w:lineRule="auto"/>
        <w:rPr>
          <w:rFonts w:ascii="Times New Roman" w:hAnsi="Times New Roman" w:cs="Times New Roman"/>
        </w:rPr>
      </w:pPr>
      <w:r w:rsidRPr="006A1EC7">
        <w:rPr>
          <w:rFonts w:ascii="Times New Roman" w:hAnsi="Times New Roman" w:cs="Times New Roman"/>
        </w:rPr>
        <w:t>Immunodeficiency</w:t>
      </w:r>
    </w:p>
    <w:p w14:paraId="381189B1" w14:textId="7BF790DF" w:rsidR="00A40374" w:rsidRPr="006A1EC7" w:rsidRDefault="00065496" w:rsidP="00A40374">
      <w:pPr>
        <w:spacing w:line="360" w:lineRule="auto"/>
        <w:ind w:firstLine="720"/>
      </w:pPr>
      <w:r w:rsidRPr="006A1EC7">
        <w:t xml:space="preserve">Overall, patients with WHS frequently suffer from antibody deficiencies </w:t>
      </w:r>
      <w:r w:rsidRPr="006A1EC7">
        <w:fldChar w:fldCharType="begin" w:fldLock="1"/>
      </w:r>
      <w:r w:rsidRPr="006A1EC7">
        <w:instrText>ADDIN CSL_CITATION {"citationItems":[{"id":"ITEM-1","itemData":{"DOI":"10.1002/ajmg.c.31449","abstract":"Since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update","type":"article-journal","volume":"169"},"uris":["http://www.mendeley.com/documents/?uuid=acb46dbc-8007-4dc4-b32c-d930a3f9d182"]}],"mendeley":{"formattedCitation":"(Agatino Battaglia et al., 2015b)","manualFormatting":"(Battaglia et al., 2015)","plainTextFormattedCitation":"(Agatino Battaglia et al., 2015b)","previouslyFormattedCitation":"(Agatino Battaglia et al., 2015b)"},"properties":{"noteIndex":0},"schema":"https://github.com/citation-style-language/schema/raw/master/csl-citation.json"}</w:instrText>
      </w:r>
      <w:r w:rsidRPr="006A1EC7">
        <w:fldChar w:fldCharType="separate"/>
      </w:r>
      <w:r w:rsidRPr="006A1EC7">
        <w:rPr>
          <w:noProof/>
        </w:rPr>
        <w:t>(Battaglia et al., 2015)</w:t>
      </w:r>
      <w:r w:rsidRPr="006A1EC7">
        <w:fldChar w:fldCharType="end"/>
      </w:r>
      <w:r w:rsidRPr="006A1EC7">
        <w:t xml:space="preserve">, thus making patients more prone to develop infections.. </w:t>
      </w:r>
      <w:r w:rsidRPr="006A1EC7">
        <w:lastRenderedPageBreak/>
        <w:t xml:space="preserve">Interestingly, antibody deficiencies have been found in patients with both smaller and larger deletions </w:t>
      </w:r>
      <w:r w:rsidRPr="006A1EC7">
        <w:fldChar w:fldCharType="begin" w:fldLock="1"/>
      </w:r>
      <w:r w:rsidRPr="006A1EC7">
        <w:instrText>ADDIN CSL_CITATION {"citationItems":[{"id":"ITEM-1","itemData":{"DOI":"10.1016/S0022-3476(98)70194-5","ISSN":"00223476","abstract":"We identified antibody deficiencies in 9 of 13 infection-prone children with the Wolf-Hirschhorn syndrome (4p-monosomy). Eight of the immunodeficient children were identified by a questionnaire sent to 190 families with an affected child. Two of the children had common variable immunodeficiency, one had IgA and IgG2 subclass deficiency, three had IgA deficiency, and three had impaired polysaccharide responsiveness. T-cell immunity was normal. The association of antibody defects with Wolf-Hirschhorn syndrome suggests a regulatory gene within the deleted chromosome region that affects the B cell system. (J Pediatr 1998;133:141-3)","author":[{"dropping-particle":"","family":"Hanley-Lopez","given":"Jean","non-dropping-particle":"","parse-names":false,"suffix":""},{"dropping-particle":"","family":"Estabrooks","given":"Laurel L.","non-dropping-particle":"","parse-names":false,"suffix":""},{"dropping-particle":"","family":"Stiehm","given":"E.Richard R","non-dropping-particle":"","parse-names":false,"suffix":""}],"container-title":"Journal of Pediatrics","id":"ITEM-1","issue":"1","issued":{"date-parts":[["1998"]]},"language":"English","note":"From Duplicate 2 (Antibody deficiency in Wolf-Hirschhorn syndrome - Hanley-Lopez, J; Estabrooks, L L; Stiehm, E R)\n\nCited By :37\n\nExport Date: 5 January 2018\n\nCODEN: JOPDA\n\nCorrespondence Address: Stiehm, E.R.; UCLA Children's Hospital, 10833 Le Conte Ave., Los Angeles, CA 90095-1752, United States","page":"141-143","publisher":"Mosby Inc.","publisher-place":"UCLA Children's Hospital, 10833 Le Conte Ave., Los Angeles, CA 90095-1752, United States","title":"Antibody deficiency in Wolf-Hirschhorn syndrome","type":"article-journal","volume":"133"},"uris":["http://www.mendeley.com/documents/?uuid=8a8e21ad-987e-4416-a2ba-e90a62fdea79"]}],"mendeley":{"formattedCitation":"(Jean Hanley-Lopez et al., 1998)","manualFormatting":"(Hanley-Lopez et al., 1998)","plainTextFormattedCitation":"(Jean Hanley-Lopez et al., 1998)","previouslyFormattedCitation":"(Jean Hanley-Lopez et al., 1998)"},"properties":{"noteIndex":0},"schema":"https://github.com/citation-style-language/schema/raw/master/csl-citation.json"}</w:instrText>
      </w:r>
      <w:r w:rsidRPr="006A1EC7">
        <w:fldChar w:fldCharType="separate"/>
      </w:r>
      <w:r w:rsidRPr="006A1EC7">
        <w:rPr>
          <w:noProof/>
        </w:rPr>
        <w:t>(Hanley-Lopez et al., 1998)</w:t>
      </w:r>
      <w:r w:rsidRPr="006A1EC7">
        <w:fldChar w:fldCharType="end"/>
      </w:r>
      <w:r w:rsidRPr="006A1EC7">
        <w:t xml:space="preserve">. </w:t>
      </w:r>
    </w:p>
    <w:p w14:paraId="637DC0E8" w14:textId="77777777" w:rsidR="00A40374" w:rsidRPr="006A1EC7" w:rsidRDefault="00A40374" w:rsidP="00A40374">
      <w:pPr>
        <w:spacing w:line="360" w:lineRule="auto"/>
        <w:ind w:firstLine="720"/>
      </w:pPr>
    </w:p>
    <w:p w14:paraId="295E32CB" w14:textId="13DC0D51" w:rsidR="00065496" w:rsidRPr="006A1EC7" w:rsidRDefault="00065496" w:rsidP="00A40374">
      <w:pPr>
        <w:pStyle w:val="Heading4"/>
        <w:rPr>
          <w:rFonts w:ascii="Times New Roman" w:hAnsi="Times New Roman" w:cs="Times New Roman"/>
        </w:rPr>
      </w:pPr>
      <w:r w:rsidRPr="006A1EC7">
        <w:rPr>
          <w:rFonts w:ascii="Times New Roman" w:hAnsi="Times New Roman" w:cs="Times New Roman"/>
        </w:rPr>
        <w:t>Cardiology</w:t>
      </w:r>
    </w:p>
    <w:p w14:paraId="1DCF4E52" w14:textId="3B194C07" w:rsidR="00065496" w:rsidRPr="006A1EC7" w:rsidRDefault="00065496" w:rsidP="00A40374">
      <w:pPr>
        <w:spacing w:line="360" w:lineRule="auto"/>
        <w:ind w:firstLine="720"/>
        <w:rPr>
          <w:lang w:val="es-ES_tradnl"/>
        </w:rPr>
      </w:pPr>
      <w:r w:rsidRPr="006A1EC7">
        <w:t xml:space="preserve">Cardiac, renal, genitourinary, respiratory  as well as gastrointestinal problems are also reported for patients with WHS. Heart defects are often congenital, and thus present from birth, these </w:t>
      </w:r>
      <w:r w:rsidRPr="006A1EC7">
        <w:rPr>
          <w:lang w:val="es-ES_tradnl"/>
        </w:rPr>
        <w:t xml:space="preserve">include </w:t>
      </w:r>
      <w:r w:rsidRPr="006A1EC7">
        <w:t xml:space="preserve">atrial septal defect, pulmonary stenosis, ventricular septal defect; and are usually operable </w:t>
      </w:r>
      <w:r w:rsidRPr="006A1EC7">
        <w:rPr>
          <w:lang w:val="es-ES_tradnl"/>
        </w:rPr>
        <w:fldChar w:fldCharType="begin" w:fldLock="1"/>
      </w:r>
      <w:r w:rsidRPr="006A1EC7">
        <w:instrText>ADDIN CSL_CITATION {"citationItems":[{"id":"ITEM-1","itemData":{"ISSN":"15835251","abstract":"Wolf-Hirschhorn syndrome (WHS) is a well known condition caused by deletions in the chromosomal region 4p16.3. The clinical phenotype includes typical facial features, microcephaly, growth retardation, developmental delay and major congenital malformations. The clinician's ability to identify and diagnose WHS patients is essential due to the high clinical variability described for this syndrome. Here we describe 4 cases with WHS with different clinical phenotypes and we underline the importance of the complete genetic investigations for the accurate diagnosis of this condition.","author":[{"dropping-particle":"","family":"Plaiasu","given":"Vasilica","non-dropping-particle":"","parse-names":false,"suffix":""},{"dropping-particle":"","family":"Ochiana","given":"Diana","non-dropping-particle":"","parse-names":false,"suffix":""},{"dropping-particle":"","family":"Motei","given":"Gabriela","non-dropping-particle":"","parse-names":false,"suffix":""},{"dropping-particle":"","family":"Avram","given":"Paula","non-dropping-particle":"","parse-names":false,"suffix":""},{"dropping-particle":"","family":"Anca","given":"Ioana","non-dropping-particle":"","parse-names":false,"suffix":""},{"dropping-particle":"","family":"Georgescu","given":"Adrian","non-dropping-particle":"","parse-names":false,"suffix":""}],"id":"ITEM-1","issue":"1-2","issued":{"date-parts":[["2011"]]},"page":"92-97","title":"Wolf-Hirschhorn syndrome - A recognized rare chromosomal defect of clinical importance","type":"article-journal","volume":"61"},"uris":["http://www.mendeley.com/documents/?uuid=8bb75c72-ae7e-3f36-9dce-5f1fa1cdedf1","http://www.mendeley.com/documents/?uuid=2e007321-6767-4187-b242-3a64db302657"]},{"id":"ITEM-2","itemData":{"DOI":"10.1002/ajmg.a.33660","ISSN":"15524825","author":[{"dropping-particle":"","family":"Tautz","given":"Juliane","non-dropping-particle":"","parse-names":false,"suffix":""},{"dropping-particle":"","family":"Veenma","given":"Danielle","non-dropping-particle":"","parse-names":false,"suffix":""},{"dropping-particle":"","family":"Eussen","given":"Bert","non-dropping-particle":"","parse-names":false,"suffix":""},{"dropping-particle":"","family":"Joosen","given":"Linda","non-dropping-particle":"","parse-names":false,"suffix":""},{"dropping-particle":"","family":"Poddighe","given":"Pino","non-dropping-particle":"","parse-names":false,"suffix":""},{"dropping-particle":"","family":"Tibboel","given":"Dick","non-dropping-particle":"","parse-names":false,"suffix":""},{"dropping-particle":"","family":"Klein","given":"Annelies","non-dropping-particle":"de","parse-names":false,"suffix":""},{"dropping-particle":"","family":"Schaible","given":"Thomas","non-dropping-particle":"","parse-names":false,"suffix":""}],"container-title":"American Journal of Medical Genetics, Part A","id":"ITEM-2","issue":"11","issued":{"date-parts":[["2010"]]},"note":"From Duplicate 1 (Congenital Diaphragmatic Hernia and a Complex Heart Defect in Association With Wolf-Hirschhorn Syndrome - Tautz, Juliane; Veenma, Danielle; Eussen, Bert; Joosen, Linda; Poddighe, Pino; Tibboel, Dick; de Klein, Annelies; Schaible, Thomas)\n\nFrom Duplicate 1 (Congenital Diaphragmatic Hernia and a Complex Heart Defect in Association With Wolf-Hirschhorn Syndrome - Tautz, Juliane; Veenma, Danielle; Eussen, Bert; Joosen, Linda; Poddighe, Pino; Tibboel, Dick; de Klein, Annelies; Schaible, Thomas)\n\n3\n\nFrom Duplicate 2 (Congenital Diaphragmatic Hernia and a Complex Heart Defect in Association With Wolf-Hirschhorn Syndrome - Tautz, J; Veenma, D; Eussen, B; Joosen, L; Poddighe, P; Tibboel, D; de Klein, A; Schaible, T)\n\nTautz, Juliane Veenma, Danielle Eussen, Bert Joosen, Linda Poddighe, Pino Tibboel, Dick de Klein, Annelies Schaible, Thomas","page":"2891-2894","title":"Congenital Diaphragmatic Hernia and a Complex Heart Defect in Association With Wolf-Hirschhorn Syndrome","type":"article-journal","volume":"152A"},"uris":["http://www.mendeley.com/documents/?uuid=8791aab9-ef21-45e7-8043-6c77c806ba4f"]},{"id":"ITEM-3","itemData":{"DOI":"10.1007/s00246-012-0367-8","ISSN":"01720643","PMID":"22639003","abstract":"Wolf-Hirschhorn Syndrome (WHS) is a genetic syndrome that includes a typical facial appearance, mental retardation, growth delay, seizures, and congenital cardiac defects. A deletion of the terminal band of the short arm of chromosome 4, with a breakpoint at the 4p15 to 4p16 region, is the most common genetic mutation causing WHS. Congenital heart disease associated with WHS typically includes atrial and ventricular septal defects, though there are a few case reports of associated complex congenital heart disease. Here we report a case of an infant with a large 4p deletion, with a breakpoint at the 4p12 region, and hypoplasic left heart syndrome. We discuss a possible link between the size of the chromosomal deletion in WHS and the severity of the cardiac defect. © 2012 Springer Science+Business Media, LLC (outside the USA).","author":[{"dropping-particle":"","family":"Elten","given":"Kelley","non-dropping-particle":"von","parse-names":false,"suffix":""},{"dropping-particle":"","family":"Sawyer","given":"Taylor","non-dropping-particle":"","parse-names":false,"suffix":""},{"dropping-particle":"","family":"Lentz-Kapua","given":"Sarah","non-dropping-particle":"","parse-names":false,"suffix":""},{"dropping-particle":"","family":"Kanis","given":"Adam","non-dropping-particle":"","parse-names":false,"suffix":""},{"dropping-particle":"","family":"Studer","given":"Matthew","non-dropping-particle":"","parse-names":false,"suffix":""}],"container-title":"Pediatric Cardiology","id":"ITEM-3","issue":"5","issued":{"date-parts":[["2013","6"]]},"page":"1244-1246","title":"A case of Wolf-Hirschhorn syndrome and hypoplastic left heart syndrome.","type":"article-journal","volume":"34"},"uris":["http://www.mendeley.com/documents/?uuid=e87977eb-d5a1-4035-b607-585782ce35fd"]},{"id":"ITEM-4","itemData":{"author":[{"dropping-particle":"","family":"Centerwall","given":"W.","non-dropping-particle":"","parse-names":false,"suffix":""},{"dropping-particle":"","family":"Thompson","given":"W.","non-dropping-particle":"","parse-names":false,"suffix":""},{"dropping-particle":"","family":"Irving","given":"A.","non-dropping-particle":"","parse-names":false,"suffix":""},{"dropping-particle":"","family":"Fobes","given":"C.","non-dropping-particle":"","parse-names":false,"suffix":""}],"container-title":"American Journal of Disease of Children","id":"ITEM-4","issued":{"date-parts":[["1975"]]},"title":"Translocation 4p- Syndrome: A general review","type":"article-journal","volume":"129"},"uris":["http://www.mendeley.com/documents/?uuid=f0608f1e-822f-4a72-ae90-cdc64016ad0f"]},{"id":"ITEM-5","itemData":{"author":[{"dropping-particle":"","family":"Battaglia","given":"Agatino","non-dropping-particle":"","parse-names":false,"suffix":""},{"dropping-particle":"","family":"Carey","given":"John C.","non-dropping-particle":"","parse-names":false,"suffix":""},{"dropping-particle":"","family":"Wright","given":"C G","non-dropping-particle":"","parse-names":false,"suffix":""}],"container-title":"Advances in Pediatrics","id":"ITEM-5","issued":{"date-parts":[["2001"]]},"page":"75–113.","title":"Wolf– Hirschhorn (4p-) syndrome.","type":"article-journal","volume":"48"},"uris":["http://www.mendeley.com/documents/?uuid=7f33f23a-bc46-4c5c-b29e-ea6cbd3aea53"]},{"id":"ITEM-6","itemData":{"DOI":"10.1002/ajmg.c.31449","abstract":"Since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Genetics","id":"ITEM-6","issue":"3","issued":{"date-parts":[["2015","9"]]},"language":"English","note":"From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update","type":"article-journal","volume":"169"},"uris":["http://www.mendeley.com/documents/?uuid=acb46dbc-8007-4dc4-b32c-d930a3f9d182"]}],"mendeley":{"formattedCitation":"(Agatino Battaglia et al., 2015b, 2001; Centerwall et al., 1975; Plaiasu et al., 2011; Tautz et al., 2010; von Elten, Sawyer, Lentz-Kapua, Kanis, &amp; Studer, 2013)","manualFormatting":"( Battaglia, Carey, &amp; South, 2015; Battaglia et al., 2001; Centerwall et al., 1975; Plaiasu et al., 2011; Tautz et al., 2010; von Elten, Sawyer, Lentz-Kapua, Kanis, &amp; Studer, 2013)","plainTextFormattedCitation":"(Agatino Battaglia et al., 2015b, 2001; Centerwall et al., 1975; Plaiasu et al., 2011; Tautz et al., 2010; von Elten, Sawyer, Lentz-Kapua, Kanis, &amp; Studer, 2013)","previouslyFormattedCitation":"(Agatino Battaglia et al., 2015b, 2001; Centerwall et al., 1975; Plaiasu et al., 2011; Tautz et al., 2010; von Elten, Sawyer, Lentz-Kapua, Kanis, &amp; Studer, 2013)"},"properties":{"noteIndex":0},"schema":"https://github.com/citation-style-language/schema/raw/master/csl-citation.json"}</w:instrText>
      </w:r>
      <w:r w:rsidRPr="006A1EC7">
        <w:rPr>
          <w:lang w:val="es-ES_tradnl"/>
        </w:rPr>
        <w:fldChar w:fldCharType="separate"/>
      </w:r>
      <w:r w:rsidRPr="006A1EC7">
        <w:rPr>
          <w:noProof/>
        </w:rPr>
        <w:t>( Battaglia, Carey, &amp; South, 2015; Battaglia et al., 2001; Centerwall et al., 1975; Plaiasu et al., 2011; Tautz et al., 2010; von Elten, Sawyer, Lentz-Kapua, Kanis, &amp; Studer, 2013)</w:t>
      </w:r>
      <w:r w:rsidRPr="006A1EC7">
        <w:rPr>
          <w:lang w:val="es-ES_tradnl"/>
        </w:rPr>
        <w:fldChar w:fldCharType="end"/>
      </w:r>
    </w:p>
    <w:p w14:paraId="54867173" w14:textId="77777777" w:rsidR="00A40374" w:rsidRPr="006A1EC7" w:rsidRDefault="00A40374" w:rsidP="00A40374">
      <w:pPr>
        <w:spacing w:line="360" w:lineRule="auto"/>
        <w:ind w:firstLine="720"/>
        <w:rPr>
          <w:lang w:val="es-ES_tradnl"/>
        </w:rPr>
      </w:pPr>
    </w:p>
    <w:p w14:paraId="34FC5896" w14:textId="77777777" w:rsidR="00065496" w:rsidRPr="006A1EC7" w:rsidRDefault="00065496" w:rsidP="00A40374">
      <w:pPr>
        <w:pStyle w:val="Heading4"/>
        <w:spacing w:line="360" w:lineRule="auto"/>
        <w:rPr>
          <w:rFonts w:ascii="Times New Roman" w:hAnsi="Times New Roman" w:cs="Times New Roman"/>
        </w:rPr>
      </w:pPr>
      <w:r w:rsidRPr="006A1EC7">
        <w:rPr>
          <w:rFonts w:ascii="Times New Roman" w:hAnsi="Times New Roman" w:cs="Times New Roman"/>
        </w:rPr>
        <w:t>Renal and genitourinary abnormalities</w:t>
      </w:r>
    </w:p>
    <w:p w14:paraId="4FDF4031" w14:textId="36A4B7ED" w:rsidR="00065496" w:rsidRPr="006A1EC7" w:rsidRDefault="00065496" w:rsidP="00A40374">
      <w:pPr>
        <w:pStyle w:val="NoSpacing"/>
        <w:spacing w:line="360" w:lineRule="auto"/>
        <w:ind w:firstLine="720"/>
      </w:pPr>
      <w:r w:rsidRPr="006A1EC7">
        <w:t xml:space="preserve">Renal deficiencies, such as cystic dysplasia/hypoplasia, </w:t>
      </w:r>
      <w:r w:rsidR="00A40374" w:rsidRPr="006A1EC7">
        <w:t>oligomeganephronia</w:t>
      </w:r>
      <w:r w:rsidRPr="006A1EC7">
        <w:t xml:space="preserve">, </w:t>
      </w:r>
      <w:r w:rsidR="00A40374" w:rsidRPr="006A1EC7">
        <w:t>horseshoe</w:t>
      </w:r>
      <w:r w:rsidRPr="006A1EC7">
        <w:t xml:space="preserve"> kidney, renal malrotation, bladder </w:t>
      </w:r>
      <w:r w:rsidR="00A40374" w:rsidRPr="006A1EC7">
        <w:t>exstrophy</w:t>
      </w:r>
      <w:r w:rsidRPr="006A1EC7">
        <w:t xml:space="preserve">, obstructive uropathy and vesicoureteral reflux are reported </w:t>
      </w:r>
      <w:r w:rsidRPr="006A1EC7">
        <w:fldChar w:fldCharType="begin" w:fldLock="1"/>
      </w:r>
      <w:r w:rsidRPr="006A1EC7">
        <w:instrText>ADDIN CSL_CITATION {"citationItems":[{"id":"ITEM-1","itemData":{"DOI":"10.1002/ajmg.a.33357","ISSN":"15524825","PMID":"20425837","abstract":"Wolf-Hirschhorn syndrome (WHS) is a chromosomal disorder characterized by partial deletion of the short arm of chromosome 4. We describe a girl with a de novo unbalanced traslocation t(4;7)(p16.2;p22), associated with a mild version of a classical WHS phenotype. She did not present major urinary tract abnormalities but had parenchymal hyperechogenicity at renal ultrasound at the birth with normal renal scintigraphy. She had also a reduction of GFR with elevated levels of blood urea nitrogen and serum potassium until the age of 6 months. We followed the patient with periodic clinical examination and laboratory and radiological investigations and observed at the age of 5 years a normal renal ultrasound without parenchymal hyperechogenicity.","author":[{"dropping-particle":"","family":"Ferrara","given":"P.","non-dropping-particle":"","parse-names":false,"suffix":""},{"dropping-particle":"","family":"Bufalo","given":"F.","non-dropping-particle":"Del","parse-names":false,"suffix":""},{"dropping-particle":"","family":"Nicoletti","given":"A.","non-dropping-particle":"","parse-names":false,"suffix":""},{"dropping-particle":"","family":"Romano","given":"V.","non-dropping-particle":"","parse-names":false,"suffix":""},{"dropping-particle":"","family":"Gatto","given":"A.","non-dropping-particle":"","parse-names":false,"suffix":""},{"dropping-particle":"","family":"Leoni","given":"C.","non-dropping-particle":"","parse-names":false,"suffix":""},{"dropping-particle":"","family":"Zampino","given":"G.","non-dropping-particle":"","parse-names":false,"suffix":""}],"container-title":"American journal of medical genetics. Part A","id":"ITEM-1","issue":"5","issued":{"date-parts":[["2010","5"]]},"page":"1283-1284","title":"Wolf-Hirschhorn syndrome with improvement of renal function","type":"article-journal","volume":"152A"},"uris":["http://www.mendeley.com/documents/?uuid=b53526fe-368a-44c8-b82d-fe2e91671a48"]},{"id":"ITEM-2","itemData":{"DOI":"10.1002/ajmg.c.30190","ISBN":"1552-4876 (Electronic)","ISSN":"15524868","PMID":"18932124","abstract":"Based on genotype-phenotype correlation analysis of 80 Wolf-Hirschhorn syndrome (WHS) patients, as well as on review of relevant literature, we add further insights to the following aspects of WHS: (1) clinical delineation and phenotypic categories; (2) characterization of the basic genomic defect, mechanisms of origin and familiarity; (3) identification of prognostic factors for mental retardation; (4) chromosome mapping of the distinctive clinical signs, in an effort to identify pathogenic genes. Clinically, we consider that minimal diagnostic criteria for WHS, defining a \"core\" phenotype, are typical facial appearance, mental retardation, growth delay and seizures (or EEG anomalies). Three different categories of the WHS phenotype were defined, generally correlating with the extent of the 4p deletion. The first one comprises a small deletion not exceeding 3.5 Mb, that is usually associated with a mild phenotype, lacking major malformations. This category is likely under-diagnosed. The second and by far the more frequent category is identified by large deletions, averaging between 5 and 18 Mb, and causes the widely recognizable WHS phenotype. The third clinical category results from a very large deletion exceeding 22-25 Mb causing a severe phenotype, that can hardly be defined as typical WHS. Genetically, de novo chromosome abnormalities in WHS include pure deletions but also complex rearrangements, mainly unbalanced translocations. With the exception of t(4p;8p), WHS-associated chromosome abnormalities are neither mediated by segmental duplications, nor associated with a parental inversion polymorphism on 4p16.3. Factors involved in prediction of prognosis include the extent of the deletion, the occurrence of complex chromosome anomalies, and the severity of seizures. We found that the core phenotype maps within the terminal 1.9 Mb region of chromosome 4p. Therefore, WHSCR-2 should be considered the critical region for this condition. We also confirmed that the pathogenesis of WHS is multigenic. Specific and independent chromosome regions were characterized for growth delay and seizures, as well as for the additional clinical signs that characterize this condition. With the exception of parental balanced translocations, familial recurrence is uncommon.","author":[{"dropping-particle":"","family":"Zollino","given":"Marcella","non-dropping-particle":"","parse-names":false,"suffix":""},{"dropping-particle":"","family":"Murdolo","given":"Marina","non-dropping-particle":"","parse-names":false,"suffix":""},{"dropping-particle":"","family":"Marangi","given":"Giuseppe","non-dropping-particle":"","parse-names":false,"suffix":""},{"dropping-particle":"","family":"Pecile","given":"Vanna","non-dropping-particle":"","parse-names":false,"suffix":""},{"dropping-particle":"","family":"Galasso","given":"Cinzia","non-dropping-particle":"","parse-names":false,"suffix":""},{"dropping-particle":"","family":"Mazzanti","given":"Laura","non-dropping-particle":"","parse-names":false,"suffix":""},{"dropping-particle":"","family":"Neri","given":"Giovanni","non-dropping-particle":"","parse-names":false,"suffix":""}],"container-title":"American journal of medical genetics. Part C, Seminars in medical genetics","id":"ITEM-2","issue":"4","issued":{"date-parts":[["2008","11"]]},"page":"257-269","title":"On the nosology and pathogenesis of Wolf-Hirschhorn syndrome: Genotype-phenotype correlation analysis of 80 patients and literature review","type":"article-journal","volume":"148C"},"uris":["http://www.mendeley.com/documents/?uuid=70e28f91-bd88-443c-a4a0-868c7479c7f1"]},{"id":"ITEM-3","itemData":{"DOI":"10.1002/ajmg.a.35966","ISBN":"1552-4833 (Electronic)\\r1552-4825 (Linking)","ISSN":"15524825","PMID":"23696331","abstract":"Wolf-Hirschhorn syndrome (WHS) is a rare microdeletion syndrome associated with a characteristic facial appearance, failure to thrive, psychomotor delays, and various major malformations of internal organs; many medical complications have been described (feeding difficulties, epilepsy, hearing problems). Benign or malignant oncologic problems are not a typical feature of the natural history of these patients. We report on two patients with WHS patients in whom hepatic adenoma (HA) were diagnosed during adolescence. The clinical evolution of liver involvement was different between the two. We discuss the possibility of considering HA as a rare medical problem in the follow-up of WHS patients. © 2013 Wiley Periodicals, Inc.","author":[{"dropping-particle":"","family":"Prunotto","given":"Giulia","non-dropping-particle":"","parse-names":false,"suffix":""},{"dropping-particle":"","family":"Cianci","given":"Paola","non-dropping-particle":"","parse-names":false,"suffix":""},{"dropping-particle":"","family":"Cereda","given":"Anna","non-dropping-particle":"","parse-names":false,"suffix":""},{"dropping-particle":"","family":"Scatigno","given":"Agnese","non-dropping-particle":"","parse-names":false,"suffix":""},{"dropping-particle":"","family":"Fossati","given":"Chiara","non-dropping-particle":"","parse-names":false,"suffix":""},{"dropping-particle":"","family":"Maitz","given":"Silvia","non-dropping-particle":"","parse-names":false,"suffix":""},{"dropping-particle":"","family":"Biondi","given":"Andrea","non-dropping-particle":"","parse-names":false,"suffix":""},{"dropping-particle":"","family":"Selicorni","given":"Angelo","non-dropping-particle":"","parse-names":false,"suffix":""}],"container-title":"American journal of medical genetics. Part A","id":"ITEM-3","issue":"7","issued":{"date-parts":[["2013","7"]]},"page":"1759-1762","title":"Two cases of hepatic adenomas in patients with wolf-hirschhorn syndrome: A new rare complication?","type":"article-journal","volume":"161"},"uris":["http://www.mendeley.com/documents/?uuid=5619112c-cc38-4502-8e96-ec4ee12201f7"]}],"mendeley":{"formattedCitation":"(Ferrara et al., 2010; Prunotto et al., 2013; Zollino et al., 2008)","plainTextFormattedCitation":"(Ferrara et al., 2010; Prunotto et al., 2013; Zollino et al., 2008)","previouslyFormattedCitation":"(Ferrara et al., 2010; Prunotto et al., 2013; Zollino et al., 2008)"},"properties":{"noteIndex":0},"schema":"https://github.com/citation-style-language/schema/raw/master/csl-citation.json"}</w:instrText>
      </w:r>
      <w:r w:rsidRPr="006A1EC7">
        <w:fldChar w:fldCharType="separate"/>
      </w:r>
      <w:r w:rsidRPr="006A1EC7">
        <w:rPr>
          <w:noProof/>
        </w:rPr>
        <w:t>(Ferrara et al., 2010; Prunotto et al., 2013; Zollino et al., 2008)</w:t>
      </w:r>
      <w:r w:rsidRPr="006A1EC7">
        <w:fldChar w:fldCharType="end"/>
      </w:r>
      <w:r w:rsidRPr="006A1EC7">
        <w:t xml:space="preserve">. Furthermore, up to 50% of patients present with genitourinary tract effects  </w:t>
      </w:r>
      <w:r w:rsidRPr="006A1EC7">
        <w:fldChar w:fldCharType="begin" w:fldLock="1"/>
      </w:r>
      <w:r w:rsidRPr="006A1EC7">
        <w:instrText>ADDIN CSL_CITATION {"citationItems":[{"id":"ITEM-1","itemData":{"DOI":"10.1002/ajmg.c.31449","abstract":"Since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update","type":"article-journal","volume":"169"},"uris":["http://www.mendeley.com/documents/?uuid=acb46dbc-8007-4dc4-b32c-d930a3f9d182"]}],"mendeley":{"formattedCitation":"(Agatino Battaglia et al., 2015b)","manualFormatting":"( Battaglia et al., 2015)","plainTextFormattedCitation":"(Agatino Battaglia et al., 2015b)","previouslyFormattedCitation":"(Agatino Battaglia et al., 2015b)"},"properties":{"noteIndex":0},"schema":"https://github.com/citation-style-language/schema/raw/master/csl-citation.json"}</w:instrText>
      </w:r>
      <w:r w:rsidRPr="006A1EC7">
        <w:fldChar w:fldCharType="separate"/>
      </w:r>
      <w:r w:rsidRPr="006A1EC7">
        <w:rPr>
          <w:noProof/>
          <w:lang w:val="it-IT"/>
        </w:rPr>
        <w:t>( Battaglia et al., 2015)</w:t>
      </w:r>
      <w:r w:rsidRPr="006A1EC7">
        <w:fldChar w:fldCharType="end"/>
      </w:r>
      <w:r w:rsidRPr="006A1EC7">
        <w:t xml:space="preserve">. </w:t>
      </w:r>
    </w:p>
    <w:p w14:paraId="42AE7F80" w14:textId="77777777" w:rsidR="00065496" w:rsidRPr="006A1EC7" w:rsidRDefault="00065496" w:rsidP="00A40374">
      <w:pPr>
        <w:pStyle w:val="NoSpacing"/>
        <w:spacing w:line="360" w:lineRule="auto"/>
      </w:pPr>
    </w:p>
    <w:p w14:paraId="3B5E3A53" w14:textId="77777777" w:rsidR="00065496" w:rsidRPr="006A1EC7" w:rsidRDefault="00065496" w:rsidP="00A40374">
      <w:pPr>
        <w:pStyle w:val="Heading4"/>
        <w:spacing w:line="360" w:lineRule="auto"/>
        <w:rPr>
          <w:rFonts w:ascii="Times New Roman" w:hAnsi="Times New Roman" w:cs="Times New Roman"/>
        </w:rPr>
      </w:pPr>
      <w:r w:rsidRPr="006A1EC7">
        <w:rPr>
          <w:rFonts w:ascii="Times New Roman" w:hAnsi="Times New Roman" w:cs="Times New Roman"/>
        </w:rPr>
        <w:t>Respiratory issues</w:t>
      </w:r>
    </w:p>
    <w:p w14:paraId="28F0606A" w14:textId="77777777" w:rsidR="00065496" w:rsidRPr="006A1EC7" w:rsidRDefault="00065496" w:rsidP="00A40374">
      <w:pPr>
        <w:spacing w:line="360" w:lineRule="auto"/>
        <w:ind w:firstLine="720"/>
      </w:pPr>
      <w:r w:rsidRPr="006A1EC7">
        <w:t xml:space="preserve">Structural abnormalities in the respiratory tract and lung are also reported and this thus places individuals at higher risk for respiratory infections </w:t>
      </w:r>
      <w:r w:rsidRPr="006A1EC7">
        <w:fldChar w:fldCharType="begin" w:fldLock="1"/>
      </w:r>
      <w:r w:rsidRPr="006A1EC7">
        <w:instrText>ADDIN CSL_CITATION {"citationItems":[{"id":"ITEM-1","itemData":{"DOI":"10.1016/S0022-3476(98)70194-5","ISSN":"00223476","abstract":"We identified antibody deficiencies in 9 of 13 infection-prone children with the Wolf-Hirschhorn syndrome (4p-monosomy). Eight of the immunodeficient children were identified by a questionnaire sent to 190 families with an affected child. Two of the children had common variable immunodeficiency, one had IgA and IgG2 subclass deficiency, three had IgA deficiency, and three had impaired polysaccharide responsiveness. T-cell immunity was normal. The association of antibody defects with Wolf-Hirschhorn syndrome suggests a regulatory gene within the deleted chromosome region that affects the B cell system. (J Pediatr 1998;133:141-3)","author":[{"dropping-particle":"","family":"Hanley-Lopez","given":"Jean","non-dropping-particle":"","parse-names":false,"suffix":""},{"dropping-particle":"","family":"Estabrooks","given":"Laurel L.","non-dropping-particle":"","parse-names":false,"suffix":""},{"dropping-particle":"","family":"Stiehm","given":"E.Richard R","non-dropping-particle":"","parse-names":false,"suffix":""}],"container-title":"Journal of Pediatrics","id":"ITEM-1","issue":"1","issued":{"date-parts":[["1998"]]},"language":"English","note":"From Duplicate 2 (Antibody deficiency in Wolf-Hirschhorn syndrome - Hanley-Lopez, J; Estabrooks, L L; Stiehm, E R)\n\nCited By :37\n\nExport Date: 5 January 2018\n\nCODEN: JOPDA\n\nCorrespondence Address: Stiehm, E.R.; UCLA Children's Hospital, 10833 Le Conte Ave., Los Angeles, CA 90095-1752, United States","page":"141-143","publisher":"Mosby Inc.","publisher-place":"UCLA Children's Hospital, 10833 Le Conte Ave., Los Angeles, CA 90095-1752, United States","title":"Antibody deficiency in Wolf-Hirschhorn syndrome","type":"article-journal","volume":"133"},"uris":["http://www.mendeley.com/documents/?uuid=8a8e21ad-987e-4416-a2ba-e90a62fdea79"]},{"id":"ITEM-2","itemData":{"DOI":"10.1002/ajmg.c.31449","abstract":"Since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Genetics","id":"ITEM-2","issue":"3","issued":{"date-parts":[["2015","9"]]},"language":"English","note":"From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update","type":"article-journal","volume":"169"},"uris":["http://www.mendeley.com/documents/?uuid=acb46dbc-8007-4dc4-b32c-d930a3f9d182"]}],"mendeley":{"formattedCitation":"(Agatino Battaglia et al., 2015b; Jean Hanley-Lopez et al., 1998)","manualFormatting":"(Battaglia et al., 2015; Hanley-Lopez et al., 1998)","plainTextFormattedCitation":"(Agatino Battaglia et al., 2015b; Jean Hanley-Lopez et al., 1998)","previouslyFormattedCitation":"(Agatino Battaglia et al., 2015b; Jean Hanley-Lopez et al., 1998)"},"properties":{"noteIndex":0},"schema":"https://github.com/citation-style-language/schema/raw/master/csl-citation.json"}</w:instrText>
      </w:r>
      <w:r w:rsidRPr="006A1EC7">
        <w:fldChar w:fldCharType="separate"/>
      </w:r>
      <w:r w:rsidRPr="006A1EC7">
        <w:rPr>
          <w:noProof/>
        </w:rPr>
        <w:t>(Battaglia et al., 2015; Hanley-Lopez et al., 1998)</w:t>
      </w:r>
      <w:r w:rsidRPr="006A1EC7">
        <w:fldChar w:fldCharType="end"/>
      </w:r>
      <w:r w:rsidRPr="006A1EC7">
        <w:t xml:space="preserve">. </w:t>
      </w:r>
    </w:p>
    <w:p w14:paraId="28AF8951" w14:textId="77777777" w:rsidR="00065496" w:rsidRPr="006A1EC7" w:rsidRDefault="00065496" w:rsidP="00A40374">
      <w:pPr>
        <w:spacing w:line="360" w:lineRule="auto"/>
        <w:ind w:firstLine="720"/>
      </w:pPr>
    </w:p>
    <w:p w14:paraId="7133B4DA" w14:textId="77777777" w:rsidR="00065496" w:rsidRPr="006A1EC7" w:rsidRDefault="00065496" w:rsidP="00A40374">
      <w:pPr>
        <w:pStyle w:val="Heading4"/>
        <w:rPr>
          <w:rFonts w:ascii="Times New Roman" w:hAnsi="Times New Roman" w:cs="Times New Roman"/>
        </w:rPr>
      </w:pPr>
      <w:r w:rsidRPr="006A1EC7">
        <w:rPr>
          <w:rFonts w:ascii="Times New Roman" w:hAnsi="Times New Roman" w:cs="Times New Roman"/>
        </w:rPr>
        <w:t>Gastrointestinal features</w:t>
      </w:r>
    </w:p>
    <w:p w14:paraId="67ADF386" w14:textId="44819AB8" w:rsidR="00065496" w:rsidRPr="006A1EC7" w:rsidRDefault="00065496" w:rsidP="00A40374">
      <w:pPr>
        <w:spacing w:line="360" w:lineRule="auto"/>
        <w:ind w:firstLine="720"/>
      </w:pPr>
      <w:r w:rsidRPr="006A1EC7">
        <w:t xml:space="preserve">In addition to the gastrointestinal feature alluded to above (poor feeding, …), further abnormalities of the gastrointestinal features involve the liver, gallbladder, gut, diaphragm and oesophagus  </w:t>
      </w:r>
      <w:r w:rsidRPr="006A1EC7">
        <w:fldChar w:fldCharType="begin" w:fldLock="1"/>
      </w:r>
      <w:r w:rsidRPr="006A1EC7">
        <w:instrText>ADDIN CSL_CITATION {"citationItems":[{"id":"ITEM-1","itemData":{"DOI":"10.1002/ajmg.c.31449","abstract":"Since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update","type":"article-journal","volume":"169"},"uris":["http://www.mendeley.com/documents/?uuid=acb46dbc-8007-4dc4-b32c-d930a3f9d182"]}],"mendeley":{"formattedCitation":"(Agatino Battaglia et al., 2015b)","manualFormatting":"(Battaglia et al., 2015)","plainTextFormattedCitation":"(Agatino Battaglia et al., 2015b)","previouslyFormattedCitation":"(Agatino Battaglia et al., 2015b)"},"properties":{"noteIndex":0},"schema":"https://github.com/citation-style-language/schema/raw/master/csl-citation.json"}</w:instrText>
      </w:r>
      <w:r w:rsidRPr="006A1EC7">
        <w:fldChar w:fldCharType="separate"/>
      </w:r>
      <w:r w:rsidRPr="006A1EC7">
        <w:rPr>
          <w:noProof/>
        </w:rPr>
        <w:t>(Battaglia et al., 2015)</w:t>
      </w:r>
      <w:r w:rsidRPr="006A1EC7">
        <w:fldChar w:fldCharType="end"/>
      </w:r>
      <w:r w:rsidRPr="006A1EC7">
        <w:t xml:space="preserve">. </w:t>
      </w:r>
    </w:p>
    <w:p w14:paraId="17643DEA" w14:textId="77777777" w:rsidR="00065496" w:rsidRPr="006A1EC7" w:rsidRDefault="00065496" w:rsidP="00A40374">
      <w:pPr>
        <w:spacing w:line="360" w:lineRule="auto"/>
        <w:rPr>
          <w:color w:val="000000" w:themeColor="text1"/>
        </w:rPr>
      </w:pPr>
    </w:p>
    <w:p w14:paraId="7BA7F280" w14:textId="77777777" w:rsidR="00065496" w:rsidRPr="006A1EC7" w:rsidRDefault="00065496" w:rsidP="00A40374">
      <w:pPr>
        <w:pStyle w:val="Heading4"/>
        <w:spacing w:line="360" w:lineRule="auto"/>
        <w:rPr>
          <w:rFonts w:ascii="Times New Roman" w:hAnsi="Times New Roman" w:cs="Times New Roman"/>
        </w:rPr>
      </w:pPr>
      <w:r w:rsidRPr="006A1EC7">
        <w:rPr>
          <w:rFonts w:ascii="Times New Roman" w:hAnsi="Times New Roman" w:cs="Times New Roman"/>
        </w:rPr>
        <w:t>Additional features</w:t>
      </w:r>
    </w:p>
    <w:p w14:paraId="5BB97E09" w14:textId="4009E99D" w:rsidR="00A40374" w:rsidRPr="006A1EC7" w:rsidRDefault="00065496" w:rsidP="00A40374">
      <w:pPr>
        <w:spacing w:line="360" w:lineRule="auto"/>
        <w:ind w:firstLine="720"/>
      </w:pPr>
      <w:r w:rsidRPr="006A1EC7">
        <w:rPr>
          <w:noProof/>
          <w:lang w:val="it-IT"/>
        </w:rPr>
        <w:t xml:space="preserve">Further clinical features of WHS include skin changes, such as hemangiomas, dry skin and sacral dimples </w:t>
      </w:r>
      <w:r w:rsidRPr="006A1EC7">
        <w:fldChar w:fldCharType="begin" w:fldLock="1"/>
      </w:r>
      <w:r w:rsidRPr="006A1EC7">
        <w:rPr>
          <w:lang w:val="fr-FR"/>
        </w:rPr>
        <w:instrText>ADDIN CSL_CITATION {"citationItems":[{"id":"ITEM-1","itemData":{"DOI":"10.1002/ajmg.c.31449","abstract":"Since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update","type":"article-journal","volume":"169"},"uris":["http://www.mendeley.com/documents/?uuid=acb46dbc-8007-4dc4-b32c-d930a3f9d182"]},{"id":"ITEM-2","itemData":{"DOI":"10.1002/ajmg.a.33159","ISBN":"1552-4833 (Electronic)","ISSN":"15524825","PMID":"20034099","author":[{"dropping-particle":"","family":"Shanske","given":"Alan L.","non-dropping-particle":"","parse-names":false,"suffix":""},{"dropping-particle":"","family":"Yachelevich","given":"Naomi","non-dropping-particle":"","parse-names":false,"suffix":""},{"dropping-particle":"","family":"Ala-Kokko","given":"Leena","non-dropping-particle":"","parse-names":false,"suffix":""},{"dropping-particle":"","family":"Leonard","given":"Jay","non-dropping-particle":"","parse-names":false,"suffix":""},{"dropping-particle":"","family":"Levy","given":"Brynn","non-dropping-particle":"","parse-names":false,"suffix":""}],"container-title":"American Journal of Medical Genetics, Part A","id":"ITEM-2","issue":"1","issued":{"date-parts":[["2010"]]},"language":"English","note":"From Duplicate 2 (Wolf-Hirschhorn syndrome and ectrodactyly: New findings and a review of the literature - Shanske, A L; Yachelevich, N; Ala-Kokko, L; Leonard, J; Levy, B)\n\nCited By :5\n\nExport Date: 5 January 2018\n\nCODEN: AJMGD\n\nCorrespondence Address: Shanske, A. L.; Center for Craniofacial Disorders, Children's Hospital at Montefiore, Albert Einstein College of Medicine, Bronx, NY, United States; email: ashanske@aol.com","page":"203-208","publisher-place":"Center for Craniofacial Disorders, Children's Hospital at Montefiore, Albert Einstein College of Medicine, Bronx, NY, United States","title":"Wolf-Hirschhorn syndrome and ectrodactyly: New findings and a review of the literature","type":"article-journal","volume":"152"},"uris":["http://www.mendeley.com/documents/?uuid=f2ec0bff-4966-49f3-b78b-29aa47b69398"]}],"mendeley":{"formattedCitation":"(Agatino Battaglia et al., 2015b; Shanske et al., 2010)","plainTextFormattedCitation":"(Agatino Battaglia et al., 2015b; Shanske et al., 2010)","previouslyFormattedCitation":"(Agatino Battaglia et al., 2015b; Shanske et al., 2010)"},"properties":{"noteIndex":0},"schema":"https://github.com/citation-style-language/schema/raw/master/csl-citation.json"}</w:instrText>
      </w:r>
      <w:r w:rsidRPr="006A1EC7">
        <w:fldChar w:fldCharType="separate"/>
      </w:r>
      <w:r w:rsidRPr="006A1EC7">
        <w:rPr>
          <w:noProof/>
          <w:lang w:val="fr-FR"/>
        </w:rPr>
        <w:t>(Battaglia et al., 2015; Shanske et al., 2010)</w:t>
      </w:r>
      <w:r w:rsidRPr="006A1EC7">
        <w:fldChar w:fldCharType="end"/>
      </w:r>
      <w:r w:rsidRPr="006A1EC7">
        <w:t xml:space="preserve">, retarded bone age of patients </w:t>
      </w:r>
      <w:r w:rsidRPr="006A1EC7">
        <w:fldChar w:fldCharType="begin" w:fldLock="1"/>
      </w:r>
      <w:r w:rsidRPr="006A1EC7">
        <w:instrText>ADDIN CSL_CITATION {"citationItems":[{"id":"ITEM-1","itemData":{"author":[{"dropping-particle":"","family":"Centerwall","given":"W.","non-dropping-particle":"","parse-names":false,"suffix":""},{"dropping-particle":"","family":"Thompson","given":"W.","non-dropping-particle":"","parse-names":false,"suffix":""},{"dropping-particle":"","family":"Irving","given":"A.","non-dropping-particle":"","parse-names":false,"suffix":""},{"dropping-particle":"","family":"Fobes","given":"C.","non-dropping-particle":"","parse-names":false,"suffix":""}],"container-title":"American Journal of Disease of Children","id":"ITEM-1","issued":{"date-parts":[["1975"]]},"title":"Translocation 4p- Syndrome: A general review","type":"article-journal","volume":"129"},"uris":["http://www.mendeley.com/documents/?uuid=f0608f1e-822f-4a72-ae90-cdc64016ad0f"]}],"mendeley":{"formattedCitation":"(Centerwall et al., 1975)","plainTextFormattedCitation":"(Centerwall et al., 1975)","previouslyFormattedCitation":"(Centerwall et al., 1975)"},"properties":{"noteIndex":0},"schema":"https://github.com/citation-style-language/schema/raw/master/csl-citation.json"}</w:instrText>
      </w:r>
      <w:r w:rsidRPr="006A1EC7">
        <w:fldChar w:fldCharType="separate"/>
      </w:r>
      <w:r w:rsidRPr="006A1EC7">
        <w:rPr>
          <w:noProof/>
        </w:rPr>
        <w:t>(Centerwall et al., 1975)</w:t>
      </w:r>
      <w:r w:rsidRPr="006A1EC7">
        <w:fldChar w:fldCharType="end"/>
      </w:r>
      <w:r w:rsidRPr="006A1EC7">
        <w:t xml:space="preserve">, disturbed sleep </w:t>
      </w:r>
      <w:r w:rsidRPr="006A1EC7">
        <w:rPr>
          <w:lang w:val="it-IT"/>
        </w:rPr>
        <w:fldChar w:fldCharType="begin" w:fldLock="1"/>
      </w:r>
      <w:r w:rsidRPr="006A1EC7">
        <w:instrText>ADDIN CSL_CITATION {"citationItems":[{"id":"ITEM-1","itemData":{"DOI":"10.1046/j.1365-2788.2002.00441.x","ISBN":"0964-2633 (Print)\\r0964-2633 (Linking)","ISSN":"09642633","PMID":"12354314","abstract":"BACKGROUND: Wolf-Hirschhorn syndrome (WHS) is a genetic condition characterized by many clinical disorders, learning difficulties, dysphagia, neuromotor deficits and communicative deficits. Up until now, no studies in the literature have described the development of communicative and functional abilities in subjects with WHS. METHOD: In the present study of 11 patients with WHS, a descriptive analysis was made of several abilities and three groups of patients were identified on the basis of the severity of their functional deficit. RESULTS: A non-homogeneous picture of impairment emerged in various areas of development. Overall, the neuromotor abilities of these patients were more adequate than their abilities related to autonomy in personal life, alimentary function, and cognitive and communicative-linguistic aspects. CONCLUSION: Based on the identification of specific patterns of communicative and functional impairment in subjects with WHS, rehabilitative intervention strategies can be planned to increase their communicative opportunities, and possibilities for active and autonomous participation in various life contexts (e.g. home, school and the social environment).","author":[{"dropping-particle":"","family":"Sabbadini","given":"M.","non-dropping-particle":"","parse-names":false,"suffix":""},{"dropping-particle":"","family":"Bombardi","given":"P.","non-dropping-particle":"","parse-names":false,"suffix":""},{"dropping-particle":"","family":"Carlesimo","given":"G. A.","non-dropping-particle":"","parse-names":false,"suffix":""},{"dropping-particle":"","family":"Rosato","given":"V.","non-dropping-particle":"","parse-names":false,"suffix":""},{"dropping-particle":"","family":"Pierro","given":"M. M.","non-dropping-particle":"","parse-names":false,"suffix":""}],"container-title":"Journal of Intellectual Disability Research","id":"ITEM-1","issue":"7","issued":{"date-parts":[["2002"]]},"page":"575-582","title":"Evaluation of communicative and functional abilities in Wolf-Hirshhorn syndrome","type":"article-journal","volume":"46"},"uris":["http://www.mendeley.com/documents/?uuid=0c03b625-5e35-44f5-8a79-47377293009e"]}],"mendeley":{"formattedCitation":"(Sabbadini et al., 2002)","plainTextFormattedCitation":"(Sabbadini et al., 2002)","previouslyFormattedCitation":"(Sabbadini et al., 2002)"},"properties":{"noteIndex":0},"schema":"https://github.com/citation-style-language/schema/raw/master/csl-citation.json"}</w:instrText>
      </w:r>
      <w:r w:rsidRPr="006A1EC7">
        <w:rPr>
          <w:lang w:val="it-IT"/>
        </w:rPr>
        <w:fldChar w:fldCharType="separate"/>
      </w:r>
      <w:r w:rsidRPr="006A1EC7">
        <w:rPr>
          <w:noProof/>
        </w:rPr>
        <w:t>(Sabbadini et al., 2002)</w:t>
      </w:r>
      <w:r w:rsidRPr="006A1EC7">
        <w:rPr>
          <w:lang w:val="it-IT"/>
        </w:rPr>
        <w:fldChar w:fldCharType="end"/>
      </w:r>
      <w:r w:rsidRPr="006A1EC7">
        <w:rPr>
          <w:lang w:val="it-IT"/>
        </w:rPr>
        <w:t xml:space="preserve"> and a </w:t>
      </w:r>
      <w:r w:rsidRPr="006A1EC7">
        <w:rPr>
          <w:lang w:val="it-IT"/>
        </w:rPr>
        <w:lastRenderedPageBreak/>
        <w:t xml:space="preserve">general failure to thrive </w:t>
      </w:r>
      <w:r w:rsidRPr="006A1EC7">
        <w:rPr>
          <w:lang w:val="it-IT"/>
        </w:rPr>
        <w:fldChar w:fldCharType="begin" w:fldLock="1"/>
      </w:r>
      <w:r w:rsidRPr="006A1EC7">
        <w:instrText>ADDIN CSL_CITATION {"citationItems":[{"id":"ITEM-1","itemData":{"ISSN":"15835251","abstract":"Wolf-Hirschhorn syndrome (WHS) is a well known condition caused by deletions in the chromosomal region 4p16.3. The clinical phenotype includes typical facial features, microcephaly, growth retardation, developmental delay and major congenital malformations. The clinician's ability to identify and diagnose WHS patients is essential due to the high clinical variability described for this syndrome. Here we describe 4 cases with WHS with different clinical phenotypes and we underline the importance of the complete genetic investigations for the accurate diagnosis of this condition.","author":[{"dropping-particle":"","family":"Plaiasu","given":"Vasilica","non-dropping-particle":"","parse-names":false,"suffix":""},{"dropping-particle":"","family":"Ochiana","given":"Diana","non-dropping-particle":"","parse-names":false,"suffix":""},{"dropping-particle":"","family":"Motei","given":"Gabriela","non-dropping-particle":"","parse-names":false,"suffix":""},{"dropping-particle":"","family":"Avram","given":"Paula","non-dropping-particle":"","parse-names":false,"suffix":""},{"dropping-particle":"","family":"Anca","given":"Ioana","non-dropping-particle":"","parse-names":false,"suffix":""},{"dropping-particle":"","family":"Georgescu","given":"Adrian","non-dropping-particle":"","parse-names":false,"suffix":""}],"id":"ITEM-1","issue":"1-2","issued":{"date-parts":[["2011"]]},"page":"92-97","title":"Wolf-Hirschhorn syndrome - A recognized rare chromosomal defect of clinical importance","type":"article-journal","volume":"61"},"uris":["http://www.mendeley.com/documents/?uuid=2e007321-6767-4187-b242-3a64db302657"]},{"id":"ITEM-2","itemData":{"DOI":"10.1038/sj.ejhg.5201203\\n5201203 [pii]","ISBN":"1018-4813 (Print)\\n1018-4813 (Linking)","ISSN":"1018-4813","PMID":"15241479","abstract":"A total of five Wolf-Hirschhorn syndrome (WHS) patient with a 4p16.3 de novo microdeletion was referred because of genotype-phenotype inconsistencies, first explained as phenotypic variability of the WHS. The actual deletion size was found to be about 12 Mb in three patients, 5 Mb in another one and 20 Mb in the last one, leading us to hypothesize the presence of an extrachromosome segment on the deleted 4p. A der(4)(4qter --&gt; p16.1::8p23 --&gt; pter) chromosome, resulting from an unbalanced de novo translocation was, in fact, detected in four patients and a der(4)(4qter --&gt; q32::4p15.3 --&gt; qter) in the last. Unbalanced t(4;8) translocations were maternal in origin, the rec(4p;4q) was paternal. With the purpose of verifying frequency and specificity of this phenomenon, we investigated yet another group of 20 WHS patients with de novo large deletions (n = 13) or microdeletions (n = 7) and with apparently straightforward genotype-phenotype correlations. The rearrangement was paternal in origin, and occurred as a single anomaly in 19 out of 20 patients. In the remaining patient, the deleted chromosome 4 was maternally derived and consisted of a der(4)(4qter --&gt; 4p16.3::8p23 --&gt; 8pter). In conclusions, we observed that 20% (5/25) of de novo WHS-associated rearrangements were maternal in origin and 80% (20/25) were paternal. All the maternally derived rearrangements were de novo unbalanced t(4;8) translocations and showed specific clinical phenotypes. Paternally derived rearrangements were usually isolated deletions. It can be inferred that a double, cryptic chromosome imbalance is an important factor for phenotypic variability in WHS. It acts either by masking the actual deletion size or by doubling a quantitative change of the genome.","author":[{"dropping-particle":"","family":"Zollino","given":"Marcella","non-dropping-particle":"","parse-names":false,"suffix":""},{"dropping-particle":"","family":"Lecce","given":"Rosetta","non-dropping-particle":"","parse-names":false,"suffix":""},{"dropping-particle":"","family":"Selicorni","given":"Angelo","non-dropping-particle":"","parse-names":false,"suffix":""},{"dropping-particle":"","family":"Murdolo","given":"Marina","non-dropping-particle":"","parse-names":false,"suffix":""},{"dropping-particle":"","family":"Mancuso","given":"Irene","non-dropping-particle":"","parse-names":false,"suffix":""},{"dropping-particle":"","family":"Marangi","given":"Giuseppe","non-dropping-particle":"","parse-names":false,"suffix":""},{"dropping-particle":"","family":"Zampino","given":"Giuseppe","non-dropping-particle":"","parse-names":false,"suffix":""},{"dropping-particle":"","family":"Garavelli","given":"Livia","non-dropping-particle":"","parse-names":false,"suffix":""},{"dropping-particle":"","family":"Ferrarini","given":"Alessandra","non-dropping-particle":"","parse-names":false,"suffix":""},{"dropping-particle":"","family":"Rocchi","given":"Mariano","non-dropping-particle":"","parse-names":false,"suffix":""},{"dropping-particle":"","family":"Opitz","given":"John M","non-dropping-particle":"","parse-names":false,"suffix":""},{"dropping-particle":"","family":"Neri","given":"Giovanni","non-dropping-particle":"","parse-names":false,"suffix":""}],"container-title":"Eur J Hum Genet","id":"ITEM-2","issue":"10","issued":{"date-parts":[["2004","10"]]},"language":"English","note":"From Duplicate 1 (A double cryptic chromosome imbalance is an important factor to explain phenotypic variability in Wolf-Hirschhorn syndrome - Zollino, Marcella; Lecce, Rosetta; Selicorni, Angelo; Murdolo, Marina; Mancuso, Irene; Marangi, Giuseppe; Zampino, Giuseppe; Garavelli, Livia; Ferrarini, Alessandra; Rocchi, Mariano; Opitz, John M; Neri, Giovanni)\n\nFrom Duplicate 3 (A double cryptic chromosome imbalance is an important factor to explain phenotypic variability in Wolf-Hirschhorn syndrome - Zollino, M; Lecce, R; Selicorni, A; Murdolo, M; Mancuso, I; Marangi, G; Zampino, G; Garavelli, L; Ferrarini, A; Rocchi, M; Opitz, J M; Neri, G)\n\nCited By :26\n\nExport Date: 5 January 2018\n\nCODEN: EJHGE\n\nCorrespondence Address: Zollino, M.; Istituto di Genetica Medica, Facoltà di Medica A. Gemelli, UCSC, L.go F. Vito, Rome 1 00168, Italy; email: mzollino@rm.unicatt.it","page":"797-804","publisher-place":"Istituto di Genetica Medica, Facolta di Medicina A. Gemelli, UCSC, L.go F. Vito, Rome 1 00168, Italy","title":"A double cryptic chromosome imbalance is an important factor to explain phenotypic variability in Wolf-Hirschhorn syndrome","type":"article-journal","volume":"12"},"uris":["http://www.mendeley.com/documents/?uuid=377b7b6d-67c5-4cf8-8e43-1ad98595b9b9"]}],"mendeley":{"formattedCitation":"(Plaiasu et al., 2011; Zollino et al., 2004)","manualFormatting":"(e.g. Plaiasu et al., 2011; Zollino et al., 2004)","plainTextFormattedCitation":"(Plaiasu et al., 2011; Zollino et al., 2004)","previouslyFormattedCitation":"(Plaiasu et al., 2011; Zollino et al., 2004)"},"properties":{"noteIndex":0},"schema":"https://github.com/citation-style-language/schema/raw/master/csl-citation.json"}</w:instrText>
      </w:r>
      <w:r w:rsidRPr="006A1EC7">
        <w:rPr>
          <w:lang w:val="it-IT"/>
        </w:rPr>
        <w:fldChar w:fldCharType="separate"/>
      </w:r>
      <w:r w:rsidRPr="006A1EC7">
        <w:rPr>
          <w:noProof/>
        </w:rPr>
        <w:t>(e.g. Plaiasu et al., 2011; Zollino et al., 2004)</w:t>
      </w:r>
      <w:r w:rsidRPr="006A1EC7">
        <w:rPr>
          <w:lang w:val="it-IT"/>
        </w:rPr>
        <w:fldChar w:fldCharType="end"/>
      </w:r>
      <w:r w:rsidRPr="006A1EC7">
        <w:rPr>
          <w:lang w:val="it-IT"/>
        </w:rPr>
        <w:t xml:space="preserve">. </w:t>
      </w:r>
      <w:r w:rsidRPr="006A1EC7">
        <w:t xml:space="preserve">Some cases with malignant haematological abnormalities, such as myelodysplastic syndrome, anaemia and neutropenia </w:t>
      </w:r>
      <w:r w:rsidRPr="006A1EC7">
        <w:fldChar w:fldCharType="begin" w:fldLock="1"/>
      </w:r>
      <w:r w:rsidRPr="006A1EC7">
        <w:instrText>ADDIN CSL_CITATION {"citationItems":[{"id":"ITEM-1","itemData":{"DOI":"10.1002/ajmg.a.20080","ISBN":"1552-4825 (Print)","ISSN":"15524825","PMID":"12749063","abstract":"Wolf-Hirschhorn syndrome (WHS) is a rare chromosomal disorder attributable to a deletion at the short arm of chromosome 4. This syndrome is associated with characteristic facial appearance, multiple congenital abnormalities, mental retardation, feeding difficulties and failure to thrive. We report two girls with WHS who developed myelodysplastic syndrome (MDS). According to the \"Category-Cytology-Cytogenetics (CCC)\"-classification of childhood MDS, patient 1 had refractory cytopenia with ring sideroblasts at the age of 6 years, while patient 2 had refractory cytopenia with dysplasia at the age of 51/2 years. Patient 1 progressed to refractory cytopenia with excess blasts within a year, while patient 2 progressed to acute lymphoblastic leukemia within 1 month of presentation. It is possible that allelic loss of a tumor suppressor gene such as WHSC1 and/or FGFR3 from the deleted segment 4p16.3 plays a critical role in the process of malignant transformation. To our knowledge, this is the first report of severe hematological complications like MDS and leukemia in children with WHS and may be an important genetic model for understanding malignant hematological transformation. This report also underscores the importance of evaluating children with WHS for hematopoietic dysfunction. (C) 2003 Wiley-Liss, Inc.","author":[{"dropping-particle":"","family":"Sharathkumar","given":"Anjali","non-dropping-particle":"","parse-names":false,"suffix":""},{"dropping-particle":"","family":"Kirby","given":"Melanie","non-dropping-particle":"","parse-names":false,"suffix":""},{"dropping-particle":"","family":"Freedman","given":"Melvin","non-dropping-particle":"","parse-names":false,"suffix":""},{"dropping-particle":"","family":"Abdelhaleem","given":"Mohamed","non-dropping-particle":"","parse-names":false,"suffix":""},{"dropping-particle":"","family":"Chitayat","given":"David","non-dropping-particle":"","parse-names":false,"suffix":""},{"dropping-particle":"","family":"Teshima","given":"Ikuko E","non-dropping-particle":"","parse-names":false,"suffix":""},{"dropping-particle":"","family":"Dror","given":"Yigal","non-dropping-particle":"","parse-names":false,"suffix":""}],"container-title":"American journal of medical genetics. Part A","id":"ITEM-1","issue":"2","issued":{"date-parts":[["2003"]]},"note":"From Duplicate 2 (Malignant hematological disorders in children with Wolf-Hirschhorn syndrome - Sharathkumar, A; Kirby, M; Freedman, M; Abdelhaleem, M; Chitayat, D; Teshima, I E; Dror, Y)\n\n12","page":"194-199","title":"Malignant hematological disorders in children with Wolf-Hirschhorn syndrome.","type":"article-journal","volume":"119A"},"uris":["http://www.mendeley.com/documents/?uuid=a5bc2c3c-e82e-4627-bfde-1287a57926f4"]}],"mendeley":{"formattedCitation":"(Sharathkumar et al., 2003)","plainTextFormattedCitation":"(Sharathkumar et al., 2003)","previouslyFormattedCitation":"(Sharathkumar et al., 2003)"},"properties":{"noteIndex":0},"schema":"https://github.com/citation-style-language/schema/raw/master/csl-citation.json"}</w:instrText>
      </w:r>
      <w:r w:rsidRPr="006A1EC7">
        <w:fldChar w:fldCharType="separate"/>
      </w:r>
      <w:r w:rsidRPr="006A1EC7">
        <w:rPr>
          <w:noProof/>
        </w:rPr>
        <w:t>(Sharathkumar et al., 2003)</w:t>
      </w:r>
      <w:r w:rsidRPr="006A1EC7">
        <w:fldChar w:fldCharType="end"/>
      </w:r>
      <w:r w:rsidRPr="006A1EC7">
        <w:t xml:space="preserve"> have also been reported.</w:t>
      </w:r>
      <w:r w:rsidR="00A40374" w:rsidRPr="006A1EC7">
        <w:t xml:space="preserve"> </w:t>
      </w:r>
    </w:p>
    <w:p w14:paraId="5F2148D9" w14:textId="76250F96" w:rsidR="00065496" w:rsidRPr="006A1EC7" w:rsidRDefault="00065496" w:rsidP="00744A8E">
      <w:pPr>
        <w:spacing w:line="360" w:lineRule="auto"/>
        <w:sectPr w:rsidR="00065496" w:rsidRPr="006A1EC7" w:rsidSect="00065496">
          <w:pgSz w:w="11900" w:h="16840"/>
          <w:pgMar w:top="1440" w:right="1701" w:bottom="1440" w:left="1701" w:header="720" w:footer="720" w:gutter="0"/>
          <w:cols w:space="720"/>
          <w:docGrid w:linePitch="360"/>
        </w:sectPr>
      </w:pPr>
    </w:p>
    <w:p w14:paraId="1AF4A6AB" w14:textId="099D5F2F" w:rsidR="00065496" w:rsidRPr="006A1EC7" w:rsidRDefault="00065496" w:rsidP="00A40374">
      <w:pPr>
        <w:pStyle w:val="Heading2"/>
        <w:spacing w:line="360" w:lineRule="auto"/>
        <w:rPr>
          <w:rFonts w:ascii="Times New Roman" w:hAnsi="Times New Roman" w:cs="Times New Roman"/>
        </w:rPr>
      </w:pPr>
      <w:bookmarkStart w:id="35" w:name="_Toc23522708"/>
      <w:bookmarkStart w:id="36" w:name="_Toc38821423"/>
      <w:bookmarkStart w:id="37" w:name="_Toc40172979"/>
      <w:r w:rsidRPr="006A1EC7">
        <w:rPr>
          <w:rFonts w:ascii="Times New Roman" w:hAnsi="Times New Roman" w:cs="Times New Roman"/>
        </w:rPr>
        <w:lastRenderedPageBreak/>
        <w:t>Health and rare disease</w:t>
      </w:r>
      <w:bookmarkEnd w:id="33"/>
      <w:bookmarkEnd w:id="34"/>
      <w:bookmarkEnd w:id="35"/>
      <w:bookmarkEnd w:id="36"/>
      <w:bookmarkEnd w:id="37"/>
    </w:p>
    <w:p w14:paraId="75594F42" w14:textId="77777777" w:rsidR="00A40374" w:rsidRPr="006A1EC7" w:rsidRDefault="00A40374" w:rsidP="00A40374"/>
    <w:p w14:paraId="36AAAEEF" w14:textId="412DC9DB" w:rsidR="00065496" w:rsidRPr="006A1EC7" w:rsidRDefault="00065496" w:rsidP="00A40374">
      <w:pPr>
        <w:spacing w:line="360" w:lineRule="auto"/>
        <w:ind w:firstLine="720"/>
      </w:pPr>
      <w:r w:rsidRPr="006A1EC7">
        <w:t xml:space="preserve">In 1946, the World Health Organisation (WHO) Constitution ambitiously defined </w:t>
      </w:r>
      <w:r w:rsidRPr="006A1EC7">
        <w:fldChar w:fldCharType="begin" w:fldLock="1"/>
      </w:r>
      <w:r w:rsidRPr="006A1EC7">
        <w:instrText>ADDIN CSL_CITATION {"citationItems":[{"id":"ITEM-1","itemData":{"DOI":"10.1136/bmj.d4163","author":[{"dropping-particle":"","family":"Huber","given":"M","non-dropping-particle":"","parse-names":false,"suffix":""},{"dropping-particle":"","family":"Knotterus","given":"A","non-dropping-particle":"","parse-names":false,"suffix":""},{"dropping-particle":"","family":"Green","given":"L","non-dropping-particle":"","parse-names":false,"suffix":""},{"dropping-particle":"","family":"Horst","given":"H","non-dropping-particle":"van der","parse-names":false,"suffix":""},{"dropping-particle":"","family":"Jadad","given":"A","non-dropping-particle":"","parse-names":false,"suffix":""},{"dropping-particle":"","family":"Kromhout","given":"D","non-dropping-particle":"","parse-names":false,"suffix":""},{"dropping-particle":"","family":"Leonard","given":"B","non-dropping-particle":"","parse-names":false,"suffix":""},{"dropping-particle":"","family":"Lorig","given":"K","non-dropping-particle":"","parse-names":false,"suffix":""},{"dropping-particle":"","family":"Loureiro","given":"M","non-dropping-particle":"","parse-names":false,"suffix":""},{"dropping-particle":"","family":"Meer","given":"J","non-dropping-particle":"van den","parse-names":false,"suffix":""},{"dropping-particle":"","family":"Schnabel","given":"P","non-dropping-particle":"","parse-names":false,"suffix":""},{"dropping-particle":"","family":"Smith","given":"R","non-dropping-particle":"","parse-names":false,"suffix":""},{"dropping-particle":"","family":"Weel","given":"C","non-dropping-particle":"van","parse-names":false,"suffix":""},{"dropping-particle":"","family":"Smid","given":"H","non-dropping-particle":"","parse-names":false,"suffix":""}],"container-title":"British Medical Journal","id":"ITEM-1","issued":{"date-parts":[["2011"]]},"page":"1-3","title":"How should we define health ?","type":"article-journal"},"uris":["http://www.mendeley.com/documents/?uuid=3e66224a-ce74-4f55-8882-15e3092aa562"]}],"mendeley":{"formattedCitation":"(Huber et al., 2011)","plainTextFormattedCitation":"(Huber et al., 2011)","previouslyFormattedCitation":"(Huber et al., 2011)"},"properties":{"noteIndex":0},"schema":"https://github.com/citation-style-language/schema/raw/master/csl-citation.json"}</w:instrText>
      </w:r>
      <w:r w:rsidRPr="006A1EC7">
        <w:fldChar w:fldCharType="separate"/>
      </w:r>
      <w:r w:rsidRPr="006A1EC7">
        <w:rPr>
          <w:noProof/>
        </w:rPr>
        <w:t>(Huber et al., 2011)</w:t>
      </w:r>
      <w:r w:rsidRPr="006A1EC7">
        <w:fldChar w:fldCharType="end"/>
      </w:r>
      <w:r w:rsidRPr="006A1EC7">
        <w:t xml:space="preserve"> health as “a state of complete physical, mental and social well-being, and not merely the absence of disease or infirmity” (WHO, 1946; 2017). This definition has been applauded for addressing other important determinants of health, rather than simply defining it as  “the absence of illness”, as suggested in the medical model of health and illness </w:t>
      </w:r>
      <w:r w:rsidRPr="006A1EC7">
        <w:fldChar w:fldCharType="begin" w:fldLock="1"/>
      </w:r>
      <w:r w:rsidRPr="006A1EC7">
        <w:instrText>ADDIN CSL_CITATION {"citationItems":[{"id":"ITEM-1","itemData":{"DOI":"10.1136/bmj.d4163","author":[{"dropping-particle":"","family":"Huber","given":"M","non-dropping-particle":"","parse-names":false,"suffix":""},{"dropping-particle":"","family":"Knotterus","given":"A","non-dropping-particle":"","parse-names":false,"suffix":""},{"dropping-particle":"","family":"Green","given":"L","non-dropping-particle":"","parse-names":false,"suffix":""},{"dropping-particle":"","family":"Horst","given":"H","non-dropping-particle":"van der","parse-names":false,"suffix":""},{"dropping-particle":"","family":"Jadad","given":"A","non-dropping-particle":"","parse-names":false,"suffix":""},{"dropping-particle":"","family":"Kromhout","given":"D","non-dropping-particle":"","parse-names":false,"suffix":""},{"dropping-particle":"","family":"Leonard","given":"B","non-dropping-particle":"","parse-names":false,"suffix":""},{"dropping-particle":"","family":"Lorig","given":"K","non-dropping-particle":"","parse-names":false,"suffix":""},{"dropping-particle":"","family":"Loureiro","given":"M","non-dropping-particle":"","parse-names":false,"suffix":""},{"dropping-particle":"","family":"Meer","given":"J","non-dropping-particle":"van den","parse-names":false,"suffix":""},{"dropping-particle":"","family":"Schnabel","given":"P","non-dropping-particle":"","parse-names":false,"suffix":""},{"dropping-particle":"","family":"Smith","given":"R","non-dropping-particle":"","parse-names":false,"suffix":""},{"dropping-particle":"","family":"Weel","given":"C","non-dropping-particle":"van","parse-names":false,"suffix":""},{"dropping-particle":"","family":"Smid","given":"H","non-dropping-particle":"","parse-names":false,"suffix":""}],"container-title":"British Medical Journal","id":"ITEM-1","issued":{"date-parts":[["2011"]]},"page":"1-3","title":"How should we define health ?","type":"article-journal"},"uris":["http://www.mendeley.com/documents/?uuid=3e66224a-ce74-4f55-8882-15e3092aa562"]}],"mendeley":{"formattedCitation":"(Huber et al., 2011)","plainTextFormattedCitation":"(Huber et al., 2011)","previouslyFormattedCitation":"(Huber et al., 2011)"},"properties":{"noteIndex":0},"schema":"https://github.com/citation-style-language/schema/raw/master/csl-citation.json"}</w:instrText>
      </w:r>
      <w:r w:rsidRPr="006A1EC7">
        <w:fldChar w:fldCharType="separate"/>
      </w:r>
      <w:r w:rsidRPr="006A1EC7">
        <w:rPr>
          <w:noProof/>
        </w:rPr>
        <w:t>(Huber et al., 2011)</w:t>
      </w:r>
      <w:r w:rsidRPr="006A1EC7">
        <w:fldChar w:fldCharType="end"/>
      </w:r>
      <w:r w:rsidRPr="006A1EC7">
        <w:t xml:space="preserve">. However, it fails the field of rare disease. As aforementioned, rare diseases are often chronic and life-limiting in nature, and therefore pressuring to strive for “complete physical, mental and social well-being” is unrealistic and potentially harmful. A further problem with this definition is that, as </w:t>
      </w:r>
      <w:r w:rsidRPr="006A1EC7">
        <w:fldChar w:fldCharType="begin" w:fldLock="1"/>
      </w:r>
      <w:r w:rsidRPr="006A1EC7">
        <w:instrText>ADDIN CSL_CITATION {"citationItems":[{"id":"ITEM-1","itemData":{"author":[{"dropping-particle":"","family":"O' Boyle","given":"C.","non-dropping-particle":"","parse-names":false,"suffix":""}],"container-title":"The Lancet","id":"ITEM-1","issue":"11","issued":{"date-parts":[["1995"]]},"page":"602","title":"Making subjectivity scientific","type":"article-journal","volume":"345"},"uris":["http://www.mendeley.com/documents/?uuid=a0cc2e2f-42cf-4dd2-8cee-0575a2bc8776"]}],"mendeley":{"formattedCitation":"(O’ Boyle, 1995)","manualFormatting":"O’ Boyle (1995)","plainTextFormattedCitation":"(O’ Boyle, 1995)","previouslyFormattedCitation":"(O’ Boyle, 1995)"},"properties":{"noteIndex":0},"schema":"https://github.com/citation-style-language/schema/raw/master/csl-citation.json"}</w:instrText>
      </w:r>
      <w:r w:rsidRPr="006A1EC7">
        <w:fldChar w:fldCharType="separate"/>
      </w:r>
      <w:r w:rsidRPr="006A1EC7">
        <w:rPr>
          <w:noProof/>
        </w:rPr>
        <w:t>O’ Boyle (1995)</w:t>
      </w:r>
      <w:r w:rsidRPr="006A1EC7">
        <w:fldChar w:fldCharType="end"/>
      </w:r>
      <w:r w:rsidRPr="006A1EC7">
        <w:t xml:space="preserve"> points out, some patients with health conditions may report feeling better than -‘objectively’ - healthy persons; also referred to as the Disability paradox </w:t>
      </w:r>
      <w:r w:rsidRPr="006A1EC7">
        <w:fldChar w:fldCharType="begin" w:fldLock="1"/>
      </w:r>
      <w:r w:rsidRPr="006A1EC7">
        <w:instrText>ADDIN CSL_CITATION {"citationItems":[{"id":"ITEM-1","itemData":{"DOI":"10.1016/S0277-9536(98)00411-0","ISBN":"0277-9536 (Print)\\n0277-9536 (Linking)","ISSN":"02779536","PMID":"10390038","author":[{"dropping-particle":"","family":"Albrecht","given":"Gary L","non-dropping-particle":"","parse-names":false,"suffix":""},{"dropping-particle":"","family":"Devlieger","given":"Patrick J","non-dropping-particle":"","parse-names":false,"suffix":""}],"container-title":"Social Science &amp; Medicine","id":"ITEM-1","issued":{"date-parts":[["1999"]]},"page":"977-988","title":"The disability paradox","type":"article-journal","volume":"48"},"uris":["http://www.mendeley.com/documents/?uuid=e687b4c6-3225-4604-93ff-dd1bea2bd07d"]}],"mendeley":{"formattedCitation":"(Albrecht &amp; Devlieger, 1999)","plainTextFormattedCitation":"(Albrecht &amp; Devlieger, 1999)","previouslyFormattedCitation":"(Albrecht &amp; Devlieger, 1999)"},"properties":{"noteIndex":0},"schema":"https://github.com/citation-style-language/schema/raw/master/csl-citation.json"}</w:instrText>
      </w:r>
      <w:r w:rsidRPr="006A1EC7">
        <w:fldChar w:fldCharType="separate"/>
      </w:r>
      <w:r w:rsidRPr="006A1EC7">
        <w:rPr>
          <w:noProof/>
        </w:rPr>
        <w:t>(Albrecht &amp; Devlieger, 1999)</w:t>
      </w:r>
      <w:r w:rsidRPr="006A1EC7">
        <w:fldChar w:fldCharType="end"/>
      </w:r>
      <w:r w:rsidRPr="006A1EC7">
        <w:t xml:space="preserve"> . Aside from this, it may also lead to “medicalising” physical irregularities that do not necessarily require medication, but could potentially be treated </w:t>
      </w:r>
      <w:r w:rsidRPr="006A1EC7">
        <w:fldChar w:fldCharType="begin" w:fldLock="1"/>
      </w:r>
      <w:r w:rsidRPr="006A1EC7">
        <w:instrText>ADDIN CSL_CITATION {"citationItems":[{"id":"ITEM-1","itemData":{"DOI":"10.1136/bmj.d4163","author":[{"dropping-particle":"","family":"Huber","given":"M","non-dropping-particle":"","parse-names":false,"suffix":""},{"dropping-particle":"","family":"Knotterus","given":"A","non-dropping-particle":"","parse-names":false,"suffix":""},{"dropping-particle":"","family":"Green","given":"L","non-dropping-particle":"","parse-names":false,"suffix":""},{"dropping-particle":"","family":"Horst","given":"H","non-dropping-particle":"van der","parse-names":false,"suffix":""},{"dropping-particle":"","family":"Jadad","given":"A","non-dropping-particle":"","parse-names":false,"suffix":""},{"dropping-particle":"","family":"Kromhout","given":"D","non-dropping-particle":"","parse-names":false,"suffix":""},{"dropping-particle":"","family":"Leonard","given":"B","non-dropping-particle":"","parse-names":false,"suffix":""},{"dropping-particle":"","family":"Lorig","given":"K","non-dropping-particle":"","parse-names":false,"suffix":""},{"dropping-particle":"","family":"Loureiro","given":"M","non-dropping-particle":"","parse-names":false,"suffix":""},{"dropping-particle":"","family":"Meer","given":"J","non-dropping-particle":"van den","parse-names":false,"suffix":""},{"dropping-particle":"","family":"Schnabel","given":"P","non-dropping-particle":"","parse-names":false,"suffix":""},{"dropping-particle":"","family":"Smith","given":"R","non-dropping-particle":"","parse-names":false,"suffix":""},{"dropping-particle":"","family":"Weel","given":"C","non-dropping-particle":"van","parse-names":false,"suffix":""},{"dropping-particle":"","family":"Smid","given":"H","non-dropping-particle":"","parse-names":false,"suffix":""}],"container-title":"British Medical Journal","id":"ITEM-1","issued":{"date-parts":[["2011"]]},"page":"1-3","title":"How should we define health ?","type":"article-journal"},"uris":["http://www.mendeley.com/documents/?uuid=3e66224a-ce74-4f55-8882-15e3092aa562"]},{"id":"ITEM-2","itemData":{"DOI":"10.1136/bmj.a2900","author":[{"dropping-particle":"","family":"Jadad","given":"Alejandro R","non-dropping-particle":"","parse-names":false,"suffix":""},{"dropping-particle":"","family":"Grady","given":"Laura O","non-dropping-particle":"","parse-names":false,"suffix":""}],"container-title":"British Medical Journal","id":"ITEM-2","issue":"7683","issued":{"date-parts":[["2008"]]},"page":"1363-1364","title":"How should health be defined ?","type":"article-journal","volume":"337"},"uris":["http://www.mendeley.com/documents/?uuid=e9d15c1c-d3e4-477d-b1fc-4204ef56d2dc"]},{"id":"ITEM-3","itemData":{"URL":"http://blogs.bmj.com/bmj/2008/07/08/richard-smith-the-end-of-disease-and-the-beginning-of-health/","accessed":{"date-parts":[["2017","9","18"]]},"author":[{"dropping-particle":"","family":"Smith","given":"R","non-dropping-particle":"","parse-names":false,"suffix":""}],"container-title":"British Medical Journal","id":"ITEM-3","issued":{"date-parts":[["2008"]]},"title":"The end of disease and the beginning of health","type":"webpage"},"uris":["http://www.mendeley.com/documents/?uuid=7df8be7e-30a3-416f-8d8d-25e289d6c641"]}],"mendeley":{"formattedCitation":"(Huber et al., 2011; Jadad &amp; Grady, 2008; R. Smith, 2008)","manualFormatting":"(Huber et al., 2011; Jadad &amp; Grady, 2008; Smith, 2008)","plainTextFormattedCitation":"(Huber et al., 2011; Jadad &amp; Grady, 2008; R. Smith, 2008)","previouslyFormattedCitation":"(Huber et al., 2011; Jadad &amp; Grady, 2008; R. Smith, 2008)"},"properties":{"noteIndex":0},"schema":"https://github.com/citation-style-language/schema/raw/master/csl-citation.json"}</w:instrText>
      </w:r>
      <w:r w:rsidRPr="006A1EC7">
        <w:fldChar w:fldCharType="separate"/>
      </w:r>
      <w:r w:rsidRPr="006A1EC7">
        <w:rPr>
          <w:noProof/>
        </w:rPr>
        <w:t>(Huber et al., 2011; Jadad &amp; Grady, 2008; Smith, 2008)</w:t>
      </w:r>
      <w:r w:rsidRPr="006A1EC7">
        <w:fldChar w:fldCharType="end"/>
      </w:r>
      <w:r w:rsidRPr="006A1EC7">
        <w:t>, which is a limitation of this definition that applies to both rare and more common diseases.</w:t>
      </w:r>
    </w:p>
    <w:p w14:paraId="4D05E53C" w14:textId="14A5B738" w:rsidR="00065496" w:rsidRPr="006A1EC7" w:rsidRDefault="00065496" w:rsidP="00A40374">
      <w:pPr>
        <w:spacing w:line="360" w:lineRule="auto"/>
        <w:ind w:firstLine="720"/>
      </w:pPr>
      <w:r w:rsidRPr="006A1EC7">
        <w:t xml:space="preserve">Naturally however, the medical field benefits from using the concept of “health” when communicating with patients about either the absence of illness or the management of it </w:t>
      </w:r>
      <w:r w:rsidRPr="006A1EC7">
        <w:fldChar w:fldCharType="begin" w:fldLock="1"/>
      </w:r>
      <w:r w:rsidRPr="006A1EC7">
        <w:instrText>ADDIN CSL_CITATION {"citationItems":[{"id":"ITEM-1","itemData":{"DOI":"10.1136/bmj.d4163","author":[{"dropping-particle":"","family":"Huber","given":"M","non-dropping-particle":"","parse-names":false,"suffix":""},{"dropping-particle":"","family":"Knotterus","given":"A","non-dropping-particle":"","parse-names":false,"suffix":""},{"dropping-particle":"","family":"Green","given":"L","non-dropping-particle":"","parse-names":false,"suffix":""},{"dropping-particle":"","family":"Horst","given":"H","non-dropping-particle":"van der","parse-names":false,"suffix":""},{"dropping-particle":"","family":"Jadad","given":"A","non-dropping-particle":"","parse-names":false,"suffix":""},{"dropping-particle":"","family":"Kromhout","given":"D","non-dropping-particle":"","parse-names":false,"suffix":""},{"dropping-particle":"","family":"Leonard","given":"B","non-dropping-particle":"","parse-names":false,"suffix":""},{"dropping-particle":"","family":"Lorig","given":"K","non-dropping-particle":"","parse-names":false,"suffix":""},{"dropping-particle":"","family":"Loureiro","given":"M","non-dropping-particle":"","parse-names":false,"suffix":""},{"dropping-particle":"","family":"Meer","given":"J","non-dropping-particle":"van den","parse-names":false,"suffix":""},{"dropping-particle":"","family":"Schnabel","given":"P","non-dropping-particle":"","parse-names":false,"suffix":""},{"dropping-particle":"","family":"Smith","given":"R","non-dropping-particle":"","parse-names":false,"suffix":""},{"dropping-particle":"","family":"Weel","given":"C","non-dropping-particle":"van","parse-names":false,"suffix":""},{"dropping-particle":"","family":"Smid","given":"H","non-dropping-particle":"","parse-names":false,"suffix":""}],"container-title":"British Medical Journal","id":"ITEM-1","issued":{"date-parts":[["2011"]]},"page":"1-3","title":"How should we define health ?","type":"article-journal"},"uris":["http://www.mendeley.com/documents/?uuid=3e66224a-ce74-4f55-8882-15e3092aa562"]},{"id":"ITEM-2","itemData":{"URL":"http://blogs.bmj.com/bmj/2008/07/08/richard-smith-the-end-of-disease-and-the-beginning-of-health/","accessed":{"date-parts":[["2017","9","18"]]},"author":[{"dropping-particle":"","family":"Smith","given":"R","non-dropping-particle":"","parse-names":false,"suffix":""}],"container-title":"British Medical Journal","id":"ITEM-2","issued":{"date-parts":[["2008"]]},"title":"The end of disease and the beginning of health","type":"webpage"},"uris":["http://www.mendeley.com/documents/?uuid=7df8be7e-30a3-416f-8d8d-25e289d6c641"]}],"mendeley":{"formattedCitation":"(Huber et al., 2011; R. Smith, 2008)","manualFormatting":"(Huber et al., 2011; Smith, 2008)","plainTextFormattedCitation":"(Huber et al., 2011; R. Smith, 2008)","previouslyFormattedCitation":"(Huber et al., 2011; R. Smith, 2008)"},"properties":{"noteIndex":0},"schema":"https://github.com/citation-style-language/schema/raw/master/csl-citation.json"}</w:instrText>
      </w:r>
      <w:r w:rsidRPr="006A1EC7">
        <w:fldChar w:fldCharType="separate"/>
      </w:r>
      <w:r w:rsidRPr="006A1EC7">
        <w:rPr>
          <w:noProof/>
        </w:rPr>
        <w:t>(Huber et al., 2011; Smith, 2008)</w:t>
      </w:r>
      <w:r w:rsidRPr="006A1EC7">
        <w:fldChar w:fldCharType="end"/>
      </w:r>
      <w:r w:rsidRPr="006A1EC7">
        <w:t xml:space="preserve">. At the same time, there are often discrepancies between the perceptions of health professionals and patients, or their families, as to what is the most important indicator of ‘health’, ‘treatment success’ or ‘efficacy’ </w:t>
      </w:r>
      <w:r w:rsidRPr="006A1EC7">
        <w:fldChar w:fldCharType="begin" w:fldLock="1"/>
      </w:r>
      <w:r w:rsidRPr="006A1EC7">
        <w:instrText>ADDIN CSL_CITATION {"citationItems":[{"id":"ITEM-1","itemData":{"author":[{"dropping-particle":"","family":"IRDiRc","given":"","non-dropping-particle":"","parse-names":false,"suffix":""}],"container-title":"International Rare Disease Research Consortium","id":"ITEM-1","issue":"February","issued":{"date-parts":[["2016"]]},"title":"Patient-Centered Outcome Measures Initiatives in the Field of Rare Diseases February 2016","type":"article-journal"},"uris":["http://www.mendeley.com/documents/?uuid=b7393621-9e3e-4be4-bfd4-91aa7f2ac852"]},{"id":"ITEM-2","itemData":{"URL":"http://blogs.bmj.com/bmj/2008/07/08/richard-smith-the-end-of-disease-and-the-beginning-of-health/","accessed":{"date-parts":[["2017","9","18"]]},"author":[{"dropping-particle":"","family":"Smith","given":"R","non-dropping-particle":"","parse-names":false,"suffix":""}],"container-title":"British Medical Journal","id":"ITEM-2","issued":{"date-parts":[["2008"]]},"title":"The end of disease and the beginning of health","type":"webpage"},"uris":["http://www.mendeley.com/documents/?uuid=7df8be7e-30a3-416f-8d8d-25e289d6c641"]},{"id":"ITEM-3","itemData":{"DOI":"10.1038/bjc.1988.20","ISBN":"0007-0920 LA - eng PT - Journal Article","ISSN":"0007-0920","PMID":"3348942","abstract":"The extent to which a doctor or health professional can make a valid assessment of a patient's quality of life, anxiety and depression was investigated in a series of cancer patients. Doctors and patients filled out the same forms, viz. the Karnofsky, Spitzer, Linear Analogue Self Assessment Scales and a series of simple scales designed for this study, at the same time. Correlations between the two sets of scores were poor, suggesting that the doctors could not accurately determine what the patients felt. A further study examining the reproducibility of these scales demonstrated considerable variability in results between different doctors. It is concluded that if a reliable and consistent method of measuring quality of life in cancer patients is required, it must come from the patients themselves and not from their doctors and nurses.","author":[{"dropping-particle":"","family":"Slevin","given":"M L","non-dropping-particle":"","parse-names":false,"suffix":""},{"dropping-particle":"","family":"Plant","given":"H","non-dropping-particle":"","parse-names":false,"suffix":""},{"dropping-particle":"","family":"Lynch","given":"D","non-dropping-particle":"","parse-names":false,"suffix":""},{"dropping-particle":"","family":"Drinkwater","given":"J","non-dropping-particle":"","parse-names":false,"suffix":""},{"dropping-particle":"","family":"Gregory","given":"W M","non-dropping-particle":"","parse-names":false,"suffix":""}],"container-title":"British Journal of Cancer","id":"ITEM-3","issue":"1","issued":{"date-parts":[["1988"]]},"page":"109-112","title":"Who Should Measure Quality of Life, the Doctor or the Patient?","type":"article-journal","volume":"57"},"uris":["http://www.mendeley.com/documents/?uuid=c8626025-8d6b-4581-bdfd-894716936102"]}],"mendeley":{"formattedCitation":"(IRDiRc, 2016; Slevin et al., 1988; R. Smith, 2008)","manualFormatting":"(IRDiRc, 2016; Slevin, Plant, Lynch, Drinkwater, &amp; Gregory, 1988; Smith, 2008)","plainTextFormattedCitation":"(IRDiRc, 2016; Slevin et al., 1988; R. Smith, 2008)","previouslyFormattedCitation":"(IRDiRc, 2016; Slevin et al., 1988; R. Smith, 2008)"},"properties":{"noteIndex":0},"schema":"https://github.com/citation-style-language/schema/raw/master/csl-citation.json"}</w:instrText>
      </w:r>
      <w:r w:rsidRPr="006A1EC7">
        <w:fldChar w:fldCharType="separate"/>
      </w:r>
      <w:r w:rsidRPr="006A1EC7">
        <w:rPr>
          <w:noProof/>
        </w:rPr>
        <w:t>(IRDiRc, 2016; Slevin, Plant, Lynch, Drinkwater, &amp; Gregory, 1988; Smith, 2008)</w:t>
      </w:r>
      <w:r w:rsidRPr="006A1EC7">
        <w:fldChar w:fldCharType="end"/>
      </w:r>
      <w:r w:rsidRPr="006A1EC7">
        <w:t xml:space="preserve"> – especially in rare disease or life-threatening illness </w:t>
      </w:r>
      <w:r w:rsidRPr="006A1EC7">
        <w:fldChar w:fldCharType="begin" w:fldLock="1"/>
      </w:r>
      <w:r w:rsidRPr="006A1EC7">
        <w:instrText>ADDIN CSL_CITATION {"citationItems":[{"id":"ITEM-1","itemData":{"author":[{"dropping-particle":"","family":"O' Boyle","given":"C.","non-dropping-particle":"","parse-names":false,"suffix":""}],"container-title":"The Lancet","id":"ITEM-1","issue":"11","issued":{"date-parts":[["1995"]]},"page":"602","title":"Making subjectivity scientific","type":"article-journal","volume":"345"},"uris":["http://www.mendeley.com/documents/?uuid=a0cc2e2f-42cf-4dd2-8cee-0575a2bc8776"]},{"id":"ITEM-2","itemData":{"DOI":"10.1038/bjc.1988.20","ISBN":"0007-0920 LA - eng PT - Journal Article","ISSN":"0007-0920","PMID":"3348942","abstract":"The extent to which a doctor or health professional can make a valid assessment of a patient's quality of life, anxiety and depression was investigated in a series of cancer patients. Doctors and patients filled out the same forms, viz. the Karnofsky, Spitzer, Linear Analogue Self Assessment Scales and a series of simple scales designed for this study, at the same time. Correlations between the two sets of scores were poor, suggesting that the doctors could not accurately determine what the patients felt. A further study examining the reproducibility of these scales demonstrated considerable variability in results between different doctors. It is concluded that if a reliable and consistent method of measuring quality of life in cancer patients is required, it must come from the patients themselves and not from their doctors and nurses.","author":[{"dropping-particle":"","family":"Slevin","given":"M L","non-dropping-particle":"","parse-names":false,"suffix":""},{"dropping-particle":"","family":"Plant","given":"H","non-dropping-particle":"","parse-names":false,"suffix":""},{"dropping-particle":"","family":"Lynch","given":"D","non-dropping-particle":"","parse-names":false,"suffix":""},{"dropping-particle":"","family":"Drinkwater","given":"J","non-dropping-particle":"","parse-names":false,"suffix":""},{"dropping-particle":"","family":"Gregory","given":"W M","non-dropping-particle":"","parse-names":false,"suffix":""}],"container-title":"British Journal of Cancer","id":"ITEM-2","issue":"1","issued":{"date-parts":[["1988"]]},"page":"109-112","title":"Who Should Measure Quality of Life, the Doctor or the Patient?","type":"article-journal","volume":"57"},"uris":["http://www.mendeley.com/documents/?uuid=c8626025-8d6b-4581-bdfd-894716936102"]}],"mendeley":{"formattedCitation":"(O’ Boyle, 1995; Slevin et al., 1988)","plainTextFormattedCitation":"(O’ Boyle, 1995; Slevin et al., 1988)","previouslyFormattedCitation":"(O’ Boyle, 1995; Slevin et al., 1988)"},"properties":{"noteIndex":0},"schema":"https://github.com/citation-style-language/schema/raw/master/csl-citation.json"}</w:instrText>
      </w:r>
      <w:r w:rsidRPr="006A1EC7">
        <w:fldChar w:fldCharType="separate"/>
      </w:r>
      <w:r w:rsidRPr="006A1EC7">
        <w:rPr>
          <w:noProof/>
        </w:rPr>
        <w:t>(O’ Boyle, 1995; Slevin et al., 1988)</w:t>
      </w:r>
      <w:r w:rsidRPr="006A1EC7">
        <w:fldChar w:fldCharType="end"/>
      </w:r>
      <w:r w:rsidRPr="006A1EC7">
        <w:t>.</w:t>
      </w:r>
    </w:p>
    <w:p w14:paraId="7638038A" w14:textId="665D073D" w:rsidR="00065496" w:rsidRPr="006A1EC7" w:rsidRDefault="00065496" w:rsidP="00A40374">
      <w:pPr>
        <w:spacing w:line="360" w:lineRule="auto"/>
        <w:ind w:firstLine="720"/>
      </w:pPr>
      <w:r w:rsidRPr="006A1EC7">
        <w:t xml:space="preserve">As a result of this increased understanding of the complexities of measuring ‘health’, it has been argued that subjective, health-related quality of life (HRQoL) should be the “ultimate” focus and goal for healthcare, and what medical professionals should be assessing and addressing – for its specificity and relevance to the patients </w:t>
      </w:r>
      <w:r w:rsidRPr="006A1EC7">
        <w:fldChar w:fldCharType="begin" w:fldLock="1"/>
      </w:r>
      <w:r w:rsidR="00A40374" w:rsidRPr="006A1EC7">
        <w:instrText>ADDIN CSL_CITATION {"citationItems":[{"id":"ITEM-1","itemData":{"DOI":"10.1007/s11019-005-5642-5","author":[{"dropping-particle":"","family":"Tengland","given":"Per-anders","non-dropping-particle":"","parse-names":false,"suffix":""}],"id":"ITEM-1","issued":{"date-parts":[["2006"]]},"page":"155-167","title":"Scientific Contribution The goals of health work : Quality of life , health and welfare","type":"article-journal"},"uris":["http://www.mendeley.com/documents/?uuid=9972e0b8-5ac9-4287-8e4c-4d0aac97617e"]},{"id":"ITEM-2","itemData":{"author":[{"dropping-particle":"","family":"McDowell","given":"Ian","non-dropping-particle":"","parse-names":false,"suffix":""}],"container-title":"The Theoretical and Technical Foundations of Health Measurement","edition":"3rd","id":"ITEM-2","issued":{"date-parts":[["2006"]]},"publisher":"Oxford University Press","publisher-place":"Oxford","title":"Measuring health : a guide to rating scales and questionnaires","type":"book"},"uris":["http://www.mendeley.com/documents/?uuid=bbf0a91c-16c1-4f7e-99e5-dfbf8cb7fa65"]},{"id":"ITEM-3","itemData":{"author":[{"dropping-particle":"","family":"O' Boyle","given":"C.","non-dropping-particle":"","parse-names":false,"suffix":""}],"container-title":"The Lancet","id":"ITEM-3","issue":"11","issued":{"date-parts":[["1995"]]},"page":"602","title":"Making subjectivity scientific","type":"article-journal","volume":"345"},"uris":["http://www.mendeley.com/documents/?uuid=a0cc2e2f-42cf-4dd2-8cee-0575a2bc8776"]}],"mendeley":{"formattedCitation":"(McDowell, 2006; O’ Boyle, 1995; Tengland, 2006)","manualFormatting":"(McDowell, 2006; O'Boyle, 1995; Tengland, 2006)","plainTextFormattedCitation":"(McDowell, 2006; O’ Boyle, 1995; Tengland, 2006)","previouslyFormattedCitation":"(McDowell, 2006; O’ Boyle, 1995; Tengland, 2006)"},"properties":{"noteIndex":0},"schema":"https://github.com/citation-style-language/schema/raw/master/csl-citation.json"}</w:instrText>
      </w:r>
      <w:r w:rsidRPr="006A1EC7">
        <w:fldChar w:fldCharType="separate"/>
      </w:r>
      <w:r w:rsidRPr="006A1EC7">
        <w:rPr>
          <w:noProof/>
        </w:rPr>
        <w:t>(McDowell, 2006; O'Boyle, 1995; Tengland, 2006)</w:t>
      </w:r>
      <w:r w:rsidRPr="006A1EC7">
        <w:fldChar w:fldCharType="end"/>
      </w:r>
      <w:r w:rsidRPr="006A1EC7">
        <w:t xml:space="preserve"> rather than the health professionals’ perceptions. Following this recognition, the WHO further elaborated their definition of ‘health’ in their International Classification of Functioning, Disability and Health Framework (ICF) by emphasising that the functioning or abilities of an individual are </w:t>
      </w:r>
      <w:r w:rsidRPr="006A1EC7">
        <w:lastRenderedPageBreak/>
        <w:t xml:space="preserve">more important than their (diagnosed) health conditions </w:t>
      </w:r>
      <w:r w:rsidRPr="006A1EC7">
        <w:fldChar w:fldCharType="begin" w:fldLock="1"/>
      </w:r>
      <w:r w:rsidRPr="006A1EC7">
        <w:instrText>ADDIN CSL_CITATION {"citationItems":[{"id":"ITEM-1","itemData":{"DOI":"10.1177/0004867416688098","ISBN":"0004867416","ISSN":"14401614","PMID":"28118728","abstract":"\r\nBackground: Functioning is one of the key domains emphasised in the routine assessment of outcomes that has been\r\noccurring in specialised public sector mental health services across Australia since 2002, via the National Outcomes and\r\nCasemix Collection. For adult consumers (aged 18–64), the 16-item Life Skills Profile (LSP-16) has been the instrument\r\nof choice to measure functioning. However, review of the National Outcomes and Casemix Collection protocol has\r\nhighlighted some limitations to the current approach to measuring functioning. A systematic review was conducted to\r\nidentify, against a set of pre-determined criteria, the most suitable existing clinician-rated instruments for the routine\r\nmeasurement of functioning for adult consumers.\r\nMethod: We used two existing reviews of functioning measures as our starting point and conducted a search of MEDLINE\r\nand PsycINFO to identify articles relating to additional clinician-rated instruments. We evaluated identified instruments\r\nusing a hierarchical, criterion-based approach. The criteria were as follows: (1) is brief (&lt;50 items) and simple to\r\nscore, (2) is not made redundant by more recent instruments, (3) relevant version has been scientifically scrutinised, (4)\r\nconsiders functioning in a contemporary way and (5) demonstrates sound psychometric properties.\r\nResults: We identified 20 relevant instruments, 5 of which met our criteria: the LSP-16, the Health of the Nation Outcome\r\nScales, the Illness Management and Recovery Scale–Clinician Version, the Multnomah Community Ability Scale and\r\nthe Personal and Social Performance Scale.\r\nConclusion: Further work is required to determine which, if any, of these instruments satisfy further criteria relating to\r\ntheir appropriateness for assessing functioning within relevant service contexts, acceptability to clinicians and consumers,\r\nand feasibility in routine practice. This should involve seeking stakeholders’ opinions (e.g. about the specific domains\r\nof functioning covered by each instrument and the language used in individual items) and testing completion rates in busy\r\nservice settings.","author":[{"dropping-particle":"","family":"Burgess","given":"Philip M.","non-dropping-particle":"","parse-names":false,"suffix":""},{"dropping-particle":"","family":"Harris","given":"Meredith G.","non-dropping-particle":"","parse-names":false,"suffix":""},{"dropping-particle":"","family":"Coombs","given":"Tim","non-dropping-particle":"","parse-names":false,"suffix":""},{"dropping-particle":"","family":"Pirkis","given":"Jane E.","non-dropping-particle":"","parse-names":false,"suffix":""}],"container-title":"Australian and New Zealand Journal of Psychiatry","id":"ITEM-1","issue":"4","issued":{"date-parts":[["2017"]]},"page":"338-354","title":"A systematic review of clinician-rated instruments to assess adults' levels of functioning in specialised public sector mental health services","type":"article-journal","volume":"51"},"uris":["http://www.mendeley.com/documents/?uuid=c289b8b5-6dd6-41c8-a9e2-7678eb4e15bf"]},{"id":"ITEM-2","itemData":{"author":[{"dropping-particle":"","family":"World Health Organisation","given":"","non-dropping-particle":"","parse-names":false,"suffix":""}],"id":"ITEM-2","issued":{"date-parts":[["2016"]]},"title":"International Statistical Classification of Disease and Related Health Problems, 10th Revision (ICD-10) - Chapter XVII: Congenital malformations, deformations and chromosomal abnormalities (Q00-Q99)","type":"article-journal"},"uris":["http://www.mendeley.com/documents/?uuid=788788a4-a714-4429-ba17-389ee0b97985"]}],"mendeley":{"formattedCitation":"(Burgess, Harris, Coombs, &amp; Pirkis, 2017; World Health Organisation, 2016)","plainTextFormattedCitation":"(Burgess, Harris, Coombs, &amp; Pirkis, 2017; World Health Organisation, 2016)","previouslyFormattedCitation":"(Burgess, Harris, Coombs, &amp; Pirkis, 2017; World Health Organisation, 2016)"},"properties":{"noteIndex":0},"schema":"https://github.com/citation-style-language/schema/raw/master/csl-citation.json"}</w:instrText>
      </w:r>
      <w:r w:rsidRPr="006A1EC7">
        <w:fldChar w:fldCharType="separate"/>
      </w:r>
      <w:r w:rsidRPr="006A1EC7">
        <w:rPr>
          <w:noProof/>
        </w:rPr>
        <w:t>(Burgess, Harris, Coombs, &amp; Pirkis, 2017; World Health Organisation, 2016)</w:t>
      </w:r>
      <w:r w:rsidRPr="006A1EC7">
        <w:fldChar w:fldCharType="end"/>
      </w:r>
      <w:r w:rsidRPr="006A1EC7">
        <w:t>. In detail, this framework highlights two important aspects of a person’s health: “Body Function and Structures” but also “Activities and Participation”. The Framework “</w:t>
      </w:r>
      <w:r w:rsidRPr="006A1EC7">
        <w:rPr>
          <w:iCs/>
        </w:rPr>
        <w:t>systematically groups different domains for a person in a given health condition (e.g. what a person with a disease or disorder does do or can do)”;</w:t>
      </w:r>
      <w:r w:rsidRPr="006A1EC7">
        <w:t xml:space="preserve"> a “domain’ being ‘a practical and meaningful set of related physiological functions, anatomical structures, actions, tasks, or areas of life” </w:t>
      </w:r>
      <w:r w:rsidRPr="006A1EC7">
        <w:fldChar w:fldCharType="begin" w:fldLock="1"/>
      </w:r>
      <w:r w:rsidRPr="006A1EC7">
        <w:instrText>ADDIN CSL_CITATION {"citationItems":[{"id":"ITEM-1","itemData":{"author":[{"dropping-particle":"","family":"World Health Organisation","given":"","non-dropping-particle":"","parse-names":false,"suffix":""}],"id":"ITEM-1","issued":{"date-parts":[["2016"]]},"title":"International Statistical Classification of Disease and Related Health Problems, 10th Revision (ICD-10) - Chapter XVII: Congenital malformations, deformations and chromosomal abnormalities (Q00-Q99)","type":"article-journal"},"uris":["http://www.mendeley.com/documents/?uuid=788788a4-a714-4429-ba17-389ee0b97985"]}],"mendeley":{"formattedCitation":"(World Health Organisation, 2016)","plainTextFormattedCitation":"(World Health Organisation, 2016)","previouslyFormattedCitation":"(World Health Organisation, 2016)"},"properties":{"noteIndex":0},"schema":"https://github.com/citation-style-language/schema/raw/master/csl-citation.json"}</w:instrText>
      </w:r>
      <w:r w:rsidRPr="006A1EC7">
        <w:fldChar w:fldCharType="separate"/>
      </w:r>
      <w:r w:rsidRPr="006A1EC7">
        <w:rPr>
          <w:noProof/>
        </w:rPr>
        <w:t>(World Health Organisation, 2016)</w:t>
      </w:r>
      <w:r w:rsidRPr="006A1EC7">
        <w:fldChar w:fldCharType="end"/>
      </w:r>
      <w:r w:rsidRPr="006A1EC7">
        <w:t xml:space="preserve">. These definitions and the definitions around ‘health’ are central to this thesis, as will become obvious in the following paragraphs. </w:t>
      </w:r>
    </w:p>
    <w:p w14:paraId="5DECAFAE" w14:textId="77777777" w:rsidR="00065496" w:rsidRPr="006A1EC7" w:rsidRDefault="00065496" w:rsidP="00A40374">
      <w:pPr>
        <w:spacing w:line="360" w:lineRule="auto"/>
      </w:pPr>
    </w:p>
    <w:p w14:paraId="5C1C8B70" w14:textId="77777777" w:rsidR="00065496" w:rsidRPr="006A1EC7" w:rsidRDefault="00065496" w:rsidP="00A40374">
      <w:pPr>
        <w:pStyle w:val="Heading3"/>
        <w:spacing w:line="360" w:lineRule="auto"/>
        <w:rPr>
          <w:rFonts w:ascii="Times New Roman" w:hAnsi="Times New Roman" w:cs="Times New Roman"/>
        </w:rPr>
      </w:pPr>
      <w:bookmarkStart w:id="38" w:name="_Toc2336987"/>
      <w:bookmarkStart w:id="39" w:name="_Toc17977840"/>
      <w:r w:rsidRPr="006A1EC7">
        <w:rPr>
          <w:rFonts w:ascii="Times New Roman" w:hAnsi="Times New Roman" w:cs="Times New Roman"/>
        </w:rPr>
        <w:t>Measuring health in rare disease: Clinical outcome assessments</w:t>
      </w:r>
      <w:bookmarkEnd w:id="38"/>
      <w:bookmarkEnd w:id="39"/>
    </w:p>
    <w:p w14:paraId="32FB8FD1" w14:textId="2FF8F3EC" w:rsidR="00A40374" w:rsidRPr="006A1EC7" w:rsidRDefault="00065496" w:rsidP="00A40374">
      <w:pPr>
        <w:spacing w:line="360" w:lineRule="auto"/>
        <w:ind w:firstLine="720"/>
      </w:pPr>
      <w:r w:rsidRPr="006A1EC7">
        <w:t xml:space="preserve">This recognition that better assessments for health, or rather HRQoL, are needed, resulted in the development of Clinical Outcome Assessments (COAs) </w:t>
      </w:r>
      <w:r w:rsidRPr="006A1EC7">
        <w:fldChar w:fldCharType="begin" w:fldLock="1"/>
      </w:r>
      <w:r w:rsidRPr="006A1EC7">
        <w:instrText>ADDIN CSL_CITATION {"citationItems":[{"id":"ITEM-1","itemData":{"DOI":"10.4137/HSI.S11093","ISBN":"1178-6329 (Electronic) 1178-6329 (Linking)","ISSN":"1178-6329","PMID":"25114561","abstract":"In recent years, there has been an increased focus on placing patients at the center of health care research and evaluating clinical care in order to improve their experience and ensure that research is both robust and of maximum value for the use of medicinal products, therapy, or health services. This paper provides an overview of patients' involvement in clinical research and service evaluation along with its benefits and limitations. We describe and discuss patient-reported outcomes (PROs) and patient-reported outcome measures (PROMs), including the trends in current research. Both the patient-reported experiences measures (PREMs) and patient and public involvement (PPI) initiative for including patients in the research processes are also outlined. PROs provide reports from patients about their own health, quality of life, or functional status associated with the health care or treatment they have received. PROMs are tools and/or instruments used to report PROs. Patient report experiences through the use of PREMs, such as satisfaction scales, providing insight into the patients' experience with their care or a health service. There is increasing international attention regarding the use of PREMS as a quality indicator of patient care and safety. This reflects the ongoing health service commitment of involving patients and the public within the wider context of the development and evaluation of health care service delivery and quality improvement.","author":[{"dropping-particle":"","family":"Smith","given":"Sheree","non-dropping-particle":"","parse-names":false,"suffix":""},{"dropping-particle":"","family":"Weldring","given":"Theresa","non-dropping-particle":"","parse-names":false,"suffix":""}],"container-title":"Health Services Insights","id":"ITEM-1","issued":{"date-parts":[["2013"]]},"page":"61","title":"Patient-Reported Outcomes (PROs) and Patient-Reported Outcome Measures (PROMs)","type":"article-journal"},"uris":["http://www.mendeley.com/documents/?uuid=df6911e2-4e4f-4023-9f2d-5a466a3578e6"]},{"id":"ITEM-2","itemData":{"DOI":"10.1016/j.jns.2009.08.013","ISBN":"0022-510X","ISSN":"0022510X","PMID":"19732911","abstract":"Rating scales are instruments that are very frequently used by clinicians to perform patient assessments. Typically, rating scales grade the attribute on an ordinal level of measurement, i.e., a rank ordering, meaning that the numbers assigned to the different ranks (item scores) do not represent 'real numbers' or 'physical magnitudes'. Single-item scales have some advantages, such as simplicity and low respondent burden, but they may also suffer from disadvantages, such as ambiguous score meanings and low responsiveness. Multi-item scales, in contrast, seem more adequate for assessment of complex constructs, allowing for detailed evaluation. Total scores representing the value of the construct may be quite precise and thus the responsiveness of the scale may be high. The most common strategy for obtaining the total score is the sum of the item scores, a strategy that constitutes one of the most important problems with these types of scales. A summative score of ordinal figures is not a 'real magnitude' and may have little sense. This paper is a review of the theoretical frameworks of the main theories used to develop rating scales (Classical Test Theory and Item Response Theory). Bearing in mind that no alternative is perfect, additional research in this field and judicious decisions are called for. ?? 2009 Elsevier B.V. All rights reserved.","author":[{"dropping-particle":"","family":"Martinez-Martin","given":"Pablo","non-dropping-particle":"","parse-names":false,"suffix":""}],"container-title":"Journal of the Neurological Sciences","id":"ITEM-2","issue":"1-2","issued":{"date-parts":[["2010"]]},"page":"7-11","publisher":"Elsevier B.V.","title":"Composite rating scales","type":"article-journal","volume":"289"},"uris":["http://www.mendeley.com/documents/?uuid=5a688db4-fd11-4218-9a89-71a19a25fddf"]},{"id":"ITEM-3","itemData":{"DOI":"10.1016/S1353-8020(11)70070-0","ISSN":"1873-5126","PMID":"22166443","abstract":"In Parkinson's disease (PD), rating scales are used to assess the degree of disease-related disability and to titrate long-term treatment to each phase of the disease. Recognition of non-motor symptoms required modification of existing widely used scales to integrate non-motor elements. In addition, new scales have been developed for the assessment of non-motor symptoms. In this article, assessment of PD patients will be discussed, particularly for non-motor symptoms such as pain and fatigue","author":[{"dropping-particle":"","family":"Relja","given":"Maja","non-dropping-particle":"","parse-names":false,"suffix":""}],"container-title":"Parkinsonism Relat Disord","id":"ITEM-3","issued":{"date-parts":[["2012"]]},"page":"S229-S232","publisher":"Elsevier Ltd","title":"Clinical rating scales","type":"article-journal","volume":"18 Suppl 1"},"uris":["http://www.mendeley.com/documents/?uuid=4d5ff867-143e-418a-a835-8e0636eec381"]},{"id":"ITEM-4","itemData":{"author":[{"dropping-particle":"","family":"O' Boyle","given":"C.","non-dropping-particle":"","parse-names":false,"suffix":""}],"container-title":"The Lancet","id":"ITEM-4","issue":"11","issued":{"date-parts":[["1995"]]},"page":"602","title":"Making subjectivity scientific","type":"article-journal","volume":"345"},"uris":["http://www.mendeley.com/documents/?uuid=a0cc2e2f-42cf-4dd2-8cee-0575a2bc8776"]},{"id":"ITEM-5","itemData":{"DOI":"10.1038/bjc.1988.20","ISBN":"0007-0920 LA - eng PT - Journal Article","ISSN":"0007-0920","PMID":"3348942","abstract":"The extent to which a doctor or health professional can make a valid assessment of a patient's quality of life, anxiety and depression was investigated in a series of cancer patients. Doctors and patients filled out the same forms, viz. the Karnofsky, Spitzer, Linear Analogue Self Assessment Scales and a series of simple scales designed for this study, at the same time. Correlations between the two sets of scores were poor, suggesting that the doctors could not accurately determine what the patients felt. A further study examining the reproducibility of these scales demonstrated considerable variability in results between different doctors. It is concluded that if a reliable and consistent method of measuring quality of life in cancer patients is required, it must come from the patients themselves and not from their doctors and nurses.","author":[{"dropping-particle":"","family":"Slevin","given":"M L","non-dropping-particle":"","parse-names":false,"suffix":""},{"dropping-particle":"","family":"Plant","given":"H","non-dropping-particle":"","parse-names":false,"suffix":""},{"dropping-particle":"","family":"Lynch","given":"D","non-dropping-particle":"","parse-names":false,"suffix":""},{"dropping-particle":"","family":"Drinkwater","given":"J","non-dropping-particle":"","parse-names":false,"suffix":""},{"dropping-particle":"","family":"Gregory","given":"W M","non-dropping-particle":"","parse-names":false,"suffix":""}],"container-title":"British Journal of Cancer","id":"ITEM-5","issue":"1","issued":{"date-parts":[["1988"]]},"page":"109-112","title":"Who Should Measure Quality of Life, the Doctor or the Patient?","type":"article-journal","volume":"57"},"uris":["http://www.mendeley.com/documents/?uuid=c8626025-8d6b-4581-bdfd-894716936102"]}],"mendeley":{"formattedCitation":"(Martinez-Martin, 2010; O’ Boyle, 1995; Relja, 2012; Slevin et al., 1988; S. Smith &amp; Weldring, 2013)","manualFormatting":"(Martinez-Martin, 2010; O’ Boyle, 1995; Relja, 2012; Slevin et al., 1988; Smith &amp; Weldring, 2013)","plainTextFormattedCitation":"(Martinez-Martin, 2010; O’ Boyle, 1995; Relja, 2012; Slevin et al., 1988; S. Smith &amp; Weldring, 2013)","previouslyFormattedCitation":"(Martinez-Martin, 2010; O’ Boyle, 1995; Relja, 2012; Slevin et al., 1988; S. Smith &amp; Weldring, 2013)"},"properties":{"noteIndex":0},"schema":"https://github.com/citation-style-language/schema/raw/master/csl-citation.json"}</w:instrText>
      </w:r>
      <w:r w:rsidRPr="006A1EC7">
        <w:fldChar w:fldCharType="separate"/>
      </w:r>
      <w:r w:rsidRPr="006A1EC7">
        <w:rPr>
          <w:noProof/>
        </w:rPr>
        <w:t>(Martinez-Martin, 2010; O’ Boyle, 1995; Relja, 2012; Slevin et al., 1988; Smith &amp; Weldring, 2013)</w:t>
      </w:r>
      <w:r w:rsidRPr="006A1EC7">
        <w:fldChar w:fldCharType="end"/>
      </w:r>
      <w:r w:rsidRPr="006A1EC7">
        <w:t xml:space="preserve">. These clinical outcome assessments can bridge, and consequently address, differing understandings of health between patients and their health care professionals or help health care professionals assess patients with a specific condition in a meaningful way to the patient. It is important to note that they do not serve as means to a diagnosis; they are assessment tools of health status rather than diagnostic tools </w:t>
      </w:r>
      <w:r w:rsidRPr="006A1EC7">
        <w:fldChar w:fldCharType="begin" w:fldLock="1"/>
      </w:r>
      <w:r w:rsidRPr="006A1EC7">
        <w:instrText>ADDIN CSL_CITATION {"citationItems":[{"id":"ITEM-1","itemData":{"DOI":"10.1016/j.jval.2015.09.2863","ISSN":"1098-3015","abstract":"An outcome assessment, the patient assessment used in an endpoint, is themeasuring instrument that provides a rating or score (categorical or continuous) that is intended to represent some aspect of the patient’s health status. Outcome assessments are used to define efficacy end- points when developing a therapy for a disease or condition. Most efficacy endpoints are based on specified clinical assessments of patients.When clinical assessments are used as clinical trial outcomes, they are called clinical outcome assessments (COAs). COAs include any assessment that may be influenced by human choices, judgment, or motivation. COAsmust be well-defined and possess adequatemeasure- ment properties to demonstrate (directly or indirectly) the benefits of a treatment. In contrast, a biomarker assessment is one that is subject to little, if any, patient motivational or rater judgmental influence. This is the first of two reports by the ISPOR Clinical Outcomes Assessment – Emerging Good Practices for Outcomes Research Task Force. This report provides foundational definitions important for an understanding of COA measurement principles. The foundation provided in this report includes what it means to demonstrate a beneficial effect, how assess- ments of patients relate to the objective of showing a treatment’s benefit, and how these assessments are used in clinical trial endpoints. In addition, this report describes intrinsic attributes of patient assess- ments and clinical trial factors that can affect the properties of the measurements. These factors should be considered when developing or refining assessments. These considerationswill aid investigators design- ing trials in their choice of using an existing assessment or developing a new outcome assessment. Although the focus of this report is on the development of a new COA to define endpoints in a clinical trial, these principles may be applied more generally. A critical element in apprais- ing or developing a COA is to describe the treatment’sintendedbenefit as an effect on a clearly identified aspect of how a patient feels or functions. This aspect must have importance to the patient and be part of the patient’s typical life. This meaningful health aspect can be measured directly or measured indirectly when it is impractical to evaluate it directly or when it is difficult to measure. For indirect measurement, a concept of interest (COI) can be identified. The COI must be related to how a patient feels or fu…","author":[{"dropping-particle":"","family":"Powers","given":"J","non-dropping-particle":"","parse-names":false,"suffix":""},{"dropping-particle":"","family":"Patrick","given":"D","non-dropping-particle":"","parse-names":false,"suffix":""},{"dropping-particle":"","family":"Walton","given":"M.","non-dropping-particle":"","parse-names":false,"suffix":""},{"dropping-particle":"","family":"Marquis","given":"P","non-dropping-particle":"","parse-names":false,"suffix":""},{"dropping-particle":"","family":"Cano","given":"S","non-dropping-particle":"","parse-names":false,"suffix":""},{"dropping-particle":"","family":"Hobart","given":"J","non-dropping-particle":"","parse-names":false,"suffix":""},{"dropping-particle":"","family":"Isaac","given":"M","non-dropping-particle":"","parse-names":false,"suffix":""},{"dropping-particle":"","family":"Vamvakas","given":"S","non-dropping-particle":"","parse-names":false,"suffix":""},{"dropping-particle":"","family":"Slagle","given":"A","non-dropping-particle":"","parse-names":false,"suffix":""},{"dropping-particle":"","family":"Molsen","given":"E","non-dropping-particle":"","parse-names":false,"suffix":""},{"dropping-particle":"","family":"Burke","given":"L","non-dropping-particle":"","parse-names":false,"suffix":""},{"dropping-particle":"","family":"Vambakas","given":"S","non-dropping-particle":"","parse-names":false,"suffix":""},{"dropping-particle":"","family":"Slagle","given":"A","non-dropping-particle":"","parse-names":false,"suffix":""},{"dropping-particle":"","family":"Molsen","given":"E","non-dropping-particle":"","parse-names":false,"suffix":""},{"dropping-particle":"","family":"Burke","given":"L","non-dropping-particle":"","parse-names":false,"suffix":""}],"container-title":"Value in health","id":"ITEM-1","issued":{"date-parts":[["2017"]]},"page":"2-14","title":"Clinician-Reported Outcome Assessments of Treatment Benefit: Report of the ISPOR Clinical Outcome Assessment Emerging Good Practices Task Force","type":"article-journal","volume":"18"},"uris":["http://www.mendeley.com/documents/?uuid=c0bcfe6a-b9f6-4c67-8651-bb6ec3aab8a8"]}],"mendeley":{"formattedCitation":"(J. Powers, Patrick, Walton, Marquis, Cano, Hobart, Isaac, Vamvakas, Slagle, Molsen, Burke, et al., 2017)","manualFormatting":"(Powers et al., 2017)","plainTextFormattedCitation":"(J. Powers, Patrick, Walton, Marquis, Cano, Hobart, Isaac, Vamvakas, Slagle, Molsen, Burke, et al., 2017)","previouslyFormattedCitation":"(J. Powers, Patrick, Walton, Marquis, Cano, Hobart, Isaac, Vamvakas, Slagle, Molsen, Burke, et al., 2017)"},"properties":{"noteIndex":0},"schema":"https://github.com/citation-style-language/schema/raw/master/csl-citation.json"}</w:instrText>
      </w:r>
      <w:r w:rsidRPr="006A1EC7">
        <w:fldChar w:fldCharType="separate"/>
      </w:r>
      <w:r w:rsidRPr="006A1EC7">
        <w:rPr>
          <w:noProof/>
        </w:rPr>
        <w:t>(Powers et al., 2017)</w:t>
      </w:r>
      <w:r w:rsidRPr="006A1EC7">
        <w:fldChar w:fldCharType="end"/>
      </w:r>
      <w:r w:rsidRPr="006A1EC7">
        <w:t>.</w:t>
      </w:r>
    </w:p>
    <w:p w14:paraId="02CC82AE" w14:textId="648997C6" w:rsidR="00065496" w:rsidRPr="006A1EC7" w:rsidRDefault="00A40374" w:rsidP="00A40374">
      <w:pPr>
        <w:spacing w:line="360" w:lineRule="auto"/>
        <w:ind w:firstLine="720"/>
      </w:pPr>
      <w:r w:rsidRPr="006A1EC7">
        <w:t xml:space="preserve">The </w:t>
      </w:r>
      <w:r w:rsidR="00065496" w:rsidRPr="006A1EC7">
        <w:t xml:space="preserve">use and development of COAs has increased significantly over the past twenty years </w:t>
      </w:r>
      <w:r w:rsidR="00065496" w:rsidRPr="006A1EC7">
        <w:fldChar w:fldCharType="begin" w:fldLock="1"/>
      </w:r>
      <w:r w:rsidR="00065496" w:rsidRPr="006A1EC7">
        <w:instrText>ADDIN CSL_CITATION {"citationItems":[{"id":"ITEM-1","itemData":{"author":[{"dropping-particle":"","family":"McDowell","given":"Ian","non-dropping-particle":"","parse-names":false,"suffix":""}],"container-title":"The Theoretical and Technical Foundations of Health Measurement","edition":"3rd","id":"ITEM-1","issued":{"date-parts":[["2006"]]},"publisher":"Oxford University Press","publisher-place":"Oxford","title":"Measuring health : a guide to rating scales and questionnaires","type":"book"},"uris":["http://www.mendeley.com/documents/?uuid=bbf0a91c-16c1-4f7e-99e5-dfbf8cb7fa65"]}],"mendeley":{"formattedCitation":"(McDowell, 2006)","plainTextFormattedCitation":"(McDowell, 2006)","previouslyFormattedCitation":"(McDowell, 2006)"},"properties":{"noteIndex":0},"schema":"https://github.com/citation-style-language/schema/raw/master/csl-citation.json"}</w:instrText>
      </w:r>
      <w:r w:rsidR="00065496" w:rsidRPr="006A1EC7">
        <w:fldChar w:fldCharType="separate"/>
      </w:r>
      <w:r w:rsidR="00065496" w:rsidRPr="006A1EC7">
        <w:rPr>
          <w:noProof/>
        </w:rPr>
        <w:t>(McDowell, 2006)</w:t>
      </w:r>
      <w:r w:rsidR="00065496" w:rsidRPr="006A1EC7">
        <w:fldChar w:fldCharType="end"/>
      </w:r>
      <w:r w:rsidR="00065496" w:rsidRPr="006A1EC7">
        <w:t xml:space="preserve">. To illustrate: a 2008 systematic review focusing on outcome measures in ‘clinical genetics services’, identified 67 validated measures. The measures ranged from assessments of psychological aspects, such as coping or worry, to health status and QoL measures </w:t>
      </w:r>
      <w:r w:rsidR="00065496" w:rsidRPr="006A1EC7">
        <w:fldChar w:fldCharType="begin" w:fldLock="1"/>
      </w:r>
      <w:r w:rsidR="00065496" w:rsidRPr="006A1EC7">
        <w:instrText>ADDIN CSL_CITATION {"citationItems":[{"id":"ITEM-1","itemData":{"DOI":"10.1111/j.1524-4733.2007.00259.x","ISBN":"1524-4733 (Electronic) 1098-3015 (Linking)","ISSN":"10983015","PMID":"18489673","abstract":"OBJECTIVE\\nThis systematic review aimed to inform researchers and policymakers about what validated outcome measures are available to evaluate clinical genetics services (CGS) and the need for new measures. \\n\\nMETHODS\\nValidated outcome measures used to evaluate CGS were identified from a systematic literature review. Subjective outcome measures were assumed to have been validated only if some form of psychometric assessment was reported. \\n\\nRESULTS\\nA total of 1688 titles and abstracts were identified, and 61 articles met the inclusion criteria for the final review, which covered 67 validated outcome measures. There were 37 nongenetics-specific and 30 genetics-specific measures identified. No single validated outcome measure encompassed all potential patient benefits from using a CGS. A variety of different domains were identified, including anxiety and depression, coping, decision-making, distress, family environment, health status, knowledge, mood, perception of risk, perceived personal control, psychological impact, quality of life, satisfaction and expectations, self-esteem, spiritual well-being, and worry. Some important aspects of patient benefit from CGS are not covered by existing outcome measures. \\n\\nCONCLUSIONS\\nNew research is necessary to develop the array of outcome measures required to quantify the benefits CGS offer patients living with the effects of genetic conditions. These need to be suitable for use in prospective evaluation studies to provide robust evidence for decision-makers to inform service development and commissioning. This includes prioritization of the existing validated outcome measures in terms of their usefulness and relevance to the measurement and valuation of patient benefits from a CGS.","author":[{"dropping-particle":"","family":"Payne","given":"Katherine","non-dropping-particle":"","parse-names":false,"suffix":""},{"dropping-particle":"","family":"Nicholls","given":"Stuart","non-dropping-particle":"","parse-names":false,"suffix":""},{"dropping-particle":"","family":"McAllister","given":"Marion","non-dropping-particle":"","parse-names":false,"suffix":""},{"dropping-particle":"","family":"MacLeod","given":"Rhona","non-dropping-particle":"","parse-names":false,"suffix":""},{"dropping-particle":"","family":"Donnai","given":"Dian","non-dropping-particle":"","parse-names":false,"suffix":""},{"dropping-particle":"","family":"Davies","given":"Linda M.","non-dropping-particle":"","parse-names":false,"suffix":""}],"container-title":"Value in Health","id":"ITEM-1","issue":"3","issued":{"date-parts":[["2008"]]},"page":"497-508","publisher":"International Society for Pharmacoeconomics and Outcomes Research (ISPOR)","title":"Outcome measurement in clinical genetics services: A systematic review of validated measures","type":"article-journal","volume":"11"},"uris":["http://www.mendeley.com/documents/?uuid=b23d2f77-fa7c-4ca5-b245-6c6b8845b753"]}],"mendeley":{"formattedCitation":"(Payne et al., 2008)","plainTextFormattedCitation":"(Payne et al., 2008)","previouslyFormattedCitation":"(Payne et al., 2008)"},"properties":{"noteIndex":0},"schema":"https://github.com/citation-style-language/schema/raw/master/csl-citation.json"}</w:instrText>
      </w:r>
      <w:r w:rsidR="00065496" w:rsidRPr="006A1EC7">
        <w:fldChar w:fldCharType="separate"/>
      </w:r>
      <w:r w:rsidR="00065496" w:rsidRPr="006A1EC7">
        <w:rPr>
          <w:noProof/>
        </w:rPr>
        <w:t>(Payne et al., 2008)</w:t>
      </w:r>
      <w:r w:rsidR="00065496" w:rsidRPr="006A1EC7">
        <w:fldChar w:fldCharType="end"/>
      </w:r>
      <w:r w:rsidR="00065496" w:rsidRPr="006A1EC7">
        <w:t>. Disease-specific scales, such as the Prostate Cancer Genetic Screening survey, and general measures, such as the ‘Beck Depression Inventory’ or ‘Worry Interference Scale’, were reported. A limitation is that Payne et al</w:t>
      </w:r>
      <w:r w:rsidRPr="006A1EC7">
        <w:t xml:space="preserve">. </w:t>
      </w:r>
      <w:r w:rsidR="00065496" w:rsidRPr="006A1EC7">
        <w:t xml:space="preserve">(2008)’s Inclusion criteria were very broad, and not necessarily focused on the assessment of genetic disease in general, which would have increased its relevance. For example, the review also reported on measures for the use with medical professionals only, such as ‘Measure of Counselees’ Knowledge of Down Syndrome’ as the scope of the review was to assess outcome measures in clinical genetic services, and not limited to patient-related outcome measures. However, the review has distinct </w:t>
      </w:r>
      <w:r w:rsidR="00065496" w:rsidRPr="006A1EC7">
        <w:lastRenderedPageBreak/>
        <w:t xml:space="preserve">strengths: one strength is that it provided a good, if now slightly dated, overview of validated measures used in clinical genetics services. </w:t>
      </w:r>
    </w:p>
    <w:p w14:paraId="7ABDF465" w14:textId="3BEED14F" w:rsidR="00065496" w:rsidRPr="006A1EC7" w:rsidRDefault="00065496" w:rsidP="00A40374">
      <w:pPr>
        <w:spacing w:line="360" w:lineRule="auto"/>
        <w:ind w:firstLine="720"/>
      </w:pPr>
      <w:r w:rsidRPr="006A1EC7">
        <w:t>The review also concludes that most measures identified focused solely on psychological effects rather than medical ones; the authors argue that this needs to be challenged and changed through the development of more medically oriented measures. This conclusion is especially relevant to the current PhD project as the Clinical Outcome Assessment that this thesis seeks to develop should take into account medical measures rather than psychological ones. Elsewhere, this move has also been emphasised: “</w:t>
      </w:r>
      <w:r w:rsidRPr="006A1EC7">
        <w:rPr>
          <w:i/>
        </w:rPr>
        <w:t xml:space="preserve">The question is no longer whether these factors </w:t>
      </w:r>
      <m:oMath>
        <m:d>
          <m:dPr>
            <m:begChr m:val="["/>
            <m:endChr m:val="]"/>
            <m:ctrlPr>
              <w:rPr>
                <w:rFonts w:ascii="Cambria Math" w:hAnsi="Cambria Math"/>
                <w:i/>
              </w:rPr>
            </m:ctrlPr>
          </m:dPr>
          <m:e>
            <m:r>
              <w:rPr>
                <w:rFonts w:ascii="Cambria Math" w:hAnsi="Cambria Math"/>
              </w:rPr>
              <m:t>HRQoL</m:t>
            </m:r>
          </m:e>
        </m:d>
      </m:oMath>
      <w:r w:rsidRPr="006A1EC7">
        <w:rPr>
          <w:i/>
        </w:rPr>
        <w:t xml:space="preserve"> should be measured, but what is the most reliable and practical means of obtaining these essential data.”</w:t>
      </w:r>
      <w:r w:rsidRPr="006A1EC7">
        <w:t xml:space="preserve"> </w:t>
      </w:r>
      <w:r w:rsidRPr="006A1EC7">
        <w:fldChar w:fldCharType="begin" w:fldLock="1"/>
      </w:r>
      <w:r w:rsidR="00A40374" w:rsidRPr="006A1EC7">
        <w:instrText>ADDIN CSL_CITATION {"citationItems":[{"id":"ITEM-1","itemData":{"DOI":"10.1038/bjc.1988.20","ISBN":"0007-0920 LA - eng PT - Journal Article","ISSN":"0007-0920","PMID":"3348942","abstract":"The extent to which a doctor or health professional can make a valid assessment of a patient's quality of life, anxiety and depression was investigated in a series of cancer patients. Doctors and patients filled out the same forms, viz. the Karnofsky, Spitzer, Linear Analogue Self Assessment Scales and a series of simple scales designed for this study, at the same time. Correlations between the two sets of scores were poor, suggesting that the doctors could not accurately determine what the patients felt. A further study examining the reproducibility of these scales demonstrated considerable variability in results between different doctors. It is concluded that if a reliable and consistent method of measuring quality of life in cancer patients is required, it must come from the patients themselves and not from their doctors and nurses.","author":[{"dropping-particle":"","family":"Slevin","given":"M L","non-dropping-particle":"","parse-names":false,"suffix":""},{"dropping-particle":"","family":"Plant","given":"H","non-dropping-particle":"","parse-names":false,"suffix":""},{"dropping-particle":"","family":"Lynch","given":"D","non-dropping-particle":"","parse-names":false,"suffix":""},{"dropping-particle":"","family":"Drinkwater","given":"J","non-dropping-particle":"","parse-names":false,"suffix":""},{"dropping-particle":"","family":"Gregory","given":"W M","non-dropping-particle":"","parse-names":false,"suffix":""}],"container-title":"British Journal of Cancer","id":"ITEM-1","issue":"1","issued":{"date-parts":[["1988"]]},"page":"109-112","title":"Who Should Measure Quality of Life, the Doctor or the Patient?","type":"article-journal","volume":"57"},"uris":["http://www.mendeley.com/documents/?uuid=c8626025-8d6b-4581-bdfd-894716936102"]}],"mendeley":{"formattedCitation":"(Slevin et al., 1988)","manualFormatting":"(Slevin et al., 1988, p. 109)","plainTextFormattedCitation":"(Slevin et al., 1988)","previouslyFormattedCitation":"(Slevin et al., 1988)"},"properties":{"noteIndex":0},"schema":"https://github.com/citation-style-language/schema/raw/master/csl-citation.json"}</w:instrText>
      </w:r>
      <w:r w:rsidRPr="006A1EC7">
        <w:fldChar w:fldCharType="separate"/>
      </w:r>
      <w:r w:rsidRPr="006A1EC7">
        <w:rPr>
          <w:noProof/>
        </w:rPr>
        <w:t>(Slevin et al., 1988</w:t>
      </w:r>
      <w:r w:rsidR="00A40374" w:rsidRPr="006A1EC7">
        <w:rPr>
          <w:noProof/>
        </w:rPr>
        <w:t>, p. 109</w:t>
      </w:r>
      <w:r w:rsidRPr="006A1EC7">
        <w:rPr>
          <w:noProof/>
        </w:rPr>
        <w:t>)</w:t>
      </w:r>
      <w:r w:rsidRPr="006A1EC7">
        <w:fldChar w:fldCharType="end"/>
      </w:r>
    </w:p>
    <w:p w14:paraId="6455C6D2" w14:textId="77777777" w:rsidR="00065496" w:rsidRPr="006A1EC7" w:rsidRDefault="00065496" w:rsidP="00A40374">
      <w:pPr>
        <w:spacing w:line="360" w:lineRule="auto"/>
        <w:ind w:firstLine="720"/>
      </w:pPr>
      <w:r w:rsidRPr="006A1EC7">
        <w:t xml:space="preserve">Furthermore, </w:t>
      </w:r>
      <w:r w:rsidRPr="006A1EC7">
        <w:fldChar w:fldCharType="begin" w:fldLock="1"/>
      </w:r>
      <w:r w:rsidRPr="006A1EC7">
        <w:instrText>ADDIN CSL_CITATION {"citationItems":[{"id":"ITEM-1","itemData":{"DOI":"10.1111/j.1524-4733.2007.00259.x","ISBN":"1524-4733 (Electronic) 1098-3015 (Linking)","ISSN":"10983015","PMID":"18489673","abstract":"OBJECTIVE\\nThis systematic review aimed to inform researchers and policymakers about what validated outcome measures are available to evaluate clinical genetics services (CGS) and the need for new measures. \\n\\nMETHODS\\nValidated outcome measures used to evaluate CGS were identified from a systematic literature review. Subjective outcome measures were assumed to have been validated only if some form of psychometric assessment was reported. \\n\\nRESULTS\\nA total of 1688 titles and abstracts were identified, and 61 articles met the inclusion criteria for the final review, which covered 67 validated outcome measures. There were 37 nongenetics-specific and 30 genetics-specific measures identified. No single validated outcome measure encompassed all potential patient benefits from using a CGS. A variety of different domains were identified, including anxiety and depression, coping, decision-making, distress, family environment, health status, knowledge, mood, perception of risk, perceived personal control, psychological impact, quality of life, satisfaction and expectations, self-esteem, spiritual well-being, and worry. Some important aspects of patient benefit from CGS are not covered by existing outcome measures. \\n\\nCONCLUSIONS\\nNew research is necessary to develop the array of outcome measures required to quantify the benefits CGS offer patients living with the effects of genetic conditions. These need to be suitable for use in prospective evaluation studies to provide robust evidence for decision-makers to inform service development and commissioning. This includes prioritization of the existing validated outcome measures in terms of their usefulness and relevance to the measurement and valuation of patient benefits from a CGS.","author":[{"dropping-particle":"","family":"Payne","given":"Katherine","non-dropping-particle":"","parse-names":false,"suffix":""},{"dropping-particle":"","family":"Nicholls","given":"Stuart","non-dropping-particle":"","parse-names":false,"suffix":""},{"dropping-particle":"","family":"McAllister","given":"Marion","non-dropping-particle":"","parse-names":false,"suffix":""},{"dropping-particle":"","family":"MacLeod","given":"Rhona","non-dropping-particle":"","parse-names":false,"suffix":""},{"dropping-particle":"","family":"Donnai","given":"Dian","non-dropping-particle":"","parse-names":false,"suffix":""},{"dropping-particle":"","family":"Davies","given":"Linda M.","non-dropping-particle":"","parse-names":false,"suffix":""}],"container-title":"Value in Health","id":"ITEM-1","issue":"3","issued":{"date-parts":[["2008"]]},"page":"497-508","publisher":"International Society for Pharmacoeconomics and Outcomes Research (ISPOR)","title":"Outcome measurement in clinical genetics services: A systematic review of validated measures","type":"article-journal","volume":"11"},"uris":["http://www.mendeley.com/documents/?uuid=b23d2f77-fa7c-4ca5-b245-6c6b8845b753"]}],"mendeley":{"formattedCitation":"(Payne et al., 2008)","manualFormatting":"Payne et al. (2008)","plainTextFormattedCitation":"(Payne et al., 2008)","previouslyFormattedCitation":"(Payne et al., 2008)"},"properties":{"noteIndex":0},"schema":"https://github.com/citation-style-language/schema/raw/master/csl-citation.json"}</w:instrText>
      </w:r>
      <w:r w:rsidRPr="006A1EC7">
        <w:fldChar w:fldCharType="separate"/>
      </w:r>
      <w:r w:rsidRPr="006A1EC7">
        <w:rPr>
          <w:noProof/>
        </w:rPr>
        <w:t>Payne et al. (2008)</w:t>
      </w:r>
      <w:r w:rsidRPr="006A1EC7">
        <w:fldChar w:fldCharType="end"/>
      </w:r>
      <w:r w:rsidRPr="006A1EC7">
        <w:t xml:space="preserve"> initially identified 70 outcome measures for their review, on the basis of the authors of papers claiming their scales had been validated for use. However, upon investigation, the authors found that three of the 70 instruments did not have (published) evidence for their validity and were therefore excluded. Validation of outcome measure is extremely important, due to ensuring that the results obtained and thus inferences made from the instrument are valid and reliable. </w:t>
      </w:r>
    </w:p>
    <w:p w14:paraId="49B94812" w14:textId="77777777" w:rsidR="00065496" w:rsidRPr="006A1EC7" w:rsidRDefault="00065496" w:rsidP="00A40374">
      <w:pPr>
        <w:spacing w:line="360" w:lineRule="auto"/>
      </w:pPr>
    </w:p>
    <w:p w14:paraId="640EB5F3" w14:textId="77777777" w:rsidR="00065496" w:rsidRPr="006A1EC7" w:rsidRDefault="00065496" w:rsidP="00A40374">
      <w:pPr>
        <w:pStyle w:val="Heading3"/>
        <w:spacing w:line="360" w:lineRule="auto"/>
        <w:rPr>
          <w:rFonts w:ascii="Times New Roman" w:hAnsi="Times New Roman" w:cs="Times New Roman"/>
        </w:rPr>
      </w:pPr>
      <w:bookmarkStart w:id="40" w:name="_Toc2336988"/>
      <w:bookmarkStart w:id="41" w:name="_Toc17977841"/>
      <w:r w:rsidRPr="006A1EC7">
        <w:rPr>
          <w:rFonts w:ascii="Times New Roman" w:hAnsi="Times New Roman" w:cs="Times New Roman"/>
        </w:rPr>
        <w:t>Single-item and multi-item scales</w:t>
      </w:r>
      <w:bookmarkEnd w:id="40"/>
      <w:bookmarkEnd w:id="41"/>
    </w:p>
    <w:p w14:paraId="23671C32" w14:textId="77777777" w:rsidR="00065496" w:rsidRPr="006A1EC7" w:rsidRDefault="00065496" w:rsidP="00A40374">
      <w:pPr>
        <w:spacing w:line="360" w:lineRule="auto"/>
        <w:ind w:firstLine="720"/>
      </w:pPr>
      <w:r w:rsidRPr="006A1EC7">
        <w:t xml:space="preserve">The goal of any COA is to accurately measure the underlying construct it is designed to assess, such as disease status, functioning or HRQoL </w:t>
      </w:r>
      <w:r w:rsidRPr="006A1EC7">
        <w:fldChar w:fldCharType="begin" w:fldLock="1"/>
      </w:r>
      <w:r w:rsidRPr="006A1EC7">
        <w:instrText>ADDIN CSL_CITATION {"citationItems":[{"id":"ITEM-1","itemData":{"DOI":"10.1037/1040-3590.7.3.309","ISBN":"1040-3590 1939-134X","ISSN":"1040-3590","PMID":"15195336","abstract":"A primary goal of scale development is to create a valid measure of an underlying construct. We discuss theoretical principles, practical issues, and pragmatic decisions to help developers maximize the construct validity of scales and subscales. First, it is essential to begin with a clear conceptualization of the target construct. Moreover, the content of the initial item pool should be overinclusive and item wording needs careful attention. Next, the item pool should be tested, along with variables that assess closely related constructs, on a heterogeneous sample representing the entire range of the target population. Finally, in selecting scale items, the goal is unidimensionality rather than internal consistency; this means that virtually all interitem correlations should be moderate in magnitude. Factor analysis can play a crucial role in ensuring the unidimensionality and discriminant validity of scales.","author":[{"dropping-particle":"","family":"Clark","given":"Lee Anna","non-dropping-particle":"","parse-names":false,"suffix":""},{"dropping-particle":"","family":"Watson","given":"David","non-dropping-particle":"","parse-names":false,"suffix":""}],"container-title":"Psychological assessment","id":"ITEM-1","issue":"3","issued":{"date-parts":[["1995"]]},"page":"309-319","title":"Constructing validity: Basic issues in objective scale development","type":"article-journal","volume":"7"},"uris":["http://www.mendeley.com/documents/?uuid=20320aac-a109-4d75-86ea-cfe805b4becb"]},{"id":"ITEM-2","itemData":{"DOI":"10.1016/S1353-8020(11)70070-0","ISSN":"1873-5126","PMID":"22166443","abstract":"In Parkinson's disease (PD), rating scales are used to assess the degree of disease-related disability and to titrate long-term treatment to each phase of the disease. Recognition of non-motor symptoms required modification of existing widely used scales to integrate non-motor elements. In addition, new scales have been developed for the assessment of non-motor symptoms. In this article, assessment of PD patients will be discussed, particularly for non-motor symptoms such as pain and fatigue","author":[{"dropping-particle":"","family":"Relja","given":"Maja","non-dropping-particle":"","parse-names":false,"suffix":""}],"container-title":"Parkinsonism Relat Disord","id":"ITEM-2","issued":{"date-parts":[["2012"]]},"page":"S229-S232","publisher":"Elsevier Ltd","title":"Clinical rating scales","type":"article-journal","volume":"18 Suppl 1"},"uris":["http://www.mendeley.com/documents/?uuid=4d5ff867-143e-418a-a835-8e0636eec381"]}],"mendeley":{"formattedCitation":"(Clark &amp; Watson, 1995; Relja, 2012)","manualFormatting":"(Clark &amp; Watson, 1995; Relja, 2012)","plainTextFormattedCitation":"(Clark &amp; Watson, 1995; Relja, 2012)","previouslyFormattedCitation":"(Clark &amp; Watson, 1995; Relja, 2012)"},"properties":{"noteIndex":0},"schema":"https://github.com/citation-style-language/schema/raw/master/csl-citation.json"}</w:instrText>
      </w:r>
      <w:r w:rsidRPr="006A1EC7">
        <w:fldChar w:fldCharType="separate"/>
      </w:r>
      <w:r w:rsidRPr="006A1EC7">
        <w:rPr>
          <w:noProof/>
        </w:rPr>
        <w:t>(Clark &amp; Watson, 1995; Relja, 2012)</w:t>
      </w:r>
      <w:r w:rsidRPr="006A1EC7">
        <w:fldChar w:fldCharType="end"/>
      </w:r>
      <w:r w:rsidRPr="006A1EC7">
        <w:t xml:space="preserve">. A relevant example for this thesis is, for example, the Medical Research Council Prion Disease Rating scale which assesses the underlying construct of ‘Prion Disease’ across five domains which are cognitive function, speech, mobility, personal care/feeding and continence </w:t>
      </w:r>
      <w:r w:rsidRPr="006A1EC7">
        <w:fldChar w:fldCharType="begin" w:fldLock="1"/>
      </w:r>
      <w:r w:rsidRPr="006A1EC7">
        <w:instrText>ADDIN CSL_CITATION {"citationItems":[{"id":"ITEM-1","itemData":{"DOI":"10.1093/brain/awt048","ISBN":"1460-2156 (Electronic)\\r0006-8950 (Linking)","ISSN":"14602156","PMID":"23550114","abstract":"Progress in therapeutics for rare disorders like prion disease is impeded by the lack of validated outcome measures and a paucity of natural history data derived from prospective observational studies. The first analysis of the UK National Prion Monitoring Cohort involved 1337 scheduled clinical assessments and 479 telephone assessments in 437 participants over 373 patient-years of follow-up. Scale development has included semi-quantitative and qualitative carer interviews, item response modelling (Rasch analysis), inter-rater reliability testing, construct analysis and correlation with several existing scales. The proposed 20-point Medical Research Council Prion Disease Rating Scale assesses domains of cognitive function, speech, mobility, personal care/feeding and continence, according to their relative importance documented by carer interviews. It is quick and simple to administer, and has been validated for use by doctors and nurses and for use over the telephone, allowing for frequent assessments that capture the rapid change typical of these diseases. The Medical Research Council Scale correlates highly with widely used cognitive and single item scales, but has substantial advantages over these including minimal floor effects. Three clear patterns of decline were observed using the scale: fast linear decline, slow linear decline (usually inherited prion disease) and in some patients, decline followed by a prolonged preterminal plateau at very low functional levels. Rates of decline and progress through milestones measured using the scale vary between sporadic, acquired and inherited prion diseases following clinical expectations. We have developed and validated a new functionally-oriented outcome measure and propose that future clinical trials in prion disease should collect data compatible with this scale, to allow for combined and comparative analyses. Such approaches may be advantageous in orphan conditions, where single studies of feasible duration will often struggle to achieve statistical power.","author":[{"dropping-particle":"","family":"Thompson","given":"Andrew G.B. B","non-dropping-particle":"","parse-names":false,"suffix":""},{"dropping-particle":"","family":"Lowe","given":"Jessica","non-dropping-particle":"","parse-names":false,"suffix":""},{"dropping-particle":"","family":"Fox","given":"Zoe","non-dropping-particle":"","parse-names":false,"suffix":""},{"dropping-particle":"","family":"Lukic","given":"Ana","non-dropping-particle":"","parse-names":false,"suffix":""},{"dropping-particle":"","family":"Porter","given":"Marie Claire","non-dropping-particle":"","parse-names":false,"suffix":""},{"dropping-particle":"","family":"Ford","given":"Liz","non-dropping-particle":"","parse-names":false,"suffix":""},{"dropping-particle":"","family":"Gorham","given":"Michele","non-dropping-particle":"","parse-names":false,"suffix":""},{"dropping-particle":"","family":"Gopalakrishnan","given":"Gosala S.","non-dropping-particle":"","parse-names":false,"suffix":""},{"dropping-particle":"","family":"Rudge","given":"Peter","non-dropping-particle":"","parse-names":false,"suffix":""},{"dropping-particle":"","family":"Walker","given":"A. Sarah","non-dropping-particle":"","parse-names":false,"suffix":""},{"dropping-particle":"","family":"Collinge","given":"John","non-dropping-particle":"","parse-names":false,"suffix":""},{"dropping-particle":"","family":"Mead","given":"Simon","non-dropping-particle":"","parse-names":false,"suffix":""}],"container-title":"Brain","id":"ITEM-1","issue":"4","issued":{"date-parts":[["2013"]]},"page":"1116-1127","title":"The medical research council prion disease rating scale: A new outcome measure for prion disease therapeutic trials developed and validated using systematic observational studies","type":"article-journal","volume":"136"},"uris":["http://www.mendeley.com/documents/?uuid=3aabe36a-1ae9-4f82-8507-208c33376690"]}],"mendeley":{"formattedCitation":"(Thompson et al., 2013)","plainTextFormattedCitation":"(Thompson et al., 2013)","previouslyFormattedCitation":"(Thompson et al., 2013)"},"properties":{"noteIndex":0},"schema":"https://github.com/citation-style-language/schema/raw/master/csl-citation.json"}</w:instrText>
      </w:r>
      <w:r w:rsidRPr="006A1EC7">
        <w:fldChar w:fldCharType="separate"/>
      </w:r>
      <w:r w:rsidRPr="006A1EC7">
        <w:rPr>
          <w:noProof/>
        </w:rPr>
        <w:t>(Thompson et al., 2013)</w:t>
      </w:r>
      <w:r w:rsidRPr="006A1EC7">
        <w:fldChar w:fldCharType="end"/>
      </w:r>
      <w:r w:rsidRPr="006A1EC7">
        <w:t xml:space="preserve">. </w:t>
      </w:r>
    </w:p>
    <w:p w14:paraId="45B179BD" w14:textId="63FCFD73" w:rsidR="00065496" w:rsidRPr="006A1EC7" w:rsidRDefault="00065496" w:rsidP="00A40374">
      <w:pPr>
        <w:spacing w:line="360" w:lineRule="auto"/>
        <w:ind w:firstLine="720"/>
      </w:pPr>
      <w:r w:rsidRPr="006A1EC7">
        <w:t xml:space="preserve">There are two over-arching types of clinical outcome assessments, as illustrated in Graphic 3 </w:t>
      </w:r>
      <w:r w:rsidRPr="006A1EC7">
        <w:fldChar w:fldCharType="begin" w:fldLock="1"/>
      </w:r>
      <w:r w:rsidRPr="006A1EC7">
        <w:instrText>ADDIN CSL_CITATION {"citationItems":[{"id":"ITEM-1","itemData":{"DOI":"10.1016/j.jns.2009.08.013","ISBN":"0022-510X","ISSN":"0022510X","PMID":"19732911","abstract":"Rating scales are instruments that are very frequently used by clinicians to perform patient assessments. Typically, rating scales grade the attribute on an ordinal level of measurement, i.e., a rank ordering, meaning that the numbers assigned to the different ranks (item scores) do not represent 'real numbers' or 'physical magnitudes'. Single-item scales have some advantages, such as simplicity and low respondent burden, but they may also suffer from disadvantages, such as ambiguous score meanings and low responsiveness. Multi-item scales, in contrast, seem more adequate for assessment of complex constructs, allowing for detailed evaluation. Total scores representing the value of the construct may be quite precise and thus the responsiveness of the scale may be high. The most common strategy for obtaining the total score is the sum of the item scores, a strategy that constitutes one of the most important problems with these types of scales. A summative score of ordinal figures is not a 'real magnitude' and may have little sense. This paper is a review of the theoretical frameworks of the main theories used to develop rating scales (Classical Test Theory and Item Response Theory). Bearing in mind that no alternative is perfect, additional research in this field and judicious decisions are called for. ?? 2009 Elsevier B.V. All rights reserved.","author":[{"dropping-particle":"","family":"Martinez-Martin","given":"Pablo","non-dropping-particle":"","parse-names":false,"suffix":""}],"container-title":"Journal of the Neurological Sciences","id":"ITEM-1","issue":"1-2","issued":{"date-parts":[["2010"]]},"page":"7-11","publisher":"Elsevier B.V.","title":"Composite rating scales","type":"article-journal","volume":"289"},"uris":["http://www.mendeley.com/documents/?uuid=5a688db4-fd11-4218-9a89-71a19a25fddf"]}],"mendeley":{"formattedCitation":"(Martinez-Martin, 2010)","plainTextFormattedCitation":"(Martinez-Martin, 2010)","previouslyFormattedCitation":"(Martinez-Martin, 2010)"},"properties":{"noteIndex":0},"schema":"https://github.com/citation-style-language/schema/raw/master/csl-citation.json"}</w:instrText>
      </w:r>
      <w:r w:rsidRPr="006A1EC7">
        <w:fldChar w:fldCharType="separate"/>
      </w:r>
      <w:r w:rsidRPr="006A1EC7">
        <w:rPr>
          <w:noProof/>
        </w:rPr>
        <w:t>(Martinez-Martin, 2010)</w:t>
      </w:r>
      <w:r w:rsidRPr="006A1EC7">
        <w:fldChar w:fldCharType="end"/>
      </w:r>
      <w:r w:rsidRPr="006A1EC7">
        <w:t xml:space="preserve"> : single-item (Graphic 3: Diagram A) and multi-item clinical outcome assessments (Graphic 3: Diagrams B and C). While single-item scales are significantly easier to administer and exert little burden on respondent and assessor (Relja, 2012), especially in terms of time commitment, they are not suitable for rare diseases, which are characteristically complex and heterogeneous with a significant variety of different clinical features </w:t>
      </w:r>
      <w:r w:rsidRPr="006A1EC7">
        <w:fldChar w:fldCharType="begin" w:fldLock="1"/>
      </w:r>
      <w:r w:rsidRPr="006A1EC7">
        <w:instrText>ADDIN CSL_CITATION {"citationItems":[{"id":"ITEM-1","itemData":{"DOI":"10.1016/j.jns.2009.08.013","ISBN":"0022-510X","ISSN":"0022510X","PMID":"19732911","abstract":"Rating scales are instruments that are very frequently used by clinicians to perform patient assessments. Typically, rating scales grade the attribute on an ordinal level of measurement, i.e., a rank ordering, meaning that the numbers assigned to the different ranks (item scores) do not represent 'real numbers' or 'physical magnitudes'. Single-item scales have some advantages, such as simplicity and low respondent burden, but they may also suffer from disadvantages, such as ambiguous score meanings and low responsiveness. Multi-item scales, in contrast, seem more adequate for assessment of complex constructs, allowing for detailed evaluation. Total scores representing the value of the construct may be quite precise and thus the responsiveness of the scale may be high. The most common strategy for obtaining the total score is the sum of the item scores, a strategy that constitutes one of the most important problems with these types of scales. A summative score of ordinal figures is not a 'real magnitude' and may have little sense. This paper is a review of the theoretical frameworks of the main theories used to develop rating scales (Classical Test Theory and Item Response Theory). Bearing in mind that no alternative is perfect, additional research in this field and judicious decisions are called for. ?? 2009 Elsevier B.V. All rights reserved.","author":[{"dropping-particle":"","family":"Martinez-Martin","given":"Pablo","non-dropping-particle":"","parse-names":false,"suffix":""}],"container-title":"Journal of the Neurological Sciences","id":"ITEM-1","issue":"1-2","issued":{"date-parts":[["2010"]]},"page":"7-11","publisher":"Elsevier B.V.","title":"Composite rating scales","type":"article-journal","volume":"289"},"uris":["http://www.mendeley.com/documents/?uuid=5a688db4-fd11-4218-9a89-71a19a25fddf"]}],"mendeley":{"formattedCitation":"(Martinez-Martin, 2010)","plainTextFormattedCitation":"(Martinez-Martin, 2010)","previouslyFormattedCitation":"(Martinez-Martin, 2010)"},"properties":{"noteIndex":0},"schema":"https://github.com/citation-style-language/schema/raw/master/csl-citation.json"}</w:instrText>
      </w:r>
      <w:r w:rsidRPr="006A1EC7">
        <w:fldChar w:fldCharType="separate"/>
      </w:r>
      <w:r w:rsidRPr="006A1EC7">
        <w:rPr>
          <w:noProof/>
        </w:rPr>
        <w:t>(Martinez-Martin, 2010)</w:t>
      </w:r>
      <w:r w:rsidRPr="006A1EC7">
        <w:fldChar w:fldCharType="end"/>
      </w:r>
      <w:r w:rsidRPr="006A1EC7">
        <w:t>. On the other hand, multi-item scales are perceived as more ‘</w:t>
      </w:r>
      <w:r w:rsidRPr="006A1EC7">
        <w:rPr>
          <w:i/>
        </w:rPr>
        <w:t xml:space="preserve">scientifically </w:t>
      </w:r>
      <w:r w:rsidRPr="006A1EC7">
        <w:t xml:space="preserve">strong’ compared to single-item scales, </w:t>
      </w:r>
      <w:r w:rsidRPr="006A1EC7">
        <w:lastRenderedPageBreak/>
        <w:t xml:space="preserve">but a limitation is that they produce less tangible and potentially meaningful scores </w:t>
      </w:r>
      <w:r w:rsidRPr="006A1EC7">
        <w:fldChar w:fldCharType="begin" w:fldLock="1"/>
      </w:r>
      <w:r w:rsidRPr="006A1EC7">
        <w:instrText>ADDIN CSL_CITATION {"citationItems":[{"id":"ITEM-1","itemData":{"DOI":"10.1016/S1474-4422(07)70290-9","ISBN":"1474-4422 (Print)\\r1474-4422","ISSN":"14744422","PMID":"18031706","abstract":"Have state-of-the-art clinical trials failed to deliver treatments for neurodegenerative diseases because of shortcomings in the rating scales used? This Review assesses two methodological limitations of rating scales that might help to answer this question. First, the numbers generated by most rating scales do not satisfy the criteria for rigorous measurements. Second, we do not really know which variables most rating scales measure. We use clinical examples to highlight concerns about the limitations of rating scales, examine their underlying rationales, clarify their implications, explore potential solutions, and make some recommendations for future research. We show that improvements in the scientific rigour of rating scales can improve the chances of reaching the correct conclusions about the effectiveness of treatments.","author":[{"dropping-particle":"","family":"Hobart","given":"Jeremy C","non-dropping-particle":"","parse-names":false,"suffix":""},{"dropping-particle":"","family":"Cano","given":"Stefan J","non-dropping-particle":"","parse-names":false,"suffix":""},{"dropping-particle":"","family":"Zajicek","given":"John P","non-dropping-particle":"","parse-names":false,"suffix":""},{"dropping-particle":"","family":"Thompson","given":"Alan J","non-dropping-particle":"","parse-names":false,"suffix":""}],"container-title":"Lancet Neurol","id":"ITEM-1","issue":"12","issued":{"date-parts":[["2007"]]},"page":"1094-1105","title":"Rating scales as outcome measures for clinical trials in neurology: problems, solutions, and recommendations","type":"article-journal","volume":"6"},"uris":["http://www.mendeley.com/documents/?uuid=f7f4c5f6-8076-4dbb-98ab-00f285b0cb06"]}],"mendeley":{"formattedCitation":"(Hobart, Cano, Zajicek, &amp; Thompson, 2007)","plainTextFormattedCitation":"(Hobart, Cano, Zajicek, &amp; Thompson, 2007)","previouslyFormattedCitation":"(Hobart, Cano, Zajicek, &amp; Thompson, 2007)"},"properties":{"noteIndex":0},"schema":"https://github.com/citation-style-language/schema/raw/master/csl-citation.json"}</w:instrText>
      </w:r>
      <w:r w:rsidRPr="006A1EC7">
        <w:fldChar w:fldCharType="separate"/>
      </w:r>
      <w:r w:rsidRPr="006A1EC7">
        <w:rPr>
          <w:noProof/>
        </w:rPr>
        <w:t>(Hobart, Cano, Zajicek, &amp; Thompson, 2007)</w:t>
      </w:r>
      <w:r w:rsidRPr="006A1EC7">
        <w:fldChar w:fldCharType="end"/>
      </w:r>
      <w:r w:rsidRPr="006A1EC7">
        <w:t xml:space="preserve">. </w:t>
      </w:r>
    </w:p>
    <w:p w14:paraId="3F3810CF" w14:textId="77777777" w:rsidR="00A40374" w:rsidRPr="006A1EC7" w:rsidRDefault="00065496" w:rsidP="00A40374">
      <w:pPr>
        <w:spacing w:line="360" w:lineRule="auto"/>
      </w:pPr>
      <w:r w:rsidRPr="006A1EC7">
        <w:t xml:space="preserve">There are two further types of multi-item scales: Unidimensional (i.e. one item per clinical feature; Graphic 3: Diagram B) or multi-dimensional (i.e. a number of items per clinical feature; Graphic 3: Diagram C), where one construct (e.g. epilepsy) is broken down into a number of smaller items, or subscales (e.g. types of seizures, frequency or duration) </w:t>
      </w:r>
      <w:r w:rsidRPr="006A1EC7">
        <w:fldChar w:fldCharType="begin" w:fldLock="1"/>
      </w:r>
      <w:r w:rsidRPr="006A1EC7">
        <w:instrText>ADDIN CSL_CITATION {"citationItems":[{"id":"ITEM-1","itemData":{"DOI":"10.1016/j.jns.2009.08.013","ISBN":"0022-510X","ISSN":"0022510X","PMID":"19732911","abstract":"Rating scales are instruments that are very frequently used by clinicians to perform patient assessments. Typically, rating scales grade the attribute on an ordinal level of measurement, i.e., a rank ordering, meaning that the numbers assigned to the different ranks (item scores) do not represent 'real numbers' or 'physical magnitudes'. Single-item scales have some advantages, such as simplicity and low respondent burden, but they may also suffer from disadvantages, such as ambiguous score meanings and low responsiveness. Multi-item scales, in contrast, seem more adequate for assessment of complex constructs, allowing for detailed evaluation. Total scores representing the value of the construct may be quite precise and thus the responsiveness of the scale may be high. The most common strategy for obtaining the total score is the sum of the item scores, a strategy that constitutes one of the most important problems with these types of scales. A summative score of ordinal figures is not a 'real magnitude' and may have little sense. This paper is a review of the theoretical frameworks of the main theories used to develop rating scales (Classical Test Theory and Item Response Theory). Bearing in mind that no alternative is perfect, additional research in this field and judicious decisions are called for. ?? 2009 Elsevier B.V. All rights reserved.","author":[{"dropping-particle":"","family":"Martinez-Martin","given":"Pablo","non-dropping-particle":"","parse-names":false,"suffix":""}],"container-title":"Journal of the Neurological Sciences","id":"ITEM-1","issue":"1-2","issued":{"date-parts":[["2010"]]},"page":"7-11","publisher":"Elsevier B.V.","title":"Composite rating scales","type":"article-journal","volume":"289"},"uris":["http://www.mendeley.com/documents/?uuid=5a688db4-fd11-4218-9a89-71a19a25fddf"]}],"mendeley":{"formattedCitation":"(Martinez-Martin, 2010)","manualFormatting":"(application of Martinez-Martin, 2010)","plainTextFormattedCitation":"(Martinez-Martin, 2010)","previouslyFormattedCitation":"(Martinez-Martin, 2010)"},"properties":{"noteIndex":0},"schema":"https://github.com/citation-style-language/schema/raw/master/csl-citation.json"}</w:instrText>
      </w:r>
      <w:r w:rsidRPr="006A1EC7">
        <w:fldChar w:fldCharType="separate"/>
      </w:r>
      <w:r w:rsidRPr="006A1EC7">
        <w:rPr>
          <w:noProof/>
        </w:rPr>
        <w:t>(application of Martinez-Martin, 2010)</w:t>
      </w:r>
      <w:r w:rsidRPr="006A1EC7">
        <w:fldChar w:fldCharType="end"/>
      </w:r>
      <w:r w:rsidRPr="006A1EC7">
        <w:t>.</w:t>
      </w:r>
      <w:bookmarkStart w:id="42" w:name="_Toc25137996"/>
      <w:r w:rsidR="00A40374" w:rsidRPr="006A1EC7">
        <w:t xml:space="preserve"> </w:t>
      </w:r>
    </w:p>
    <w:bookmarkEnd w:id="42"/>
    <w:p w14:paraId="37D9A700" w14:textId="51C41FB5" w:rsidR="00065496" w:rsidRPr="006A1EC7" w:rsidRDefault="00065496" w:rsidP="00A40374">
      <w:pPr>
        <w:spacing w:line="360" w:lineRule="auto"/>
      </w:pPr>
    </w:p>
    <w:p w14:paraId="6E157275" w14:textId="27536AB9" w:rsidR="006B5C59" w:rsidRPr="006A1EC7" w:rsidRDefault="006B5C59" w:rsidP="006B5C59">
      <w:pPr>
        <w:pStyle w:val="Heading3"/>
        <w:rPr>
          <w:rFonts w:ascii="Times New Roman" w:hAnsi="Times New Roman" w:cs="Times New Roman"/>
        </w:rPr>
      </w:pPr>
      <w:bookmarkStart w:id="43" w:name="_Toc39270360"/>
      <w:bookmarkStart w:id="44" w:name="_Toc40173059"/>
      <w:r w:rsidRPr="006A1EC7">
        <w:rPr>
          <w:rFonts w:ascii="Times New Roman" w:hAnsi="Times New Roman" w:cs="Times New Roman"/>
        </w:rPr>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3</w:t>
      </w:r>
      <w:r w:rsidRPr="006A1EC7">
        <w:rPr>
          <w:rFonts w:ascii="Times New Roman" w:hAnsi="Times New Roman" w:cs="Times New Roman"/>
        </w:rPr>
        <w:fldChar w:fldCharType="end"/>
      </w:r>
      <w:r w:rsidRPr="006A1EC7">
        <w:rPr>
          <w:rFonts w:ascii="Times New Roman" w:hAnsi="Times New Roman" w:cs="Times New Roman"/>
        </w:rPr>
        <w:t>: Overview of different clinical outcome assessments (Martinez-Martin, 2010)</w:t>
      </w:r>
      <w:r w:rsidRPr="006A1EC7">
        <w:rPr>
          <w:rStyle w:val="FootnoteReference"/>
          <w:rFonts w:ascii="Times New Roman" w:hAnsi="Times New Roman" w:cs="Times New Roman"/>
        </w:rPr>
        <w:footnoteReference w:id="2"/>
      </w:r>
      <w:bookmarkEnd w:id="43"/>
      <w:bookmarkEnd w:id="44"/>
    </w:p>
    <w:p w14:paraId="097BB5B2" w14:textId="2417A348" w:rsidR="00A40374" w:rsidRPr="006A1EC7" w:rsidRDefault="006B5C59" w:rsidP="00A40374">
      <w:pPr>
        <w:spacing w:line="360" w:lineRule="auto"/>
      </w:pPr>
      <w:r w:rsidRPr="006A1EC7">
        <w:rPr>
          <w:noProof/>
          <w:lang w:eastAsia="en-GB"/>
        </w:rPr>
        <w:drawing>
          <wp:inline distT="0" distB="0" distL="0" distR="0" wp14:anchorId="0A622189" wp14:editId="71AD3818">
            <wp:extent cx="4490519" cy="4748400"/>
            <wp:effectExtent l="0" t="0" r="5715" b="190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20 at 16.05.19.png"/>
                    <pic:cNvPicPr/>
                  </pic:nvPicPr>
                  <pic:blipFill>
                    <a:blip r:embed="rId15">
                      <a:extLst>
                        <a:ext uri="{28A0092B-C50C-407E-A947-70E740481C1C}">
                          <a14:useLocalDpi xmlns:a14="http://schemas.microsoft.com/office/drawing/2010/main"/>
                        </a:ext>
                      </a:extLst>
                    </a:blip>
                    <a:stretch>
                      <a:fillRect/>
                    </a:stretch>
                  </pic:blipFill>
                  <pic:spPr>
                    <a:xfrm>
                      <a:off x="0" y="0"/>
                      <a:ext cx="4499113" cy="4757488"/>
                    </a:xfrm>
                    <a:prstGeom prst="rect">
                      <a:avLst/>
                    </a:prstGeom>
                  </pic:spPr>
                </pic:pic>
              </a:graphicData>
            </a:graphic>
          </wp:inline>
        </w:drawing>
      </w:r>
    </w:p>
    <w:p w14:paraId="33E879C0" w14:textId="256EB97D" w:rsidR="00065496" w:rsidRPr="006A1EC7" w:rsidRDefault="00A40374" w:rsidP="003D691C">
      <w:pPr>
        <w:spacing w:line="360" w:lineRule="auto"/>
        <w:ind w:firstLine="720"/>
      </w:pPr>
      <w:r w:rsidRPr="006A1EC7">
        <w:t>Furthe</w:t>
      </w:r>
      <w:r w:rsidR="00065496" w:rsidRPr="006A1EC7">
        <w:t xml:space="preserve">rmore, rating scales can assess both construct (directly observable, measurable constructs; e.g. number of seizures a week) and latent variables (indirectly measurable constructs; e.g. perceived illness burden) </w:t>
      </w:r>
      <w:r w:rsidR="00065496" w:rsidRPr="006A1EC7">
        <w:fldChar w:fldCharType="begin" w:fldLock="1"/>
      </w:r>
      <w:r w:rsidR="00065496" w:rsidRPr="006A1EC7">
        <w:instrText>ADDIN CSL_CITATION {"citationItems":[{"id":"ITEM-1","itemData":{"author":[{"dropping-particle":"","family":"Robertson","given":"Grant","non-dropping-particle":"","parse-names":false,"suffix":""}],"id":"ITEM-1","issue":"October","issued":{"date-parts":[["2017"]]},"page":"26","title":"Developing Valid and Reliable: Survey Scale","type":"article-journal"},"uris":["http://www.mendeley.com/documents/?uuid=7e4d129a-8e00-43f0-b3f3-19d754c3f484"]}],"mendeley":{"formattedCitation":"(Robertson, 2017)","plainTextFormattedCitation":"(Robertson, 2017)","previouslyFormattedCitation":"(Robertson, 2017)"},"properties":{"noteIndex":0},"schema":"https://github.com/citation-style-language/schema/raw/master/csl-citation.json"}</w:instrText>
      </w:r>
      <w:r w:rsidR="00065496" w:rsidRPr="006A1EC7">
        <w:fldChar w:fldCharType="separate"/>
      </w:r>
      <w:r w:rsidR="00065496" w:rsidRPr="006A1EC7">
        <w:rPr>
          <w:noProof/>
        </w:rPr>
        <w:t>(Robertson, 2017)</w:t>
      </w:r>
      <w:r w:rsidR="00065496" w:rsidRPr="006A1EC7">
        <w:fldChar w:fldCharType="end"/>
      </w:r>
      <w:r w:rsidR="00065496" w:rsidRPr="006A1EC7">
        <w:t xml:space="preserve">. </w:t>
      </w:r>
    </w:p>
    <w:p w14:paraId="789390EA" w14:textId="77777777" w:rsidR="00065496" w:rsidRPr="006A1EC7" w:rsidRDefault="00065496" w:rsidP="00A40374">
      <w:pPr>
        <w:spacing w:line="360" w:lineRule="auto"/>
      </w:pPr>
    </w:p>
    <w:p w14:paraId="502B5CDD" w14:textId="77777777" w:rsidR="00065496" w:rsidRPr="006A1EC7" w:rsidRDefault="00065496" w:rsidP="00A40374">
      <w:pPr>
        <w:pStyle w:val="Heading3"/>
        <w:spacing w:line="360" w:lineRule="auto"/>
        <w:rPr>
          <w:rFonts w:ascii="Times New Roman" w:hAnsi="Times New Roman" w:cs="Times New Roman"/>
        </w:rPr>
      </w:pPr>
      <w:bookmarkStart w:id="45" w:name="_Toc2336990"/>
      <w:bookmarkStart w:id="46" w:name="_Toc17977843"/>
      <w:r w:rsidRPr="006A1EC7">
        <w:rPr>
          <w:rFonts w:ascii="Times New Roman" w:hAnsi="Times New Roman" w:cs="Times New Roman"/>
        </w:rPr>
        <w:lastRenderedPageBreak/>
        <w:t>The role of the U.S. Food and Drug Administration for Rare Disease Research</w:t>
      </w:r>
      <w:bookmarkEnd w:id="45"/>
      <w:bookmarkEnd w:id="46"/>
    </w:p>
    <w:p w14:paraId="2A966DDE" w14:textId="0D907441" w:rsidR="00065496" w:rsidRPr="006A1EC7" w:rsidRDefault="00065496" w:rsidP="00A40374">
      <w:pPr>
        <w:spacing w:line="360" w:lineRule="auto"/>
        <w:ind w:firstLine="720"/>
      </w:pPr>
      <w:r w:rsidRPr="006A1EC7">
        <w:t xml:space="preserve">Disease-specific COAs have been, and are being, developed to have the interests of rare disease patients at the core </w:t>
      </w:r>
      <w:r w:rsidRPr="006A1EC7">
        <w:fldChar w:fldCharType="begin" w:fldLock="1"/>
      </w:r>
      <w:r w:rsidRPr="006A1EC7">
        <w:instrText>ADDIN CSL_CITATION {"citationItems":[{"id":"ITEM-1","itemData":{"author":[{"dropping-particle":"","family":"IRDiRc","given":"","non-dropping-particle":"","parse-names":false,"suffix":""}],"container-title":"International Rare Disease Research Consortium","id":"ITEM-1","issue":"February","issued":{"date-parts":[["2016"]]},"title":"Patient-Centered Outcome Measures Initiatives in the Field of Rare Diseases February 2016","type":"article-journal"},"uris":["http://www.mendeley.com/documents/?uuid=b7393621-9e3e-4be4-bfd4-91aa7f2ac852"]}],"mendeley":{"formattedCitation":"(IRDiRc, 2016)","plainTextFormattedCitation":"(IRDiRc, 2016)","previouslyFormattedCitation":"(IRDiRc, 2016)"},"properties":{"noteIndex":0},"schema":"https://github.com/citation-style-language/schema/raw/master/csl-citation.json"}</w:instrText>
      </w:r>
      <w:r w:rsidRPr="006A1EC7">
        <w:fldChar w:fldCharType="separate"/>
      </w:r>
      <w:r w:rsidRPr="006A1EC7">
        <w:rPr>
          <w:noProof/>
        </w:rPr>
        <w:t>(IRDiRc, 2016)</w:t>
      </w:r>
      <w:r w:rsidRPr="006A1EC7">
        <w:fldChar w:fldCharType="end"/>
      </w:r>
      <w:r w:rsidRPr="006A1EC7">
        <w:t xml:space="preserve"> by asking either the patients themselves, their caregivers (observers) or their clinicians to make judgements about “what” “how” and “how much” burden does the illness bring to the patient, or what their experiences are </w:t>
      </w:r>
      <w:r w:rsidRPr="006A1EC7">
        <w:fldChar w:fldCharType="begin" w:fldLock="1"/>
      </w:r>
      <w:r w:rsidRPr="006A1EC7">
        <w:instrText>ADDIN CSL_CITATION {"citationItems":[{"id":"ITEM-1","itemData":{"DOI":"10.1186/s13023-017-0718-x","ISBN":"1877223476","ISSN":"17501172","PMID":"29096663","abstract":"Our ability to evaluate outcomes which genuinely reflect patients' unmet needs, hopes and concerns is of pivotal importance. However, much current clinical research and practice falls short of this objective by selecting outcome measures which do not capture patient value to the fullest. In this Opinion, we discuss Patient-Centered Outcomes Measures (PCOMs), which have the potential to systematically incorporate patient perspectives to measure those outcomes that matter most to patients. We argue for greater multi-stakeholder collaboration to develop PCOMs, with rare disease patients and families at the center. Beyond advancing the science of patient input, PCOMs are powerful tools to translate care or observed treatment benefit into an 'interpretable' measure of patient benefit, and thereby help demonstrate clinical effectiveness. We propose mixed methods psychometric research as the best route to deliver fit-for-purpose PCOMs in rare diseases, as this methodology brings together qualitative and quantitative research methods in tandem with the explicit aim to efficiently utilise data from small samples. And, whether one opts to develop a brand-new PCOM or to select or adapt an existing outcome measure for use in a rare disease, the anchors remain the same: patients, their daily experience of the rare disease, their preferences, core concepts and values. Ultimately, existing value frameworks, registries, and outcomes-based contracts largely fall short of consistently measuring the full range of outcomes that matter to patients. We argue that greater use of PCOMs in rare diseases would enable a fast track to Patient-Centered Care.","author":[{"dropping-particle":"","family":"Morel","given":"Thomas","non-dropping-particle":"","parse-names":false,"suffix":""},{"dropping-particle":"","family":"Cano","given":"Stefan J.","non-dropping-particle":"","parse-names":false,"suffix":""}],"container-title":"Orphanet Journal of Rare Diseases","id":"ITEM-1","issue":"1","issued":{"date-parts":[["2017"]]},"page":"1-13","publisher":"Orphanet Journal of Rare Diseases","title":"Measuring what matters to rare disease patients - Reflections on the work by the IRDiRC taskforce on patient-centered outcome measures","type":"article-journal","volume":"12"},"uris":["http://www.mendeley.com/documents/?uuid=cb1d74de-4dd1-4c58-bed2-1f1d4b97d349"]},{"id":"ITEM-2","itemData":{"DOI":"10.1046/j.1524-4733.2003.65309.x","ISBN":"1098-3015 (Print)\\r1098-3015 (Linking)","ISSN":"10983015","PMID":"14627058","abstract":"BACKGROUND: The extent to which patient-based outcomes can be used to evaluate and communicate the effect of new drugs and devices is a subject of much debate. Criteria for evaluating the scientific quality of data to support health-related quality of life (HRQL) and other patient-based labeling and promotional claims in the United States and Europe have been proposed by various scientists and organizations. Since March 2000, a working group composed of members of the International Society for Quality of Life Research (ISOQOL), the International Society for Pharmacoeconomics and Outcomes Research (ISPOR), the Pharmaceutical Manufacturer's Association Health Outcomes Committee (PhRMA-HOC), and the European Regulatory Issues on Quality of Life Assessment (ERIQA) met to discuss and coordinate the various recommendations by their respective groups and address the need to harmonize outcomes review criteria within and across United States and European regulatory agencies. Over time, the discussion expanded from HRQL outcomes to include any outcome based on data provided by the patient or patient proxy, that is, patient-reported outcomes (PROs). The working group therefore became known as the PRO Harmonization Group. METHODS: Working with a member of the US Food and Drug Administration (FDA), four key issues requiring clarification were identified: how PROs are defined and put into operation for research purposes; the added value of PROs in the drug review and evaluation process; selected questions related to the PRO measurement and research methodology; and the interest and demand for PRO information by decision makers. On February 15, 2001, all members of the PRO Harmonization Group attended a meeting in Rockville, Maryland, to discuss these four issues further, and on February 16, 2001, a formal presentation was made to representatives from various departments and reviewing divisions of the FDA. These presentations are summarized in this report. RESULTS: All participants agreed that PROs are important for understanding the impact of treatment on patient functioning and well-being. They also stressed the need to communicate PRO information to key decision makers, including regulatory agencies, clinicians, patients and their families, and payers. Finally, the meeting resulted in plans for continuing the dialogue on PRO measurement and interpretation. SUMMARY: The February 16, 2001, meeting represented an important step in harmonizing efforts across various or…","author":[{"dropping-particle":"","family":"Acquadro","given":"Catherine","non-dropping-particle":"","parse-names":false,"suffix":""},{"dropping-particle":"","family":"Berzon","given":"Rick","non-dropping-particle":"","parse-names":false,"suffix":""},{"dropping-particle":"","family":"Dubois","given":"Dominique","non-dropping-particle":"","parse-names":false,"suffix":""},{"dropping-particle":"","family":"Leidy","given":"Nancy Kline","non-dropping-particle":"","parse-names":false,"suffix":""},{"dropping-particle":"","family":"Marquis","given":"Patrick","non-dropping-particle":"","parse-names":false,"suffix":""},{"dropping-particle":"","family":"Revicki","given":"Dennis","non-dropping-particle":"","parse-names":false,"suffix":""},{"dropping-particle":"","family":"Rothman","given":"Margaret","non-dropping-particle":"","parse-names":false,"suffix":""}],"container-title":"Value in Health","id":"ITEM-2","issue":"5","issued":{"date-parts":[["2003"]]},"page":"522-531","publisher":"International Society for Pharmacoeconomics and Outcomes Research (ISPOR)","title":"Incorporating the patient's perspective into drug development and communication: An ad hoc task force report of the patient-reported outcomes (PRO) Harmonization Group meeting at the food and drug administration, February 16, 2001","type":"article-journal","volume":"6"},"uris":["http://www.mendeley.com/documents/?uuid=40cc49e5-9086-4f6a-b611-e9d7d43822fd"]}],"mendeley":{"formattedCitation":"(Acquadro et al., 2003; Morel &amp; Cano, 2017)","plainTextFormattedCitation":"(Acquadro et al., 2003; Morel &amp; Cano, 2017)","previouslyFormattedCitation":"(Acquadro et al., 2003; Morel &amp; Cano, 2017)"},"properties":{"noteIndex":0},"schema":"https://github.com/citation-style-language/schema/raw/master/csl-citation.json"}</w:instrText>
      </w:r>
      <w:r w:rsidRPr="006A1EC7">
        <w:fldChar w:fldCharType="separate"/>
      </w:r>
      <w:r w:rsidRPr="006A1EC7">
        <w:rPr>
          <w:noProof/>
        </w:rPr>
        <w:t>(Acquadro et al., 2003; Morel &amp; Cano, 2017)</w:t>
      </w:r>
      <w:r w:rsidRPr="006A1EC7">
        <w:fldChar w:fldCharType="end"/>
      </w:r>
      <w:r w:rsidRPr="006A1EC7">
        <w:t xml:space="preserve">. </w:t>
      </w:r>
    </w:p>
    <w:p w14:paraId="6801A07B" w14:textId="77777777" w:rsidR="00065496" w:rsidRPr="006A1EC7" w:rsidRDefault="00065496" w:rsidP="00A40374">
      <w:pPr>
        <w:spacing w:line="360" w:lineRule="auto"/>
        <w:ind w:firstLine="720"/>
      </w:pPr>
      <w:r w:rsidRPr="006A1EC7">
        <w:t xml:space="preserve">The U.S. Food and Drug Administration (U.S. FDA), situated within the U.S. Department of Health and Human Services </w:t>
      </w:r>
      <w:r w:rsidRPr="006A1EC7">
        <w:fldChar w:fldCharType="begin" w:fldLock="1"/>
      </w:r>
      <w:r w:rsidRPr="006A1EC7">
        <w:instrText>ADDIN CSL_CITATION {"citationItems":[{"id":"ITEM-1","itemData":{"URL":"https://www.fda.gov/AboutFDA/Transparency/Basics/ucm192695.htm","accessed":{"date-parts":[["2017","9","20"]]},"author":[{"dropping-particle":"","family":"U.S. Food and Drug Administration","given":"","non-dropping-particle":"","parse-names":false,"suffix":""}],"id":"ITEM-1","issued":{"date-parts":[["2017"]]},"title":"FDA Fundamentals","type":"webpage"},"uris":["http://www.mendeley.com/documents/?uuid=a920d6b0-836c-4dde-a8cb-069a9d48e847"]}],"mendeley":{"formattedCitation":"(U.S. Food and Drug Administration, 2017b)","plainTextFormattedCitation":"(U.S. Food and Drug Administration, 2017b)","previouslyFormattedCitation":"(U.S. Food and Drug Administration, 2017b)"},"properties":{"noteIndex":0},"schema":"https://github.com/citation-style-language/schema/raw/master/csl-citation.json"}</w:instrText>
      </w:r>
      <w:r w:rsidRPr="006A1EC7">
        <w:fldChar w:fldCharType="separate"/>
      </w:r>
      <w:r w:rsidRPr="006A1EC7">
        <w:rPr>
          <w:noProof/>
        </w:rPr>
        <w:t>(U.S. Food and Drug Administration, 2017b)</w:t>
      </w:r>
      <w:r w:rsidRPr="006A1EC7">
        <w:fldChar w:fldCharType="end"/>
      </w:r>
      <w:r w:rsidRPr="006A1EC7">
        <w:t xml:space="preserve">, is the world-leading authority providing guidance for these clinical outcome assessments, as a result of the “Orphan Drug Act of 1983” mentioned earlier. Since then, the FDA has overseen all </w:t>
      </w:r>
      <w:r w:rsidRPr="006A1EC7">
        <w:rPr>
          <w:i/>
          <w:iCs/>
        </w:rPr>
        <w:t xml:space="preserve">“efforts to improve and bring to market treatments for rare diseases” </w:t>
      </w:r>
      <w:r w:rsidRPr="006A1EC7">
        <w:fldChar w:fldCharType="begin" w:fldLock="1"/>
      </w:r>
      <w:r w:rsidRPr="006A1EC7">
        <w:instrText>ADDIN CSL_CITATION {"citationItems":[{"id":"ITEM-1","itemData":{"URL":"https://rarediseases.info.nih.gov/diseases/pages/31/faqs-about-rare-diseases","accessed":{"date-parts":[["2017","9","18"]]},"author":[{"dropping-particle":"","family":"Genetic and Rare Diseases Information Center","given":"","non-dropping-particle":"","parse-names":false,"suffix":""}],"id":"ITEM-1","issued":{"date-parts":[["2017"]]},"title":"FAQ about Rare Diseases","type":"webpage"},"uris":["http://www.mendeley.com/documents/?uuid=283a45b3-04fd-44d5-b554-7c05b0e8c620"]}],"mendeley":{"formattedCitation":"(Genetic and Rare Diseases Information Center, 2017)","plainTextFormattedCitation":"(Genetic and Rare Diseases Information Center, 2017)","previouslyFormattedCitation":"(Genetic and Rare Diseases Information Center, 2017)"},"properties":{"noteIndex":0},"schema":"https://github.com/citation-style-language/schema/raw/master/csl-citation.json"}</w:instrText>
      </w:r>
      <w:r w:rsidRPr="006A1EC7">
        <w:fldChar w:fldCharType="separate"/>
      </w:r>
      <w:r w:rsidRPr="006A1EC7">
        <w:rPr>
          <w:noProof/>
        </w:rPr>
        <w:t>(Genetic and Rare Diseases Information Center, 2017)</w:t>
      </w:r>
      <w:r w:rsidRPr="006A1EC7">
        <w:fldChar w:fldCharType="end"/>
      </w:r>
      <w:r w:rsidRPr="006A1EC7">
        <w:t xml:space="preserve">. As part of this, they ensure that there are reliable, validated tools available (which includes outcome assessments) that systematically assess the health of patients with orphan diseases as well as the effects of newly developed drugs and treatments for rare disease patients </w:t>
      </w:r>
      <w:r w:rsidRPr="006A1EC7">
        <w:fldChar w:fldCharType="begin" w:fldLock="1"/>
      </w:r>
      <w:r w:rsidRPr="006A1EC7">
        <w:instrText>ADDIN CSL_CITATION {"citationItems":[{"id":"ITEM-1","itemData":{"DOI":"10.1177/0883073813495959.Clinical","author":[{"dropping-particle":"","family":"Augustine","given":"E","non-dropping-particle":"","parse-names":false,"suffix":""},{"dropping-particle":"","family":"Adams","given":"H","non-dropping-particle":"","parse-names":false,"suffix":""},{"dropping-particle":"","family":"Wink","given":"J","non-dropping-particle":"","parse-names":false,"suffix":""}],"container-title":"Journal of Clinical Neurology","id":"ITEM-1","issue":"9","issued":{"date-parts":[["2013"]]},"page":"1142-1150","title":"Clinical Trials in Rare Disease: Challenges and Opportunities","type":"article-journal","volume":"28"},"uris":["http://www.mendeley.com/documents/?uuid=1a17302e-a810-4440-a6d8-de00ae02a0cd"]},{"id":"ITEM-2","itemData":{"author":[{"dropping-particle":"","family":"IRDiRc","given":"","non-dropping-particle":"","parse-names":false,"suffix":""}],"container-title":"International Rare Disease Research Consortium","id":"ITEM-2","issue":"February","issued":{"date-parts":[["2016"]]},"title":"Patient-Centered Outcome Measures Initiatives in the Field of Rare Diseases February 2016","type":"article-journal"},"uris":["http://www.mendeley.com/documents/?uuid=b7393621-9e3e-4be4-bfd4-91aa7f2ac852"]}],"mendeley":{"formattedCitation":"(Augustine et al., 2013; IRDiRc, 2016)","plainTextFormattedCitation":"(Augustine et al., 2013; IRDiRc, 2016)","previouslyFormattedCitation":"(Augustine et al., 2013; IRDiRc, 2016)"},"properties":{"noteIndex":0},"schema":"https://github.com/citation-style-language/schema/raw/master/csl-citation.json"}</w:instrText>
      </w:r>
      <w:r w:rsidRPr="006A1EC7">
        <w:fldChar w:fldCharType="separate"/>
      </w:r>
      <w:r w:rsidRPr="006A1EC7">
        <w:rPr>
          <w:noProof/>
        </w:rPr>
        <w:t>(Augustine et al., 2013; IRDiRc, 2016)</w:t>
      </w:r>
      <w:r w:rsidRPr="006A1EC7">
        <w:fldChar w:fldCharType="end"/>
      </w:r>
      <w:r w:rsidRPr="006A1EC7">
        <w:t xml:space="preserve">. The U.S. FDA has published a significant amount of guidance surrounding the development of clinical outcome assessments </w:t>
      </w:r>
      <w:r w:rsidRPr="006A1EC7">
        <w:fldChar w:fldCharType="begin" w:fldLock="1"/>
      </w:r>
      <w:r w:rsidRPr="006A1EC7">
        <w:instrText>ADDIN CSL_CITATION {"citationItems":[{"id":"ITEM-1","itemData":{"URL":"https://www.fda.gov/drugs/developmentapprovalprocess/drugdevelopmenttoolsqualificationprogram/ucm284077.htm","accessed":{"date-parts":[["2017","9","11"]]},"author":[{"dropping-particle":"","family":"U.S. Department of Health and Human Services: Food and Drug Administration","given":"","non-dropping-particle":"","parse-names":false,"suffix":""},{"dropping-particle":"","family":"U.S. Food and Drug Administration","given":"","non-dropping-particle":"","parse-names":false,"suffix":""}],"id":"ITEM-1","issued":{"date-parts":[["2017"]]},"title":"Clinical Outcome Assessment Qualification Program","type":"webpage"},"uris":["http://www.mendeley.com/documents/?uuid=9766beb7-1ed3-4a03-a387-dfb6c26d6b23"]},{"id":"ITEM-2","itemData":{"URL":"https://www.fda.gov/AboutFDA/Transparency/Basics/ucm192695.htm","accessed":{"date-parts":[["2017","9","20"]]},"author":[{"dropping-particle":"","family":"U.S. Food and Drug Administration","given":"","non-dropping-particle":"","parse-names":false,"suffix":""}],"id":"ITEM-2","issued":{"date-parts":[["2017"]]},"title":"FDA Fundamentals","type":"webpage"},"uris":["http://www.mendeley.com/documents/?uuid=a920d6b0-836c-4dde-a8cb-069a9d48e847"]},{"id":"ITEM-3","itemData":{"author":[{"dropping-particle":"","family":"PDUFA","given":"","non-dropping-particle":"","parse-names":false,"suffix":""}],"id":"ITEM-3","issued":{"date-parts":[["2015"]]},"title":"Outcomes Assessment Development and Implementation : Opportunities and Challenges Public Workshop April 1 , 2015 – FDA , White Oak Campus Meeting Transcript","type":"article-journal"},"uris":["http://www.mendeley.com/documents/?uuid=17cdde76-7614-44a6-ab03-66e859a4a8f7"]}],"mendeley":{"formattedCitation":"(PDUFA, 2015; U.S. Department of Health and Human Services: Food and Drug Administration &amp; U.S. Food and Drug Administration, 2017; U.S. Food and Drug Administration, 2017b)","plainTextFormattedCitation":"(PDUFA, 2015; U.S. Department of Health and Human Services: Food and Drug Administration &amp; U.S. Food and Drug Administration, 2017; U.S. Food and Drug Administration, 2017b)","previouslyFormattedCitation":"(PDUFA, 2015; U.S. Department of Health and Human Services: Food and Drug Administration &amp; U.S. Food and Drug Administration, 2017; U.S. Food and Drug Administration, 2017b)"},"properties":{"noteIndex":0},"schema":"https://github.com/citation-style-language/schema/raw/master/csl-citation.json"}</w:instrText>
      </w:r>
      <w:r w:rsidRPr="006A1EC7">
        <w:fldChar w:fldCharType="separate"/>
      </w:r>
      <w:r w:rsidRPr="006A1EC7">
        <w:rPr>
          <w:noProof/>
        </w:rPr>
        <w:t>(PDUFA, 2015; U.S. Department of Health and Human Services: Food and Drug Administration &amp; U.S. Food and Drug Administration, 2017; U.S. Food and Drug Administration, 2017b)</w:t>
      </w:r>
      <w:r w:rsidRPr="006A1EC7">
        <w:fldChar w:fldCharType="end"/>
      </w:r>
      <w:r w:rsidRPr="006A1EC7">
        <w:t xml:space="preserve">. </w:t>
      </w:r>
    </w:p>
    <w:p w14:paraId="21768FCA" w14:textId="77777777" w:rsidR="00065496" w:rsidRPr="006A1EC7" w:rsidRDefault="00065496" w:rsidP="00A40374">
      <w:pPr>
        <w:spacing w:line="360" w:lineRule="auto"/>
        <w:ind w:firstLine="720"/>
      </w:pPr>
      <w:r w:rsidRPr="006A1EC7">
        <w:t xml:space="preserve">However, as a result of the circumstances of the “Orphan Drug Act” and its focus on drug development, much of this guidance is focused on research and drug development, not acknowledging the essential and significant contributions clinical outcome assessments now make to routine clinical practice in terms of ‘patient care, safety and quality’ </w:t>
      </w:r>
      <w:r w:rsidRPr="006A1EC7">
        <w:fldChar w:fldCharType="begin" w:fldLock="1"/>
      </w:r>
      <w:r w:rsidRPr="006A1EC7">
        <w:instrText>ADDIN CSL_CITATION {"citationItems":[{"id":"ITEM-1","itemData":{"DOI":"10.4137/HSI.S11093","ISBN":"1178-6329 (Electronic) 1178-6329 (Linking)","ISSN":"1178-6329","PMID":"25114561","abstract":"In recent years, there has been an increased focus on placing patients at the center of health care research and evaluating clinical care in order to improve their experience and ensure that research is both robust and of maximum value for the use of medicinal products, therapy, or health services. This paper provides an overview of patients' involvement in clinical research and service evaluation along with its benefits and limitations. We describe and discuss patient-reported outcomes (PROs) and patient-reported outcome measures (PROMs), including the trends in current research. Both the patient-reported experiences measures (PREMs) and patient and public involvement (PPI) initiative for including patients in the research processes are also outlined. PROs provide reports from patients about their own health, quality of life, or functional status associated with the health care or treatment they have received. PROMs are tools and/or instruments used to report PROs. Patient report experiences through the use of PREMs, such as satisfaction scales, providing insight into the patients' experience with their care or a health service. There is increasing international attention regarding the use of PREMS as a quality indicator of patient care and safety. This reflects the ongoing health service commitment of involving patients and the public within the wider context of the development and evaluation of health care service delivery and quality improvement.","author":[{"dropping-particle":"","family":"Smith","given":"Sheree","non-dropping-particle":"","parse-names":false,"suffix":""},{"dropping-particle":"","family":"Weldring","given":"Theresa","non-dropping-particle":"","parse-names":false,"suffix":""}],"container-title":"Health Services Insights","id":"ITEM-1","issued":{"date-parts":[["2013"]]},"page":"61","title":"Patient-Reported Outcomes (PROs) and Patient-Reported Outcome Measures (PROMs)","type":"article-journal"},"uris":["http://www.mendeley.com/documents/?uuid=df6911e2-4e4f-4023-9f2d-5a466a3578e6"]}],"mendeley":{"formattedCitation":"(S. Smith &amp; Weldring, 2013)","manualFormatting":"(Smith &amp; Weldring, 2013)","plainTextFormattedCitation":"(S. Smith &amp; Weldring, 2013)","previouslyFormattedCitation":"(S. Smith &amp; Weldring, 2013)"},"properties":{"noteIndex":0},"schema":"https://github.com/citation-style-language/schema/raw/master/csl-citation.json"}</w:instrText>
      </w:r>
      <w:r w:rsidRPr="006A1EC7">
        <w:fldChar w:fldCharType="separate"/>
      </w:r>
      <w:r w:rsidRPr="006A1EC7">
        <w:rPr>
          <w:noProof/>
        </w:rPr>
        <w:t>(Smith &amp; Weldring, 2013)</w:t>
      </w:r>
      <w:r w:rsidRPr="006A1EC7">
        <w:fldChar w:fldCharType="end"/>
      </w:r>
      <w:r w:rsidRPr="006A1EC7">
        <w:t>. This project seeks to address this, by ensuring that the development of this COA will be particularly useful and applicable to (routine) clinical practice.</w:t>
      </w:r>
    </w:p>
    <w:p w14:paraId="5C76EA95" w14:textId="77777777" w:rsidR="00065496" w:rsidRPr="006A1EC7" w:rsidRDefault="00065496" w:rsidP="00A40374">
      <w:pPr>
        <w:spacing w:line="360" w:lineRule="auto"/>
        <w:ind w:firstLine="720"/>
      </w:pPr>
    </w:p>
    <w:p w14:paraId="59124ACB" w14:textId="77777777" w:rsidR="00065496" w:rsidRPr="006A1EC7" w:rsidRDefault="00065496" w:rsidP="00A40374">
      <w:pPr>
        <w:pStyle w:val="Heading3"/>
        <w:spacing w:line="360" w:lineRule="auto"/>
        <w:rPr>
          <w:rFonts w:ascii="Times New Roman" w:hAnsi="Times New Roman" w:cs="Times New Roman"/>
        </w:rPr>
      </w:pPr>
      <w:bookmarkStart w:id="47" w:name="_Toc2336993"/>
      <w:bookmarkStart w:id="48" w:name="_Toc17977844"/>
      <w:r w:rsidRPr="006A1EC7">
        <w:rPr>
          <w:rFonts w:ascii="Times New Roman" w:hAnsi="Times New Roman" w:cs="Times New Roman"/>
        </w:rPr>
        <w:t>The NHS and Clinical Outcome Assessments</w:t>
      </w:r>
      <w:bookmarkEnd w:id="47"/>
      <w:bookmarkEnd w:id="48"/>
    </w:p>
    <w:p w14:paraId="2DCC2078" w14:textId="79C8959C" w:rsidR="00065496" w:rsidRPr="006A1EC7" w:rsidRDefault="00065496" w:rsidP="00A40374">
      <w:pPr>
        <w:spacing w:line="360" w:lineRule="auto"/>
        <w:ind w:firstLine="720"/>
      </w:pPr>
      <w:r w:rsidRPr="006A1EC7">
        <w:t>In the United Kingdom, in 2010, the Department of Health published the “</w:t>
      </w:r>
      <w:r w:rsidRPr="006A1EC7">
        <w:rPr>
          <w:i/>
        </w:rPr>
        <w:t xml:space="preserve">Equity and Excellence: Liberating the NHS” </w:t>
      </w:r>
      <w:r w:rsidRPr="006A1EC7">
        <w:t xml:space="preserve">report </w:t>
      </w:r>
      <w:r w:rsidRPr="006A1EC7">
        <w:fldChar w:fldCharType="begin" w:fldLock="1"/>
      </w:r>
      <w:r w:rsidRPr="006A1EC7">
        <w:instrText>ADDIN CSL_CITATION {"citationItems":[{"id":"ITEM-1","itemData":{"abstract":"Providing information to support decisions 5.9 We also provide Choose and Book; an electronic referral and booking system that allows patients to see the appointments available to them at different providers, and then to book an appointment either with the GP who refers them, or via the internet or telephone. The system is a key means in ensuring that patients and their referrers have the opportunity to choose clinically appropriate providers and appointments that suit them, both in terms of where the appointment takes place, and when it takes place. Promoting patient involvement 5.10 The responses to the consultation clearly expressed the importance of policies on patient involvement in ensuring “no decision about me, without me” becomes a reality. These policies will include work on embedding care planning, shared decision-making and providing information and support necessary to enable people to manage their own condition, where they wish to do so.","author":[{"dropping-particle":"","family":"Department of Health","given":"","non-dropping-particle":"","parse-names":false,"suffix":""}],"container-title":"Department of Health","id":"ITEM-1","issued":{"date-parts":[["2012"]]},"page":"39","title":"Liberating the NHS: No decision about me without me - Government response","type":"article-journal"},"uris":["http://www.mendeley.com/documents/?uuid=287dad15-edf4-4241-8e90-e66205c39337"]}],"mendeley":{"formattedCitation":"(Department of Health, 2012)","plainTextFormattedCitation":"(Department of Health, 2012)","previouslyFormattedCitation":"(Department of Health, 2012)"},"properties":{"noteIndex":0},"schema":"https://github.com/citation-style-language/schema/raw/master/csl-citation.json"}</w:instrText>
      </w:r>
      <w:r w:rsidRPr="006A1EC7">
        <w:fldChar w:fldCharType="separate"/>
      </w:r>
      <w:r w:rsidRPr="006A1EC7">
        <w:rPr>
          <w:noProof/>
        </w:rPr>
        <w:t>(Department of Health, 2012)</w:t>
      </w:r>
      <w:r w:rsidRPr="006A1EC7">
        <w:fldChar w:fldCharType="end"/>
      </w:r>
      <w:r w:rsidRPr="006A1EC7">
        <w:t xml:space="preserve">. In this report, the Secretary of State for Health (at that time: Andrew Lansley), together with the Prime Minister (at that time: David Cameron) and the Deputy Prime Minister </w:t>
      </w:r>
      <w:r w:rsidRPr="006A1EC7">
        <w:lastRenderedPageBreak/>
        <w:t>(at that time: Nick Clegg) laid out goals for the NHS. Under goal 2.7 (‘</w:t>
      </w:r>
      <w:r w:rsidRPr="006A1EC7">
        <w:rPr>
          <w:i/>
          <w:iCs/>
        </w:rPr>
        <w:t>Putting patients and the Public first’</w:t>
      </w:r>
      <w:r w:rsidRPr="006A1EC7">
        <w:t xml:space="preserve">), the ministers recognised the important contributions COAs make to healthcare, their utility and effectiveness and that they were, at the time, under-used. The Department of Health pledged to increase the use of COMs “across the NHS wherever practicable”. </w:t>
      </w:r>
      <w:r w:rsidRPr="006A1EC7">
        <w:br/>
      </w:r>
    </w:p>
    <w:p w14:paraId="0B066374" w14:textId="77777777" w:rsidR="00065496" w:rsidRPr="006A1EC7" w:rsidRDefault="00065496" w:rsidP="00A40374">
      <w:pPr>
        <w:pStyle w:val="Heading3"/>
        <w:spacing w:line="360" w:lineRule="auto"/>
        <w:rPr>
          <w:rFonts w:ascii="Times New Roman" w:hAnsi="Times New Roman" w:cs="Times New Roman"/>
        </w:rPr>
      </w:pPr>
      <w:bookmarkStart w:id="49" w:name="_Toc2336991"/>
      <w:bookmarkStart w:id="50" w:name="_Toc17977845"/>
      <w:r w:rsidRPr="006A1EC7">
        <w:rPr>
          <w:rFonts w:ascii="Times New Roman" w:hAnsi="Times New Roman" w:cs="Times New Roman"/>
        </w:rPr>
        <w:t>Different types of Clinical outcome assessments</w:t>
      </w:r>
      <w:bookmarkEnd w:id="49"/>
      <w:bookmarkEnd w:id="50"/>
    </w:p>
    <w:p w14:paraId="0F22140A" w14:textId="144503EC" w:rsidR="00065496" w:rsidRPr="006A1EC7" w:rsidRDefault="00065496" w:rsidP="00A40374">
      <w:pPr>
        <w:spacing w:line="360" w:lineRule="auto"/>
        <w:ind w:firstLine="720"/>
      </w:pPr>
      <w:r w:rsidRPr="006A1EC7">
        <w:t>COAs rely upon either s</w:t>
      </w:r>
      <w:r w:rsidRPr="006A1EC7">
        <w:rPr>
          <w:i/>
        </w:rPr>
        <w:t>ubjectiv</w:t>
      </w:r>
      <w:r w:rsidRPr="006A1EC7">
        <w:t xml:space="preserve">e self-assessment of the patient themselves, or </w:t>
      </w:r>
      <w:r w:rsidRPr="006A1EC7">
        <w:rPr>
          <w:i/>
        </w:rPr>
        <w:t>objective</w:t>
      </w:r>
      <w:r w:rsidRPr="006A1EC7">
        <w:t xml:space="preserve"> judgment of the patient’s health status by their relatives or clinicians </w:t>
      </w:r>
      <w:r w:rsidRPr="006A1EC7">
        <w:fldChar w:fldCharType="begin" w:fldLock="1"/>
      </w:r>
      <w:r w:rsidRPr="006A1EC7">
        <w:instrText>ADDIN CSL_CITATION {"citationItems":[{"id":"ITEM-1","itemData":{"DOI":"10.1046/j.1524-4733.2003.65309.x","ISBN":"1098-3015 (Print)\\r1098-3015 (Linking)","ISSN":"10983015","PMID":"14627058","abstract":"BACKGROUND: The extent to which patient-based outcomes can be used to evaluate and communicate the effect of new drugs and devices is a subject of much debate. Criteria for evaluating the scientific quality of data to support health-related quality of life (HRQL) and other patient-based labeling and promotional claims in the United States and Europe have been proposed by various scientists and organizations. Since March 2000, a working group composed of members of the International Society for Quality of Life Research (ISOQOL), the International Society for Pharmacoeconomics and Outcomes Research (ISPOR), the Pharmaceutical Manufacturer's Association Health Outcomes Committee (PhRMA-HOC), and the European Regulatory Issues on Quality of Life Assessment (ERIQA) met to discuss and coordinate the various recommendations by their respective groups and address the need to harmonize outcomes review criteria within and across United States and European regulatory agencies. Over time, the discussion expanded from HRQL outcomes to include any outcome based on data provided by the patient or patient proxy, that is, patient-reported outcomes (PROs). The working group therefore became known as the PRO Harmonization Group. METHODS: Working with a member of the US Food and Drug Administration (FDA), four key issues requiring clarification were identified: how PROs are defined and put into operation for research purposes; the added value of PROs in the drug review and evaluation process; selected questions related to the PRO measurement and research methodology; and the interest and demand for PRO information by decision makers. On February 15, 2001, all members of the PRO Harmonization Group attended a meeting in Rockville, Maryland, to discuss these four issues further, and on February 16, 2001, a formal presentation was made to representatives from various departments and reviewing divisions of the FDA. These presentations are summarized in this report. RESULTS: All participants agreed that PROs are important for understanding the impact of treatment on patient functioning and well-being. They also stressed the need to communicate PRO information to key decision makers, including regulatory agencies, clinicians, patients and their families, and payers. Finally, the meeting resulted in plans for continuing the dialogue on PRO measurement and interpretation. SUMMARY: The February 16, 2001, meeting represented an important step in harmonizing efforts across various or…","author":[{"dropping-particle":"","family":"Acquadro","given":"Catherine","non-dropping-particle":"","parse-names":false,"suffix":""},{"dropping-particle":"","family":"Berzon","given":"Rick","non-dropping-particle":"","parse-names":false,"suffix":""},{"dropping-particle":"","family":"Dubois","given":"Dominique","non-dropping-particle":"","parse-names":false,"suffix":""},{"dropping-particle":"","family":"Leidy","given":"Nancy Kline","non-dropping-particle":"","parse-names":false,"suffix":""},{"dropping-particle":"","family":"Marquis","given":"Patrick","non-dropping-particle":"","parse-names":false,"suffix":""},{"dropping-particle":"","family":"Revicki","given":"Dennis","non-dropping-particle":"","parse-names":false,"suffix":""},{"dropping-particle":"","family":"Rothman","given":"Margaret","non-dropping-particle":"","parse-names":false,"suffix":""}],"container-title":"Value in Health","id":"ITEM-1","issue":"5","issued":{"date-parts":[["2003"]]},"page":"522-531","publisher":"International Society for Pharmacoeconomics and Outcomes Research (ISPOR)","title":"Incorporating the patient's perspective into drug development and communication: An ad hoc task force report of the patient-reported outcomes (PRO) Harmonization Group meeting at the food and drug administration, February 16, 2001","type":"article-journal","volume":"6"},"uris":["http://www.mendeley.com/documents/?uuid=40cc49e5-9086-4f6a-b611-e9d7d43822fd"]}],"mendeley":{"formattedCitation":"(Acquadro et al., 2003)","plainTextFormattedCitation":"(Acquadro et al., 2003)","previouslyFormattedCitation":"(Acquadro et al., 2003)"},"properties":{"noteIndex":0},"schema":"https://github.com/citation-style-language/schema/raw/master/csl-citation.json"}</w:instrText>
      </w:r>
      <w:r w:rsidRPr="006A1EC7">
        <w:fldChar w:fldCharType="separate"/>
      </w:r>
      <w:r w:rsidRPr="006A1EC7">
        <w:rPr>
          <w:noProof/>
        </w:rPr>
        <w:t>(Acquadro et al., 2003)</w:t>
      </w:r>
      <w:r w:rsidRPr="006A1EC7">
        <w:fldChar w:fldCharType="end"/>
      </w:r>
      <w:r w:rsidRPr="006A1EC7">
        <w:t xml:space="preserve">. In detail, the U.S. FDA lists four distinct sources from whom these judgements can be obtained for the purpose of clinical outcome assessments </w:t>
      </w:r>
      <w:r w:rsidRPr="006A1EC7">
        <w:fldChar w:fldCharType="begin" w:fldLock="1"/>
      </w:r>
      <w:r w:rsidRPr="006A1EC7">
        <w:instrText>ADDIN CSL_CITATION {"citationItems":[{"id":"ITEM-1","itemData":{"author":[{"dropping-particle":"","family":"IRDiRc","given":"","non-dropping-particle":"","parse-names":false,"suffix":""}],"container-title":"International Rare Disease Research Consortium","id":"ITEM-1","issue":"February","issued":{"date-parts":[["2016"]]},"title":"Patient-Centered Outcome Measures Initiatives in the Field of Rare Diseases February 2016","type":"article-journal"},"uris":["http://www.mendeley.com/documents/?uuid=b7393621-9e3e-4be4-bfd4-91aa7f2ac852"]},{"id":"ITEM-2","itemData":{"URL":"https://www.fda.gov/drugs/developmentapprovalprocess/drugdevelopmenttoolsqualificationprogram/ucm284077.htm","accessed":{"date-parts":[["2017","9","11"]]},"author":[{"dropping-particle":"","family":"U.S. Food and Drug Administration","given":"","non-dropping-particle":"","parse-names":false,"suffix":""}],"id":"ITEM-2","issued":{"date-parts":[["2017"]]},"title":"Clinical Outcome Assessment Qualification Program","type":"webpage"},"uris":["http://www.mendeley.com/documents/?uuid=7e751b8e-50ac-4312-97f0-68c1be4e74dc"]}],"mendeley":{"formattedCitation":"(IRDiRc, 2016; U.S. Food and Drug Administration, 2017a)","plainTextFormattedCitation":"(IRDiRc, 2016; U.S. Food and Drug Administration, 2017a)","previouslyFormattedCitation":"(IRDiRc, 2016; U.S. Food and Drug Administration, 2017a)"},"properties":{"noteIndex":0},"schema":"https://github.com/citation-style-language/schema/raw/master/csl-citation.json"}</w:instrText>
      </w:r>
      <w:r w:rsidRPr="006A1EC7">
        <w:fldChar w:fldCharType="separate"/>
      </w:r>
      <w:r w:rsidRPr="006A1EC7">
        <w:rPr>
          <w:noProof/>
        </w:rPr>
        <w:t>(IRDiRc, 2016; U.S. Food and Drug Administration, 2017a)</w:t>
      </w:r>
      <w:r w:rsidRPr="006A1EC7">
        <w:fldChar w:fldCharType="end"/>
      </w:r>
      <w:r w:rsidRPr="006A1EC7">
        <w:t xml:space="preserve">. These sources are the patients themselves (via Patient-reported Outcome Assessments, PROs), relatives or caregivers (via Observer-reported Outcome Assessments, ObSROs) or trained medical professionals, who are asked to transform observations into “evaluations” along a rating scale (via Clinician-Reported Outcome Assessments, CLinRO, or Performance Outcome Assessments PerfO) </w:t>
      </w:r>
      <w:r w:rsidRPr="006A1EC7">
        <w:fldChar w:fldCharType="begin" w:fldLock="1"/>
      </w:r>
      <w:r w:rsidRPr="006A1EC7">
        <w:instrText>ADDIN CSL_CITATION {"citationItems":[{"id":"ITEM-1","itemData":{"DOI":"10.1046/j.1524-4733.2003.65309.x","ISBN":"1098-3015 (Print)\\r1098-3015 (Linking)","ISSN":"10983015","PMID":"14627058","abstract":"BACKGROUND: The extent to which patient-based outcomes can be used to evaluate and communicate the effect of new drugs and devices is a subject of much debate. Criteria for evaluating the scientific quality of data to support health-related quality of life (HRQL) and other patient-based labeling and promotional claims in the United States and Europe have been proposed by various scientists and organizations. Since March 2000, a working group composed of members of the International Society for Quality of Life Research (ISOQOL), the International Society for Pharmacoeconomics and Outcomes Research (ISPOR), the Pharmaceutical Manufacturer's Association Health Outcomes Committee (PhRMA-HOC), and the European Regulatory Issues on Quality of Life Assessment (ERIQA) met to discuss and coordinate the various recommendations by their respective groups and address the need to harmonize outcomes review criteria within and across United States and European regulatory agencies. Over time, the discussion expanded from HRQL outcomes to include any outcome based on data provided by the patient or patient proxy, that is, patient-reported outcomes (PROs). The working group therefore became known as the PRO Harmonization Group. METHODS: Working with a member of the US Food and Drug Administration (FDA), four key issues requiring clarification were identified: how PROs are defined and put into operation for research purposes; the added value of PROs in the drug review and evaluation process; selected questions related to the PRO measurement and research methodology; and the interest and demand for PRO information by decision makers. On February 15, 2001, all members of the PRO Harmonization Group attended a meeting in Rockville, Maryland, to discuss these four issues further, and on February 16, 2001, a formal presentation was made to representatives from various departments and reviewing divisions of the FDA. These presentations are summarized in this report. RESULTS: All participants agreed that PROs are important for understanding the impact of treatment on patient functioning and well-being. They also stressed the need to communicate PRO information to key decision makers, including regulatory agencies, clinicians, patients and their families, and payers. Finally, the meeting resulted in plans for continuing the dialogue on PRO measurement and interpretation. SUMMARY: The February 16, 2001, meeting represented an important step in harmonizing efforts across various or…","author":[{"dropping-particle":"","family":"Acquadro","given":"Catherine","non-dropping-particle":"","parse-names":false,"suffix":""},{"dropping-particle":"","family":"Berzon","given":"Rick","non-dropping-particle":"","parse-names":false,"suffix":""},{"dropping-particle":"","family":"Dubois","given":"Dominique","non-dropping-particle":"","parse-names":false,"suffix":""},{"dropping-particle":"","family":"Leidy","given":"Nancy Kline","non-dropping-particle":"","parse-names":false,"suffix":""},{"dropping-particle":"","family":"Marquis","given":"Patrick","non-dropping-particle":"","parse-names":false,"suffix":""},{"dropping-particle":"","family":"Revicki","given":"Dennis","non-dropping-particle":"","parse-names":false,"suffix":""},{"dropping-particle":"","family":"Rothman","given":"Margaret","non-dropping-particle":"","parse-names":false,"suffix":""}],"container-title":"Value in Health","id":"ITEM-1","issue":"5","issued":{"date-parts":[["2003"]]},"page":"522-531","publisher":"International Society for Pharmacoeconomics and Outcomes Research (ISPOR)","title":"Incorporating the patient's perspective into drug development and communication: An ad hoc task force report of the patient-reported outcomes (PRO) Harmonization Group meeting at the food and drug administration, February 16, 2001","type":"article-journal","volume":"6"},"uris":["http://www.mendeley.com/documents/?uuid=40cc49e5-9086-4f6a-b611-e9d7d43822fd"]},{"id":"ITEM-2","itemData":{"DOI":"10.1016/j.jval.2015.09.2863","ISSN":"1098-3015","abstract":"An outcome assessment, the patient assessment used in an endpoint, is themeasuring instrument that provides a rating or score (categorical or continuous) that is intended to represent some aspect of the patient’s health status. Outcome assessments are used to define efficacy end- points when developing a therapy for a disease or condition. Most efficacy endpoints are based on specified clinical assessments of patients.When clinical assessments are used as clinical trial outcomes, they are called clinical outcome assessments (COAs). COAs include any assessment that may be influenced by human choices, judgment, or motivation. COAsmust be well-defined and possess adequatemeasure- ment properties to demonstrate (directly or indirectly) the benefits of a treatment. In contrast, a biomarker assessment is one that is subject to little, if any, patient motivational or rater judgmental influence. This is the first of two reports by the ISPOR Clinical Outcomes Assessment – Emerging Good Practices for Outcomes Research Task Force. This report provides foundational definitions important for an understanding of COA measurement principles. The foundation provided in this report includes what it means to demonstrate a beneficial effect, how assess- ments of patients relate to the objective of showing a treatment’s benefit, and how these assessments are used in clinical trial endpoints. In addition, this report describes intrinsic attributes of patient assess- ments and clinical trial factors that can affect the properties of the measurements. These factors should be considered when developing or refining assessments. These considerationswill aid investigators design- ing trials in their choice of using an existing assessment or developing a new outcome assessment. Although the focus of this report is on the development of a new COA to define endpoints in a clinical trial, these principles may be applied more generally. A critical element in apprais- ing or developing a COA is to describe the treatment’sintendedbenefit as an effect on a clearly identified aspect of how a patient feels or functions. This aspect must have importance to the patient and be part of the patient’s typical life. This meaningful health aspect can be measured directly or measured indirectly when it is impractical to evaluate it directly or when it is difficult to measure. For indirect measurement, a concept of interest (COI) can be identified. The COI must be related to how a patient feels or fu…","author":[{"dropping-particle":"","family":"Walton","given":"Marc K","non-dropping-particle":"","parse-names":false,"suffix":""},{"dropping-particle":"","family":"Iii","given":"John H Powers","non-dropping-particle":"","parse-names":false,"suffix":""},{"dropping-particle":"","family":"Hobart","given":"Jeremy","non-dropping-particle":"","parse-names":false,"suffix":""},{"dropping-particle":"","family":"Patrick","given":"Donald","non-dropping-particle":"","parse-names":false,"suffix":""},{"dropping-particle":"","family":"Marquis","given":"Patrick","non-dropping-particle":"","parse-names":false,"suffix":""},{"dropping-particle":"","family":"Vamvakas","given":"Spiros","non-dropping-particle":"","parse-names":false,"suffix":""},{"dropping-particle":"","family":"Isaac","given":"Maria","non-dropping-particle":"","parse-names":false,"suffix":""},{"dropping-particle":"","family":"Molsen","given":"Elizabeth","non-dropping-particle":"","parse-names":false,"suffix":""},{"dropping-particle":"","family":"Cano","given":"Stefan","non-dropping-particle":"","parse-names":false,"suffix":""},{"dropping-particle":"","family":"Burke","given":"Laurie B","non-dropping-particle":"","parse-names":false,"suffix":""}],"container-title":"Value in health","id":"ITEM-2","issued":{"date-parts":[["2015"]]},"page":"741-752","title":"Clinical Outcome Assessments: Conceptual Foundation — Report of the ISPOR Clinical Outcomes Assessment – Emerging Good Practices for Outcomes Research Task Force","type":"article-journal","volume":"18"},"uris":["http://www.mendeley.com/documents/?uuid=c5a0d9fc-1a0e-4762-ae19-7be7a21a8920"]}],"mendeley":{"formattedCitation":"(Acquadro et al., 2003; Walton et al., 2015)","plainTextFormattedCitation":"(Acquadro et al., 2003; Walton et al., 2015)","previouslyFormattedCitation":"(Acquadro et al., 2003; Walton et al., 2015)"},"properties":{"noteIndex":0},"schema":"https://github.com/citation-style-language/schema/raw/master/csl-citation.json"}</w:instrText>
      </w:r>
      <w:r w:rsidRPr="006A1EC7">
        <w:fldChar w:fldCharType="separate"/>
      </w:r>
      <w:r w:rsidRPr="006A1EC7">
        <w:rPr>
          <w:noProof/>
        </w:rPr>
        <w:t>(Acquadro et al., 2003; Walton et al., 2015)</w:t>
      </w:r>
      <w:r w:rsidRPr="006A1EC7">
        <w:fldChar w:fldCharType="end"/>
      </w:r>
      <w:r w:rsidRPr="006A1EC7">
        <w:t xml:space="preserve">. Naturally, the choice of type of COA is dependent </w:t>
      </w:r>
      <w:r w:rsidRPr="006A1EC7">
        <w:rPr>
          <w:i/>
          <w:iCs/>
        </w:rPr>
        <w:t>“on a determination of the most appropriate report for the concept of interest and the context of use</w:t>
      </w:r>
      <w:r w:rsidRPr="006A1EC7">
        <w:t xml:space="preserve">” </w:t>
      </w:r>
      <w:r w:rsidRPr="006A1EC7">
        <w:fldChar w:fldCharType="begin" w:fldLock="1"/>
      </w:r>
      <w:r w:rsidRPr="006A1EC7">
        <w:instrText>ADDIN CSL_CITATION {"citationItems":[{"id":"ITEM-1","itemData":{"URL":"https://www.fda.gov/drugs/developmentapprovalprocess/drugdevelopmenttoolsqualificationprogram/ucm284077.htm","accessed":{"date-parts":[["2017","9","11"]]},"author":[{"dropping-particle":"","family":"U.S. Food and Drug Administration","given":"","non-dropping-particle":"","parse-names":false,"suffix":""}],"id":"ITEM-1","issued":{"date-parts":[["2017"]]},"title":"Clinical Outcome Assessment Qualification Program","type":"webpage"},"uris":["http://www.mendeley.com/documents/?uuid=7e751b8e-50ac-4312-97f0-68c1be4e74dc"]}],"mendeley":{"formattedCitation":"(U.S. Food and Drug Administration, 2017a)","plainTextFormattedCitation":"(U.S. Food and Drug Administration, 2017a)","previouslyFormattedCitation":"(U.S. Food and Drug Administration, 2017a)"},"properties":{"noteIndex":0},"schema":"https://github.com/citation-style-language/schema/raw/master/csl-citation.json"}</w:instrText>
      </w:r>
      <w:r w:rsidRPr="006A1EC7">
        <w:fldChar w:fldCharType="separate"/>
      </w:r>
      <w:r w:rsidRPr="006A1EC7">
        <w:rPr>
          <w:noProof/>
        </w:rPr>
        <w:t>(U.S. Food and Drug Administration, 2017a)</w:t>
      </w:r>
      <w:r w:rsidRPr="006A1EC7">
        <w:fldChar w:fldCharType="end"/>
      </w:r>
      <w:r w:rsidRPr="006A1EC7">
        <w:t>. Table 1 provides an overview of the differences between the different types of COAs, their advantages, limitations and some examples for each type of COA.</w:t>
      </w:r>
    </w:p>
    <w:p w14:paraId="6A721C16" w14:textId="77777777" w:rsidR="00A40374" w:rsidRPr="006A1EC7" w:rsidRDefault="00065496" w:rsidP="00A40374">
      <w:pPr>
        <w:spacing w:line="360" w:lineRule="auto"/>
        <w:ind w:firstLine="720"/>
      </w:pPr>
      <w:r w:rsidRPr="006A1EC7">
        <w:t xml:space="preserve">In addition to the distinction between PRO/ClinRo/ObSRO/PerfO, a further distinction has to be made. This distinction refers to the content of the COA, such as, for example, whether it can only be used with one group of patients with a specific illness (e.g. Health-related quality of life in Huntington’s disease (HDQLIFE) </w:t>
      </w:r>
      <w:r w:rsidRPr="006A1EC7">
        <w:fldChar w:fldCharType="begin" w:fldLock="1"/>
      </w:r>
      <w:r w:rsidRPr="006A1EC7">
        <w:instrText>ADDIN CSL_CITATION {"citationItems":[{"id":"ITEM-1","itemData":{"DOI":"10.1007/s11136-016-1386-3","ISSN":"1573-2649","PMID":"27522213","abstract":"PURPOSE Huntington disease (HD) is a chronic, debilitating genetic disease that affects physical, emotional, cognitive, and social health. Existing patient-reported outcomes (PROs) of health-related quality of life (HRQOL) used in HD are neither comprehensive, nor do they adequately account for clinically meaningful changes in function. While new PROs examining HRQOL (i.e., Neuro-QoL-Quality of Life in Neurological Disorders and PROMIS-Patient-Reported Outcomes Measurement Information System) offer solutions to many of these shortcomings, they do not include HD-specific content, nor have they been validated in HD. HDQLIFE addresses this by validating 12 PROMIS/Neuro-QoL domains in individuals with HD and by using established PROMIS methodology to develop new, HD-specific content. METHODS New item pools were developed using cognitive debriefing with individuals with HD, and expert, literacy, and translatability reviews. Existing item banks and new item pools were field tested in 536 individuals with prodromal, early-, or late-stage HD. RESULTS Moderate to strong relationships between Neuro-QoL/PROMIS measures and generic self-report measures of HRQOL, and moderate relationships between Neuro-QoL/PROMIS and clinician-rated measures of similar constructs supported the validity of Neuro-QoL/PROMIS in individuals with HD. Exploratory and confirmatory factor analysis, item response theory, and differential item functioning analyses were utilized to develop new item banks for Chorea, Speech Difficulties, Swallowing Difficulties, and Concern with Death and Dying, with corresponding six-item short forms. A four-item short form was developed for Meaning and Purpose. CONCLUSIONS HDQLIFE encompasses both validated Neuro-QoL/PROMIS measures, as well as five new scales in order to provide a comprehensive assessment of HRQOL in HD.","author":[{"dropping-particle":"","family":"Carlozzi","given":"N E","non-dropping-particle":"","parse-names":false,"suffix":""},{"dropping-particle":"","family":"Schilling","given":"S G","non-dropping-particle":"","parse-names":false,"suffix":""},{"dropping-particle":"","family":"Lai","given":"J-S","non-dropping-particle":"","parse-names":false,"suffix":""},{"dropping-particle":"","family":"Paulsen","given":"J S","non-dropping-particle":"","parse-names":false,"suffix":""},{"dropping-particle":"","family":"Hahn","given":"E A","non-dropping-particle":"","parse-names":false,"suffix":""},{"dropping-particle":"","family":"Perlmutter","given":"J S","non-dropping-particle":"","parse-names":false,"suffix":""},{"dropping-particle":"","family":"Ross","given":"C A","non-dropping-particle":"","parse-names":false,"suffix":""},{"dropping-particle":"","family":"Downing","given":"N R","non-dropping-particle":"","parse-names":false,"suffix":""},{"dropping-particle":"","family":"Kratz","given":"A L","non-dropping-particle":"","parse-names":false,"suffix":""},{"dropping-particle":"","family":"McCormack","given":"M K","non-dropping-particle":"","parse-names":false,"suffix":""},{"dropping-particle":"","family":"Nance","given":"M A","non-dropping-particle":"","parse-names":false,"suffix":""},{"dropping-particle":"","family":"Quaid","given":"K A","non-dropping-particle":"","parse-names":false,"suffix":""},{"dropping-particle":"","family":"Stout","given":"J C","non-dropping-particle":"","parse-names":false,"suffix":""},{"dropping-particle":"","family":"Gershon","given":"R C","non-dropping-particle":"","parse-names":false,"suffix":""},{"dropping-particle":"","family":"Ready","given":"R E","non-dropping-particle":"","parse-names":false,"suffix":""},{"dropping-particle":"","family":"Miner","given":"J A","non-dropping-particle":"","parse-names":false,"suffix":""},{"dropping-particle":"","family":"Barton","given":"S K","non-dropping-particle":"","parse-names":false,"suffix":""},{"dropping-particle":"","family":"Perlman","given":"S L","non-dropping-particle":"","parse-names":false,"suffix":""},{"dropping-particle":"","family":"Rao","given":"S M","non-dropping-particle":"","parse-names":false,"suffix":""},{"dropping-particle":"","family":"Frank","given":"S","non-dropping-particle":"","parse-names":false,"suffix":""},{"dropping-particle":"","family":"Shoulson","given":"I","non-dropping-particle":"","parse-names":false,"suffix":""},{"dropping-particle":"","family":"Marin","given":"H","non-dropping-particle":"","parse-names":false,"suffix":""},{"dropping-particle":"","family":"Geschwind","given":"M D","non-dropping-particle":"","parse-names":false,"suffix":""},{"dropping-particle":"","family":"Dayalu","given":"P","non-dropping-particle":"","parse-names":false,"suffix":""},{"dropping-particle":"","family":"Goodnight","given":"S M","non-dropping-particle":"","parse-names":false,"suffix":""},{"dropping-particle":"","family":"Cella","given":"D","non-dropping-particle":"","parse-names":false,"suffix":""}],"container-title":"Quality of life research : an international journal of quality of life aspects of treatment, care and rehabilitation","id":"ITEM-1","issue":"10","issued":{"date-parts":[["2016","10"]]},"page":"2441-55","title":"HDQLIFE: development and assessment of health-related quality of life in Huntington disease (HD).","type":"article-journal","volume":"25"},"uris":["http://www.mendeley.com/documents/?uuid=b89b8787-8e63-34e2-966e-c2fc50ce3cbd"]}],"mendeley":{"formattedCitation":"(Carlozzi et al., 2016)","plainTextFormattedCitation":"(Carlozzi et al., 2016)","previouslyFormattedCitation":"(Carlozzi et al., 2016)"},"properties":{"noteIndex":0},"schema":"https://github.com/citation-style-language/schema/raw/master/csl-citation.json"}</w:instrText>
      </w:r>
      <w:r w:rsidRPr="006A1EC7">
        <w:fldChar w:fldCharType="separate"/>
      </w:r>
      <w:r w:rsidRPr="006A1EC7">
        <w:rPr>
          <w:noProof/>
        </w:rPr>
        <w:t>(Carlozzi et al., 2016)</w:t>
      </w:r>
      <w:r w:rsidRPr="006A1EC7">
        <w:fldChar w:fldCharType="end"/>
      </w:r>
      <w:r w:rsidRPr="006A1EC7">
        <w:t xml:space="preserve">, Medical Research Council Prion Disease Scale </w:t>
      </w:r>
      <w:r w:rsidRPr="006A1EC7">
        <w:fldChar w:fldCharType="begin" w:fldLock="1"/>
      </w:r>
      <w:r w:rsidRPr="006A1EC7">
        <w:instrText>ADDIN CSL_CITATION {"citationItems":[{"id":"ITEM-1","itemData":{"DOI":"10.1093/brain/awt048","ISBN":"1460-2156 (Electronic)\\r0006-8950 (Linking)","ISSN":"14602156","PMID":"23550114","abstract":"Progress in therapeutics for rare disorders like prion disease is impeded by the lack of validated outcome measures and a paucity of natural history data derived from prospective observational studies. The first analysis of the UK National Prion Monitoring Cohort involved 1337 scheduled clinical assessments and 479 telephone assessments in 437 participants over 373 patient-years of follow-up. Scale development has included semi-quantitative and qualitative carer interviews, item response modelling (Rasch analysis), inter-rater reliability testing, construct analysis and correlation with several existing scales. The proposed 20-point Medical Research Council Prion Disease Rating Scale assesses domains of cognitive function, speech, mobility, personal care/feeding and continence, according to their relative importance documented by carer interviews. It is quick and simple to administer, and has been validated for use by doctors and nurses and for use over the telephone, allowing for frequent assessments that capture the rapid change typical of these diseases. The Medical Research Council Scale correlates highly with widely used cognitive and single item scales, but has substantial advantages over these including minimal floor effects. Three clear patterns of decline were observed using the scale: fast linear decline, slow linear decline (usually inherited prion disease) and in some patients, decline followed by a prolonged preterminal plateau at very low functional levels. Rates of decline and progress through milestones measured using the scale vary between sporadic, acquired and inherited prion diseases following clinical expectations. We have developed and validated a new functionally-oriented outcome measure and propose that future clinical trials in prion disease should collect data compatible with this scale, to allow for combined and comparative analyses. Such approaches may be advantageous in orphan conditions, where single studies of feasible duration will often struggle to achieve statistical power.","author":[{"dropping-particle":"","family":"Thompson","given":"Andrew G.B. B","non-dropping-particle":"","parse-names":false,"suffix":""},{"dropping-particle":"","family":"Lowe","given":"Jessica","non-dropping-particle":"","parse-names":false,"suffix":""},{"dropping-particle":"","family":"Fox","given":"Zoe","non-dropping-particle":"","parse-names":false,"suffix":""},{"dropping-particle":"","family":"Lukic","given":"Ana","non-dropping-particle":"","parse-names":false,"suffix":""},{"dropping-particle":"","family":"Porter","given":"Marie Claire","non-dropping-particle":"","parse-names":false,"suffix":""},{"dropping-particle":"","family":"Ford","given":"Liz","non-dropping-particle":"","parse-names":false,"suffix":""},{"dropping-particle":"","family":"Gorham","given":"Michele","non-dropping-particle":"","parse-names":false,"suffix":""},{"dropping-particle":"","family":"Gopalakrishnan","given":"Gosala S.","non-dropping-particle":"","parse-names":false,"suffix":""},{"dropping-particle":"","family":"Rudge","given":"Peter","non-dropping-particle":"","parse-names":false,"suffix":""},{"dropping-particle":"","family":"Walker","given":"A. Sarah","non-dropping-particle":"","parse-names":false,"suffix":""},{"dropping-particle":"","family":"Collinge","given":"John","non-dropping-particle":"","parse-names":false,"suffix":""},{"dropping-particle":"","family":"Mead","given":"Simon","non-dropping-particle":"","parse-names":false,"suffix":""}],"container-title":"Brain","id":"ITEM-1","issue":"4","issued":{"date-parts":[["2013"]]},"page":"1116-1127","title":"The medical research council prion disease rating scale: A new outcome measure for prion disease therapeutic trials developed and validated using systematic observational studies","type":"article-journal","volume":"136"},"uris":["http://www.mendeley.com/documents/?uuid=3aabe36a-1ae9-4f82-8507-208c33376690"]}],"mendeley":{"formattedCitation":"(Thompson et al., 2013)","plainTextFormattedCitation":"(Thompson et al., 2013)","previouslyFormattedCitation":"(Thompson et al., 2013)"},"properties":{"noteIndex":0},"schema":"https://github.com/citation-style-language/schema/raw/master/csl-citation.json"}</w:instrText>
      </w:r>
      <w:r w:rsidRPr="006A1EC7">
        <w:fldChar w:fldCharType="separate"/>
      </w:r>
      <w:r w:rsidRPr="006A1EC7">
        <w:rPr>
          <w:noProof/>
        </w:rPr>
        <w:t>(Thompson et al., 2013)</w:t>
      </w:r>
      <w:r w:rsidRPr="006A1EC7">
        <w:fldChar w:fldCharType="end"/>
      </w:r>
      <w:r w:rsidRPr="006A1EC7">
        <w:t>) or whether it is a site-specific measure that assesses the functioning of a specific part of the body (e.g. shoulder, arm) that can be used for different medical conditions. Table 2 provides an overview of these further distinctions, including their definitions, advantages, limitations and some examples.</w:t>
      </w:r>
    </w:p>
    <w:p w14:paraId="506FEEC2" w14:textId="33E16368" w:rsidR="00065496" w:rsidRPr="006A1EC7" w:rsidRDefault="00065496" w:rsidP="00DF2F14">
      <w:pPr>
        <w:spacing w:line="360" w:lineRule="auto"/>
        <w:sectPr w:rsidR="00065496" w:rsidRPr="006A1EC7" w:rsidSect="006B5C59">
          <w:type w:val="nextColumn"/>
          <w:pgSz w:w="11900" w:h="16840"/>
          <w:pgMar w:top="1440" w:right="1701" w:bottom="1440" w:left="1701" w:header="720" w:footer="720" w:gutter="0"/>
          <w:cols w:space="720"/>
          <w:docGrid w:linePitch="360"/>
        </w:sectPr>
      </w:pPr>
    </w:p>
    <w:p w14:paraId="4EC83179" w14:textId="45CAEBC9" w:rsidR="00DF2F14" w:rsidRPr="006A1EC7" w:rsidRDefault="00DF2F14" w:rsidP="00960C82">
      <w:pPr>
        <w:pStyle w:val="Heading3"/>
        <w:rPr>
          <w:rFonts w:ascii="Times New Roman" w:hAnsi="Times New Roman" w:cs="Times New Roman"/>
        </w:rPr>
      </w:pPr>
      <w:bookmarkStart w:id="51" w:name="_Toc40173026"/>
      <w:r w:rsidRPr="006A1EC7">
        <w:rPr>
          <w:rFonts w:ascii="Times New Roman" w:hAnsi="Times New Roman" w:cs="Times New Roman"/>
        </w:rPr>
        <w:lastRenderedPageBreak/>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1</w:t>
      </w:r>
      <w:r w:rsidRPr="006A1EC7">
        <w:rPr>
          <w:rFonts w:ascii="Times New Roman" w:hAnsi="Times New Roman" w:cs="Times New Roman"/>
        </w:rPr>
        <w:fldChar w:fldCharType="end"/>
      </w:r>
      <w:r w:rsidRPr="006A1EC7">
        <w:rPr>
          <w:rFonts w:ascii="Times New Roman" w:hAnsi="Times New Roman" w:cs="Times New Roman"/>
        </w:rPr>
        <w:t>: Overview of different types of Clinical Outcome Assessments</w:t>
      </w:r>
      <w:bookmarkEnd w:id="51"/>
    </w:p>
    <w:tbl>
      <w:tblPr>
        <w:tblStyle w:val="PlainTable4"/>
        <w:tblW w:w="5000" w:type="pct"/>
        <w:tblLook w:val="04A0" w:firstRow="1" w:lastRow="0" w:firstColumn="1" w:lastColumn="0" w:noHBand="0" w:noVBand="1"/>
      </w:tblPr>
      <w:tblGrid>
        <w:gridCol w:w="2217"/>
        <w:gridCol w:w="3228"/>
        <w:gridCol w:w="2438"/>
        <w:gridCol w:w="2935"/>
        <w:gridCol w:w="2620"/>
      </w:tblGrid>
      <w:tr w:rsidR="00C77145" w:rsidRPr="006A1EC7" w14:paraId="7DAB1C1C" w14:textId="77777777" w:rsidTr="00DF2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3446CE94" w14:textId="77777777" w:rsidR="00C77145" w:rsidRPr="006A1EC7" w:rsidRDefault="00C77145" w:rsidP="00D13545">
            <w:pPr>
              <w:rPr>
                <w:sz w:val="18"/>
                <w:szCs w:val="18"/>
              </w:rPr>
            </w:pPr>
            <w:r w:rsidRPr="006A1EC7">
              <w:rPr>
                <w:sz w:val="18"/>
                <w:szCs w:val="18"/>
              </w:rPr>
              <w:t>Type of outcome measure</w:t>
            </w:r>
          </w:p>
        </w:tc>
        <w:tc>
          <w:tcPr>
            <w:tcW w:w="1201" w:type="pct"/>
          </w:tcPr>
          <w:p w14:paraId="1B6FC63B" w14:textId="77777777" w:rsidR="00C77145" w:rsidRPr="006A1EC7" w:rsidRDefault="00C77145" w:rsidP="00D1354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Definition</w:t>
            </w:r>
          </w:p>
        </w:tc>
        <w:tc>
          <w:tcPr>
            <w:tcW w:w="907" w:type="pct"/>
          </w:tcPr>
          <w:p w14:paraId="2A147D55" w14:textId="77777777" w:rsidR="00C77145" w:rsidRPr="006A1EC7" w:rsidRDefault="00C77145" w:rsidP="00D1354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Advantages</w:t>
            </w:r>
          </w:p>
        </w:tc>
        <w:tc>
          <w:tcPr>
            <w:tcW w:w="1092" w:type="pct"/>
          </w:tcPr>
          <w:p w14:paraId="6F18ECAF" w14:textId="77777777" w:rsidR="00C77145" w:rsidRPr="006A1EC7" w:rsidRDefault="00C77145" w:rsidP="00D1354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Limitations</w:t>
            </w:r>
          </w:p>
        </w:tc>
        <w:tc>
          <w:tcPr>
            <w:tcW w:w="975" w:type="pct"/>
          </w:tcPr>
          <w:p w14:paraId="2A3CE85E" w14:textId="77777777" w:rsidR="00C77145" w:rsidRPr="006A1EC7" w:rsidRDefault="00C77145" w:rsidP="00D1354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Examples</w:t>
            </w:r>
          </w:p>
        </w:tc>
      </w:tr>
      <w:tr w:rsidR="00C77145" w:rsidRPr="006A1EC7" w14:paraId="1DE3BD34" w14:textId="77777777" w:rsidTr="00DF2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286266B1" w14:textId="77777777" w:rsidR="00C77145" w:rsidRPr="006A1EC7" w:rsidRDefault="00C77145" w:rsidP="00D13545">
            <w:pPr>
              <w:rPr>
                <w:sz w:val="18"/>
                <w:szCs w:val="18"/>
              </w:rPr>
            </w:pPr>
            <w:r w:rsidRPr="006A1EC7">
              <w:rPr>
                <w:sz w:val="18"/>
                <w:szCs w:val="18"/>
              </w:rPr>
              <w:t>Patient-reported outcome measures (PROMs or PRO)</w:t>
            </w:r>
          </w:p>
        </w:tc>
        <w:tc>
          <w:tcPr>
            <w:tcW w:w="1201" w:type="pct"/>
          </w:tcPr>
          <w:p w14:paraId="620A6C57" w14:textId="36B43FD0"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Direct self-report from the patient about perceived HRQoL/daily functioning</w:t>
            </w:r>
            <w:r w:rsidRPr="006A1EC7">
              <w:rPr>
                <w:sz w:val="18"/>
                <w:szCs w:val="18"/>
              </w:rPr>
              <w:br/>
            </w:r>
            <w:r w:rsidRPr="006A1EC7">
              <w:rPr>
                <w:sz w:val="18"/>
                <w:szCs w:val="18"/>
              </w:rPr>
              <w:fldChar w:fldCharType="begin" w:fldLock="1"/>
            </w:r>
            <w:r w:rsidRPr="006A1EC7">
              <w:rPr>
                <w:sz w:val="18"/>
                <w:szCs w:val="18"/>
              </w:rPr>
              <w:instrText>ADDIN CSL_CITATION {"citationItems":[{"id":"ITEM-1","itemData":{"DOI":"10.4137/HSI.S11093","ISBN":"1178-6329 (Electronic) 1178-6329 (Linking)","ISSN":"1178-6329","PMID":"25114561","abstract":"In recent years, there has been an increased focus on placing patients at the center of health care research and evaluating clinical care in order to improve their experience and ensure that research is both robust and of maximum value for the use of medicinal products, therapy, or health services. This paper provides an overview of patients' involvement in clinical research and service evaluation along with its benefits and limitations. We describe and discuss patient-reported outcomes (PROs) and patient-reported outcome measures (PROMs), including the trends in current research. Both the patient-reported experiences measures (PREMs) and patient and public involvement (PPI) initiative for including patients in the research processes are also outlined. PROs provide reports from patients about their own health, quality of life, or functional status associated with the health care or treatment they have received. PROMs are tools and/or instruments used to report PROs. Patient report experiences through the use of PREMs, such as satisfaction scales, providing insight into the patients' experience with their care or a health service. There is increasing international attention regarding the use of PREMS as a quality indicator of patient care and safety. This reflects the ongoing health service commitment of involving patients and the public within the wider context of the development and evaluation of health care service delivery and quality improvement.","author":[{"dropping-particle":"","family":"Smith","given":"Sheree","non-dropping-particle":"","parse-names":false,"suffix":""},{"dropping-particle":"","family":"Weldring","given":"Theresa","non-dropping-particle":"","parse-names":false,"suffix":""}],"container-title":"Health Services Insights","id":"ITEM-1","issued":{"date-parts":[["2013"]]},"page":"61","title":"Patient-Reported Outcomes (PROs) and Patient-Reported Outcome Measures (PROMs)","type":"article-journal"},"uris":["http://www.mendeley.com/documents/?uuid=df6911e2-4e4f-4023-9f2d-5a466a3578e6"]}],"mendeley":{"formattedCitation":"(S. Smith &amp; Weldring, 2013)","manualFormatting":"(Smith &amp; Weldring, 2013)","plainTextFormattedCitation":"(S. Smith &amp; Weldring, 2013)","previouslyFormattedCitation":"(S. Smith &amp; Weldring, 2013)"},"properties":{"noteIndex":0},"schema":"https://github.com/citation-style-language/schema/raw/master/csl-citation.json"}</w:instrText>
            </w:r>
            <w:r w:rsidRPr="006A1EC7">
              <w:rPr>
                <w:sz w:val="18"/>
                <w:szCs w:val="18"/>
              </w:rPr>
              <w:fldChar w:fldCharType="separate"/>
            </w:r>
            <w:r w:rsidRPr="006A1EC7">
              <w:rPr>
                <w:noProof/>
                <w:sz w:val="18"/>
                <w:szCs w:val="18"/>
              </w:rPr>
              <w:t>(Smith &amp; Weldring, 2013)</w:t>
            </w:r>
            <w:r w:rsidRPr="006A1EC7">
              <w:rPr>
                <w:sz w:val="18"/>
                <w:szCs w:val="18"/>
              </w:rPr>
              <w:fldChar w:fldCharType="end"/>
            </w:r>
          </w:p>
        </w:tc>
        <w:tc>
          <w:tcPr>
            <w:tcW w:w="907" w:type="pct"/>
          </w:tcPr>
          <w:p w14:paraId="44EB2FDB"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Patient most likely to give accurate representation/</w:t>
            </w:r>
            <w:r w:rsidRPr="006A1EC7">
              <w:rPr>
                <w:sz w:val="18"/>
                <w:szCs w:val="18"/>
              </w:rPr>
              <w:br/>
              <w:t xml:space="preserve">answers </w:t>
            </w:r>
            <w:r w:rsidRPr="006A1EC7">
              <w:rPr>
                <w:sz w:val="18"/>
                <w:szCs w:val="18"/>
              </w:rPr>
              <w:fldChar w:fldCharType="begin" w:fldLock="1"/>
            </w:r>
            <w:r w:rsidRPr="006A1EC7">
              <w:rPr>
                <w:sz w:val="18"/>
                <w:szCs w:val="18"/>
              </w:rPr>
              <w:instrText>ADDIN CSL_CITATION {"citationItems":[{"id":"ITEM-1","itemData":{"DOI":"10.4137/HSI.S11093","ISBN":"1178-6329 (Electronic) 1178-6329 (Linking)","ISSN":"1178-6329","PMID":"25114561","abstract":"In recent years, there has been an increased focus on placing patients at the center of health care research and evaluating clinical care in order to improve their experience and ensure that research is both robust and of maximum value for the use of medicinal products, therapy, or health services. This paper provides an overview of patients' involvement in clinical research and service evaluation along with its benefits and limitations. We describe and discuss patient-reported outcomes (PROs) and patient-reported outcome measures (PROMs), including the trends in current research. Both the patient-reported experiences measures (PREMs) and patient and public involvement (PPI) initiative for including patients in the research processes are also outlined. PROs provide reports from patients about their own health, quality of life, or functional status associated with the health care or treatment they have received. PROMs are tools and/or instruments used to report PROs. Patient report experiences through the use of PREMs, such as satisfaction scales, providing insight into the patients' experience with their care or a health service. There is increasing international attention regarding the use of PREMS as a quality indicator of patient care and safety. This reflects the ongoing health service commitment of involving patients and the public within the wider context of the development and evaluation of health care service delivery and quality improvement.","author":[{"dropping-particle":"","family":"Smith","given":"Sheree","non-dropping-particle":"","parse-names":false,"suffix":""},{"dropping-particle":"","family":"Weldring","given":"Theresa","non-dropping-particle":"","parse-names":false,"suffix":""}],"container-title":"Health Services Insights","id":"ITEM-1","issued":{"date-parts":[["2013"]]},"page":"61","title":"Patient-Reported Outcomes (PROs) and Patient-Reported Outcome Measures (PROMs)","type":"article-journal"},"uris":["http://www.mendeley.com/documents/?uuid=df6911e2-4e4f-4023-9f2d-5a466a3578e6"]}],"mendeley":{"formattedCitation":"(S. Smith &amp; Weldring, 2013)","manualFormatting":"(Smith &amp; Weldring, 2013)","plainTextFormattedCitation":"(S. Smith &amp; Weldring, 2013)","previouslyFormattedCitation":"(S. Smith &amp; Weldring, 2013)"},"properties":{"noteIndex":0},"schema":"https://github.com/citation-style-language/schema/raw/master/csl-citation.json"}</w:instrText>
            </w:r>
            <w:r w:rsidRPr="006A1EC7">
              <w:rPr>
                <w:sz w:val="18"/>
                <w:szCs w:val="18"/>
              </w:rPr>
              <w:fldChar w:fldCharType="separate"/>
            </w:r>
            <w:r w:rsidRPr="006A1EC7">
              <w:rPr>
                <w:noProof/>
                <w:sz w:val="18"/>
                <w:szCs w:val="18"/>
              </w:rPr>
              <w:t>(Smith &amp; Weldring, 2013)</w:t>
            </w:r>
            <w:r w:rsidRPr="006A1EC7">
              <w:rPr>
                <w:sz w:val="18"/>
                <w:szCs w:val="18"/>
              </w:rPr>
              <w:fldChar w:fldCharType="end"/>
            </w:r>
          </w:p>
        </w:tc>
        <w:tc>
          <w:tcPr>
            <w:tcW w:w="1092" w:type="pct"/>
          </w:tcPr>
          <w:p w14:paraId="0D97ADC4"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Dependent on literacy of patient, i.e. must have ability to understand questions;</w:t>
            </w:r>
          </w:p>
          <w:p w14:paraId="0EF1FD71"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self-report bias</w:t>
            </w:r>
            <w:r w:rsidRPr="006A1EC7">
              <w:rPr>
                <w:sz w:val="18"/>
                <w:szCs w:val="18"/>
              </w:rPr>
              <w:br/>
            </w:r>
            <w:r w:rsidRPr="006A1EC7">
              <w:rPr>
                <w:sz w:val="18"/>
                <w:szCs w:val="18"/>
              </w:rPr>
              <w:fldChar w:fldCharType="begin" w:fldLock="1"/>
            </w:r>
            <w:r w:rsidRPr="006A1EC7">
              <w:rPr>
                <w:sz w:val="18"/>
                <w:szCs w:val="18"/>
              </w:rPr>
              <w:instrText>ADDIN CSL_CITATION {"citationItems":[{"id":"ITEM-1","itemData":{"DOI":"10.5014/ajot.2013.006015","ISBN":"02729490","ISSN":"02729490","PMID":"23433270","abstract":"Selecting an appropriate outcome measure is a critical step in designing valid and useful clinical trials and outcome studies. This selection process needs to extend beyond examining basic psychometric properties to consider additional features of instruments that may affect their validity and utility for the study's purpose. This article discusses these additional factors and their potential impact on outcome measurement. Guidelines are proposed to help clinical researchers and consumers of clinical research literature evaluate the match between the study purpose, population, and instrument.","author":[{"dropping-particle":"","family":"Coster","given":"Wendy J.","non-dropping-particle":"","parse-names":false,"suffix":""}],"container-title":"American Journal of Occupational Therapy","id":"ITEM-1","issue":"2","issued":{"date-parts":[["2013"]]},"page":"162-170","title":"Making the best match: Selecting outcome measures for clinical trials and outcome studies","type":"article-journal","volume":"67"},"uris":["http://www.mendeley.com/documents/?uuid=712ea64a-be77-44e8-9afd-5e1856065fe8"]}],"mendeley":{"formattedCitation":"(Coster, 2013)","plainTextFormattedCitation":"(Coster, 2013)","previouslyFormattedCitation":"(Coster, 2013)"},"properties":{"noteIndex":0},"schema":"https://github.com/citation-style-language/schema/raw/master/csl-citation.json"}</w:instrText>
            </w:r>
            <w:r w:rsidRPr="006A1EC7">
              <w:rPr>
                <w:sz w:val="18"/>
                <w:szCs w:val="18"/>
              </w:rPr>
              <w:fldChar w:fldCharType="separate"/>
            </w:r>
            <w:r w:rsidRPr="006A1EC7">
              <w:rPr>
                <w:noProof/>
                <w:sz w:val="18"/>
                <w:szCs w:val="18"/>
              </w:rPr>
              <w:t>(Coster, 2013)</w:t>
            </w:r>
            <w:r w:rsidRPr="006A1EC7">
              <w:rPr>
                <w:sz w:val="18"/>
                <w:szCs w:val="18"/>
              </w:rPr>
              <w:fldChar w:fldCharType="end"/>
            </w:r>
            <w:r w:rsidRPr="006A1EC7">
              <w:rPr>
                <w:sz w:val="18"/>
                <w:szCs w:val="18"/>
              </w:rPr>
              <w:t>,</w:t>
            </w:r>
          </w:p>
          <w:p w14:paraId="7494853B"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p>
        </w:tc>
        <w:tc>
          <w:tcPr>
            <w:tcW w:w="975" w:type="pct"/>
          </w:tcPr>
          <w:p w14:paraId="00C81695"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Gastrointestinal Quality of Life Index </w:t>
            </w:r>
            <w:r w:rsidRPr="006A1EC7">
              <w:rPr>
                <w:sz w:val="18"/>
                <w:szCs w:val="18"/>
              </w:rPr>
              <w:fldChar w:fldCharType="begin" w:fldLock="1"/>
            </w:r>
            <w:r w:rsidRPr="006A1EC7">
              <w:rPr>
                <w:sz w:val="18"/>
                <w:szCs w:val="18"/>
              </w:rPr>
              <w:instrText>ADDIN CSL_CITATION {"citationItems":[{"id":"ITEM-1","itemData":{"DOI":"10.1002/bjs.1800820229","ISBN":"0007-1323 (Print)\\r0007-1323 (Linking)","ISSN":"13652168","PMID":"7749697","abstract":"At present, an instrument for measuring the quality of life, specifically for patients with gastrointestinal disease, is not available. A new instrument for gastrointestinal disorders that is system-specific has been developed in three phases. In the first phase, questions were collated and then tested on 70 patients with gastrointestinal diseases and those that worked well were retained. In the second phase, the questions were modified and tested on 204 patients and the results verified by international experts. The instrument was also validated against other generic measures of quality of life. During the third phase, the instrument was validated with 168 normal individuals. Reproducibility was tested on 25 patients with stable gastrointestinal disease and responsiveness was tested on 194 patients undergoing laparoscopic cholecystectomy. The result is a bilingual (German and English) questionnaire containing 36 questions each with five response categories. The responses to questions are summed to give a numerical score. It is concluded that the Gastrointestinal Quality of Life Index (GIQLI) is ready to be used in clinical practice and research.","author":[{"dropping-particle":"","family":"Eypasch","given":"E.","non-dropping-particle":"","parse-names":false,"suffix":""},{"dropping-particle":"","family":"Williams","given":"J. I.","non-dropping-particle":"","parse-names":false,"suffix":""},{"dropping-particle":"","family":"Wood‐Dauphinee","given":"S.","non-dropping-particle":"","parse-names":false,"suffix":""},{"dropping-particle":"","family":"Ure","given":"B. M.","non-dropping-particle":"","parse-names":false,"suffix":""},{"dropping-particle":"","family":"Schmulling","given":"C.","non-dropping-particle":"","parse-names":false,"suffix":""},{"dropping-particle":"","family":"Neugebauer","given":"E.","non-dropping-particle":"","parse-names":false,"suffix":""},{"dropping-particle":"","family":"Troidl","given":"H.","non-dropping-particle":"","parse-names":false,"suffix":""}],"container-title":"British Journal of Surgery","id":"ITEM-1","issue":"2","issued":{"date-parts":[["1995"]]},"page":"216-222","title":"Gastrointestinal Quality of Life Index: Development, validation and application of a new instrument","type":"article-journal","volume":"82"},"uris":["http://www.mendeley.com/documents/?uuid=6ef9b73d-09d3-4671-96f3-1855bd118cff"]}],"mendeley":{"formattedCitation":"(Eypasch et al., 1995)","manualFormatting":"(Eypasch et al., 1995)","plainTextFormattedCitation":"(Eypasch et al., 1995)","previouslyFormattedCitation":"(Eypasch et al., 1995)"},"properties":{"noteIndex":0},"schema":"https://github.com/citation-style-language/schema/raw/master/csl-citation.json"}</w:instrText>
            </w:r>
            <w:r w:rsidRPr="006A1EC7">
              <w:rPr>
                <w:sz w:val="18"/>
                <w:szCs w:val="18"/>
              </w:rPr>
              <w:fldChar w:fldCharType="separate"/>
            </w:r>
            <w:r w:rsidRPr="006A1EC7">
              <w:rPr>
                <w:noProof/>
                <w:sz w:val="18"/>
                <w:szCs w:val="18"/>
              </w:rPr>
              <w:t>(Eypasch et al., 1995)</w:t>
            </w:r>
            <w:r w:rsidRPr="006A1EC7">
              <w:rPr>
                <w:sz w:val="18"/>
                <w:szCs w:val="18"/>
              </w:rPr>
              <w:fldChar w:fldCharType="end"/>
            </w:r>
          </w:p>
          <w:p w14:paraId="17170635"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Pelvic Floor Impact Questionnaire </w:t>
            </w:r>
            <w:r w:rsidRPr="006A1EC7">
              <w:rPr>
                <w:sz w:val="18"/>
                <w:szCs w:val="18"/>
              </w:rPr>
              <w:br/>
            </w:r>
            <w:r w:rsidRPr="006A1EC7">
              <w:rPr>
                <w:sz w:val="18"/>
                <w:szCs w:val="18"/>
              </w:rPr>
              <w:fldChar w:fldCharType="begin" w:fldLock="1"/>
            </w:r>
            <w:r w:rsidRPr="006A1EC7">
              <w:rPr>
                <w:sz w:val="18"/>
                <w:szCs w:val="18"/>
              </w:rPr>
              <w:instrText>ADDIN CSL_CITATION {"citationItems":[{"id":"ITEM-1","itemData":{"DOI":"10.1016/j.ajog.2004.12.025","ISBN":"0002-9378","ISSN":"00029378","PMID":"16021067","abstract":"Objective: To develop short forms of 2 valid and reliable condition-specific quality-of-life questionnaires for women with disorders of the pelvic floor including urinary incontinence, pelvic organ prolapse, and fecal incontinence (Pelvic Floor Distress Inventory and Pelvic Floor Impact Questionnaire). Study design: Data from the 100 women who contributed to the development and validation of the Pelvic Floor Distress Inventory and Pelvic Floor Impact Questionnaire long forms were used to develop the short-form questionnaires. All subsets regression analysis was used to find the items in each scale that best predicted the scale score on the respective long form. When different items appeared equivalent, a choice was made on item content. After development, the short forms and the Pelvic Floor Distress Inventory and Pelvic Floor Impact Questionnaire long forms were administered preoperatively to 45 women with pelvic floor disorders scheduled to undergo surgery to evaluate the correlation between short and long forms in a second independent population. The short forms were readministered 3 to 6 months postoperatively to assess the responsiveness of the instruments. Results: The short-form version of the Pelvic Floor Distress Inventory has a total of 20 questions and 3 scales (Urinary Distress Inventory, Pelvic Organ Prolapse Distress Inventory, and Colorectal-Anal Distress Inventory). Each short-form scale demonstrates significant correlation with their long-form scales (r = .86, r = .92, and r = .93, respectively, P &lt; .0001). For the Pelvic Floor Impact Questionnaire short form, the previously developed short form for the Incontinence Impact Questionnaire-7 was used as a template. The 7 items identified in the previously developed Incontinence Impact Questionnaire-7 short form correlate highly with the Incontinence Impact Questionnaire long form (r = .96, P &lt; .0001) as well as the long forms of the Colorectal-Anal Impact Questionnaire scale (r = .96, P &lt; .0001) and the Pelvic Organ Prolapse Impact Questionnaire (r = .94, P &lt; .0001). All subsets regression analysis did not identify any items or combination of items that correlated substantially better for any of the 3 scales. The scales of the Pelvic Floor Distress Inventory-20 and Pelvic Floor Impact Questionnaire-7 maintained their excellent correlation to the Pelvic Floor Distress Inventory and Pelvic Floor Impact Questionnaire long forms in the second independent sample (r = .88 to .94 for scales of Pe…","author":[{"dropping-particle":"","family":"Barber","given":"M. D.","non-dropping-particle":"","parse-names":false,"suffix":""},{"dropping-particle":"","family":"Walters","given":"M. D.","non-dropping-particle":"","parse-names":false,"suffix":""},{"dropping-particle":"","family":"Bump","given":"R. C.","non-dropping-particle":"","parse-names":false,"suffix":""}],"container-title":"American Journal of Obstetrics and Gynecology","id":"ITEM-1","issue":"1","issued":{"date-parts":[["2005"]]},"page":"103-113","title":"Short forms of two condition-specific quality-of-life questionnaires for women with pelvic floor disorders (PFDI-20 and PFIQ-7)","type":"article-journal","volume":"193"},"uris":["http://www.mendeley.com/documents/?uuid=54d7386b-9db0-4555-84a7-f94fbcfec218"]}],"mendeley":{"formattedCitation":"(Barber, Walters, &amp; Bump, 2005)","plainTextFormattedCitation":"(Barber, Walters, &amp; Bump, 2005)","previouslyFormattedCitation":"(Barber, Walters, &amp; Bump, 2005)"},"properties":{"noteIndex":0},"schema":"https://github.com/citation-style-language/schema/raw/master/csl-citation.json"}</w:instrText>
            </w:r>
            <w:r w:rsidRPr="006A1EC7">
              <w:rPr>
                <w:sz w:val="18"/>
                <w:szCs w:val="18"/>
              </w:rPr>
              <w:fldChar w:fldCharType="separate"/>
            </w:r>
            <w:r w:rsidRPr="006A1EC7">
              <w:rPr>
                <w:noProof/>
                <w:sz w:val="18"/>
                <w:szCs w:val="18"/>
              </w:rPr>
              <w:t>(Barber, Walters, &amp; Bump, 2005)</w:t>
            </w:r>
            <w:r w:rsidRPr="006A1EC7">
              <w:rPr>
                <w:sz w:val="18"/>
                <w:szCs w:val="18"/>
              </w:rPr>
              <w:fldChar w:fldCharType="end"/>
            </w:r>
          </w:p>
          <w:p w14:paraId="6955DBF2"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European Organization for Research and Treatment of Cancer’s Quality of Life Questionnaire (EORTC QLQ C-30)</w:t>
            </w:r>
          </w:p>
        </w:tc>
      </w:tr>
      <w:tr w:rsidR="00C77145" w:rsidRPr="006A1EC7" w14:paraId="32E80CF0" w14:textId="77777777" w:rsidTr="00DF2F14">
        <w:tc>
          <w:tcPr>
            <w:cnfStyle w:val="001000000000" w:firstRow="0" w:lastRow="0" w:firstColumn="1" w:lastColumn="0" w:oddVBand="0" w:evenVBand="0" w:oddHBand="0" w:evenHBand="0" w:firstRowFirstColumn="0" w:firstRowLastColumn="0" w:lastRowFirstColumn="0" w:lastRowLastColumn="0"/>
            <w:tcW w:w="825" w:type="pct"/>
          </w:tcPr>
          <w:p w14:paraId="44DE2D70" w14:textId="77777777" w:rsidR="00C77145" w:rsidRPr="006A1EC7" w:rsidRDefault="00C77145" w:rsidP="00D13545">
            <w:pPr>
              <w:rPr>
                <w:sz w:val="18"/>
                <w:szCs w:val="18"/>
              </w:rPr>
            </w:pPr>
            <w:r w:rsidRPr="006A1EC7">
              <w:rPr>
                <w:sz w:val="18"/>
                <w:szCs w:val="18"/>
              </w:rPr>
              <w:t>Observer-reported outcome measures (ObSRO)</w:t>
            </w:r>
          </w:p>
        </w:tc>
        <w:tc>
          <w:tcPr>
            <w:tcW w:w="1201" w:type="pct"/>
          </w:tcPr>
          <w:p w14:paraId="1A81E859" w14:textId="3C00E88D"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Provision of information about HRQoL and functioning by third-party when patient unable to do so (e.g. as result of young age, cognitive deficits or patient unavailability) </w:t>
            </w:r>
            <w:r w:rsidRPr="006A1EC7">
              <w:rPr>
                <w:sz w:val="18"/>
                <w:szCs w:val="18"/>
              </w:rPr>
              <w:fldChar w:fldCharType="begin" w:fldLock="1"/>
            </w:r>
            <w:r w:rsidRPr="006A1EC7">
              <w:rPr>
                <w:sz w:val="18"/>
                <w:szCs w:val="18"/>
              </w:rPr>
              <w:instrText>ADDIN CSL_CITATION {"citationItems":[{"id":"ITEM-1","itemData":{"DOI":"10.1186/s41687-018-0034-9","ISSN":"2509-8020","abstract":"Background: Respiratory syncytial virus (RSV) is a seasonal infection affecting most children by 2 years of age and the leading cause of lower respiratory tract infection requiring hospitalization in infants. Novel antiviral medications are in development to improve the clinical outcomes of RSV; however, no clinical outcome assessments (COAs) for RSV have been developed in alignment with the United States Food and Drug Administration patient-reported outcome guidance to assist in the evaluation of new therapies. To address this need, an observer-reported outcome (ObsRO) measure designed to assess observable RSV symptoms was created., Methods: The literature was reviewed to evaluate existing COAs and identify constructs of interest. Individual caregiver interviews elicited concepts that informed item development, and candidate items were subsequently evaluated in two rounds of cognitive testing. Separate cohorts of caregivers of RSV-infected nonhospitalized and hospitalized infants participated. Therapeutic-area experts provided input throughout the instrument development process., Results: Caregivers of 39 children &lt;24 months old with RSV (31 nonhospitalized, 8 hospitalized) participated in in-depth, individual interviews during concept elicitation and cognitive debriefing, resulting in 21 concepts identified as potentially observable and relevant to young children with RSV. The item pool was reduced to 12 cardinal symptoms and behavior impacts reported to be directly observable by caregivers, with 10 daytime and 9 nighttime symptoms to capture diurnal variation in severity., Conclusions: The RSV Caregiver Diary assesses RSV symptom severity and change from the parent or caregiver perspective in a standardized manner to measure treatment benefit. Following psychometric evaluation and refinement, this tool is expected to be suitable for assisting in the clinical development of RSV therapeutics.","author":[{"dropping-particle":"","family":"Lewis","given":"Sandy","non-dropping-particle":"","parse-names":false,"suffix":""},{"dropping-particle":"","family":"DeMuro","given":"Carla","non-dropping-particle":"","parse-names":false,"suffix":""},{"dropping-particle":"","family":"Block","given":"Stan L","non-dropping-particle":"","parse-names":false,"suffix":""},{"dropping-particle":"","family":"Senders","given":"Shelly","non-dropping-particle":"","parse-names":false,"suffix":""},{"dropping-particle":"","family":"Wisman","given":"Paul","non-dropping-particle":"","parse-names":false,"suffix":""},{"dropping-particle":"","family":"Toback","given":"Seth","non-dropping-particle":"","parse-names":false,"suffix":""},{"dropping-particle":"","family":"Chien","given":"Jason W","non-dropping-particle":"","parse-names":false,"suffix":""},{"dropping-particle":"","family":"Williams","given":"Valerie","non-dropping-particle":"","parse-names":false,"suffix":""}],"container-title":"Journal of patient-reported outcomes","id":"ITEM-1","issue":"1","issued":{"date-parts":[["2017"]]},"page":"9","publisher":"Journal of Patient-Reported Outcomes","title":"Development of a novel observer-reported outcome measure for the assessment of Respiratory Syncytial Virus (RSV) infection symptoms in pediatric clinical trials.","type":"article-journal","volume":"2"},"uris":["http://www.mendeley.com/documents/?uuid=f14c929f-98c8-42d1-a590-961e847e0ce8"]}],"mendeley":{"formattedCitation":"(Lewis et al., 2017)","plainTextFormattedCitation":"(Lewis et al., 2017)","previouslyFormattedCitation":"(Lewis et al., 2017)"},"properties":{"noteIndex":0},"schema":"https://github.com/citation-style-language/schema/raw/master/csl-citation.json"}</w:instrText>
            </w:r>
            <w:r w:rsidRPr="006A1EC7">
              <w:rPr>
                <w:sz w:val="18"/>
                <w:szCs w:val="18"/>
              </w:rPr>
              <w:fldChar w:fldCharType="separate"/>
            </w:r>
            <w:r w:rsidRPr="006A1EC7">
              <w:rPr>
                <w:noProof/>
                <w:sz w:val="18"/>
                <w:szCs w:val="18"/>
              </w:rPr>
              <w:t>(Lewis et al., 2017)</w:t>
            </w:r>
            <w:r w:rsidRPr="006A1EC7">
              <w:rPr>
                <w:sz w:val="18"/>
                <w:szCs w:val="18"/>
              </w:rPr>
              <w:fldChar w:fldCharType="end"/>
            </w:r>
            <w:r w:rsidRPr="006A1EC7">
              <w:rPr>
                <w:sz w:val="18"/>
                <w:szCs w:val="18"/>
              </w:rPr>
              <w:t xml:space="preserve"> </w:t>
            </w:r>
          </w:p>
        </w:tc>
        <w:tc>
          <w:tcPr>
            <w:tcW w:w="907" w:type="pct"/>
          </w:tcPr>
          <w:p w14:paraId="04BB5CD4"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Relatively easy to obtain this data; multiple sources </w:t>
            </w:r>
            <w:r w:rsidRPr="006A1EC7">
              <w:rPr>
                <w:sz w:val="18"/>
                <w:szCs w:val="18"/>
              </w:rPr>
              <w:fldChar w:fldCharType="begin" w:fldLock="1"/>
            </w:r>
            <w:r w:rsidRPr="006A1EC7">
              <w:rPr>
                <w:sz w:val="18"/>
                <w:szCs w:val="18"/>
              </w:rPr>
              <w:instrText>ADDIN CSL_CITATION {"citationItems":[{"id":"ITEM-1","itemData":{"DOI":"10.1186/s41687-018-0034-9","ISSN":"2509-8020","abstract":"Background: Respiratory syncytial virus (RSV) is a seasonal infection affecting most children by 2 years of age and the leading cause of lower respiratory tract infection requiring hospitalization in infants. Novel antiviral medications are in development to improve the clinical outcomes of RSV; however, no clinical outcome assessments (COAs) for RSV have been developed in alignment with the United States Food and Drug Administration patient-reported outcome guidance to assist in the evaluation of new therapies. To address this need, an observer-reported outcome (ObsRO) measure designed to assess observable RSV symptoms was created., Methods: The literature was reviewed to evaluate existing COAs and identify constructs of interest. Individual caregiver interviews elicited concepts that informed item development, and candidate items were subsequently evaluated in two rounds of cognitive testing. Separate cohorts of caregivers of RSV-infected nonhospitalized and hospitalized infants participated. Therapeutic-area experts provided input throughout the instrument development process., Results: Caregivers of 39 children &lt;24 months old with RSV (31 nonhospitalized, 8 hospitalized) participated in in-depth, individual interviews during concept elicitation and cognitive debriefing, resulting in 21 concepts identified as potentially observable and relevant to young children with RSV. The item pool was reduced to 12 cardinal symptoms and behavior impacts reported to be directly observable by caregivers, with 10 daytime and 9 nighttime symptoms to capture diurnal variation in severity., Conclusions: The RSV Caregiver Diary assesses RSV symptom severity and change from the parent or caregiver perspective in a standardized manner to measure treatment benefit. Following psychometric evaluation and refinement, this tool is expected to be suitable for assisting in the clinical development of RSV therapeutics.","author":[{"dropping-particle":"","family":"Lewis","given":"Sandy","non-dropping-particle":"","parse-names":false,"suffix":""},{"dropping-particle":"","family":"DeMuro","given":"Carla","non-dropping-particle":"","parse-names":false,"suffix":""},{"dropping-particle":"","family":"Block","given":"Stan L","non-dropping-particle":"","parse-names":false,"suffix":""},{"dropping-particle":"","family":"Senders","given":"Shelly","non-dropping-particle":"","parse-names":false,"suffix":""},{"dropping-particle":"","family":"Wisman","given":"Paul","non-dropping-particle":"","parse-names":false,"suffix":""},{"dropping-particle":"","family":"Toback","given":"Seth","non-dropping-particle":"","parse-names":false,"suffix":""},{"dropping-particle":"","family":"Chien","given":"Jason W","non-dropping-particle":"","parse-names":false,"suffix":""},{"dropping-particle":"","family":"Williams","given":"Valerie","non-dropping-particle":"","parse-names":false,"suffix":""}],"container-title":"Journal of patient-reported outcomes","id":"ITEM-1","issue":"1","issued":{"date-parts":[["2017"]]},"page":"9","publisher":"Journal of Patient-Reported Outcomes","title":"Development of a novel observer-reported outcome measure for the assessment of Respiratory Syncytial Virus (RSV) infection symptoms in pediatric clinical trials.","type":"article-journal","volume":"2"},"uris":["http://www.mendeley.com/documents/?uuid=f14c929f-98c8-42d1-a590-961e847e0ce8"]}],"mendeley":{"formattedCitation":"(Lewis et al., 2017)","plainTextFormattedCitation":"(Lewis et al., 2017)","previouslyFormattedCitation":"(Lewis et al., 2017)"},"properties":{"noteIndex":0},"schema":"https://github.com/citation-style-language/schema/raw/master/csl-citation.json"}</w:instrText>
            </w:r>
            <w:r w:rsidRPr="006A1EC7">
              <w:rPr>
                <w:sz w:val="18"/>
                <w:szCs w:val="18"/>
              </w:rPr>
              <w:fldChar w:fldCharType="separate"/>
            </w:r>
            <w:r w:rsidRPr="006A1EC7">
              <w:rPr>
                <w:noProof/>
                <w:sz w:val="18"/>
                <w:szCs w:val="18"/>
              </w:rPr>
              <w:t>(Lewis et al., 2017)</w:t>
            </w:r>
            <w:r w:rsidRPr="006A1EC7">
              <w:rPr>
                <w:sz w:val="18"/>
                <w:szCs w:val="18"/>
              </w:rPr>
              <w:fldChar w:fldCharType="end"/>
            </w:r>
          </w:p>
        </w:tc>
        <w:tc>
          <w:tcPr>
            <w:tcW w:w="1092" w:type="pct"/>
          </w:tcPr>
          <w:p w14:paraId="22E4D0DD"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Dependent on characteristics of observer (i.e. health literacy, relationship to patient/participant &amp; involvement) </w:t>
            </w:r>
            <w:r w:rsidRPr="006A1EC7">
              <w:rPr>
                <w:sz w:val="18"/>
                <w:szCs w:val="18"/>
              </w:rPr>
              <w:fldChar w:fldCharType="begin" w:fldLock="1"/>
            </w:r>
            <w:r w:rsidRPr="006A1EC7">
              <w:rPr>
                <w:sz w:val="18"/>
                <w:szCs w:val="18"/>
              </w:rPr>
              <w:instrText>ADDIN CSL_CITATION {"citationItems":[{"id":"ITEM-1","itemData":{"DOI":"10.5014/ajot.2013.006015","ISBN":"02729490","ISSN":"02729490","PMID":"23433270","abstract":"Selecting an appropriate outcome measure is a critical step in designing valid and useful clinical trials and outcome studies. This selection process needs to extend beyond examining basic psychometric properties to consider additional features of instruments that may affect their validity and utility for the study's purpose. This article discusses these additional factors and their potential impact on outcome measurement. Guidelines are proposed to help clinical researchers and consumers of clinical research literature evaluate the match between the study purpose, population, and instrument.","author":[{"dropping-particle":"","family":"Coster","given":"Wendy J.","non-dropping-particle":"","parse-names":false,"suffix":""}],"container-title":"American Journal of Occupational Therapy","id":"ITEM-1","issue":"2","issued":{"date-parts":[["2013"]]},"page":"162-170","title":"Making the best match: Selecting outcome measures for clinical trials and outcome studies","type":"article-journal","volume":"67"},"uris":["http://www.mendeley.com/documents/?uuid=712ea64a-be77-44e8-9afd-5e1856065fe8"]}],"mendeley":{"formattedCitation":"(Coster, 2013)","plainTextFormattedCitation":"(Coster, 2013)","previouslyFormattedCitation":"(Coster, 2013)"},"properties":{"noteIndex":0},"schema":"https://github.com/citation-style-language/schema/raw/master/csl-citation.json"}</w:instrText>
            </w:r>
            <w:r w:rsidRPr="006A1EC7">
              <w:rPr>
                <w:sz w:val="18"/>
                <w:szCs w:val="18"/>
              </w:rPr>
              <w:fldChar w:fldCharType="separate"/>
            </w:r>
            <w:r w:rsidRPr="006A1EC7">
              <w:rPr>
                <w:noProof/>
                <w:sz w:val="18"/>
                <w:szCs w:val="18"/>
              </w:rPr>
              <w:t>(Coster, 2013)</w:t>
            </w:r>
            <w:r w:rsidRPr="006A1EC7">
              <w:rPr>
                <w:sz w:val="18"/>
                <w:szCs w:val="18"/>
              </w:rPr>
              <w:fldChar w:fldCharType="end"/>
            </w:r>
          </w:p>
        </w:tc>
        <w:tc>
          <w:tcPr>
            <w:tcW w:w="975" w:type="pct"/>
          </w:tcPr>
          <w:p w14:paraId="3F2D6954"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TAPQOL </w:t>
            </w:r>
            <w:r w:rsidRPr="006A1EC7">
              <w:rPr>
                <w:sz w:val="18"/>
                <w:szCs w:val="18"/>
              </w:rPr>
              <w:fldChar w:fldCharType="begin" w:fldLock="1"/>
            </w:r>
            <w:r w:rsidRPr="006A1EC7">
              <w:rPr>
                <w:sz w:val="18"/>
                <w:szCs w:val="18"/>
              </w:rPr>
              <w:instrText>ADDIN CSL_CITATION {"citationItems":[{"id":"ITEM-1","itemData":{"DOI":"10.1136/adc.2003.048645","ISBN":"1468-2044 (Electronic)\\r0003-9888 (Linking)","ISSN":"00039888","PMID":"15781921","abstract":"BACKGROUND: In addition to clinical measures in the evaluation of paediatric interventions, health related quality of life (HRQoL) is an important outcome. The TAPQOL (TNO-AZL Preschool children Quality of Life) was developed to measure HRQoL in preschool children. It is a generic instrument consisting of 12 scales that cover the domains physical, social, cognitive, and emotional functioning. AIMS: To evaluate the feasibility, score distribution, internal consistency, test-retest reliability, and discriminative and concurrent validity of the TAPQOL multi-item scales in preschool children, aged 2-48 months. Also to evaluate the feasibility, reliability, and validity separately for infants (2-12 months old) and toddlers (12-48 months old). METHODS: Parents of a random general population sample of 500 preschool children were sent a questionnaire by mail. A random subgroup of 159 parents who participated received a retest after two weeks. RESULTS: The response rate was 83% at the test and 75% at the retest. There were few missing answers. Six scales showed ceiling effects. Nine scales had Cronbach's alphas &gt;0.70. In general, score distributions and Cronbach's alphas were comparable for infants and toddlers. Test-retest showed no significant differences in mean scale scores; two scales had intra-class correlations &lt;0.50. Five scales showed significant differences between children with no conditions versus children with two or more parent reported chronic conditions. CONCLUSION: Results showed that the TAPQOL is a feasible instrument to measure HRQoL and support the reliability and discriminative validity of the majority of its scales for infants as well as toddlers.","author":[{"dropping-particle":"","family":"Bunge","given":"E. M.","non-dropping-particle":"","parse-names":false,"suffix":""},{"dropping-particle":"","family":"Essink-Bot","given":"M. L.","non-dropping-particle":"","parse-names":false,"suffix":""},{"dropping-particle":"","family":"Kobussen","given":"M. P.H.M.","non-dropping-particle":"","parse-names":false,"suffix":""},{"dropping-particle":"","family":"Suijlekom-Smit","given":"L. W.A.","non-dropping-particle":"Van","parse-names":false,"suffix":""},{"dropping-particle":"","family":"Moll","given":"H. A.","non-dropping-particle":"","parse-names":false,"suffix":""},{"dropping-particle":"","family":"Raat","given":"H.","non-dropping-particle":"","parse-names":false,"suffix":""}],"container-title":"Archives of Disease in Childhood","id":"ITEM-1","issue":"4","issued":{"date-parts":[["2005"]]},"page":"351-358","title":"Reliability and validity of health status measurement by the TAPQOL","type":"article-journal","volume":"90"},"uris":["http://www.mendeley.com/documents/?uuid=b5a76e76-4305-4fc0-878d-e2203e07b355"]}],"mendeley":{"formattedCitation":"(Bunge et al., 2005)","plainTextFormattedCitation":"(Bunge et al., 2005)","previouslyFormattedCitation":"(Bunge et al., 2005)"},"properties":{"noteIndex":0},"schema":"https://github.com/citation-style-language/schema/raw/master/csl-citation.json"}</w:instrText>
            </w:r>
            <w:r w:rsidRPr="006A1EC7">
              <w:rPr>
                <w:sz w:val="18"/>
                <w:szCs w:val="18"/>
              </w:rPr>
              <w:fldChar w:fldCharType="separate"/>
            </w:r>
            <w:r w:rsidRPr="006A1EC7">
              <w:rPr>
                <w:noProof/>
                <w:sz w:val="18"/>
                <w:szCs w:val="18"/>
              </w:rPr>
              <w:t>(Bunge et al., 2005)</w:t>
            </w:r>
            <w:r w:rsidRPr="006A1EC7">
              <w:rPr>
                <w:sz w:val="18"/>
                <w:szCs w:val="18"/>
              </w:rPr>
              <w:fldChar w:fldCharType="end"/>
            </w:r>
          </w:p>
          <w:p w14:paraId="4C2E9A73"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RSV Caregiver Diary </w:t>
            </w:r>
            <w:r w:rsidRPr="006A1EC7">
              <w:rPr>
                <w:color w:val="111111"/>
                <w:sz w:val="18"/>
                <w:szCs w:val="18"/>
              </w:rPr>
              <w:fldChar w:fldCharType="begin" w:fldLock="1"/>
            </w:r>
            <w:r w:rsidRPr="006A1EC7">
              <w:rPr>
                <w:color w:val="111111"/>
                <w:sz w:val="18"/>
                <w:szCs w:val="18"/>
              </w:rPr>
              <w:instrText>ADDIN CSL_CITATION {"citationItems":[{"id":"ITEM-1","itemData":{"DOI":"10.1186/s41687-018-0034-9","ISSN":"2509-8020","abstract":"Background: Respiratory syncytial virus (RSV) is a seasonal infection affecting most children by 2 years of age and the leading cause of lower respiratory tract infection requiring hospitalization in infants. Novel antiviral medications are in development to improve the clinical outcomes of RSV; however, no clinical outcome assessments (COAs) for RSV have been developed in alignment with the United States Food and Drug Administration patient-reported outcome guidance to assist in the evaluation of new therapies. To address this need, an observer-reported outcome (ObsRO) measure designed to assess observable RSV symptoms was created., Methods: The literature was reviewed to evaluate existing COAs and identify constructs of interest. Individual caregiver interviews elicited concepts that informed item development, and candidate items were subsequently evaluated in two rounds of cognitive testing. Separate cohorts of caregivers of RSV-infected nonhospitalized and hospitalized infants participated. Therapeutic-area experts provided input throughout the instrument development process., Results: Caregivers of 39 children &lt;24 months old with RSV (31 nonhospitalized, 8 hospitalized) participated in in-depth, individual interviews during concept elicitation and cognitive debriefing, resulting in 21 concepts identified as potentially observable and relevant to young children with RSV. The item pool was reduced to 12 cardinal symptoms and behavior impacts reported to be directly observable by caregivers, with 10 daytime and 9 nighttime symptoms to capture diurnal variation in severity., Conclusions: The RSV Caregiver Diary assesses RSV symptom severity and change from the parent or caregiver perspective in a standardized manner to measure treatment benefit. Following psychometric evaluation and refinement, this tool is expected to be suitable for assisting in the clinical development of RSV therapeutics.","author":[{"dropping-particle":"","family":"Lewis","given":"Sandy","non-dropping-particle":"","parse-names":false,"suffix":""},{"dropping-particle":"","family":"DeMuro","given":"Carla","non-dropping-particle":"","parse-names":false,"suffix":""},{"dropping-particle":"","family":"Block","given":"Stan L","non-dropping-particle":"","parse-names":false,"suffix":""},{"dropping-particle":"","family":"Senders","given":"Shelly","non-dropping-particle":"","parse-names":false,"suffix":""},{"dropping-particle":"","family":"Wisman","given":"Paul","non-dropping-particle":"","parse-names":false,"suffix":""},{"dropping-particle":"","family":"Toback","given":"Seth","non-dropping-particle":"","parse-names":false,"suffix":""},{"dropping-particle":"","family":"Chien","given":"Jason W","non-dropping-particle":"","parse-names":false,"suffix":""},{"dropping-particle":"","family":"Williams","given":"Valerie","non-dropping-particle":"","parse-names":false,"suffix":""}],"container-title":"Journal of patient-reported outcomes","id":"ITEM-1","issue":"1","issued":{"date-parts":[["2017"]]},"page":"9","publisher":"Journal of Patient-Reported Outcomes","title":"Development of a novel observer-reported outcome measure for the assessment of Respiratory Syncytial Virus (RSV) infection symptoms in pediatric clinical trials.","type":"article-journal","volume":"2"},"uris":["http://www.mendeley.com/documents/?uuid=f14c929f-98c8-42d1-a590-961e847e0ce8"]}],"mendeley":{"formattedCitation":"(Lewis et al., 2017)","plainTextFormattedCitation":"(Lewis et al., 2017)","previouslyFormattedCitation":"(Lewis et al., 2017)"},"properties":{"noteIndex":0},"schema":"https://github.com/citation-style-language/schema/raw/master/csl-citation.json"}</w:instrText>
            </w:r>
            <w:r w:rsidRPr="006A1EC7">
              <w:rPr>
                <w:color w:val="111111"/>
                <w:sz w:val="18"/>
                <w:szCs w:val="18"/>
              </w:rPr>
              <w:fldChar w:fldCharType="separate"/>
            </w:r>
            <w:r w:rsidRPr="006A1EC7">
              <w:rPr>
                <w:noProof/>
                <w:color w:val="111111"/>
                <w:sz w:val="18"/>
                <w:szCs w:val="18"/>
              </w:rPr>
              <w:t>(Lewis et al., 2017)</w:t>
            </w:r>
            <w:r w:rsidRPr="006A1EC7">
              <w:rPr>
                <w:color w:val="111111"/>
                <w:sz w:val="18"/>
                <w:szCs w:val="18"/>
              </w:rPr>
              <w:fldChar w:fldCharType="end"/>
            </w:r>
          </w:p>
        </w:tc>
      </w:tr>
      <w:tr w:rsidR="00C77145" w:rsidRPr="006A1EC7" w14:paraId="12FD94DB" w14:textId="77777777" w:rsidTr="00DF2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0B4520E4" w14:textId="77777777" w:rsidR="00C77145" w:rsidRPr="006A1EC7" w:rsidRDefault="00C77145" w:rsidP="00D13545">
            <w:pPr>
              <w:rPr>
                <w:sz w:val="18"/>
                <w:szCs w:val="18"/>
              </w:rPr>
            </w:pPr>
            <w:r w:rsidRPr="006A1EC7">
              <w:rPr>
                <w:sz w:val="18"/>
                <w:szCs w:val="18"/>
              </w:rPr>
              <w:t>Clinician-reported outcome measures (ClinRO)</w:t>
            </w:r>
          </w:p>
        </w:tc>
        <w:tc>
          <w:tcPr>
            <w:tcW w:w="1201" w:type="pct"/>
          </w:tcPr>
          <w:p w14:paraId="760B8C2A"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Trained medical professional rates aspects of a patient’s life, such as HRQoL, functioning.</w:t>
            </w:r>
            <w:r w:rsidRPr="006A1EC7">
              <w:rPr>
                <w:sz w:val="18"/>
                <w:szCs w:val="18"/>
              </w:rPr>
              <w:fldChar w:fldCharType="begin" w:fldLock="1"/>
            </w:r>
            <w:r w:rsidRPr="006A1EC7">
              <w:rPr>
                <w:sz w:val="18"/>
                <w:szCs w:val="18"/>
              </w:rPr>
              <w:instrText>ADDIN CSL_CITATION {"citationItems":[{"id":"ITEM-1","itemData":{"author":[{"dropping-particle":"","family":"Iii","given":"John H Powers","non-dropping-particle":"","parse-names":false,"suffix":""},{"dropping-particle":"","family":"Fidsa","given":"Facp","non-dropping-particle":"","parse-names":false,"suffix":""},{"dropping-particle":"","family":"Patrick","given":"Donald L","non-dropping-particle":"","parse-names":false,"suffix":""},{"dropping-particle":"","family":"Walton","given":"Marc","non-dropping-particle":"","parse-names":false,"suffix":""},{"dropping-particle":"","family":"Cano","given":"Stefan","non-dropping-particle":"","parse-names":false,"suffix":""},{"dropping-particle":"","family":"Hobart","given":"Jeremy","non-dropping-particle":"","parse-names":false,"suffix":""},{"dropping-particle":"","family":"Isaac","given":"Maria","non-dropping-particle":"","parse-names":false,"suffix":""},{"dropping-particle":"","family":"Vamvakas","given":"Spiros","non-dropping-particle":"","parse-names":false,"suffix":""},{"dropping-particle":"","family":"Slagle","given":"Ashley","non-dropping-particle":"","parse-names":false,"suffix":""},{"dropping-particle":"","family":"Molsen","given":"Elizabeth","non-dropping-particle":"","parse-names":false,"suffix":""},{"dropping-particle":"","family":"Burke","given":"Laurie B","non-dropping-particle":"","parse-names":false,"suffix":""}],"id":"ITEM-1","issued":{"date-parts":[["0"]]},"page":"1-27","title":"Clinician Reported Outcome (ClinRO) Assessments of Treatment Benefit: Report of the ISPOR Clinical Outcome Assessment Emerging Good Practices Task Force","type":"article-journal"},"uris":["http://www.mendeley.com/documents/?uuid=e731ba43-64f9-490f-83b3-417e5aa43105"]}],"mendeley":{"formattedCitation":"(Iii et al., n.d.)","manualFormatting":"(Powers et al., n.d.)","plainTextFormattedCitation":"(Iii et al., n.d.)","previouslyFormattedCitation":"(Iii et al., n.d.)"},"properties":{"noteIndex":0},"schema":"https://github.com/citation-style-language/schema/raw/master/csl-citation.json"}</w:instrText>
            </w:r>
            <w:r w:rsidRPr="006A1EC7">
              <w:rPr>
                <w:sz w:val="18"/>
                <w:szCs w:val="18"/>
              </w:rPr>
              <w:fldChar w:fldCharType="separate"/>
            </w:r>
            <w:r w:rsidRPr="006A1EC7">
              <w:rPr>
                <w:noProof/>
                <w:sz w:val="18"/>
                <w:szCs w:val="18"/>
              </w:rPr>
              <w:t>(Powers et al., n.d.)</w:t>
            </w:r>
            <w:r w:rsidRPr="006A1EC7">
              <w:rPr>
                <w:sz w:val="18"/>
                <w:szCs w:val="18"/>
              </w:rPr>
              <w:fldChar w:fldCharType="end"/>
            </w:r>
            <w:r w:rsidRPr="006A1EC7">
              <w:rPr>
                <w:sz w:val="18"/>
                <w:szCs w:val="18"/>
              </w:rPr>
              <w:t xml:space="preserve"> </w:t>
            </w:r>
          </w:p>
        </w:tc>
        <w:tc>
          <w:tcPr>
            <w:tcW w:w="907" w:type="pct"/>
          </w:tcPr>
          <w:p w14:paraId="340D1015"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Tailored for specific patient group</w:t>
            </w:r>
          </w:p>
        </w:tc>
        <w:tc>
          <w:tcPr>
            <w:tcW w:w="1092" w:type="pct"/>
          </w:tcPr>
          <w:p w14:paraId="742ED3F6"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Requires medically trained professional </w:t>
            </w:r>
          </w:p>
        </w:tc>
        <w:tc>
          <w:tcPr>
            <w:tcW w:w="975" w:type="pct"/>
          </w:tcPr>
          <w:p w14:paraId="43867882"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Unified Wolfram Disease </w:t>
            </w:r>
            <w:r w:rsidRPr="006A1EC7">
              <w:rPr>
                <w:sz w:val="18"/>
                <w:szCs w:val="18"/>
              </w:rPr>
              <w:fldChar w:fldCharType="begin" w:fldLock="1"/>
            </w:r>
            <w:r w:rsidRPr="006A1EC7">
              <w:rPr>
                <w:sz w:val="18"/>
                <w:szCs w:val="18"/>
              </w:rPr>
              <w:instrText>ADDIN CSL_CITATION {"citationItems":[{"id":"ITEM-1","itemData":{"DOI":"10.1186/1750-1172-7-89","ISBN":"1750-1172","ISSN":"1750-1172","PMID":"23148655","abstract":"BACKGROUND Wolfram syndrome (WFS) is a rare, neurodegenerative disease that typically presents with childhood onset insulin dependent diabetes mellitus, followed by optic atrophy, diabetes insipidus, deafness, and neurological and psychiatric dysfunction. There is no cure for the disease, but recent advances in research have improved understanding of the disease course. Measuring disease severity and progression with reliable and validated tools is a prerequisite for clinical trials of any new intervention for neurodegenerative conditions. To this end, we developed the Wolfram Unified Rating Scale (WURS) to measure the severity and individual variability of WFS symptoms. The aim of this study is to develop and test the reliability and validity of the Wolfram Unified Rating Scale (WURS). METHODS A rating scale of disease severity in WFS was developed by modifying a standardized assessment for another neurodegenerative condition (Batten disease). WFS experts scored the representativeness of WURS items for the disease. The WURS was administered to 13 individuals with WFS (6-25 years of age). Motor, balance, mood and quality of life were also evaluated with standard instruments. Inter-rater reliability, internal consistency reliability, concurrent, predictive and content validity of the WURS were calculated. RESULTS The WURS had high inter-rater reliability (ICCs&gt;.93), moderate to high internal consistency reliability (Cronbach's α = 0.78-0.91) and demonstrated good concurrent and predictive validity. There were significant correlations between the WURS Physical Assessment and motor and balance tests (rs&gt;.67, p&lt;.03), between the WURS Behavioral Scale and reports of mood and behavior (rs&gt;.76, p&lt;.04) and between WURS Total scores and quality of life (rs=-.86, p=.001). The WURS demonstrated acceptable content validity (Scale-Content Validity Index=0.83). CONCLUSIONS These preliminary findings demonstrate that the WURS has acceptable reliability and validity and captures individual differences in disease severity in children and young adults with WFS.","author":[{"dropping-particle":"","family":"Nguyen","given":"Chau","non-dropping-particle":"","parse-names":false,"suffix":""},{"dropping-particle":"","family":"Foster","given":"Erin R","non-dropping-particle":"","parse-names":false,"suffix":""},{"dropping-particle":"","family":"Paciorkowski","given":"Alexander R","non-dropping-particle":"","parse-names":false,"suffix":""},{"dropping-particle":"","family":"Viehoever","given":"Amy","non-dropping-particle":"","parse-names":false,"suffix":""},{"dropping-particle":"","family":"Considine","given":"Colleen","non-dropping-particle":"","parse-names":false,"suffix":""},{"dropping-particle":"","family":"Bondurant","given":"Aidena","non-dropping-particle":"","parse-names":false,"suffix":""},{"dropping-particle":"","family":"Marshall","given":"Bess A","non-dropping-particle":"","parse-names":false,"suffix":""},{"dropping-particle":"","family":"Hershey","given":"Tamara","non-dropping-particle":"","parse-names":false,"suffix":""},{"dropping-particle":"","family":"Washington University Wolfram Study Group","given":"","non-dropping-particle":"","parse-names":false,"suffix":""}],"container-title":"Orphanet journal of rare diseases","id":"ITEM-1","issued":{"date-parts":[["2012"]]},"page":"89","title":"Reliability and validity of the Wolfram Unified Rating Scale (WURS).","type":"article-journal","volume":"7"},"uris":["http://www.mendeley.com/documents/?uuid=30b3ce8a-f45d-4852-b667-0a5c05dc2eeb"]}],"mendeley":{"formattedCitation":"(Nguyen et al., 2012)","plainTextFormattedCitation":"(Nguyen et al., 2012)","previouslyFormattedCitation":"(Nguyen et al., 2012)"},"properties":{"noteIndex":0},"schema":"https://github.com/citation-style-language/schema/raw/master/csl-citation.json"}</w:instrText>
            </w:r>
            <w:r w:rsidRPr="006A1EC7">
              <w:rPr>
                <w:sz w:val="18"/>
                <w:szCs w:val="18"/>
              </w:rPr>
              <w:fldChar w:fldCharType="separate"/>
            </w:r>
            <w:r w:rsidRPr="006A1EC7">
              <w:rPr>
                <w:noProof/>
                <w:sz w:val="18"/>
                <w:szCs w:val="18"/>
              </w:rPr>
              <w:t>(Nguyen et al., 2012)</w:t>
            </w:r>
            <w:r w:rsidRPr="006A1EC7">
              <w:rPr>
                <w:sz w:val="18"/>
                <w:szCs w:val="18"/>
              </w:rPr>
              <w:fldChar w:fldCharType="end"/>
            </w:r>
          </w:p>
          <w:p w14:paraId="18C9DBAF"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Medical Research Council Prion Disease Scale </w:t>
            </w:r>
            <w:r w:rsidRPr="006A1EC7">
              <w:rPr>
                <w:sz w:val="18"/>
                <w:szCs w:val="18"/>
              </w:rPr>
              <w:fldChar w:fldCharType="begin" w:fldLock="1"/>
            </w:r>
            <w:r w:rsidRPr="006A1EC7">
              <w:rPr>
                <w:sz w:val="18"/>
                <w:szCs w:val="18"/>
              </w:rPr>
              <w:instrText>ADDIN CSL_CITATION {"citationItems":[{"id":"ITEM-1","itemData":{"DOI":"10.1093/brain/awt048","ISBN":"1460-2156 (Electronic)\\r0006-8950 (Linking)","ISSN":"14602156","PMID":"23550114","abstract":"Progress in therapeutics for rare disorders like prion disease is impeded by the lack of validated outcome measures and a paucity of natural history data derived from prospective observational studies. The first analysis of the UK National Prion Monitoring Cohort involved 1337 scheduled clinical assessments and 479 telephone assessments in 437 participants over 373 patient-years of follow-up. Scale development has included semi-quantitative and qualitative carer interviews, item response modelling (Rasch analysis), inter-rater reliability testing, construct analysis and correlation with several existing scales. The proposed 20-point Medical Research Council Prion Disease Rating Scale assesses domains of cognitive function, speech, mobility, personal care/feeding and continence, according to their relative importance documented by carer interviews. It is quick and simple to administer, and has been validated for use by doctors and nurses and for use over the telephone, allowing for frequent assessments that capture the rapid change typical of these diseases. The Medical Research Council Scale correlates highly with widely used cognitive and single item scales, but has substantial advantages over these including minimal floor effects. Three clear patterns of decline were observed using the scale: fast linear decline, slow linear decline (usually inherited prion disease) and in some patients, decline followed by a prolonged preterminal plateau at very low functional levels. Rates of decline and progress through milestones measured using the scale vary between sporadic, acquired and inherited prion diseases following clinical expectations. We have developed and validated a new functionally-oriented outcome measure and propose that future clinical trials in prion disease should collect data compatible with this scale, to allow for combined and comparative analyses. Such approaches may be advantageous in orphan conditions, where single studies of feasible duration will often struggle to achieve statistical power.","author":[{"dropping-particle":"","family":"Thompson","given":"Andrew G.B. B","non-dropping-particle":"","parse-names":false,"suffix":""},{"dropping-particle":"","family":"Lowe","given":"Jessica","non-dropping-particle":"","parse-names":false,"suffix":""},{"dropping-particle":"","family":"Fox","given":"Zoe","non-dropping-particle":"","parse-names":false,"suffix":""},{"dropping-particle":"","family":"Lukic","given":"Ana","non-dropping-particle":"","parse-names":false,"suffix":""},{"dropping-particle":"","family":"Porter","given":"Marie Claire","non-dropping-particle":"","parse-names":false,"suffix":""},{"dropping-particle":"","family":"Ford","given":"Liz","non-dropping-particle":"","parse-names":false,"suffix":""},{"dropping-particle":"","family":"Gorham","given":"Michele","non-dropping-particle":"","parse-names":false,"suffix":""},{"dropping-particle":"","family":"Gopalakrishnan","given":"Gosala S.","non-dropping-particle":"","parse-names":false,"suffix":""},{"dropping-particle":"","family":"Rudge","given":"Peter","non-dropping-particle":"","parse-names":false,"suffix":""},{"dropping-particle":"","family":"Walker","given":"A. Sarah","non-dropping-particle":"","parse-names":false,"suffix":""},{"dropping-particle":"","family":"Collinge","given":"John","non-dropping-particle":"","parse-names":false,"suffix":""},{"dropping-particle":"","family":"Mead","given":"Simon","non-dropping-particle":"","parse-names":false,"suffix":""}],"container-title":"Brain","id":"ITEM-1","issue":"4","issued":{"date-parts":[["2013"]]},"page":"1116-1127","title":"The medical research council prion disease rating scale: A new outcome measure for prion disease therapeutic trials developed and validated using systematic observational studies","type":"article-journal","volume":"136"},"uris":["http://www.mendeley.com/documents/?uuid=3aabe36a-1ae9-4f82-8507-208c33376690"]}],"mendeley":{"formattedCitation":"(Thompson et al., 2013)","plainTextFormattedCitation":"(Thompson et al., 2013)","previouslyFormattedCitation":"(Thompson et al., 2013)"},"properties":{"noteIndex":0},"schema":"https://github.com/citation-style-language/schema/raw/master/csl-citation.json"}</w:instrText>
            </w:r>
            <w:r w:rsidRPr="006A1EC7">
              <w:rPr>
                <w:sz w:val="18"/>
                <w:szCs w:val="18"/>
              </w:rPr>
              <w:fldChar w:fldCharType="separate"/>
            </w:r>
            <w:r w:rsidRPr="006A1EC7">
              <w:rPr>
                <w:noProof/>
                <w:sz w:val="18"/>
                <w:szCs w:val="18"/>
              </w:rPr>
              <w:t>(Thompson et al., 2013)</w:t>
            </w:r>
            <w:r w:rsidRPr="006A1EC7">
              <w:rPr>
                <w:sz w:val="18"/>
                <w:szCs w:val="18"/>
              </w:rPr>
              <w:fldChar w:fldCharType="end"/>
            </w:r>
          </w:p>
        </w:tc>
      </w:tr>
      <w:tr w:rsidR="00C77145" w:rsidRPr="006A1EC7" w14:paraId="62094992" w14:textId="77777777" w:rsidTr="00DF2F14">
        <w:tc>
          <w:tcPr>
            <w:cnfStyle w:val="001000000000" w:firstRow="0" w:lastRow="0" w:firstColumn="1" w:lastColumn="0" w:oddVBand="0" w:evenVBand="0" w:oddHBand="0" w:evenHBand="0" w:firstRowFirstColumn="0" w:firstRowLastColumn="0" w:lastRowFirstColumn="0" w:lastRowLastColumn="0"/>
            <w:tcW w:w="825" w:type="pct"/>
          </w:tcPr>
          <w:p w14:paraId="25444597" w14:textId="77777777" w:rsidR="00C77145" w:rsidRPr="006A1EC7" w:rsidRDefault="00C77145" w:rsidP="00D13545">
            <w:pPr>
              <w:rPr>
                <w:sz w:val="18"/>
                <w:szCs w:val="18"/>
              </w:rPr>
            </w:pPr>
            <w:r w:rsidRPr="006A1EC7">
              <w:rPr>
                <w:sz w:val="18"/>
                <w:szCs w:val="18"/>
              </w:rPr>
              <w:t>Performance outcome (PerfO) measures</w:t>
            </w:r>
          </w:p>
        </w:tc>
        <w:tc>
          <w:tcPr>
            <w:tcW w:w="1201" w:type="pct"/>
          </w:tcPr>
          <w:p w14:paraId="472E75E4"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Assessment of individual’s capability to perform a certain task/collection of tasks </w:t>
            </w:r>
            <w:r w:rsidRPr="006A1EC7">
              <w:rPr>
                <w:sz w:val="18"/>
                <w:szCs w:val="18"/>
              </w:rPr>
              <w:fldChar w:fldCharType="begin" w:fldLock="1"/>
            </w:r>
            <w:r w:rsidRPr="006A1EC7">
              <w:rPr>
                <w:sz w:val="18"/>
                <w:szCs w:val="18"/>
              </w:rPr>
              <w:instrText>ADDIN CSL_CITATION {"citationItems":[{"id":"ITEM-1","itemData":{"DOI":"10.5014/ajot.2013.006015","ISBN":"02729490","ISSN":"02729490","PMID":"23433270","abstract":"Selecting an appropriate outcome measure is a critical step in designing valid and useful clinical trials and outcome studies. This selection process needs to extend beyond examining basic psychometric properties to consider additional features of instruments that may affect their validity and utility for the study's purpose. This article discusses these additional factors and their potential impact on outcome measurement. Guidelines are proposed to help clinical researchers and consumers of clinical research literature evaluate the match between the study purpose, population, and instrument.","author":[{"dropping-particle":"","family":"Coster","given":"Wendy J.","non-dropping-particle":"","parse-names":false,"suffix":""}],"container-title":"American Journal of Occupational Therapy","id":"ITEM-1","issue":"2","issued":{"date-parts":[["2013"]]},"page":"162-170","title":"Making the best match: Selecting outcome measures for clinical trials and outcome studies","type":"article-journal","volume":"67"},"uris":["http://www.mendeley.com/documents/?uuid=712ea64a-be77-44e8-9afd-5e1856065fe8"]}],"mendeley":{"formattedCitation":"(Coster, 2013)","plainTextFormattedCitation":"(Coster, 2013)","previouslyFormattedCitation":"(Coster, 2013)"},"properties":{"noteIndex":0},"schema":"https://github.com/citation-style-language/schema/raw/master/csl-citation.json"}</w:instrText>
            </w:r>
            <w:r w:rsidRPr="006A1EC7">
              <w:rPr>
                <w:sz w:val="18"/>
                <w:szCs w:val="18"/>
              </w:rPr>
              <w:fldChar w:fldCharType="separate"/>
            </w:r>
            <w:r w:rsidRPr="006A1EC7">
              <w:rPr>
                <w:noProof/>
                <w:sz w:val="18"/>
                <w:szCs w:val="18"/>
              </w:rPr>
              <w:t>(Coster, 2013)</w:t>
            </w:r>
            <w:r w:rsidRPr="006A1EC7">
              <w:rPr>
                <w:sz w:val="18"/>
                <w:szCs w:val="18"/>
              </w:rPr>
              <w:fldChar w:fldCharType="end"/>
            </w:r>
          </w:p>
        </w:tc>
        <w:tc>
          <w:tcPr>
            <w:tcW w:w="907" w:type="pct"/>
          </w:tcPr>
          <w:p w14:paraId="5C6D82F8"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Easy to administer in routine practice</w:t>
            </w:r>
          </w:p>
        </w:tc>
        <w:tc>
          <w:tcPr>
            <w:tcW w:w="1092" w:type="pct"/>
          </w:tcPr>
          <w:p w14:paraId="70464772"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Suitability to patient/participant group, i.e. ability to understand the task instructions- </w:t>
            </w:r>
            <w:r w:rsidRPr="006A1EC7">
              <w:rPr>
                <w:sz w:val="18"/>
                <w:szCs w:val="18"/>
              </w:rPr>
              <w:fldChar w:fldCharType="begin" w:fldLock="1"/>
            </w:r>
            <w:r w:rsidRPr="006A1EC7">
              <w:rPr>
                <w:sz w:val="18"/>
                <w:szCs w:val="18"/>
              </w:rPr>
              <w:instrText>ADDIN CSL_CITATION {"citationItems":[{"id":"ITEM-1","itemData":{"DOI":"10.5014/ajot.2013.006015","ISBN":"02729490","ISSN":"02729490","PMID":"23433270","abstract":"Selecting an appropriate outcome measure is a critical step in designing valid and useful clinical trials and outcome studies. This selection process needs to extend beyond examining basic psychometric properties to consider additional features of instruments that may affect their validity and utility for the study's purpose. This article discusses these additional factors and their potential impact on outcome measurement. Guidelines are proposed to help clinical researchers and consumers of clinical research literature evaluate the match between the study purpose, population, and instrument.","author":[{"dropping-particle":"","family":"Coster","given":"Wendy J.","non-dropping-particle":"","parse-names":false,"suffix":""}],"container-title":"American Journal of Occupational Therapy","id":"ITEM-1","issue":"2","issued":{"date-parts":[["2013"]]},"page":"162-170","title":"Making the best match: Selecting outcome measures for clinical trials and outcome studies","type":"article-journal","volume":"67"},"uris":["http://www.mendeley.com/documents/?uuid=712ea64a-be77-44e8-9afd-5e1856065fe8"]},{"id":"ITEM-2","itemData":{"author":[{"dropping-particle":"","family":"Hawkins","given":"Emily J","non-dropping-particle":"","parse-names":false,"suffix":""},{"dropping-particle":"","family":"Riddick","given":"William","non-dropping-particle":"","parse-names":false,"suffix":""}],"container-title":"Physical Therapy","id":"ITEM-2","issue":"12","issued":{"date-parts":[["2018"]]},"page":"1037-1045","title":"Reliability, Validity, and Responsiveness of Clinical Performance–Based Outcome Measures of Walking for Individuals With Lower Limb Amputations: A Systematic Revie","type":"article-journal","volume":"98"},"uris":["http://www.mendeley.com/documents/?uuid=f648def0-6182-4a0d-9fef-106bfdc7082a"]}],"mendeley":{"formattedCitation":"(Coster, 2013; Hawkins &amp; Riddick, 2018)","plainTextFormattedCitation":"(Coster, 2013; Hawkins &amp; Riddick, 2018)","previouslyFormattedCitation":"(Coster, 2013; Hawkins &amp; Riddick, 2018)"},"properties":{"noteIndex":0},"schema":"https://github.com/citation-style-language/schema/raw/master/csl-citation.json"}</w:instrText>
            </w:r>
            <w:r w:rsidRPr="006A1EC7">
              <w:rPr>
                <w:sz w:val="18"/>
                <w:szCs w:val="18"/>
              </w:rPr>
              <w:fldChar w:fldCharType="separate"/>
            </w:r>
            <w:r w:rsidRPr="006A1EC7">
              <w:rPr>
                <w:noProof/>
                <w:sz w:val="18"/>
                <w:szCs w:val="18"/>
              </w:rPr>
              <w:t>(Coster, 2013; Hawkins &amp; Riddick, 2018)</w:t>
            </w:r>
            <w:r w:rsidRPr="006A1EC7">
              <w:rPr>
                <w:sz w:val="18"/>
                <w:szCs w:val="18"/>
              </w:rPr>
              <w:fldChar w:fldCharType="end"/>
            </w:r>
          </w:p>
        </w:tc>
        <w:tc>
          <w:tcPr>
            <w:tcW w:w="975" w:type="pct"/>
          </w:tcPr>
          <w:p w14:paraId="532FDB12"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color w:val="000000"/>
                <w:sz w:val="18"/>
                <w:szCs w:val="18"/>
                <w:shd w:val="clear" w:color="auto" w:fill="FFFFFF"/>
              </w:rPr>
            </w:pPr>
            <w:r w:rsidRPr="006A1EC7">
              <w:rPr>
                <w:color w:val="000000"/>
                <w:sz w:val="18"/>
                <w:szCs w:val="18"/>
                <w:shd w:val="clear" w:color="auto" w:fill="FFFFFF"/>
              </w:rPr>
              <w:t xml:space="preserve">2-Minute Walk Test </w:t>
            </w:r>
            <w:r w:rsidRPr="006A1EC7">
              <w:rPr>
                <w:color w:val="000000"/>
                <w:sz w:val="18"/>
                <w:szCs w:val="18"/>
                <w:shd w:val="clear" w:color="auto" w:fill="FFFFFF"/>
              </w:rPr>
              <w:fldChar w:fldCharType="begin" w:fldLock="1"/>
            </w:r>
            <w:r w:rsidRPr="006A1EC7">
              <w:rPr>
                <w:color w:val="000000"/>
                <w:sz w:val="18"/>
                <w:szCs w:val="18"/>
                <w:shd w:val="clear" w:color="auto" w:fill="FFFFFF"/>
              </w:rPr>
              <w:instrText>ADDIN CSL_CITATION {"citationItems":[{"id":"ITEM-1","itemData":{"DOI":"10.1589/jpts.29.2224","ISSN":"0915-5287","PMID":"29643611","abstract":"[Purpose] This meta-analysis was undertaken to establish normative reference values for the two-minute walk test. [Methods] Three database searches and a hand search were conducted. Meta-analysis was used to consolidate two-minute walk test data stratified by gender and age group. [Results] Data from four articles was consolidated. Normative two-minute walk test distances varied from 150.3 m (women, 70 to 79 years) to 217.9 m (men, 20 to 29 tears). [Conclusion] Normative reference values derived using meta-analysis should provide a better standard than individual studies for interpreting the two-minute walk test performance of adults.","author":[{"dropping-particle":"","family":"Bohannon","given":"Richard W","non-dropping-particle":"","parse-names":false,"suffix":""}],"container-title":"Journal of Physical Therapy Science","id":"ITEM-1","issue":"12","issued":{"date-parts":[["2017"]]},"page":"2224-2227","title":"Normative reference values for the two-minute walk test derived by meta-analysis","type":"article-journal","volume":"29"},"uris":["http://www.mendeley.com/documents/?uuid=44270fe4-7a8c-4372-bd67-e19502202719"]}],"mendeley":{"formattedCitation":"(Bohannon, 2017)","plainTextFormattedCitation":"(Bohannon, 2017)","previouslyFormattedCitation":"(Bohannon, 2017)"},"properties":{"noteIndex":0},"schema":"https://github.com/citation-style-language/schema/raw/master/csl-citation.json"}</w:instrText>
            </w:r>
            <w:r w:rsidRPr="006A1EC7">
              <w:rPr>
                <w:color w:val="000000"/>
                <w:sz w:val="18"/>
                <w:szCs w:val="18"/>
                <w:shd w:val="clear" w:color="auto" w:fill="FFFFFF"/>
              </w:rPr>
              <w:fldChar w:fldCharType="separate"/>
            </w:r>
            <w:r w:rsidRPr="006A1EC7">
              <w:rPr>
                <w:noProof/>
                <w:color w:val="000000"/>
                <w:sz w:val="18"/>
                <w:szCs w:val="18"/>
                <w:shd w:val="clear" w:color="auto" w:fill="FFFFFF"/>
              </w:rPr>
              <w:t>(Bohannon, 2017)</w:t>
            </w:r>
            <w:r w:rsidRPr="006A1EC7">
              <w:rPr>
                <w:color w:val="000000"/>
                <w:sz w:val="18"/>
                <w:szCs w:val="18"/>
                <w:shd w:val="clear" w:color="auto" w:fill="FFFFFF"/>
              </w:rPr>
              <w:fldChar w:fldCharType="end"/>
            </w:r>
          </w:p>
          <w:p w14:paraId="6DF428B6"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color w:val="000000"/>
                <w:sz w:val="18"/>
                <w:szCs w:val="18"/>
                <w:shd w:val="clear" w:color="auto" w:fill="FFFFFF"/>
              </w:rPr>
              <w:t xml:space="preserve">Test of Grocery Shopping Skills </w:t>
            </w:r>
            <w:r w:rsidRPr="006A1EC7">
              <w:rPr>
                <w:color w:val="000000"/>
                <w:sz w:val="18"/>
                <w:szCs w:val="18"/>
                <w:shd w:val="clear" w:color="auto" w:fill="FFFFFF"/>
              </w:rPr>
              <w:fldChar w:fldCharType="begin" w:fldLock="1"/>
            </w:r>
            <w:r w:rsidRPr="006A1EC7">
              <w:rPr>
                <w:color w:val="000000"/>
                <w:sz w:val="18"/>
                <w:szCs w:val="18"/>
                <w:shd w:val="clear" w:color="auto" w:fill="FFFFFF"/>
              </w:rPr>
              <w:instrText>ADDIN CSL_CITATION {"citationItems":[{"id":"ITEM-1","itemData":{"author":[{"dropping-particle":"","family":"Hamera","given":"Edna","non-dropping-particle":"","parse-names":false,"suffix":""},{"dropping-particle":"","family":"Brown","given":"Catana E","non-dropping-particle":"","parse-names":false,"suffix":""}],"container-title":"American Journal of Occupational Therapy","id":"ITEM-1","issued":{"date-parts":[["2000"]]},"page":"20 - 25","title":"Developing a Context-Based Performance Measure for Persons with Schizophrenia: The Test of Grocery Shopping Skills","type":"article-journal","volume":"54"},"uris":["http://www.mendeley.com/documents/?uuid=601a3baf-2f83-4060-8c6e-ec1ae5338f2b"]}],"mendeley":{"formattedCitation":"(Hamera &amp; Brown, 2000)","plainTextFormattedCitation":"(Hamera &amp; Brown, 2000)","previouslyFormattedCitation":"(Hamera &amp; Brown, 2000)"},"properties":{"noteIndex":0},"schema":"https://github.com/citation-style-language/schema/raw/master/csl-citation.json"}</w:instrText>
            </w:r>
            <w:r w:rsidRPr="006A1EC7">
              <w:rPr>
                <w:color w:val="000000"/>
                <w:sz w:val="18"/>
                <w:szCs w:val="18"/>
                <w:shd w:val="clear" w:color="auto" w:fill="FFFFFF"/>
              </w:rPr>
              <w:fldChar w:fldCharType="separate"/>
            </w:r>
            <w:r w:rsidRPr="006A1EC7">
              <w:rPr>
                <w:noProof/>
                <w:color w:val="000000"/>
                <w:sz w:val="18"/>
                <w:szCs w:val="18"/>
                <w:shd w:val="clear" w:color="auto" w:fill="FFFFFF"/>
              </w:rPr>
              <w:t>(Hamera &amp; Brown, 2000)</w:t>
            </w:r>
            <w:r w:rsidRPr="006A1EC7">
              <w:rPr>
                <w:color w:val="000000"/>
                <w:sz w:val="18"/>
                <w:szCs w:val="18"/>
                <w:shd w:val="clear" w:color="auto" w:fill="FFFFFF"/>
              </w:rPr>
              <w:fldChar w:fldCharType="end"/>
            </w:r>
          </w:p>
          <w:p w14:paraId="4ACAD2E4"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p>
        </w:tc>
      </w:tr>
    </w:tbl>
    <w:p w14:paraId="6089FA07" w14:textId="77777777" w:rsidR="00A40374" w:rsidRPr="006A1EC7" w:rsidRDefault="00A40374" w:rsidP="00A40374">
      <w:pPr>
        <w:tabs>
          <w:tab w:val="left" w:pos="573"/>
        </w:tabs>
        <w:spacing w:line="360" w:lineRule="auto"/>
        <w:rPr>
          <w:i/>
          <w:iCs/>
          <w:color w:val="44546A" w:themeColor="text2"/>
          <w:sz w:val="18"/>
          <w:szCs w:val="18"/>
        </w:rPr>
      </w:pPr>
    </w:p>
    <w:p w14:paraId="7818A607" w14:textId="792AB513" w:rsidR="00065496" w:rsidRPr="006A1EC7" w:rsidRDefault="00065496" w:rsidP="00A40374">
      <w:pPr>
        <w:tabs>
          <w:tab w:val="left" w:pos="573"/>
        </w:tabs>
        <w:spacing w:line="360" w:lineRule="auto"/>
        <w:sectPr w:rsidR="00065496" w:rsidRPr="006A1EC7" w:rsidSect="006B5C59">
          <w:type w:val="nextColumn"/>
          <w:pgSz w:w="16840" w:h="11900" w:orient="landscape"/>
          <w:pgMar w:top="1440" w:right="1701" w:bottom="1440" w:left="1701" w:header="720" w:footer="720" w:gutter="0"/>
          <w:cols w:space="720"/>
          <w:docGrid w:linePitch="360"/>
        </w:sectPr>
      </w:pPr>
    </w:p>
    <w:p w14:paraId="4780EFD2" w14:textId="381328C2" w:rsidR="00960C82" w:rsidRPr="006A1EC7" w:rsidRDefault="00960C82" w:rsidP="00960C82">
      <w:pPr>
        <w:pStyle w:val="Heading3"/>
        <w:rPr>
          <w:rFonts w:ascii="Times New Roman" w:hAnsi="Times New Roman" w:cs="Times New Roman"/>
        </w:rPr>
      </w:pPr>
      <w:bookmarkStart w:id="52" w:name="_Toc40173027"/>
      <w:r w:rsidRPr="006A1EC7">
        <w:rPr>
          <w:rFonts w:ascii="Times New Roman" w:hAnsi="Times New Roman" w:cs="Times New Roman"/>
        </w:rPr>
        <w:lastRenderedPageBreak/>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2</w:t>
      </w:r>
      <w:r w:rsidRPr="006A1EC7">
        <w:rPr>
          <w:rFonts w:ascii="Times New Roman" w:hAnsi="Times New Roman" w:cs="Times New Roman"/>
        </w:rPr>
        <w:fldChar w:fldCharType="end"/>
      </w:r>
      <w:r w:rsidRPr="006A1EC7">
        <w:rPr>
          <w:rFonts w:ascii="Times New Roman" w:hAnsi="Times New Roman" w:cs="Times New Roman"/>
        </w:rPr>
        <w:t>: Further distinctions for Clinical Outcome Assessments</w:t>
      </w:r>
      <w:bookmarkEnd w:id="52"/>
    </w:p>
    <w:tbl>
      <w:tblPr>
        <w:tblStyle w:val="PlainTable4"/>
        <w:tblW w:w="13183" w:type="dxa"/>
        <w:tblLook w:val="04A0" w:firstRow="1" w:lastRow="0" w:firstColumn="1" w:lastColumn="0" w:noHBand="0" w:noVBand="1"/>
      </w:tblPr>
      <w:tblGrid>
        <w:gridCol w:w="2788"/>
        <w:gridCol w:w="2812"/>
        <w:gridCol w:w="2760"/>
        <w:gridCol w:w="2777"/>
        <w:gridCol w:w="2046"/>
      </w:tblGrid>
      <w:tr w:rsidR="00C77145" w:rsidRPr="006A1EC7" w14:paraId="3710DBA3" w14:textId="77777777" w:rsidTr="00D13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41EF09CA" w14:textId="77777777" w:rsidR="00C77145" w:rsidRPr="006A1EC7" w:rsidRDefault="00C77145" w:rsidP="00D13545">
            <w:pPr>
              <w:rPr>
                <w:sz w:val="18"/>
                <w:szCs w:val="18"/>
              </w:rPr>
            </w:pPr>
            <w:r w:rsidRPr="006A1EC7">
              <w:rPr>
                <w:sz w:val="18"/>
                <w:szCs w:val="18"/>
              </w:rPr>
              <w:t>Type of Clinical Outcome Assessment</w:t>
            </w:r>
          </w:p>
        </w:tc>
        <w:tc>
          <w:tcPr>
            <w:tcW w:w="2812" w:type="dxa"/>
          </w:tcPr>
          <w:p w14:paraId="0A576892" w14:textId="77777777" w:rsidR="00C77145" w:rsidRPr="006A1EC7" w:rsidRDefault="00C77145" w:rsidP="00D1354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Definition </w:t>
            </w:r>
          </w:p>
        </w:tc>
        <w:tc>
          <w:tcPr>
            <w:tcW w:w="2760" w:type="dxa"/>
          </w:tcPr>
          <w:p w14:paraId="565368E0" w14:textId="77777777" w:rsidR="00C77145" w:rsidRPr="006A1EC7" w:rsidRDefault="00C77145" w:rsidP="00D1354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Advantages</w:t>
            </w:r>
          </w:p>
        </w:tc>
        <w:tc>
          <w:tcPr>
            <w:tcW w:w="2777" w:type="dxa"/>
          </w:tcPr>
          <w:p w14:paraId="58EB5049" w14:textId="77777777" w:rsidR="00C77145" w:rsidRPr="006A1EC7" w:rsidRDefault="00C77145" w:rsidP="00D1354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Disadvantages</w:t>
            </w:r>
          </w:p>
        </w:tc>
        <w:tc>
          <w:tcPr>
            <w:tcW w:w="2046" w:type="dxa"/>
          </w:tcPr>
          <w:p w14:paraId="5673E479" w14:textId="77777777" w:rsidR="00C77145" w:rsidRPr="006A1EC7" w:rsidRDefault="00C77145" w:rsidP="00D1354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Examples</w:t>
            </w:r>
          </w:p>
        </w:tc>
      </w:tr>
      <w:tr w:rsidR="00C77145" w:rsidRPr="006A1EC7" w14:paraId="5CED9551" w14:textId="77777777" w:rsidTr="00D13545">
        <w:trPr>
          <w:cnfStyle w:val="000000100000" w:firstRow="0" w:lastRow="0" w:firstColumn="0" w:lastColumn="0" w:oddVBand="0" w:evenVBand="0" w:oddHBand="1" w:evenHBand="0" w:firstRowFirstColumn="0" w:firstRowLastColumn="0" w:lastRowFirstColumn="0" w:lastRowLastColumn="0"/>
          <w:trHeight w:val="1961"/>
        </w:trPr>
        <w:tc>
          <w:tcPr>
            <w:cnfStyle w:val="001000000000" w:firstRow="0" w:lastRow="0" w:firstColumn="1" w:lastColumn="0" w:oddVBand="0" w:evenVBand="0" w:oddHBand="0" w:evenHBand="0" w:firstRowFirstColumn="0" w:firstRowLastColumn="0" w:lastRowFirstColumn="0" w:lastRowLastColumn="0"/>
            <w:tcW w:w="2788" w:type="dxa"/>
          </w:tcPr>
          <w:p w14:paraId="1CC6C25A" w14:textId="77777777" w:rsidR="00C77145" w:rsidRPr="006A1EC7" w:rsidRDefault="00C77145" w:rsidP="00D13545">
            <w:pPr>
              <w:rPr>
                <w:b w:val="0"/>
                <w:sz w:val="18"/>
                <w:szCs w:val="18"/>
              </w:rPr>
            </w:pPr>
            <w:r w:rsidRPr="006A1EC7">
              <w:rPr>
                <w:sz w:val="18"/>
                <w:szCs w:val="18"/>
              </w:rPr>
              <w:t xml:space="preserve">Disease-specific/ Population-specific </w:t>
            </w:r>
          </w:p>
          <w:p w14:paraId="101AAAC6" w14:textId="77777777" w:rsidR="00C77145" w:rsidRPr="006A1EC7" w:rsidRDefault="00C77145" w:rsidP="00D13545">
            <w:pPr>
              <w:rPr>
                <w:b w:val="0"/>
                <w:sz w:val="18"/>
                <w:szCs w:val="18"/>
              </w:rPr>
            </w:pPr>
          </w:p>
        </w:tc>
        <w:tc>
          <w:tcPr>
            <w:tcW w:w="2812" w:type="dxa"/>
          </w:tcPr>
          <w:p w14:paraId="6A162A9F"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Condition- or population-specific (e.g. epilepsy and adults with epilepsy),</w:t>
            </w:r>
          </w:p>
          <w:p w14:paraId="6F6DF48B"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or evaluation of treatment;</w:t>
            </w:r>
          </w:p>
          <w:p w14:paraId="684B7014"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fldChar w:fldCharType="begin" w:fldLock="1"/>
            </w:r>
            <w:r w:rsidRPr="006A1EC7">
              <w:rPr>
                <w:sz w:val="18"/>
                <w:szCs w:val="18"/>
              </w:rPr>
              <w:instrText>ADDIN CSL_CITATION {"citationItems":[{"id":"ITEM-1","itemData":{"ISBN":"978-1-58763-420-8","PMID":"23469377","abstract":"The Observational CER User's Guide serves as a resource for investigators and stakeholders when designing observational comparative effectiveness research (CER) studies, particularly those with findings that are intended to translate into decisions or actions. The User's Guide provides principles for designing research that will inform health care decisions of patients and other stakeholders. Furthermore, it serves as a reference for increasing the transparency of the methods used in a study and standardizing the review of protocols through checklists provided in every chapter","author":[{"dropping-particle":"","family":"Velentgas","given":"P.","non-dropping-particle":"","parse-names":false,"suffix":""},{"dropping-particle":"","family":"Dreyer","given":"Nancy A","non-dropping-particle":"","parse-names":false,"suffix":""},{"dropping-particle":"","family":"Nourjah","given":"P.","non-dropping-particle":"","parse-names":false,"suffix":""},{"dropping-particle":"","family":"Smith","given":"Scott","non-dropping-particle":"","parse-names":false,"suffix":""},{"dropping-particle":"","family":"Torchia","given":"M.","non-dropping-particle":"","parse-names":false,"suffix":""}],"container-title":"AHRQ","id":"ITEM-1","issued":{"date-parts":[["2013"]]},"title":"Developing a Protocol for Observational Comparative Effectiveness in Research: A User's Guide","type":"book"},"uris":["http://www.mendeley.com/documents/?uuid=6364d57f-8906-4743-abb8-d8088cc71f71"]}],"mendeley":{"formattedCitation":"(Velentgas, Dreyer, Nourjah, Smith, &amp; Torchia, 2013)","plainTextFormattedCitation":"(Velentgas, Dreyer, Nourjah, Smith, &amp; Torchia, 2013)","previouslyFormattedCitation":"(Velentgas, Dreyer, Nourjah, Smith, &amp; Torchia, 2013)"},"properties":{"noteIndex":0},"schema":"https://github.com/citation-style-language/schema/raw/master/csl-citation.json"}</w:instrText>
            </w:r>
            <w:r w:rsidRPr="006A1EC7">
              <w:rPr>
                <w:sz w:val="18"/>
                <w:szCs w:val="18"/>
              </w:rPr>
              <w:fldChar w:fldCharType="separate"/>
            </w:r>
            <w:r w:rsidRPr="006A1EC7">
              <w:rPr>
                <w:noProof/>
                <w:sz w:val="18"/>
                <w:szCs w:val="18"/>
              </w:rPr>
              <w:t>(Velentgas, Dreyer, Nourjah, Smith, &amp; Torchia, 2013)</w:t>
            </w:r>
            <w:r w:rsidRPr="006A1EC7">
              <w:rPr>
                <w:sz w:val="18"/>
                <w:szCs w:val="18"/>
              </w:rPr>
              <w:fldChar w:fldCharType="end"/>
            </w:r>
            <w:r w:rsidRPr="006A1EC7">
              <w:rPr>
                <w:sz w:val="18"/>
                <w:szCs w:val="18"/>
              </w:rPr>
              <w:t>;</w:t>
            </w:r>
          </w:p>
          <w:p w14:paraId="3117AB93"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usually include aspects rated highly important for particular disease either by patient or medical professional </w:t>
            </w:r>
            <w:r w:rsidRPr="006A1EC7">
              <w:rPr>
                <w:sz w:val="18"/>
                <w:szCs w:val="18"/>
              </w:rPr>
              <w:fldChar w:fldCharType="begin" w:fldLock="1"/>
            </w:r>
            <w:r w:rsidRPr="006A1EC7">
              <w:rPr>
                <w:sz w:val="18"/>
                <w:szCs w:val="18"/>
              </w:rPr>
              <w:instrText>ADDIN CSL_CITATION {"citationItems":[{"id":"ITEM-1","itemData":{"author":[{"dropping-particle":"","family":"Garratt","given":"A M","non-dropping-particle":"","parse-names":false,"suffix":""},{"dropping-particle":"","family":"Schmidt","given":"L","non-dropping-particle":"","parse-names":false,"suffix":""},{"dropping-particle":"","family":"Fitzpatrick","given":"R","non-dropping-particle":"","parse-names":false,"suffix":""}],"container-title":"Diabetes UK: Diabetic Medicine","id":"ITEM-1","issued":{"date-parts":[["2001"]]},"page":"1-11","title":"Patient-assessed health outcome measures for diabetes: a structured review","type":"article-journal"},"uris":["http://www.mendeley.com/documents/?uuid=2b0d2fac-3483-4652-86ac-643b95c4f11d"]}],"mendeley":{"formattedCitation":"(Garratt, Schmidt, &amp; Fitzpatrick, 2001)","plainTextFormattedCitation":"(Garratt, Schmidt, &amp; Fitzpatrick, 2001)","previouslyFormattedCitation":"(Garratt, Schmidt, &amp; Fitzpatrick, 2001)"},"properties":{"noteIndex":0},"schema":"https://github.com/citation-style-language/schema/raw/master/csl-citation.json"}</w:instrText>
            </w:r>
            <w:r w:rsidRPr="006A1EC7">
              <w:rPr>
                <w:sz w:val="18"/>
                <w:szCs w:val="18"/>
              </w:rPr>
              <w:fldChar w:fldCharType="separate"/>
            </w:r>
            <w:r w:rsidRPr="006A1EC7">
              <w:rPr>
                <w:noProof/>
                <w:sz w:val="18"/>
                <w:szCs w:val="18"/>
              </w:rPr>
              <w:t>(Garratt, Schmidt, &amp; Fitzpatrick, 2001)</w:t>
            </w:r>
            <w:r w:rsidRPr="006A1EC7">
              <w:rPr>
                <w:sz w:val="18"/>
                <w:szCs w:val="18"/>
              </w:rPr>
              <w:fldChar w:fldCharType="end"/>
            </w:r>
          </w:p>
        </w:tc>
        <w:tc>
          <w:tcPr>
            <w:tcW w:w="2760" w:type="dxa"/>
          </w:tcPr>
          <w:p w14:paraId="741DE6FD"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High relevance to patients </w:t>
            </w:r>
            <w:r w:rsidRPr="006A1EC7">
              <w:rPr>
                <w:sz w:val="18"/>
                <w:szCs w:val="18"/>
              </w:rPr>
              <w:fldChar w:fldCharType="begin" w:fldLock="1"/>
            </w:r>
            <w:r w:rsidRPr="006A1EC7">
              <w:rPr>
                <w:sz w:val="18"/>
                <w:szCs w:val="18"/>
              </w:rPr>
              <w:instrText>ADDIN CSL_CITATION {"citationItems":[{"id":"ITEM-1","itemData":{"author":[{"dropping-particle":"","family":"Miedany","given":"Y","non-dropping-particle":"El","parse-names":false,"suffix":""}],"id":"ITEM-1","issued":{"date-parts":[["2016"]]},"publisher":"Springer International Publishing","publisher-place":"Switzerland","title":"Patient Reported Outcome Measures in Rheumatic Diseases","type":"book"},"uris":["http://www.mendeley.com/documents/?uuid=9f988ce9-5095-40c3-9be1-e15f30def46c"]}],"mendeley":{"formattedCitation":"(El Miedany, 2016)","plainTextFormattedCitation":"(El Miedany, 2016)","previouslyFormattedCitation":"(El Miedany, 2016)"},"properties":{"noteIndex":0},"schema":"https://github.com/citation-style-language/schema/raw/master/csl-citation.json"}</w:instrText>
            </w:r>
            <w:r w:rsidRPr="006A1EC7">
              <w:rPr>
                <w:sz w:val="18"/>
                <w:szCs w:val="18"/>
              </w:rPr>
              <w:fldChar w:fldCharType="separate"/>
            </w:r>
            <w:r w:rsidRPr="006A1EC7">
              <w:rPr>
                <w:noProof/>
                <w:sz w:val="18"/>
                <w:szCs w:val="18"/>
              </w:rPr>
              <w:t>(El Miedany, 2016)</w:t>
            </w:r>
            <w:r w:rsidRPr="006A1EC7">
              <w:rPr>
                <w:sz w:val="18"/>
                <w:szCs w:val="18"/>
              </w:rPr>
              <w:fldChar w:fldCharType="end"/>
            </w:r>
            <w:r w:rsidRPr="006A1EC7">
              <w:rPr>
                <w:sz w:val="18"/>
                <w:szCs w:val="18"/>
              </w:rPr>
              <w:t>;</w:t>
            </w:r>
          </w:p>
          <w:p w14:paraId="3A3367C7"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Most accurate assessment of patient </w:t>
            </w:r>
            <w:r w:rsidRPr="006A1EC7">
              <w:rPr>
                <w:sz w:val="18"/>
                <w:szCs w:val="18"/>
              </w:rPr>
              <w:fldChar w:fldCharType="begin" w:fldLock="1"/>
            </w:r>
            <w:r w:rsidRPr="006A1EC7">
              <w:rPr>
                <w:sz w:val="18"/>
                <w:szCs w:val="18"/>
              </w:rPr>
              <w:instrText>ADDIN CSL_CITATION {"citationItems":[{"id":"ITEM-1","itemData":{"author":[{"dropping-particle":"","family":"Garratt","given":"A M","non-dropping-particle":"","parse-names":false,"suffix":""},{"dropping-particle":"","family":"Schmidt","given":"L","non-dropping-particle":"","parse-names":false,"suffix":""},{"dropping-particle":"","family":"Fitzpatrick","given":"R","non-dropping-particle":"","parse-names":false,"suffix":""}],"container-title":"Diabetes UK: Diabetic Medicine","id":"ITEM-1","issued":{"date-parts":[["2001"]]},"page":"1-11","title":"Patient-assessed health outcome measures for diabetes: a structured review","type":"article-journal"},"uris":["http://www.mendeley.com/documents/?uuid=2b0d2fac-3483-4652-86ac-643b95c4f11d"]}],"mendeley":{"formattedCitation":"(Garratt et al., 2001)","plainTextFormattedCitation":"(Garratt et al., 2001)","previouslyFormattedCitation":"(Garratt et al., 2001)"},"properties":{"noteIndex":0},"schema":"https://github.com/citation-style-language/schema/raw/master/csl-citation.json"}</w:instrText>
            </w:r>
            <w:r w:rsidRPr="006A1EC7">
              <w:rPr>
                <w:sz w:val="18"/>
                <w:szCs w:val="18"/>
              </w:rPr>
              <w:fldChar w:fldCharType="separate"/>
            </w:r>
            <w:r w:rsidRPr="006A1EC7">
              <w:rPr>
                <w:noProof/>
                <w:sz w:val="18"/>
                <w:szCs w:val="18"/>
              </w:rPr>
              <w:t>(Garratt et al., 2001)</w:t>
            </w:r>
            <w:r w:rsidRPr="006A1EC7">
              <w:rPr>
                <w:sz w:val="18"/>
                <w:szCs w:val="18"/>
              </w:rPr>
              <w:fldChar w:fldCharType="end"/>
            </w:r>
            <w:r w:rsidRPr="006A1EC7">
              <w:rPr>
                <w:sz w:val="18"/>
                <w:szCs w:val="18"/>
              </w:rPr>
              <w:t>;</w:t>
            </w:r>
          </w:p>
          <w:p w14:paraId="61211E79"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color w:val="FF0000"/>
                <w:sz w:val="18"/>
                <w:szCs w:val="18"/>
              </w:rPr>
            </w:pPr>
            <w:r w:rsidRPr="006A1EC7">
              <w:rPr>
                <w:sz w:val="18"/>
                <w:szCs w:val="18"/>
              </w:rPr>
              <w:t>Sensitive to changes (improvement, decline or stability)</w:t>
            </w:r>
            <w:r w:rsidRPr="006A1EC7">
              <w:rPr>
                <w:color w:val="000000" w:themeColor="text1"/>
                <w:sz w:val="18"/>
                <w:szCs w:val="18"/>
              </w:rPr>
              <w:t xml:space="preserve"> </w:t>
            </w:r>
            <w:r w:rsidRPr="006A1EC7">
              <w:rPr>
                <w:color w:val="000000" w:themeColor="text1"/>
                <w:sz w:val="18"/>
                <w:szCs w:val="18"/>
              </w:rPr>
              <w:br/>
              <w:t>(Patrick &amp; Denyo, 1989; Velentgas et al, 2013)</w:t>
            </w:r>
          </w:p>
          <w:p w14:paraId="4E9AF859"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High completion rates as specifically tailored </w:t>
            </w:r>
            <w:r w:rsidRPr="006A1EC7">
              <w:rPr>
                <w:sz w:val="18"/>
                <w:szCs w:val="18"/>
              </w:rPr>
              <w:fldChar w:fldCharType="begin" w:fldLock="1"/>
            </w:r>
            <w:r w:rsidRPr="006A1EC7">
              <w:rPr>
                <w:sz w:val="18"/>
                <w:szCs w:val="18"/>
              </w:rPr>
              <w:instrText>ADDIN CSL_CITATION {"citationItems":[{"id":"ITEM-1","itemData":{"DOI":"9812244","ISBN":"1366-5278 (Print)\\n1366-5278 (Linking)","ISSN":"1366-5278","PMID":"9812244","abstract":"Background: 'Patient-based outcome measure' is a short-hand term referring to the array of questionnaires, interview schedules and other related methods of assessing health, illness and benefits of health care interventions from the patient's perspective. Patient-based outcome measures, addressing constructs such as health-related quality of life, subjective health status, functional status, are increasingly used as primary or secondary end-points in clinical trials. Objectives: To describe the diversity and reasons for diversity of available patient-based outcome measures. To make clear that criteria investigators should have in mind when they select patient-based outcome measures for use in a clinical trial. Methods: Data sources: Literature was identified by a combination of electronic searches of databases, handsearching of selected journals and retrieval of references cited in available literature. Databases used included MEDLINE, EMBASE, CINAHL, PsychLIT and Sociofile. Study selection: A set of explicit criteria were used for selection of literature. Articles were included if they focused on any methodological aspect of patient-based outcome measures (for example, methods of evaluating such measures, psychometric evaluation of measures, comparative studies of measures, studies reporting validation of measures). Studies were excluded if they only reported use of a measure without evaluation, focused only on cross-cultural issues, focused only on clinician-based outcome measures or discussed economic utility theory only without considering measurement. A total of 5621 abstracts and articles were identified by initial searches as potentially relevant. However, after assessment, 391 key references were selected as useful to the objectives of the review. A further 22 references were incorporated into the final version as a result of comments from external experts and referees. Data synthesis: A first draft synthesising the evidence was produced by the first author of this review (RF) and extensively critiqued by the other three authors. A revised version was then submitted for evaluation to a panel of ten experts recruited to represent a wide range of areas of expertise (including clinical medicine, clinical trials, health economics, health services research, social sciences and statistics). Feedback from this panel was read and discussed by the authors of the review and a third version of the review drafted. The final version is a quasi- consensus vie…","author":[{"dropping-particle":"","family":"Fitzpatrick","given":"R","non-dropping-particle":"","parse-names":false,"suffix":""},{"dropping-particle":"","family":"Fitzpatrick","given":"R","non-dropping-particle":"","parse-names":false,"suffix":""},{"dropping-particle":"","family":"Davey","given":"C","non-dropping-particle":"","parse-names":false,"suffix":""},{"dropping-particle":"","family":"Davey","given":"C","non-dropping-particle":"","parse-names":false,"suffix":""},{"dropping-particle":"","family":"Buxton","given":"M J","non-dropping-particle":"","parse-names":false,"suffix":""},{"dropping-particle":"","family":"Buxton","given":"M J","non-dropping-particle":"","parse-names":false,"suffix":""},{"dropping-particle":"","family":"Jones","given":"D R","non-dropping-particle":"","parse-names":false,"suffix":""},{"dropping-particle":"","family":"Jones","given":"D R","non-dropping-particle":"","parse-names":false,"suffix":""}],"container-title":"Health Technology Assessment","id":"ITEM-1","issue":"14","issued":{"date-parts":[["1998"]]},"page":"i-iv, 1-74","title":"Evaluating patient-based outcome measures for use in clinical trials.","type":"article-journal","volume":"2"},"uris":["http://www.mendeley.com/documents/?uuid=e1cefbe7-068a-48b6-bb7d-b684501aded8"]}],"mendeley":{"formattedCitation":"(Fitzpatrick et al., 1998)","plainTextFormattedCitation":"(Fitzpatrick et al., 1998)","previouslyFormattedCitation":"(Fitzpatrick et al., 1998)"},"properties":{"noteIndex":0},"schema":"https://github.com/citation-style-language/schema/raw/master/csl-citation.json"}</w:instrText>
            </w:r>
            <w:r w:rsidRPr="006A1EC7">
              <w:rPr>
                <w:sz w:val="18"/>
                <w:szCs w:val="18"/>
              </w:rPr>
              <w:fldChar w:fldCharType="separate"/>
            </w:r>
            <w:r w:rsidRPr="006A1EC7">
              <w:rPr>
                <w:noProof/>
                <w:sz w:val="18"/>
                <w:szCs w:val="18"/>
              </w:rPr>
              <w:t>(Fitzpatrick et al., 1998)</w:t>
            </w:r>
            <w:r w:rsidRPr="006A1EC7">
              <w:rPr>
                <w:sz w:val="18"/>
                <w:szCs w:val="18"/>
              </w:rPr>
              <w:fldChar w:fldCharType="end"/>
            </w:r>
          </w:p>
        </w:tc>
        <w:tc>
          <w:tcPr>
            <w:tcW w:w="2777" w:type="dxa"/>
          </w:tcPr>
          <w:p w14:paraId="2A3659DB"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Unsuitable for comparisons with groups, who do not have the disease </w:t>
            </w:r>
            <w:r w:rsidRPr="006A1EC7">
              <w:rPr>
                <w:sz w:val="18"/>
                <w:szCs w:val="18"/>
              </w:rPr>
              <w:fldChar w:fldCharType="begin" w:fldLock="1"/>
            </w:r>
            <w:r w:rsidRPr="006A1EC7">
              <w:rPr>
                <w:sz w:val="18"/>
                <w:szCs w:val="18"/>
              </w:rPr>
              <w:instrText>ADDIN CSL_CITATION {"citationItems":[{"id":"ITEM-1","itemData":{"ISBN":"978-1-58763-420-8","PMID":"23469377","abstract":"The Observational CER User's Guide serves as a resource for investigators and stakeholders when designing observational comparative effectiveness research (CER) studies, particularly those with findings that are intended to translate into decisions or actions. The User's Guide provides principles for designing research that will inform health care decisions of patients and other stakeholders. Furthermore, it serves as a reference for increasing the transparency of the methods used in a study and standardizing the review of protocols through checklists provided in every chapter","author":[{"dropping-particle":"","family":"Velentgas","given":"P.","non-dropping-particle":"","parse-names":false,"suffix":""},{"dropping-particle":"","family":"Dreyer","given":"Nancy A","non-dropping-particle":"","parse-names":false,"suffix":""},{"dropping-particle":"","family":"Nourjah","given":"P.","non-dropping-particle":"","parse-names":false,"suffix":""},{"dropping-particle":"","family":"Smith","given":"Scott","non-dropping-particle":"","parse-names":false,"suffix":""},{"dropping-particle":"","family":"Torchia","given":"M.","non-dropping-particle":"","parse-names":false,"suffix":""}],"container-title":"AHRQ","id":"ITEM-1","issued":{"date-parts":[["2013"]]},"title":"Developing a Protocol for Observational Comparative Effectiveness in Research: A User's Guide","type":"book"},"uris":["http://www.mendeley.com/documents/?uuid=6364d57f-8906-4743-abb8-d8088cc71f71"]},{"id":"ITEM-2","itemData":{"DOI":"9812244","ISBN":"1366-5278 (Print)\\n1366-5278 (Linking)","ISSN":"1366-5278","PMID":"9812244","abstract":"Background: 'Patient-based outcome measure' is a short-hand term referring to the array of questionnaires, interview schedules and other related methods of assessing health, illness and benefits of health care interventions from the patient's perspective. Patient-based outcome measures, addressing constructs such as health-related quality of life, subjective health status, functional status, are increasingly used as primary or secondary end-points in clinical trials. Objectives: To describe the diversity and reasons for diversity of available patient-based outcome measures. To make clear that criteria investigators should have in mind when they select patient-based outcome measures for use in a clinical trial. Methods: Data sources: Literature was identified by a combination of electronic searches of databases, handsearching of selected journals and retrieval of references cited in available literature. Databases used included MEDLINE, EMBASE, CINAHL, PsychLIT and Sociofile. Study selection: A set of explicit criteria were used for selection of literature. Articles were included if they focused on any methodological aspect of patient-based outcome measures (for example, methods of evaluating such measures, psychometric evaluation of measures, comparative studies of measures, studies reporting validation of measures). Studies were excluded if they only reported use of a measure without evaluation, focused only on cross-cultural issues, focused only on clinician-based outcome measures or discussed economic utility theory only without considering measurement. A total of 5621 abstracts and articles were identified by initial searches as potentially relevant. However, after assessment, 391 key references were selected as useful to the objectives of the review. A further 22 references were incorporated into the final version as a result of comments from external experts and referees. Data synthesis: A first draft synthesising the evidence was produced by the first author of this review (RF) and extensively critiqued by the other three authors. A revised version was then submitted for evaluation to a panel of ten experts recruited to represent a wide range of areas of expertise (including clinical medicine, clinical trials, health economics, health services research, social sciences and statistics). Feedback from this panel was read and discussed by the authors of the review and a third version of the review drafted. The final version is a quasi- consensus vie…","author":[{"dropping-particle":"","family":"Fitzpatrick","given":"R","non-dropping-particle":"","parse-names":false,"suffix":""},{"dropping-particle":"","family":"Fitzpatrick","given":"R","non-dropping-particle":"","parse-names":false,"suffix":""},{"dropping-particle":"","family":"Davey","given":"C","non-dropping-particle":"","parse-names":false,"suffix":""},{"dropping-particle":"","family":"Davey","given":"C","non-dropping-particle":"","parse-names":false,"suffix":""},{"dropping-particle":"","family":"Buxton","given":"M J","non-dropping-particle":"","parse-names":false,"suffix":""},{"dropping-particle":"","family":"Buxton","given":"M J","non-dropping-particle":"","parse-names":false,"suffix":""},{"dropping-particle":"","family":"Jones","given":"D R","non-dropping-particle":"","parse-names":false,"suffix":""},{"dropping-particle":"","family":"Jones","given":"D R","non-dropping-particle":"","parse-names":false,"suffix":""}],"container-title":"Health Technology Assessment","id":"ITEM-2","issue":"14","issued":{"date-parts":[["1998"]]},"page":"i-iv, 1-74","title":"Evaluating patient-based outcome measures for use in clinical trials.","type":"article-journal","volume":"2"},"uris":["http://www.mendeley.com/documents/?uuid=e1cefbe7-068a-48b6-bb7d-b684501aded8"]}],"mendeley":{"formattedCitation":"(Fitzpatrick et al., 1998; Velentgas et al., 2013)","plainTextFormattedCitation":"(Fitzpatrick et al., 1998; Velentgas et al., 2013)","previouslyFormattedCitation":"(Fitzpatrick et al., 1998; Velentgas et al., 2013)"},"properties":{"noteIndex":0},"schema":"https://github.com/citation-style-language/schema/raw/master/csl-citation.json"}</w:instrText>
            </w:r>
            <w:r w:rsidRPr="006A1EC7">
              <w:rPr>
                <w:sz w:val="18"/>
                <w:szCs w:val="18"/>
              </w:rPr>
              <w:fldChar w:fldCharType="separate"/>
            </w:r>
            <w:r w:rsidRPr="006A1EC7">
              <w:rPr>
                <w:noProof/>
                <w:sz w:val="18"/>
                <w:szCs w:val="18"/>
              </w:rPr>
              <w:t>(Fitzpatrick et al., 1998; Velentgas et al., 2013)</w:t>
            </w:r>
            <w:r w:rsidRPr="006A1EC7">
              <w:rPr>
                <w:sz w:val="18"/>
                <w:szCs w:val="18"/>
              </w:rPr>
              <w:fldChar w:fldCharType="end"/>
            </w:r>
            <w:r w:rsidRPr="006A1EC7">
              <w:rPr>
                <w:sz w:val="18"/>
                <w:szCs w:val="18"/>
              </w:rPr>
              <w:t>;</w:t>
            </w:r>
          </w:p>
          <w:p w14:paraId="0221F324"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Lengthy to develop </w:t>
            </w:r>
          </w:p>
          <w:p w14:paraId="6B79519D"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fldChar w:fldCharType="begin" w:fldLock="1"/>
            </w:r>
            <w:r w:rsidRPr="006A1EC7">
              <w:rPr>
                <w:sz w:val="18"/>
                <w:szCs w:val="18"/>
              </w:rPr>
              <w:instrText>ADDIN CSL_CITATION {"citationItems":[{"id":"ITEM-1","itemData":{"ISBN":"978-1-58763-420-8","PMID":"23469377","abstract":"The Observational CER User's Guide serves as a resource for investigators and stakeholders when designing observational comparative effectiveness research (CER) studies, particularly those with findings that are intended to translate into decisions or actions. The User's Guide provides principles for designing research that will inform health care decisions of patients and other stakeholders. Furthermore, it serves as a reference for increasing the transparency of the methods used in a study and standardizing the review of protocols through checklists provided in every chapter","author":[{"dropping-particle":"","family":"Velentgas","given":"P.","non-dropping-particle":"","parse-names":false,"suffix":""},{"dropping-particle":"","family":"Dreyer","given":"Nancy A","non-dropping-particle":"","parse-names":false,"suffix":""},{"dropping-particle":"","family":"Nourjah","given":"P.","non-dropping-particle":"","parse-names":false,"suffix":""},{"dropping-particle":"","family":"Smith","given":"Scott","non-dropping-particle":"","parse-names":false,"suffix":""},{"dropping-particle":"","family":"Torchia","given":"M.","non-dropping-particle":"","parse-names":false,"suffix":""}],"container-title":"AHRQ","id":"ITEM-1","issued":{"date-parts":[["2013"]]},"title":"Developing a Protocol for Observational Comparative Effectiveness in Research: A User's Guide","type":"book"},"uris":["http://www.mendeley.com/documents/?uuid=6364d57f-8906-4743-abb8-d8088cc71f71"]},{"id":"ITEM-2","itemData":{"DOI":"9812244","ISBN":"1366-5278 (Print)\\n1366-5278 (Linking)","ISSN":"1366-5278","PMID":"9812244","abstract":"Background: 'Patient-based outcome measure' is a short-hand term referring to the array of questionnaires, interview schedules and other related methods of assessing health, illness and benefits of health care interventions from the patient's perspective. Patient-based outcome measures, addressing constructs such as health-related quality of life, subjective health status, functional status, are increasingly used as primary or secondary end-points in clinical trials. Objectives: To describe the diversity and reasons for diversity of available patient-based outcome measures. To make clear that criteria investigators should have in mind when they select patient-based outcome measures for use in a clinical trial. Methods: Data sources: Literature was identified by a combination of electronic searches of databases, handsearching of selected journals and retrieval of references cited in available literature. Databases used included MEDLINE, EMBASE, CINAHL, PsychLIT and Sociofile. Study selection: A set of explicit criteria were used for selection of literature. Articles were included if they focused on any methodological aspect of patient-based outcome measures (for example, methods of evaluating such measures, psychometric evaluation of measures, comparative studies of measures, studies reporting validation of measures). Studies were excluded if they only reported use of a measure without evaluation, focused only on cross-cultural issues, focused only on clinician-based outcome measures or discussed economic utility theory only without considering measurement. A total of 5621 abstracts and articles were identified by initial searches as potentially relevant. However, after assessment, 391 key references were selected as useful to the objectives of the review. A further 22 references were incorporated into the final version as a result of comments from external experts and referees. Data synthesis: A first draft synthesising the evidence was produced by the first author of this review (RF) and extensively critiqued by the other three authors. A revised version was then submitted for evaluation to a panel of ten experts recruited to represent a wide range of areas of expertise (including clinical medicine, clinical trials, health economics, health services research, social sciences and statistics). Feedback from this panel was read and discussed by the authors of the review and a third version of the review drafted. The final version is a quasi- consensus vie…","author":[{"dropping-particle":"","family":"Fitzpatrick","given":"R","non-dropping-particle":"","parse-names":false,"suffix":""},{"dropping-particle":"","family":"Fitzpatrick","given":"R","non-dropping-particle":"","parse-names":false,"suffix":""},{"dropping-particle":"","family":"Davey","given":"C","non-dropping-particle":"","parse-names":false,"suffix":""},{"dropping-particle":"","family":"Davey","given":"C","non-dropping-particle":"","parse-names":false,"suffix":""},{"dropping-particle":"","family":"Buxton","given":"M J","non-dropping-particle":"","parse-names":false,"suffix":""},{"dropping-particle":"","family":"Buxton","given":"M J","non-dropping-particle":"","parse-names":false,"suffix":""},{"dropping-particle":"","family":"Jones","given":"D R","non-dropping-particle":"","parse-names":false,"suffix":""},{"dropping-particle":"","family":"Jones","given":"D R","non-dropping-particle":"","parse-names":false,"suffix":""}],"container-title":"Health Technology Assessment","id":"ITEM-2","issue":"14","issued":{"date-parts":[["1998"]]},"page":"i-iv, 1-74","title":"Evaluating patient-based outcome measures for use in clinical trials.","type":"article-journal","volume":"2"},"uris":["http://www.mendeley.com/documents/?uuid=e1cefbe7-068a-48b6-bb7d-b684501aded8"]}],"mendeley":{"formattedCitation":"(Fitzpatrick et al., 1998; Velentgas et al., 2013)","plainTextFormattedCitation":"(Fitzpatrick et al., 1998; Velentgas et al., 2013)","previouslyFormattedCitation":"(Fitzpatrick et al., 1998; Velentgas et al., 2013)"},"properties":{"noteIndex":0},"schema":"https://github.com/citation-style-language/schema/raw/master/csl-citation.json"}</w:instrText>
            </w:r>
            <w:r w:rsidRPr="006A1EC7">
              <w:rPr>
                <w:sz w:val="18"/>
                <w:szCs w:val="18"/>
              </w:rPr>
              <w:fldChar w:fldCharType="separate"/>
            </w:r>
            <w:r w:rsidRPr="006A1EC7">
              <w:rPr>
                <w:noProof/>
                <w:sz w:val="18"/>
                <w:szCs w:val="18"/>
              </w:rPr>
              <w:t>(Fitzpatrick et al., 1998; Velentgas et al., 2013)</w:t>
            </w:r>
            <w:r w:rsidRPr="006A1EC7">
              <w:rPr>
                <w:sz w:val="18"/>
                <w:szCs w:val="18"/>
              </w:rPr>
              <w:fldChar w:fldCharType="end"/>
            </w:r>
          </w:p>
        </w:tc>
        <w:tc>
          <w:tcPr>
            <w:tcW w:w="2046" w:type="dxa"/>
          </w:tcPr>
          <w:p w14:paraId="283CF451"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Unified Batten Disease Rating scale </w:t>
            </w:r>
            <w:r w:rsidRPr="006A1EC7">
              <w:rPr>
                <w:sz w:val="18"/>
                <w:szCs w:val="18"/>
              </w:rPr>
              <w:fldChar w:fldCharType="begin" w:fldLock="1"/>
            </w:r>
            <w:r w:rsidRPr="006A1EC7">
              <w:rPr>
                <w:sz w:val="18"/>
                <w:szCs w:val="18"/>
              </w:rPr>
              <w:instrText>ADDIN CSL_CITATION {"citationItems":[{"id":"ITEM-1","itemData":{"DOI":"10.1212/01.wnl.0000169019.41332.8a","ISBN":"0028-3878","ISSN":"0028-3878","PMID":"16043799","abstract":"BACKGROUND: Batten disease (juvenile neuronal ceroid lipofuscinosis [JNCL]) is an autosomal recessive neurodegenerative disorder characterized by blindness, seizures, and relentless decline in cognitive, motor, and behavioral function. Onset is in the early school years, with progression to death typically by late adolescence. Development of a clinical instrument to quantify severity of illness is a prerequisite to eventual assessment of experimental therapeutic interventions. OBJECTIVE: To develop a clinical rating instrument to assess motor, behavioral, and functional capability in JNCL. METHODS: A clinical rating instrument, the Unified Batten Disease Rating Scale (UBDRS), was developed by the authors to assess motor, behavioral, and functional capability in JNCL. Children with verified JNCL were evaluated independently by three neurologists. Intraclass correlation coefficients (ICCs) were used to estimate the interrater reliability for total scores in each domain. Interrater reliability for scale items was assessed with weighted kappa statistics. RESULTS: Thirty-one children with confirmed JNCL (10 boys, 21 girls) were evaluated. The mean age at symptom onset was 6.1 +/- 1.6 years, and the mean duration of illness was 9.0 +/- 4.4 years. The ICCs for the domains were as follows: motor = 0.83, behavioral = 0.68, and functional capability = 0.85. CONCLUSIONS: The Unified Batten Disease Rating Scale (UBDRS) is a reliable instrument that effectively tests for neurologic function in blind and demented patients. In its current form, the UBDRS is useful for monitoring the diverse clinical findings seen in Batten disease.","author":[{"dropping-particle":"","family":"Marshall","given":"F. J.","non-dropping-particle":"","parse-names":false,"suffix":""},{"dropping-particle":"","family":"Blieck","given":"E.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A.","non-dropping-particle":"","parse-names":false,"suffix":""},{"dropping-particle":"","family":"Blieck","given":"A","non-dropping-particle":"de","parse-names":false,"suffix":""},{"dropping-particle":"","family":"Mink","given":"J.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A.","non-dropping-particle":"","parse-names":false,"suffix":""}],"container-title":"Neurology","id":"ITEM-1","issue":"2","issued":{"date-parts":[["2005","7","26"]]},"page":"275-279","title":"A clinical rating scale for Batten disease - Reliable and relevant for clinical trials","type":"article-journal","volume":"65"},"uris":["http://www.mendeley.com/documents/?uuid=d2806439-63b6-45e7-be1e-188738db2b62"]}],"mendeley":{"formattedCitation":"(F. J. Marshall, de Blieck, et al., 2005a)","manualFormatting":"(Marshall et al., 2005)","plainTextFormattedCitation":"(F. J. Marshall, de Blieck, et al., 2005a)","previouslyFormattedCitation":"(F. J. Marshall, de Blieck, et al., 2005a)"},"properties":{"noteIndex":0},"schema":"https://github.com/citation-style-language/schema/raw/master/csl-citation.json"}</w:instrText>
            </w:r>
            <w:r w:rsidRPr="006A1EC7">
              <w:rPr>
                <w:sz w:val="18"/>
                <w:szCs w:val="18"/>
              </w:rPr>
              <w:fldChar w:fldCharType="separate"/>
            </w:r>
            <w:r w:rsidRPr="006A1EC7">
              <w:rPr>
                <w:noProof/>
                <w:sz w:val="18"/>
                <w:szCs w:val="18"/>
              </w:rPr>
              <w:t>(Marshall et al., 2005)</w:t>
            </w:r>
            <w:r w:rsidRPr="006A1EC7">
              <w:rPr>
                <w:sz w:val="18"/>
                <w:szCs w:val="18"/>
              </w:rPr>
              <w:fldChar w:fldCharType="end"/>
            </w:r>
            <w:r w:rsidRPr="006A1EC7">
              <w:rPr>
                <w:sz w:val="18"/>
                <w:szCs w:val="18"/>
              </w:rPr>
              <w:t>;</w:t>
            </w:r>
          </w:p>
          <w:p w14:paraId="457590C8"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Health-related quality of life in Huntington’s disease (HDQLIFE) </w:t>
            </w:r>
            <w:r w:rsidRPr="006A1EC7">
              <w:rPr>
                <w:sz w:val="18"/>
                <w:szCs w:val="18"/>
              </w:rPr>
              <w:fldChar w:fldCharType="begin" w:fldLock="1"/>
            </w:r>
            <w:r w:rsidRPr="006A1EC7">
              <w:rPr>
                <w:sz w:val="18"/>
                <w:szCs w:val="18"/>
              </w:rPr>
              <w:instrText>ADDIN CSL_CITATION {"citationItems":[{"id":"ITEM-1","itemData":{"DOI":"10.1007/s11136-016-1386-3","ISSN":"1573-2649","PMID":"27522213","abstract":"PURPOSE Huntington disease (HD) is a chronic, debilitating genetic disease that affects physical, emotional, cognitive, and social health. Existing patient-reported outcomes (PROs) of health-related quality of life (HRQOL) used in HD are neither comprehensive, nor do they adequately account for clinically meaningful changes in function. While new PROs examining HRQOL (i.e., Neuro-QoL-Quality of Life in Neurological Disorders and PROMIS-Patient-Reported Outcomes Measurement Information System) offer solutions to many of these shortcomings, they do not include HD-specific content, nor have they been validated in HD. HDQLIFE addresses this by validating 12 PROMIS/Neuro-QoL domains in individuals with HD and by using established PROMIS methodology to develop new, HD-specific content. METHODS New item pools were developed using cognitive debriefing with individuals with HD, and expert, literacy, and translatability reviews. Existing item banks and new item pools were field tested in 536 individuals with prodromal, early-, or late-stage HD. RESULTS Moderate to strong relationships between Neuro-QoL/PROMIS measures and generic self-report measures of HRQOL, and moderate relationships between Neuro-QoL/PROMIS and clinician-rated measures of similar constructs supported the validity of Neuro-QoL/PROMIS in individuals with HD. Exploratory and confirmatory factor analysis, item response theory, and differential item functioning analyses were utilized to develop new item banks for Chorea, Speech Difficulties, Swallowing Difficulties, and Concern with Death and Dying, with corresponding six-item short forms. A four-item short form was developed for Meaning and Purpose. CONCLUSIONS HDQLIFE encompasses both validated Neuro-QoL/PROMIS measures, as well as five new scales in order to provide a comprehensive assessment of HRQOL in HD.","author":[{"dropping-particle":"","family":"Carlozzi","given":"N E","non-dropping-particle":"","parse-names":false,"suffix":""},{"dropping-particle":"","family":"Schilling","given":"S G","non-dropping-particle":"","parse-names":false,"suffix":""},{"dropping-particle":"","family":"Lai","given":"J-S","non-dropping-particle":"","parse-names":false,"suffix":""},{"dropping-particle":"","family":"Paulsen","given":"J S","non-dropping-particle":"","parse-names":false,"suffix":""},{"dropping-particle":"","family":"Hahn","given":"E A","non-dropping-particle":"","parse-names":false,"suffix":""},{"dropping-particle":"","family":"Perlmutter","given":"J S","non-dropping-particle":"","parse-names":false,"suffix":""},{"dropping-particle":"","family":"Ross","given":"C A","non-dropping-particle":"","parse-names":false,"suffix":""},{"dropping-particle":"","family":"Downing","given":"N R","non-dropping-particle":"","parse-names":false,"suffix":""},{"dropping-particle":"","family":"Kratz","given":"A L","non-dropping-particle":"","parse-names":false,"suffix":""},{"dropping-particle":"","family":"McCormack","given":"M K","non-dropping-particle":"","parse-names":false,"suffix":""},{"dropping-particle":"","family":"Nance","given":"M A","non-dropping-particle":"","parse-names":false,"suffix":""},{"dropping-particle":"","family":"Quaid","given":"K A","non-dropping-particle":"","parse-names":false,"suffix":""},{"dropping-particle":"","family":"Stout","given":"J C","non-dropping-particle":"","parse-names":false,"suffix":""},{"dropping-particle":"","family":"Gershon","given":"R C","non-dropping-particle":"","parse-names":false,"suffix":""},{"dropping-particle":"","family":"Ready","given":"R E","non-dropping-particle":"","parse-names":false,"suffix":""},{"dropping-particle":"","family":"Miner","given":"J A","non-dropping-particle":"","parse-names":false,"suffix":""},{"dropping-particle":"","family":"Barton","given":"S K","non-dropping-particle":"","parse-names":false,"suffix":""},{"dropping-particle":"","family":"Perlman","given":"S L","non-dropping-particle":"","parse-names":false,"suffix":""},{"dropping-particle":"","family":"Rao","given":"S M","non-dropping-particle":"","parse-names":false,"suffix":""},{"dropping-particle":"","family":"Frank","given":"S","non-dropping-particle":"","parse-names":false,"suffix":""},{"dropping-particle":"","family":"Shoulson","given":"I","non-dropping-particle":"","parse-names":false,"suffix":""},{"dropping-particle":"","family":"Marin","given":"H","non-dropping-particle":"","parse-names":false,"suffix":""},{"dropping-particle":"","family":"Geschwind","given":"M D","non-dropping-particle":"","parse-names":false,"suffix":""},{"dropping-particle":"","family":"Dayalu","given":"P","non-dropping-particle":"","parse-names":false,"suffix":""},{"dropping-particle":"","family":"Goodnight","given":"S M","non-dropping-particle":"","parse-names":false,"suffix":""},{"dropping-particle":"","family":"Cella","given":"D","non-dropping-particle":"","parse-names":false,"suffix":""}],"container-title":"Quality of life research : an international journal of quality of life aspects of treatment, care and rehabilitation","id":"ITEM-1","issue":"10","issued":{"date-parts":[["2016","10"]]},"page":"2441-55","title":"HDQLIFE: development and assessment of health-related quality of life in Huntington disease (HD).","type":"article-journal","volume":"25"},"uris":["http://www.mendeley.com/documents/?uuid=b89b8787-8e63-34e2-966e-c2fc50ce3cbd"]}],"mendeley":{"formattedCitation":"(Carlozzi et al., 2016)","plainTextFormattedCitation":"(Carlozzi et al., 2016)","previouslyFormattedCitation":"(Carlozzi et al., 2016)"},"properties":{"noteIndex":0},"schema":"https://github.com/citation-style-language/schema/raw/master/csl-citation.json"}</w:instrText>
            </w:r>
            <w:r w:rsidRPr="006A1EC7">
              <w:rPr>
                <w:sz w:val="18"/>
                <w:szCs w:val="18"/>
              </w:rPr>
              <w:fldChar w:fldCharType="separate"/>
            </w:r>
            <w:r w:rsidRPr="006A1EC7">
              <w:rPr>
                <w:noProof/>
                <w:sz w:val="18"/>
                <w:szCs w:val="18"/>
              </w:rPr>
              <w:t>(Carlozzi et al., 2016)</w:t>
            </w:r>
            <w:r w:rsidRPr="006A1EC7">
              <w:rPr>
                <w:sz w:val="18"/>
                <w:szCs w:val="18"/>
              </w:rPr>
              <w:fldChar w:fldCharType="end"/>
            </w:r>
          </w:p>
          <w:p w14:paraId="4A401BD4"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Medical Research Council Prion Disease Scale </w:t>
            </w:r>
            <w:r w:rsidRPr="006A1EC7">
              <w:rPr>
                <w:sz w:val="18"/>
                <w:szCs w:val="18"/>
              </w:rPr>
              <w:fldChar w:fldCharType="begin" w:fldLock="1"/>
            </w:r>
            <w:r w:rsidRPr="006A1EC7">
              <w:rPr>
                <w:sz w:val="18"/>
                <w:szCs w:val="18"/>
              </w:rPr>
              <w:instrText>ADDIN CSL_CITATION {"citationItems":[{"id":"ITEM-1","itemData":{"DOI":"10.1093/brain/awt048","ISBN":"1460-2156 (Electronic)\\r0006-8950 (Linking)","ISSN":"14602156","PMID":"23550114","abstract":"Progress in therapeutics for rare disorders like prion disease is impeded by the lack of validated outcome measures and a paucity of natural history data derived from prospective observational studies. The first analysis of the UK National Prion Monitoring Cohort involved 1337 scheduled clinical assessments and 479 telephone assessments in 437 participants over 373 patient-years of follow-up. Scale development has included semi-quantitative and qualitative carer interviews, item response modelling (Rasch analysis), inter-rater reliability testing, construct analysis and correlation with several existing scales. The proposed 20-point Medical Research Council Prion Disease Rating Scale assesses domains of cognitive function, speech, mobility, personal care/feeding and continence, according to their relative importance documented by carer interviews. It is quick and simple to administer, and has been validated for use by doctors and nurses and for use over the telephone, allowing for frequent assessments that capture the rapid change typical of these diseases. The Medical Research Council Scale correlates highly with widely used cognitive and single item scales, but has substantial advantages over these including minimal floor effects. Three clear patterns of decline were observed using the scale: fast linear decline, slow linear decline (usually inherited prion disease) and in some patients, decline followed by a prolonged preterminal plateau at very low functional levels. Rates of decline and progress through milestones measured using the scale vary between sporadic, acquired and inherited prion diseases following clinical expectations. We have developed and validated a new functionally-oriented outcome measure and propose that future clinical trials in prion disease should collect data compatible with this scale, to allow for combined and comparative analyses. Such approaches may be advantageous in orphan conditions, where single studies of feasible duration will often struggle to achieve statistical power.","author":[{"dropping-particle":"","family":"Thompson","given":"Andrew G.B. B","non-dropping-particle":"","parse-names":false,"suffix":""},{"dropping-particle":"","family":"Lowe","given":"Jessica","non-dropping-particle":"","parse-names":false,"suffix":""},{"dropping-particle":"","family":"Fox","given":"Zoe","non-dropping-particle":"","parse-names":false,"suffix":""},{"dropping-particle":"","family":"Lukic","given":"Ana","non-dropping-particle":"","parse-names":false,"suffix":""},{"dropping-particle":"","family":"Porter","given":"Marie Claire","non-dropping-particle":"","parse-names":false,"suffix":""},{"dropping-particle":"","family":"Ford","given":"Liz","non-dropping-particle":"","parse-names":false,"suffix":""},{"dropping-particle":"","family":"Gorham","given":"Michele","non-dropping-particle":"","parse-names":false,"suffix":""},{"dropping-particle":"","family":"Gopalakrishnan","given":"Gosala S.","non-dropping-particle":"","parse-names":false,"suffix":""},{"dropping-particle":"","family":"Rudge","given":"Peter","non-dropping-particle":"","parse-names":false,"suffix":""},{"dropping-particle":"","family":"Walker","given":"A. Sarah","non-dropping-particle":"","parse-names":false,"suffix":""},{"dropping-particle":"","family":"Collinge","given":"John","non-dropping-particle":"","parse-names":false,"suffix":""},{"dropping-particle":"","family":"Mead","given":"Simon","non-dropping-particle":"","parse-names":false,"suffix":""}],"container-title":"Brain","id":"ITEM-1","issue":"4","issued":{"date-parts":[["2013"]]},"page":"1116-1127","title":"The medical research council prion disease rating scale: A new outcome measure for prion disease therapeutic trials developed and validated using systematic observational studies","type":"article-journal","volume":"136"},"uris":["http://www.mendeley.com/documents/?uuid=3aabe36a-1ae9-4f82-8507-208c33376690"]}],"mendeley":{"formattedCitation":"(Thompson et al., 2013)","plainTextFormattedCitation":"(Thompson et al., 2013)","previouslyFormattedCitation":"(Thompson et al., 2013)"},"properties":{"noteIndex":0},"schema":"https://github.com/citation-style-language/schema/raw/master/csl-citation.json"}</w:instrText>
            </w:r>
            <w:r w:rsidRPr="006A1EC7">
              <w:rPr>
                <w:sz w:val="18"/>
                <w:szCs w:val="18"/>
              </w:rPr>
              <w:fldChar w:fldCharType="separate"/>
            </w:r>
            <w:r w:rsidRPr="006A1EC7">
              <w:rPr>
                <w:noProof/>
                <w:sz w:val="18"/>
                <w:szCs w:val="18"/>
              </w:rPr>
              <w:t>(Thompson et al., 2013)</w:t>
            </w:r>
            <w:r w:rsidRPr="006A1EC7">
              <w:rPr>
                <w:sz w:val="18"/>
                <w:szCs w:val="18"/>
              </w:rPr>
              <w:fldChar w:fldCharType="end"/>
            </w:r>
          </w:p>
          <w:p w14:paraId="18785F52"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p>
        </w:tc>
      </w:tr>
      <w:tr w:rsidR="00C77145" w:rsidRPr="006A1EC7" w14:paraId="553E0C61" w14:textId="77777777" w:rsidTr="00D13545">
        <w:trPr>
          <w:trHeight w:val="1961"/>
        </w:trPr>
        <w:tc>
          <w:tcPr>
            <w:cnfStyle w:val="001000000000" w:firstRow="0" w:lastRow="0" w:firstColumn="1" w:lastColumn="0" w:oddVBand="0" w:evenVBand="0" w:oddHBand="0" w:evenHBand="0" w:firstRowFirstColumn="0" w:firstRowLastColumn="0" w:lastRowFirstColumn="0" w:lastRowLastColumn="0"/>
            <w:tcW w:w="2788" w:type="dxa"/>
          </w:tcPr>
          <w:p w14:paraId="21863E09" w14:textId="77777777" w:rsidR="00C77145" w:rsidRPr="006A1EC7" w:rsidRDefault="00C77145" w:rsidP="00D13545">
            <w:pPr>
              <w:rPr>
                <w:b w:val="0"/>
                <w:sz w:val="18"/>
                <w:szCs w:val="18"/>
              </w:rPr>
            </w:pPr>
            <w:r w:rsidRPr="006A1EC7">
              <w:rPr>
                <w:sz w:val="18"/>
                <w:szCs w:val="18"/>
              </w:rPr>
              <w:t>Site/region specific</w:t>
            </w:r>
          </w:p>
        </w:tc>
        <w:tc>
          <w:tcPr>
            <w:tcW w:w="2812" w:type="dxa"/>
          </w:tcPr>
          <w:p w14:paraId="3606B18B"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Assesses the abilities/functioning of a specific region/site of the body, e.g. arm or shoulder </w:t>
            </w:r>
            <w:r w:rsidRPr="006A1EC7">
              <w:rPr>
                <w:sz w:val="18"/>
                <w:szCs w:val="18"/>
              </w:rPr>
              <w:fldChar w:fldCharType="begin" w:fldLock="1"/>
            </w:r>
            <w:r w:rsidRPr="006A1EC7">
              <w:rPr>
                <w:sz w:val="18"/>
                <w:szCs w:val="18"/>
              </w:rPr>
              <w:instrText>ADDIN CSL_CITATION {"citationItems":[{"id":"ITEM-1","itemData":{"DOI":"10.1186/1471-2474-4-11","ISBN":"1471-2474 (Electronic)\\r1471-2474 (Linking)","ISSN":"1471-2474","PMID":"12809562","abstract":"BACKGROUND: The disabilities of the arm, shoulder and hand (DASH) questionnaire is a self-administered region-specific outcome instrument developed as a measure of self-rated upper-extremity disability and symptoms. The DASH consists mainly of a 30-item disability/symptom scale, scored 0 (no disability) to 100. The main purpose of this study was to assess the longitudinal construct validity of the DASH among patients undergoing surgery. The second purpose was to quantify self-rated treatment effectiveness after surgery. METHODS: The longitudinal construct validity of the DASH was evaluated in 109 patients having surgical treatment for a variety of upper-extremity conditions, by assessing preoperative-to-postoperative (6-21 months) change in DASH score and calculating the effect size and standardized response mean. The magnitude of score change was also analyzed in relation to patients' responses to an item regarding self-perceived change in the status of the arm after surgery. Performance of the DASH as a measure of treatment effectiveness was assessed after surgery for subacromial impingement and carpal tunnel syndrome by calculating the effect size and standardized response mean. RESULTS: Among the 109 patients, the mean (SD) DASH score preoperatively was 35 (22) and postoperatively 24 (23) and the mean score change was 15 (13). The effect size was 0.7 and the standardized response mean 1.2.The mean change (95% confidence interval) in DASH score for the patients reporting the status of the arm as \"much better\" or \"much worse\" after surgery was 19 (15-23) and for those reporting it as \"somewhat better\" or \"somewhat worse\" was 10 (7-14) (p = 0.01). In measuring effectiveness of arthroscopic acromioplasty the effect size was 0.9 and standardized response mean 0.5; for carpal tunnel surgery the effect size was 0.7 and standardized response mean 1.0. CONCLUSION: The DASH can detect and differentiate small and large changes of disability over time after surgery in patients with upper-extremity musculoskeletal disorders. A 10-point difference in mean DASH score may be considered as a minimal important change. The DASH can show treatment effectiveness after surgery for subacromial impingement and carpal tunnel syndrome. The effect size and standardized response mean may yield substantially differing results.","author":[{"dropping-particle":"","family":"Gummesson","given":"C","non-dropping-particle":"","parse-names":false,"suffix":""},{"dropping-particle":"","family":"Atroshi","given":"I","non-dropping-particle":"","parse-names":false,"suffix":""},{"dropping-particle":"","family":"Ekdahl","given":"C","non-dropping-particle":"","parse-names":false,"suffix":""}],"container-title":"BMC Musculoskelet Disord","id":"ITEM-1","issued":{"date-parts":[["2003"]]},"page":"11","title":"The disabilities of the arm, shoulder and hand (DASH) outcome questionnaire: longitudinal construct validity and measuring self-rated health change after surgery","type":"article-journal","volume":"4"},"uris":["http://www.mendeley.com/documents/?uuid=bd9afe5f-9c2f-45d9-a3cc-01c0a0516e5f"]},{"id":"ITEM-2","itemData":{"DOI":"10.1016/S0894-1130(01)80043-0","ISBN":"0894-1130 (Print)\\n0894-1130","ISSN":"08941130","PMID":"11382253","abstract":"The Disabilities of the Arm, Shoulder and Hand (DASH) outcome measure was developed to evaluate disability and symptoms in single or multiple disorders of the upper limb at one point or at many points in time. Purpose: The purpose of this study was to evaluate the reliability, validity, and responsiveness of the DASH in a group of diverse patients and to compare the results with those obtained with joint-specific measures. Methods: Two hundred patients with either wrist/hand or shoulder problems were evaluated by use of questionnaires before treatment, and 172 (86%) were re-evaluated 12 weeks after treatment. Eighty-six patients also completed a test-retest questionnaire three to five days after the initial (baseline) evaluation. The questionnaire package included the DASH, the Brigham (carpal tunnel) questionnaire, the SPADI (Shoulder Pain and Disability Index), and other markers of pain and function. Correlations or t-tests between the DASH and the other measures were used to assess construct validity. Test-retest reliability was assessed using the intraclass correlation coefficient and other summary statistics. Responsiveness was described using standardized response means, receiver operating characteristics curves, and correlations between change in DASH score and change in scores of other measures. Standard response means were used to compare DASH responsiveness with that of the Brigham questionnaire and the SPADI in each region. Results: The DASH was found to correlate with other measures (r &gt; 0.69) and to discriminate well, for example, between patients who were working and those who were not (p&lt; 0.0001). Test-retest reliability (ICC = 0.96) exceeded guidelines. The responsiveness of the DASH (to self-rated or expected change) was comparable with or better than that of the joint-specific measures in the whole group and in each region. Conclusions: Evidence was provided of the validity, test-retest reliability, and responsiveness of the DASH. This study also demonstrated that the DASH had validity and responsiveness in both proximal and distal disorders, confirming its usefulness across the whole extremity.","author":[{"dropping-particle":"","family":"Beaton","given":"Dorcas E","non-dropping-particle":"","parse-names":false,"suffix":""},{"dropping-particle":"","family":"Katz","given":"Jeffrey N","non-dropping-particle":"","parse-names":false,"suffix":""},{"dropping-particle":"","family":"Fossel","given":"Anne H","non-dropping-particle":"","parse-names":false,"suffix":""},{"dropping-particle":"","family":"Wright","given":"James G","non-dropping-particle":"","parse-names":false,"suffix":""},{"dropping-particle":"","family":"Tarasuk","given":"Valerie","non-dropping-particle":"","parse-names":false,"suffix":""},{"dropping-particle":"","family":"Bombardier","given":"Claire","non-dropping-particle":"","parse-names":false,"suffix":""}],"container-title":"Journal of Hand Therapy","id":"ITEM-2","issue":"2","issued":{"date-parts":[["2001"]]},"page":"128-142","publisher":"Hanley &amp; Belfus, Inc.","title":"Measuring the whole or the parts? Validity, Reliability and Responsiveness of the Disabilities of the Arm, Shoulder and Hand Outcome Measure in Different Regions of the Upper Extremity","type":"article-journal","volume":"14"},"uris":["http://www.mendeley.com/documents/?uuid=1f866f43-8a6a-4fb5-a7f8-d50262257873"]}],"mendeley":{"formattedCitation":"(Beaton et al., 2001; Gummesson, Atroshi, &amp; Ekdahl, 2003)","plainTextFormattedCitation":"(Beaton et al., 2001; Gummesson, Atroshi, &amp; Ekdahl, 2003)","previouslyFormattedCitation":"(Beaton et al., 2001; Gummesson, Atroshi, &amp; Ekdahl, 2003)"},"properties":{"noteIndex":0},"schema":"https://github.com/citation-style-language/schema/raw/master/csl-citation.json"}</w:instrText>
            </w:r>
            <w:r w:rsidRPr="006A1EC7">
              <w:rPr>
                <w:sz w:val="18"/>
                <w:szCs w:val="18"/>
              </w:rPr>
              <w:fldChar w:fldCharType="separate"/>
            </w:r>
            <w:r w:rsidRPr="006A1EC7">
              <w:rPr>
                <w:noProof/>
                <w:sz w:val="18"/>
                <w:szCs w:val="18"/>
              </w:rPr>
              <w:t>(Beaton et al., 2001; Gummesson, Atroshi, &amp; Ekdahl, 2003)</w:t>
            </w:r>
            <w:r w:rsidRPr="006A1EC7">
              <w:rPr>
                <w:sz w:val="18"/>
                <w:szCs w:val="18"/>
              </w:rPr>
              <w:fldChar w:fldCharType="end"/>
            </w:r>
          </w:p>
          <w:p w14:paraId="39D5E5E8"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Created to assess all aspects of specific site (Mulligan, n.d.)</w:t>
            </w:r>
          </w:p>
        </w:tc>
        <w:tc>
          <w:tcPr>
            <w:tcW w:w="2760" w:type="dxa"/>
          </w:tcPr>
          <w:p w14:paraId="5DE1C8E6"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Site-specific change can be measured </w:t>
            </w:r>
            <w:r w:rsidRPr="006A1EC7">
              <w:rPr>
                <w:sz w:val="18"/>
                <w:szCs w:val="18"/>
              </w:rPr>
              <w:fldChar w:fldCharType="begin" w:fldLock="1"/>
            </w:r>
            <w:r w:rsidRPr="006A1EC7">
              <w:rPr>
                <w:sz w:val="18"/>
                <w:szCs w:val="18"/>
              </w:rPr>
              <w:instrText>ADDIN CSL_CITATION {"citationItems":[{"id":"ITEM-1","itemData":{"author":[{"dropping-particle":"","family":"Robling","given":"Author M","non-dropping-particle":"","parse-names":false,"suffix":""},{"dropping-particle":"","family":"Matthews","given":"S J","non-dropping-particle":"","parse-names":false,"suffix":""},{"dropping-particle":"","family":"Hood","given":"K","non-dropping-particle":"","parse-names":false,"suffix":""},{"dropping-particle":"","family":"Russell","given":"I T","non-dropping-particle":"","parse-names":false,"suffix":""},{"dropping-particle":"","family":"Holloway","given":"R","non-dropping-particle":"","parse-names":false,"suffix":""},{"dropping-particle":"","family":"Wilkinson","given":"C","non-dropping-particle":"","parse-names":false,"suffix":""},{"dropping-particle":"","family":"Edwards","given":"G K","non-dropping-particle":"","parse-names":false,"suffix":""},{"dropping-particle":"","family":"Austoker","given":"J","non-dropping-particle":"","parse-names":false,"suffix":""},{"dropping-particle":"","family":"Cohen","given":"D","non-dropping-particle":"","parse-names":false,"suffix":""},{"dropping-particle":"","family":"Mansel","given":"R","non-dropping-particle":"","parse-names":false,"suffix":""},{"dropping-particle":"","family":"Pill","given":"R M","non-dropping-particle":"","parse-names":false,"suffix":""},{"dropping-particle":"","family":"Stott","given":"N C H","non-dropping-particle":"","parse-names":false,"suffix":""},{"dropping-particle":"","family":"Thapar","given":"A","non-dropping-particle":"","parse-names":false,"suffix":""}],"id":"ITEM-1","issue":"4","issued":{"date-parts":[["2002"]]},"page":"339-348","title":"The Development of a New Site-Specific Measure of Quality of Life for Breast Problems : The Cardiff Breast Scales","type":"article-journal","volume":"11"},"uris":["http://www.mendeley.com/documents/?uuid=e1045dd4-ac7e-4002-8a4b-cfd6914a8476"]},{"id":"ITEM-2","itemData":{"DOI":"10.1186/1471-2474-4-11","ISBN":"1471-2474 (Electronic)\\r1471-2474 (Linking)","ISSN":"1471-2474","PMID":"12809562","abstract":"BACKGROUND: The disabilities of the arm, shoulder and hand (DASH) questionnaire is a self-administered region-specific outcome instrument developed as a measure of self-rated upper-extremity disability and symptoms. The DASH consists mainly of a 30-item disability/symptom scale, scored 0 (no disability) to 100. The main purpose of this study was to assess the longitudinal construct validity of the DASH among patients undergoing surgery. The second purpose was to quantify self-rated treatment effectiveness after surgery. METHODS: The longitudinal construct validity of the DASH was evaluated in 109 patients having surgical treatment for a variety of upper-extremity conditions, by assessing preoperative-to-postoperative (6-21 months) change in DASH score and calculating the effect size and standardized response mean. The magnitude of score change was also analyzed in relation to patients' responses to an item regarding self-perceived change in the status of the arm after surgery. Performance of the DASH as a measure of treatment effectiveness was assessed after surgery for subacromial impingement and carpal tunnel syndrome by calculating the effect size and standardized response mean. RESULTS: Among the 109 patients, the mean (SD) DASH score preoperatively was 35 (22) and postoperatively 24 (23) and the mean score change was 15 (13). The effect size was 0.7 and the standardized response mean 1.2.The mean change (95% confidence interval) in DASH score for the patients reporting the status of the arm as \"much better\" or \"much worse\" after surgery was 19 (15-23) and for those reporting it as \"somewhat better\" or \"somewhat worse\" was 10 (7-14) (p = 0.01). In measuring effectiveness of arthroscopic acromioplasty the effect size was 0.9 and standardized response mean 0.5; for carpal tunnel surgery the effect size was 0.7 and standardized response mean 1.0. CONCLUSION: The DASH can detect and differentiate small and large changes of disability over time after surgery in patients with upper-extremity musculoskeletal disorders. A 10-point difference in mean DASH score may be considered as a minimal important change. The DASH can show treatment effectiveness after surgery for subacromial impingement and carpal tunnel syndrome. The effect size and standardized response mean may yield substantially differing results.","author":[{"dropping-particle":"","family":"Gummesson","given":"C","non-dropping-particle":"","parse-names":false,"suffix":""},{"dropping-particle":"","family":"Atroshi","given":"I","non-dropping-particle":"","parse-names":false,"suffix":""},{"dropping-particle":"","family":"Ekdahl","given":"C","non-dropping-particle":"","parse-names":false,"suffix":""}],"container-title":"BMC Musculoskelet Disord","id":"ITEM-2","issued":{"date-parts":[["2003"]]},"page":"11","title":"The disabilities of the arm, shoulder and hand (DASH) outcome questionnaire: longitudinal construct validity and measuring self-rated health change after surgery","type":"article-journal","volume":"4"},"uris":["http://www.mendeley.com/documents/?uuid=bd9afe5f-9c2f-45d9-a3cc-01c0a0516e5f"]}],"mendeley":{"formattedCitation":"(Gummesson et al., 2003; Robling et al., 2002)","plainTextFormattedCitation":"(Gummesson et al., 2003; Robling et al., 2002)","previouslyFormattedCitation":"(Gummesson et al., 2003; Robling et al., 2002)"},"properties":{"noteIndex":0},"schema":"https://github.com/citation-style-language/schema/raw/master/csl-citation.json"}</w:instrText>
            </w:r>
            <w:r w:rsidRPr="006A1EC7">
              <w:rPr>
                <w:sz w:val="18"/>
                <w:szCs w:val="18"/>
              </w:rPr>
              <w:fldChar w:fldCharType="separate"/>
            </w:r>
            <w:r w:rsidRPr="006A1EC7">
              <w:rPr>
                <w:noProof/>
                <w:sz w:val="18"/>
                <w:szCs w:val="18"/>
              </w:rPr>
              <w:t>(Gummesson et al., 2003; Robling et al., 2002)</w:t>
            </w:r>
            <w:r w:rsidRPr="006A1EC7">
              <w:rPr>
                <w:sz w:val="18"/>
                <w:szCs w:val="18"/>
              </w:rPr>
              <w:fldChar w:fldCharType="end"/>
            </w:r>
          </w:p>
          <w:p w14:paraId="39E514AB"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p>
        </w:tc>
        <w:tc>
          <w:tcPr>
            <w:tcW w:w="2777" w:type="dxa"/>
          </w:tcPr>
          <w:p w14:paraId="2456BA4A"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As created to assess all aspects of specific site, potentially lengthy assessment process with some irrelevant questions  </w:t>
            </w:r>
            <w:r w:rsidRPr="006A1EC7">
              <w:rPr>
                <w:sz w:val="18"/>
                <w:szCs w:val="18"/>
              </w:rPr>
              <w:fldChar w:fldCharType="begin" w:fldLock="1"/>
            </w:r>
            <w:r w:rsidRPr="006A1EC7">
              <w:rPr>
                <w:sz w:val="18"/>
                <w:szCs w:val="18"/>
              </w:rPr>
              <w:instrText>ADDIN CSL_CITATION {"citationItems":[{"id":"ITEM-1","itemData":{"author":[{"dropping-particle":"","family":"Robling","given":"Author M","non-dropping-particle":"","parse-names":false,"suffix":""},{"dropping-particle":"","family":"Matthews","given":"S J","non-dropping-particle":"","parse-names":false,"suffix":""},{"dropping-particle":"","family":"Hood","given":"K","non-dropping-particle":"","parse-names":false,"suffix":""},{"dropping-particle":"","family":"Russell","given":"I T","non-dropping-particle":"","parse-names":false,"suffix":""},{"dropping-particle":"","family":"Holloway","given":"R","non-dropping-particle":"","parse-names":false,"suffix":""},{"dropping-particle":"","family":"Wilkinson","given":"C","non-dropping-particle":"","parse-names":false,"suffix":""},{"dropping-particle":"","family":"Edwards","given":"G K","non-dropping-particle":"","parse-names":false,"suffix":""},{"dropping-particle":"","family":"Austoker","given":"J","non-dropping-particle":"","parse-names":false,"suffix":""},{"dropping-particle":"","family":"Cohen","given":"D","non-dropping-particle":"","parse-names":false,"suffix":""},{"dropping-particle":"","family":"Mansel","given":"R","non-dropping-particle":"","parse-names":false,"suffix":""},{"dropping-particle":"","family":"Pill","given":"R M","non-dropping-particle":"","parse-names":false,"suffix":""},{"dropping-particle":"","family":"Stott","given":"N C H","non-dropping-particle":"","parse-names":false,"suffix":""},{"dropping-particle":"","family":"Thapar","given":"A","non-dropping-particle":"","parse-names":false,"suffix":""}],"id":"ITEM-1","issue":"4","issued":{"date-parts":[["2002"]]},"page":"339-348","title":"The Development of a New Site-Specific Measure of Quality of Life for Breast Problems : The Cardiff Breast Scales","type":"article-journal","volume":"11"},"uris":["http://www.mendeley.com/documents/?uuid=e1045dd4-ac7e-4002-8a4b-cfd6914a8476"]},{"id":"ITEM-2","itemData":{"DOI":"10.1186/1471-2474-4-11","ISBN":"1471-2474 (Electronic)\\r1471-2474 (Linking)","ISSN":"1471-2474","PMID":"12809562","abstract":"BACKGROUND: The disabilities of the arm, shoulder and hand (DASH) questionnaire is a self-administered region-specific outcome instrument developed as a measure of self-rated upper-extremity disability and symptoms. The DASH consists mainly of a 30-item disability/symptom scale, scored 0 (no disability) to 100. The main purpose of this study was to assess the longitudinal construct validity of the DASH among patients undergoing surgery. The second purpose was to quantify self-rated treatment effectiveness after surgery. METHODS: The longitudinal construct validity of the DASH was evaluated in 109 patients having surgical treatment for a variety of upper-extremity conditions, by assessing preoperative-to-postoperative (6-21 months) change in DASH score and calculating the effect size and standardized response mean. The magnitude of score change was also analyzed in relation to patients' responses to an item regarding self-perceived change in the status of the arm after surgery. Performance of the DASH as a measure of treatment effectiveness was assessed after surgery for subacromial impingement and carpal tunnel syndrome by calculating the effect size and standardized response mean. RESULTS: Among the 109 patients, the mean (SD) DASH score preoperatively was 35 (22) and postoperatively 24 (23) and the mean score change was 15 (13). The effect size was 0.7 and the standardized response mean 1.2.The mean change (95% confidence interval) in DASH score for the patients reporting the status of the arm as \"much better\" or \"much worse\" after surgery was 19 (15-23) and for those reporting it as \"somewhat better\" or \"somewhat worse\" was 10 (7-14) (p = 0.01). In measuring effectiveness of arthroscopic acromioplasty the effect size was 0.9 and standardized response mean 0.5; for carpal tunnel surgery the effect size was 0.7 and standardized response mean 1.0. CONCLUSION: The DASH can detect and differentiate small and large changes of disability over time after surgery in patients with upper-extremity musculoskeletal disorders. A 10-point difference in mean DASH score may be considered as a minimal important change. The DASH can show treatment effectiveness after surgery for subacromial impingement and carpal tunnel syndrome. The effect size and standardized response mean may yield substantially differing results.","author":[{"dropping-particle":"","family":"Gummesson","given":"C","non-dropping-particle":"","parse-names":false,"suffix":""},{"dropping-particle":"","family":"Atroshi","given":"I","non-dropping-particle":"","parse-names":false,"suffix":""},{"dropping-particle":"","family":"Ekdahl","given":"C","non-dropping-particle":"","parse-names":false,"suffix":""}],"container-title":"BMC Musculoskelet Disord","id":"ITEM-2","issued":{"date-parts":[["2003"]]},"page":"11","title":"The disabilities of the arm, shoulder and hand (DASH) outcome questionnaire: longitudinal construct validity and measuring self-rated health change after surgery","type":"article-journal","volume":"4"},"uris":["http://www.mendeley.com/documents/?uuid=bd9afe5f-9c2f-45d9-a3cc-01c0a0516e5f"]}],"mendeley":{"formattedCitation":"(Gummesson et al., 2003; Robling et al., 2002)","plainTextFormattedCitation":"(Gummesson et al., 2003; Robling et al., 2002)","previouslyFormattedCitation":"(Gummesson et al., 2003; Robling et al., 2002)"},"properties":{"noteIndex":0},"schema":"https://github.com/citation-style-language/schema/raw/master/csl-citation.json"}</w:instrText>
            </w:r>
            <w:r w:rsidRPr="006A1EC7">
              <w:rPr>
                <w:sz w:val="18"/>
                <w:szCs w:val="18"/>
              </w:rPr>
              <w:fldChar w:fldCharType="separate"/>
            </w:r>
            <w:r w:rsidRPr="006A1EC7">
              <w:rPr>
                <w:noProof/>
                <w:sz w:val="18"/>
                <w:szCs w:val="18"/>
              </w:rPr>
              <w:t>(Gummesson et al., 2003; Robling et al., 2002)</w:t>
            </w:r>
            <w:r w:rsidRPr="006A1EC7">
              <w:rPr>
                <w:sz w:val="18"/>
                <w:szCs w:val="18"/>
              </w:rPr>
              <w:fldChar w:fldCharType="end"/>
            </w:r>
          </w:p>
        </w:tc>
        <w:tc>
          <w:tcPr>
            <w:tcW w:w="2046" w:type="dxa"/>
          </w:tcPr>
          <w:p w14:paraId="2E357E61"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Disabilities of the arm, shoulder and hand outcome questionnaire </w:t>
            </w:r>
            <w:r w:rsidRPr="006A1EC7">
              <w:rPr>
                <w:sz w:val="18"/>
                <w:szCs w:val="18"/>
              </w:rPr>
              <w:fldChar w:fldCharType="begin" w:fldLock="1"/>
            </w:r>
            <w:r w:rsidRPr="006A1EC7">
              <w:rPr>
                <w:sz w:val="18"/>
                <w:szCs w:val="18"/>
              </w:rPr>
              <w:instrText>ADDIN CSL_CITATION {"citationItems":[{"id":"ITEM-1","itemData":{"DOI":"10.1186/1471-2474-4-11","ISBN":"1471-2474 (Electronic)\\r1471-2474 (Linking)","ISSN":"1471-2474","PMID":"12809562","abstract":"BACKGROUND: The disabilities of the arm, shoulder and hand (DASH) questionnaire is a self-administered region-specific outcome instrument developed as a measure of self-rated upper-extremity disability and symptoms. The DASH consists mainly of a 30-item disability/symptom scale, scored 0 (no disability) to 100. The main purpose of this study was to assess the longitudinal construct validity of the DASH among patients undergoing surgery. The second purpose was to quantify self-rated treatment effectiveness after surgery. METHODS: The longitudinal construct validity of the DASH was evaluated in 109 patients having surgical treatment for a variety of upper-extremity conditions, by assessing preoperative-to-postoperative (6-21 months) change in DASH score and calculating the effect size and standardized response mean. The magnitude of score change was also analyzed in relation to patients' responses to an item regarding self-perceived change in the status of the arm after surgery. Performance of the DASH as a measure of treatment effectiveness was assessed after surgery for subacromial impingement and carpal tunnel syndrome by calculating the effect size and standardized response mean. RESULTS: Among the 109 patients, the mean (SD) DASH score preoperatively was 35 (22) and postoperatively 24 (23) and the mean score change was 15 (13). The effect size was 0.7 and the standardized response mean 1.2.The mean change (95% confidence interval) in DASH score for the patients reporting the status of the arm as \"much better\" or \"much worse\" after surgery was 19 (15-23) and for those reporting it as \"somewhat better\" or \"somewhat worse\" was 10 (7-14) (p = 0.01). In measuring effectiveness of arthroscopic acromioplasty the effect size was 0.9 and standardized response mean 0.5; for carpal tunnel surgery the effect size was 0.7 and standardized response mean 1.0. CONCLUSION: The DASH can detect and differentiate small and large changes of disability over time after surgery in patients with upper-extremity musculoskeletal disorders. A 10-point difference in mean DASH score may be considered as a minimal important change. The DASH can show treatment effectiveness after surgery for subacromial impingement and carpal tunnel syndrome. The effect size and standardized response mean may yield substantially differing results.","author":[{"dropping-particle":"","family":"Gummesson","given":"C","non-dropping-particle":"","parse-names":false,"suffix":""},{"dropping-particle":"","family":"Atroshi","given":"I","non-dropping-particle":"","parse-names":false,"suffix":""},{"dropping-particle":"","family":"Ekdahl","given":"C","non-dropping-particle":"","parse-names":false,"suffix":""}],"container-title":"BMC Musculoskelet Disord","id":"ITEM-1","issued":{"date-parts":[["2003"]]},"page":"11","title":"The disabilities of the arm, shoulder and hand (DASH) outcome questionnaire: longitudinal construct validity and measuring self-rated health change after surgery","type":"article-journal","volume":"4"},"uris":["http://www.mendeley.com/documents/?uuid=bd9afe5f-9c2f-45d9-a3cc-01c0a0516e5f"]}],"mendeley":{"formattedCitation":"(Gummesson et al., 2003)","plainTextFormattedCitation":"(Gummesson et al., 2003)","previouslyFormattedCitation":"(Gummesson et al., 2003)"},"properties":{"noteIndex":0},"schema":"https://github.com/citation-style-language/schema/raw/master/csl-citation.json"}</w:instrText>
            </w:r>
            <w:r w:rsidRPr="006A1EC7">
              <w:rPr>
                <w:sz w:val="18"/>
                <w:szCs w:val="18"/>
              </w:rPr>
              <w:fldChar w:fldCharType="separate"/>
            </w:r>
            <w:r w:rsidRPr="006A1EC7">
              <w:rPr>
                <w:noProof/>
                <w:sz w:val="18"/>
                <w:szCs w:val="18"/>
              </w:rPr>
              <w:t>(Gummesson et al., 2003)</w:t>
            </w:r>
            <w:r w:rsidRPr="006A1EC7">
              <w:rPr>
                <w:sz w:val="18"/>
                <w:szCs w:val="18"/>
              </w:rPr>
              <w:fldChar w:fldCharType="end"/>
            </w:r>
          </w:p>
        </w:tc>
      </w:tr>
      <w:tr w:rsidR="00C77145" w:rsidRPr="006A1EC7" w14:paraId="239DD00B"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486DC778" w14:textId="77777777" w:rsidR="00C77145" w:rsidRPr="006A1EC7" w:rsidRDefault="00C77145" w:rsidP="00D13545">
            <w:pPr>
              <w:rPr>
                <w:b w:val="0"/>
                <w:sz w:val="18"/>
                <w:szCs w:val="18"/>
              </w:rPr>
            </w:pPr>
            <w:r w:rsidRPr="006A1EC7">
              <w:rPr>
                <w:sz w:val="18"/>
                <w:szCs w:val="18"/>
              </w:rPr>
              <w:t>Dimension specific</w:t>
            </w:r>
          </w:p>
        </w:tc>
        <w:tc>
          <w:tcPr>
            <w:tcW w:w="2812" w:type="dxa"/>
          </w:tcPr>
          <w:p w14:paraId="368A2574" w14:textId="09E648D6"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Assesses dimension of an illness </w:t>
            </w:r>
            <w:r w:rsidRPr="006A1EC7">
              <w:rPr>
                <w:sz w:val="18"/>
                <w:szCs w:val="18"/>
              </w:rPr>
              <w:fldChar w:fldCharType="begin" w:fldLock="1"/>
            </w:r>
            <w:r w:rsidRPr="006A1EC7">
              <w:rPr>
                <w:sz w:val="18"/>
                <w:szCs w:val="18"/>
              </w:rPr>
              <w:instrText>ADDIN CSL_CITATION {"citationItems":[{"id":"ITEM-1","itemData":{"author":[{"dropping-particle":"","family":"Garratt","given":"A M","non-dropping-particle":"","parse-names":false,"suffix":""},{"dropping-particle":"","family":"Schmidt","given":"L","non-dropping-particle":"","parse-names":false,"suffix":""},{"dropping-particle":"","family":"Fitzpatrick","given":"R","non-dropping-particle":"","parse-names":false,"suffix":""}],"container-title":"Diabetes UK: Diabetic Medicine","id":"ITEM-1","issued":{"date-parts":[["2001"]]},"page":"1-11","title":"Patient-assessed health outcome measures for diabetes: a structured review","type":"article-journal"},"uris":["http://www.mendeley.com/documents/?uuid=2b0d2fac-3483-4652-86ac-643b95c4f11d"]}],"mendeley":{"formattedCitation":"(Garratt et al., 2001)","plainTextFormattedCitation":"(Garratt et al., 2001)","previouslyFormattedCitation":"(Garratt et al., 2001)"},"properties":{"noteIndex":0},"schema":"https://github.com/citation-style-language/schema/raw/master/csl-citation.json"}</w:instrText>
            </w:r>
            <w:r w:rsidRPr="006A1EC7">
              <w:rPr>
                <w:sz w:val="18"/>
                <w:szCs w:val="18"/>
              </w:rPr>
              <w:fldChar w:fldCharType="separate"/>
            </w:r>
            <w:r w:rsidRPr="006A1EC7">
              <w:rPr>
                <w:noProof/>
                <w:sz w:val="18"/>
                <w:szCs w:val="18"/>
              </w:rPr>
              <w:t>(Garratt et al., 2001)</w:t>
            </w:r>
            <w:r w:rsidRPr="006A1EC7">
              <w:rPr>
                <w:sz w:val="18"/>
                <w:szCs w:val="18"/>
              </w:rPr>
              <w:fldChar w:fldCharType="end"/>
            </w:r>
            <w:r w:rsidRPr="006A1EC7">
              <w:rPr>
                <w:sz w:val="18"/>
                <w:szCs w:val="18"/>
              </w:rPr>
              <w:t xml:space="preserve">, such as physical or cognitive functioning </w:t>
            </w:r>
            <w:r w:rsidRPr="006A1EC7">
              <w:rPr>
                <w:sz w:val="18"/>
                <w:szCs w:val="18"/>
              </w:rPr>
              <w:fldChar w:fldCharType="begin" w:fldLock="1"/>
            </w:r>
            <w:r w:rsidRPr="006A1EC7">
              <w:rPr>
                <w:sz w:val="18"/>
                <w:szCs w:val="18"/>
              </w:rPr>
              <w:instrText>ADDIN CSL_CITATION {"citationItems":[{"id":"ITEM-1","itemData":{"author":[{"dropping-particle":"","family":"Miedany","given":"Y","non-dropping-particle":"El","parse-names":false,"suffix":""}],"id":"ITEM-1","issued":{"date-parts":[["2016"]]},"publisher":"Springer International Publishing","publisher-place":"Switzerland","title":"Patient Reported Outcome Measures in Rheumatic Diseases","type":"book"},"uris":["http://www.mendeley.com/documents/?uuid=9f988ce9-5095-40c3-9be1-e15f30def46c"]}],"mendeley":{"formattedCitation":"(El Miedany, 2016)","plainTextFormattedCitation":"(El Miedany, 2016)","previouslyFormattedCitation":"(El Miedany, 2016)"},"properties":{"noteIndex":0},"schema":"https://github.com/citation-style-language/schema/raw/master/csl-citation.json"}</w:instrText>
            </w:r>
            <w:r w:rsidRPr="006A1EC7">
              <w:rPr>
                <w:sz w:val="18"/>
                <w:szCs w:val="18"/>
              </w:rPr>
              <w:fldChar w:fldCharType="separate"/>
            </w:r>
            <w:r w:rsidRPr="006A1EC7">
              <w:rPr>
                <w:noProof/>
                <w:sz w:val="18"/>
                <w:szCs w:val="18"/>
              </w:rPr>
              <w:t>(El Miedany, 2016)</w:t>
            </w:r>
            <w:r w:rsidRPr="006A1EC7">
              <w:rPr>
                <w:sz w:val="18"/>
                <w:szCs w:val="18"/>
              </w:rPr>
              <w:fldChar w:fldCharType="end"/>
            </w:r>
          </w:p>
        </w:tc>
        <w:tc>
          <w:tcPr>
            <w:tcW w:w="2760" w:type="dxa"/>
          </w:tcPr>
          <w:p w14:paraId="6CCBAB54"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Detailed insight into this dimension of patients’ health </w:t>
            </w:r>
            <w:r w:rsidRPr="006A1EC7">
              <w:rPr>
                <w:sz w:val="18"/>
                <w:szCs w:val="18"/>
              </w:rPr>
              <w:fldChar w:fldCharType="begin" w:fldLock="1"/>
            </w:r>
            <w:r w:rsidRPr="006A1EC7">
              <w:rPr>
                <w:sz w:val="18"/>
                <w:szCs w:val="18"/>
              </w:rPr>
              <w:instrText>ADDIN CSL_CITATION {"citationItems":[{"id":"ITEM-1","itemData":{"author":[{"dropping-particle":"","family":"Miedany","given":"Y","non-dropping-particle":"El","parse-names":false,"suffix":""}],"id":"ITEM-1","issued":{"date-parts":[["2016"]]},"publisher":"Springer International Publishing","publisher-place":"Switzerland","title":"Patient Reported Outcome Measures in Rheumatic Diseases","type":"book"},"uris":["http://www.mendeley.com/documents/?uuid=9f988ce9-5095-40c3-9be1-e15f30def46c"]}],"mendeley":{"formattedCitation":"(El Miedany, 2016)","plainTextFormattedCitation":"(El Miedany, 2016)","previouslyFormattedCitation":"(El Miedany, 2016)"},"properties":{"noteIndex":0},"schema":"https://github.com/citation-style-language/schema/raw/master/csl-citation.json"}</w:instrText>
            </w:r>
            <w:r w:rsidRPr="006A1EC7">
              <w:rPr>
                <w:sz w:val="18"/>
                <w:szCs w:val="18"/>
              </w:rPr>
              <w:fldChar w:fldCharType="separate"/>
            </w:r>
            <w:r w:rsidRPr="006A1EC7">
              <w:rPr>
                <w:noProof/>
                <w:sz w:val="18"/>
                <w:szCs w:val="18"/>
              </w:rPr>
              <w:t>(El Miedany, 2016)</w:t>
            </w:r>
            <w:r w:rsidRPr="006A1EC7">
              <w:rPr>
                <w:sz w:val="18"/>
                <w:szCs w:val="18"/>
              </w:rPr>
              <w:fldChar w:fldCharType="end"/>
            </w:r>
          </w:p>
        </w:tc>
        <w:tc>
          <w:tcPr>
            <w:tcW w:w="2777" w:type="dxa"/>
          </w:tcPr>
          <w:p w14:paraId="5C78ADB3"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Often such measures are developed with the view of person receiving diagnosis vs not receiving the diagnosis </w:t>
            </w:r>
            <w:r w:rsidRPr="006A1EC7">
              <w:rPr>
                <w:sz w:val="18"/>
                <w:szCs w:val="18"/>
              </w:rPr>
              <w:fldChar w:fldCharType="begin" w:fldLock="1"/>
            </w:r>
            <w:r w:rsidRPr="006A1EC7">
              <w:rPr>
                <w:sz w:val="18"/>
                <w:szCs w:val="18"/>
              </w:rPr>
              <w:instrText>ADDIN CSL_CITATION {"citationItems":[{"id":"ITEM-1","itemData":{"author":[{"dropping-particle":"","family":"Miedany","given":"Y","non-dropping-particle":"El","parse-names":false,"suffix":""}],"id":"ITEM-1","issued":{"date-parts":[["2016"]]},"publisher":"Springer International Publishing","publisher-place":"Switzerland","title":"Patient Reported Outcome Measures in Rheumatic Diseases","type":"book"},"uris":["http://www.mendeley.com/documents/?uuid=9f988ce9-5095-40c3-9be1-e15f30def46c"]}],"mendeley":{"formattedCitation":"(El Miedany, 2016)","plainTextFormattedCitation":"(El Miedany, 2016)","previouslyFormattedCitation":"(El Miedany, 2016)"},"properties":{"noteIndex":0},"schema":"https://github.com/citation-style-language/schema/raw/master/csl-citation.json"}</w:instrText>
            </w:r>
            <w:r w:rsidRPr="006A1EC7">
              <w:rPr>
                <w:sz w:val="18"/>
                <w:szCs w:val="18"/>
              </w:rPr>
              <w:fldChar w:fldCharType="separate"/>
            </w:r>
            <w:r w:rsidRPr="006A1EC7">
              <w:rPr>
                <w:noProof/>
                <w:sz w:val="18"/>
                <w:szCs w:val="18"/>
              </w:rPr>
              <w:t>(El Miedany, 2016)</w:t>
            </w:r>
            <w:r w:rsidRPr="006A1EC7">
              <w:rPr>
                <w:sz w:val="18"/>
                <w:szCs w:val="18"/>
              </w:rPr>
              <w:fldChar w:fldCharType="end"/>
            </w:r>
            <w:r w:rsidRPr="006A1EC7">
              <w:rPr>
                <w:sz w:val="18"/>
                <w:szCs w:val="18"/>
              </w:rPr>
              <w:t xml:space="preserve">, could potentially create bias </w:t>
            </w:r>
          </w:p>
        </w:tc>
        <w:tc>
          <w:tcPr>
            <w:tcW w:w="2046" w:type="dxa"/>
          </w:tcPr>
          <w:p w14:paraId="1CAC935B" w14:textId="7265913A"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McPhill Pain Questionnaire </w:t>
            </w:r>
            <w:r w:rsidRPr="006A1EC7">
              <w:rPr>
                <w:sz w:val="18"/>
                <w:szCs w:val="18"/>
              </w:rPr>
              <w:fldChar w:fldCharType="begin" w:fldLock="1"/>
            </w:r>
            <w:r w:rsidRPr="006A1EC7">
              <w:rPr>
                <w:sz w:val="18"/>
                <w:szCs w:val="18"/>
              </w:rPr>
              <w:instrText>ADDIN CSL_CITATION {"citationItems":[{"id":"ITEM-1","itemData":{"DOI":"10.1097/00000542-200507000-00028","ISBN":"978-3-540-29805-2","ISSN":"0003-3022","abstract":"On the language of pain. By Ronald Melzack, Warren S. Torgerson. Anesthesiology 1971; 34:50-9. Reprinted with permission. The purpose of this study was to develop new approaches to the problem of describing and measuring pain in human subjects. Words used to describe pain were brought together and categorized, and an attempt was made to scale them on a common intensity dimension. The data show that: 1) there are many words in the English language to describe the varieties of pain experience; 2) there is a high level of agreement that the words fall into classes and subclasses that represent particular dimensions or properties of pain experience; 3) substantial portions of the words have approximately the same relative positions on a common intensity scale for people who have widely divergent backgrounds. The word lists provide a basis for a questionnaire to study the effects of anesthetic and analgesic agents on the experience of pain.","author":[{"dropping-particle":"","family":"Melzack","given":"Ronald","non-dropping-particle":"","parse-names":false,"suffix":""}],"container-title":"Pain Measurement and Assessment","id":"ITEM-1","issued":{"date-parts":[["1983"]]},"page":"41-47","title":"The McGill Pain Questionnaire","type":"article"},"uris":["http://www.mendeley.com/documents/?uuid=d24e0696-627e-4b32-8d97-d0c8c62b96ad"]}],"mendeley":{"formattedCitation":"(Melzack, 1983)","plainTextFormattedCitation":"(Melzack, 1983)","previouslyFormattedCitation":"(Melzack, 1983)"},"properties":{"noteIndex":0},"schema":"https://github.com/citation-style-language/schema/raw/master/csl-citation.json"}</w:instrText>
            </w:r>
            <w:r w:rsidRPr="006A1EC7">
              <w:rPr>
                <w:sz w:val="18"/>
                <w:szCs w:val="18"/>
              </w:rPr>
              <w:fldChar w:fldCharType="separate"/>
            </w:r>
            <w:r w:rsidRPr="006A1EC7">
              <w:rPr>
                <w:noProof/>
                <w:sz w:val="18"/>
                <w:szCs w:val="18"/>
              </w:rPr>
              <w:t>(Melzack, 1983)</w:t>
            </w:r>
            <w:r w:rsidRPr="006A1EC7">
              <w:rPr>
                <w:sz w:val="18"/>
                <w:szCs w:val="18"/>
              </w:rPr>
              <w:fldChar w:fldCharType="end"/>
            </w:r>
            <w:r w:rsidRPr="006A1EC7">
              <w:rPr>
                <w:sz w:val="18"/>
                <w:szCs w:val="18"/>
              </w:rPr>
              <w:t xml:space="preserve">; Beck Depression Inventory </w:t>
            </w:r>
            <w:r w:rsidRPr="006A1EC7">
              <w:rPr>
                <w:sz w:val="18"/>
                <w:szCs w:val="18"/>
              </w:rPr>
              <w:fldChar w:fldCharType="begin" w:fldLock="1"/>
            </w:r>
            <w:r w:rsidR="00DF2F14" w:rsidRPr="006A1EC7">
              <w:rPr>
                <w:sz w:val="18"/>
                <w:szCs w:val="18"/>
              </w:rPr>
              <w:instrText>ADDIN CSL_CITATION {"citationItems":[{"id":"ITEM-1","itemData":{"abstract":"() Psychometric properties of the Beck Depression Inventory: Twenty-five years of evaluation. Clinical Psychology Review, 8(1), 77-100.","author":[{"dropping-particle":"","family":"Beck","given":"A. T.","non-dropping-particle":"","parse-names":false,"suffix":""},{"dropping-particle":"","family":"Steer","given":"R.A.","non-dropping-particle":"","parse-names":false,"suffix":""},{"dropping-particle":"","family":"Garbin","given":"M.G.","non-dropping-particle":"","parse-names":false,"suffix":""}],"container-title":"Clinical Psychology Review","id":"ITEM-1","issue":"1","issued":{"date-parts":[["1988"]]},"page":"77-10","title":"Psychometric properties of the Beck Depression Inventory: Twenty-five years of evaluation","type":"article-journal","volume":"8"},"uris":["http://www.mendeley.com/documents/?uuid=23b23ef0-5e1d-4e89-ac40-3f20f6305743"]}],"mendeley":{"formattedCitation":"(A. T. Beck, Steer, &amp; Garbin, 1988)","manualFormatting":"(Beck, Steer, &amp; Garbin, 1988)","plainTextFormattedCitation":"(A. T. Beck, Steer, &amp; Garbin, 1988)","previouslyFormattedCitation":"(A. T. Beck, Steer, &amp; Garbin, 1988)"},"properties":{"noteIndex":0},"schema":"https://github.com/citation-style-language/schema/raw/master/csl-citation.json"}</w:instrText>
            </w:r>
            <w:r w:rsidRPr="006A1EC7">
              <w:rPr>
                <w:sz w:val="18"/>
                <w:szCs w:val="18"/>
              </w:rPr>
              <w:fldChar w:fldCharType="separate"/>
            </w:r>
            <w:r w:rsidRPr="006A1EC7">
              <w:rPr>
                <w:noProof/>
                <w:sz w:val="18"/>
                <w:szCs w:val="18"/>
              </w:rPr>
              <w:t>(Beck, Steer, &amp; Garbin, 1988)</w:t>
            </w:r>
            <w:r w:rsidRPr="006A1EC7">
              <w:rPr>
                <w:sz w:val="18"/>
                <w:szCs w:val="18"/>
              </w:rPr>
              <w:fldChar w:fldCharType="end"/>
            </w:r>
          </w:p>
        </w:tc>
      </w:tr>
      <w:tr w:rsidR="00C77145" w:rsidRPr="006A1EC7" w14:paraId="4A044C77" w14:textId="77777777" w:rsidTr="00D13545">
        <w:tc>
          <w:tcPr>
            <w:cnfStyle w:val="001000000000" w:firstRow="0" w:lastRow="0" w:firstColumn="1" w:lastColumn="0" w:oddVBand="0" w:evenVBand="0" w:oddHBand="0" w:evenHBand="0" w:firstRowFirstColumn="0" w:firstRowLastColumn="0" w:lastRowFirstColumn="0" w:lastRowLastColumn="0"/>
            <w:tcW w:w="2788" w:type="dxa"/>
          </w:tcPr>
          <w:p w14:paraId="7843027F" w14:textId="77777777" w:rsidR="00C77145" w:rsidRPr="006A1EC7" w:rsidRDefault="00C77145" w:rsidP="00D13545">
            <w:pPr>
              <w:rPr>
                <w:b w:val="0"/>
                <w:sz w:val="18"/>
                <w:szCs w:val="18"/>
              </w:rPr>
            </w:pPr>
            <w:r w:rsidRPr="006A1EC7">
              <w:rPr>
                <w:sz w:val="18"/>
                <w:szCs w:val="18"/>
              </w:rPr>
              <w:t>Generic/general</w:t>
            </w:r>
          </w:p>
          <w:p w14:paraId="3DC3AD6F" w14:textId="77777777" w:rsidR="00C77145" w:rsidRPr="006A1EC7" w:rsidRDefault="00C77145" w:rsidP="00D13545">
            <w:pPr>
              <w:rPr>
                <w:b w:val="0"/>
                <w:sz w:val="18"/>
                <w:szCs w:val="18"/>
              </w:rPr>
            </w:pPr>
          </w:p>
        </w:tc>
        <w:tc>
          <w:tcPr>
            <w:tcW w:w="2812" w:type="dxa"/>
          </w:tcPr>
          <w:p w14:paraId="16E1595D"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Designed for use across a range of different groups to assess health status </w:t>
            </w:r>
            <w:r w:rsidRPr="006A1EC7">
              <w:rPr>
                <w:sz w:val="18"/>
                <w:szCs w:val="18"/>
              </w:rPr>
              <w:fldChar w:fldCharType="begin" w:fldLock="1"/>
            </w:r>
            <w:r w:rsidRPr="006A1EC7">
              <w:rPr>
                <w:sz w:val="18"/>
                <w:szCs w:val="18"/>
              </w:rPr>
              <w:instrText>ADDIN CSL_CITATION {"citationItems":[{"id":"ITEM-1","itemData":{"DOI":"9812244","ISBN":"1366-5278 (Print)\\n1366-5278 (Linking)","ISSN":"1366-5278","PMID":"9812244","abstract":"Background: 'Patient-based outcome measure' is a short-hand term referring to the array of questionnaires, interview schedules and other related methods of assessing health, illness and benefits of health care interventions from the patient's perspective. Patient-based outcome measures, addressing constructs such as health-related quality of life, subjective health status, functional status, are increasingly used as primary or secondary end-points in clinical trials. Objectives: To describe the diversity and reasons for diversity of available patient-based outcome measures. To make clear that criteria investigators should have in mind when they select patient-based outcome measures for use in a clinical trial. Methods: Data sources: Literature was identified by a combination of electronic searches of databases, handsearching of selected journals and retrieval of references cited in available literature. Databases used included MEDLINE, EMBASE, CINAHL, PsychLIT and Sociofile. Study selection: A set of explicit criteria were used for selection of literature. Articles were included if they focused on any methodological aspect of patient-based outcome measures (for example, methods of evaluating such measures, psychometric evaluation of measures, comparative studies of measures, studies reporting validation of measures). Studies were excluded if they only reported use of a measure without evaluation, focused only on cross-cultural issues, focused only on clinician-based outcome measures or discussed economic utility theory only without considering measurement. A total of 5621 abstracts and articles were identified by initial searches as potentially relevant. However, after assessment, 391 key references were selected as useful to the objectives of the review. A further 22 references were incorporated into the final version as a result of comments from external experts and referees. Data synthesis: A first draft synthesising the evidence was produced by the first author of this review (RF) and extensively critiqued by the other three authors. A revised version was then submitted for evaluation to a panel of ten experts recruited to represent a wide range of areas of expertise (including clinical medicine, clinical trials, health economics, health services research, social sciences and statistics). Feedback from this panel was read and discussed by the authors of the review and a third version of the review drafted. The final version is a quasi- consensus vie…","author":[{"dropping-particle":"","family":"Fitzpatrick","given":"R","non-dropping-particle":"","parse-names":false,"suffix":""},{"dropping-particle":"","family":"Fitzpatrick","given":"R","non-dropping-particle":"","parse-names":false,"suffix":""},{"dropping-particle":"","family":"Davey","given":"C","non-dropping-particle":"","parse-names":false,"suffix":""},{"dropping-particle":"","family":"Davey","given":"C","non-dropping-particle":"","parse-names":false,"suffix":""},{"dropping-particle":"","family":"Buxton","given":"M J","non-dropping-particle":"","parse-names":false,"suffix":""},{"dropping-particle":"","family":"Buxton","given":"M J","non-dropping-particle":"","parse-names":false,"suffix":""},{"dropping-particle":"","family":"Jones","given":"D R","non-dropping-particle":"","parse-names":false,"suffix":""},{"dropping-particle":"","family":"Jones","given":"D R","non-dropping-particle":"","parse-names":false,"suffix":""}],"container-title":"Health Technology Assessment","id":"ITEM-1","issue":"14","issued":{"date-parts":[["1998"]]},"page":"i-iv, 1-74","title":"Evaluating patient-based outcome measures for use in clinical trials.","type":"article-journal","volume":"2"},"uris":["http://www.mendeley.com/documents/?uuid=e1cefbe7-068a-48b6-bb7d-b684501aded8"]},{"id":"ITEM-2","itemData":{"ISBN":"978-1-58763-420-8","PMID":"23469377","abstract":"The Observational CER User's Guide serves as a resource for investigators and stakeholders when designing observational comparative effectiveness research (CER) studies, particularly those with findings that are intended to translate into decisions or actions. The User's Guide provides principles for designing research that will inform health care decisions of patients and other stakeholders. Furthermore, it serves as a reference for increasing the transparency of the methods used in a study and standardizing the review of protocols through checklists provided in every chapter","author":[{"dropping-particle":"","family":"Velentgas","given":"P.","non-dropping-particle":"","parse-names":false,"suffix":""},{"dropping-particle":"","family":"Dreyer","given":"Nancy A","non-dropping-particle":"","parse-names":false,"suffix":""},{"dropping-particle":"","family":"Nourjah","given":"P.","non-dropping-particle":"","parse-names":false,"suffix":""},{"dropping-particle":"","family":"Smith","given":"Scott","non-dropping-particle":"","parse-names":false,"suffix":""},{"dropping-particle":"","family":"Torchia","given":"M.","non-dropping-particle":"","parse-names":false,"suffix":""}],"container-title":"AHRQ","id":"ITEM-2","issued":{"date-parts":[["2013"]]},"title":"Developing a Protocol for Observational Comparative Effectiveness in Research: A User's Guide","type":"book"},"uris":["http://www.mendeley.com/documents/?uuid=6364d57f-8906-4743-abb8-d8088cc71f71"]}],"mendeley":{"formattedCitation":"(Fitzpatrick et al., 1998; Velentgas et al., 2013)","plainTextFormattedCitation":"(Fitzpatrick et al., 1998; Velentgas et al., 2013)","previouslyFormattedCitation":"(Fitzpatrick et al., 1998; Velentgas et al., 2013)"},"properties":{"noteIndex":0},"schema":"https://github.com/citation-style-language/schema/raw/master/csl-citation.json"}</w:instrText>
            </w:r>
            <w:r w:rsidRPr="006A1EC7">
              <w:rPr>
                <w:sz w:val="18"/>
                <w:szCs w:val="18"/>
              </w:rPr>
              <w:fldChar w:fldCharType="separate"/>
            </w:r>
            <w:r w:rsidRPr="006A1EC7">
              <w:rPr>
                <w:noProof/>
                <w:sz w:val="18"/>
                <w:szCs w:val="18"/>
              </w:rPr>
              <w:t>(Fitzpatrick et al., 1998; Velentgas et al., 2013)</w:t>
            </w:r>
            <w:r w:rsidRPr="006A1EC7">
              <w:rPr>
                <w:sz w:val="18"/>
                <w:szCs w:val="18"/>
              </w:rPr>
              <w:fldChar w:fldCharType="end"/>
            </w:r>
          </w:p>
          <w:p w14:paraId="5E2DF6B0"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Focus ranges from narrow to broad features of functioning/illness </w:t>
            </w:r>
            <w:r w:rsidRPr="006A1EC7">
              <w:rPr>
                <w:sz w:val="18"/>
                <w:szCs w:val="18"/>
              </w:rPr>
              <w:fldChar w:fldCharType="begin" w:fldLock="1"/>
            </w:r>
            <w:r w:rsidRPr="006A1EC7">
              <w:rPr>
                <w:sz w:val="18"/>
                <w:szCs w:val="18"/>
              </w:rPr>
              <w:instrText>ADDIN CSL_CITATION {"citationItems":[{"id":"ITEM-1","itemData":{"ISBN":"978-1-58763-420-8","PMID":"23469377","abstract":"The Observational CER User's Guide serves as a resource for investigators and stakeholders when designing observational comparative effectiveness research (CER) studies, particularly those with findings that are intended to translate into decisions or actions. The User's Guide provides principles for designing research that will inform health care decisions of patients and other stakeholders. Furthermore, it serves as a reference for increasing the transparency of the methods used in a study and standardizing the review of protocols through checklists provided in every chapter","author":[{"dropping-particle":"","family":"Velentgas","given":"P.","non-dropping-particle":"","parse-names":false,"suffix":""},{"dropping-particle":"","family":"Dreyer","given":"Nancy A","non-dropping-particle":"","parse-names":false,"suffix":""},{"dropping-particle":"","family":"Nourjah","given":"P.","non-dropping-particle":"","parse-names":false,"suffix":""},{"dropping-particle":"","family":"Smith","given":"Scott","non-dropping-particle":"","parse-names":false,"suffix":""},{"dropping-particle":"","family":"Torchia","given":"M.","non-dropping-particle":"","parse-names":false,"suffix":""}],"container-title":"AHRQ","id":"ITEM-1","issued":{"date-parts":[["2013"]]},"title":"Developing a Protocol for Observational Comparative Effectiveness in Research: A User's Guide","type":"book"},"uris":["http://www.mendeley.com/documents/?uuid=6364d57f-8906-4743-abb8-d8088cc71f71"]}],"mendeley":{"formattedCitation":"(Velentgas et al., 2013)","plainTextFormattedCitation":"(Velentgas et al., 2013)","previouslyFormattedCitation":"(Velentgas et al., 2013)"},"properties":{"noteIndex":0},"schema":"https://github.com/citation-style-language/schema/raw/master/csl-citation.json"}</w:instrText>
            </w:r>
            <w:r w:rsidRPr="006A1EC7">
              <w:rPr>
                <w:sz w:val="18"/>
                <w:szCs w:val="18"/>
              </w:rPr>
              <w:fldChar w:fldCharType="separate"/>
            </w:r>
            <w:r w:rsidRPr="006A1EC7">
              <w:rPr>
                <w:noProof/>
                <w:sz w:val="18"/>
                <w:szCs w:val="18"/>
              </w:rPr>
              <w:t>(Velentgas et al., 2013)</w:t>
            </w:r>
            <w:r w:rsidRPr="006A1EC7">
              <w:rPr>
                <w:sz w:val="18"/>
                <w:szCs w:val="18"/>
              </w:rPr>
              <w:fldChar w:fldCharType="end"/>
            </w:r>
          </w:p>
        </w:tc>
        <w:tc>
          <w:tcPr>
            <w:tcW w:w="2760" w:type="dxa"/>
          </w:tcPr>
          <w:p w14:paraId="245D96BB"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Allows comparisons between populations, or with ‘normative scores’;</w:t>
            </w:r>
          </w:p>
          <w:p w14:paraId="356C40C7"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Psychometric properties well understood </w:t>
            </w:r>
          </w:p>
          <w:p w14:paraId="14FDD8A7"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noProof/>
                <w:sz w:val="18"/>
                <w:szCs w:val="18"/>
              </w:rPr>
              <w:fldChar w:fldCharType="begin" w:fldLock="1"/>
            </w:r>
            <w:r w:rsidRPr="006A1EC7">
              <w:rPr>
                <w:noProof/>
                <w:sz w:val="18"/>
                <w:szCs w:val="18"/>
              </w:rPr>
              <w:instrText>ADDIN CSL_CITATION {"citationItems":[{"id":"ITEM-1","itemData":{"ISBN":"978-1-58763-420-8","PMID":"23469377","abstract":"The Observational CER User's Guide serves as a resource for investigators and stakeholders when designing observational comparative effectiveness research (CER) studies, particularly those with findings that are intended to translate into decisions or actions. The User's Guide provides principles for designing research that will inform health care decisions of patients and other stakeholders. Furthermore, it serves as a reference for increasing the transparency of the methods used in a study and standardizing the review of protocols through checklists provided in every chapter","author":[{"dropping-particle":"","family":"Velentgas","given":"P.","non-dropping-particle":"","parse-names":false,"suffix":""},{"dropping-particle":"","family":"Dreyer","given":"Nancy A","non-dropping-particle":"","parse-names":false,"suffix":""},{"dropping-particle":"","family":"Nourjah","given":"P.","non-dropping-particle":"","parse-names":false,"suffix":""},{"dropping-particle":"","family":"Smith","given":"Scott","non-dropping-particle":"","parse-names":false,"suffix":""},{"dropping-particle":"","family":"Torchia","given":"M.","non-dropping-particle":"","parse-names":false,"suffix":""}],"container-title":"AHRQ","id":"ITEM-1","issued":{"date-parts":[["2013"]]},"title":"Developing a Protocol for Observational Comparative Effectiveness in Research: A User's Guide","type":"book"},"uris":["http://www.mendeley.com/documents/?uuid=6364d57f-8906-4743-abb8-d8088cc71f71"]}],"mendeley":{"formattedCitation":"(Velentgas et al., 2013)","plainTextFormattedCitation":"(Velentgas et al., 2013)","previouslyFormattedCitation":"(Velentgas et al., 2013)"},"properties":{"noteIndex":0},"schema":"https://github.com/citation-style-language/schema/raw/master/csl-citation.json"}</w:instrText>
            </w:r>
            <w:r w:rsidRPr="006A1EC7">
              <w:rPr>
                <w:noProof/>
                <w:sz w:val="18"/>
                <w:szCs w:val="18"/>
              </w:rPr>
              <w:fldChar w:fldCharType="separate"/>
            </w:r>
            <w:r w:rsidRPr="006A1EC7">
              <w:rPr>
                <w:noProof/>
                <w:sz w:val="18"/>
                <w:szCs w:val="18"/>
              </w:rPr>
              <w:t>(Velentgas et al., 2013)</w:t>
            </w:r>
            <w:r w:rsidRPr="006A1EC7">
              <w:rPr>
                <w:noProof/>
                <w:sz w:val="18"/>
                <w:szCs w:val="18"/>
              </w:rPr>
              <w:fldChar w:fldCharType="end"/>
            </w:r>
            <w:r w:rsidRPr="006A1EC7">
              <w:rPr>
                <w:noProof/>
                <w:sz w:val="18"/>
                <w:szCs w:val="18"/>
              </w:rPr>
              <w:t>;</w:t>
            </w:r>
          </w:p>
          <w:p w14:paraId="696D47A5"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Good overview of general health </w:t>
            </w:r>
            <w:r w:rsidRPr="006A1EC7">
              <w:rPr>
                <w:sz w:val="18"/>
                <w:szCs w:val="18"/>
              </w:rPr>
              <w:fldChar w:fldCharType="begin" w:fldLock="1"/>
            </w:r>
            <w:r w:rsidRPr="006A1EC7">
              <w:rPr>
                <w:sz w:val="18"/>
                <w:szCs w:val="18"/>
              </w:rPr>
              <w:instrText>ADDIN CSL_CITATION {"citationItems":[{"id":"ITEM-1","itemData":{"DOI":"9812244","ISBN":"1366-5278 (Print)\\n1366-5278 (Linking)","ISSN":"1366-5278","PMID":"9812244","abstract":"Background: 'Patient-based outcome measure' is a short-hand term referring to the array of questionnaires, interview schedules and other related methods of assessing health, illness and benefits of health care interventions from the patient's perspective. Patient-based outcome measures, addressing constructs such as health-related quality of life, subjective health status, functional status, are increasingly used as primary or secondary end-points in clinical trials. Objectives: To describe the diversity and reasons for diversity of available patient-based outcome measures. To make clear that criteria investigators should have in mind when they select patient-based outcome measures for use in a clinical trial. Methods: Data sources: Literature was identified by a combination of electronic searches of databases, handsearching of selected journals and retrieval of references cited in available literature. Databases used included MEDLINE, EMBASE, CINAHL, PsychLIT and Sociofile. Study selection: A set of explicit criteria were used for selection of literature. Articles were included if they focused on any methodological aspect of patient-based outcome measures (for example, methods of evaluating such measures, psychometric evaluation of measures, comparative studies of measures, studies reporting validation of measures). Studies were excluded if they only reported use of a measure without evaluation, focused only on cross-cultural issues, focused only on clinician-based outcome measures or discussed economic utility theory only without considering measurement. A total of 5621 abstracts and articles were identified by initial searches as potentially relevant. However, after assessment, 391 key references were selected as useful to the objectives of the review. A further 22 references were incorporated into the final version as a result of comments from external experts and referees. Data synthesis: A first draft synthesising the evidence was produced by the first author of this review (RF) and extensively critiqued by the other three authors. A revised version was then submitted for evaluation to a panel of ten experts recruited to represent a wide range of areas of expertise (including clinical medicine, clinical trials, health economics, health services research, social sciences and statistics). Feedback from this panel was read and discussed by the authors of the review and a third version of the review drafted. The final version is a quasi- consensus vie…","author":[{"dropping-particle":"","family":"Fitzpatrick","given":"R","non-dropping-particle":"","parse-names":false,"suffix":""},{"dropping-particle":"","family":"Fitzpatrick","given":"R","non-dropping-particle":"","parse-names":false,"suffix":""},{"dropping-particle":"","family":"Davey","given":"C","non-dropping-particle":"","parse-names":false,"suffix":""},{"dropping-particle":"","family":"Davey","given":"C","non-dropping-particle":"","parse-names":false,"suffix":""},{"dropping-particle":"","family":"Buxton","given":"M J","non-dropping-particle":"","parse-names":false,"suffix":""},{"dropping-particle":"","family":"Buxton","given":"M J","non-dropping-particle":"","parse-names":false,"suffix":""},{"dropping-particle":"","family":"Jones","given":"D R","non-dropping-particle":"","parse-names":false,"suffix":""},{"dropping-particle":"","family":"Jones","given":"D R","non-dropping-particle":"","parse-names":false,"suffix":""}],"container-title":"Health Technology Assessment","id":"ITEM-1","issue":"14","issued":{"date-parts":[["1998"]]},"page":"i-iv, 1-74","title":"Evaluating patient-based outcome measures for use in clinical trials.","type":"article-journal","volume":"2"},"uris":["http://www.mendeley.com/documents/?uuid=e1cefbe7-068a-48b6-bb7d-b684501aded8"]}],"mendeley":{"formattedCitation":"(Fitzpatrick et al., 1998)","plainTextFormattedCitation":"(Fitzpatrick et al., 1998)","previouslyFormattedCitation":"(Fitzpatrick et al., 1998)"},"properties":{"noteIndex":0},"schema":"https://github.com/citation-style-language/schema/raw/master/csl-citation.json"}</w:instrText>
            </w:r>
            <w:r w:rsidRPr="006A1EC7">
              <w:rPr>
                <w:sz w:val="18"/>
                <w:szCs w:val="18"/>
              </w:rPr>
              <w:fldChar w:fldCharType="separate"/>
            </w:r>
            <w:r w:rsidRPr="006A1EC7">
              <w:rPr>
                <w:noProof/>
                <w:sz w:val="18"/>
                <w:szCs w:val="18"/>
              </w:rPr>
              <w:t>(Fitzpatrick et al., 1998)</w:t>
            </w:r>
            <w:r w:rsidRPr="006A1EC7">
              <w:rPr>
                <w:sz w:val="18"/>
                <w:szCs w:val="18"/>
              </w:rPr>
              <w:fldChar w:fldCharType="end"/>
            </w:r>
          </w:p>
          <w:p w14:paraId="20628200"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lastRenderedPageBreak/>
              <w:t xml:space="preserve">Assesses aspects of health across different groups of patients or populations </w:t>
            </w:r>
            <w:r w:rsidRPr="006A1EC7">
              <w:rPr>
                <w:sz w:val="18"/>
                <w:szCs w:val="18"/>
              </w:rPr>
              <w:fldChar w:fldCharType="begin" w:fldLock="1"/>
            </w:r>
            <w:r w:rsidRPr="006A1EC7">
              <w:rPr>
                <w:sz w:val="18"/>
                <w:szCs w:val="18"/>
              </w:rPr>
              <w:instrText>ADDIN CSL_CITATION {"citationItems":[{"id":"ITEM-1","itemData":{"DOI":"10.1016/j.yebeh.2016.01.036","ISBN":"1525-5050","ISSN":"15255069","PMID":"27123531","abstract":"Objective: So that informed treatment decisions can be made, clinical trials need to evaluate treatments against domains that are important to people with epilepsy (PWE), their carers, and clinicians. Health professionals have identified domains of importance to them via the International League Against Epilepsy's Commission on Outcome Measurement (COME). However, patients and carers have not been systematically asked. Methods: Via the membership of the British Epilepsy Association, we recruited and surveyed 352 PWE and 263 of their informal carers. They were presented with 10 outcome domains (including the 5 identified by COME) and asked to rate their importance using a 9-point Likert scale. They were also asked to identify any additional domains of importance. Results: The patients' mean age was 49 years, the median number of years since diagnosis was 20, and 65% had experienced seizures in the prior 12 months. Most carers were the spouse or parent. Patients' and carers' mean ratings indicated that their outcome priorities were similar, as were those of patients who had and had not experienced recent seizures. There was consensus among patients that 6 domains were of critical importance. These included the 5 identified by COME (namely, and in order of importance, the effects of the treatment on \"Seizure severity\", \"Seizure frequency\", \"Quality of life\", \"Cognitive function\", and \"Adverse events\"), as well as one additional domain (\"Independence/need for support\"). There was consensus among carers that the 5 COME domains were also critically important. They, however, identified 3 further domains as critically important. These were the effects of the treatment on patient \"Depression\", \"Anxiety\", and \"Independence/need for support\". Conclusions: Our study found some overlap between the priorities of PWE, carers, and health professionals. They, however, highlight additional areas of importance to patients and carers. Our results could inform a core outcome set for epilepsy that represents the domains that should be reported as a minimum by all trials. This could promote trials which produce meaningful results and consistency in measurement and reporting.","author":[{"dropping-particle":"","family":"Noble","given":"A. J.","non-dropping-particle":"","parse-names":false,"suffix":""},{"dropping-particle":"","family":"Marson","given":"A. G.","non-dropping-particle":"","parse-names":false,"suffix":""}],"container-title":"Epilepsy and Behavior","id":"ITEM-1","issued":{"date-parts":[["2016"]]},"page":"105-110","publisher":"The Authors","title":"Which outcomes should we measure in adult epilepsy trials? The views of people with epilepsy and informal carers","type":"article-journal","volume":"59"},"uris":["http://www.mendeley.com/documents/?uuid=df91d375-f3d9-490a-abc7-9f682e3542e1"]}],"mendeley":{"formattedCitation":"(A. J. Noble &amp; Marson, 2016)","manualFormatting":"(Noble &amp; Marson, 2016)","plainTextFormattedCitation":"(A. J. Noble &amp; Marson, 2016)","previouslyFormattedCitation":"(A. J. Noble &amp; Marson, 2016)"},"properties":{"noteIndex":0},"schema":"https://github.com/citation-style-language/schema/raw/master/csl-citation.json"}</w:instrText>
            </w:r>
            <w:r w:rsidRPr="006A1EC7">
              <w:rPr>
                <w:sz w:val="18"/>
                <w:szCs w:val="18"/>
              </w:rPr>
              <w:fldChar w:fldCharType="separate"/>
            </w:r>
            <w:r w:rsidRPr="006A1EC7">
              <w:rPr>
                <w:noProof/>
                <w:sz w:val="18"/>
                <w:szCs w:val="18"/>
              </w:rPr>
              <w:t>(Noble &amp; Marson, 2016)</w:t>
            </w:r>
            <w:r w:rsidRPr="006A1EC7">
              <w:rPr>
                <w:sz w:val="18"/>
                <w:szCs w:val="18"/>
              </w:rPr>
              <w:fldChar w:fldCharType="end"/>
            </w:r>
            <w:r w:rsidRPr="006A1EC7">
              <w:rPr>
                <w:sz w:val="18"/>
                <w:szCs w:val="18"/>
              </w:rPr>
              <w:t>.</w:t>
            </w:r>
          </w:p>
        </w:tc>
        <w:tc>
          <w:tcPr>
            <w:tcW w:w="2777" w:type="dxa"/>
          </w:tcPr>
          <w:p w14:paraId="7E21F38B"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lastRenderedPageBreak/>
              <w:t>Not tailored for specific illness;</w:t>
            </w:r>
          </w:p>
          <w:p w14:paraId="77890884"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May require validation within specific population </w:t>
            </w:r>
            <w:r w:rsidRPr="006A1EC7">
              <w:rPr>
                <w:sz w:val="18"/>
                <w:szCs w:val="18"/>
              </w:rPr>
              <w:fldChar w:fldCharType="begin" w:fldLock="1"/>
            </w:r>
            <w:r w:rsidRPr="006A1EC7">
              <w:rPr>
                <w:sz w:val="18"/>
                <w:szCs w:val="18"/>
              </w:rPr>
              <w:instrText>ADDIN CSL_CITATION {"citationItems":[{"id":"ITEM-1","itemData":{"ISBN":"978-1-58763-420-8","PMID":"23469377","abstract":"The Observational CER User's Guide serves as a resource for investigators and stakeholders when designing observational comparative effectiveness research (CER) studies, particularly those with findings that are intended to translate into decisions or actions. The User's Guide provides principles for designing research that will inform health care decisions of patients and other stakeholders. Furthermore, it serves as a reference for increasing the transparency of the methods used in a study and standardizing the review of protocols through checklists provided in every chapter","author":[{"dropping-particle":"","family":"Velentgas","given":"P.","non-dropping-particle":"","parse-names":false,"suffix":""},{"dropping-particle":"","family":"Dreyer","given":"Nancy A","non-dropping-particle":"","parse-names":false,"suffix":""},{"dropping-particle":"","family":"Nourjah","given":"P.","non-dropping-particle":"","parse-names":false,"suffix":""},{"dropping-particle":"","family":"Smith","given":"Scott","non-dropping-particle":"","parse-names":false,"suffix":""},{"dropping-particle":"","family":"Torchia","given":"M.","non-dropping-particle":"","parse-names":false,"suffix":""}],"container-title":"AHRQ","id":"ITEM-1","issued":{"date-parts":[["2013"]]},"title":"Developing a Protocol for Observational Comparative Effectiveness in Research: A User's Guide","type":"book"},"uris":["http://www.mendeley.com/documents/?uuid=6364d57f-8906-4743-abb8-d8088cc71f71"]},{"id":"ITEM-2","itemData":{"author":[{"dropping-particle":"","family":"Garratt","given":"A M","non-dropping-particle":"","parse-names":false,"suffix":""},{"dropping-particle":"","family":"Schmidt","given":"L","non-dropping-particle":"","parse-names":false,"suffix":""},{"dropping-particle":"","family":"Fitzpatrick","given":"R","non-dropping-particle":"","parse-names":false,"suffix":""}],"container-title":"Diabetes UK: Diabetic Medicine","id":"ITEM-2","issued":{"date-parts":[["2001"]]},"page":"1-11","title":"Patient-assessed health outcome measures for diabetes: a structured review","type":"article-journal"},"uris":["http://www.mendeley.com/documents/?uuid=2b0d2fac-3483-4652-86ac-643b95c4f11d"]}],"mendeley":{"formattedCitation":"(Garratt et al., 2001; Velentgas et al., 2013)","plainTextFormattedCitation":"(Garratt et al., 2001; Velentgas et al., 2013)","previouslyFormattedCitation":"(Garratt et al., 2001; Velentgas et al., 2013)"},"properties":{"noteIndex":0},"schema":"https://github.com/citation-style-language/schema/raw/master/csl-citation.json"}</w:instrText>
            </w:r>
            <w:r w:rsidRPr="006A1EC7">
              <w:rPr>
                <w:sz w:val="18"/>
                <w:szCs w:val="18"/>
              </w:rPr>
              <w:fldChar w:fldCharType="separate"/>
            </w:r>
            <w:r w:rsidRPr="006A1EC7">
              <w:rPr>
                <w:noProof/>
                <w:sz w:val="18"/>
                <w:szCs w:val="18"/>
              </w:rPr>
              <w:t>(Garratt et al., 2001; Velentgas et al., 2013)</w:t>
            </w:r>
            <w:r w:rsidRPr="006A1EC7">
              <w:rPr>
                <w:sz w:val="18"/>
                <w:szCs w:val="18"/>
              </w:rPr>
              <w:fldChar w:fldCharType="end"/>
            </w:r>
          </w:p>
          <w:p w14:paraId="5F1894E1"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b/>
                <w:sz w:val="18"/>
                <w:szCs w:val="18"/>
              </w:rPr>
            </w:pPr>
          </w:p>
        </w:tc>
        <w:tc>
          <w:tcPr>
            <w:tcW w:w="2046" w:type="dxa"/>
          </w:tcPr>
          <w:p w14:paraId="4D146F5A"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Health of the Nations Outcome Scale </w:t>
            </w:r>
            <w:r w:rsidRPr="006A1EC7">
              <w:rPr>
                <w:sz w:val="18"/>
                <w:szCs w:val="18"/>
              </w:rPr>
              <w:br/>
            </w:r>
            <w:r w:rsidRPr="006A1EC7">
              <w:rPr>
                <w:sz w:val="18"/>
                <w:szCs w:val="18"/>
              </w:rPr>
              <w:fldChar w:fldCharType="begin" w:fldLock="1"/>
            </w:r>
            <w:r w:rsidRPr="006A1EC7">
              <w:rPr>
                <w:sz w:val="18"/>
                <w:szCs w:val="18"/>
              </w:rPr>
              <w:instrText>ADDIN CSL_CITATION {"citationItems":[{"id":"ITEM-1","itemData":{"DOI":"10.1186/1477-7525-3-76","ISBN":"2044-6055","ISSN":"1477-7525","PMID":"16313678","abstract":"BACKGROUND: The Health of the Nation Outcome Scales was developed to routinely measure outcomes for adults with mental illness. Comparable instruments were also developed for children and adolescents (the Health of the Nation Outcome Scales for Children and Adolescents) and older people (the Health of the Nation Outcome Scales 65+). All three are being widely used as outcome measures in the United Kingdom, Australia and New Zealand. There is, however, no comprehensive review of these instruments. This paper fills this gap by reviewing the psychometric properties of each. METHOD: Articles and reports relating to the instruments were retrieved, and their findings synthesised to assess the instruments' validity (content, construct, concurrent, predictive), reliability (test-retest, inter-rater), sensitivity to change, and feasibility/utility. RESULTS: Mostly, the instruments perform adequately or better on most dimensions, although some of their psychometric properties warrant closer examination. CONCLUSION: Collectively, the Health of the Nation Outcome Scales family of measures can assess outcomes for different groups on a range of mental health-related constructs, and can be regarded as appropriate for routinely monitoring outcomes.","author":[{"dropping-particle":"","family":"Pirkis","given":"J","non-dropping-particle":"","parse-names":false,"suffix":""},{"dropping-particle":"","family":"Burgess","given":"P","non-dropping-particle":"","parse-names":false,"suffix":""},{"dropping-particle":"","family":"Kirk","given":"P","non-dropping-particle":"","parse-names":false,"suffix":""},{"dropping-particle":"","family":"Dodgson","given":"S","non-dropping-particle":"","parse-names":false,"suffix":""},{"dropping-particle":"","family":"Coombs","given":"T","non-dropping-particle":"","parse-names":false,"suffix":""},{"dropping-particle":"","family":"Williamson","given":"M","non-dropping-particle":"","parse-names":false,"suffix":""}],"container-title":"Health and quality of life outcomes","id":"ITEM-1","issue":"7","issued":{"date-parts":[["2005"]]},"page":"76","title":"A review of the psychometric properties of the Health of the Nation Outcome Scales (HoNOS) family of measures.","type":"article-journal","volume":"3"},"uris":["http://www.mendeley.com/documents/?uuid=5a69e679-e9b2-4e77-9529-fb9eeefbe281"]}],"mendeley":{"formattedCitation":"(Pirkis et al., 2005)","plainTextFormattedCitation":"(Pirkis et al., 2005)","previouslyFormattedCitation":"(Pirkis et al., 2005)"},"properties":{"noteIndex":0},"schema":"https://github.com/citation-style-language/schema/raw/master/csl-citation.json"}</w:instrText>
            </w:r>
            <w:r w:rsidRPr="006A1EC7">
              <w:rPr>
                <w:sz w:val="18"/>
                <w:szCs w:val="18"/>
              </w:rPr>
              <w:fldChar w:fldCharType="separate"/>
            </w:r>
            <w:r w:rsidRPr="006A1EC7">
              <w:rPr>
                <w:noProof/>
                <w:sz w:val="18"/>
                <w:szCs w:val="18"/>
              </w:rPr>
              <w:t>(Pirkis et al., 2005)</w:t>
            </w:r>
            <w:r w:rsidRPr="006A1EC7">
              <w:rPr>
                <w:sz w:val="18"/>
                <w:szCs w:val="18"/>
              </w:rPr>
              <w:fldChar w:fldCharType="end"/>
            </w:r>
            <w:r w:rsidRPr="006A1EC7">
              <w:rPr>
                <w:sz w:val="18"/>
                <w:szCs w:val="18"/>
              </w:rPr>
              <w:br/>
              <w:t xml:space="preserve"> EQ – 5D (Euroquol, 2016)</w:t>
            </w:r>
          </w:p>
          <w:p w14:paraId="2400B3F4"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Short-Form Health Survey (SF-36/12) </w:t>
            </w:r>
            <w:r w:rsidRPr="006A1EC7">
              <w:rPr>
                <w:sz w:val="18"/>
                <w:szCs w:val="18"/>
              </w:rPr>
              <w:fldChar w:fldCharType="begin" w:fldLock="1"/>
            </w:r>
            <w:r w:rsidRPr="006A1EC7">
              <w:rPr>
                <w:sz w:val="18"/>
                <w:szCs w:val="18"/>
              </w:rPr>
              <w:instrText>ADDIN CSL_CITATION {"citationItems":[{"id":"ITEM-1","itemData":{"DOI":"10.1097/00007632-200012150-00008","ISBN":"0362-2436","ISSN":"03622436","PMID":"11124729","abstract":"The SF-36 (Medical Outcomes Trust, Boston, MA) is a multipurpose, short-form health survey with only 36 questions. It yields an eight-scale proﬁle of scores as well as physical and mental health summary measures. It is a generic measure, as opposed to one that targets a speciﬁc age, disease, or treatment group. Accordingly, the SF-36 has been useful in comparing general and speciﬁc populations, comparing the relative burden of diseases, differentiating the health beneﬁts produced by a wide range of different treatments, and screening individual patients. This report summarizes the steps in the construction of the SF-36; how it led to the development of an even shorter (one-page, 2-minute) survey form, the SF-12; the improvements reﬂected in version 2.0 of the SF-36, psychometric studies of assumptions underlying scale construction and scoring, how they have been translated in more than 40 countries as part of the International Quality of Life Assessment (IQOLA) project, and studies of reliability and validity","author":[{"dropping-particle":"","family":"Ware","given":"J. E.","non-dropping-particle":"","parse-names":false,"suffix":""}],"container-title":"Spine","id":"ITEM-1","issued":{"date-parts":[["2000"]]},"title":"SF-36 Health Survey update","type":"article"},"uris":["http://www.mendeley.com/documents/?uuid=00e6a6e7-7c68-40d1-bbe6-32b4e886d65b"]}],"mendeley":{"formattedCitation":"(Ware, 2000)","plainTextFormattedCitation":"(Ware, 2000)","previouslyFormattedCitation":"(Ware, 2000)"},"properties":{"noteIndex":0},"schema":"https://github.com/citation-style-language/schema/raw/master/csl-citation.json"}</w:instrText>
            </w:r>
            <w:r w:rsidRPr="006A1EC7">
              <w:rPr>
                <w:sz w:val="18"/>
                <w:szCs w:val="18"/>
              </w:rPr>
              <w:fldChar w:fldCharType="separate"/>
            </w:r>
            <w:r w:rsidRPr="006A1EC7">
              <w:rPr>
                <w:noProof/>
                <w:sz w:val="18"/>
                <w:szCs w:val="18"/>
              </w:rPr>
              <w:t>(Ware, 2000)</w:t>
            </w:r>
            <w:r w:rsidRPr="006A1EC7">
              <w:rPr>
                <w:sz w:val="18"/>
                <w:szCs w:val="18"/>
              </w:rPr>
              <w:fldChar w:fldCharType="end"/>
            </w:r>
          </w:p>
        </w:tc>
      </w:tr>
      <w:tr w:rsidR="00C77145" w:rsidRPr="006A1EC7" w14:paraId="7B0B7D1A"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21F64D3F" w14:textId="77777777" w:rsidR="00C77145" w:rsidRPr="006A1EC7" w:rsidRDefault="00C77145" w:rsidP="00D13545">
            <w:pPr>
              <w:rPr>
                <w:b w:val="0"/>
                <w:sz w:val="18"/>
                <w:szCs w:val="18"/>
              </w:rPr>
            </w:pPr>
            <w:r w:rsidRPr="006A1EC7">
              <w:rPr>
                <w:sz w:val="18"/>
                <w:szCs w:val="18"/>
              </w:rPr>
              <w:t>Summary item</w:t>
            </w:r>
          </w:p>
        </w:tc>
        <w:tc>
          <w:tcPr>
            <w:tcW w:w="2812" w:type="dxa"/>
          </w:tcPr>
          <w:p w14:paraId="00FE1F77"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Combines different aspects in one item (or limited number of items) </w:t>
            </w:r>
            <w:r w:rsidRPr="006A1EC7">
              <w:rPr>
                <w:sz w:val="18"/>
                <w:szCs w:val="18"/>
              </w:rPr>
              <w:fldChar w:fldCharType="begin" w:fldLock="1"/>
            </w:r>
            <w:r w:rsidRPr="006A1EC7">
              <w:rPr>
                <w:sz w:val="18"/>
                <w:szCs w:val="18"/>
              </w:rPr>
              <w:instrText>ADDIN CSL_CITATION {"citationItems":[{"id":"ITEM-1","itemData":{"author":[{"dropping-particle":"","family":"Miedany","given":"Y","non-dropping-particle":"El","parse-names":false,"suffix":""}],"id":"ITEM-1","issued":{"date-parts":[["2016"]]},"publisher":"Springer International Publishing","publisher-place":"Switzerland","title":"Patient Reported Outcome Measures in Rheumatic Diseases","type":"book"},"uris":["http://www.mendeley.com/documents/?uuid=9f988ce9-5095-40c3-9be1-e15f30def46c"]}],"mendeley":{"formattedCitation":"(El Miedany, 2016)","plainTextFormattedCitation":"(El Miedany, 2016)","previouslyFormattedCitation":"(El Miedany, 2016)"},"properties":{"noteIndex":0},"schema":"https://github.com/citation-style-language/schema/raw/master/csl-citation.json"}</w:instrText>
            </w:r>
            <w:r w:rsidRPr="006A1EC7">
              <w:rPr>
                <w:sz w:val="18"/>
                <w:szCs w:val="18"/>
              </w:rPr>
              <w:fldChar w:fldCharType="separate"/>
            </w:r>
            <w:r w:rsidRPr="006A1EC7">
              <w:rPr>
                <w:noProof/>
                <w:sz w:val="18"/>
                <w:szCs w:val="18"/>
              </w:rPr>
              <w:t>(El Miedany, 2016)</w:t>
            </w:r>
            <w:r w:rsidRPr="006A1EC7">
              <w:rPr>
                <w:sz w:val="18"/>
                <w:szCs w:val="18"/>
              </w:rPr>
              <w:fldChar w:fldCharType="end"/>
            </w:r>
          </w:p>
        </w:tc>
        <w:tc>
          <w:tcPr>
            <w:tcW w:w="2760" w:type="dxa"/>
          </w:tcPr>
          <w:p w14:paraId="3009C6D6"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Brief to complete </w:t>
            </w:r>
            <w:r w:rsidRPr="006A1EC7">
              <w:rPr>
                <w:sz w:val="18"/>
                <w:szCs w:val="18"/>
              </w:rPr>
              <w:fldChar w:fldCharType="begin" w:fldLock="1"/>
            </w:r>
            <w:r w:rsidRPr="006A1EC7">
              <w:rPr>
                <w:sz w:val="18"/>
                <w:szCs w:val="18"/>
              </w:rPr>
              <w:instrText>ADDIN CSL_CITATION {"citationItems":[{"id":"ITEM-1","itemData":{"author":[{"dropping-particle":"","family":"Miedany","given":"Y","non-dropping-particle":"El","parse-names":false,"suffix":""}],"id":"ITEM-1","issued":{"date-parts":[["2016"]]},"publisher":"Springer International Publishing","publisher-place":"Switzerland","title":"Patient Reported Outcome Measures in Rheumatic Diseases","type":"book"},"uris":["http://www.mendeley.com/documents/?uuid=9f988ce9-5095-40c3-9be1-e15f30def46c"]}],"mendeley":{"formattedCitation":"(El Miedany, 2016)","plainTextFormattedCitation":"(El Miedany, 2016)","previouslyFormattedCitation":"(El Miedany, 2016)"},"properties":{"noteIndex":0},"schema":"https://github.com/citation-style-language/schema/raw/master/csl-citation.json"}</w:instrText>
            </w:r>
            <w:r w:rsidRPr="006A1EC7">
              <w:rPr>
                <w:sz w:val="18"/>
                <w:szCs w:val="18"/>
              </w:rPr>
              <w:fldChar w:fldCharType="separate"/>
            </w:r>
            <w:r w:rsidRPr="006A1EC7">
              <w:rPr>
                <w:noProof/>
                <w:sz w:val="18"/>
                <w:szCs w:val="18"/>
              </w:rPr>
              <w:t>(El Miedany, 2016)</w:t>
            </w:r>
            <w:r w:rsidRPr="006A1EC7">
              <w:rPr>
                <w:sz w:val="18"/>
                <w:szCs w:val="18"/>
              </w:rPr>
              <w:fldChar w:fldCharType="end"/>
            </w:r>
          </w:p>
        </w:tc>
        <w:tc>
          <w:tcPr>
            <w:tcW w:w="2777" w:type="dxa"/>
          </w:tcPr>
          <w:p w14:paraId="021DD8D6"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Limited knowledge to be gained from often simple, brief measures </w:t>
            </w:r>
            <w:r w:rsidRPr="006A1EC7">
              <w:rPr>
                <w:sz w:val="18"/>
                <w:szCs w:val="18"/>
              </w:rPr>
              <w:fldChar w:fldCharType="begin" w:fldLock="1"/>
            </w:r>
            <w:r w:rsidRPr="006A1EC7">
              <w:rPr>
                <w:sz w:val="18"/>
                <w:szCs w:val="18"/>
              </w:rPr>
              <w:instrText>ADDIN CSL_CITATION {"citationItems":[{"id":"ITEM-1","itemData":{"author":[{"dropping-particle":"","family":"Miedany","given":"Y","non-dropping-particle":"El","parse-names":false,"suffix":""}],"id":"ITEM-1","issued":{"date-parts":[["2016"]]},"publisher":"Springer International Publishing","publisher-place":"Switzerland","title":"Patient Reported Outcome Measures in Rheumatic Diseases","type":"book"},"uris":["http://www.mendeley.com/documents/?uuid=9f988ce9-5095-40c3-9be1-e15f30def46c"]}],"mendeley":{"formattedCitation":"(El Miedany, 2016)","plainTextFormattedCitation":"(El Miedany, 2016)","previouslyFormattedCitation":"(El Miedany, 2016)"},"properties":{"noteIndex":0},"schema":"https://github.com/citation-style-language/schema/raw/master/csl-citation.json"}</w:instrText>
            </w:r>
            <w:r w:rsidRPr="006A1EC7">
              <w:rPr>
                <w:sz w:val="18"/>
                <w:szCs w:val="18"/>
              </w:rPr>
              <w:fldChar w:fldCharType="separate"/>
            </w:r>
            <w:r w:rsidRPr="006A1EC7">
              <w:rPr>
                <w:noProof/>
                <w:sz w:val="18"/>
                <w:szCs w:val="18"/>
              </w:rPr>
              <w:t>(El Miedany, 2016)</w:t>
            </w:r>
            <w:r w:rsidRPr="006A1EC7">
              <w:rPr>
                <w:sz w:val="18"/>
                <w:szCs w:val="18"/>
              </w:rPr>
              <w:fldChar w:fldCharType="end"/>
            </w:r>
          </w:p>
        </w:tc>
        <w:tc>
          <w:tcPr>
            <w:tcW w:w="2046" w:type="dxa"/>
          </w:tcPr>
          <w:p w14:paraId="4E144798"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Manchester Oxford Foot Questionnaire (MOXFQ) </w:t>
            </w:r>
            <w:r w:rsidRPr="006A1EC7">
              <w:rPr>
                <w:sz w:val="18"/>
                <w:szCs w:val="18"/>
              </w:rPr>
              <w:fldChar w:fldCharType="begin" w:fldLock="1"/>
            </w:r>
            <w:r w:rsidRPr="006A1EC7">
              <w:rPr>
                <w:sz w:val="18"/>
                <w:szCs w:val="18"/>
              </w:rPr>
              <w:instrText>ADDIN CSL_CITATION {"citationItems":[{"id":"ITEM-1","itemData":{"author":[{"dropping-particle":"","family":"Morley","given":"D","non-dropping-particle":"","parse-names":false,"suffix":""},{"dropping-particle":"","family":"Jenkinson","given":"C","non-dropping-particle":"","parse-names":false,"suffix":""},{"dropping-particle":"","family":"Doll","given":"H","non-dropping-particle":"","parse-names":false,"suffix":""},{"dropping-particle":"","family":"Lavis","given":"G","non-dropping-particle":"","parse-names":false,"suffix":""},{"dropping-particle":"","family":"Sharp","given":"R","non-dropping-particle":"","parse-names":false,"suffix":""},{"dropping-particle":"","family":"Cooke","given":"P","non-dropping-particle":"","parse-names":false,"suffix":""},{"dropping-particle":"","family":"Dawson","given":"J","non-dropping-particle":"","parse-names":false,"suffix":""}],"id":"ITEM-1","issue":"4","issued":{"date-parts":[["2013"]]},"page":"66-69","title":"The Manchester – Oxford Foot Questionnaire ( MOXFQ ) DEVELOPMENT AND VALIDATION OF A SUMMARY INDEX SCORE","type":"article-journal","volume":"2"},"uris":["http://www.mendeley.com/documents/?uuid=8870e650-6c13-4b8f-82e0-08ea84cf10fb"]}],"mendeley":{"formattedCitation":"(Morley et al., 2013)","plainTextFormattedCitation":"(Morley et al., 2013)","previouslyFormattedCitation":"(Morley et al., 2013)"},"properties":{"noteIndex":0},"schema":"https://github.com/citation-style-language/schema/raw/master/csl-citation.json"}</w:instrText>
            </w:r>
            <w:r w:rsidRPr="006A1EC7">
              <w:rPr>
                <w:sz w:val="18"/>
                <w:szCs w:val="18"/>
              </w:rPr>
              <w:fldChar w:fldCharType="separate"/>
            </w:r>
            <w:r w:rsidRPr="006A1EC7">
              <w:rPr>
                <w:noProof/>
                <w:sz w:val="18"/>
                <w:szCs w:val="18"/>
              </w:rPr>
              <w:t>(Morley et al., 2013)</w:t>
            </w:r>
            <w:r w:rsidRPr="006A1EC7">
              <w:rPr>
                <w:sz w:val="18"/>
                <w:szCs w:val="18"/>
              </w:rPr>
              <w:fldChar w:fldCharType="end"/>
            </w:r>
          </w:p>
        </w:tc>
      </w:tr>
      <w:tr w:rsidR="00C77145" w:rsidRPr="006A1EC7" w14:paraId="037BE864" w14:textId="77777777" w:rsidTr="00D13545">
        <w:tc>
          <w:tcPr>
            <w:cnfStyle w:val="001000000000" w:firstRow="0" w:lastRow="0" w:firstColumn="1" w:lastColumn="0" w:oddVBand="0" w:evenVBand="0" w:oddHBand="0" w:evenHBand="0" w:firstRowFirstColumn="0" w:firstRowLastColumn="0" w:lastRowFirstColumn="0" w:lastRowLastColumn="0"/>
            <w:tcW w:w="2788" w:type="dxa"/>
          </w:tcPr>
          <w:p w14:paraId="02CB56AB" w14:textId="77777777" w:rsidR="00C77145" w:rsidRPr="006A1EC7" w:rsidRDefault="00C77145" w:rsidP="00D13545">
            <w:pPr>
              <w:rPr>
                <w:b w:val="0"/>
                <w:sz w:val="18"/>
                <w:szCs w:val="18"/>
              </w:rPr>
            </w:pPr>
            <w:r w:rsidRPr="006A1EC7">
              <w:rPr>
                <w:sz w:val="18"/>
                <w:szCs w:val="18"/>
              </w:rPr>
              <w:t>Individualised</w:t>
            </w:r>
          </w:p>
        </w:tc>
        <w:tc>
          <w:tcPr>
            <w:tcW w:w="2812" w:type="dxa"/>
          </w:tcPr>
          <w:p w14:paraId="4DC89A4A"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Measures of specific problems for patient </w:t>
            </w:r>
            <w:r w:rsidRPr="006A1EC7">
              <w:rPr>
                <w:sz w:val="18"/>
                <w:szCs w:val="18"/>
              </w:rPr>
              <w:fldChar w:fldCharType="begin" w:fldLock="1"/>
            </w:r>
            <w:r w:rsidRPr="006A1EC7">
              <w:rPr>
                <w:sz w:val="18"/>
                <w:szCs w:val="18"/>
              </w:rPr>
              <w:instrText>ADDIN CSL_CITATION {"citationItems":[{"id":"ITEM-1","itemData":{"DOI":"10.1177/000841740206900204","ISBN":"0008-4174","ISSN":"0008-4174","PMID":"11977872","abstract":"The client-centred nature of occupational therapy acknowledges the individual as the central element of treatment. This philosophy, however, challenges the therapist to choose an outcome measure that is capable of reflecting this individualized perspective. Recent papers published in the rehabilitation literature have reported on the increased responsiveness of such measures over traditional self-report questionnaires. Although the need for a comprehensive review of individualized outcome measures has been identified in the literature, none exists to date. The purpose of this paper is to review six individualized outcome measures that have been identified in the rehabilitation and psychology literature. The measures include: the Canadian Occupational Performance Measure, the Assessment of Motor and Process Skills, McMaster (MAC) Toronto Arthritis, Goal Attainment Scaling, Target Complaints and the Patient Specific Functional Scale. The reliability, validity, responsiveness and clinical utility of each outcome measure was examined and critiqued. Each tool, to a varying degree, met the description of a standardized, client-centred outcome measure.","author":[{"dropping-particle":"","family":"Donnelly","given":"Catherine","non-dropping-particle":"","parse-names":false,"suffix":""},{"dropping-particle":"","family":"Carswell","given":"Anne","non-dropping-particle":"","parse-names":false,"suffix":""}],"container-title":"Canadian journal of occupational therapy. Revue canadienne d'ergotherapie","id":"ITEM-1","issue":"2","issued":{"date-parts":[["2002"]]},"page":"84-94","title":"Individualized outcome measures: a review of the literature.","type":"article-journal","volume":"69"},"uris":["http://www.mendeley.com/documents/?uuid=e30863b0-4c7f-427b-aad7-b5db496d37a5"]}],"mendeley":{"formattedCitation":"(Donnelly &amp; Carswell, 2002)","plainTextFormattedCitation":"(Donnelly &amp; Carswell, 2002)","previouslyFormattedCitation":"(Donnelly &amp; Carswell, 2002)"},"properties":{"noteIndex":0},"schema":"https://github.com/citation-style-language/schema/raw/master/csl-citation.json"}</w:instrText>
            </w:r>
            <w:r w:rsidRPr="006A1EC7">
              <w:rPr>
                <w:sz w:val="18"/>
                <w:szCs w:val="18"/>
              </w:rPr>
              <w:fldChar w:fldCharType="separate"/>
            </w:r>
            <w:r w:rsidRPr="006A1EC7">
              <w:rPr>
                <w:noProof/>
                <w:sz w:val="18"/>
                <w:szCs w:val="18"/>
              </w:rPr>
              <w:t>(Donnelly &amp; Carswell, 2002)</w:t>
            </w:r>
            <w:r w:rsidRPr="006A1EC7">
              <w:rPr>
                <w:sz w:val="18"/>
                <w:szCs w:val="18"/>
              </w:rPr>
              <w:fldChar w:fldCharType="end"/>
            </w:r>
            <w:r w:rsidRPr="006A1EC7">
              <w:rPr>
                <w:sz w:val="18"/>
                <w:szCs w:val="18"/>
              </w:rPr>
              <w:br/>
              <w:t xml:space="preserve">Provides overview of activities meaningful to patients </w:t>
            </w:r>
            <w:r w:rsidRPr="006A1EC7">
              <w:rPr>
                <w:sz w:val="18"/>
                <w:szCs w:val="18"/>
              </w:rPr>
              <w:fldChar w:fldCharType="begin" w:fldLock="1"/>
            </w:r>
            <w:r w:rsidRPr="006A1EC7">
              <w:rPr>
                <w:sz w:val="18"/>
                <w:szCs w:val="18"/>
              </w:rPr>
              <w:instrText>ADDIN CSL_CITATION {"citationItems":[{"id":"ITEM-1","itemData":{"DOI":"10.1093/rheumatology/kes224","ISBN":"1462-0324","ISSN":"14620324","PMID":"22942405","abstract":"OBJECTIVES: To explore the ability of six outcome measures to capture clinically  important changes in patients with rheumatic diseases undergoing hand surgery and to study predictors of changes in activity performance in different patient and surgery strata. METHODS: A total of 172 patients (median age 59 years, disease duration 18 years) were stratified into subgroups: diagnosis, age, general function, type of surgery. Performance of daily activities and satisfaction were assessed by the Canadian Occupational Performance Measure (COPM). Clinically important improvement was defined as a two-step improvement in COPM. Hand function was assessed by reference to grip strength (Grippit), pinch strength (pinch gauge), hand pain (visual analogue scale) and grip ability (Grip Ability Test). Responsiveness was calculated as effect size (ES) at 6-month follow-up compared with baseline. RESULTS: Clinically important improvement was reached by 25-69% depending on outcome measure and type of surgery. Improvement was smaller in patients with multiple simultaneous procedures. Regardless of diagnosis, age, general function and type of surgery, patients improved significantly in all measures, with the largest changes in COPM(performance) and COPM(satisfaction) (ES 0.7-1.9). The ES of pain ranged from 0.2 to 0.7, Grippit from 0.1 to 0.5 and pinch gauge from 0.4 to 0.8. Hand pain was the only significant predictor of clinically important improvement of COPM(performance): odds ratio 0.71, 95% CI 0.51, 0.98 (P = 0.041). CONCLUSION: COPM was the most sensitive instrument to capture clinically important improvement, and hand pain was a significant predictor of improvement, irrespective of diagnosis, age, general functional level and type of surgery.","author":[{"dropping-particle":"","family":"Johnsson","given":"Pia Malcus","non-dropping-particle":"","parse-names":false,"suffix":""},{"dropping-particle":"","family":"Sandqvist","given":"Gunnel","non-dropping-particle":"","parse-names":false,"suffix":""},{"dropping-particle":"","family":"Sturesson","given":"Anna Lena","non-dropping-particle":"","parse-names":false,"suffix":""},{"dropping-particle":"","family":"Gulfe","given":"Anders","non-dropping-particle":"","parse-names":false,"suffix":""},{"dropping-particle":"","family":"Kopylov","given":"Philippe","non-dropping-particle":"","parse-names":false,"suffix":""},{"dropping-particle":"","family":"Tägil","given":"Magnus","non-dropping-particle":"","parse-names":false,"suffix":""},{"dropping-particle":"","family":"Geborek","given":"Pierre","non-dropping-particle":"","parse-names":false,"suffix":""}],"container-title":"Rheumatology (United Kingdom)","id":"ITEM-1","issue":"12","issued":{"date-parts":[["2012"]]},"page":"2246-2251","title":"Individualized outcome measures of daily activities are sensitive tools for evaluating hand surgery in rheumatic diseases","type":"article-journal","volume":"51"},"uris":["http://www.mendeley.com/documents/?uuid=abd9316b-5044-48da-b7fb-3ad75ca50a77"]}],"mendeley":{"formattedCitation":"(Johnsson et al., 2012)","plainTextFormattedCitation":"(Johnsson et al., 2012)","previouslyFormattedCitation":"(Johnsson et al., 2012)"},"properties":{"noteIndex":0},"schema":"https://github.com/citation-style-language/schema/raw/master/csl-citation.json"}</w:instrText>
            </w:r>
            <w:r w:rsidRPr="006A1EC7">
              <w:rPr>
                <w:sz w:val="18"/>
                <w:szCs w:val="18"/>
              </w:rPr>
              <w:fldChar w:fldCharType="separate"/>
            </w:r>
            <w:r w:rsidRPr="006A1EC7">
              <w:rPr>
                <w:noProof/>
                <w:sz w:val="18"/>
                <w:szCs w:val="18"/>
              </w:rPr>
              <w:t>(Johnsson et al., 2012)</w:t>
            </w:r>
            <w:r w:rsidRPr="006A1EC7">
              <w:rPr>
                <w:sz w:val="18"/>
                <w:szCs w:val="18"/>
              </w:rPr>
              <w:fldChar w:fldCharType="end"/>
            </w:r>
          </w:p>
        </w:tc>
        <w:tc>
          <w:tcPr>
            <w:tcW w:w="2760" w:type="dxa"/>
          </w:tcPr>
          <w:p w14:paraId="23D3DD42"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Use with different groups of people </w:t>
            </w:r>
            <w:r w:rsidRPr="006A1EC7">
              <w:rPr>
                <w:sz w:val="18"/>
                <w:szCs w:val="18"/>
              </w:rPr>
              <w:fldChar w:fldCharType="begin" w:fldLock="1"/>
            </w:r>
            <w:r w:rsidRPr="006A1EC7">
              <w:rPr>
                <w:sz w:val="18"/>
                <w:szCs w:val="18"/>
              </w:rPr>
              <w:instrText>ADDIN CSL_CITATION {"citationItems":[{"id":"ITEM-1","itemData":{"DOI":"10.1177/000841740206900204","ISBN":"0008-4174","ISSN":"0008-4174","PMID":"11977872","abstract":"The client-centred nature of occupational therapy acknowledges the individual as the central element of treatment. This philosophy, however, challenges the therapist to choose an outcome measure that is capable of reflecting this individualized perspective. Recent papers published in the rehabilitation literature have reported on the increased responsiveness of such measures over traditional self-report questionnaires. Although the need for a comprehensive review of individualized outcome measures has been identified in the literature, none exists to date. The purpose of this paper is to review six individualized outcome measures that have been identified in the rehabilitation and psychology literature. The measures include: the Canadian Occupational Performance Measure, the Assessment of Motor and Process Skills, McMaster (MAC) Toronto Arthritis, Goal Attainment Scaling, Target Complaints and the Patient Specific Functional Scale. The reliability, validity, responsiveness and clinical utility of each outcome measure was examined and critiqued. Each tool, to a varying degree, met the description of a standardized, client-centred outcome measure.","author":[{"dropping-particle":"","family":"Donnelly","given":"Catherine","non-dropping-particle":"","parse-names":false,"suffix":""},{"dropping-particle":"","family":"Carswell","given":"Anne","non-dropping-particle":"","parse-names":false,"suffix":""}],"container-title":"Canadian journal of occupational therapy. Revue canadienne d'ergotherapie","id":"ITEM-1","issue":"2","issued":{"date-parts":[["2002"]]},"page":"84-94","title":"Individualized outcome measures: a review of the literature.","type":"article-journal","volume":"69"},"uris":["http://www.mendeley.com/documents/?uuid=e30863b0-4c7f-427b-aad7-b5db496d37a5"]}],"mendeley":{"formattedCitation":"(Donnelly &amp; Carswell, 2002)","plainTextFormattedCitation":"(Donnelly &amp; Carswell, 2002)","previouslyFormattedCitation":"(Donnelly &amp; Carswell, 2002)"},"properties":{"noteIndex":0},"schema":"https://github.com/citation-style-language/schema/raw/master/csl-citation.json"}</w:instrText>
            </w:r>
            <w:r w:rsidRPr="006A1EC7">
              <w:rPr>
                <w:sz w:val="18"/>
                <w:szCs w:val="18"/>
              </w:rPr>
              <w:fldChar w:fldCharType="separate"/>
            </w:r>
            <w:r w:rsidRPr="006A1EC7">
              <w:rPr>
                <w:noProof/>
                <w:sz w:val="18"/>
                <w:szCs w:val="18"/>
              </w:rPr>
              <w:t>(Donnelly &amp; Carswell, 2002)</w:t>
            </w:r>
            <w:r w:rsidRPr="006A1EC7">
              <w:rPr>
                <w:sz w:val="18"/>
                <w:szCs w:val="18"/>
              </w:rPr>
              <w:fldChar w:fldCharType="end"/>
            </w:r>
            <w:r w:rsidRPr="006A1EC7">
              <w:rPr>
                <w:sz w:val="18"/>
                <w:szCs w:val="18"/>
              </w:rPr>
              <w:t>,</w:t>
            </w:r>
          </w:p>
          <w:p w14:paraId="11DBE553"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Individualised </w:t>
            </w:r>
          </w:p>
        </w:tc>
        <w:tc>
          <w:tcPr>
            <w:tcW w:w="2777" w:type="dxa"/>
          </w:tcPr>
          <w:p w14:paraId="3BF96B68"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May miss/ignore some aspects of functioning;</w:t>
            </w:r>
          </w:p>
          <w:p w14:paraId="6A9A4ED8"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May not necessarily allow for comparisons between groups (Mulligan, n.d.)</w:t>
            </w:r>
          </w:p>
        </w:tc>
        <w:tc>
          <w:tcPr>
            <w:tcW w:w="2046" w:type="dxa"/>
          </w:tcPr>
          <w:p w14:paraId="3CCF9B0C" w14:textId="77777777" w:rsidR="00C77145" w:rsidRPr="006A1EC7" w:rsidRDefault="00C77145" w:rsidP="00D1354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Patient Specific Functional Scale </w:t>
            </w:r>
            <w:r w:rsidRPr="006A1EC7">
              <w:rPr>
                <w:sz w:val="18"/>
                <w:szCs w:val="18"/>
              </w:rPr>
              <w:fldChar w:fldCharType="begin" w:fldLock="1"/>
            </w:r>
            <w:r w:rsidRPr="006A1EC7">
              <w:rPr>
                <w:sz w:val="18"/>
                <w:szCs w:val="18"/>
              </w:rPr>
              <w:instrText>ADDIN CSL_CITATION {"citationItems":[{"id":"ITEM-1","itemData":{"DOI":"10.1016/j.physio.2014.11.003","ISBN":"1476-5454 (Electronic)\\r0950-222X (Linking)","ISSN":"18731465","PMID":"25620440","abstract":"The use of patient-reported outcome measures (PROMs) is set to rise in physiotherapy. PROMs provide additional 'patient-centred' data which is unique in capturing the patient's own opinion on the impact of their disease or disorder, and its treatment, on their life. Thus, PROMs are increasingly used by clinicians to guide routine patient care, or for the purposes of audit, and are already firmly embedded in clinical research. This article seeks to summarise the key aspects of PROM use for physiotherapists, both in routine clinical practice and in the research setting, and highlights recent developments in the field. Generic and condition-specific PROMs are defined and examples of commonly used measures are provided. The selection of appropriate PROMs, and their effective use in the clinical and research settings is discussed. Finally, existing barriers to PROM use in practice are identified and recent physiotherapy PROM initiatives, led by the Royal Dutch Society for Physical Therapy are explored.","author":[{"dropping-particle":"","family":"Kyte","given":"D. G.","non-dropping-particle":"","parse-names":false,"suffix":""},{"dropping-particle":"","family":"Calvert","given":"M.","non-dropping-particle":"","parse-names":false,"suffix":""},{"dropping-particle":"","family":"Wees","given":"P. J.","non-dropping-particle":"van der","parse-names":false,"suffix":""},{"dropping-particle":"","family":"Hove","given":"R.","non-dropping-particle":"ten","parse-names":false,"suffix":""},{"dropping-particle":"","family":"Tolan","given":"S.","non-dropping-particle":"","parse-names":false,"suffix":""},{"dropping-particle":"","family":"Hill","given":"J. C.","non-dropping-particle":"","parse-names":false,"suffix":""}],"container-title":"Physiotherapy (United Kingdom)","id":"ITEM-1","issue":"2","issued":{"date-parts":[["2015"]]},"page":"119-125","publisher":"The Chartered Society of Physiotherapy","title":"An introduction to patient-reported outcome measures (PROMs) in physiotherapy","type":"article-journal","volume":"101"},"uris":["http://www.mendeley.com/documents/?uuid=668467e2-97b5-499c-8413-80918756dcef"]},{"id":"ITEM-2","itemData":{"DOI":"10.1179/2042618612Y.0000000006","ISSN":"1066-9817","PMID":"23904754","abstract":"OBJECTIVE: The Patient-Specific Functional Scale (PSFS) and the Numeric Pain Rating Scale (NPRS) are two measures which the Accident Compensation Corporation (ACC) of New Zealand have made compulsory for physiotherapists to record at a patients initial visit and discharge. Therefore, it is important to assess clinicians' compliance to this reporting requirement, and whether research results regarding effectiveness of these measures are transferable to the clinic.\\n\\nMETHOD: A retrospective observational study that assessed compliance in recording these measures, and analyzed the changes in scores seen across 11 physiotherapy practices in New Zealand over a 12-month period.\\n\\nRESULTS: Overall compliance rates of 51·8% [95% confidence interval (CI): 50·7-52·9] for PSFS and 51·9% (95% CI: 50·7-53·0) for NPRS were reported. These figures increase to 85·3% (95% CI: 82·0-88·6) PSFS; and 85·1% (95% CI: 81·7-88·4) NPRS, when a full discharge for the patient was made. Mean change in PSFS scores were 5·1 (95% CI: 5·0-5·1) points representing an 85·2% (95% CI: 84·1-86·3) change in total score.\\n\\nDISCUSSION: The study has shown that when patients complete a prescribed course of rehabilitation, clinicians show good compliance in recording PSFS and NPRS. Change in PSFS score is, on average, above the minimal clinically important difference shown in previous studies.","author":[{"dropping-particle":"","family":"Nicholas","given":"Paul","non-dropping-particle":"","parse-names":false,"suffix":""},{"dropping-particle":"","family":"Hefford","given":"Cheryl","non-dropping-particle":"","parse-names":false,"suffix":""},{"dropping-particle":"","family":"Tumilty","given":"Steve","non-dropping-particle":"","parse-names":false,"suffix":""}],"container-title":"The Journal of manual &amp; manipulative therapy","id":"ITEM-2","issue":"3","issued":{"date-parts":[["2012"]]},"page":"147-52","title":"The use of the Patient-Specific Functional Scale to measure rehabilitative progress in a physiotherapy setting.","type":"article-journal","volume":"20"},"uris":["http://www.mendeley.com/documents/?uuid=28e66e71-5b9c-459a-ba1f-c3c4f6f45d8e"]}],"mendeley":{"formattedCitation":"(Kyte et al., 2015; Nicholas, Hefford, &amp; Tumilty, 2012)","plainTextFormattedCitation":"(Kyte et al., 2015; Nicholas, Hefford, &amp; Tumilty, 2012)","previouslyFormattedCitation":"(Kyte et al., 2015; Nicholas, Hefford, &amp; Tumilty, 2012)"},"properties":{"noteIndex":0},"schema":"https://github.com/citation-style-language/schema/raw/master/csl-citation.json"}</w:instrText>
            </w:r>
            <w:r w:rsidRPr="006A1EC7">
              <w:rPr>
                <w:sz w:val="18"/>
                <w:szCs w:val="18"/>
              </w:rPr>
              <w:fldChar w:fldCharType="separate"/>
            </w:r>
            <w:r w:rsidRPr="006A1EC7">
              <w:rPr>
                <w:noProof/>
                <w:sz w:val="18"/>
                <w:szCs w:val="18"/>
              </w:rPr>
              <w:t>(Kyte et al., 2015; Nicholas, Hefford, &amp; Tumilty, 2012)</w:t>
            </w:r>
            <w:r w:rsidRPr="006A1EC7">
              <w:rPr>
                <w:sz w:val="18"/>
                <w:szCs w:val="18"/>
              </w:rPr>
              <w:fldChar w:fldCharType="end"/>
            </w:r>
          </w:p>
        </w:tc>
      </w:tr>
      <w:tr w:rsidR="00C77145" w:rsidRPr="006A1EC7" w14:paraId="49D6EBF6" w14:textId="77777777" w:rsidTr="00D13545">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788" w:type="dxa"/>
          </w:tcPr>
          <w:p w14:paraId="438EED50" w14:textId="77777777" w:rsidR="00C77145" w:rsidRPr="006A1EC7" w:rsidRDefault="00C77145" w:rsidP="00D13545">
            <w:pPr>
              <w:rPr>
                <w:b w:val="0"/>
                <w:sz w:val="18"/>
                <w:szCs w:val="18"/>
              </w:rPr>
            </w:pPr>
            <w:r w:rsidRPr="006A1EC7">
              <w:rPr>
                <w:sz w:val="18"/>
                <w:szCs w:val="18"/>
              </w:rPr>
              <w:t>Utility outcome assessment</w:t>
            </w:r>
          </w:p>
        </w:tc>
        <w:tc>
          <w:tcPr>
            <w:tcW w:w="2812" w:type="dxa"/>
          </w:tcPr>
          <w:p w14:paraId="5D32FD9D"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Assessment of risk, benefit and cost of an intervention;</w:t>
            </w:r>
          </w:p>
          <w:p w14:paraId="08384AED"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fldChar w:fldCharType="begin" w:fldLock="1"/>
            </w:r>
            <w:r w:rsidRPr="006A1EC7">
              <w:rPr>
                <w:sz w:val="18"/>
                <w:szCs w:val="18"/>
              </w:rPr>
              <w:instrText>ADDIN CSL_CITATION {"citationItems":[{"id":"ITEM-1","itemData":{"DOI":"10.1177/0194599812439028","ISSN":"0194-5998","author":[{"dropping-particle":"","family":"Sinno","given":"H. H.","non-dropping-particle":"","parse-names":false,"suffix":""},{"dropping-particle":"","family":"Ibrahim","given":"A. M. S.","non-dropping-particle":"","parse-names":false,"suffix":""},{"dropping-particle":"","family":"Izadpanah","given":"A.","non-dropping-particle":"","parse-names":false,"suffix":""},{"dropping-particle":"","family":"Thibaudeau","given":"S.","non-dropping-particle":"","parse-names":false,"suffix":""},{"dropping-particle":"","family":"Christodoulou","given":"G.","non-dropping-particle":"","parse-names":false,"suffix":""},{"dropping-particle":"","family":"Tahiri","given":"Y.","non-dropping-particle":"","parse-names":false,"suffix":""},{"dropping-particle":"","family":"Slavin","given":"S. A.","non-dropping-particle":"","parse-names":false,"suffix":""},{"dropping-particle":"","family":"Lin","given":"S. J.","non-dropping-particle":"","parse-names":false,"suffix":""}],"container-title":"Otolaryngology -- Head and Neck Surgery","id":"ITEM-1","issue":"1","issued":{"date-parts":[["2012"]]},"page":"26-32","title":"Utility Outcome Assessment of the Aging Neck following Massive Weight Loss","type":"article-journal","volume":"147"},"uris":["http://www.mendeley.com/documents/?uuid=40c934ec-2328-44e4-9fa1-6437361e60b6"]}],"mendeley":{"formattedCitation":"(H. H. Sinno et al., 2012)","manualFormatting":"(Sinno et al., 2012)","plainTextFormattedCitation":"(H. H. Sinno et al., 2012)","previouslyFormattedCitation":"(H. H. Sinno et al., 2012)"},"properties":{"noteIndex":0},"schema":"https://github.com/citation-style-language/schema/raw/master/csl-citation.json"}</w:instrText>
            </w:r>
            <w:r w:rsidRPr="006A1EC7">
              <w:rPr>
                <w:sz w:val="18"/>
                <w:szCs w:val="18"/>
              </w:rPr>
              <w:fldChar w:fldCharType="separate"/>
            </w:r>
            <w:r w:rsidRPr="006A1EC7">
              <w:rPr>
                <w:noProof/>
                <w:sz w:val="18"/>
                <w:szCs w:val="18"/>
              </w:rPr>
              <w:t>(Sinno et al., 2012)</w:t>
            </w:r>
            <w:r w:rsidRPr="006A1EC7">
              <w:rPr>
                <w:sz w:val="18"/>
                <w:szCs w:val="18"/>
              </w:rPr>
              <w:fldChar w:fldCharType="end"/>
            </w:r>
          </w:p>
          <w:p w14:paraId="729F263C"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Economically motivated term, used as a justification for using resources to treatment/patient </w:t>
            </w:r>
            <w:r w:rsidRPr="006A1EC7">
              <w:rPr>
                <w:sz w:val="18"/>
                <w:szCs w:val="18"/>
              </w:rPr>
              <w:fldChar w:fldCharType="begin" w:fldLock="1"/>
            </w:r>
            <w:r w:rsidRPr="006A1EC7">
              <w:rPr>
                <w:sz w:val="18"/>
                <w:szCs w:val="18"/>
              </w:rPr>
              <w:instrText>ADDIN CSL_CITATION {"citationItems":[{"id":"ITEM-1","itemData":{"DOI":"10.1177/0194599812439028","ISSN":"0194-5998","author":[{"dropping-particle":"","family":"Sinno","given":"H. H.","non-dropping-particle":"","parse-names":false,"suffix":""},{"dropping-particle":"","family":"Ibrahim","given":"A. M. S.","non-dropping-particle":"","parse-names":false,"suffix":""},{"dropping-particle":"","family":"Izadpanah","given":"A.","non-dropping-particle":"","parse-names":false,"suffix":""},{"dropping-particle":"","family":"Thibaudeau","given":"S.","non-dropping-particle":"","parse-names":false,"suffix":""},{"dropping-particle":"","family":"Christodoulou","given":"G.","non-dropping-particle":"","parse-names":false,"suffix":""},{"dropping-particle":"","family":"Tahiri","given":"Y.","non-dropping-particle":"","parse-names":false,"suffix":""},{"dropping-particle":"","family":"Slavin","given":"S. A.","non-dropping-particle":"","parse-names":false,"suffix":""},{"dropping-particle":"","family":"Lin","given":"S. J.","non-dropping-particle":"","parse-names":false,"suffix":""}],"container-title":"Otolaryngology -- Head and Neck Surgery","id":"ITEM-1","issue":"1","issued":{"date-parts":[["2012"]]},"page":"26-32","title":"Utility Outcome Assessment of the Aging Neck following Massive Weight Loss","type":"article-journal","volume":"147"},"uris":["http://www.mendeley.com/documents/?uuid=40c934ec-2328-44e4-9fa1-6437361e60b6"]},{"id":"ITEM-2","itemData":{"ISBN":"978-1-58763-420-8","PMID":"23469377","abstract":"The Observational CER User's Guide serves as a resource for investigators and stakeholders when designing observational comparative effectiveness research (CER) studies, particularly those with findings that are intended to translate into decisions or actions. The User's Guide provides principles for designing research that will inform health care decisions of patients and other stakeholders. Furthermore, it serves as a reference for increasing the transparency of the methods used in a study and standardizing the review of protocols through checklists provided in every chapter","author":[{"dropping-particle":"","family":"Velentgas","given":"P.","non-dropping-particle":"","parse-names":false,"suffix":""},{"dropping-particle":"","family":"Dreyer","given":"Nancy A","non-dropping-particle":"","parse-names":false,"suffix":""},{"dropping-particle":"","family":"Nourjah","given":"P.","non-dropping-particle":"","parse-names":false,"suffix":""},{"dropping-particle":"","family":"Smith","given":"Scott","non-dropping-particle":"","parse-names":false,"suffix":""},{"dropping-particle":"","family":"Torchia","given":"M.","non-dropping-particle":"","parse-names":false,"suffix":""}],"container-title":"AHRQ","id":"ITEM-2","issued":{"date-parts":[["2013"]]},"title":"Developing a Protocol for Observational Comparative Effectiveness in Research: A User's Guide","type":"book"},"uris":["http://www.mendeley.com/documents/?uuid=6364d57f-8906-4743-abb8-d8088cc71f71"]}],"mendeley":{"formattedCitation":"(H. H. Sinno et al., 2012; Velentgas et al., 2013)","manualFormatting":"(Sinno et al., 2012; Velentgas et al., 2013)","plainTextFormattedCitation":"(H. H. Sinno et al., 2012; Velentgas et al., 2013)","previouslyFormattedCitation":"(H. H. Sinno et al., 2012; Velentgas et al., 2013)"},"properties":{"noteIndex":0},"schema":"https://github.com/citation-style-language/schema/raw/master/csl-citation.json"}</w:instrText>
            </w:r>
            <w:r w:rsidRPr="006A1EC7">
              <w:rPr>
                <w:sz w:val="18"/>
                <w:szCs w:val="18"/>
              </w:rPr>
              <w:fldChar w:fldCharType="separate"/>
            </w:r>
            <w:r w:rsidRPr="006A1EC7">
              <w:rPr>
                <w:noProof/>
                <w:sz w:val="18"/>
                <w:szCs w:val="18"/>
              </w:rPr>
              <w:t>(Sinno et al., 2012; Velentgas et al., 2013)</w:t>
            </w:r>
            <w:r w:rsidRPr="006A1EC7">
              <w:rPr>
                <w:sz w:val="18"/>
                <w:szCs w:val="18"/>
              </w:rPr>
              <w:fldChar w:fldCharType="end"/>
            </w:r>
          </w:p>
        </w:tc>
        <w:tc>
          <w:tcPr>
            <w:tcW w:w="2760" w:type="dxa"/>
          </w:tcPr>
          <w:p w14:paraId="5E8AB837"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Outlines the (economic) ‘burden’ of certain interventions </w:t>
            </w:r>
            <w:r w:rsidRPr="006A1EC7">
              <w:rPr>
                <w:sz w:val="18"/>
                <w:szCs w:val="18"/>
              </w:rPr>
              <w:fldChar w:fldCharType="begin" w:fldLock="1"/>
            </w:r>
            <w:r w:rsidRPr="006A1EC7">
              <w:rPr>
                <w:sz w:val="18"/>
                <w:szCs w:val="18"/>
              </w:rPr>
              <w:instrText>ADDIN CSL_CITATION {"citationItems":[{"id":"ITEM-1","itemData":{"DOI":"10.1177/0194599812439028","ISSN":"0194-5998","author":[{"dropping-particle":"","family":"Sinno","given":"H. H.","non-dropping-particle":"","parse-names":false,"suffix":""},{"dropping-particle":"","family":"Ibrahim","given":"A. M. S.","non-dropping-particle":"","parse-names":false,"suffix":""},{"dropping-particle":"","family":"Izadpanah","given":"A.","non-dropping-particle":"","parse-names":false,"suffix":""},{"dropping-particle":"","family":"Thibaudeau","given":"S.","non-dropping-particle":"","parse-names":false,"suffix":""},{"dropping-particle":"","family":"Christodoulou","given":"G.","non-dropping-particle":"","parse-names":false,"suffix":""},{"dropping-particle":"","family":"Tahiri","given":"Y.","non-dropping-particle":"","parse-names":false,"suffix":""},{"dropping-particle":"","family":"Slavin","given":"S. A.","non-dropping-particle":"","parse-names":false,"suffix":""},{"dropping-particle":"","family":"Lin","given":"S. J.","non-dropping-particle":"","parse-names":false,"suffix":""}],"container-title":"Otolaryngology -- Head and Neck Surgery","id":"ITEM-1","issue":"1","issued":{"date-parts":[["2012"]]},"page":"26-32","title":"Utility Outcome Assessment of the Aging Neck following Massive Weight Loss","type":"article-journal","volume":"147"},"uris":["http://www.mendeley.com/documents/?uuid=40c934ec-2328-44e4-9fa1-6437361e60b6"]},{"id":"ITEM-2","itemData":{"DOI":"10.1097/PRS.0b013e3181e094fa","ISBN":"0007-1226","ISSN":"1529-4242","PMID":"20679828","abstract":"Controversy exists as to whether the benefits of facial transplantation outweigh the risk of continuous immunosuppression. Utility scores [range, 0 (death) to 1 (perfect health)] are a standardized tool with which to objectify health states or diseases and can help answer such controversy.","author":[{"dropping-particle":"","family":"Sinno","given":"Hani H","non-dropping-particle":"","parse-names":false,"suffix":""},{"dropping-particle":"","family":"Thibaudeau","given":"Stephanie","non-dropping-particle":"","parse-names":false,"suffix":""},{"dropping-particle":"","family":"Duggal","given":"Anil","non-dropping-particle":"","parse-names":false,"suffix":""},{"dropping-particle":"","family":"Lessard","given":"Lucie","non-dropping-particle":"","parse-names":false,"suffix":""}],"container-title":"Plastic and reconstructive surgery","id":"ITEM-2","issue":"2","issued":{"date-parts":[["2010"]]},"page":"443-9","title":"Utility scores for facial disfigurement requiring facial transplantation [outcomes article].","type":"article-journal","volume":"126"},"uris":["http://www.mendeley.com/documents/?uuid=d4582ee8-298f-4a73-aed7-6fed19ab10d8"]}],"mendeley":{"formattedCitation":"(H. H. Sinno et al., 2012; Hani H Sinno, Thibaudeau, Duggal, &amp; Lessard, 2010)","manualFormatting":"(Sinno et al., 2012; Sinno, Thibaudeau, Duggal, &amp; Lessard, 2010)","plainTextFormattedCitation":"(H. H. Sinno et al., 2012; Hani H Sinno, Thibaudeau, Duggal, &amp; Lessard, 2010)","previouslyFormattedCitation":"(H. H. Sinno et al., 2012; Hani H Sinno, Thibaudeau, Duggal, &amp; Lessard, 2010)"},"properties":{"noteIndex":0},"schema":"https://github.com/citation-style-language/schema/raw/master/csl-citation.json"}</w:instrText>
            </w:r>
            <w:r w:rsidRPr="006A1EC7">
              <w:rPr>
                <w:sz w:val="18"/>
                <w:szCs w:val="18"/>
              </w:rPr>
              <w:fldChar w:fldCharType="separate"/>
            </w:r>
            <w:r w:rsidRPr="006A1EC7">
              <w:rPr>
                <w:noProof/>
                <w:sz w:val="18"/>
                <w:szCs w:val="18"/>
              </w:rPr>
              <w:t>(Sinno et al., 2012; Sinno, Thibaudeau, Duggal, &amp; Lessard, 2010)</w:t>
            </w:r>
            <w:r w:rsidRPr="006A1EC7">
              <w:rPr>
                <w:sz w:val="18"/>
                <w:szCs w:val="18"/>
              </w:rPr>
              <w:fldChar w:fldCharType="end"/>
            </w:r>
          </w:p>
        </w:tc>
        <w:tc>
          <w:tcPr>
            <w:tcW w:w="2777" w:type="dxa"/>
          </w:tcPr>
          <w:p w14:paraId="0ACA0FE4"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Not necessarily relevant to the assessment of symptoms in clinical practice</w:t>
            </w:r>
          </w:p>
        </w:tc>
        <w:tc>
          <w:tcPr>
            <w:tcW w:w="2046" w:type="dxa"/>
          </w:tcPr>
          <w:p w14:paraId="04D0659D" w14:textId="77777777" w:rsidR="00C77145" w:rsidRPr="006A1EC7" w:rsidRDefault="00C77145" w:rsidP="00D1354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Standard gamble </w:t>
            </w:r>
            <w:r w:rsidRPr="006A1EC7">
              <w:rPr>
                <w:sz w:val="18"/>
                <w:szCs w:val="18"/>
              </w:rPr>
              <w:fldChar w:fldCharType="begin" w:fldLock="1"/>
            </w:r>
            <w:r w:rsidRPr="006A1EC7">
              <w:rPr>
                <w:sz w:val="18"/>
                <w:szCs w:val="18"/>
              </w:rPr>
              <w:instrText>ADDIN CSL_CITATION {"citationItems":[{"id":"ITEM-1","itemData":{"DOI":"10.1002/hec","ISBN":"1099-1050; 1057-9230","ISSN":"1099-1050","PMID":"19816948","author":[{"dropping-particle":"","family":"Osch","given":"S","non-dropping-particle":"Van","parse-names":false,"suffix":""},{"dropping-particle":"","family":"Stiggelbout","given":"A","non-dropping-particle":"","parse-names":false,"suffix":""}],"container-title":"Health economics","id":"ITEM-1","issued":{"date-parts":[["2008"]]},"page":"31 - 40","title":"The construction of standard gamble utilities","type":"article-journal","volume":"17"},"uris":["http://www.mendeley.com/documents/?uuid=a45de455-ab6b-420f-b62b-b1695adfc9f1"]}],"mendeley":{"formattedCitation":"(Van Osch &amp; Stiggelbout, 2008)","plainTextFormattedCitation":"(Van Osch &amp; Stiggelbout, 2008)","previouslyFormattedCitation":"(Van Osch &amp; Stiggelbout, 2008)"},"properties":{"noteIndex":0},"schema":"https://github.com/citation-style-language/schema/raw/master/csl-citation.json"}</w:instrText>
            </w:r>
            <w:r w:rsidRPr="006A1EC7">
              <w:rPr>
                <w:sz w:val="18"/>
                <w:szCs w:val="18"/>
              </w:rPr>
              <w:fldChar w:fldCharType="separate"/>
            </w:r>
            <w:r w:rsidRPr="006A1EC7">
              <w:rPr>
                <w:noProof/>
                <w:sz w:val="18"/>
                <w:szCs w:val="18"/>
              </w:rPr>
              <w:t>(Van Osch &amp; Stiggelbout, 2008)</w:t>
            </w:r>
            <w:r w:rsidRPr="006A1EC7">
              <w:rPr>
                <w:sz w:val="18"/>
                <w:szCs w:val="18"/>
              </w:rPr>
              <w:fldChar w:fldCharType="end"/>
            </w:r>
          </w:p>
        </w:tc>
      </w:tr>
    </w:tbl>
    <w:p w14:paraId="0DD45C97" w14:textId="77777777" w:rsidR="00A40374" w:rsidRPr="006A1EC7" w:rsidRDefault="00A40374" w:rsidP="00A40374">
      <w:pPr>
        <w:tabs>
          <w:tab w:val="left" w:pos="573"/>
        </w:tabs>
        <w:spacing w:line="360" w:lineRule="auto"/>
        <w:rPr>
          <w:i/>
          <w:iCs/>
          <w:color w:val="44546A" w:themeColor="text2"/>
          <w:sz w:val="18"/>
          <w:szCs w:val="18"/>
        </w:rPr>
      </w:pPr>
    </w:p>
    <w:p w14:paraId="7B4C02DA" w14:textId="77777777" w:rsidR="00A40374" w:rsidRPr="006A1EC7" w:rsidRDefault="00A40374" w:rsidP="00A40374">
      <w:pPr>
        <w:tabs>
          <w:tab w:val="left" w:pos="573"/>
        </w:tabs>
        <w:spacing w:line="360" w:lineRule="auto"/>
        <w:rPr>
          <w:i/>
          <w:iCs/>
          <w:color w:val="44546A" w:themeColor="text2"/>
          <w:sz w:val="18"/>
          <w:szCs w:val="18"/>
        </w:rPr>
      </w:pPr>
    </w:p>
    <w:p w14:paraId="2B65356D" w14:textId="77777777" w:rsidR="00A40374" w:rsidRPr="006A1EC7" w:rsidRDefault="00A40374" w:rsidP="00A40374">
      <w:pPr>
        <w:tabs>
          <w:tab w:val="left" w:pos="573"/>
        </w:tabs>
        <w:spacing w:line="360" w:lineRule="auto"/>
        <w:rPr>
          <w:i/>
          <w:iCs/>
          <w:color w:val="44546A" w:themeColor="text2"/>
          <w:sz w:val="18"/>
          <w:szCs w:val="18"/>
        </w:rPr>
      </w:pPr>
    </w:p>
    <w:p w14:paraId="1F8B6763" w14:textId="77777777" w:rsidR="00A40374" w:rsidRPr="006A1EC7" w:rsidRDefault="00A40374" w:rsidP="00A40374">
      <w:pPr>
        <w:tabs>
          <w:tab w:val="left" w:pos="573"/>
        </w:tabs>
        <w:spacing w:line="360" w:lineRule="auto"/>
        <w:rPr>
          <w:i/>
          <w:iCs/>
          <w:color w:val="44546A" w:themeColor="text2"/>
          <w:sz w:val="18"/>
          <w:szCs w:val="18"/>
        </w:rPr>
      </w:pPr>
    </w:p>
    <w:p w14:paraId="0BC78B63" w14:textId="64BF7228" w:rsidR="00065496" w:rsidRPr="006A1EC7" w:rsidRDefault="00065496" w:rsidP="00A40374">
      <w:pPr>
        <w:tabs>
          <w:tab w:val="left" w:pos="573"/>
        </w:tabs>
        <w:spacing w:line="360" w:lineRule="auto"/>
        <w:sectPr w:rsidR="00065496" w:rsidRPr="006A1EC7" w:rsidSect="006B5C59">
          <w:type w:val="nextColumn"/>
          <w:pgSz w:w="16840" w:h="11900" w:orient="landscape"/>
          <w:pgMar w:top="1440" w:right="1701" w:bottom="1440" w:left="1701" w:header="720" w:footer="720" w:gutter="0"/>
          <w:cols w:space="720"/>
          <w:docGrid w:linePitch="360"/>
        </w:sectPr>
      </w:pPr>
    </w:p>
    <w:p w14:paraId="013AFA95" w14:textId="77777777" w:rsidR="00065496" w:rsidRPr="006A1EC7" w:rsidRDefault="00065496" w:rsidP="00A40374">
      <w:pPr>
        <w:pStyle w:val="Heading2"/>
        <w:spacing w:line="360" w:lineRule="auto"/>
        <w:rPr>
          <w:rFonts w:ascii="Times New Roman" w:hAnsi="Times New Roman" w:cs="Times New Roman"/>
        </w:rPr>
      </w:pPr>
      <w:bookmarkStart w:id="53" w:name="_Toc2336994"/>
      <w:bookmarkStart w:id="54" w:name="_Toc17977848"/>
      <w:bookmarkStart w:id="55" w:name="_Toc23522709"/>
      <w:bookmarkStart w:id="56" w:name="_Toc38821424"/>
      <w:bookmarkStart w:id="57" w:name="_Toc40172980"/>
      <w:r w:rsidRPr="006A1EC7">
        <w:rPr>
          <w:rFonts w:ascii="Times New Roman" w:hAnsi="Times New Roman" w:cs="Times New Roman"/>
        </w:rPr>
        <w:lastRenderedPageBreak/>
        <w:t xml:space="preserve">Development of a Clinical </w:t>
      </w:r>
      <w:bookmarkEnd w:id="53"/>
      <w:bookmarkEnd w:id="54"/>
      <w:r w:rsidRPr="006A1EC7">
        <w:rPr>
          <w:rFonts w:ascii="Times New Roman" w:hAnsi="Times New Roman" w:cs="Times New Roman"/>
        </w:rPr>
        <w:t>Outcome Assessment</w:t>
      </w:r>
      <w:bookmarkEnd w:id="55"/>
      <w:bookmarkEnd w:id="56"/>
      <w:bookmarkEnd w:id="57"/>
    </w:p>
    <w:p w14:paraId="4EABE0A6" w14:textId="77777777" w:rsidR="00065496" w:rsidRPr="006A1EC7" w:rsidRDefault="00065496" w:rsidP="00A40374">
      <w:pPr>
        <w:spacing w:line="360" w:lineRule="auto"/>
      </w:pPr>
    </w:p>
    <w:p w14:paraId="32D614D3" w14:textId="565A60B3" w:rsidR="00065496" w:rsidRPr="006A1EC7" w:rsidRDefault="00065496" w:rsidP="00A40374">
      <w:pPr>
        <w:spacing w:line="360" w:lineRule="auto"/>
        <w:ind w:firstLine="720"/>
      </w:pPr>
      <w:r w:rsidRPr="006A1EC7">
        <w:t xml:space="preserve">The development of Clinical Outcome Assessments is complex and iterative </w:t>
      </w:r>
      <w:r w:rsidRPr="006A1EC7">
        <w:fldChar w:fldCharType="begin" w:fldLock="1"/>
      </w:r>
      <w:r w:rsidRPr="006A1EC7">
        <w:instrText>ADDIN CSL_CITATION {"citationItems":[{"id":"ITEM-1","itemData":{"URL":"https://www.fda.gov/drugs/developmentapprovalprocess/drugdevelopmenttoolsqualificationprogram/ucm284077.htm","accessed":{"date-parts":[["2017","9","11"]]},"author":[{"dropping-particle":"","family":"U.S. Food and Drug Administration","given":"","non-dropping-particle":"","parse-names":false,"suffix":""}],"id":"ITEM-1","issued":{"date-parts":[["2017"]]},"title":"Clinical Outcome Assessment Qualification Program","type":"webpage"},"uris":["http://www.mendeley.com/documents/?uuid=7e751b8e-50ac-4312-97f0-68c1be4e74dc"]}],"mendeley":{"formattedCitation":"(U.S. Food and Drug Administration, 2017a)","plainTextFormattedCitation":"(U.S. Food and Drug Administration, 2017a)","previouslyFormattedCitation":"(U.S. Food and Drug Administration, 2017a)"},"properties":{"noteIndex":0},"schema":"https://github.com/citation-style-language/schema/raw/master/csl-citation.json"}</w:instrText>
      </w:r>
      <w:r w:rsidRPr="006A1EC7">
        <w:fldChar w:fldCharType="separate"/>
      </w:r>
      <w:r w:rsidRPr="006A1EC7">
        <w:rPr>
          <w:noProof/>
        </w:rPr>
        <w:t>(U.S. Food and Drug Administration, 2017a)</w:t>
      </w:r>
      <w:r w:rsidRPr="006A1EC7">
        <w:fldChar w:fldCharType="end"/>
      </w:r>
      <w:r w:rsidRPr="006A1EC7">
        <w:t xml:space="preserve">, necessitating elaborate multi-step processes and methodological consideration to address arising challenges </w:t>
      </w:r>
      <w:r w:rsidRPr="006A1EC7">
        <w:fldChar w:fldCharType="begin" w:fldLock="1"/>
      </w:r>
      <w:r w:rsidR="0010036C" w:rsidRPr="006A1EC7">
        <w:instrText>ADDIN CSL_CITATION {"citationItems":[{"id":"ITEM-1","itemData":{"author":[{"dropping-particle":"","family":"McDowell","given":"Ian","non-dropping-particle":"","parse-names":false,"suffix":""}],"container-title":"The Theoretical and Technical Foundations of Health Measurement","edition":"3rd","id":"ITEM-1","issued":{"date-parts":[["2006"]]},"publisher":"Oxford University Press","publisher-place":"Oxford","title":"Measuring health : a guide to rating scales and questionnaires","type":"book"},"locator":"10","uris":["http://www.mendeley.com/documents/?uuid=bbf0a91c-16c1-4f7e-99e5-dfbf8cb7fa65"]},{"id":"ITEM-2","itemData":{"DOI":"10.1186/s13023-017-0718-x","ISBN":"1877223476","ISSN":"17501172","PMID":"29096663","abstract":"Our ability to evaluate outcomes which genuinely reflect patients' unmet needs, hopes and concerns is of pivotal importance. However, much current clinical research and practice falls short of this objective by selecting outcome measures which do not capture patient value to the fullest. In this Opinion, we discuss Patient-Centered Outcomes Measures (PCOMs), which have the potential to systematically incorporate patient perspectives to measure those outcomes that matter most to patients. We argue for greater multi-stakeholder collaboration to develop PCOMs, with rare disease patients and families at the center. Beyond advancing the science of patient input, PCOMs are powerful tools to translate care or observed treatment benefit into an 'interpretable' measure of patient benefit, and thereby help demonstrate clinical effectiveness. We propose mixed methods psychometric research as the best route to deliver fit-for-purpose PCOMs in rare diseases, as this methodology brings together qualitative and quantitative research methods in tandem with the explicit aim to efficiently utilise data from small samples. And, whether one opts to develop a brand-new PCOM or to select or adapt an existing outcome measure for use in a rare disease, the anchors remain the same: patients, their daily experience of the rare disease, their preferences, core concepts and values. Ultimately, existing value frameworks, registries, and outcomes-based contracts largely fall short of consistently measuring the full range of outcomes that matter to patients. We argue that greater use of PCOMs in rare diseases would enable a fast track to Patient-Centered Care.","author":[{"dropping-particle":"","family":"Morel","given":"Thomas","non-dropping-particle":"","parse-names":false,"suffix":""},{"dropping-particle":"","family":"Cano","given":"Stefan J.","non-dropping-particle":"","parse-names":false,"suffix":""}],"container-title":"Orphanet Journal of Rare Diseases","id":"ITEM-2","issue":"1","issued":{"date-parts":[["2017"]]},"page":"1-13","publisher":"Orphanet Journal of Rare Diseases","title":"Measuring what matters to rare disease patients - Reflections on the work by the IRDiRC taskforce on patient-centered outcome measures","type":"article-journal","volume":"12"},"uris":["http://www.mendeley.com/documents/?uuid=cb1d74de-4dd1-4c58-bed2-1f1d4b97d349"]}],"mendeley":{"formattedCitation":"(McDowell, 2006, p. 10; Morel &amp; Cano, 2017)","manualFormatting":"(McDowell, 2006; Morel &amp; Cano, 2017)","plainTextFormattedCitation":"(McDowell, 2006, p. 10; Morel &amp; Cano, 2017)","previouslyFormattedCitation":"(McDowell, 2006, p. 10; Morel &amp; Cano, 2017)"},"properties":{"noteIndex":0},"schema":"https://github.com/citation-style-language/schema/raw/master/csl-citation.json"}</w:instrText>
      </w:r>
      <w:r w:rsidRPr="006A1EC7">
        <w:fldChar w:fldCharType="separate"/>
      </w:r>
      <w:r w:rsidRPr="006A1EC7">
        <w:rPr>
          <w:noProof/>
        </w:rPr>
        <w:t>(McDowell, 2006; Morel &amp; Cano, 2017)</w:t>
      </w:r>
      <w:r w:rsidRPr="006A1EC7">
        <w:fldChar w:fldCharType="end"/>
      </w:r>
      <w:r w:rsidRPr="006A1EC7">
        <w:t xml:space="preserve">. As aforementioned, guidance for the development of COAs is largely provided by the U.S. FDA, but their guidance is largely focused on developing Outcome Assessment for use in Clinical Trials (with fixed endpoints), rather than clinical practice. Therefore, guidance by the FDA will be supplemented with guidance and information from other sources, making the following section on development of Clinical Outcome Assessments especially relevant for clinical practice. These sources include the </w:t>
      </w:r>
      <w:r w:rsidRPr="006A1EC7">
        <w:rPr>
          <w:lang w:val="en-US"/>
        </w:rPr>
        <w:t xml:space="preserve">COnsensus-based Standards for the selection of Health Measurement Instruments (COSMIN) initiative, developed and based in the Netherlands </w:t>
      </w:r>
      <w:r w:rsidRPr="006A1EC7">
        <w:rPr>
          <w:lang w:val="en-US"/>
        </w:rPr>
        <w:fldChar w:fldCharType="begin" w:fldLock="1"/>
      </w:r>
      <w:r w:rsidRPr="006A1EC7">
        <w:rPr>
          <w:lang w:val="en-US"/>
        </w:rPr>
        <w:instrText>ADDIN CSL_CITATION {"citationItems":[{"id":"ITEM-1","itemData":{"URL":"https://www.cosmin.nl/","accessed":{"date-parts":[["2019","11","12"]]},"author":[{"dropping-particle":"","family":"COnsensus-based Standards for the selection of health Measurement INstruments","given":"","non-dropping-particle":"","parse-names":false,"suffix":""}],"id":"ITEM-1","issued":{"date-parts":[["2019"]]},"title":"COnsensus-based Standards for the selection of health Measurement INstruments","type":"webpage"},"uris":["http://www.mendeley.com/documents/?uuid=880eeafc-e594-4990-8995-787f41c108f1"]},{"id":"ITEM-2","itemData":{"DOI":"10.1016/j.jclinepi.2010.02.006","ISBN":"3120444677","ISSN":"08954356","PMID":"20494804","abstract":"Objective: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 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 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\"reliability\" and \"structural validity,\" and the definitions of internal consistency and reliability. Conclusions: Consensus on taxonomy, terminology, and definitions of measurement properties was reached. Hopefully, this will lead to a more uniform use of terms and definitions in the literature on measurement properties. © 2010 Elsevier Inc. All rights reserved.","author":[{"dropping-particle":"","family":"Mokkink","given":"Lidwine B.","non-dropping-particle":"","parse-names":false,"suffix":""},{"dropping-particle":"","family":"Terwee","given":"Caroline B.","non-dropping-particle":"","parse-names":false,"suffix":""},{"dropping-particle":"","family":"Patrick","given":"Donald L.","non-dropping-particle":"","parse-names":false,"suffix":""},{"dropping-particle":"","family":"Alonso","given":"Jordi","non-dropping-particle":"","parse-names":false,"suffix":""},{"dropping-particle":"","family":"Stratford","given":"Paul W.","non-dropping-particle":"","parse-names":false,"suffix":""},{"dropping-particle":"","family":"Knol","given":"Dirk L.","non-dropping-particle":"","parse-names":false,"suffix":""},{"dropping-particle":"","family":"Bouter","given":"Lex M.","non-dropping-particle":"","parse-names":false,"suffix":""},{"dropping-particle":"","family":"Vet","given":"Henrica C.W. W.","non-dropping-particle":"de","parse-names":false,"suffix":""},{"dropping-particle":"","family":"Prinsen","given":"Cicilia A. C.","non-dropping-particle":"","parse-names":false,"suffix":""},{"dropping-particle":"","family":"Mokkink","given":"Lidwine B.","non-dropping-particle":"","parse-names":false,"suffix":""},{"dropping-particle":"","family":"Vet","given":"Henrica C.W. W.","non-dropping-particle":"de","parse-names":false,"suffix":""}],"container-title":"Quality of Life Research","id":"ITEM-2","issue":"7","issued":{"date-parts":[["2014"]]},"page":"32","title":"The COSMIN checklist for evaluating the methodological quality of studies on measurement properties","type":"article-journal","volume":"63"},"uris":["http://www.mendeley.com/documents/?uuid=4397b4e2-e735-4ca4-b9ac-78effe00e60e"]}],"mendeley":{"formattedCitation":"(COnsensus-based Standards for the selection of health Measurement INstruments, 2019a; Lidwine B. Mokkink et al., 2014)","manualFormatting":"(COnsensus-based Standards for the selection of health Measurement INstruments, 2019a; Lidwine, Mokkink et al., 2014)","plainTextFormattedCitation":"(COnsensus-based Standards for the selection of health Measurement INstruments, 2019a; Lidwine B. Mokkink et al., 2014)","previouslyFormattedCitation":"(COnsensus-based Standards for the selection of health Measurement INstruments, 2019a; Lidwine B. Mokkink et al., 2014)"},"properties":{"noteIndex":0},"schema":"https://github.com/citation-style-language/schema/raw/master/csl-citation.json"}</w:instrText>
      </w:r>
      <w:r w:rsidRPr="006A1EC7">
        <w:rPr>
          <w:lang w:val="en-US"/>
        </w:rPr>
        <w:fldChar w:fldCharType="separate"/>
      </w:r>
      <w:r w:rsidRPr="006A1EC7">
        <w:rPr>
          <w:noProof/>
          <w:lang w:val="en-US"/>
        </w:rPr>
        <w:t>(COnsensus-based Standards for the selection of health Measurement INstruments, 2019a; Lidwine, Mokkink et al., 2014)</w:t>
      </w:r>
      <w:r w:rsidRPr="006A1EC7">
        <w:rPr>
          <w:lang w:val="en-US"/>
        </w:rPr>
        <w:fldChar w:fldCharType="end"/>
      </w:r>
      <w:r w:rsidRPr="006A1EC7">
        <w:rPr>
          <w:lang w:val="en-US"/>
        </w:rPr>
        <w:t xml:space="preserve">, </w:t>
      </w:r>
      <w:r w:rsidRPr="006A1EC7">
        <w:rPr>
          <w:color w:val="000000" w:themeColor="text1"/>
        </w:rPr>
        <w:t xml:space="preserve">the </w:t>
      </w:r>
      <w:r w:rsidRPr="006A1EC7">
        <w:rPr>
          <w:color w:val="000000"/>
          <w:spacing w:val="2"/>
          <w:shd w:val="clear" w:color="auto" w:fill="FFFFFF"/>
        </w:rPr>
        <w:t>International Society for Pharmacoeconomics and Outcomes Research (</w:t>
      </w:r>
      <w:r w:rsidRPr="006A1EC7">
        <w:rPr>
          <w:color w:val="000000" w:themeColor="text1"/>
        </w:rPr>
        <w:t xml:space="preserve">ISPOR) and the International Society for Quality of Life Research (ISOQOL) </w:t>
      </w:r>
      <w:r w:rsidRPr="006A1EC7">
        <w:rPr>
          <w:color w:val="000000" w:themeColor="text1"/>
        </w:rPr>
        <w:fldChar w:fldCharType="begin" w:fldLock="1"/>
      </w:r>
      <w:r w:rsidRPr="006A1EC7">
        <w:rPr>
          <w:color w:val="000000" w:themeColor="text1"/>
        </w:rPr>
        <w:instrText>ADDIN CSL_CITATION {"citationItems":[{"id":"ITEM-1","itemData":{"URL":"https://www.isoqol.org/who-we-are/","accessed":{"date-parts":[["2019","11","13"]]},"author":[{"dropping-particle":"","family":"International Society for Quality of life research","given":"","non-dropping-particle":"","parse-names":false,"suffix":""}],"id":"ITEM-1","issued":{"date-parts":[["2019"]]},"title":"ISOQOL: Who we are","type":"webpage"},"uris":["http://www.mendeley.com/documents/?uuid=af43fec2-98be-4221-a548-a05349e483c0"]},{"id":"ITEM-2","itemData":{"DOI":"10.1046/j.1524-4733.2003.65309.x","ISBN":"1098-3015 (Print)\\r1098-3015 (Linking)","ISSN":"10983015","PMID":"14627058","abstract":"BACKGROUND: The extent to which patient-based outcomes can be used to evaluate and communicate the effect of new drugs and devices is a subject of much debate. Criteria for evaluating the scientific quality of data to support health-related quality of life (HRQL) and other patient-based labeling and promotional claims in the United States and Europe have been proposed by various scientists and organizations. Since March 2000, a working group composed of members of the International Society for Quality of Life Research (ISOQOL), the International Society for Pharmacoeconomics and Outcomes Research (ISPOR), the Pharmaceutical Manufacturer's Association Health Outcomes Committee (PhRMA-HOC), and the European Regulatory Issues on Quality of Life Assessment (ERIQA) met to discuss and coordinate the various recommendations by their respective groups and address the need to harmonize outcomes review criteria within and across United States and European regulatory agencies. Over time, the discussion expanded from HRQL outcomes to include any outcome based on data provided by the patient or patient proxy, that is, patient-reported outcomes (PROs). The working group therefore became known as the PRO Harmonization Group. METHODS: Working with a member of the US Food and Drug Administration (FDA), four key issues requiring clarification were identified: how PROs are defined and put into operation for research purposes; the added value of PROs in the drug review and evaluation process; selected questions related to the PRO measurement and research methodology; and the interest and demand for PRO information by decision makers. On February 15, 2001, all members of the PRO Harmonization Group attended a meeting in Rockville, Maryland, to discuss these four issues further, and on February 16, 2001, a formal presentation was made to representatives from various departments and reviewing divisions of the FDA. These presentations are summarized in this report. RESULTS: All participants agreed that PROs are important for understanding the impact of treatment on patient functioning and well-being. They also stressed the need to communicate PRO information to key decision makers, including regulatory agencies, clinicians, patients and their families, and payers. Finally, the meeting resulted in plans for continuing the dialogue on PRO measurement and interpretation. SUMMARY: The February 16, 2001, meeting represented an important step in harmonizing efforts across various or…","author":[{"dropping-particle":"","family":"Acquadro","given":"Catherine","non-dropping-particle":"","parse-names":false,"suffix":""},{"dropping-particle":"","family":"Berzon","given":"Rick","non-dropping-particle":"","parse-names":false,"suffix":""},{"dropping-particle":"","family":"Dubois","given":"Dominique","non-dropping-particle":"","parse-names":false,"suffix":""},{"dropping-particle":"","family":"Leidy","given":"Nancy Kline","non-dropping-particle":"","parse-names":false,"suffix":""},{"dropping-particle":"","family":"Marquis","given":"Patrick","non-dropping-particle":"","parse-names":false,"suffix":""},{"dropping-particle":"","family":"Revicki","given":"Dennis","non-dropping-particle":"","parse-names":false,"suffix":""},{"dropping-particle":"","family":"Rothman","given":"Margaret","non-dropping-particle":"","parse-names":false,"suffix":""}],"container-title":"Value in Health","id":"ITEM-2","issue":"5","issued":{"date-parts":[["2003"]]},"page":"522-531","publisher":"International Society for Pharmacoeconomics and Outcomes Research (ISPOR)","title":"Incorporating the patient's perspective into drug development and communication: An ad hoc task force report of the patient-reported outcomes (PRO) Harmonization Group meeting at the food and drug administration, February 16, 2001","type":"article-journal","volume":"6"},"uris":["http://www.mendeley.com/documents/?uuid=40cc49e5-9086-4f6a-b611-e9d7d43822fd"]},{"id":"ITEM-3","itemData":{"DOI":"10.1016/j.jval.2016.11.005","author":[{"dropping-particle":"","family":"Powers","given":"J","non-dropping-particle":"","parse-names":false,"suffix":""},{"dropping-particle":"","family":"Patrick","given":"D","non-dropping-particle":"","parse-names":false,"suffix":""},{"dropping-particle":"","family":"Walton","given":"M","non-dropping-particle":"","parse-names":false,"suffix":""},{"dropping-particle":"","family":"Marquis","given":"P","non-dropping-particle":"","parse-names":false,"suffix":""},{"dropping-particle":"","family":"Cano","given":"S","non-dropping-particle":"","parse-names":false,"suffix":""},{"dropping-particle":"","family":"Hobart","given":"J","non-dropping-particle":"","parse-names":false,"suffix":""},{"dropping-particle":"","family":"Isaac","given":"M","non-dropping-particle":"","parse-names":false,"suffix":""},{"dropping-particle":"","family":"Vamvakas","given":"S","non-dropping-particle":"","parse-names":false,"suffix":""},{"dropping-particle":"","family":"Slagle","given":"A","non-dropping-particle":"","parse-names":false,"suffix":""},{"dropping-particle":"","family":"Molsen","given":"E","non-dropping-particle":"","parse-names":false,"suffix":""},{"dropping-particle":"","family":"Burke","given":"L","non-dropping-particle":"","parse-names":false,"suffix":""}],"container-title":"Value in Health","id":"ITEM-3","issue":"1","issued":{"date-parts":[["2017"]]},"page":"2-14","title":"Clinician-Reported Outcome Assessments of Treatment Benefit: Report of the ISPOR Clinical Outcome Assessment Emerging Good Practices Task Force John","type":"article-journal","volume":"20"},"uris":["http://www.mendeley.com/documents/?uuid=bdc422ab-4b8c-4b90-aaea-62508e7b4016"]}],"mendeley":{"formattedCitation":"(Acquadro et al., 2003; International Society for Quality of life research, 2019; J. Powers, Patrick, Walton, Marquis, Cano, Hobart, Isaac, Vamvakas, Slagle, Molsen, &amp; Burke, 2017)","manualFormatting":"(Acquadro et al., 2003; International Society for Quality of life research, 2019; Powers et al, 2017)","plainTextFormattedCitation":"(Acquadro et al., 2003; International Society for Quality of life research, 2019; J. Powers, Patrick, Walton, Marquis, Cano, Hobart, Isaac, Vamvakas, Slagle, Molsen, &amp; Burke, 2017)","previouslyFormattedCitation":"(Acquadro et al., 2003; International Society for Quality of life research, 2019; J. Powers, Patrick, Walton, Marquis, Cano, Hobart, Isaac, Vamvakas, Slagle, Molsen, &amp; Burke, 2017)"},"properties":{"noteIndex":0},"schema":"https://github.com/citation-style-language/schema/raw/master/csl-citation.json"}</w:instrText>
      </w:r>
      <w:r w:rsidRPr="006A1EC7">
        <w:rPr>
          <w:color w:val="000000" w:themeColor="text1"/>
        </w:rPr>
        <w:fldChar w:fldCharType="separate"/>
      </w:r>
      <w:r w:rsidRPr="006A1EC7">
        <w:rPr>
          <w:noProof/>
          <w:color w:val="000000" w:themeColor="text1"/>
        </w:rPr>
        <w:t>(Acquadro et al., 2003; International Society for Quality of life research, 2019; Powers et al, 2017)</w:t>
      </w:r>
      <w:r w:rsidRPr="006A1EC7">
        <w:rPr>
          <w:color w:val="000000" w:themeColor="text1"/>
        </w:rPr>
        <w:fldChar w:fldCharType="end"/>
      </w:r>
      <w:r w:rsidRPr="006A1EC7">
        <w:rPr>
          <w:color w:val="000000" w:themeColor="text1"/>
        </w:rPr>
        <w:t>.</w:t>
      </w:r>
    </w:p>
    <w:p w14:paraId="59E9C3C2" w14:textId="7F159296" w:rsidR="00065496" w:rsidRPr="006A1EC7" w:rsidRDefault="00065496" w:rsidP="00A40374">
      <w:pPr>
        <w:spacing w:line="360" w:lineRule="auto"/>
        <w:ind w:firstLine="720"/>
      </w:pPr>
      <w:r w:rsidRPr="006A1EC7">
        <w:t>The FDA recognises three steps in the development of a COA</w:t>
      </w:r>
      <w:r w:rsidR="00A40374" w:rsidRPr="006A1EC7">
        <w:t>.,</w:t>
      </w:r>
      <w:r w:rsidRPr="006A1EC7">
        <w:t xml:space="preserve"> these are illustrated in Graphic 4. This graphic refers to Step 2 as ‘Conceptualising treatment benefit’; this demonstrates the graphics applicability to clinical trials, rather than clinical practice. A more accurate title for Step 2, in the context of clinical practice, is ‘</w:t>
      </w:r>
      <w:r w:rsidRPr="006A1EC7">
        <w:rPr>
          <w:i/>
        </w:rPr>
        <w:t>Determining concept of interest and context of use’</w:t>
      </w:r>
      <w:r w:rsidRPr="006A1EC7">
        <w:t xml:space="preserve">. This is what Step 2 will from now on refer to. </w:t>
      </w:r>
    </w:p>
    <w:p w14:paraId="79A5855E" w14:textId="77777777" w:rsidR="00A40374" w:rsidRPr="006A1EC7" w:rsidRDefault="00A40374" w:rsidP="00A40374">
      <w:pPr>
        <w:spacing w:line="360" w:lineRule="auto"/>
        <w:ind w:firstLine="720"/>
      </w:pPr>
    </w:p>
    <w:p w14:paraId="6DCC2419" w14:textId="56FEDEBB" w:rsidR="007D183D" w:rsidRPr="006A1EC7" w:rsidRDefault="007D183D" w:rsidP="007D183D">
      <w:pPr>
        <w:pStyle w:val="Heading3"/>
        <w:rPr>
          <w:rFonts w:ascii="Times New Roman" w:hAnsi="Times New Roman" w:cs="Times New Roman"/>
        </w:rPr>
      </w:pPr>
      <w:bookmarkStart w:id="58" w:name="_Toc39270361"/>
      <w:bookmarkStart w:id="59" w:name="_Toc40173060"/>
      <w:r w:rsidRPr="006A1EC7">
        <w:rPr>
          <w:rFonts w:ascii="Times New Roman" w:hAnsi="Times New Roman" w:cs="Times New Roman"/>
        </w:rPr>
        <w:lastRenderedPageBreak/>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4</w:t>
      </w:r>
      <w:r w:rsidRPr="006A1EC7">
        <w:rPr>
          <w:rFonts w:ascii="Times New Roman" w:hAnsi="Times New Roman" w:cs="Times New Roman"/>
        </w:rPr>
        <w:fldChar w:fldCharType="end"/>
      </w:r>
      <w:r w:rsidRPr="006A1EC7">
        <w:rPr>
          <w:rFonts w:ascii="Times New Roman" w:hAnsi="Times New Roman" w:cs="Times New Roman"/>
        </w:rPr>
        <w:t>:</w:t>
      </w:r>
      <w:r w:rsidR="008B50CE" w:rsidRPr="006A1EC7">
        <w:rPr>
          <w:rFonts w:ascii="Times New Roman" w:hAnsi="Times New Roman" w:cs="Times New Roman"/>
        </w:rPr>
        <w:t xml:space="preserve"> </w:t>
      </w:r>
      <w:r w:rsidRPr="006A1EC7">
        <w:rPr>
          <w:rFonts w:ascii="Times New Roman" w:hAnsi="Times New Roman" w:cs="Times New Roman"/>
        </w:rPr>
        <w:t>Steps involved in the development of a COA (U.S. Food and Drug Administration, 2017a)</w:t>
      </w:r>
      <w:r w:rsidRPr="006A1EC7">
        <w:rPr>
          <w:rStyle w:val="FootnoteReference"/>
          <w:rFonts w:ascii="Times New Roman" w:hAnsi="Times New Roman" w:cs="Times New Roman"/>
        </w:rPr>
        <w:footnoteReference w:id="3"/>
      </w:r>
      <w:bookmarkEnd w:id="58"/>
      <w:bookmarkEnd w:id="59"/>
    </w:p>
    <w:p w14:paraId="5E16D620" w14:textId="6C338FC9" w:rsidR="007D183D" w:rsidRPr="006A1EC7" w:rsidRDefault="007D183D" w:rsidP="007D183D">
      <w:r w:rsidRPr="006A1EC7">
        <w:rPr>
          <w:noProof/>
          <w:lang w:eastAsia="en-GB"/>
        </w:rPr>
        <w:drawing>
          <wp:inline distT="0" distB="0" distL="0" distR="0" wp14:anchorId="111FF8D3" wp14:editId="7EF22604">
            <wp:extent cx="5727700" cy="3981805"/>
            <wp:effectExtent l="0" t="0" r="0" b="6350"/>
            <wp:docPr id="11" name="Picture 11" descr="Image result for development of COA 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velopment of COA F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981805"/>
                    </a:xfrm>
                    <a:prstGeom prst="rect">
                      <a:avLst/>
                    </a:prstGeom>
                    <a:noFill/>
                    <a:ln>
                      <a:noFill/>
                    </a:ln>
                  </pic:spPr>
                </pic:pic>
              </a:graphicData>
            </a:graphic>
          </wp:inline>
        </w:drawing>
      </w:r>
    </w:p>
    <w:p w14:paraId="36C4BDE1" w14:textId="77777777" w:rsidR="00065496" w:rsidRPr="006A1EC7" w:rsidRDefault="00065496" w:rsidP="00A40374">
      <w:pPr>
        <w:spacing w:line="360" w:lineRule="auto"/>
      </w:pPr>
    </w:p>
    <w:p w14:paraId="0703115F" w14:textId="64E144CF" w:rsidR="008B50CE" w:rsidRPr="006A1EC7" w:rsidRDefault="00A40374" w:rsidP="008B50CE">
      <w:pPr>
        <w:pStyle w:val="Heading4"/>
        <w:rPr>
          <w:rFonts w:ascii="Times New Roman" w:hAnsi="Times New Roman" w:cs="Times New Roman"/>
        </w:rPr>
      </w:pPr>
      <w:r w:rsidRPr="006A1EC7">
        <w:rPr>
          <w:rFonts w:ascii="Times New Roman" w:hAnsi="Times New Roman" w:cs="Times New Roman"/>
        </w:rPr>
        <w:t>Ste</w:t>
      </w:r>
      <w:r w:rsidR="00065496" w:rsidRPr="006A1EC7">
        <w:rPr>
          <w:rFonts w:ascii="Times New Roman" w:hAnsi="Times New Roman" w:cs="Times New Roman"/>
        </w:rPr>
        <w:t>p 1 and 2: Understanding the Disease/ Condition &amp; conceptualising concept of interest and context of use</w:t>
      </w:r>
    </w:p>
    <w:p w14:paraId="31199D3B" w14:textId="77777777" w:rsidR="008B50CE" w:rsidRPr="006A1EC7" w:rsidRDefault="008B50CE" w:rsidP="008B50CE"/>
    <w:p w14:paraId="5BB83FF0" w14:textId="3EB1A6B7" w:rsidR="00065496" w:rsidRPr="006A1EC7" w:rsidRDefault="00065496" w:rsidP="008B50CE">
      <w:pPr>
        <w:spacing w:line="360" w:lineRule="auto"/>
        <w:ind w:firstLine="720"/>
        <w:jc w:val="center"/>
        <w:rPr>
          <w:i/>
        </w:rPr>
      </w:pPr>
      <w:r w:rsidRPr="006A1EC7">
        <w:rPr>
          <w:i/>
        </w:rPr>
        <w:t xml:space="preserve">“It is important to invest in a careful description of the clinical manifestations, disease course, clinical outcomes and – importantly – of the disease impact on patients’ daily life and of the patients’ chief complaints and expectations from future therapies” </w:t>
      </w:r>
      <w:r w:rsidRPr="006A1EC7">
        <w:rPr>
          <w:i/>
        </w:rPr>
        <w:fldChar w:fldCharType="begin" w:fldLock="1"/>
      </w:r>
      <w:r w:rsidRPr="006A1EC7">
        <w:rPr>
          <w:i/>
        </w:rPr>
        <w:instrText>ADDIN CSL_CITATION {"citationItems":[{"id":"ITEM-1","itemData":{"DOI":"10.1186/s13023-017-0718-x","ISBN":"1877223476","ISSN":"17501172","PMID":"29096663","abstract":"Our ability to evaluate outcomes which genuinely reflect patients' unmet needs, hopes and concerns is of pivotal importance. However, much current clinical research and practice falls short of this objective by selecting outcome measures which do not capture patient value to the fullest. In this Opinion, we discuss Patient-Centered Outcomes Measures (PCOMs), which have the potential to systematically incorporate patient perspectives to measure those outcomes that matter most to patients. We argue for greater multi-stakeholder collaboration to develop PCOMs, with rare disease patients and families at the center. Beyond advancing the science of patient input, PCOMs are powerful tools to translate care or observed treatment benefit into an 'interpretable' measure of patient benefit, and thereby help demonstrate clinical effectiveness. We propose mixed methods psychometric research as the best route to deliver fit-for-purpose PCOMs in rare diseases, as this methodology brings together qualitative and quantitative research methods in tandem with the explicit aim to efficiently utilise data from small samples. And, whether one opts to develop a brand-new PCOM or to select or adapt an existing outcome measure for use in a rare disease, the anchors remain the same: patients, their daily experience of the rare disease, their preferences, core concepts and values. Ultimately, existing value frameworks, registries, and outcomes-based contracts largely fall short of consistently measuring the full range of outcomes that matter to patients. We argue that greater use of PCOMs in rare diseases would enable a fast track to Patient-Centered Care.","author":[{"dropping-particle":"","family":"Morel","given":"Thomas","non-dropping-particle":"","parse-names":false,"suffix":""},{"dropping-particle":"","family":"Cano","given":"Stefan J.","non-dropping-particle":"","parse-names":false,"suffix":""}],"container-title":"Orphanet Journal of Rare Diseases","id":"ITEM-1","issue":"1","issued":{"date-parts":[["2017"]]},"page":"1-13","publisher":"Orphanet Journal of Rare Diseases","title":"Measuring what matters to rare disease patients - Reflections on the work by the IRDiRC taskforce on patient-centered outcome measures","type":"article-journal","volume":"12"},"uris":["http://www.mendeley.com/documents/?uuid=cb1d74de-4dd1-4c58-bed2-1f1d4b97d349"]}],"mendeley":{"formattedCitation":"(Morel &amp; Cano, 2017)","manualFormatting":"(Morel &amp; Cano, 2017, p.3)","plainTextFormattedCitation":"(Morel &amp; Cano, 2017)","previouslyFormattedCitation":"(Morel &amp; Cano, 2017)"},"properties":{"noteIndex":0},"schema":"https://github.com/citation-style-language/schema/raw/master/csl-citation.json"}</w:instrText>
      </w:r>
      <w:r w:rsidRPr="006A1EC7">
        <w:rPr>
          <w:i/>
        </w:rPr>
        <w:fldChar w:fldCharType="separate"/>
      </w:r>
      <w:r w:rsidRPr="006A1EC7">
        <w:rPr>
          <w:noProof/>
        </w:rPr>
        <w:t>(Morel &amp; Cano, 2017, p.3)</w:t>
      </w:r>
      <w:r w:rsidRPr="006A1EC7">
        <w:rPr>
          <w:i/>
        </w:rPr>
        <w:fldChar w:fldCharType="end"/>
      </w:r>
    </w:p>
    <w:p w14:paraId="4055A2DB" w14:textId="77777777" w:rsidR="008B50CE" w:rsidRPr="006A1EC7" w:rsidRDefault="008B50CE" w:rsidP="008B50CE">
      <w:pPr>
        <w:spacing w:line="360" w:lineRule="auto"/>
        <w:ind w:firstLine="720"/>
        <w:jc w:val="center"/>
      </w:pPr>
    </w:p>
    <w:p w14:paraId="4679BA05" w14:textId="4BD653B1" w:rsidR="00065496" w:rsidRPr="006A1EC7" w:rsidRDefault="00065496" w:rsidP="00A40374">
      <w:pPr>
        <w:spacing w:line="360" w:lineRule="auto"/>
        <w:ind w:firstLine="720"/>
      </w:pPr>
      <w:r w:rsidRPr="006A1EC7">
        <w:t xml:space="preserve">Underlying any measure development, there must be an in-depth investigation to gain understanding of the disease or condition that is to be measured, in order to inform the content of a Clinical Outcome Assessment </w:t>
      </w:r>
      <w:r w:rsidRPr="006A1EC7">
        <w:fldChar w:fldCharType="begin" w:fldLock="1"/>
      </w:r>
      <w:r w:rsidR="00AD67F5" w:rsidRPr="006A1EC7">
        <w:instrText>ADDIN CSL_CITATION {"citationItems":[{"id":"ITEM-1","itemData":{"author":[{"dropping-particle":"","family":"McDowell","given":"Ian","non-dropping-particle":"","parse-names":false,"suffix":""}],"container-title":"The Theoretical and Technical Foundations of Health Measurement","edition":"3rd","id":"ITEM-1","issued":{"date-parts":[["2006"]]},"publisher":"Oxford University Press","publisher-place":"Oxford","title":"Measuring health : a guide to rating scales and questionnaires","type":"book"},"locator":"10","uris":["http://www.mendeley.com/documents/?uuid=bbf0a91c-16c1-4f7e-99e5-dfbf8cb7fa65"]},{"id":"ITEM-2","itemData":{"DOI":"10.1186/s13023-017-0718-x","ISBN":"1877223476","ISSN":"17501172","PMID":"29096663","abstract":"Our ability to evaluate outcomes which genuinely reflect patients' unmet needs, hopes and concerns is of pivotal importance. However, much current clinical research and practice falls short of this objective by selecting outcome measures which do not capture patient value to the fullest. In this Opinion, we discuss Patient-Centered Outcomes Measures (PCOMs), which have the potential to systematically incorporate patient perspectives to measure those outcomes that matter most to patients. We argue for greater multi-stakeholder collaboration to develop PCOMs, with rare disease patients and families at the center. Beyond advancing the science of patient input, PCOMs are powerful tools to translate care or observed treatment benefit into an 'interpretable' measure of patient benefit, and thereby help demonstrate clinical effectiveness. We propose mixed methods psychometric research as the best route to deliver fit-for-purpose PCOMs in rare diseases, as this methodology brings together qualitative and quantitative research methods in tandem with the explicit aim to efficiently utilise data from small samples. And, whether one opts to develop a brand-new PCOM or to select or adapt an existing outcome measure for use in a rare disease, the anchors remain the same: patients, their daily experience of the rare disease, their preferences, core concepts and values. Ultimately, existing value frameworks, registries, and outcomes-based contracts largely fall short of consistently measuring the full range of outcomes that matter to patients. We argue that greater use of PCOMs in rare diseases would enable a fast track to Patient-Centered Care.","author":[{"dropping-particle":"","family":"Morel","given":"Thomas","non-dropping-particle":"","parse-names":false,"suffix":""},{"dropping-particle":"","family":"Cano","given":"Stefan J.","non-dropping-particle":"","parse-names":false,"suffix":""}],"container-title":"Orphanet Journal of Rare Diseases","id":"ITEM-2","issue":"1","issued":{"date-parts":[["2017"]]},"page":"1-13","publisher":"Orphanet Journal of Rare Diseases","title":"Measuring what matters to rare disease patients - Reflections on the work by the IRDiRC taskforce on patient-centered outcome measures","type":"article-journal","volume":"12"},"uris":["http://www.mendeley.com/documents/?uuid=cb1d74de-4dd1-4c58-bed2-1f1d4b97d349"]}],"mendeley":{"formattedCitation":"(McDowell, 2006, p. 10; Morel &amp; Cano, 2017)","manualFormatting":"(McDowell, 2006; Morel &amp; Cano, 2017)","plainTextFormattedCitation":"(McDowell, 2006, p. 10; Morel &amp; Cano, 2017)","previouslyFormattedCitation":"(McDowell, 2006, p. 10; Morel &amp; Cano, 2017)"},"properties":{"noteIndex":0},"schema":"https://github.com/citation-style-language/schema/raw/master/csl-citation.json"}</w:instrText>
      </w:r>
      <w:r w:rsidRPr="006A1EC7">
        <w:fldChar w:fldCharType="separate"/>
      </w:r>
      <w:r w:rsidRPr="006A1EC7">
        <w:rPr>
          <w:noProof/>
        </w:rPr>
        <w:t>(McDowell, 2006; Morel &amp; Cano, 2017)</w:t>
      </w:r>
      <w:r w:rsidRPr="006A1EC7">
        <w:fldChar w:fldCharType="end"/>
      </w:r>
      <w:r w:rsidRPr="006A1EC7">
        <w:t xml:space="preserve">. Graphic 4 gives an overview of the steps involved. These initial steps towards gaining this understanding are usually achieved via a number of literature reviews; either in narrative or systematic format </w:t>
      </w:r>
      <w:r w:rsidRPr="006A1EC7">
        <w:fldChar w:fldCharType="begin" w:fldLock="1"/>
      </w:r>
      <w:r w:rsidRPr="006A1EC7">
        <w:instrText>ADDIN CSL_CITATION {"citationItems":[{"id":"ITEM-1","itemData":{"DOI":"10.1037/1040-3590.7.3.309","ISBN":"1040-3590 1939-134X","ISSN":"1040-3590","PMID":"15195336","abstract":"A primary goal of scale development is to create a valid measure of an underlying construct. We discuss theoretical principles, practical issues, and pragmatic decisions to help developers maximize the construct validity of scales and subscales. First, it is essential to begin with a clear conceptualization of the target construct. Moreover, the content of the initial item pool should be overinclusive and item wording needs careful attention. Next, the item pool should be tested, along with variables that assess closely related constructs, on a heterogeneous sample representing the entire range of the target population. Finally, in selecting scale items, the goal is unidimensionality rather than internal consistency; this means that virtually all interitem correlations should be moderate in magnitude. Factor analysis can play a crucial role in ensuring the unidimensionality and discriminant validity of scales.","author":[{"dropping-particle":"","family":"Clark","given":"Lee Anna","non-dropping-particle":"","parse-names":false,"suffix":""},{"dropping-particle":"","family":"Watson","given":"David","non-dropping-particle":"","parse-names":false,"suffix":""}],"container-title":"Psychological assessment","id":"ITEM-1","issue":"3","issued":{"date-parts":[["1995"]]},"page":"309-319","title":"Constructing validity: Basic issues in objective scale development","type":"article-journal","volume":"7"},"uris":["http://www.mendeley.com/documents/?uuid=20320aac-a109-4d75-86ea-cfe805b4becb"]},{"id":"ITEM-2","itemData":{"DOI":"10.1186/s41155-016-0057-1","ISBN":"0102797220170","ISSN":"16787153","abstract":"The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Critica","id":"ITEM-2","issue":"1","issued":{"date-parts":[["2017"]]},"page":"1-20","publisher":"Psicologia: Reflexão e Crítica","title":"Scale development: Ten main limitations and recommendations to improve future research practices","type":"article-journal","volume":"30"},"uris":["http://www.mendeley.com/documents/?uuid=a8b9cc36-43ce-4491-b24e-6b402072bceb"]},{"id":"ITEM-3","itemData":{"DOI":"10.3389/fpubh.2018.00149","ISSN":"2296-2565","PMID":"29942800","abstract":"Scale development and validation are critical to much of the work in the health, social, and behavioral sciences. However, the constellation of techniques required for scale development and evaluation can be onerous, jargon-filled, unfamiliar, and resource-intensive. Further, it is often not a part of graduate training. Therefore, our goal was to concisely review the process of scale development in as straightforward a manner as possible, both to facilitate the development of new, valid, and reliable scales and to help improve existing ones. To do this, we have created a primer for best practices for scale development in measuring complex phenomenon. This is not a systematic review, but rather the amalgamation of technical literature and lessons learned from our experiences spent creating or adapting a number of scales over the past several decades. We identified three phases that span nine steps. In the first phase, items are generated and the validity of their content is assessed. In the second phase, the scale is constructed. Steps in scale construction include pre-testing the questions, administering the survey, reducing the number of items, and understanding how many factors the scale captures. In the third phase, scale evaluation, the number of dimensions is tested, reliability is tested, and validity is assessed. We have also added examples of best practices to each step. In sum, this primer will equip both scientists and practitioners to understand the ontology and methodology of scale development and validation, thereby facilitating the advancement of our understanding of a range of health, social, and behavioral outcomes","author":[{"dropping-particle":"","family":"Boateng","given":"Godfred O.","non-dropping-particle":"","parse-names":false,"suffix":""},{"dropping-particle":"","family":"Neilands","given":"Torsten B.","non-dropping-particle":"","parse-names":false,"suffix":""},{"dropping-particle":"","family":"Frongillo","given":"Edward A.","non-dropping-particle":"","parse-names":false,"suffix":""},{"dropping-particle":"","family":"Melgar-Quiñonez","given":"Hugo R.","non-dropping-particle":"","parse-names":false,"suffix":""},{"dropping-particle":"","family":"Young","given":"Sera L.","non-dropping-particle":"","parse-names":false,"suffix":""}],"container-title":"Frontiers in Public Health","id":"ITEM-3","issue":"June","issued":{"date-parts":[["2018"]]},"page":"1-18","title":"Best Practices for Developing and Validating Scales for Health, Social, and Behavioral Research: A Primer","type":"article-journal","volume":"6"},"uris":["http://www.mendeley.com/documents/?uuid=4ddf49ad-ff37-4c28-97be-ee29877a811d"]}],"mendeley":{"formattedCitation":"(Boateng, Neilands, Frongillo, Melgar-Quiñonez, &amp; Young, 2018; Clark &amp; Watson, 1995; Morgado, Meireles, Neves, Amaral, &amp; Ferreira, 2017)","plainTextFormattedCitation":"(Boateng, Neilands, Frongillo, Melgar-Quiñonez, &amp; Young, 2018; Clark &amp; Watson, 1995; Morgado, Meireles, Neves, Amaral, &amp; Ferreira, 2017)","previouslyFormattedCitation":"(Boateng, Neilands, Frongillo, Melgar-Quiñonez, &amp; Young, 2018; Clark &amp; Watson, 1995; Morgado, Meireles, Neves, Amaral, &amp; Ferreira, 2017)"},"properties":{"noteIndex":0},"schema":"https://github.com/citation-style-language/schema/raw/master/csl-citation.json"}</w:instrText>
      </w:r>
      <w:r w:rsidRPr="006A1EC7">
        <w:fldChar w:fldCharType="separate"/>
      </w:r>
      <w:r w:rsidRPr="006A1EC7">
        <w:rPr>
          <w:noProof/>
        </w:rPr>
        <w:t>(Boateng, Neilands, Frongillo, Melgar-Quiñonez, &amp; Young, 2018; Clark &amp; Watson, 1995; Morgado, Meireles, Neves, Amaral, &amp; Ferreira, 2017)</w:t>
      </w:r>
      <w:r w:rsidRPr="006A1EC7">
        <w:fldChar w:fldCharType="end"/>
      </w:r>
      <w:r w:rsidRPr="006A1EC7">
        <w:t xml:space="preserve">. The first literature </w:t>
      </w:r>
      <w:r w:rsidRPr="006A1EC7">
        <w:lastRenderedPageBreak/>
        <w:t xml:space="preserve">review should assess the ‘concept of interest’ (i.e. the illness being studied with all relevant aspects such as onset, severity and comorbidities) (Graphic 4: Steps 1A-C). This can also include ‘less immediately-related constructs’ </w:t>
      </w:r>
      <w:r w:rsidRPr="006A1EC7">
        <w:fldChar w:fldCharType="begin" w:fldLock="1"/>
      </w:r>
      <w:r w:rsidRPr="006A1EC7">
        <w:instrText>ADDIN CSL_CITATION {"citationItems":[{"id":"ITEM-1","itemData":{"DOI":"10.1037/1040-3590.7.3.309","ISBN":"1040-3590 1939-134X","ISSN":"1040-3590","PMID":"15195336","abstract":"A primary goal of scale development is to create a valid measure of an underlying construct. We discuss theoretical principles, practical issues, and pragmatic decisions to help developers maximize the construct validity of scales and subscales. First, it is essential to begin with a clear conceptualization of the target construct. Moreover, the content of the initial item pool should be overinclusive and item wording needs careful attention. Next, the item pool should be tested, along with variables that assess closely related constructs, on a heterogeneous sample representing the entire range of the target population. Finally, in selecting scale items, the goal is unidimensionality rather than internal consistency; this means that virtually all interitem correlations should be moderate in magnitude. Factor analysis can play a crucial role in ensuring the unidimensionality and discriminant validity of scales.","author":[{"dropping-particle":"","family":"Clark","given":"Lee Anna","non-dropping-particle":"","parse-names":false,"suffix":""},{"dropping-particle":"","family":"Watson","given":"David","non-dropping-particle":"","parse-names":false,"suffix":""}],"container-title":"Psychological assessment","id":"ITEM-1","issue":"3","issued":{"date-parts":[["1995"]]},"page":"309-319","title":"Constructing validity: Basic issues in objective scale development","type":"article-journal","volume":"7"},"uris":["http://www.mendeley.com/documents/?uuid=20320aac-a109-4d75-86ea-cfe805b4becb"]}],"mendeley":{"formattedCitation":"(Clark &amp; Watson, 1995)","plainTextFormattedCitation":"(Clark &amp; Watson, 1995)","previouslyFormattedCitation":"(Clark &amp; Watson, 1995)"},"properties":{"noteIndex":0},"schema":"https://github.com/citation-style-language/schema/raw/master/csl-citation.json"}</w:instrText>
      </w:r>
      <w:r w:rsidRPr="006A1EC7">
        <w:fldChar w:fldCharType="separate"/>
      </w:r>
      <w:r w:rsidRPr="006A1EC7">
        <w:rPr>
          <w:noProof/>
        </w:rPr>
        <w:t>(Clark &amp; Watson, 1995)</w:t>
      </w:r>
      <w:r w:rsidRPr="006A1EC7">
        <w:fldChar w:fldCharType="end"/>
      </w:r>
      <w:r w:rsidRPr="006A1EC7">
        <w:t xml:space="preserve">, such as the psycho-social impact of the illness on patients and their families or the financial burden of the illness(Graphic 4: Step 1D). </w:t>
      </w:r>
    </w:p>
    <w:p w14:paraId="46E237DE" w14:textId="77777777" w:rsidR="00065496" w:rsidRPr="006A1EC7" w:rsidRDefault="00065496" w:rsidP="00A40374">
      <w:pPr>
        <w:spacing w:line="360" w:lineRule="auto"/>
        <w:ind w:firstLine="720"/>
      </w:pPr>
      <w:r w:rsidRPr="006A1EC7">
        <w:t xml:space="preserve">Once the concept of interest (= WHS) and the context of use (= routine clinical practice) have been identified (Graphic 4: Step 2A-B) appropriate design-related issues have to be addressed, i.e. who will assess the patient. For the current study, due to issues relating to learning disability found in all patients and medically complex clinical features, a ClinRo is proposed; as family members, although often presenting with higher health literacy </w:t>
      </w:r>
      <w:r w:rsidRPr="006A1EC7">
        <w:fldChar w:fldCharType="begin" w:fldLock="1"/>
      </w:r>
      <w:r w:rsidRPr="006A1EC7">
        <w:instrText>ADDIN CSL_CITATION {"citationItems":[{"id":"ITEM-1","itemData":{"DOI":"10.1186/s12887-015-0412-x","ISSN":"14712431","abstract":"BACKGROUND: Children with special health care needs (CSHCN) are children with medical or behavioral diagnoses that require services beyond those generally needed by pediatric populations. They account for a significant portion of pediatric health care expenditures and often have complicated treatment regiments. Health literacy has recently been recognized as a key indicator of quality chronic disease self-management and parental/caregiver health literacy of CSHCN is an understudied area. The purpose of this systematic review was to assess the available evidence of studies investigating parent/caregiver health literacy of CSHCN.\\n\\nMETHODS: Databases were searched to retrieve relevant articles for inclusion (dating from 1998 to 2014). Only studies that assessed the relationship between parent/caregiver health literacy on outcomes pertinent to CSHCN were included. Because of the limited number of studies, there were no restrictions placed on type of outcome.\\n\\nRESULTS: Thirteen studies were included in the final review with a range of health literacy assessments and outcome ascertainment. The majority of studies; (1) focused on the relationship between parental/caregiver health literacy and asthma outcomes, (2) were cross-sectional study designs, and (3) included samples recruited from pediatric clinics in academic medical settings.\\n\\nCONCLUSIONS: There were several gaps in the literature where future research is needed including; (1) direct assessment of child/adolescent health literacy, (2) inclusion of children with co-morbid conditions, (3) further assessment of the relationship between health literacy and health care utilization and cost, and (4) assessment of parental/caregiver health literacy in the inpatient care setting.","author":[{"dropping-particle":"","family":"Keim-Malpass","given":"Jessica","non-dropping-particle":"","parse-names":false,"suffix":""},{"dropping-particle":"","family":"Letzkus","given":"Lisa C.","non-dropping-particle":"","parse-names":false,"suffix":""},{"dropping-particle":"","family":"Kennedy","given":"Christine","non-dropping-particle":"","parse-names":false,"suffix":""}],"container-title":"BMC Pediatrics","id":"ITEM-1","issue":"1","issued":{"date-parts":[["2015"]]},"publisher":"BMC Pediatrics","title":"Parent/caregiver health literacy among children with special health care needs: A systematic review of the literature","type":"article-journal","volume":"15"},"uris":["http://www.mendeley.com/documents/?uuid=35c20470-8d93-4eb2-823f-0d39d3973faf","http://www.mendeley.com/documents/?uuid=7b08be2d-9c37-4f03-a011-a138b92f2fb1"]}],"mendeley":{"formattedCitation":"(Keim-Malpass, Letzkus, &amp; Kennedy, 2015)","plainTextFormattedCitation":"(Keim-Malpass, Letzkus, &amp; Kennedy, 2015)","previouslyFormattedCitation":"(Keim-Malpass, Letzkus, &amp; Kennedy, 2015)"},"properties":{"noteIndex":0},"schema":"https://github.com/citation-style-language/schema/raw/master/csl-citation.json"}</w:instrText>
      </w:r>
      <w:r w:rsidRPr="006A1EC7">
        <w:fldChar w:fldCharType="separate"/>
      </w:r>
      <w:r w:rsidRPr="006A1EC7">
        <w:rPr>
          <w:noProof/>
        </w:rPr>
        <w:t>(Keim-Malpass, Letzkus, &amp; Kennedy, 2015)</w:t>
      </w:r>
      <w:r w:rsidRPr="006A1EC7">
        <w:fldChar w:fldCharType="end"/>
      </w:r>
      <w:r w:rsidRPr="006A1EC7">
        <w:t>, may not be able to make those clinically sensitive judgements.</w:t>
      </w:r>
    </w:p>
    <w:p w14:paraId="6F86289F" w14:textId="310371DA" w:rsidR="00065496" w:rsidRPr="006A1EC7" w:rsidRDefault="00065496" w:rsidP="00A40374">
      <w:pPr>
        <w:spacing w:line="360" w:lineRule="auto"/>
        <w:ind w:firstLine="720"/>
      </w:pPr>
    </w:p>
    <w:p w14:paraId="16794F8B" w14:textId="3055865F" w:rsidR="00A40374" w:rsidRPr="006A1EC7" w:rsidRDefault="00065496" w:rsidP="008B50CE">
      <w:pPr>
        <w:pStyle w:val="Heading4"/>
        <w:rPr>
          <w:rFonts w:ascii="Times New Roman" w:hAnsi="Times New Roman" w:cs="Times New Roman"/>
        </w:rPr>
      </w:pPr>
      <w:r w:rsidRPr="006A1EC7">
        <w:rPr>
          <w:rFonts w:ascii="Times New Roman" w:hAnsi="Times New Roman" w:cs="Times New Roman"/>
        </w:rPr>
        <w:t>Step 3: Selecting/Developing the Outcome Measure</w:t>
      </w:r>
    </w:p>
    <w:p w14:paraId="3FF3AC00" w14:textId="643CA0CC" w:rsidR="00065496" w:rsidRPr="006A1EC7" w:rsidRDefault="00A40374" w:rsidP="00A40374">
      <w:pPr>
        <w:spacing w:line="360" w:lineRule="auto"/>
      </w:pPr>
      <w:r w:rsidRPr="006A1EC7">
        <w:tab/>
        <w:t>Once</w:t>
      </w:r>
      <w:r w:rsidR="00065496" w:rsidRPr="006A1EC7">
        <w:t xml:space="preserve"> the concept of interest, the context of use and the relevant type of COA required, are chosen, further literatures reviews are conducted to assess existing measures that have been used with the population of interest </w:t>
      </w:r>
      <w:r w:rsidR="00065496" w:rsidRPr="006A1EC7">
        <w:fldChar w:fldCharType="begin" w:fldLock="1"/>
      </w:r>
      <w:r w:rsidR="00065496" w:rsidRPr="006A1EC7">
        <w:instrText>ADDIN CSL_CITATION {"citationItems":[{"id":"ITEM-1","itemData":{"DOI":"10.3389/fpubh.2018.00149","ISSN":"2296-2565","PMID":"29942800","abstract":"Scale development and validation are critical to much of the work in the health, social, and behavioral sciences. However, the constellation of techniques required for scale development and evaluation can be onerous, jargon-filled, unfamiliar, and resource-intensive. Further, it is often not a part of graduate training. Therefore, our goal was to concisely review the process of scale development in as straightforward a manner as possible, both to facilitate the development of new, valid, and reliable scales and to help improve existing ones. To do this, we have created a primer for best practices for scale development in measuring complex phenomenon. This is not a systematic review, but rather the amalgamation of technical literature and lessons learned from our experiences spent creating or adapting a number of scales over the past several decades. We identified three phases that span nine steps. In the first phase, items are generated and the validity of their content is assessed. In the second phase, the scale is constructed. Steps in scale construction include pre-testing the questions, administering the survey, reducing the number of items, and understanding how many factors the scale captures. In the third phase, scale evaluation, the number of dimensions is tested, reliability is tested, and validity is assessed. We have also added examples of best practices to each step. In sum, this primer will equip both scientists and practitioners to understand the ontology and methodology of scale development and validation, thereby facilitating the advancement of our understanding of a range of health, social, and behavioral outcomes","author":[{"dropping-particle":"","family":"Boateng","given":"Godfred O.","non-dropping-particle":"","parse-names":false,"suffix":""},{"dropping-particle":"","family":"Neilands","given":"Torsten B.","non-dropping-particle":"","parse-names":false,"suffix":""},{"dropping-particle":"","family":"Frongillo","given":"Edward A.","non-dropping-particle":"","parse-names":false,"suffix":""},{"dropping-particle":"","family":"Melgar-Quiñonez","given":"Hugo R.","non-dropping-particle":"","parse-names":false,"suffix":""},{"dropping-particle":"","family":"Young","given":"Sera L.","non-dropping-particle":"","parse-names":false,"suffix":""}],"container-title":"Frontiers in Public Health","id":"ITEM-1","issue":"June","issued":{"date-parts":[["2018"]]},"page":"1-18","title":"Best Practices for Developing and Validating Scales for Health, Social, and Behavioral Research: A Primer","type":"article-journal","volume":"6"},"uris":["http://www.mendeley.com/documents/?uuid=4ddf49ad-ff37-4c28-97be-ee29877a811d"]}],"mendeley":{"formattedCitation":"(Boateng et al., 2018)","plainTextFormattedCitation":"(Boateng et al., 2018)","previouslyFormattedCitation":"(Boateng et al., 2018)"},"properties":{"noteIndex":0},"schema":"https://github.com/citation-style-language/schema/raw/master/csl-citation.json"}</w:instrText>
      </w:r>
      <w:r w:rsidR="00065496" w:rsidRPr="006A1EC7">
        <w:fldChar w:fldCharType="separate"/>
      </w:r>
      <w:r w:rsidR="00065496" w:rsidRPr="006A1EC7">
        <w:rPr>
          <w:noProof/>
        </w:rPr>
        <w:t>(Boateng et al., 2018)</w:t>
      </w:r>
      <w:r w:rsidR="00065496" w:rsidRPr="006A1EC7">
        <w:fldChar w:fldCharType="end"/>
      </w:r>
      <w:r w:rsidR="00065496" w:rsidRPr="006A1EC7">
        <w:t xml:space="preserve">(Graphic 4: 3A). This serves the purpose of assessing whether there already is a clinical-rating scale for the illness of interest, which measures have previously been used with this population and whether these measures have been validated for use with the population being studied </w:t>
      </w:r>
      <w:r w:rsidR="00065496" w:rsidRPr="006A1EC7">
        <w:fldChar w:fldCharType="begin" w:fldLock="1"/>
      </w:r>
      <w:r w:rsidR="00065496" w:rsidRPr="006A1EC7">
        <w:instrText>ADDIN CSL_CITATION {"citationItems":[{"id":"ITEM-1","itemData":{"URL":"https://www.fda.gov/drugs/developmentapprovalprocess/drugdevelopmenttoolsqualificationprogram/ucm284077.htm","accessed":{"date-parts":[["2017","9","11"]]},"author":[{"dropping-particle":"","family":"U.S. Food and Drug Administration","given":"","non-dropping-particle":"","parse-names":false,"suffix":""}],"id":"ITEM-1","issued":{"date-parts":[["2017"]]},"title":"Clinical Outcome Assessment Qualification Program","type":"webpage"},"uris":["http://www.mendeley.com/documents/?uuid=7e751b8e-50ac-4312-97f0-68c1be4e74dc"]},{"id":"ITEM-2","itemData":{"DOI":"10.3389/fpubh.2018.00149","ISSN":"2296-2565","PMID":"29942800","abstract":"Scale development and validation are critical to much of the work in the health, social, and behavioral sciences. However, the constellation of techniques required for scale development and evaluation can be onerous, jargon-filled, unfamiliar, and resource-intensive. Further, it is often not a part of graduate training. Therefore, our goal was to concisely review the process of scale development in as straightforward a manner as possible, both to facilitate the development of new, valid, and reliable scales and to help improve existing ones. To do this, we have created a primer for best practices for scale development in measuring complex phenomenon. This is not a systematic review, but rather the amalgamation of technical literature and lessons learned from our experiences spent creating or adapting a number of scales over the past several decades. We identified three phases that span nine steps. In the first phase, items are generated and the validity of their content is assessed. In the second phase, the scale is constructed. Steps in scale construction include pre-testing the questions, administering the survey, reducing the number of items, and understanding how many factors the scale captures. In the third phase, scale evaluation, the number of dimensions is tested, reliability is tested, and validity is assessed. We have also added examples of best practices to each step. In sum, this primer will equip both scientists and practitioners to understand the ontology and methodology of scale development and validation, thereby facilitating the advancement of our understanding of a range of health, social, and behavioral outcomes","author":[{"dropping-particle":"","family":"Boateng","given":"Godfred O.","non-dropping-particle":"","parse-names":false,"suffix":""},{"dropping-particle":"","family":"Neilands","given":"Torsten B.","non-dropping-particle":"","parse-names":false,"suffix":""},{"dropping-particle":"","family":"Frongillo","given":"Edward A.","non-dropping-particle":"","parse-names":false,"suffix":""},{"dropping-particle":"","family":"Melgar-Quiñonez","given":"Hugo R.","non-dropping-particle":"","parse-names":false,"suffix":""},{"dropping-particle":"","family":"Young","given":"Sera L.","non-dropping-particle":"","parse-names":false,"suffix":""}],"container-title":"Frontiers in Public Health","id":"ITEM-2","issue":"June","issued":{"date-parts":[["2018"]]},"page":"1-18","title":"Best Practices for Developing and Validating Scales for Health, Social, and Behavioral Research: A Primer","type":"article-journal","volume":"6"},"uris":["http://www.mendeley.com/documents/?uuid=4ddf49ad-ff37-4c28-97be-ee29877a811d"]}],"mendeley":{"formattedCitation":"(Boateng et al., 2018; U.S. Food and Drug Administration, 2017a)","plainTextFormattedCitation":"(Boateng et al., 2018; U.S. Food and Drug Administration, 2017a)","previouslyFormattedCitation":"(Boateng et al., 2018; U.S. Food and Drug Administration, 2017a)"},"properties":{"noteIndex":0},"schema":"https://github.com/citation-style-language/schema/raw/master/csl-citation.json"}</w:instrText>
      </w:r>
      <w:r w:rsidR="00065496" w:rsidRPr="006A1EC7">
        <w:fldChar w:fldCharType="separate"/>
      </w:r>
      <w:r w:rsidR="00065496" w:rsidRPr="006A1EC7">
        <w:rPr>
          <w:noProof/>
        </w:rPr>
        <w:t>(Boateng et al., 2018; U.S. Food and Drug Administration, 2017a)</w:t>
      </w:r>
      <w:r w:rsidR="00065496" w:rsidRPr="006A1EC7">
        <w:fldChar w:fldCharType="end"/>
      </w:r>
      <w:r w:rsidR="00065496" w:rsidRPr="006A1EC7">
        <w:t xml:space="preserve">. If a similar measure already exists to the one the developers wanted to create, the modification of existing measures is also a possibility. </w:t>
      </w:r>
      <w:r w:rsidR="00065496" w:rsidRPr="006A1EC7">
        <w:br/>
      </w:r>
      <w:r w:rsidR="00065496" w:rsidRPr="006A1EC7">
        <w:tab/>
        <w:t xml:space="preserve">If no previous measure exists (Graphic 4: Step 3A), developers of a clinical outcome assessment can take one of two approaches: they can either start by creating their item pool for the COA  based on their literature review findings </w:t>
      </w:r>
      <w:r w:rsidR="00065496" w:rsidRPr="006A1EC7">
        <w:fldChar w:fldCharType="begin" w:fldLock="1"/>
      </w:r>
      <w:r w:rsidR="00065496" w:rsidRPr="006A1EC7">
        <w:instrText>ADDIN CSL_CITATION {"citationItems":[{"id":"ITEM-1","itemData":{"DOI":"10.1037/1040-3590.7.3.309","ISBN":"1040-3590 1939-134X","ISSN":"1040-3590","PMID":"15195336","abstract":"A primary goal of scale development is to create a valid measure of an underlying construct. We discuss theoretical principles, practical issues, and pragmatic decisions to help developers maximize the construct validity of scales and subscales. First, it is essential to begin with a clear conceptualization of the target construct. Moreover, the content of the initial item pool should be overinclusive and item wording needs careful attention. Next, the item pool should be tested, along with variables that assess closely related constructs, on a heterogeneous sample representing the entire range of the target population. Finally, in selecting scale items, the goal is unidimensionality rather than internal consistency; this means that virtually all interitem correlations should be moderate in magnitude. Factor analysis can play a crucial role in ensuring the unidimensionality and discriminant validity of scales.","author":[{"dropping-particle":"","family":"Clark","given":"Lee Anna","non-dropping-particle":"","parse-names":false,"suffix":""},{"dropping-particle":"","family":"Watson","given":"David","non-dropping-particle":"","parse-names":false,"suffix":""}],"container-title":"Psychological assessment","id":"ITEM-1","issue":"3","issued":{"date-parts":[["1995"]]},"page":"309-319","title":"Constructing validity: Basic issues in objective scale development","type":"article-journal","volume":"7"},"uris":["http://www.mendeley.com/documents/?uuid=20320aac-a109-4d75-86ea-cfe805b4becb"]}],"mendeley":{"formattedCitation":"(Clark &amp; Watson, 1995)","plainTextFormattedCitation":"(Clark &amp; Watson, 1995)","previouslyFormattedCitation":"(Clark &amp; Watson, 1995)"},"properties":{"noteIndex":0},"schema":"https://github.com/citation-style-language/schema/raw/master/csl-citation.json"}</w:instrText>
      </w:r>
      <w:r w:rsidR="00065496" w:rsidRPr="006A1EC7">
        <w:fldChar w:fldCharType="separate"/>
      </w:r>
      <w:r w:rsidR="00065496" w:rsidRPr="006A1EC7">
        <w:rPr>
          <w:noProof/>
        </w:rPr>
        <w:t>(Clark &amp; Watson, 1995)</w:t>
      </w:r>
      <w:r w:rsidR="00065496" w:rsidRPr="006A1EC7">
        <w:fldChar w:fldCharType="end"/>
      </w:r>
      <w:r w:rsidR="00065496" w:rsidRPr="006A1EC7">
        <w:t xml:space="preserve"> (= deductive approach), or they can supplement their understanding of the disease with, for example, interviews or focus groups (combined, deductive and inductive approach) </w:t>
      </w:r>
      <w:r w:rsidR="00065496" w:rsidRPr="006A1EC7">
        <w:fldChar w:fldCharType="begin" w:fldLock="1"/>
      </w:r>
      <w:r w:rsidR="00065496" w:rsidRPr="006A1EC7">
        <w:instrText>ADDIN CSL_CITATION {"citationItems":[{"id":"ITEM-1","itemData":{"DOI":"10.1186/s41155-016-0057-1","ISBN":"0102797220170","ISSN":"16787153","abstract":"The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Critica","id":"ITEM-1","issue":"1","issued":{"date-parts":[["2017"]]},"page":"1-20","publisher":"Psicologia: Reflexão e Crítica","title":"Scale development: Ten main limitations and recommendations to improve future research practices","type":"article-journal","volume":"30"},"uris":["http://www.mendeley.com/documents/?uuid=a8b9cc36-43ce-4491-b24e-6b402072bceb"]},{"id":"ITEM-2","itemData":{"DOI":"10.1177/014920639502100509","ISBN":"0149-2063","ISSN":"0149-2063","PMID":"9512044424","abstract":"Questionnaires are the most commonly used method of data collection in field research (Stone, 1978). Problems with the reliability and validity of measures used on questionnaires has often led to difficulties in interpreting the results of field research (Cook, Hepworth, Wall &amp; Warr, 1981; Schriesheim, Powers, Scandura, Gardiner &amp; Lankau, 1993). This article reviews scab development procedures for 277 measures used in 75 articles published in leading academic journals from 1989 to 1994. It points out some of the problems encountered and provides examples of what could be considered ''best practices'' in scale development and reporting. Based on the review, recommendations are made to improve the scale development process.","author":[{"dropping-particle":"","family":"Hinkin","given":"T. R.","non-dropping-particle":"","parse-names":false,"suffix":""}],"container-title":"Journal of Management","id":"ITEM-2","issue":"5","issued":{"date-parts":[["1995"]]},"page":"967-988","title":"A Review of Scale Development Practices in the Study of Organizations","type":"article-journal","volume":"21"},"uris":["http://www.mendeley.com/documents/?uuid=40fa1966-f9b6-4831-a73d-4e56f290cf7a"]}],"mendeley":{"formattedCitation":"(Hinkin, 1995; Morgado et al., 2017)","plainTextFormattedCitation":"(Hinkin, 1995; Morgado et al., 2017)","previouslyFormattedCitation":"(Hinkin, 1995; Morgado et al., 2017)"},"properties":{"noteIndex":0},"schema":"https://github.com/citation-style-language/schema/raw/master/csl-citation.json"}</w:instrText>
      </w:r>
      <w:r w:rsidR="00065496" w:rsidRPr="006A1EC7">
        <w:fldChar w:fldCharType="separate"/>
      </w:r>
      <w:r w:rsidR="00065496" w:rsidRPr="006A1EC7">
        <w:rPr>
          <w:noProof/>
        </w:rPr>
        <w:t>(Hinkin, 1995; Morgado et al., 2017)</w:t>
      </w:r>
      <w:r w:rsidR="00065496" w:rsidRPr="006A1EC7">
        <w:fldChar w:fldCharType="end"/>
      </w:r>
      <w:r w:rsidR="00065496" w:rsidRPr="006A1EC7">
        <w:t xml:space="preserve">. In theory, one could use a deductive approach to scale development; however, this would be a clear limitation of the developed rating scale </w:t>
      </w:r>
      <w:r w:rsidR="00065496" w:rsidRPr="006A1EC7">
        <w:fldChar w:fldCharType="begin" w:fldLock="1"/>
      </w:r>
      <w:r w:rsidR="00065496" w:rsidRPr="006A1EC7">
        <w:instrText>ADDIN CSL_CITATION {"citationItems":[{"id":"ITEM-1","itemData":{"DOI":"10.1186/s41155-016-0057-1","ISBN":"0102797220170","ISSN":"16787153","abstract":"The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Critica","id":"ITEM-1","issue":"1","issued":{"date-parts":[["2017"]]},"page":"1-20","publisher":"Psicologia: Reflexão e Crítica","title":"Scale development: Ten main limitations and recommendations to improve future research practices","type":"article-journal","volume":"30"},"uris":["http://www.mendeley.com/documents/?uuid=a8b9cc36-43ce-4491-b24e-6b402072bceb"]}],"mendeley":{"formattedCitation":"(Morgado et al., 2017)","plainTextFormattedCitation":"(Morgado et al., 2017)","previouslyFormattedCitation":"(Morgado et al., 2017)"},"properties":{"noteIndex":0},"schema":"https://github.com/citation-style-language/schema/raw/master/csl-citation.json"}</w:instrText>
      </w:r>
      <w:r w:rsidR="00065496" w:rsidRPr="006A1EC7">
        <w:fldChar w:fldCharType="separate"/>
      </w:r>
      <w:r w:rsidR="00065496" w:rsidRPr="006A1EC7">
        <w:rPr>
          <w:noProof/>
        </w:rPr>
        <w:t>(Morgado et al., 2017)</w:t>
      </w:r>
      <w:r w:rsidR="00065496" w:rsidRPr="006A1EC7">
        <w:fldChar w:fldCharType="end"/>
      </w:r>
      <w:r w:rsidR="00065496" w:rsidRPr="006A1EC7">
        <w:t>.</w:t>
      </w:r>
    </w:p>
    <w:p w14:paraId="021A594A" w14:textId="77777777" w:rsidR="00065496" w:rsidRPr="006A1EC7" w:rsidRDefault="00065496" w:rsidP="00A40374">
      <w:pPr>
        <w:spacing w:line="360" w:lineRule="auto"/>
        <w:ind w:firstLine="720"/>
      </w:pPr>
      <w:r w:rsidRPr="006A1EC7">
        <w:t xml:space="preserve">The combined approach is the recommended approach to developing rating scales. This is reflected in a finding published in a recent systematic review: </w:t>
      </w:r>
      <w:r w:rsidRPr="006A1EC7">
        <w:fldChar w:fldCharType="begin" w:fldLock="1"/>
      </w:r>
      <w:r w:rsidRPr="006A1EC7">
        <w:instrText>ADDIN CSL_CITATION {"citationItems":[{"id":"ITEM-1","itemData":{"DOI":"10.1186/s41155-016-0057-1","ISBN":"0102797220170","ISSN":"16787153","abstract":"The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Critica","id":"ITEM-1","issue":"1","issued":{"date-parts":[["2017"]]},"page":"1-20","publisher":"Psicologia: Reflexão e Crítica","title":"Scale development: Ten main limitations and recommendations to improve future research practices","type":"article-journal","volume":"30"},"uris":["http://www.mendeley.com/documents/?uuid=a8b9cc36-43ce-4491-b24e-6b402072bceb"]}],"mendeley":{"formattedCitation":"(Morgado et al., 2017)","manualFormatting":"Morgado et al. (2017)","plainTextFormattedCitation":"(Morgado et al., 2017)","previouslyFormattedCitation":"(Morgado et al., 2017)"},"properties":{"noteIndex":0},"schema":"https://github.com/citation-style-language/schema/raw/master/csl-citation.json"}</w:instrText>
      </w:r>
      <w:r w:rsidRPr="006A1EC7">
        <w:fldChar w:fldCharType="separate"/>
      </w:r>
      <w:r w:rsidRPr="006A1EC7">
        <w:rPr>
          <w:noProof/>
        </w:rPr>
        <w:t>Morgado et al. (2017)</w:t>
      </w:r>
      <w:r w:rsidRPr="006A1EC7">
        <w:fldChar w:fldCharType="end"/>
      </w:r>
      <w:r w:rsidRPr="006A1EC7">
        <w:t xml:space="preserve"> reported that the combined approach of deductive and inductive methods was the most </w:t>
      </w:r>
      <w:r w:rsidRPr="006A1EC7">
        <w:lastRenderedPageBreak/>
        <w:t xml:space="preserve">commonly used approach to scale development (56%). A relevant example for this is the development of an ‘Observer-rated outcome measure for the assessment of Respiratory Syncytial Virus (RSV)’ by </w:t>
      </w:r>
      <w:r w:rsidRPr="006A1EC7">
        <w:fldChar w:fldCharType="begin" w:fldLock="1"/>
      </w:r>
      <w:r w:rsidRPr="006A1EC7">
        <w:instrText>ADDIN CSL_CITATION {"citationItems":[{"id":"ITEM-1","itemData":{"DOI":"10.1186/s41687-018-0034-9","ISSN":"2509-8020","abstract":"Background: Respiratory syncytial virus (RSV) is a seasonal infection affecting most children by 2 years of age and the leading cause of lower respiratory tract infection requiring hospitalization in infants. Novel antiviral medications are in development to improve the clinical outcomes of RSV; however, no clinical outcome assessments (COAs) for RSV have been developed in alignment with the United States Food and Drug Administration patient-reported outcome guidance to assist in the evaluation of new therapies. To address this need, an observer-reported outcome (ObsRO) measure designed to assess observable RSV symptoms was created., Methods: The literature was reviewed to evaluate existing COAs and identify constructs of interest. Individual caregiver interviews elicited concepts that informed item development, and candidate items were subsequently evaluated in two rounds of cognitive testing. Separate cohorts of caregivers of RSV-infected nonhospitalized and hospitalized infants participated. Therapeutic-area experts provided input throughout the instrument development process., Results: Caregivers of 39 children &lt;24 months old with RSV (31 nonhospitalized, 8 hospitalized) participated in in-depth, individual interviews during concept elicitation and cognitive debriefing, resulting in 21 concepts identified as potentially observable and relevant to young children with RSV. The item pool was reduced to 12 cardinal symptoms and behavior impacts reported to be directly observable by caregivers, with 10 daytime and 9 nighttime symptoms to capture diurnal variation in severity., Conclusions: The RSV Caregiver Diary assesses RSV symptom severity and change from the parent or caregiver perspective in a standardized manner to measure treatment benefit. Following psychometric evaluation and refinement, this tool is expected to be suitable for assisting in the clinical development of RSV therapeutics.","author":[{"dropping-particle":"","family":"Lewis","given":"Sandy","non-dropping-particle":"","parse-names":false,"suffix":""},{"dropping-particle":"","family":"DeMuro","given":"Carla","non-dropping-particle":"","parse-names":false,"suffix":""},{"dropping-particle":"","family":"Block","given":"Stan L","non-dropping-particle":"","parse-names":false,"suffix":""},{"dropping-particle":"","family":"Senders","given":"Shelly","non-dropping-particle":"","parse-names":false,"suffix":""},{"dropping-particle":"","family":"Wisman","given":"Paul","non-dropping-particle":"","parse-names":false,"suffix":""},{"dropping-particle":"","family":"Toback","given":"Seth","non-dropping-particle":"","parse-names":false,"suffix":""},{"dropping-particle":"","family":"Chien","given":"Jason W","non-dropping-particle":"","parse-names":false,"suffix":""},{"dropping-particle":"","family":"Williams","given":"Valerie","non-dropping-particle":"","parse-names":false,"suffix":""}],"container-title":"Journal of patient-reported outcomes","id":"ITEM-1","issue":"1","issued":{"date-parts":[["2017"]]},"page":"9","publisher":"Journal of Patient-Reported Outcomes","title":"Development of a novel observer-reported outcome measure for the assessment of Respiratory Syncytial Virus (RSV) infection symptoms in pediatric clinical trials.","type":"article-journal","volume":"2"},"uris":["http://www.mendeley.com/documents/?uuid=f14c929f-98c8-42d1-a590-961e847e0ce8"]}],"mendeley":{"formattedCitation":"(Lewis et al., 2017)","manualFormatting":"Lewis et al. (2017)","plainTextFormattedCitation":"(Lewis et al., 2017)","previouslyFormattedCitation":"(Lewis et al., 2017)"},"properties":{"noteIndex":0},"schema":"https://github.com/citation-style-language/schema/raw/master/csl-citation.json"}</w:instrText>
      </w:r>
      <w:r w:rsidRPr="006A1EC7">
        <w:fldChar w:fldCharType="separate"/>
      </w:r>
      <w:r w:rsidRPr="006A1EC7">
        <w:rPr>
          <w:noProof/>
        </w:rPr>
        <w:t>Lewis et al. (2017)</w:t>
      </w:r>
      <w:r w:rsidRPr="006A1EC7">
        <w:fldChar w:fldCharType="end"/>
      </w:r>
      <w:r w:rsidRPr="006A1EC7">
        <w:t xml:space="preserve">: the development of their ObsRo involved a literature review for both existing ClinRos and ObsROs for RSV, which was followed by semi-structured interviews with patient caregivers. A further example is the development of the Parental Needs Survey </w:t>
      </w:r>
      <w:r w:rsidRPr="006A1EC7">
        <w:fldChar w:fldCharType="begin" w:fldLock="1"/>
      </w:r>
      <w:r w:rsidRPr="006A1EC7">
        <w:instrText>ADDIN CSL_CITATION {"citationItems":[{"id":"ITEM-1","itemData":{"author":[{"dropping-particle":"","family":"Pelentsov","given":"L","non-dropping-particle":"","parse-names":false,"suffix":""},{"dropping-particle":"","family":"Fielder","given":"Andrea L","non-dropping-particle":"","parse-names":false,"suffix":""},{"dropping-particle":"","family":"Laws","given":"Thomas A","non-dropping-particle":"","parse-names":false,"suffix":""},{"dropping-particle":"","family":"Esterman","given":"Adrian J","non-dropping-particle":"","parse-names":false,"suffix":""}],"container-title":"Journal of Multidisciplinary Healthcare","id":"ITEM-1","issue":"9","issued":{"date-parts":[["2016"]]},"page":"425-433","title":"Development of the parental needs scale for rare diseases : a tool for measuring the supportive care needs of parents caring for a child with a rare disease","type":"article-journal","volume":"6"},"uris":["http://www.mendeley.com/documents/?uuid=e7aab930-e495-403a-80dc-d434325740c2"]}],"mendeley":{"formattedCitation":"(Pelentsov, Fielder, Laws, &amp; Esterman, 2016)","plainTextFormattedCitation":"(Pelentsov, Fielder, Laws, &amp; Esterman, 2016)","previouslyFormattedCitation":"(Pelentsov, Fielder, Laws, &amp; Esterman, 2016)"},"properties":{"noteIndex":0},"schema":"https://github.com/citation-style-language/schema/raw/master/csl-citation.json"}</w:instrText>
      </w:r>
      <w:r w:rsidRPr="006A1EC7">
        <w:fldChar w:fldCharType="separate"/>
      </w:r>
      <w:r w:rsidRPr="006A1EC7">
        <w:rPr>
          <w:noProof/>
        </w:rPr>
        <w:t>(Pelentsov, Fielder, Laws, &amp; Esterman, 2016)</w:t>
      </w:r>
      <w:r w:rsidRPr="006A1EC7">
        <w:fldChar w:fldCharType="end"/>
      </w:r>
      <w:r w:rsidRPr="006A1EC7">
        <w:t>, based on a scoping literature review and four qualitative focus groups. Although it is unclear how the interviews and focus were analysed for both scales, which produces issues around content validity and reproducibility, these are good examples of applying the combined approach to scale development.</w:t>
      </w:r>
    </w:p>
    <w:p w14:paraId="49BD1BD8" w14:textId="2795C87A" w:rsidR="006B5C59" w:rsidRPr="006A1EC7" w:rsidRDefault="00A40374" w:rsidP="00A40374">
      <w:pPr>
        <w:spacing w:line="360" w:lineRule="auto"/>
        <w:ind w:firstLine="720"/>
      </w:pPr>
      <w:r w:rsidRPr="006A1EC7">
        <w:t>If taking the combination approach, there is much variation as to what additional research is carried out to supplement and further the understanding of the disease/illness of interest to inform the content of the clinical outcome assessment. Interviews are reported to be the most commonly used inductive approach to scale development (27%) (Morgado et al., 2017); these interviews can be conducted with the patients themselves, their caregivers or even health care professionals. When developing their performance-based measure for patients with Schizophrenia (Test of Grocery Shopping Skills), Hamera &amp; Brown (2000), used semi-structured interviews with patients to gain further insights into the challenges faced when performing every-day tasks, such as grocery shopping, when living with schizophrenia. Robling et al. (2002), on the other hand, conducted interviews with health care professionals (referred to as ‘key-informant interviews’) during the development of the site-specific measure of quality of life for breast problems (The Cardiff Breast Scales). For the development of The Medical Research Council Prion Disease Rating Scale, relatives and caregivers (n=69) of patients with Prion disease were asked to complete the Barthel Index of Activities of Daily Living as well as rank up to four clinical features in order of importance; only a subset of their participants (n=10) completed in-depth structured interviews that were analysed using discourse analysis (Thompson et al., 2013). This inductive approach, naturally, also links with Step 1D in Graphic 4, and aids the understanding of the Concept of Interest to be assessed in the COA.</w:t>
      </w:r>
    </w:p>
    <w:p w14:paraId="7468A74F" w14:textId="4D469AE1" w:rsidR="00A40374" w:rsidRPr="006A1EC7" w:rsidRDefault="00A40374" w:rsidP="00A40374">
      <w:pPr>
        <w:spacing w:line="360" w:lineRule="auto"/>
        <w:ind w:firstLine="720"/>
      </w:pPr>
      <w:r w:rsidRPr="006A1EC7">
        <w:t xml:space="preserve">After having conducted in-depth investigations, developers can now refine what constitutes the concept of interest, related concepts and their relationships with each other </w:t>
      </w:r>
      <w:r w:rsidRPr="006A1EC7">
        <w:fldChar w:fldCharType="begin" w:fldLock="1"/>
      </w:r>
      <w:r w:rsidRPr="006A1EC7">
        <w:instrText>ADDIN CSL_CITATION {"citationItems":[{"id":"ITEM-1","itemData":{"author":[{"dropping-particle":"","family":"Jabareen","given":"Yosef","non-dropping-particle":"","parse-names":false,"suffix":""}],"id":"ITEM-1","issued":{"date-parts":[["2009"]]},"page":"49-62","title":"Building a Conceptual Framework : Philosophy , Definitions , and Procedure","type":"article-journal"},"uris":["http://www.mendeley.com/documents/?uuid=3feafffc-3d47-4f4d-b8cb-edce674a8bd9"]},{"id":"ITEM-2","itemData":{"author":[{"dropping-particle":"","family":"Maxwell","given":"J.","non-dropping-particle":"","parse-names":false,"suffix":""}],"container-title":"Qualitative research design: an interactive approach","id":"ITEM-2","issued":{"date-parts":[["2012"]]},"page":"141-151","publisher":"Sage Publication","publisher-place":"Thousand Oaks, California","title":"Conceptual Framework: What Do You Think Is Going On?","type":"chapter"},"uris":["http://www.mendeley.com/documents/?uuid=4dc0b732-8307-4014-852d-93e185bd5c2c"]}],"mendeley":{"formattedCitation":"(Jabareen, 2009; Maxwell, 2012)","plainTextFormattedCitation":"(Jabareen, 2009; Maxwell, 2012)","previouslyFormattedCitation":"(Jabareen, 2009; Maxwell, 2012)"},"properties":{"noteIndex":0},"schema":"https://github.com/citation-style-language/schema/raw/master/csl-citation.json"}</w:instrText>
      </w:r>
      <w:r w:rsidRPr="006A1EC7">
        <w:fldChar w:fldCharType="separate"/>
      </w:r>
      <w:r w:rsidRPr="006A1EC7">
        <w:rPr>
          <w:noProof/>
        </w:rPr>
        <w:t>(Jabareen, 2009; Maxwell, 2012)</w:t>
      </w:r>
      <w:r w:rsidRPr="006A1EC7">
        <w:fldChar w:fldCharType="end"/>
      </w:r>
      <w:r w:rsidRPr="006A1EC7">
        <w:t xml:space="preserve">. For the description of complex and multidisciplinary topics </w:t>
      </w:r>
      <w:r w:rsidRPr="006A1EC7">
        <w:fldChar w:fldCharType="begin" w:fldLock="1"/>
      </w:r>
      <w:r w:rsidRPr="006A1EC7">
        <w:instrText>ADDIN CSL_CITATION {"citationItems":[{"id":"ITEM-1","itemData":{"author":[{"dropping-particle":"","family":"Jabareen","given":"Yosef","non-dropping-particle":"","parse-names":false,"suffix":""}],"id":"ITEM-1","issued":{"date-parts":[["2009"]]},"page":"49-62","title":"Building a Conceptual Framework : Philosophy , Definitions , and Procedure","type":"article-journal"},"uris":["http://www.mendeley.com/documents/?uuid=3feafffc-3d47-4f4d-b8cb-edce674a8bd9"]}],"mendeley":{"formattedCitation":"(Jabareen, 2009)","plainTextFormattedCitation":"(Jabareen, 2009)","previouslyFormattedCitation":"(Jabareen, 2009)"},"properties":{"noteIndex":0},"schema":"https://github.com/citation-style-language/schema/raw/master/csl-citation.json"}</w:instrText>
      </w:r>
      <w:r w:rsidRPr="006A1EC7">
        <w:fldChar w:fldCharType="separate"/>
      </w:r>
      <w:r w:rsidRPr="006A1EC7">
        <w:rPr>
          <w:noProof/>
        </w:rPr>
        <w:t>(Jabareen, 2009)</w:t>
      </w:r>
      <w:r w:rsidRPr="006A1EC7">
        <w:fldChar w:fldCharType="end"/>
      </w:r>
      <w:r w:rsidRPr="006A1EC7">
        <w:t xml:space="preserve">, such as the description of a multi-systemic illness or aspects of living with a chronic disease, conceptual frameworks are recommended to be developed. </w:t>
      </w:r>
      <w:r w:rsidRPr="006A1EC7">
        <w:fldChar w:fldCharType="begin" w:fldLock="1"/>
      </w:r>
      <w:r w:rsidR="0010036C" w:rsidRPr="006A1EC7">
        <w:instrText>ADDIN CSL_CITATION {"citationItems":[{"id":"ITEM-1","itemData":{"author":[{"dropping-particle":"","family":"Jabareen","given":"Yosef","non-dropping-particle":"","parse-names":false,"suffix":""}],"id":"ITEM-1","issued":{"date-parts":[["2009"]]},"page":"49-62","title":"Building a Conceptual Framework : Philosophy , Definitions , and Procedure","type":"article-journal"},"uris":["http://www.mendeley.com/documents/?uuid=3feafffc-3d47-4f4d-b8cb-edce674a8bd9"]}],"mendeley":{"formattedCitation":"(Jabareen, 2009)","manualFormatting":"Jabareen (2009, p. 51)","plainTextFormattedCitation":"(Jabareen, 2009)","previouslyFormattedCitation":"(Jabareen, 2009)"},"properties":{"noteIndex":0},"schema":"https://github.com/citation-style-language/schema/raw/master/csl-citation.json"}</w:instrText>
      </w:r>
      <w:r w:rsidRPr="006A1EC7">
        <w:fldChar w:fldCharType="separate"/>
      </w:r>
      <w:r w:rsidRPr="006A1EC7">
        <w:rPr>
          <w:noProof/>
        </w:rPr>
        <w:t>Jabareen (2009</w:t>
      </w:r>
      <w:r w:rsidR="0010036C" w:rsidRPr="006A1EC7">
        <w:rPr>
          <w:noProof/>
        </w:rPr>
        <w:t xml:space="preserve">, </w:t>
      </w:r>
      <w:r w:rsidR="0010036C" w:rsidRPr="006A1EC7">
        <w:rPr>
          <w:noProof/>
        </w:rPr>
        <w:lastRenderedPageBreak/>
        <w:t>p. 51</w:t>
      </w:r>
      <w:r w:rsidRPr="006A1EC7">
        <w:rPr>
          <w:noProof/>
        </w:rPr>
        <w:t>)</w:t>
      </w:r>
      <w:r w:rsidRPr="006A1EC7">
        <w:fldChar w:fldCharType="end"/>
      </w:r>
      <w:r w:rsidRPr="006A1EC7">
        <w:t xml:space="preserve"> defines a conceptual framework</w:t>
      </w:r>
      <w:r w:rsidRPr="006A1EC7">
        <w:rPr>
          <w:i/>
          <w:iCs/>
        </w:rPr>
        <w:t xml:space="preserve"> (CF) “as a network, or ‘a plane’, of interlinked concepts that together provide a comprehensive understanding of a phenomenon or phenomena”.</w:t>
      </w:r>
      <w:r w:rsidRPr="006A1EC7">
        <w:t xml:space="preserve"> In contrast to theoretical frameworks, conceptual frameworks are much more complex, rooted in both iterative, critical and multidisciplinary research processes. </w:t>
      </w:r>
      <w:r w:rsidRPr="006A1EC7">
        <w:fldChar w:fldCharType="begin" w:fldLock="1"/>
      </w:r>
      <w:r w:rsidR="0010036C" w:rsidRPr="006A1EC7">
        <w:instrText>ADDIN CSL_CITATION {"citationItems":[{"id":"ITEM-1","itemData":{"author":[{"dropping-particle":"","family":"Imenda","given":"Sitwala","non-dropping-particle":"","parse-names":false,"suffix":""}],"id":"ITEM-1","issue":"2","issued":{"date-parts":[["2014"]]},"page":"185-195","title":"Is There a Conceptual Difference between Theoretical and Conceptual Frameworks ?","type":"article-journal","volume":"38"},"uris":["http://www.mendeley.com/documents/?uuid=198f858f-dfb8-4bc1-a750-13881fb93b52"]},{"id":"ITEM-2","itemData":{"author":[{"dropping-particle":"","family":"Maxwell","given":"J.","non-dropping-particle":"","parse-names":false,"suffix":""}],"container-title":"Qualitative research design: an interactive approach","id":"ITEM-2","issued":{"date-parts":[["2012"]]},"page":"141-151","publisher":"Sage Publication","publisher-place":"Thousand Oaks, California","title":"Conceptual Framework: What Do You Think Is Going On?","type":"chapter"},"uris":["http://www.mendeley.com/documents/?uuid=4dc0b732-8307-4014-852d-93e185bd5c2c"]}],"mendeley":{"formattedCitation":"(Imenda, 2014; Maxwell, 2012)","manualFormatting":"(Imenda, 2014; Maxwell, 2012)","plainTextFormattedCitation":"(Imenda, 2014; Maxwell, 2012)","previouslyFormattedCitation":"(Imenda, 2014; Maxwell, 2012)"},"properties":{"noteIndex":0},"schema":"https://github.com/citation-style-language/schema/raw/master/csl-citation.json"}</w:instrText>
      </w:r>
      <w:r w:rsidRPr="006A1EC7">
        <w:fldChar w:fldCharType="separate"/>
      </w:r>
      <w:r w:rsidRPr="006A1EC7">
        <w:rPr>
          <w:noProof/>
        </w:rPr>
        <w:t>(Imenda, 2014; Maxwell, 2012)</w:t>
      </w:r>
      <w:r w:rsidRPr="006A1EC7">
        <w:fldChar w:fldCharType="end"/>
      </w:r>
      <w:r w:rsidRPr="006A1EC7">
        <w:t xml:space="preserve">. Frameworks serve to inform the item pool for the measure that is to be developed, providing ‘guidance’ to developers </w:t>
      </w:r>
      <w:r w:rsidRPr="006A1EC7">
        <w:fldChar w:fldCharType="begin" w:fldLock="1"/>
      </w:r>
      <w:r w:rsidRPr="006A1EC7">
        <w:instrText>ADDIN CSL_CITATION {"citationItems":[{"id":"ITEM-1","itemData":{"author":[{"dropping-particle":"","family":"Liehr","given":"P","non-dropping-particle":"","parse-names":false,"suffix":""},{"dropping-particle":"","family":"Smith","given":"MJ","non-dropping-particle":"","parse-names":false,"suffix":""}],"container-title":"Advances in Nursing Science","id":"ITEM-1","issue":"4","issued":{"date-parts":[["1999"]]},"page":"81 - 91","title":"Middle range theory: Spin- ning research and practice to create knowledge for the new millennium.","type":"article-journal","volume":"21"},"uris":["http://www.mendeley.com/documents/?uuid=74694854-b3a4-4888-a7e1-8e5c201971d1"]},{"id":"ITEM-2","itemData":{"DOI":"10.1192/bjp.bp.110.083733","author":[{"dropping-particle":"","family":"Leamy","given":"Mary","non-dropping-particle":"","parse-names":false,"suffix":""},{"dropping-particle":"","family":"Bird","given":"Victoria","non-dropping-particle":"","parse-names":false,"suffix":""},{"dropping-particle":"Le","family":"Boutillier","given":"Clair","non-dropping-particle":"","parse-names":false,"suffix":""},{"dropping-particle":"","family":"Williams","given":"Julie","non-dropping-particle":"","parse-names":false,"suffix":""},{"dropping-particle":"","family":"Slade","given":"Mike","non-dropping-particle":"","parse-names":false,"suffix":""}],"id":"ITEM-2","issued":{"date-parts":[["2011"]]},"page":"445-452","title":"Conceptual framework for personal recovery in mental health : systematic review and narrative synthesis","type":"article-journal"},"uris":["http://www.mendeley.com/documents/?uuid=cf5b08dc-f1aa-4bb2-9703-923aa823f9ac"]}],"mendeley":{"formattedCitation":"(Leamy, Bird, Boutillier, Williams, &amp; Slade, 2011; Liehr &amp; Smith, 1999)","plainTextFormattedCitation":"(Leamy, Bird, Boutillier, Williams, &amp; Slade, 2011; Liehr &amp; Smith, 1999)","previouslyFormattedCitation":"(Leamy, Bird, Boutillier, Williams, &amp; Slade, 2011; Liehr &amp; Smith, 1999)"},"properties":{"noteIndex":0},"schema":"https://github.com/citation-style-language/schema/raw/master/csl-citation.json"}</w:instrText>
      </w:r>
      <w:r w:rsidRPr="006A1EC7">
        <w:fldChar w:fldCharType="separate"/>
      </w:r>
      <w:r w:rsidRPr="006A1EC7">
        <w:rPr>
          <w:noProof/>
        </w:rPr>
        <w:t>(Leamy, Bird, Boutillier, Williams, &amp; Slade, 2011; Liehr &amp; Smith, 1999)</w:t>
      </w:r>
      <w:r w:rsidRPr="006A1EC7">
        <w:fldChar w:fldCharType="end"/>
      </w:r>
      <w:r w:rsidRPr="006A1EC7">
        <w:t xml:space="preserve">. However, the subsequent use of a framework is not just limited for use during scale development, but can also inform further research </w:t>
      </w:r>
      <w:r w:rsidRPr="006A1EC7">
        <w:fldChar w:fldCharType="begin" w:fldLock="1"/>
      </w:r>
      <w:r w:rsidRPr="006A1EC7">
        <w:instrText>ADDIN CSL_CITATION {"citationItems":[{"id":"ITEM-1","itemData":{"author":[{"dropping-particle":"","family":"Imenda","given":"Sitwala","non-dropping-particle":"","parse-names":false,"suffix":""}],"id":"ITEM-1","issue":"2","issued":{"date-parts":[["2014"]]},"page":"185-195","title":"Is There a Conceptual Difference between Theoretical and Conceptual Frameworks ?","type":"article-journal","volume":"38"},"uris":["http://www.mendeley.com/documents/?uuid=198f858f-dfb8-4bc1-a750-13881fb93b52"]}],"mendeley":{"formattedCitation":"(Imenda, 2014)","plainTextFormattedCitation":"(Imenda, 2014)","previouslyFormattedCitation":"(Imenda, 2014)"},"properties":{"noteIndex":0},"schema":"https://github.com/citation-style-language/schema/raw/master/csl-citation.json"}</w:instrText>
      </w:r>
      <w:r w:rsidRPr="006A1EC7">
        <w:fldChar w:fldCharType="separate"/>
      </w:r>
      <w:r w:rsidRPr="006A1EC7">
        <w:rPr>
          <w:noProof/>
        </w:rPr>
        <w:t>(Imenda, 2014)</w:t>
      </w:r>
      <w:r w:rsidRPr="006A1EC7">
        <w:fldChar w:fldCharType="end"/>
      </w:r>
      <w:r w:rsidRPr="006A1EC7">
        <w:t xml:space="preserve"> and clinical practice. </w:t>
      </w:r>
    </w:p>
    <w:p w14:paraId="6DE76487" w14:textId="77777777" w:rsidR="00A40374" w:rsidRPr="006A1EC7" w:rsidRDefault="00A40374" w:rsidP="00A40374">
      <w:pPr>
        <w:spacing w:line="360" w:lineRule="auto"/>
        <w:ind w:firstLine="720"/>
      </w:pPr>
      <w:r w:rsidRPr="006A1EC7">
        <w:t xml:space="preserve">Two examples of such CFs are presented below: The first CF (Graphic 5) was developed by </w:t>
      </w:r>
      <w:r w:rsidRPr="006A1EC7">
        <w:fldChar w:fldCharType="begin" w:fldLock="1"/>
      </w:r>
      <w:r w:rsidRPr="006A1EC7">
        <w:instrText>ADDIN CSL_CITATION {"citationItems":[{"id":"ITEM-1","itemData":{"DOI":"10.1183/09031936.00004814","author":[{"dropping-particle":"","family":"Dobbels","given":"F","non-dropping-particle":"","parse-names":false,"suffix":""},{"dropping-particle":"","family":"Jong","given":"C","non-dropping-particle":"de","parse-names":false,"suffix":""},{"dropping-particle":"","family":"Drost","given":"E","non-dropping-particle":"","parse-names":false,"suffix":""},{"dropping-particle":"","family":"Elberse","given":"J","non-dropping-particle":"","parse-names":false,"suffix":""},{"dropping-particle":"","family":"Feridou","given":"C","non-dropping-particle":"","parse-names":false,"suffix":""},{"dropping-particle":"","family":"Jacobs","given":"L","non-dropping-particle":"","parse-names":false,"suffix":""},{"dropping-particle":"","family":"Rabinovich","given":"R","non-dropping-particle":"","parse-names":false,"suffix":""},{"dropping-particle":"","family":"Frei","given":"A","non-dropping-particle":"","parse-names":false,"suffix":""},{"dropping-particle":"","family":"Puhan","given":"M","non-dropping-particle":"","parse-names":false,"suffix":""},{"dropping-particle":"","family":"Boer","given":"W","non-dropping-particle":"de","parse-names":false,"suffix":""},{"dropping-particle":"","family":"can der Molen","given":"T","non-dropping-particle":"","parse-names":false,"suffix":""},{"dropping-particle":"","family":"Williams","given":"K","non-dropping-particle":"","parse-names":false,"suffix":""},{"dropping-particle":"","family":"Pinnock","given":"Hillary","non-dropping-particle":"","parse-names":false,"suffix":""},{"dropping-particle":"","family":"Troosters","given":"T","non-dropping-particle":"","parse-names":false,"suffix":""},{"dropping-particle":"","family":"Karlsson","given":"N","non-dropping-particle":"","parse-names":false,"suffix":""},{"dropping-particle":"","family":"Kulich","given":"K","non-dropping-particle":"","parse-names":false,"suffix":""},{"dropping-particle":"","family":"Ruedel","given":"K","non-dropping-particle":"","parse-names":false,"suffix":""},{"dropping-particle":"","family":"PROactive Consortium","given":"","non-dropping-particle":"","parse-names":false,"suffix":""}],"container-title":"European Respiratory Journal","id":"ITEM-1","issued":{"date-parts":[["2014"]]},"page":"1223-1233","title":"The PROactive innovative conceptual framework on physical activity","type":"article-journal","volume":"44"},"uris":["http://www.mendeley.com/documents/?uuid=58a628c3-af4c-4383-9743-ab17cdd94790"]}],"mendeley":{"formattedCitation":"(Dobbels et al., 2014)","manualFormatting":"Dobbels et al. (2014)","plainTextFormattedCitation":"(Dobbels et al., 2014)","previouslyFormattedCitation":"(Dobbels et al., 2014)"},"properties":{"noteIndex":0},"schema":"https://github.com/citation-style-language/schema/raw/master/csl-citation.json"}</w:instrText>
      </w:r>
      <w:r w:rsidRPr="006A1EC7">
        <w:fldChar w:fldCharType="separate"/>
      </w:r>
      <w:r w:rsidRPr="006A1EC7">
        <w:rPr>
          <w:noProof/>
        </w:rPr>
        <w:t>Dobbels et al. (2014)</w:t>
      </w:r>
      <w:r w:rsidRPr="006A1EC7">
        <w:fldChar w:fldCharType="end"/>
      </w:r>
      <w:r w:rsidRPr="006A1EC7">
        <w:t>, describing COPD (Chronic Obstructive Pulmonary Disease) patients’ experiences of physical activity. This conceptual framework was developed based on three qualitative studies with 116 patients from four demographically and geographically different countries, and the objective was to develop a PROM for physical activity in COPD patients. This framework clearly illustrates how the development of the Conceptual framework (circled red) informed the development of the items (circled purple).</w:t>
      </w:r>
    </w:p>
    <w:p w14:paraId="61087F5C" w14:textId="77777777" w:rsidR="00A40374" w:rsidRPr="006A1EC7" w:rsidRDefault="00A40374" w:rsidP="00A40374">
      <w:pPr>
        <w:spacing w:line="360" w:lineRule="auto"/>
        <w:ind w:firstLine="720"/>
      </w:pPr>
      <w:r w:rsidRPr="006A1EC7">
        <w:t xml:space="preserve">The second example was developed by </w:t>
      </w:r>
      <w:r w:rsidRPr="006A1EC7">
        <w:fldChar w:fldCharType="begin" w:fldLock="1"/>
      </w:r>
      <w:r w:rsidRPr="006A1EC7">
        <w:instrText>ADDIN CSL_CITATION {"citationItems":[{"id":"ITEM-1","itemData":{"DOI":"10.1053/j.ajkd.2017.08.020","ISSN":"15236838","abstract":"Background The impact of autosomal dominant polycystic kidney disease (ADPKD) on health-related quality of life (HRQoL) is not well understood due to a lack of instruments specific to the condition. Study Design Content for a new self-administered patient-reported outcome (PRO) questionnaire to assess ADPKD-related HRQoL was developed through clinical expert and patient focus group discussions. The new PRO instrument was administered to study patients with ADPKD to evaluate its reliability and validity. Setting &amp; Participants 1,674 adult patients with ADPKD participated in this research: 285 patients in focus groups to generate questionnaire content, 15 patients in debriefing interviews to refine the PRO questionnaire, and 1,374 patients to assess the performance and measurement properties of the PRO questionnaire. Outcome A new PRO questionnaire. Results The ADPKD Impact Scale (ADPKD-IS), consisting of 14 items representing 3 conceptual domains (physical, emotional, and fatigue) plus 4 additional questions, was developed. The instrument's reliability (regarding internal consistency and test-retest consistency) and validity (content and construct) were supported. Limitations Need for more responsiveness testing when more data from clinical use become available over time. Complex concepts such as ADPKD-related pain and impact on a patient's HRQoL need further evaluation. Conclusions The ADPKD-IS is a new patient-centric tool that reliably and validly provides a standardized method for assessing HRQoL and overall disease burden in patients with ADPKD.","author":[{"dropping-particle":"","family":"Oberdhan","given":"Dorothee","non-dropping-particle":"","parse-names":false,"suffix":""},{"dropping-particle":"","family":"Cole","given":"Jason C.","non-dropping-particle":"","parse-names":false,"suffix":""},{"dropping-particle":"","family":"Krasa","given":"Holly B.","non-dropping-particle":"","parse-names":false,"suffix":""},{"dropping-particle":"","family":"Cheng","given":"Rebecca","non-dropping-particle":"","parse-names":false,"suffix":""},{"dropping-particle":"","family":"Czerwiec","given":"Frank S.","non-dropping-particle":"","parse-names":false,"suffix":""},{"dropping-particle":"","family":"Hays","given":"Ron D.","non-dropping-particle":"","parse-names":false,"suffix":""},{"dropping-particle":"","family":"Chapman","given":"Arlene B.","non-dropping-particle":"","parse-names":false,"suffix":""},{"dropping-particle":"","family":"Perrone","given":"Ronald D.","non-dropping-particle":"","parse-names":false,"suffix":""}],"container-title":"American Journal of Kidney Diseases","id":"ITEM-1","issue":"2","issued":{"date-parts":[["2018"]]},"page":"225-235","publisher":"Elsevier Inc","title":"Development of the Autosomal Dominant Polycystic Kidney Disease Impact Scale: A New Health-Related Quality-of-Life Instrument","type":"article-journal","volume":"71"},"uris":["http://www.mendeley.com/documents/?uuid=9d9f99c5-191b-4520-94f5-8fcf1b4359e5"]}],"mendeley":{"formattedCitation":"(Oberdhan et al., 2018)","manualFormatting":"Oberdhan et al. (2018)","plainTextFormattedCitation":"(Oberdhan et al., 2018)","previouslyFormattedCitation":"(Oberdhan et al., 2018)"},"properties":{"noteIndex":0},"schema":"https://github.com/citation-style-language/schema/raw/master/csl-citation.json"}</w:instrText>
      </w:r>
      <w:r w:rsidRPr="006A1EC7">
        <w:fldChar w:fldCharType="separate"/>
      </w:r>
      <w:r w:rsidRPr="006A1EC7">
        <w:rPr>
          <w:noProof/>
        </w:rPr>
        <w:t>Oberdhan et al. (2018)</w:t>
      </w:r>
      <w:r w:rsidRPr="006A1EC7">
        <w:fldChar w:fldCharType="end"/>
      </w:r>
      <w:r w:rsidRPr="006A1EC7">
        <w:t xml:space="preserve"> (Graphic 6). This CF underlies the development of the Autosomal Dominant Polycystic Kidney Disease Impact Scale. It was developed on the basis of extensive literature reviews and multiple internal focus groups with both expert clinicians (n = 26; USA, Europe, Japan) and patients (n = 117; USA, Europe, Japan). The objective of this CF was to develop a PROM for HRQoL in patients with Autosomal Dominant Polycystic Kidney Disease. </w:t>
      </w:r>
    </w:p>
    <w:p w14:paraId="1E0AD10E" w14:textId="77777777" w:rsidR="00A40374" w:rsidRPr="006A1EC7" w:rsidRDefault="00A40374" w:rsidP="00A40374">
      <w:pPr>
        <w:spacing w:line="360" w:lineRule="auto"/>
        <w:ind w:firstLine="720"/>
      </w:pPr>
    </w:p>
    <w:bookmarkStart w:id="60" w:name="_Toc39270362"/>
    <w:bookmarkStart w:id="61" w:name="_Toc25137999"/>
    <w:bookmarkStart w:id="62" w:name="_Toc40173061"/>
    <w:p w14:paraId="5628B842" w14:textId="4479BA45" w:rsidR="00381BB6" w:rsidRPr="006A1EC7" w:rsidRDefault="0017745C" w:rsidP="00381BB6">
      <w:pPr>
        <w:pStyle w:val="Heading3"/>
        <w:rPr>
          <w:rFonts w:ascii="Times New Roman" w:hAnsi="Times New Roman" w:cs="Times New Roman"/>
        </w:rPr>
      </w:pPr>
      <w:r w:rsidRPr="006A1EC7">
        <w:rPr>
          <w:rFonts w:ascii="Times New Roman" w:hAnsi="Times New Roman" w:cs="Times New Roman"/>
          <w:noProof/>
          <w:lang w:eastAsia="en-GB"/>
        </w:rPr>
        <w:lastRenderedPageBreak/>
        <mc:AlternateContent>
          <mc:Choice Requires="wps">
            <w:drawing>
              <wp:anchor distT="0" distB="0" distL="114300" distR="114300" simplePos="0" relativeHeight="251710464" behindDoc="0" locked="0" layoutInCell="1" allowOverlap="1" wp14:anchorId="79469C38" wp14:editId="1AE1E5AB">
                <wp:simplePos x="0" y="0"/>
                <wp:positionH relativeFrom="column">
                  <wp:posOffset>2039816</wp:posOffset>
                </wp:positionH>
                <wp:positionV relativeFrom="paragraph">
                  <wp:posOffset>393554</wp:posOffset>
                </wp:positionV>
                <wp:extent cx="3910330" cy="3699754"/>
                <wp:effectExtent l="0" t="0" r="13970" b="8890"/>
                <wp:wrapNone/>
                <wp:docPr id="37" name="Oval 37"/>
                <wp:cNvGraphicFramePr/>
                <a:graphic xmlns:a="http://schemas.openxmlformats.org/drawingml/2006/main">
                  <a:graphicData uri="http://schemas.microsoft.com/office/word/2010/wordprocessingShape">
                    <wps:wsp>
                      <wps:cNvSpPr/>
                      <wps:spPr>
                        <a:xfrm>
                          <a:off x="0" y="0"/>
                          <a:ext cx="3910330" cy="3699754"/>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F358AD" id="Oval 37" o:spid="_x0000_s1026" style="position:absolute;margin-left:160.6pt;margin-top:31pt;width:307.9pt;height:291.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" filled="f" strokecolor="#7030a0" strokeweight="1pt">
                <v:stroke joinstyle="miter"/>
              </v:oval>
            </w:pict>
          </mc:Fallback>
        </mc:AlternateContent>
      </w:r>
      <w:r w:rsidR="00381BB6" w:rsidRPr="006A1EC7">
        <w:rPr>
          <w:rFonts w:ascii="Times New Roman" w:hAnsi="Times New Roman" w:cs="Times New Roman"/>
        </w:rPr>
        <w:t xml:space="preserve">Graphic </w:t>
      </w:r>
      <w:r w:rsidR="00381BB6" w:rsidRPr="006A1EC7">
        <w:rPr>
          <w:rFonts w:ascii="Times New Roman" w:hAnsi="Times New Roman" w:cs="Times New Roman"/>
        </w:rPr>
        <w:fldChar w:fldCharType="begin"/>
      </w:r>
      <w:r w:rsidR="00381BB6" w:rsidRPr="006A1EC7">
        <w:rPr>
          <w:rFonts w:ascii="Times New Roman" w:hAnsi="Times New Roman" w:cs="Times New Roman"/>
        </w:rPr>
        <w:instrText xml:space="preserve"> SEQ Graphic \* ARABIC </w:instrText>
      </w:r>
      <w:r w:rsidR="00381BB6" w:rsidRPr="006A1EC7">
        <w:rPr>
          <w:rFonts w:ascii="Times New Roman" w:hAnsi="Times New Roman" w:cs="Times New Roman"/>
        </w:rPr>
        <w:fldChar w:fldCharType="separate"/>
      </w:r>
      <w:r w:rsidR="001C21FC" w:rsidRPr="006A1EC7">
        <w:rPr>
          <w:rFonts w:ascii="Times New Roman" w:hAnsi="Times New Roman" w:cs="Times New Roman"/>
          <w:noProof/>
        </w:rPr>
        <w:t>5</w:t>
      </w:r>
      <w:r w:rsidR="00381BB6" w:rsidRPr="006A1EC7">
        <w:rPr>
          <w:rFonts w:ascii="Times New Roman" w:hAnsi="Times New Roman" w:cs="Times New Roman"/>
        </w:rPr>
        <w:fldChar w:fldCharType="end"/>
      </w:r>
      <w:r w:rsidR="00381BB6" w:rsidRPr="006A1EC7">
        <w:rPr>
          <w:rFonts w:ascii="Times New Roman" w:hAnsi="Times New Roman" w:cs="Times New Roman"/>
        </w:rPr>
        <w:t>: Conceptual Framework of COPD patients’ experience of physical activity, developed by Dobbels et al. (2014)</w:t>
      </w:r>
      <w:r w:rsidR="00381BB6" w:rsidRPr="006A1EC7">
        <w:rPr>
          <w:rStyle w:val="FootnoteReference"/>
          <w:rFonts w:ascii="Times New Roman" w:hAnsi="Times New Roman" w:cs="Times New Roman"/>
        </w:rPr>
        <w:footnoteReference w:id="4"/>
      </w:r>
      <w:bookmarkEnd w:id="60"/>
      <w:bookmarkEnd w:id="62"/>
    </w:p>
    <w:p w14:paraId="23423EBD" w14:textId="33685460" w:rsidR="00A40374" w:rsidRPr="006A1EC7" w:rsidRDefault="0017745C" w:rsidP="00A40374">
      <w:pPr>
        <w:pStyle w:val="Caption"/>
        <w:keepNext/>
        <w:rPr>
          <w:sz w:val="24"/>
          <w:szCs w:val="24"/>
        </w:rPr>
      </w:pPr>
      <w:r w:rsidRPr="006A1EC7">
        <w:rPr>
          <w:noProof/>
          <w:lang w:eastAsia="en-GB"/>
        </w:rPr>
        <mc:AlternateContent>
          <mc:Choice Requires="wps">
            <w:drawing>
              <wp:anchor distT="0" distB="0" distL="114300" distR="114300" simplePos="0" relativeHeight="251709440" behindDoc="0" locked="0" layoutInCell="1" allowOverlap="1" wp14:anchorId="6BD6022D" wp14:editId="1DEA698C">
                <wp:simplePos x="0" y="0"/>
                <wp:positionH relativeFrom="column">
                  <wp:posOffset>-252828</wp:posOffset>
                </wp:positionH>
                <wp:positionV relativeFrom="paragraph">
                  <wp:posOffset>76444</wp:posOffset>
                </wp:positionV>
                <wp:extent cx="2208628" cy="3334043"/>
                <wp:effectExtent l="0" t="0" r="13970" b="19050"/>
                <wp:wrapNone/>
                <wp:docPr id="24" name="Oval 24"/>
                <wp:cNvGraphicFramePr/>
                <a:graphic xmlns:a="http://schemas.openxmlformats.org/drawingml/2006/main">
                  <a:graphicData uri="http://schemas.microsoft.com/office/word/2010/wordprocessingShape">
                    <wps:wsp>
                      <wps:cNvSpPr/>
                      <wps:spPr>
                        <a:xfrm>
                          <a:off x="0" y="0"/>
                          <a:ext cx="2208628" cy="333404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0DA336" id="Oval 24" o:spid="_x0000_s1026" style="position:absolute;margin-left:-19.9pt;margin-top:6pt;width:173.9pt;height:26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" filled="f" strokecolor="#c00000" strokeweight="1pt">
                <v:stroke joinstyle="miter"/>
              </v:oval>
            </w:pict>
          </mc:Fallback>
        </mc:AlternateContent>
      </w:r>
      <w:r w:rsidR="00A40374" w:rsidRPr="006A1EC7">
        <w:rPr>
          <w:noProof/>
          <w:lang w:eastAsia="en-GB"/>
        </w:rPr>
        <w:drawing>
          <wp:inline distT="0" distB="0" distL="0" distR="0" wp14:anchorId="3F0D1E1E" wp14:editId="754942DB">
            <wp:extent cx="5727700" cy="3822700"/>
            <wp:effectExtent l="0" t="0" r="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2-08 at 12.36.19.png"/>
                    <pic:cNvPicPr/>
                  </pic:nvPicPr>
                  <pic:blipFill>
                    <a:blip r:embed="rId17">
                      <a:extLst>
                        <a:ext uri="{28A0092B-C50C-407E-A947-70E740481C1C}">
                          <a14:useLocalDpi xmlns:a14="http://schemas.microsoft.com/office/drawing/2010/main"/>
                        </a:ext>
                      </a:extLst>
                    </a:blip>
                    <a:stretch>
                      <a:fillRect/>
                    </a:stretch>
                  </pic:blipFill>
                  <pic:spPr>
                    <a:xfrm>
                      <a:off x="0" y="0"/>
                      <a:ext cx="5727700" cy="3822700"/>
                    </a:xfrm>
                    <a:prstGeom prst="rect">
                      <a:avLst/>
                    </a:prstGeom>
                  </pic:spPr>
                </pic:pic>
              </a:graphicData>
            </a:graphic>
          </wp:inline>
        </w:drawing>
      </w:r>
    </w:p>
    <w:p w14:paraId="6661277E" w14:textId="1AF82281" w:rsidR="00381BB6" w:rsidRPr="006A1EC7" w:rsidRDefault="00381BB6" w:rsidP="00DB5C12">
      <w:pPr>
        <w:pStyle w:val="Heading3"/>
        <w:rPr>
          <w:rFonts w:ascii="Times New Roman" w:hAnsi="Times New Roman" w:cs="Times New Roman"/>
        </w:rPr>
      </w:pPr>
      <w:bookmarkStart w:id="63" w:name="_Toc39270363"/>
      <w:bookmarkStart w:id="64" w:name="_Toc40173062"/>
      <w:bookmarkEnd w:id="61"/>
      <w:r w:rsidRPr="006A1EC7">
        <w:rPr>
          <w:rFonts w:ascii="Times New Roman" w:hAnsi="Times New Roman" w:cs="Times New Roman"/>
        </w:rPr>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6</w:t>
      </w:r>
      <w:r w:rsidRPr="006A1EC7">
        <w:rPr>
          <w:rFonts w:ascii="Times New Roman" w:hAnsi="Times New Roman" w:cs="Times New Roman"/>
        </w:rPr>
        <w:fldChar w:fldCharType="end"/>
      </w:r>
      <w:r w:rsidRPr="006A1EC7">
        <w:rPr>
          <w:rFonts w:ascii="Times New Roman" w:hAnsi="Times New Roman" w:cs="Times New Roman"/>
        </w:rPr>
        <w:t>: Conceptual Framework of the Autosomal Dominant Polycystic Kidney Disease Impact Scale (Oberdhan et al., 2018)</w:t>
      </w:r>
      <w:r w:rsidRPr="006A1EC7">
        <w:rPr>
          <w:rStyle w:val="FootnoteReference"/>
          <w:rFonts w:ascii="Times New Roman" w:hAnsi="Times New Roman" w:cs="Times New Roman"/>
        </w:rPr>
        <w:footnoteReference w:id="5"/>
      </w:r>
      <w:bookmarkEnd w:id="63"/>
      <w:bookmarkEnd w:id="64"/>
    </w:p>
    <w:p w14:paraId="14FE5790" w14:textId="77777777" w:rsidR="00A40374" w:rsidRPr="006A1EC7" w:rsidRDefault="00A40374" w:rsidP="00A40374">
      <w:pPr>
        <w:spacing w:line="360" w:lineRule="auto"/>
        <w:ind w:firstLine="720"/>
      </w:pPr>
      <w:r w:rsidRPr="006A1EC7">
        <w:rPr>
          <w:noProof/>
          <w:lang w:eastAsia="en-GB"/>
        </w:rPr>
        <w:drawing>
          <wp:inline distT="0" distB="0" distL="0" distR="0" wp14:anchorId="1696C339" wp14:editId="30CC1855">
            <wp:extent cx="5727700" cy="374777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3747770"/>
                    </a:xfrm>
                    <a:prstGeom prst="rect">
                      <a:avLst/>
                    </a:prstGeom>
                  </pic:spPr>
                </pic:pic>
              </a:graphicData>
            </a:graphic>
          </wp:inline>
        </w:drawing>
      </w:r>
    </w:p>
    <w:p w14:paraId="7C71EB07" w14:textId="77777777" w:rsidR="00A40374" w:rsidRPr="006A1EC7" w:rsidRDefault="00A40374" w:rsidP="00A40374">
      <w:pPr>
        <w:spacing w:line="360" w:lineRule="auto"/>
        <w:ind w:firstLine="720"/>
      </w:pPr>
    </w:p>
    <w:p w14:paraId="395262D4" w14:textId="267B8482" w:rsidR="00A40374" w:rsidRPr="006A1EC7" w:rsidRDefault="00A40374" w:rsidP="00A40374">
      <w:pPr>
        <w:spacing w:line="360" w:lineRule="auto"/>
        <w:ind w:firstLine="720"/>
      </w:pPr>
      <w:r w:rsidRPr="006A1EC7">
        <w:lastRenderedPageBreak/>
        <w:t xml:space="preserve">Once a CF has been designed, developers must also address the format of the COA that would be most suitable for the population to be assessed </w:t>
      </w:r>
      <w:r w:rsidRPr="006A1EC7">
        <w:fldChar w:fldCharType="begin" w:fldLock="1"/>
      </w:r>
      <w:r w:rsidR="00AD67F5" w:rsidRPr="006A1EC7">
        <w:instrText>ADDIN CSL_CITATION {"citationItems":[{"id":"ITEM-1","itemData":{"DOI":"10.1016/j.jval.2015.09.2863","ISSN":"1098-3015","abstract":"An outcome assessment, the patient assessment used in an endpoint, is themeasuring instrument that provides a rating or score (categorical or continuous) that is intended to represent some aspect of the patient’s health status. Outcome assessments are used to define efficacy end- points when developing a therapy for a disease or condition. Most efficacy endpoints are based on specified clinical assessments of patients.When clinical assessments are used as clinical trial outcomes, they are called clinical outcome assessments (COAs). COAs include any assessment that may be influenced by human choices, judgment, or motivation. COAsmust be well-defined and possess adequatemeasure- ment properties to demonstrate (directly or indirectly) the benefits of a treatment. In contrast, a biomarker assessment is one that is subject to little, if any, patient motivational or rater judgmental influence. This is the first of two reports by the ISPOR Clinical Outcomes Assessment – Emerging Good Practices for Outcomes Research Task Force. This report provides foundational definitions important for an understanding of COA measurement principles. The foundation provided in this report includes what it means to demonstrate a beneficial effect, how assess- ments of patients relate to the objective of showing a treatment’s benefit, and how these assessments are used in clinical trial endpoints. In addition, this report describes intrinsic attributes of patient assess- ments and clinical trial factors that can affect the properties of the measurements. These factors should be considered when developing or refining assessments. These considerationswill aid investigators design- ing trials in their choice of using an existing assessment or developing a new outcome assessment. Although the focus of this report is on the development of a new COA to define endpoints in a clinical trial, these principles may be applied more generally. A critical element in apprais- ing or developing a COA is to describe the treatment’sintendedbenefit as an effect on a clearly identified aspect of how a patient feels or functions. This aspect must have importance to the patient and be part of the patient’s typical life. This meaningful health aspect can be measured directly or measured indirectly when it is impractical to evaluate it directly or when it is difficult to measure. For indirect measurement, a concept of interest (COI) can be identified. The COI must be related to how a patient feels or fu…","author":[{"dropping-particle":"","family":"Walton","given":"Marc K","non-dropping-particle":"","parse-names":false,"suffix":""},{"dropping-particle":"","family":"Iii","given":"John H Powers","non-dropping-particle":"","parse-names":false,"suffix":""},{"dropping-particle":"","family":"Hobart","given":"Jeremy","non-dropping-particle":"","parse-names":false,"suffix":""},{"dropping-particle":"","family":"Patrick","given":"Donald","non-dropping-particle":"","parse-names":false,"suffix":""},{"dropping-particle":"","family":"Marquis","given":"Patrick","non-dropping-particle":"","parse-names":false,"suffix":""},{"dropping-particle":"","family":"Vamvakas","given":"Spiros","non-dropping-particle":"","parse-names":false,"suffix":""},{"dropping-particle":"","family":"Isaac","given":"Maria","non-dropping-particle":"","parse-names":false,"suffix":""},{"dropping-particle":"","family":"Molsen","given":"Elizabeth","non-dropping-particle":"","parse-names":false,"suffix":""},{"dropping-particle":"","family":"Cano","given":"Stefan","non-dropping-particle":"","parse-names":false,"suffix":""},{"dropping-particle":"","family":"Burke","given":"Laurie B","non-dropping-particle":"","parse-names":false,"suffix":""}],"container-title":"Value in health","id":"ITEM-1","issued":{"date-parts":[["2015"]]},"page":"741-752","title":"Clinical Outcome Assessments: Conceptual Foundation — Report of the ISPOR Clinical Outcomes Assessment – Emerging Good Practices for Outcomes Research Task Force","type":"article-journal","volume":"18"},"uris":["http://www.mendeley.com/documents/?uuid=c5a0d9fc-1a0e-4762-ae19-7be7a21a8920"]},{"id":"ITEM-2","itemData":{"DOI":"10.1016/j.jval.2015.09.2863","ISSN":"1098-3015","abstract":"An outcome assessment, the patient assessment used in an endpoint, is themeasuring instrument that provides a rating or score (categorical or continuous) that is intended to represent some aspect of the patient’s health status. Outcome assessments are used to define efficacy end- points when developing a therapy for a disease or condition. Most efficacy endpoints are based on specified clinical assessments of patients.When clinical assessments are used as clinical trial outcomes, they are called clinical outcome assessments (COAs). COAs include any assessment that may be influenced by human choices, judgment, or motivation. COAsmust be well-defined and possess adequatemeasure- ment properties to demonstrate (directly or indirectly) the benefits of a treatment. In contrast, a biomarker assessment is one that is subject to little, if any, patient motivational or rater judgmental influence. This is the first of two reports by the ISPOR Clinical Outcomes Assessment – Emerging Good Practices for Outcomes Research Task Force. This report provides foundational definitions important for an understanding of COA measurement principles. The foundation provided in this report includes what it means to demonstrate a beneficial effect, how assess- ments of patients relate to the objective of showing a treatment’s benefit, and how these assessments are used in clinical trial endpoints. In addition, this report describes intrinsic attributes of patient assess- ments and clinical trial factors that can affect the properties of the measurements. These factors should be considered when developing or refining assessments. These considerationswill aid investigators design- ing trials in their choice of using an existing assessment or developing a new outcome assessment. Although the focus of this report is on the development of a new COA to define endpoints in a clinical trial, these principles may be applied more generally. A critical element in apprais- ing or developing a COA is to describe the treatment’sintendedbenefit as an effect on a clearly identified aspect of how a patient feels or functions. This aspect must have importance to the patient and be part of the patient’s typical life. This meaningful health aspect can be measured directly or measured indirectly when it is impractical to evaluate it directly or when it is difficult to measure. For indirect measurement, a concept of interest (COI) can be identified. The COI must be related to how a patient feels or fu…","author":[{"dropping-particle":"","family":"Powers","given":"J","non-dropping-particle":"","parse-names":false,"suffix":""},{"dropping-particle":"","family":"Patrick","given":"D","non-dropping-particle":"","parse-names":false,"suffix":""},{"dropping-particle":"","family":"Walton","given":"M.","non-dropping-particle":"","parse-names":false,"suffix":""},{"dropping-particle":"","family":"Marquis","given":"P","non-dropping-particle":"","parse-names":false,"suffix":""},{"dropping-particle":"","family":"Cano","given":"S","non-dropping-particle":"","parse-names":false,"suffix":""},{"dropping-particle":"","family":"Hobart","given":"J","non-dropping-particle":"","parse-names":false,"suffix":""},{"dropping-particle":"","family":"Isaac","given":"M","non-dropping-particle":"","parse-names":false,"suffix":""},{"dropping-particle":"","family":"Vamvakas","given":"S","non-dropping-particle":"","parse-names":false,"suffix":""},{"dropping-particle":"","family":"Slagle","given":"A","non-dropping-particle":"","parse-names":false,"suffix":""},{"dropping-particle":"","family":"Molsen","given":"E","non-dropping-particle":"","parse-names":false,"suffix":""},{"dropping-particle":"","family":"Burke","given":"L","non-dropping-particle":"","parse-names":false,"suffix":""},{"dropping-particle":"","family":"Vambakas","given":"S","non-dropping-particle":"","parse-names":false,"suffix":""},{"dropping-particle":"","family":"Slagle","given":"A","non-dropping-particle":"","parse-names":false,"suffix":""},{"dropping-particle":"","family":"Molsen","given":"E","non-dropping-particle":"","parse-names":false,"suffix":""},{"dropping-particle":"","family":"Burke","given":"L","non-dropping-particle":"","parse-names":false,"suffix":""}],"container-title":"Value in health","id":"ITEM-2","issued":{"date-parts":[["2017"]]},"page":"2-14","title":"Clinician-Reported Outcome Assessments of Treatment Benefit: Report of the ISPOR Clinical Outcome Assessment Emerging Good Practices Task Force","type":"article-journal","volume":"18"},"uris":["http://www.mendeley.com/documents/?uuid=c0bcfe6a-b9f6-4c67-8651-bb6ec3aab8a8"]},{"id":"ITEM-3","itemData":{"author":[{"dropping-particle":"","family":"DeVellis","given":"Robert F","non-dropping-particle":"","parse-names":false,"suffix":""}],"edition":"4th","id":"ITEM-3","issued":{"date-parts":[["2017"]]},"publisher":"SAGE Publications Inc.","publisher-place":"Los Angeles","title":"Scale development: Theory and Applications","type":"book"},"locator":"118","uris":["http://www.mendeley.com/documents/?uuid=0316ab82-7ed3-4f19-b5e0-edf860dc28e5"]},{"id":"ITEM-4","itemData":{"URL":"https://www.fda.gov/drugs/developmentapprovalprocess/drugdevelopmenttoolsqualificationprogram/ucm284077.htm","accessed":{"date-parts":[["2017","9","11"]]},"author":[{"dropping-particle":"","family":"U.S. Department of Health and Human Services: Food and Drug Administration","given":"","non-dropping-particle":"","parse-names":false,"suffix":""},{"dropping-particle":"","family":"U.S. Food and Drug Administration","given":"","non-dropping-particle":"","parse-names":false,"suffix":""}],"id":"ITEM-4","issued":{"date-parts":[["2017"]]},"title":"Clinical Outcome Assessment Qualification Program","type":"webpage"},"uris":["http://www.mendeley.com/documents/?uuid=9766beb7-1ed3-4a03-a387-dfb6c26d6b23"]}],"mendeley":{"formattedCitation":"(DeVellis, 2017, p. 118; J. Powers, Patrick, Walton, Marquis, Cano, Hobart, Isaac, Vamvakas, Slagle, Molsen, Burke, et al., 2017; U.S. Department of Health and Human Services: Food and Drug Administration &amp; U.S. Food and Drug Administration, 2017; Walton et al., 2015)","manualFormatting":"(DeVellis, 2017; Powers et al., 2017; U.S. Department of Health and Human Services: Food and Drug Administration &amp; U.S. Food and Drug Administration, 2017; Walton et al., 2015)","plainTextFormattedCitation":"(DeVellis, 2017, p. 118; J. Powers, Patrick, Walton, Marquis, Cano, Hobart, Isaac, Vamvakas, Slagle, Molsen, Burke, et al., 2017; U.S. Department of Health and Human Services: Food and Drug Administration &amp; U.S. Food and Drug Administration, 2017; Walton et al., 2015)","previouslyFormattedCitation":"(DeVellis, 2017, p. 118; J. Powers, Patrick, Walton, Marquis, Cano, Hobart, Isaac, Vamvakas, Slagle, Molsen, Burke, et al., 2017; U.S. Department of Health and Human Services: Food and Drug Administration &amp; U.S. Food and Drug Administration, 2017; Walton et al., 2015)"},"properties":{"noteIndex":0},"schema":"https://github.com/citation-style-language/schema/raw/master/csl-citation.json"}</w:instrText>
      </w:r>
      <w:r w:rsidRPr="006A1EC7">
        <w:fldChar w:fldCharType="separate"/>
      </w:r>
      <w:r w:rsidRPr="006A1EC7">
        <w:rPr>
          <w:noProof/>
        </w:rPr>
        <w:t>(DeVellis, 2017; Powers et al., 2017; U.S. Department of Health and Human Services: Food and Drug Administration &amp; U.S. Food and Drug Administration, 2017; Walton et al., 2015)</w:t>
      </w:r>
      <w:r w:rsidRPr="006A1EC7">
        <w:fldChar w:fldCharType="end"/>
      </w:r>
      <w:r w:rsidRPr="006A1EC7">
        <w:t>, i.e. ClinRo versus PRO etc.</w:t>
      </w:r>
    </w:p>
    <w:p w14:paraId="28A63F73" w14:textId="77777777" w:rsidR="00A40374" w:rsidRPr="006A1EC7" w:rsidRDefault="00A40374" w:rsidP="00A40374">
      <w:pPr>
        <w:spacing w:line="360" w:lineRule="auto"/>
      </w:pPr>
    </w:p>
    <w:p w14:paraId="12EA4634" w14:textId="5C10CA0B" w:rsidR="00A40374" w:rsidRPr="006A1EC7" w:rsidRDefault="00A40374" w:rsidP="008B50CE">
      <w:pPr>
        <w:pStyle w:val="Heading4"/>
        <w:rPr>
          <w:rFonts w:ascii="Times New Roman" w:hAnsi="Times New Roman" w:cs="Times New Roman"/>
        </w:rPr>
      </w:pPr>
      <w:r w:rsidRPr="006A1EC7">
        <w:rPr>
          <w:rFonts w:ascii="Times New Roman" w:hAnsi="Times New Roman" w:cs="Times New Roman"/>
        </w:rPr>
        <w:t>Step 4: Assessment of Psychometric properties</w:t>
      </w:r>
    </w:p>
    <w:p w14:paraId="0912DEF7" w14:textId="0B23F88B" w:rsidR="00A40374" w:rsidRPr="006A1EC7" w:rsidRDefault="00A40374" w:rsidP="008B50CE">
      <w:pPr>
        <w:spacing w:line="360" w:lineRule="auto"/>
        <w:ind w:firstLine="720"/>
      </w:pPr>
      <w:r w:rsidRPr="006A1EC7">
        <w:t xml:space="preserve">Once the first draft of a Clinical outcome assessment has been developed, it has to undergo the process of psychometric validation as well as assessments of different types of validity </w:t>
      </w:r>
      <w:r w:rsidRPr="006A1EC7">
        <w:fldChar w:fldCharType="begin" w:fldLock="1"/>
      </w:r>
      <w:r w:rsidRPr="006A1EC7">
        <w:instrText>ADDIN CSL_CITATION {"citationItems":[{"id":"ITEM-1","itemData":{"DOI":"10.1016/j.amjmed.2005.10.036","ISBN":"0002-9343","ISSN":"00029343","PMID":"16443422","abstract":"Validity and reliability relate to the interpretation of scores from psychometric instruments (eg, symptom scales, questionnaires, education tests, and observer ratings) used in clinical practice, research, education, and administration. Emerging paradigms replace prior distinctions of face, content, and criterion validity with the unitary concept \"construct validity,\" the degree to which a score can be interpreted as representing the intended underlying construct. Evidence to support the validity argument is collected from 5 sources: • Content: do instrument items completely represent the construct? • Response process: the relationship between the intended construct and the thought processes of subjects or observers • Internal structure: acceptable reliability and factor structure • Relations to other variables: correlation with scores from another instrument assessing the same construct • Consequences: do scores really make a difference? Evidence should be sought from a variety of sources to support a given interpretation. Reliable scores are necessary, but not sufficient, for valid interpretation. Increased attention to the systematic collection of validity evidence for scores from psychometric instruments will improve assessments in research, patient care, and education. © 2006 Elsevier Inc. All rights reserved.","author":[{"dropping-particle":"","family":"Cook","given":"David A.","non-dropping-particle":"","parse-names":false,"suffix":""},{"dropping-particle":"","family":"Beckman","given":"Thomas J.","non-dropping-particle":"","parse-names":false,"suffix":""}],"container-title":"American Journal of Medicine","id":"ITEM-1","issue":"2","issued":{"date-parts":[["2006"]]},"title":"Current concepts in validity and reliability for psychometric instruments: Theory and application","type":"article-journal","volume":"119"},"uris":["http://www.mendeley.com/documents/?uuid=36151962-0313-4f54-8396-4e2c7c27c410"]},{"id":"ITEM-2","itemData":{"DOI":"10.1186/1750-1172-7-89","ISBN":"1750-1172","ISSN":"1750-1172","PMID":"23148655","abstract":"BACKGROUND Wolfram syndrome (WFS) is a rare, neurodegenerative disease that typically presents with childhood onset insulin dependent diabetes mellitus, followed by optic atrophy, diabetes insipidus, deafness, and neurological and psychiatric dysfunction. There is no cure for the disease, but recent advances in research have improved understanding of the disease course. Measuring disease severity and progression with reliable and validated tools is a prerequisite for clinical trials of any new intervention for neurodegenerative conditions. To this end, we developed the Wolfram Unified Rating Scale (WURS) to measure the severity and individual variability of WFS symptoms. The aim of this study is to develop and test the reliability and validity of the Wolfram Unified Rating Scale (WURS). METHODS A rating scale of disease severity in WFS was developed by modifying a standardized assessment for another neurodegenerative condition (Batten disease). WFS experts scored the representativeness of WURS items for the disease. The WURS was administered to 13 individuals with WFS (6-25 years of age). Motor, balance, mood and quality of life were also evaluated with standard instruments. Inter-rater reliability, internal consistency reliability, concurrent, predictive and content validity of the WURS were calculated. RESULTS The WURS had high inter-rater reliability (ICCs&gt;.93), moderate to high internal consistency reliability (Cronbach's α = 0.78-0.91) and demonstrated good concurrent and predictive validity. There were significant correlations between the WURS Physical Assessment and motor and balance tests (rs&gt;.67, p&lt;.03), between the WURS Behavioral Scale and reports of mood and behavior (rs&gt;.76, p&lt;.04) and between WURS Total scores and quality of life (rs=-.86, p=.001). The WURS demonstrated acceptable content validity (Scale-Content Validity Index=0.83). CONCLUSIONS These preliminary findings demonstrate that the WURS has acceptable reliability and validity and captures individual differences in disease severity in children and young adults with WFS.","author":[{"dropping-particle":"","family":"Nguyen","given":"Chau","non-dropping-particle":"","parse-names":false,"suffix":""},{"dropping-particle":"","family":"Foster","given":"Erin R","non-dropping-particle":"","parse-names":false,"suffix":""},{"dropping-particle":"","family":"Paciorkowski","given":"Alexander R","non-dropping-particle":"","parse-names":false,"suffix":""},{"dropping-particle":"","family":"Viehoever","given":"Amy","non-dropping-particle":"","parse-names":false,"suffix":""},{"dropping-particle":"","family":"Considine","given":"Colleen","non-dropping-particle":"","parse-names":false,"suffix":""},{"dropping-particle":"","family":"Bondurant","given":"Aidena","non-dropping-particle":"","parse-names":false,"suffix":""},{"dropping-particle":"","family":"Marshall","given":"Bess A","non-dropping-particle":"","parse-names":false,"suffix":""},{"dropping-particle":"","family":"Hershey","given":"Tamara","non-dropping-particle":"","parse-names":false,"suffix":""},{"dropping-particle":"","family":"Washington University Wolfram Study Group","given":"","non-dropping-particle":"","parse-names":false,"suffix":""}],"container-title":"Orphanet journal of rare diseases","id":"ITEM-2","issued":{"date-parts":[["2012"]]},"page":"89","title":"Reliability and validity of the Wolfram Unified Rating Scale (WURS).","type":"article-journal","volume":"7"},"uris":["http://www.mendeley.com/documents/?uuid=30b3ce8a-f45d-4852-b667-0a5c05dc2eeb"]},{"id":"ITEM-3","itemData":{"DOI":"10.3389/fpubh.2018.00149","ISSN":"2296-2565","PMID":"29942800","abstract":"Scale development and validation are critical to much of the work in the health, social, and behavioral sciences. However, the constellation of techniques required for scale development and evaluation can be onerous, jargon-filled, unfamiliar, and resource-intensive. Further, it is often not a part of graduate training. Therefore, our goal was to concisely review the process of scale development in as straightforward a manner as possible, both to facilitate the development of new, valid, and reliable scales and to help improve existing ones. To do this, we have created a primer for best practices for scale development in measuring complex phenomenon. This is not a systematic review, but rather the amalgamation of technical literature and lessons learned from our experiences spent creating or adapting a number of scales over the past several decades. We identified three phases that span nine steps. In the first phase, items are generated and the validity of their content is assessed. In the second phase, the scale is constructed. Steps in scale construction include pre-testing the questions, administering the survey, reducing the number of items, and understanding how many factors the scale captures. In the third phase, scale evaluation, the number of dimensions is tested, reliability is tested, and validity is assessed. We have also added examples of best practices to each step. In sum, this primer will equip both scientists and practitioners to understand the ontology and methodology of scale development and validation, thereby facilitating the advancement of our understanding of a range of health, social, and behavioral outcomes","author":[{"dropping-particle":"","family":"Boateng","given":"Godfred O.","non-dropping-particle":"","parse-names":false,"suffix":""},{"dropping-particle":"","family":"Neilands","given":"Torsten B.","non-dropping-particle":"","parse-names":false,"suffix":""},{"dropping-particle":"","family":"Frongillo","given":"Edward A.","non-dropping-particle":"","parse-names":false,"suffix":""},{"dropping-particle":"","family":"Melgar-Quiñonez","given":"Hugo R.","non-dropping-particle":"","parse-names":false,"suffix":""},{"dropping-particle":"","family":"Young","given":"Sera L.","non-dropping-particle":"","parse-names":false,"suffix":""}],"container-title":"Frontiers in Public Health","id":"ITEM-3","issue":"June","issued":{"date-parts":[["2018"]]},"page":"1-18","title":"Best Practices for Developing and Validating Scales for Health, Social, and Behavioral Research: A Primer","type":"article-journal","volume":"6"},"uris":["http://www.mendeley.com/documents/?uuid=4ddf49ad-ff37-4c28-97be-ee29877a811d"]},{"id":"ITEM-4","itemData":{"DOI":"10.1186/s41155-016-0057-1","ISBN":"0102797220170","ISSN":"16787153","abstract":"The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Critica","id":"ITEM-4","issue":"1","issued":{"date-parts":[["2017"]]},"page":"1-20","publisher":"Psicologia: Reflexão e Crítica","title":"Scale development: Ten main limitations and recommendations to improve future research practices","type":"article-journal","volume":"30"},"uris":["http://www.mendeley.com/documents/?uuid=a8b9cc36-43ce-4491-b24e-6b402072bceb"]}],"mendeley":{"formattedCitation":"(Boateng et al., 2018; Cook &amp; Beckman, 2006; Morgado et al., 2017; Nguyen et al., 2012)","plainTextFormattedCitation":"(Boateng et al., 2018; Cook &amp; Beckman, 2006; Morgado et al., 2017; Nguyen et al., 2012)","previouslyFormattedCitation":"(Boateng et al., 2018; Cook &amp; Beckman, 2006; Morgado et al., 2017; Nguyen et al., 2012)"},"properties":{"noteIndex":0},"schema":"https://github.com/citation-style-language/schema/raw/master/csl-citation.json"}</w:instrText>
      </w:r>
      <w:r w:rsidRPr="006A1EC7">
        <w:fldChar w:fldCharType="separate"/>
      </w:r>
      <w:r w:rsidRPr="006A1EC7">
        <w:rPr>
          <w:noProof/>
        </w:rPr>
        <w:t>(Boateng et al., 2018; Cook &amp; Beckman, 2006; Morgado et al., 2017; Nguyen et al., 2012)</w:t>
      </w:r>
      <w:r w:rsidRPr="006A1EC7">
        <w:fldChar w:fldCharType="end"/>
      </w:r>
      <w:r w:rsidRPr="006A1EC7">
        <w:t>. Although not its own step in Graphic 4; the assessment of psychometric properties warrants its own step in the development of a COA and thus, its own discussion. It is reflected in Step 3C in Graphic 4 in ‘Complete COA development’. The COSMIN initiative, for example, calls this step ‘Assessment of Measurement properties of a COA’ and provides both a graphic and informational framework for what this step should entail.</w:t>
      </w:r>
    </w:p>
    <w:p w14:paraId="34006B85" w14:textId="5AFBC40F" w:rsidR="00A40374" w:rsidRPr="006A1EC7" w:rsidRDefault="00A40374" w:rsidP="00A40374">
      <w:pPr>
        <w:spacing w:line="360" w:lineRule="auto"/>
        <w:ind w:firstLine="720"/>
        <w:rPr>
          <w:color w:val="000000" w:themeColor="text1"/>
        </w:rPr>
      </w:pPr>
      <w:r w:rsidRPr="006A1EC7">
        <w:t xml:space="preserve">At this point, a nomenclature issue should be addressed. </w:t>
      </w:r>
      <w:r w:rsidRPr="006A1EC7">
        <w:rPr>
          <w:color w:val="000000" w:themeColor="text1"/>
        </w:rPr>
        <w:t xml:space="preserve">Although sometimes used interchangeably, validity and validation refer to different concepts and are often linked to different scientific approaches (or philosophies) to generating knowledge: ontology and epistemology </w:t>
      </w:r>
      <w:r w:rsidRPr="006A1EC7">
        <w:rPr>
          <w:color w:val="000000" w:themeColor="text1"/>
        </w:rPr>
        <w:fldChar w:fldCharType="begin" w:fldLock="1"/>
      </w:r>
      <w:r w:rsidRPr="006A1EC7">
        <w:rPr>
          <w:color w:val="000000" w:themeColor="text1"/>
        </w:rPr>
        <w:instrText>ADDIN CSL_CITATION {"citationItems":[{"id":"ITEM-1","itemData":{"DOI":"10.5539/elt.v5n9p9","ISSN":"19164742","abstract":"This paper explores the philosophical underpinnings of three major educational research paradigms: scientific, interpretive, and critical. The aim was to outline and explore the interrelationships between each paradigm’s ontology, epistemology, methodology and methods. This paper reveals and then discusses some of the underlying assumptions of educational research. Consequently, this paper is relevant to every English language teacher who is a reader of research.","author":[{"dropping-particle":"","family":"Scotland","given":"James","non-dropping-particle":"","parse-names":false,"suffix":""}],"container-title":"English Language Teaching","id":"ITEM-1","issue":"9","issued":{"date-parts":[["2012"]]},"page":"9-16","title":"Exploring the philosophical underpinnings of research: Relating ontology and epistemology to the methodology and methods of the scientific, interpretive, and critical research paradigms","type":"article-journal","volume":"5"},"uris":["http://www.mendeley.com/documents/?uuid=de07868f-4ca0-4ca2-a80c-8aeeea3424f9"]},{"id":"ITEM-2","itemData":{"ISBN":"978-0-511-11350-5","author":[{"dropping-particle":"","family":"Borsboom","given":"Denny","non-dropping-particle":"","parse-names":false,"suffix":""}],"id":"ITEM-2","issued":{"date-parts":[["2005"]]},"publisher":"Cambridge University Press","publisher-place":"Cambridge","title":"Measuring the mind: Conceptyal Issues in Contemporary Psychometrics","type":"book"},"uris":["http://www.mendeley.com/documents/?uuid=624d0ad3-f316-4f2a-85c5-a006d79cd2be"]}],"mendeley":{"formattedCitation":"(Borsboom, 2005; Scotland, 2012)","plainTextFormattedCitation":"(Borsboom, 2005; Scotland, 2012)","previouslyFormattedCitation":"(Borsboom, 2005; Scotland, 2012)"},"properties":{"noteIndex":0},"schema":"https://github.com/citation-style-language/schema/raw/master/csl-citation.json"}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(Borsboom, 2005; Scotland, 2012)</w:t>
      </w:r>
      <w:r w:rsidRPr="006A1EC7">
        <w:rPr>
          <w:color w:val="000000" w:themeColor="text1"/>
        </w:rPr>
        <w:fldChar w:fldCharType="end"/>
      </w:r>
      <w:r w:rsidRPr="006A1EC7">
        <w:rPr>
          <w:color w:val="000000" w:themeColor="text1"/>
        </w:rPr>
        <w:t>. The difference between validity and validation can be described as “</w:t>
      </w:r>
      <m:oMath>
        <m:d>
          <m:dPr>
            <m:begChr m:val="["/>
            <m:endChr m:val="]"/>
            <m:ctrlPr>
              <w:rPr>
                <w:rFonts w:ascii="Cambria Math" w:hAnsi="Cambria Math"/>
                <w:i/>
                <w:color w:val="000000" w:themeColor="text1"/>
              </w:rPr>
            </m:ctrlPr>
          </m:dPr>
          <m:e>
            <m:r>
              <w:rPr>
                <w:rFonts w:ascii="Cambria Math" w:hAnsi="Cambria Math"/>
                <w:color w:val="000000" w:themeColor="text1"/>
              </w:rPr>
              <m:t>validity is</m:t>
            </m:r>
          </m:e>
        </m:d>
      </m:oMath>
      <w:r w:rsidRPr="006A1EC7">
        <w:rPr>
          <w:color w:val="000000" w:themeColor="text1"/>
        </w:rPr>
        <w:t xml:space="preserve"> a property </w:t>
      </w:r>
      <m:oMath>
        <m:d>
          <m:dPr>
            <m:begChr m:val="["/>
            <m:endChr m:val="]"/>
            <m:ctrlPr>
              <w:rPr>
                <w:rFonts w:ascii="Cambria Math" w:hAnsi="Cambria Math"/>
                <w:i/>
                <w:color w:val="000000" w:themeColor="text1"/>
              </w:rPr>
            </m:ctrlPr>
          </m:dPr>
          <m:e>
            <m:r>
              <w:rPr>
                <w:rFonts w:ascii="Cambria Math" w:hAnsi="Cambria Math"/>
                <w:color w:val="000000" w:themeColor="text1"/>
              </w:rPr>
              <m:t>of a concept or measure</m:t>
            </m:r>
          </m:e>
        </m:d>
      </m:oMath>
      <w:r w:rsidRPr="006A1EC7">
        <w:rPr>
          <w:color w:val="000000" w:themeColor="text1"/>
        </w:rPr>
        <w:t xml:space="preserve">, while validation is an activity” </w:t>
      </w:r>
      <w:r w:rsidRPr="006A1EC7">
        <w:rPr>
          <w:color w:val="000000" w:themeColor="text1"/>
        </w:rPr>
        <w:fldChar w:fldCharType="begin" w:fldLock="1"/>
      </w:r>
      <w:r w:rsidRPr="006A1EC7">
        <w:rPr>
          <w:color w:val="000000" w:themeColor="text1"/>
        </w:rPr>
        <w:instrText>ADDIN CSL_CITATION {"citationItems":[{"id":"ITEM-1","itemData":{"ISBN":"978-0-511-11350-5","author":[{"dropping-particle":"","family":"Borsboom","given":"Denny","non-dropping-particle":"","parse-names":false,"suffix":""}],"id":"ITEM-1","issued":{"date-parts":[["2005"]]},"publisher":"Cambridge University Press","publisher-place":"Cambridge","title":"Measuring the mind: Conceptyal Issues in Contemporary Psychometrics","type":"book"},"locator":"154","uris":["http://www.mendeley.com/documents/?uuid=624d0ad3-f316-4f2a-85c5-a006d79cd2be"]}],"mendeley":{"formattedCitation":"(Borsboom, 2005, p. 154)","plainTextFormattedCitation":"(Borsboom, 2005, p. 154)","previouslyFormattedCitation":"(Borsboom, 2005, p. 154)"},"properties":{"noteIndex":0},"schema":"https://github.com/citation-style-language/schema/raw/master/csl-citation.json"}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(Borsboom, 2005, p. 154)</w:t>
      </w:r>
      <w:r w:rsidRPr="006A1EC7">
        <w:rPr>
          <w:color w:val="000000" w:themeColor="text1"/>
        </w:rPr>
        <w:fldChar w:fldCharType="end"/>
      </w:r>
      <w:r w:rsidRPr="006A1EC7">
        <w:rPr>
          <w:color w:val="000000" w:themeColor="text1"/>
        </w:rPr>
        <w:t>. This means that validity can be demonstrated by using concepts, such as content or criterion validity</w:t>
      </w:r>
      <w:r w:rsidRPr="006A1EC7">
        <w:rPr>
          <w:rStyle w:val="FootnoteReference"/>
        </w:rPr>
        <w:footnoteReference w:id="6"/>
      </w:r>
      <w:r w:rsidRPr="006A1EC7">
        <w:rPr>
          <w:color w:val="000000" w:themeColor="text1"/>
        </w:rPr>
        <w:t xml:space="preserve"> </w:t>
      </w:r>
      <w:r w:rsidRPr="006A1EC7">
        <w:rPr>
          <w:color w:val="000000" w:themeColor="text1"/>
        </w:rPr>
        <w:fldChar w:fldCharType="begin" w:fldLock="1"/>
      </w:r>
      <w:r w:rsidRPr="006A1EC7">
        <w:rPr>
          <w:color w:val="000000" w:themeColor="text1"/>
        </w:rPr>
        <w:instrText>ADDIN CSL_CITATION {"citationItems":[{"id":"ITEM-1","itemData":{"DOI":"10.1177/001316444700700201","ISSN":"15523888","abstract":"The concept of face validity is discussed critically. Such meanings of the term as validity by assumption, validity by definition, validity by appearance, and validity by hypothesis are considered. Recommendations are made for use of the concept.","author":[{"dropping-particle":"","family":"Mosier","given":"Charles I.","non-dropping-particle":"","parse-names":false,"suffix":""}],"container-title":"Educational and Psychological Measurement","id":"ITEM-1","issued":{"date-parts":[["1947"]]},"title":"A critical examination of the concepts of face validity","type":"article-journal"},"uris":["http://www.mendeley.com/documents/?uuid=1fccbf22-97b2-4b31-a196-0942759cad4a"]},{"id":"ITEM-2","itemData":{"DOI":"10.1016/j.amjmed.2005.10.036","ISBN":"0002-9343","ISSN":"00029343","PMID":"16443422","abstract":"Validity and reliability relate to the interpretation of scores from psychometric instruments (eg, symptom scales, questionnaires, education tests, and observer ratings) used in clinical practice, research, education, and administration. Emerging paradigms replace prior distinctions of face, content, and criterion validity with the unitary concept \"construct validity,\" the degree to which a score can be interpreted as representing the intended underlying construct. Evidence to support the validity argument is collected from 5 sources: • Content: do instrument items completely represent the construct? • Response process: the relationship between the intended construct and the thought processes of subjects or observers • Internal structure: acceptable reliability and factor structure • Relations to other variables: correlation with scores from another instrument assessing the same construct • Consequences: do scores really make a difference? Evidence should be sought from a variety of sources to support a given interpretation. Reliable scores are necessary, but not sufficient, for valid interpretation. Increased attention to the systematic collection of validity evidence for scores from psychometric instruments will improve assessments in research, patient care, and education. © 2006 Elsevier Inc. All rights reserved.","author":[{"dropping-particle":"","family":"Cook","given":"David A.","non-dropping-particle":"","parse-names":false,"suffix":""},{"dropping-particle":"","family":"Beckman","given":"Thomas J.","non-dropping-particle":"","parse-names":false,"suffix":""}],"container-title":"American Journal of Medicine","id":"ITEM-2","issue":"2","issued":{"date-parts":[["2006"]]},"title":"Current concepts in validity and reliability for psychometric instruments: Theory and application","type":"article-journal","volume":"119"},"uris":["http://www.mendeley.com/documents/?uuid=36151962-0313-4f54-8396-4e2c7c27c410"]}],"mendeley":{"formattedCitation":"(Cook &amp; Beckman, 2006; Mosier, 1947)","manualFormatting":"(e.g. Cook &amp; Beckman, 2006; Mosier, 1947)","plainTextFormattedCitation":"(Cook &amp; Beckman, 2006; Mosier, 1947)","previouslyFormattedCitation":"(Cook &amp; Beckman, 2006; Mosier, 1947)"},"properties":{"noteIndex":0},"schema":"https://github.com/citation-style-language/schema/raw/master/csl-citation.json"}</w:instrText>
      </w:r>
      <w:r w:rsidRPr="006A1EC7">
        <w:rPr>
          <w:color w:val="000000" w:themeColor="text1"/>
        </w:rPr>
        <w:fldChar w:fldCharType="separate"/>
      </w:r>
      <w:r w:rsidRPr="006A1EC7">
        <w:rPr>
          <w:noProof/>
          <w:color w:val="000000" w:themeColor="text1"/>
        </w:rPr>
        <w:t>(e.g. Cook &amp; Beckman, 2006; Mosier, 1947)</w:t>
      </w:r>
      <w:r w:rsidRPr="006A1EC7">
        <w:rPr>
          <w:color w:val="000000" w:themeColor="text1"/>
        </w:rPr>
        <w:fldChar w:fldCharType="end"/>
      </w:r>
      <w:r w:rsidRPr="006A1EC7">
        <w:rPr>
          <w:color w:val="000000" w:themeColor="text1"/>
        </w:rPr>
        <w:t xml:space="preserve">; validation refers to measurement properties, and therefore the use and application of statistical methods to investigate the reliability and responsiveness of a COA </w:t>
      </w:r>
      <w:r w:rsidRPr="006A1EC7">
        <w:rPr>
          <w:color w:val="000000" w:themeColor="text1"/>
        </w:rPr>
        <w:fldChar w:fldCharType="begin" w:fldLock="1"/>
      </w:r>
      <w:r w:rsidRPr="006A1EC7">
        <w:rPr>
          <w:color w:val="000000" w:themeColor="text1"/>
        </w:rPr>
        <w:instrText>ADDIN CSL_CITATION {"citationItems":[{"id":"ITEM-1","itemData":{"URL":"https://www.cosmin.nl/","accessed":{"date-parts":[["2019","11","12"]]},"author":[{"dropping-particle":"","family":"COnsensus-based Standards for the selection of health Measurement INstruments","given":"","non-dropping-particle":"","parse-names":false,"suffix":""}],"id":"ITEM-1","issued":{"date-parts":[["2019"]]},"title":"COnsensus-based Standards for the selection of health Measurement INstruments","type":"webpage"},"uris":["http://www.mendeley.com/documents/?uuid=880eeafc-e594-4990-8995-787f41c108f1"]},{"id":"ITEM-2","itemData":{"URL":"https://www.cosmin.nl/tools/cosmin-taxonomy-measurement-properties/","accessed":{"date-parts":[["2019","11","12"]]},"author":[{"dropping-particle":"","family":"COnsensus-based Standards for the selection of health Measurement INstruments","given":"","non-dropping-particle":"","parse-names":false,"suffix":""}],"id":"ITEM-2","issued":{"date-parts":[["2019"]]},"title":"COSMIN Taxonomy of Measurement Properties","type":"webpage"},"uris":["http://www.mendeley.com/documents/?uuid=8c0fa520-1dcd-4fb1-89c3-3934ad7f1cd9"]},{"id":"ITEM-3","itemData":{"DOI":"10.1016/j.jclinepi.2010.02.006","ISBN":"3120444677","ISSN":"08954356","PMID":"20494804","abstract":"Objective: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 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 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\"reliability\" and \"structural validity,\" and the definitions of internal consistency and reliability. Conclusions: Consensus on taxonomy, terminology, and definitions of measurement properties was reached. Hopefully, this will lead to a more uniform use of terms and definitions in the literature on measurement properties. © 2010 Elsevier Inc. All rights reserved.","author":[{"dropping-particle":"","family":"Mokkink","given":"Lidwine B.","non-dropping-particle":"","parse-names":false,"suffix":""},{"dropping-particle":"","family":"Terwee","given":"Caroline B.","non-dropping-particle":"","parse-names":false,"suffix":""},{"dropping-particle":"","family":"Patrick","given":"Donald L.","non-dropping-particle":"","parse-names":false,"suffix":""},{"dropping-particle":"","family":"Alonso","given":"Jordi","non-dropping-particle":"","parse-names":false,"suffix":""},{"dropping-particle":"","family":"Stratford","given":"Paul W.","non-dropping-particle":"","parse-names":false,"suffix":""},{"dropping-particle":"","family":"Knol","given":"Dirk L.","non-dropping-particle":"","parse-names":false,"suffix":""},{"dropping-particle":"","family":"Bouter","given":"Lex M.","non-dropping-particle":"","parse-names":false,"suffix":""},{"dropping-particle":"","family":"Vet","given":"Henrica C.W. W.","non-dropping-particle":"de","parse-names":false,"suffix":""},{"dropping-particle":"","family":"Prinsen","given":"Cicilia A. C.","non-dropping-particle":"","parse-names":false,"suffix":""},{"dropping-particle":"","family":"Mokkink","given":"Lidwine B.","non-dropping-particle":"","parse-names":false,"suffix":""},{"dropping-particle":"","family":"Vet","given":"Henrica C.W. W.","non-dropping-particle":"de","parse-names":false,"suffix":""}],"container-title":"Quality of Life Research","id":"ITEM-3","issue":"7","issued":{"date-parts":[["2014"]]},"page":"32","title":"The COSMIN checklist for evaluating the methodological quality of studies on measurement properties","type":"article-journal","volume":"63"},"uris":["http://www.mendeley.com/documents/?uuid=4397b4e2-e735-4ca4-b9ac-78effe00e60e"]},{"id":"ITEM-4","itemData":{"DOI":"10.1371/journal.pone.0197312","ISBN":"1111111111","ISSN":"19326203","abstract":"Background Patients are at risk for harm when treated simultaneously by healthcare providers from different healthcare organisations. To assess current practice and improvements of transitional patient safety, valid measurement tools are needed.   Aim and methods To identify and appraise all measurement tools and outcomes that measure aspects of transitional patient safety, PubMed, Cinahl, Embase and Psychinfo were systematically searched. Two researchers performed the title and abstract and full-text selection. First, publications about validation of measurement tools were appraised for quality following COSMIN criteria. Second, we inventoried all measurement tools and outcome measures found in our search that assessed current transitional patient safety or the effect of interventions targeting transitional patient safety.   Results The initial search yielded 8288 studies, of which 18 assessed validity of measurement tools of different aspects of transitional safety, and 191 assessed current transitional patient safety or effect of interventions. In the validated measurement tools, the overall quality of content and structural validity was acceptable; other COSMIN criteria, such as reliability, measurement error and responsiveness, were mostly poor or not reported. In our outcome inventory, the most frequently used validated outcome measure was the Care Transition Measure (n = 9). The most frequently used non-validated outcome measures were: medication discrepancies (n = 98), hospital readmissions (n = 55), adverse events (n = 34), emergency department visits (n = 33), (mental or physical) health status (n = 28), quality and timeliness of discharge summary, and patient satisfaction (n = 23).   Conclusions Although no validated measures exist that assess all aspects of transitional patient safety, we found validated measurement tools on specific aspects. Reporting of validity of transitional measurement tools was incomplete. Numerous outcome measures with unknown measurement properties are used in current studies on safety of care transitions, which makes interpretation or comparison of their results uncertain.","author":[{"dropping-particle":"","family":"Melle","given":"Marije A.","non-dropping-particle":"van","parse-names":false,"suffix":""},{"dropping-particle":"","family":"Stel","given":"Henk F.","non-dropping-particle":"van","parse-names":false,"suffix":""},{"dropping-particle":"","family":"Poldervaart","given":"Judith M.","non-dropping-particle":"","parse-names":false,"suffix":""},{"dropping-particle":"","family":"Wit","given":"Niek J.","non-dropping-particle":"de","parse-names":false,"suffix":""},{"dropping-particle":"","family":"Zwart","given":"Dorien L.M.","non-dropping-particle":"","parse-names":false,"suffix":""}],"container-title":"PLoS ONE","id":"ITEM-4","issue":"6","issued":{"date-parts":[["2018"]]},"page":"1-18","title":"Measurement tools and outcome measures used in transitional patient safety; a systematic review","type":"article-journal","volume":"13"},"uris":["http://www.mendeley.com/documents/?uuid=81607d6f-8e2a-41c1-9912-35439ede80eb"]}],"mendeley":{"formattedCitation":"(COnsensus-based Standards for the selection of health Measurement INstruments, 2019a, 2019b; Lidwine B. Mokkink et al., 2014; van Melle, van Stel, Poldervaart, de Wit, &amp; Zwart, 2018)","manualFormatting":"(COnsensus-based Standards for the selection of health Measurement INstruments, 2019a, 2019b; Mokkink et al., 2014; van Melle, van Stel, Poldervaart, de Wit, &amp; Zwart, 2018)","plainTextFormattedCitation":"(COnsensus-based Standards for the selection of health Measurement INstruments, 2019a, 2019b; Lidwine B. Mokkink et al., 2014; van Melle, van Stel, Poldervaart, de Wit, &amp; Zwart, 2018)","previouslyFormattedCitation":"(COnsensus-based Standards for the selection of health Measurement INstruments, 2019a, 2019b; Lidwine B. Mokkink et al., 2014; van Melle, van Stel, Poldervaart, de Wit, &amp; Zwart, 2018)"},"properties":{"noteIndex":0},"schema":"https://github.com/citation-style-language/schema/raw/master/csl-citation.json"}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(COnsensus-based Standards for the selection of health Measurement INstruments, 2019a, 2019b; Mokkink et al., 2014; van Melle, van Stel, Poldervaart, de Wit, &amp; Zwart, 2018)</w:t>
      </w:r>
      <w:r w:rsidRPr="006A1EC7">
        <w:rPr>
          <w:color w:val="000000" w:themeColor="text1"/>
        </w:rPr>
        <w:fldChar w:fldCharType="end"/>
      </w:r>
      <w:r w:rsidRPr="006A1EC7">
        <w:rPr>
          <w:color w:val="000000" w:themeColor="text1"/>
        </w:rPr>
        <w:t xml:space="preserve">. Linking this back to the aforementioned philosophical approaches, the ontological perspective is that a concept exists (i.e. </w:t>
      </w:r>
      <w:r w:rsidR="009F0718" w:rsidRPr="006A1EC7">
        <w:rPr>
          <w:color w:val="000000" w:themeColor="text1"/>
        </w:rPr>
        <w:t>WHS</w:t>
      </w:r>
      <w:r w:rsidRPr="006A1EC7">
        <w:rPr>
          <w:color w:val="000000" w:themeColor="text1"/>
        </w:rPr>
        <w:t xml:space="preserve">), and that it has causal influences (i.e. clinical features); it is often referred to as the more subjective of the two approaches and therefore related to validity </w:t>
      </w:r>
      <w:r w:rsidRPr="006A1EC7">
        <w:rPr>
          <w:color w:val="000000" w:themeColor="text1"/>
        </w:rPr>
        <w:fldChar w:fldCharType="begin" w:fldLock="1"/>
      </w:r>
      <w:r w:rsidR="00381BB6" w:rsidRPr="006A1EC7">
        <w:rPr>
          <w:color w:val="000000" w:themeColor="text1"/>
        </w:rPr>
        <w:instrText>ADDIN CSL_CITATION {"citationItems":[{"id":"ITEM-1","itemData":{"ISBN":"978-0-511-11350-5","author":[{"dropping-particle":"","family":"Borsboom","given":"Denny","non-dropping-particle":"","parse-names":false,"suffix":""}],"id":"ITEM-1","issued":{"date-parts":[["2005"]]},"publisher":"Cambridge University Press","publisher-place":"Cambridge","title":"Measuring the mind: Conceptyal Issues in Contemporary Psychometrics","type":"book"},"locator":"153-154","uris":["http://www.mendeley.com/documents/?uuid=624d0ad3-f316-4f2a-85c5-a006d79cd2be"]}],"mendeley":{"formattedCitation":"(Borsboom, 2005, pp. 153–154)","manualFormatting":"(applied from Borsboom, 2005)","plainTextFormattedCitation":"(Borsboom, 2005, pp. 153–154)","previouslyFormattedCitation":"(Borsboom, 2005, pp. 153–154)"},"properties":{"noteIndex":0},"schema":"https://github.com/citation-style-language/schema/raw/master/csl-citation.json"}</w:instrText>
      </w:r>
      <w:r w:rsidRPr="006A1EC7">
        <w:rPr>
          <w:color w:val="000000" w:themeColor="text1"/>
        </w:rPr>
        <w:fldChar w:fldCharType="separate"/>
      </w:r>
      <w:r w:rsidRPr="006A1EC7">
        <w:rPr>
          <w:noProof/>
          <w:color w:val="000000" w:themeColor="text1"/>
        </w:rPr>
        <w:t>(applied from Borsboom, 2005)</w:t>
      </w:r>
      <w:r w:rsidRPr="006A1EC7">
        <w:rPr>
          <w:color w:val="000000" w:themeColor="text1"/>
        </w:rPr>
        <w:fldChar w:fldCharType="end"/>
      </w:r>
      <w:r w:rsidRPr="006A1EC7">
        <w:rPr>
          <w:color w:val="000000" w:themeColor="text1"/>
        </w:rPr>
        <w:t xml:space="preserve">. The alternative is the epistemological perspective which reflects how one can, objectively, be certain that the concept causes the </w:t>
      </w:r>
      <w:r w:rsidRPr="006A1EC7">
        <w:rPr>
          <w:color w:val="000000" w:themeColor="text1"/>
        </w:rPr>
        <w:lastRenderedPageBreak/>
        <w:t xml:space="preserve">hypothetical (i.e. clinical features, scoring) consequences. The majority of epistemological approaches therefore apply more empirical methods to document this; a process which is referred to as scientific validation </w:t>
      </w:r>
      <w:r w:rsidRPr="006A1EC7">
        <w:rPr>
          <w:color w:val="000000" w:themeColor="text1"/>
        </w:rPr>
        <w:fldChar w:fldCharType="begin" w:fldLock="1"/>
      </w:r>
      <w:r w:rsidR="00AD67F5" w:rsidRPr="006A1EC7">
        <w:rPr>
          <w:color w:val="000000" w:themeColor="text1"/>
        </w:rPr>
        <w:instrText>ADDIN CSL_CITATION {"citationItems":[{"id":"ITEM-1","itemData":{"ISBN":"978-0-511-11350-5","author":[{"dropping-particle":"","family":"Borsboom","given":"Denny","non-dropping-particle":"","parse-names":false,"suffix":""}],"id":"ITEM-1","issued":{"date-parts":[["2005"]]},"publisher":"Cambridge University Press","publisher-place":"Cambridge","title":"Measuring the mind: Conceptyal Issues in Contemporary Psychometrics","type":"book"},"locator":"153-154","uris":["http://www.mendeley.com/documents/?uuid=624d0ad3-f316-4f2a-85c5-a006d79cd2be"]}],"mendeley":{"formattedCitation":"(Borsboom, 2005, pp. 153–154)","manualFormatting":"(Borsboom, 2005)","plainTextFormattedCitation":"(Borsboom, 2005, pp. 153–154)","previouslyFormattedCitation":"(Borsboom, 2005, pp. 153–154)"},"properties":{"noteIndex":0},"schema":"https://github.com/citation-style-language/schema/raw/master/csl-citation.json"}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(Borsboom, 2005)</w:t>
      </w:r>
      <w:r w:rsidRPr="006A1EC7">
        <w:rPr>
          <w:color w:val="000000" w:themeColor="text1"/>
        </w:rPr>
        <w:fldChar w:fldCharType="end"/>
      </w:r>
      <w:r w:rsidRPr="006A1EC7">
        <w:rPr>
          <w:color w:val="000000" w:themeColor="text1"/>
        </w:rPr>
        <w:t xml:space="preserve">. </w:t>
      </w:r>
    </w:p>
    <w:p w14:paraId="4901DD9B" w14:textId="7E02993A" w:rsidR="00A40374" w:rsidRPr="006A1EC7" w:rsidRDefault="00A40374" w:rsidP="008B50CE">
      <w:pPr>
        <w:spacing w:line="360" w:lineRule="auto"/>
        <w:ind w:firstLine="720"/>
      </w:pPr>
      <w:r w:rsidRPr="006A1EC7">
        <w:rPr>
          <w:color w:val="000000" w:themeColor="text1"/>
        </w:rPr>
        <w:t xml:space="preserve">It is seen as essential that any developed outcome measure, especially those used in clinical research and practice, should be both </w:t>
      </w:r>
      <w:r w:rsidRPr="006A1EC7">
        <w:rPr>
          <w:i/>
          <w:color w:val="000000" w:themeColor="text1"/>
        </w:rPr>
        <w:t>valid and validated</w:t>
      </w:r>
      <w:r w:rsidRPr="006A1EC7">
        <w:rPr>
          <w:color w:val="000000" w:themeColor="text1"/>
        </w:rPr>
        <w:t xml:space="preserve"> to prevent incorrect conclusions being drawn or inadequate patient assessment and subsequent treatment </w:t>
      </w:r>
      <w:r w:rsidRPr="006A1EC7">
        <w:rPr>
          <w:color w:val="000000" w:themeColor="text1"/>
        </w:rPr>
        <w:fldChar w:fldCharType="begin" w:fldLock="1"/>
      </w:r>
      <w:r w:rsidRPr="006A1EC7">
        <w:rPr>
          <w:color w:val="000000" w:themeColor="text1"/>
        </w:rPr>
        <w:instrText>ADDIN CSL_CITATION {"citationItems":[{"id":"ITEM-1","itemData":{"ISBN":"978-019-968521-9","author":[{"dropping-particle":"","family":"Streiner","given":"D.","non-dropping-particle":"","parse-names":false,"suffix":""},{"dropping-particle":"","family":"Norman","given":"G R","non-dropping-particle":"","parse-names":false,"suffix":""},{"dropping-particle":"","family":"Cairney","given":"J","non-dropping-particle":"","parse-names":false,"suffix":""}],"edition":"5th","id":"ITEM-1","issued":{"date-parts":[["2015"]]},"publisher":"Oxford University Press","publisher-place":"Oxford","title":"Health measurement scales: a practical guide to their development and use","type":"book"},"uris":["http://www.mendeley.com/documents/?uuid=8b20a411-5f9d-4891-93f5-83e587380af2"]},{"id":"ITEM-2","itemData":{"URL":"https://www.cdc.gov/hrqol/measurement.htm","accessed":{"date-parts":[["2019","8","5"]]},"author":[{"dropping-particle":"","family":"National Center for Chronic Disease Prevention and Health Promotion: Division of Population Health","given":"","non-dropping-particle":"","parse-names":false,"suffix":""}],"id":"ITEM-2","issued":{"date-parts":[["2018"]]},"title":"Measurement Properties","type":"webpage"},"uris":["http://www.mendeley.com/documents/?uuid=69a420be-3ad6-4391-8b2a-eeeb67716600","http://www.mendeley.com/documents/?uuid=c8be9d25-6df4-40ed-8d4e-8474b57f2cda"]}],"mendeley":{"formattedCitation":"(National Center for Chronic Disease Prevention and Health Promotion: Division of Population Health, 2018; D. Streiner, Norman, &amp; Cairney, 2015)","manualFormatting":"(National Center for Chronic Disease Prevention and Health Promotion: Division of Population Health, 2018; Streiner, Norman, &amp; Cairney, 2015)","plainTextFormattedCitation":"(National Center for Chronic Disease Prevention and Health Promotion: Division of Population Health, 2018; D. Streiner, Norman, &amp; Cairney, 2015)","previouslyFormattedCitation":"(National Center for Chronic Disease Prevention and Health Promotion: Division of Population Health, 2018; D. Streiner, Norman, &amp; Cairney, 2015)"},"properties":{"noteIndex":0},"schema":"https://github.com/citation-style-language/schema/raw/master/csl-citation.json"}</w:instrText>
      </w:r>
      <w:r w:rsidRPr="006A1EC7">
        <w:rPr>
          <w:color w:val="000000" w:themeColor="text1"/>
        </w:rPr>
        <w:fldChar w:fldCharType="separate"/>
      </w:r>
      <w:r w:rsidRPr="006A1EC7">
        <w:rPr>
          <w:noProof/>
          <w:color w:val="000000" w:themeColor="text1"/>
        </w:rPr>
        <w:t>(National Center for Chronic Disease Prevention and Health Promotion: Division of Population Health, 2018; Streiner, Norman, &amp; Cairney, 2015)</w:t>
      </w:r>
      <w:r w:rsidRPr="006A1EC7">
        <w:rPr>
          <w:color w:val="000000" w:themeColor="text1"/>
        </w:rPr>
        <w:fldChar w:fldCharType="end"/>
      </w:r>
      <w:r w:rsidRPr="006A1EC7">
        <w:rPr>
          <w:color w:val="000000" w:themeColor="text1"/>
        </w:rPr>
        <w:t xml:space="preserve">. However, the majority of publications, scholarly works and governing bodies uses the word ‘validation’ to incorporate both validation and validity, including the US FDA </w:t>
      </w:r>
      <w:r w:rsidRPr="006A1EC7">
        <w:rPr>
          <w:color w:val="000000" w:themeColor="text1"/>
        </w:rPr>
        <w:fldChar w:fldCharType="begin" w:fldLock="1"/>
      </w:r>
      <w:r w:rsidRPr="006A1EC7">
        <w:rPr>
          <w:color w:val="000000" w:themeColor="text1"/>
        </w:rPr>
        <w:instrText>ADDIN CSL_CITATION {"citationItems":[{"id":"ITEM-1","itemData":{"URL":"https://www.fda.gov/drugs/developmentapprovalprocess/drugdevelopmenttoolsqualificationprogram/ucm284077.htm","accessed":{"date-parts":[["2017","9","11"]]},"author":[{"dropping-particle":"","family":"U.S. Food and Drug Administration","given":"","non-dropping-particle":"","parse-names":false,"suffix":""}],"id":"ITEM-1","issued":{"date-parts":[["2017"]]},"title":"Clinical Outcome Assessment Qualification Program","type":"webpage"},"uris":["http://www.mendeley.com/documents/?uuid=7e751b8e-50ac-4312-97f0-68c1be4e74dc"]}],"mendeley":{"formattedCitation":"(U.S. Food and Drug Administration, 2017a)","manualFormatting":"(for reference, see Step 3: U.S. Food and Drug Administration, 2017a)","plainTextFormattedCitation":"(U.S. Food and Drug Administration, 2017a)","previouslyFormattedCitation":"(U.S. Food and Drug Administration, 2017a)"},"properties":{"noteIndex":0},"schema":"https://github.com/citation-style-language/schema/raw/master/csl-citation.json"}</w:instrText>
      </w:r>
      <w:r w:rsidRPr="006A1EC7">
        <w:rPr>
          <w:color w:val="000000" w:themeColor="text1"/>
        </w:rPr>
        <w:fldChar w:fldCharType="separate"/>
      </w:r>
      <w:r w:rsidRPr="006A1EC7">
        <w:rPr>
          <w:noProof/>
          <w:color w:val="000000" w:themeColor="text1"/>
        </w:rPr>
        <w:t>(for reference, see Step 3: U.S. Food and Drug Administration, 2017a)</w:t>
      </w:r>
      <w:r w:rsidRPr="006A1EC7">
        <w:rPr>
          <w:color w:val="000000" w:themeColor="text1"/>
        </w:rPr>
        <w:fldChar w:fldCharType="end"/>
      </w:r>
      <w:r w:rsidRPr="006A1EC7">
        <w:rPr>
          <w:color w:val="000000" w:themeColor="text1"/>
        </w:rPr>
        <w:t>. The use of these term interchangeably may lead to measures being approved for use by the FDA or measures being used without being suitable validated and valid.</w:t>
      </w:r>
      <w:r w:rsidRPr="006A1EC7">
        <w:t xml:space="preserve"> </w:t>
      </w:r>
    </w:p>
    <w:p w14:paraId="679F4C5D" w14:textId="01AE2E5D" w:rsidR="00A40374" w:rsidRPr="006A1EC7" w:rsidRDefault="00A40374" w:rsidP="008B50CE">
      <w:pPr>
        <w:spacing w:line="360" w:lineRule="auto"/>
        <w:ind w:firstLine="720"/>
      </w:pPr>
      <w:r w:rsidRPr="006A1EC7">
        <w:t xml:space="preserve">Due to the aforementioned confusion and sometimes omission around the words ‘validation’ and ‘validity’; there is some discussion about which nomenclature approach is most suitable. While some scholars, such as </w:t>
      </w:r>
      <w:r w:rsidRPr="006A1EC7">
        <w:rPr>
          <w:color w:val="000000" w:themeColor="text1"/>
        </w:rPr>
        <w:fldChar w:fldCharType="begin" w:fldLock="1"/>
      </w:r>
      <w:r w:rsidRPr="006A1EC7">
        <w:rPr>
          <w:color w:val="000000" w:themeColor="text1"/>
        </w:rPr>
        <w:instrText>ADDIN CSL_CITATION {"citationItems":[{"id":"ITEM-1","itemData":{"DOI":"10.1111/j.1745-459X.2012.00399.x","ISSN":"08878250","abstract":"Sensory measurement underlies sensory science. Sensory analysis and decision-making heavily depend on the quality of sensory data, which is determined by the performance of trained sensory panels and panelists. Various methods have been proposed for monitoring and assessing the performance. A weakness of the currently used methods is lack of a unified framework for various criteria and a variety of experiments with different types of data. This paper proposes to use accuracy, validity and reliability as general terminologies to describe sensory measurement and to apply the intraclass correlation coefficient (ICC) as a framework for monitoring and assessing performance. ICC can measure both similarity among panelists and sensitivity of panels and panelists. Hence, ICC can handle the problems of both reliability and validity. ICC can be obtained from different types of data for diverse experiments. This paper provides the equations and R and S-Plus functions for estimations of ICCs from continuous data (ratings), multivariate continuous data, ordinal data, ranking data, binary-choice data, multiple-choice data and forced-choice data. Confidence intervals, variances of the estimators, comparison with a fixed value and difference and similarity tests for multiple ICCs are also provided. The relationship between Cronbach's coefficient alpha and ICC is discussed. © 2012 Wiley Periodicals, Inc.","author":[{"dropping-particle":"","family":"Bi","given":"Jian","non-dropping-particle":"","parse-names":false,"suffix":""},{"dropping-particle":"","family":"Kuesten","given":"Carla","non-dropping-particle":"","parse-names":false,"suffix":""}],"container-title":"Journal of Sensory Studies","id":"ITEM-1","issue":"5","issued":{"date-parts":[["2012"]]},"page":"352-364","title":"Intraclass Correlation Coefficient (ICC): A Framework for Monitoring and Assessing Performance of Trained Sensory Panels and Panelists","type":"article-journal","volume":"27"},"uris":["http://www.mendeley.com/documents/?uuid=83dc4cd5-d608-48ef-85b2-0bd9de7abca0"]}],"mendeley":{"formattedCitation":"(Bi &amp; Kuesten, 2012)","manualFormatting":"Bi and Kuesten (2012)","plainTextFormattedCitation":"(Bi &amp; Kuesten, 2012)","previouslyFormattedCitation":"(Bi &amp; Kuesten, 2012)"},"properties":{"noteIndex":0},"schema":"https://github.com/citation-style-language/schema/raw/master/csl-citation.json"}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Bi and Kuesten (2012)</w:t>
      </w:r>
      <w:r w:rsidRPr="006A1EC7">
        <w:rPr>
          <w:color w:val="000000" w:themeColor="text1"/>
        </w:rPr>
        <w:fldChar w:fldCharType="end"/>
      </w:r>
      <w:r w:rsidRPr="006A1EC7">
        <w:rPr>
          <w:color w:val="000000" w:themeColor="text1"/>
        </w:rPr>
        <w:t xml:space="preserve">, suggested calling this last step an ‘assessment of scale accuracy’. This term is generally seen to cover a scale’s </w:t>
      </w:r>
      <w:r w:rsidRPr="006A1EC7">
        <w:t xml:space="preserve">reliability and validity; and therefore unifies the aspects of validity and (the activities associated with) validation that are integral to producing a high-quality scale </w:t>
      </w:r>
      <w:r w:rsidRPr="006A1EC7">
        <w:fldChar w:fldCharType="begin" w:fldLock="1"/>
      </w:r>
      <w:r w:rsidRPr="006A1EC7">
        <w:instrText>ADDIN CSL_CITATION {"citationItems":[{"id":"ITEM-1","itemData":{"DOI":"10.1111/j.1745-459X.2012.00399.x","ISSN":"08878250","abstract":"Sensory measurement underlies sensory science. Sensory analysis and decision-making heavily depend on the quality of sensory data, which is determined by the performance of trained sensory panels and panelists. Various methods have been proposed for monitoring and assessing the performance. A weakness of the currently used methods is lack of a unified framework for various criteria and a variety of experiments with different types of data. This paper proposes to use accuracy, validity and reliability as general terminologies to describe sensory measurement and to apply the intraclass correlation coefficient (ICC) as a framework for monitoring and assessing performance. ICC can measure both similarity among panelists and sensitivity of panels and panelists. Hence, ICC can handle the problems of both reliability and validity. ICC can be obtained from different types of data for diverse experiments. This paper provides the equations and R and S-Plus functions for estimations of ICCs from continuous data (ratings), multivariate continuous data, ordinal data, ranking data, binary-choice data, multiple-choice data and forced-choice data. Confidence intervals, variances of the estimators, comparison with a fixed value and difference and similarity tests for multiple ICCs are also provided. The relationship between Cronbach's coefficient alpha and ICC is discussed. © 2012 Wiley Periodicals, Inc.","author":[{"dropping-particle":"","family":"Bi","given":"Jian","non-dropping-particle":"","parse-names":false,"suffix":""},{"dropping-particle":"","family":"Kuesten","given":"Carla","non-dropping-particle":"","parse-names":false,"suffix":""}],"container-title":"Journal of Sensory Studies","id":"ITEM-1","issue":"5","issued":{"date-parts":[["2012"]]},"page":"352-364","title":"Intraclass Correlation Coefficient (ICC): A Framework for Monitoring and Assessing Performance of Trained Sensory Panels and Panelists","type":"article-journal","volume":"27"},"uris":["http://www.mendeley.com/documents/?uuid=83dc4cd5-d608-48ef-85b2-0bd9de7abca0"]}],"mendeley":{"formattedCitation":"(Bi &amp; Kuesten, 2012)","plainTextFormattedCitation":"(Bi &amp; Kuesten, 2012)","previouslyFormattedCitation":"(Bi &amp; Kuesten, 2012)"},"properties":{"noteIndex":0},"schema":"https://github.com/citation-style-language/schema/raw/master/csl-citation.json"}</w:instrText>
      </w:r>
      <w:r w:rsidRPr="006A1EC7">
        <w:fldChar w:fldCharType="separate"/>
      </w:r>
      <w:r w:rsidRPr="006A1EC7">
        <w:rPr>
          <w:noProof/>
        </w:rPr>
        <w:t>(Bi &amp; Kuesten, 2012)</w:t>
      </w:r>
      <w:r w:rsidRPr="006A1EC7">
        <w:fldChar w:fldCharType="end"/>
      </w:r>
      <w:r w:rsidRPr="006A1EC7">
        <w:t xml:space="preserve">. A strength of this (nomenclature) approach is that it recognises that reliability and accuracy assess different aspects of a COA. A COA can be reliable but not accurate, yet it cannot be accurate if it is not reliable </w:t>
      </w:r>
      <w:r w:rsidRPr="006A1EC7">
        <w:fldChar w:fldCharType="begin" w:fldLock="1"/>
      </w:r>
      <w:r w:rsidR="00AD67F5" w:rsidRPr="006A1EC7">
        <w:instrText>ADDIN CSL_CITATION {"citationItems":[{"id":"ITEM-1","itemData":{"author":[{"dropping-particle":"","family":"Kline","given":"P","non-dropping-particle":"","parse-names":false,"suffix":""}],"id":"ITEM-1","issued":{"date-parts":[["1998"]]},"publisher":"Routledge","publisher-place":"New York","title":"The New Psychometrics : Science, Psychology and Measurement.","type":"book"},"locator":"26","uris":["http://www.mendeley.com/documents/?uuid=eec22be8-8c7b-47cc-ba18-e37787dd833f"]}],"mendeley":{"formattedCitation":"(Kline, 1998, p. 26)","manualFormatting":"(Kline, 1998)","plainTextFormattedCitation":"(Kline, 1998, p. 26)","previouslyFormattedCitation":"(Kline, 1998, p. 26)"},"properties":{"noteIndex":0},"schema":"https://github.com/citation-style-language/schema/raw/master/csl-citation.json"}</w:instrText>
      </w:r>
      <w:r w:rsidRPr="006A1EC7">
        <w:fldChar w:fldCharType="separate"/>
      </w:r>
      <w:r w:rsidRPr="006A1EC7">
        <w:rPr>
          <w:noProof/>
        </w:rPr>
        <w:t>(Kline, 1998)</w:t>
      </w:r>
      <w:r w:rsidRPr="006A1EC7">
        <w:fldChar w:fldCharType="end"/>
      </w:r>
      <w:r w:rsidRPr="006A1EC7">
        <w:t xml:space="preserve">. Assessment of accuracy, therefore, goes beyond reliability (analyses) and incorporates whether a measure is assessing what it claims to be measuring (i.e. the concept of interest) </w:t>
      </w:r>
      <w:r w:rsidRPr="006A1EC7">
        <w:fldChar w:fldCharType="begin" w:fldLock="1"/>
      </w:r>
      <w:r w:rsidRPr="006A1EC7">
        <w:instrText>ADDIN CSL_CITATION {"citationItems":[{"id":"ITEM-1","itemData":{"DOI":"10.1007/s11205-010-9682-8","author":[{"dropping-particle":"","family":"Slocum-Gori","given":"S","non-dropping-particle":"","parse-names":false,"suffix":""},{"dropping-particle":"","family":"Zumbo","given":"B","non-dropping-particle":"","parse-names":false,"suffix":""}],"container-title":"Social Indicators Research","id":"ITEM-1","issue":"3","issued":{"date-parts":[["2011"]]},"page":"443-461","title":"Assessing the Unidimensionality of Psychological Scales : Using Multiple Criteria from Factor Analysis","type":"article-journal","volume":"102"},"uris":["http://www.mendeley.com/documents/?uuid=977d2192-0815-47e3-8baf-5381707c20eb"]}],"mendeley":{"formattedCitation":"(Slocum-Gori &amp; Zumbo, 2011)","plainTextFormattedCitation":"(Slocum-Gori &amp; Zumbo, 2011)","previouslyFormattedCitation":"(Slocum-Gori &amp; Zumbo, 2011)"},"properties":{"noteIndex":0},"schema":"https://github.com/citation-style-language/schema/raw/master/csl-citation.json"}</w:instrText>
      </w:r>
      <w:r w:rsidRPr="006A1EC7">
        <w:fldChar w:fldCharType="separate"/>
      </w:r>
      <w:r w:rsidRPr="006A1EC7">
        <w:rPr>
          <w:noProof/>
        </w:rPr>
        <w:t>(Slocum-Gori &amp; Zumbo, 2011)</w:t>
      </w:r>
      <w:r w:rsidRPr="006A1EC7">
        <w:fldChar w:fldCharType="end"/>
      </w:r>
      <w:r w:rsidRPr="006A1EC7">
        <w:t xml:space="preserve">. However, this approach fails to take other important aspects of a COA into account, such as a measure’s ability to capture change over time or the interpretability of results of a COA </w:t>
      </w:r>
      <w:r w:rsidRPr="006A1EC7">
        <w:fldChar w:fldCharType="begin" w:fldLock="1"/>
      </w:r>
      <w:r w:rsidRPr="006A1EC7">
        <w:instrText>ADDIN CSL_CITATION {"citationItems":[{"id":"ITEM-1","itemData":{"DOI":"10.1007/s11017-011-9186-9","ISSN":"13867415","abstract":"Patient-reported outcomes are increasingly used as dependent variables in studies regarding the effectiveness of clinical interventions. But patient-reported outcome measures (PROMs) do not provide intuitively meaningful data. For instance, it is not clear what a five point increase or decrease on a particular scale signifies. Establishing 'interpretability' involves making changes in outcomes meaningful. Attempts to interpret PROMs have led to the development of methods for identifying a minimum important difference (MID). In this paper, however, I draw on Charles Taylor's distinction between weak and strong evaluations to suggest that identifying a MID, specifically, a MID that uses a patient-reported reference group, may not provide an adequate interpretation of these measures. Moreover, I argue that the difficulty with interpreting these measures is tied to a larger problem concerning their validity. If researchers wish to interpret PROMs, they may first need to know more about the constructs they attempt to measure, namely, quality of life. © Springer Science+Business Media B.V. 2011.","author":[{"dropping-particle":"","family":"McClimans","given":"Leah","non-dropping-particle":"","parse-names":false,"suffix":""}],"container-title":"Theoretical Medicine and Bioethics","id":"ITEM-1","issue":"6","issued":{"date-parts":[["2011"]]},"page":"389-401","title":"Interpretability, validity, and the minimum important difference","type":"article-journal","volume":"32"},"uris":["http://www.mendeley.com/documents/?uuid=83fd93bc-94cf-48bd-aa39-3a8adb2156e9"]}],"mendeley":{"formattedCitation":"(McClimans, 2011)","plainTextFormattedCitation":"(McClimans, 2011)","previouslyFormattedCitation":"(McClimans, 2011)"},"properties":{"noteIndex":0},"schema":"https://github.com/citation-style-language/schema/raw/master/csl-citation.json"}</w:instrText>
      </w:r>
      <w:r w:rsidRPr="006A1EC7">
        <w:fldChar w:fldCharType="separate"/>
      </w:r>
      <w:r w:rsidRPr="006A1EC7">
        <w:rPr>
          <w:noProof/>
        </w:rPr>
        <w:t>(McClimans, 2011)</w:t>
      </w:r>
      <w:r w:rsidRPr="006A1EC7">
        <w:fldChar w:fldCharType="end"/>
      </w:r>
      <w:r w:rsidRPr="006A1EC7">
        <w:t xml:space="preserve">. </w:t>
      </w:r>
    </w:p>
    <w:p w14:paraId="65416972" w14:textId="6F680095" w:rsidR="00A40374" w:rsidRPr="006A1EC7" w:rsidRDefault="00A40374" w:rsidP="00A40374">
      <w:pPr>
        <w:spacing w:line="360" w:lineRule="auto"/>
        <w:ind w:firstLine="720"/>
        <w:rPr>
          <w:lang w:val="en-US"/>
        </w:rPr>
      </w:pPr>
      <w:r w:rsidRPr="006A1EC7">
        <w:rPr>
          <w:color w:val="000000" w:themeColor="text1"/>
        </w:rPr>
        <w:t xml:space="preserve">In response, and in an effort to improve the development and appropriate use of COAs in research and clinical </w:t>
      </w:r>
      <w:r w:rsidRPr="006A1EC7">
        <w:t xml:space="preserve">practice, the </w:t>
      </w:r>
      <w:r w:rsidRPr="006A1EC7">
        <w:rPr>
          <w:lang w:val="en-US"/>
        </w:rPr>
        <w:t xml:space="preserve">COnsensus-based Standards for the selection of health Measurement Instruments (COSMIN) Initiative has been developed in the Netherlands </w:t>
      </w:r>
      <w:r w:rsidRPr="006A1EC7">
        <w:rPr>
          <w:lang w:val="en-US"/>
        </w:rPr>
        <w:fldChar w:fldCharType="begin" w:fldLock="1"/>
      </w:r>
      <w:r w:rsidRPr="006A1EC7">
        <w:rPr>
          <w:lang w:val="en-US"/>
        </w:rPr>
        <w:instrText>ADDIN CSL_CITATION {"citationItems":[{"id":"ITEM-1","itemData":{"URL":"https://www.cosmin.nl/","accessed":{"date-parts":[["2019","11","12"]]},"author":[{"dropping-particle":"","family":"COnsensus-based Standards for the selection of health Measurement INstruments","given":"","non-dropping-particle":"","parse-names":false,"suffix":""}],"id":"ITEM-1","issued":{"date-parts":[["2019"]]},"title":"COnsensus-based Standards for the selection of health Measurement INstruments","type":"webpage"},"uris":["http://www.mendeley.com/documents/?uuid=880eeafc-e594-4990-8995-787f41c108f1"]},{"id":"ITEM-2","itemData":{"DOI":"10.1016/j.jclinepi.2010.02.006","ISBN":"3120444677","ISSN":"08954356","PMID":"20494804","abstract":"Objective: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 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 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\"reliability\" and \"structural validity,\" and the definitions of internal consistency and reliability. Conclusions: Consensus on taxonomy, terminology, and definitions of measurement properties was reached. Hopefully, this will lead to a more uniform use of terms and definitions in the literature on measurement properties. © 2010 Elsevier Inc. All rights reserved.","author":[{"dropping-particle":"","family":"Mokkink","given":"Lidwine B.","non-dropping-particle":"","parse-names":false,"suffix":""},{"dropping-particle":"","family":"Terwee","given":"Caroline B.","non-dropping-particle":"","parse-names":false,"suffix":""},{"dropping-particle":"","family":"Patrick","given":"Donald L.","non-dropping-particle":"","parse-names":false,"suffix":""},{"dropping-particle":"","family":"Alonso","given":"Jordi","non-dropping-particle":"","parse-names":false,"suffix":""},{"dropping-particle":"","family":"Stratford","given":"Paul W.","non-dropping-particle":"","parse-names":false,"suffix":""},{"dropping-particle":"","family":"Knol","given":"Dirk L.","non-dropping-particle":"","parse-names":false,"suffix":""},{"dropping-particle":"","family":"Bouter","given":"Lex M.","non-dropping-particle":"","parse-names":false,"suffix":""},{"dropping-particle":"","family":"Vet","given":"Henrica C.W. W.","non-dropping-particle":"de","parse-names":false,"suffix":""},{"dropping-particle":"","family":"Prinsen","given":"Cicilia A. C.","non-dropping-particle":"","parse-names":false,"suffix":""},{"dropping-particle":"","family":"Mokkink","given":"Lidwine B.","non-dropping-particle":"","parse-names":false,"suffix":""},{"dropping-particle":"","family":"Vet","given":"Henrica C.W. W.","non-dropping-particle":"de","parse-names":false,"suffix":""}],"container-title":"Quality of Life Research","id":"ITEM-2","issue":"7","issued":{"date-parts":[["2014"]]},"page":"32","title":"The COSMIN checklist for evaluating the methodological quality of studies on measurement properties","type":"article-journal","volume":"63"},"uris":["http://www.mendeley.com/documents/?uuid=4397b4e2-e735-4ca4-b9ac-78effe00e60e"]}],"mendeley":{"formattedCitation":"(COnsensus-based Standards for the selection of health Measurement INstruments, 2019a; Lidwine B. Mokkink et al., 2014)","manualFormatting":"(COnsensus-based Standards for the selection of health Measurement INstruments, 2019a; Lidwine, Mokkink et al., 2014)","plainTextFormattedCitation":"(COnsensus-based Standards for the selection of health Measurement INstruments, 2019a; Lidwine B. Mokkink et al., 2014)","previouslyFormattedCitation":"(COnsensus-based Standards for the selection of health Measurement INstruments, 2019a; Lidwine B. Mokkink et al., 2014)"},"properties":{"noteIndex":0},"schema":"https://github.com/citation-style-language/schema/raw/master/csl-citation.json"}</w:instrText>
      </w:r>
      <w:r w:rsidRPr="006A1EC7">
        <w:rPr>
          <w:lang w:val="en-US"/>
        </w:rPr>
        <w:fldChar w:fldCharType="separate"/>
      </w:r>
      <w:r w:rsidRPr="006A1EC7">
        <w:rPr>
          <w:noProof/>
          <w:lang w:val="en-US"/>
        </w:rPr>
        <w:t>(COnsensus-based Standards for the selection of health Measurement INstruments, 2019a; Lidwine, Mokkink et al., 2014)</w:t>
      </w:r>
      <w:r w:rsidRPr="006A1EC7">
        <w:rPr>
          <w:lang w:val="en-US"/>
        </w:rPr>
        <w:fldChar w:fldCharType="end"/>
      </w:r>
      <w:r w:rsidRPr="006A1EC7">
        <w:rPr>
          <w:lang w:val="en-US"/>
        </w:rPr>
        <w:t>.The COSMIN initiative suggests calling this last step in the development of a COA</w:t>
      </w:r>
      <w:r w:rsidRPr="006A1EC7">
        <w:t xml:space="preserve"> ‘Assessment of Measurement properties of a COA’ Graphic 7 provides both COSMIN’s graphic framework for what this step should entail. </w:t>
      </w:r>
      <w:r w:rsidRPr="006A1EC7">
        <w:rPr>
          <w:lang w:val="en-US"/>
        </w:rPr>
        <w:t xml:space="preserve">These </w:t>
      </w:r>
      <w:r w:rsidRPr="006A1EC7">
        <w:rPr>
          <w:lang w:val="en-US"/>
        </w:rPr>
        <w:lastRenderedPageBreak/>
        <w:t xml:space="preserve">recommendations made as part of this framework, were the result of an international consensus study with 57 international experts on scale development </w:t>
      </w:r>
      <w:r w:rsidRPr="006A1EC7">
        <w:rPr>
          <w:lang w:val="en-US"/>
        </w:rPr>
        <w:fldChar w:fldCharType="begin" w:fldLock="1"/>
      </w:r>
      <w:r w:rsidRPr="006A1EC7">
        <w:rPr>
          <w:lang w:val="en-US"/>
        </w:rPr>
        <w:instrText>ADDIN CSL_CITATION {"citationItems":[{"id":"ITEM-1","itemData":{"DOI":"10.1016/j.jclinepi.2010.02.006","ISBN":"3120444677","ISSN":"08954356","PMID":"20494804","abstract":"Objective: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 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 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\"reliability\" and \"structural validity,\" and the definitions of internal consistency and reliability. Conclusions: Consensus on taxonomy, terminology, and definitions of measurement properties was reached. Hopefully, this will lead to a more uniform use of terms and definitions in the literature on measurement properties. © 2010 Elsevier Inc. All rights reserved.","author":[{"dropping-particle":"","family":"Mokkink","given":"Lidwine B.","non-dropping-particle":"","parse-names":false,"suffix":""},{"dropping-particle":"","family":"Terwee","given":"Caroline B.","non-dropping-particle":"","parse-names":false,"suffix":""},{"dropping-particle":"","family":"Patrick","given":"Donald L.","non-dropping-particle":"","parse-names":false,"suffix":""},{"dropping-particle":"","family":"Alonso","given":"Jordi","non-dropping-particle":"","parse-names":false,"suffix":""},{"dropping-particle":"","family":"Stratford","given":"Paul W.","non-dropping-particle":"","parse-names":false,"suffix":""},{"dropping-particle":"","family":"Knol","given":"Dirk L.","non-dropping-particle":"","parse-names":false,"suffix":""},{"dropping-particle":"","family":"Bouter","given":"Lex M.","non-dropping-particle":"","parse-names":false,"suffix":""},{"dropping-particle":"","family":"Vet","given":"Henrica C.W. W.","non-dropping-particle":"de","parse-names":false,"suffix":""},{"dropping-particle":"","family":"Prinsen","given":"Cicilia A. C.","non-dropping-particle":"","parse-names":false,"suffix":""},{"dropping-particle":"","family":"Mokkink","given":"Lidwine B.","non-dropping-particle":"","parse-names":false,"suffix":""},{"dropping-particle":"","family":"Vet","given":"Henrica C.W. W.","non-dropping-particle":"de","parse-names":false,"suffix":""}],"container-title":"Quality of Life Research","id":"ITEM-1","issue":"7","issued":{"date-parts":[["2014"]]},"page":"32","title":"The COSMIN checklist for evaluating the methodological quality of studies on measurement properties","type":"article-journal","volume":"63"},"uris":["http://www.mendeley.com/documents/?uuid=4397b4e2-e735-4ca4-b9ac-78effe00e60e"]}],"mendeley":{"formattedCitation":"(Lidwine B. Mokkink et al., 2014)","manualFormatting":"(Lidwine et al., 2014)","plainTextFormattedCitation":"(Lidwine B. Mokkink et al., 2014)","previouslyFormattedCitation":"(Lidwine B. Mokkink et al., 2014)"},"properties":{"noteIndex":0},"schema":"https://github.com/citation-style-language/schema/raw/master/csl-citation.json"}</w:instrText>
      </w:r>
      <w:r w:rsidRPr="006A1EC7">
        <w:rPr>
          <w:lang w:val="en-US"/>
        </w:rPr>
        <w:fldChar w:fldCharType="separate"/>
      </w:r>
      <w:r w:rsidRPr="006A1EC7">
        <w:rPr>
          <w:noProof/>
          <w:lang w:val="en-US"/>
        </w:rPr>
        <w:t>(Lidwine et al., 2014)</w:t>
      </w:r>
      <w:r w:rsidRPr="006A1EC7">
        <w:rPr>
          <w:lang w:val="en-US"/>
        </w:rPr>
        <w:fldChar w:fldCharType="end"/>
      </w:r>
      <w:r w:rsidRPr="006A1EC7">
        <w:rPr>
          <w:lang w:val="en-US"/>
        </w:rPr>
        <w:t xml:space="preserve">. The measurement properties of outcome instruments that the COSMIN checklist recommends are assessments of reliability, validity and responsiveness. This checklist also included interpretability as an important aspect of a scale; although it is recognized that this is not a measurement property as such </w:t>
      </w:r>
      <w:r w:rsidRPr="006A1EC7">
        <w:rPr>
          <w:lang w:val="en-US"/>
        </w:rPr>
        <w:fldChar w:fldCharType="begin" w:fldLock="1"/>
      </w:r>
      <w:r w:rsidR="008B50CE" w:rsidRPr="006A1EC7">
        <w:rPr>
          <w:lang w:val="en-US"/>
        </w:rPr>
        <w:instrText>ADDIN CSL_CITATION {"citationItems":[{"id":"ITEM-1","itemData":{"URL":"https://www.cosmin.nl/","accessed":{"date-parts":[["2019","11","12"]]},"author":[{"dropping-particle":"","family":"COnsensus-based Standards for the selection of health Measurement INstruments","given":"","non-dropping-particle":"","parse-names":false,"suffix":""}],"id":"ITEM-1","issued":{"date-parts":[["2019"]]},"title":"COnsensus-based Standards for the selection of health Measurement INstruments","type":"webpage"},"uris":["http://www.mendeley.com/documents/?uuid=880eeafc-e594-4990-8995-787f41c108f1"]},{"id":"ITEM-2","itemData":{"DOI":"10.1016/j.jclinepi.2010.02.006","ISBN":"3120444677","ISSN":"08954356","PMID":"20494804","abstract":"Objective: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 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 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\"reliability\" and \"structural validity,\" and the definitions of internal consistency and reliability. Conclusions: Consensus on taxonomy, terminology, and definitions of measurement properties was reached. Hopefully, this will lead to a more uniform use of terms and definitions in the literature on measurement properties. © 2010 Elsevier Inc. All rights reserved.","author":[{"dropping-particle":"","family":"Mokkink","given":"Lidwine B.","non-dropping-particle":"","parse-names":false,"suffix":""},{"dropping-particle":"","family":"Terwee","given":"Caroline B.","non-dropping-particle":"","parse-names":false,"suffix":""},{"dropping-particle":"","family":"Patrick","given":"Donald L.","non-dropping-particle":"","parse-names":false,"suffix":""},{"dropping-particle":"","family":"Alonso","given":"Jordi","non-dropping-particle":"","parse-names":false,"suffix":""},{"dropping-particle":"","family":"Stratford","given":"Paul W.","non-dropping-particle":"","parse-names":false,"suffix":""},{"dropping-particle":"","family":"Knol","given":"Dirk L.","non-dropping-particle":"","parse-names":false,"suffix":""},{"dropping-particle":"","family":"Bouter","given":"Lex M.","non-dropping-particle":"","parse-names":false,"suffix":""},{"dropping-particle":"","family":"Vet","given":"Henrica C.W. W.","non-dropping-particle":"de","parse-names":false,"suffix":""},{"dropping-particle":"","family":"Prinsen","given":"Cicilia A. C.","non-dropping-particle":"","parse-names":false,"suffix":""},{"dropping-particle":"","family":"Mokkink","given":"Lidwine B.","non-dropping-particle":"","parse-names":false,"suffix":""},{"dropping-particle":"","family":"Vet","given":"Henrica C.W. W.","non-dropping-particle":"de","parse-names":false,"suffix":""}],"container-title":"Quality of Life Research","id":"ITEM-2","issue":"7","issued":{"date-parts":[["2014"]]},"page":"32","title":"The COSMIN checklist for evaluating the methodological quality of studies on measurement properties","type":"article-journal","volume":"63"},"uris":["http://www.mendeley.com/documents/?uuid=4397b4e2-e735-4ca4-b9ac-78effe00e60e"]}],"mendeley":{"formattedCitation":"(COnsensus-based Standards for the selection of health Measurement INstruments, 2019a; Lidwine B. Mokkink et al., 2014)","manualFormatting":"(COnsensus-based Standards for the selection of health Measurement INstruments, 2019a; Lidwine et al., 2014)","plainTextFormattedCitation":"(COnsensus-based Standards for the selection of health Measurement INstruments, 2019a; Lidwine B. Mokkink et al., 2014)","previouslyFormattedCitation":"(COnsensus-based Standards for the selection of health Measurement INstruments, 2019a; Lidwine B. Mokkink et al., 2014)"},"properties":{"noteIndex":0},"schema":"https://github.com/citation-style-language/schema/raw/master/csl-citation.json"}</w:instrText>
      </w:r>
      <w:r w:rsidRPr="006A1EC7">
        <w:rPr>
          <w:lang w:val="en-US"/>
        </w:rPr>
        <w:fldChar w:fldCharType="separate"/>
      </w:r>
      <w:r w:rsidRPr="006A1EC7">
        <w:rPr>
          <w:noProof/>
          <w:lang w:val="en-US"/>
        </w:rPr>
        <w:t>(COnsensus-based Standards for the selection of health Measurement INstruments, 2019a; Lidwine</w:t>
      </w:r>
      <w:r w:rsidR="008B50CE" w:rsidRPr="006A1EC7">
        <w:rPr>
          <w:noProof/>
          <w:lang w:val="en-US"/>
        </w:rPr>
        <w:t xml:space="preserve"> </w:t>
      </w:r>
      <w:r w:rsidRPr="006A1EC7">
        <w:rPr>
          <w:noProof/>
          <w:lang w:val="en-US"/>
        </w:rPr>
        <w:t>et al., 2014)</w:t>
      </w:r>
      <w:r w:rsidRPr="006A1EC7">
        <w:rPr>
          <w:lang w:val="en-US"/>
        </w:rPr>
        <w:fldChar w:fldCharType="end"/>
      </w:r>
      <w:r w:rsidRPr="006A1EC7">
        <w:rPr>
          <w:lang w:val="en-US"/>
        </w:rPr>
        <w:t xml:space="preserve">. </w:t>
      </w:r>
    </w:p>
    <w:p w14:paraId="19771634" w14:textId="77777777" w:rsidR="00A40374" w:rsidRPr="006A1EC7" w:rsidRDefault="00A40374" w:rsidP="00381BB6">
      <w:pPr>
        <w:spacing w:line="360" w:lineRule="auto"/>
        <w:rPr>
          <w:lang w:val="en-US"/>
        </w:rPr>
      </w:pPr>
    </w:p>
    <w:p w14:paraId="2C1F53E9" w14:textId="2CAF19B7" w:rsidR="00381BB6" w:rsidRPr="006A1EC7" w:rsidRDefault="00381BB6" w:rsidP="00381BB6">
      <w:pPr>
        <w:pStyle w:val="Heading3"/>
        <w:rPr>
          <w:rFonts w:ascii="Times New Roman" w:hAnsi="Times New Roman" w:cs="Times New Roman"/>
        </w:rPr>
      </w:pPr>
      <w:bookmarkStart w:id="65" w:name="_Toc39270364"/>
      <w:bookmarkStart w:id="66" w:name="_Toc40173063"/>
      <w:r w:rsidRPr="006A1EC7">
        <w:rPr>
          <w:rFonts w:ascii="Times New Roman" w:hAnsi="Times New Roman" w:cs="Times New Roman"/>
        </w:rPr>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7</w:t>
      </w:r>
      <w:r w:rsidRPr="006A1EC7">
        <w:rPr>
          <w:rFonts w:ascii="Times New Roman" w:hAnsi="Times New Roman" w:cs="Times New Roman"/>
        </w:rPr>
        <w:fldChar w:fldCharType="end"/>
      </w:r>
      <w:r w:rsidRPr="006A1EC7">
        <w:rPr>
          <w:rFonts w:ascii="Times New Roman" w:hAnsi="Times New Roman" w:cs="Times New Roman"/>
        </w:rPr>
        <w:t>: Measurement Properties of Outcome Measurement Instruments (COSMIN initiative)</w:t>
      </w:r>
      <w:r w:rsidRPr="006A1EC7">
        <w:rPr>
          <w:rStyle w:val="FootnoteReference"/>
          <w:rFonts w:ascii="Times New Roman" w:hAnsi="Times New Roman" w:cs="Times New Roman"/>
        </w:rPr>
        <w:footnoteReference w:id="7"/>
      </w:r>
      <w:bookmarkEnd w:id="65"/>
      <w:bookmarkEnd w:id="66"/>
    </w:p>
    <w:p w14:paraId="70A68E24" w14:textId="5DFA512C" w:rsidR="00A40374" w:rsidRPr="006A1EC7" w:rsidRDefault="00A40374" w:rsidP="00A40374">
      <w:r w:rsidRPr="006A1EC7">
        <w:rPr>
          <w:noProof/>
          <w:lang w:eastAsia="en-GB"/>
        </w:rPr>
        <w:drawing>
          <wp:inline distT="0" distB="0" distL="0" distR="0" wp14:anchorId="20CE3851" wp14:editId="22534130">
            <wp:extent cx="5396230" cy="3813810"/>
            <wp:effectExtent l="0" t="0" r="0" b="0"/>
            <wp:docPr id="5" name="Picture 5" descr="https://cosmin.nl/wp-content/uploads/COSMIN_taxonomy_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smin.nl/wp-content/uploads/COSMIN_taxonomy_infographi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3813810"/>
                    </a:xfrm>
                    <a:prstGeom prst="rect">
                      <a:avLst/>
                    </a:prstGeom>
                    <a:noFill/>
                    <a:ln>
                      <a:noFill/>
                    </a:ln>
                  </pic:spPr>
                </pic:pic>
              </a:graphicData>
            </a:graphic>
          </wp:inline>
        </w:drawing>
      </w:r>
    </w:p>
    <w:p w14:paraId="78C489C9" w14:textId="77777777" w:rsidR="00DB5C12" w:rsidRPr="006A1EC7" w:rsidRDefault="00DB5C12" w:rsidP="00A40374">
      <w:pPr>
        <w:spacing w:line="360" w:lineRule="auto"/>
        <w:ind w:firstLine="720"/>
      </w:pPr>
    </w:p>
    <w:p w14:paraId="030A3CD4" w14:textId="6BAB5A60" w:rsidR="00A40374" w:rsidRPr="006A1EC7" w:rsidRDefault="00A40374" w:rsidP="00A40374">
      <w:pPr>
        <w:spacing w:line="360" w:lineRule="auto"/>
        <w:ind w:firstLine="720"/>
      </w:pPr>
      <w:r w:rsidRPr="006A1EC7">
        <w:t xml:space="preserve">A distinct strength of this approach is that it </w:t>
      </w:r>
      <w:r w:rsidRPr="006A1EC7">
        <w:rPr>
          <w:color w:val="000000" w:themeColor="text1"/>
        </w:rPr>
        <w:t xml:space="preserve">generally includes aspects of both validity and psychometric validation (reliability, but also responsiveness) under the umbrella term assessment of ‘measurement properties’ </w:t>
      </w:r>
      <w:r w:rsidRPr="006A1EC7">
        <w:rPr>
          <w:color w:val="000000" w:themeColor="text1"/>
        </w:rPr>
        <w:fldChar w:fldCharType="begin" w:fldLock="1"/>
      </w:r>
      <w:r w:rsidRPr="006A1EC7">
        <w:rPr>
          <w:color w:val="000000" w:themeColor="text1"/>
        </w:rPr>
        <w:instrText>ADDIN CSL_CITATION {"citationItems":[{"id":"ITEM-1","itemData":{"URL":"https://www.cosmin.nl/","accessed":{"date-parts":[["2019","11","12"]]},"author":[{"dropping-particle":"","family":"COnsensus-based Standards for the selection of health Measurement INstruments","given":"","non-dropping-particle":"","parse-names":false,"suffix":""}],"id":"ITEM-1","issued":{"date-parts":[["2019"]]},"title":"COnsensus-based Standards for the selection of health Measurement INstruments","type":"webpage"},"uris":["http://www.mendeley.com/documents/?uuid=880eeafc-e594-4990-8995-787f41c108f1"]}],"mendeley":{"formattedCitation":"(COnsensus-based Standards for the selection of health Measurement INstruments, 2019a)","plainTextFormattedCitation":"(COnsensus-based Standards for the selection of health Measurement INstruments, 2019a)","previouslyFormattedCitation":"(COnsensus-based Standards for the selection of health Measurement INstruments, 2019a)"},"properties":{"noteIndex":0},"schema":"https://github.com/citation-style-language/schema/raw/master/csl-citation.json"}</w:instrText>
      </w:r>
      <w:r w:rsidRPr="006A1EC7">
        <w:rPr>
          <w:color w:val="000000" w:themeColor="text1"/>
        </w:rPr>
        <w:fldChar w:fldCharType="separate"/>
      </w:r>
      <w:r w:rsidRPr="006A1EC7">
        <w:rPr>
          <w:noProof/>
          <w:color w:val="000000" w:themeColor="text1"/>
        </w:rPr>
        <w:t>(COnsensus-based Standards for the selection of health Measurement INstruments, 2019a)</w:t>
      </w:r>
      <w:r w:rsidRPr="006A1EC7">
        <w:rPr>
          <w:color w:val="000000" w:themeColor="text1"/>
        </w:rPr>
        <w:fldChar w:fldCharType="end"/>
      </w:r>
      <w:r w:rsidRPr="006A1EC7">
        <w:rPr>
          <w:color w:val="000000" w:themeColor="text1"/>
        </w:rPr>
        <w:t xml:space="preserve"> and therefore becomes an all-encompassing framework of reference. Al</w:t>
      </w:r>
      <w:r w:rsidRPr="006A1EC7">
        <w:rPr>
          <w:lang w:val="en-US"/>
        </w:rPr>
        <w:t xml:space="preserve">though primarily developed for PRO/PROM instruments, this checklist provides an overview of recommendations of different aspects that should be </w:t>
      </w:r>
      <w:r w:rsidRPr="006A1EC7">
        <w:rPr>
          <w:lang w:val="en-US"/>
        </w:rPr>
        <w:lastRenderedPageBreak/>
        <w:t>assessed in the final stage of scale development; and there is no current alternative, framework or guidance developed for ClinRos.</w:t>
      </w:r>
    </w:p>
    <w:p w14:paraId="6C393465" w14:textId="1D571C94" w:rsidR="00A40374" w:rsidRPr="006A1EC7" w:rsidRDefault="00A40374" w:rsidP="00DB5C12">
      <w:pPr>
        <w:pStyle w:val="Heading5"/>
        <w:rPr>
          <w:rFonts w:ascii="Times New Roman" w:hAnsi="Times New Roman" w:cs="Times New Roman"/>
        </w:rPr>
      </w:pPr>
      <w:r w:rsidRPr="006A1EC7">
        <w:rPr>
          <w:rFonts w:ascii="Times New Roman" w:hAnsi="Times New Roman" w:cs="Times New Roman"/>
        </w:rPr>
        <w:t>Reliability</w:t>
      </w:r>
    </w:p>
    <w:p w14:paraId="5A7B94C5" w14:textId="74EADC32" w:rsidR="00A40374" w:rsidRPr="006A1EC7" w:rsidRDefault="00A40374" w:rsidP="00A40374">
      <w:pPr>
        <w:spacing w:line="360" w:lineRule="auto"/>
        <w:ind w:firstLine="720"/>
      </w:pPr>
      <w:r w:rsidRPr="006A1EC7">
        <w:t xml:space="preserve">As aforementioned, reliability is important for all cases of psychometric testing and scale development, however it is arguably most important in the fields of health care and medicine, as the use and application of unreliable measures can have serious consequences for patient health and care </w:t>
      </w:r>
      <w:r w:rsidRPr="006A1EC7">
        <w:fldChar w:fldCharType="begin" w:fldLock="1"/>
      </w:r>
      <w:r w:rsidRPr="006A1EC7">
        <w:instrText>ADDIN CSL_CITATION {"citationItems":[{"id":"ITEM-1","itemData":{"ISSN":"20083866","abstract":"OBJECTIVE(S) Reliability measures precision or the extent to which test results can be replicated. This is the first ever systematic review to identify statistical methods used to measure reliability of equipment measuring continuous variables. This studyalso aims to highlight the inappropriate statistical method used in the reliability analysis and its implication in the medical practice. MATERIALS AND METHODS In 2010, five electronic databases were searched between 2007 and 2009 to look for reliability studies. A total of 5,795 titles were initially identified. Only 282 titles were potentially related, and finally 42 fitted the inclusion criteria. RESULTS The Intra-class Correlation Coefficient (ICC) is the most popular method with 25 (60%) studies having used this method followed by the comparing means (8 or 19%). Out of 25 studies using the ICC, only 7 (28%) reported the confidence intervals and types of ICC used. Most studies (71%) also tested the agreement of instruments. CONCLUSION This study finds that the Intra-class Correlation Coefficient is the most popular method used to assess the reliability of medical instruments measuring continuous outcomes. There are also inappropriate applications and interpretations of statistical methods in some studies. It is important for medical researchers to be aware of this issue, and be able to correctly perform analysis in reliability studies.","author":[{"dropping-particle":"","family":"Zaki","given":"Rafdzah","non-dropping-particle":"","parse-names":false,"suffix":""},{"dropping-particle":"","family":"Bulgiba","given":"Awang","non-dropping-particle":"","parse-names":false,"suffix":""},{"dropping-particle":"","family":"Nordin","given":"Noorhaire","non-dropping-particle":"","parse-names":false,"suffix":""},{"dropping-particle":"","family":"Ismail","given":"Noor Azina","non-dropping-particle":"","parse-names":false,"suffix":""}],"container-title":"Iranian Journal of Basic Medical Sciences","id":"ITEM-1","issue":"6","issued":{"date-parts":[["2013"]]},"page":"803-807","title":"A systematic review of statistical methods used to test for reliability of medical instruments measuring continuous variables","type":"article-journal","volume":"16"},"uris":["http://www.mendeley.com/documents/?uuid=ef58876f-700f-4341-b4da-79517b0aa49e"]},{"id":"ITEM-2","itemData":{"DOI":"10.1007/s11205-010-9682-8","author":[{"dropping-particle":"","family":"Slocum-Gori","given":"S","non-dropping-particle":"","parse-names":false,"suffix":""},{"dropping-particle":"","family":"Zumbo","given":"B","non-dropping-particle":"","parse-names":false,"suffix":""}],"container-title":"Social Indicators Research","id":"ITEM-2","issue":"3","issued":{"date-parts":[["2011"]]},"page":"443-461","title":"Assessing the Unidimensionality of Psychological Scales : Using Multiple Criteria from Factor Analysis","type":"article-journal","volume":"102"},"uris":["http://www.mendeley.com/documents/?uuid=977d2192-0815-47e3-8baf-5381707c20eb"]}],"mendeley":{"formattedCitation":"(Slocum-Gori &amp; Zumbo, 2011; Zaki, Bulgiba, Nordin, &amp; Ismail, 2013)","plainTextFormattedCitation":"(Slocum-Gori &amp; Zumbo, 2011; Zaki, Bulgiba, Nordin, &amp; Ismail, 2013)","previouslyFormattedCitation":"(Slocum-Gori &amp; Zumbo, 2011; Zaki, Bulgiba, Nordin, &amp; Ismail, 2013)"},"properties":{"noteIndex":0},"schema":"https://github.com/citation-style-language/schema/raw/master/csl-citation.json"}</w:instrText>
      </w:r>
      <w:r w:rsidRPr="006A1EC7">
        <w:fldChar w:fldCharType="separate"/>
      </w:r>
      <w:r w:rsidRPr="006A1EC7">
        <w:rPr>
          <w:noProof/>
        </w:rPr>
        <w:t>(Slocum-Gori &amp; Zumbo, 2011; Zaki, Bulgiba, Nordin, &amp; Ismail, 2013)</w:t>
      </w:r>
      <w:r w:rsidRPr="006A1EC7">
        <w:fldChar w:fldCharType="end"/>
      </w:r>
      <w:r w:rsidRPr="006A1EC7">
        <w:t xml:space="preserve">. There are three aspects to reliability aiming to assess different questions that need to be demonstrated in a COA, to ensure its quality: Internal consistency reliability (“How coherent are the items within a measure?”), equivalence (“How much agreement is there between one or more raters?”) and stability (“Does the measure obtain comparable results at more than one occasion?”) </w:t>
      </w:r>
      <w:r w:rsidRPr="006A1EC7">
        <w:fldChar w:fldCharType="begin" w:fldLock="1"/>
      </w:r>
      <w:r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Applications","type":"book"},"uris":["http://www.mendeley.com/documents/?uuid=0316ab82-7ed3-4f19-b5e0-edf860dc28e5"]},{"id":"ITEM-2","itemData":{"DOI":"10.1016/j.ijnurstu.2017.11.003","ISSN":"00207489","abstract":"Objectives This study aimed to evaluate the components of test-retest reliability including time interval, sample size, and statistical methods used in patient-reported outcome measures in older people and to provide suggestions on the methodology for calculating test-retest reliability for patient-reported outcomes in older people. Design This was a systematic literature review. Data sources MEDLINE, Embase, CINAHL, and PsycINFO were searched from January 1, 2000 to August 10, 2017 by an information specialist. Review methods This systematic review was guided by both the Preferred Reporting Items for Systematic Reviews and Meta-Analyses checklist and the guideline for systematic review published by the National Evidence-based Healthcare Collaborating Agency in Korea. The methodological quality was assessed by the Consensus-based Standards for the selection of health Measurement Instruments checklist box B. Results Ninety-five out of 12,641 studies were selected for the analysis. The median time interval for test-retest reliability was 14 days, and the ratio of sample size for test-retest reliability to the number of items in each measure ranged from 1:1 to 1:4. The most frequently used statistical methods for continuous scores was intraclass correlation coefficients (ICCs). Among the 63 studies that used ICCs, 21 studies presented models for ICC calculations and 30 studies reported 95% confidence intervals of the ICCs. Additional analyses using 17 studies that reported a strong ICC (&gt;0.09) showed that the mean time interval was 12.88 days and the mean ratio of the number of items to sample size was 1:5.37. Conclusions When researchers plan to assess the test-retest reliability of patient-reported outcome measures for older people, they need to consider an adequate time interval of approximately 13 days and the sample size of about 5 times the number of items. Particularly, statistical methods should not only be selected based on the types of scores of the patient-reported outcome measures, but should also be described clearly in the studies that report the results of test-retest reliability.","author":[{"dropping-particle":"","family":"Park","given":"Myung Sook","non-dropping-particle":"","parse-names":false,"suffix":""},{"dropping-particle":"","family":"Kang","given":"Kyung Ja","non-dropping-particle":"","parse-names":false,"suffix":""},{"dropping-particle":"","family":"Jang","given":"Sun Joo","non-dropping-particle":"","parse-names":false,"suffix":""},{"dropping-particle":"","family":"Lee","given":"Joo Yun","non-dropping-particle":"","parse-names":false,"suffix":""},{"dropping-particle":"","family":"Chang","given":"Sun Ju","non-dropping-particle":"","parse-names":false,"suffix":""}],"container-title":"International Journal of Nursing Studies","id":"ITEM-2","issue":"November 2017","issued":{"date-parts":[["2018"]]},"page":"58-69","publisher":"Elsevier","title":"Evaluating test-retest reliability in patient-reported outcome measures for older people: A systematic review","type":"article-journal","volume":"79"},"uris":["http://www.mendeley.com/documents/?uuid=558fdc03-7977-42d7-8a12-41fc3c98df9c"]},{"id":"ITEM-3","itemData":{"author":[{"dropping-particle":"","family":"Kline","given":"P","non-dropping-particle":"","parse-names":false,"suffix":""}],"id":"ITEM-3","issued":{"date-parts":[["1998"]]},"publisher":"Routledge","publisher-place":"New York","title":"The New Psychometrics : Science, Psychology and Measurement.","type":"book"},"uris":["http://www.mendeley.com/documents/?uuid=eec22be8-8c7b-47cc-ba18-e37787dd833f"]},{"id":"ITEM-4","itemData":{"author":[{"dropping-particle":"","family":"Salmond","given":"S","non-dropping-particle":"","parse-names":false,"suffix":""}],"container-title":"Orthopaedic Nursing","id":"ITEM-4","issue":"1","issued":{"date-parts":[["2008"]]},"page":"28-30","title":"Evaluating the Reliability and Validity of Measurement Instruments","type":"article-journal","volume":"27"},"uris":["http://www.mendeley.com/documents/?uuid=f10338bf-89a3-41fd-b0eb-000c5643a6f6","http://www.mendeley.com/documents/?uuid=12a64fc4-c9d0-4727-a4ca-90f8fcdc6eac"]},{"id":"ITEM-5","itemData":{"DOI":"10.1111/j.1524-4733.2009.00609.x","ISBN":"1524-4733","ISSN":"10983015","PMID":"19744289","abstract":"This guidance describes how the Food and Drug Administration (FDA) reviews and evaluates existing, modified, or newly created patient-reported outcome (PRO) instruments used to support claims in approved medical product labeling.2 A PRO instrument (i.e., a questionnaire plus the information and documentation that support its use) is a means to capture PRO data used to measure treatment benefit or risk in medical product clinical trials. This guidance does not address the use of PRO instruments for purposes beyond evaluation of claims made about a medical product in labeling. This guidance also does not address disease-specific issues. Guidance on clinical trial endpoints for specific diseases can be found on various FDA Web sites.3","author":[{"dropping-particle":"","family":"U.S. Department of Health and Human Services: Food and Drug Administration","given":"","non-dropping-particle":"","parse-names":false,"suffix":""}],"container-title":"Clinical/Medical Federal Register","id":"ITEM-5","issue":"December","issued":{"date-parts":[["2009"]]},"page":"1-39","title":"Guidance for Industry Patient-Reported Outcome Measures: Use in Medical Product Development to Support Labeling Claims","type":"article-journal"},"uris":["http://www.mendeley.com/documents/?uuid=2c191304-7982-4e76-9f1c-ad3469fb78bb"]}],"mendeley":{"formattedCitation":"(DeVellis, 2017; Kline, 1998; Park, Kang, Jang, Lee, &amp; Chang, 2018; Salmond, 2008; U.S. Department of Health and Human Services: Food and Drug Administration, 2009)","plainTextFormattedCitation":"(DeVellis, 2017; Kline, 1998; Park, Kang, Jang, Lee, &amp; Chang, 2018; Salmond, 2008; U.S. Department of Health and Human Services: Food and Drug Administration, 2009)","previouslyFormattedCitation":"(DeVellis, 2017; Kline, 1998; Park, Kang, Jang, Lee, &amp; Chang, 2018; Salmond, 2008; U.S. Department of Health and Human Services: Food and Drug Administration, 2009)"},"properties":{"noteIndex":0},"schema":"https://github.com/citation-style-language/schema/raw/master/csl-citation.json"}</w:instrText>
      </w:r>
      <w:r w:rsidRPr="006A1EC7">
        <w:fldChar w:fldCharType="separate"/>
      </w:r>
      <w:r w:rsidRPr="006A1EC7">
        <w:rPr>
          <w:noProof/>
        </w:rPr>
        <w:t>(DeVellis, 2017; Kline, 1998; Park, Kang, Jang, Lee, &amp; Chang, 2018; Salmond, 2008; U.S. Department of Health and Human Services: Food and Drug Administration, 2009)</w:t>
      </w:r>
      <w:r w:rsidRPr="006A1EC7">
        <w:fldChar w:fldCharType="end"/>
      </w:r>
      <w:r w:rsidRPr="006A1EC7">
        <w:t xml:space="preserve">. A scale is deemed reliable if the score/s accurately represent/s the variable that it is measuring; in practice, this means that a given score should not change unless the variable is changed </w:t>
      </w:r>
      <w:r w:rsidRPr="006A1EC7">
        <w:fldChar w:fldCharType="begin" w:fldLock="1"/>
      </w:r>
      <w:r w:rsidR="00AD67F5"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Applications","type":"book"},"locator":"39","uris":["http://www.mendeley.com/documents/?uuid=0316ab82-7ed3-4f19-b5e0-edf860dc28e5"]}],"mendeley":{"formattedCitation":"(DeVellis, 2017, p. 39)","manualFormatting":"(DeVellis, 2017)","plainTextFormattedCitation":"(DeVellis, 2017, p. 39)","previouslyFormattedCitation":"(DeVellis, 2017, p. 39)"},"properties":{"noteIndex":0},"schema":"https://github.com/citation-style-language/schema/raw/master/csl-citation.json"}</w:instrText>
      </w:r>
      <w:r w:rsidRPr="006A1EC7">
        <w:fldChar w:fldCharType="separate"/>
      </w:r>
      <w:r w:rsidRPr="006A1EC7">
        <w:rPr>
          <w:noProof/>
        </w:rPr>
        <w:t>(DeVellis, 2017)</w:t>
      </w:r>
      <w:r w:rsidRPr="006A1EC7">
        <w:fldChar w:fldCharType="end"/>
      </w:r>
      <w:r w:rsidRPr="006A1EC7">
        <w:t xml:space="preserve">. For example, if a patient consistently has one seizure per week, this should be a consistent rating for this time period; however, if the patient starts having three seizures a week, the score will change and should now be reflected in the subsequent ratings obtained. Essentially, scale reliability refers to how closely a score on a scale represents the true score (what percentage of the variance is attributable to the true score, as opposed to error) </w:t>
      </w:r>
      <w:r w:rsidRPr="006A1EC7">
        <w:fldChar w:fldCharType="begin" w:fldLock="1"/>
      </w:r>
      <w:r w:rsidR="00AD67F5"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Applications","type":"book"},"locator":"39","uris":["http://www.mendeley.com/documents/?uuid=0316ab82-7ed3-4f19-b5e0-edf860dc28e5"]}],"mendeley":{"formattedCitation":"(DeVellis, 2017, p. 39)","manualFormatting":"(DeVellis, 2017)","plainTextFormattedCitation":"(DeVellis, 2017, p. 39)","previouslyFormattedCitation":"(DeVellis, 2017, p. 39)"},"properties":{"noteIndex":0},"schema":"https://github.com/citation-style-language/schema/raw/master/csl-citation.json"}</w:instrText>
      </w:r>
      <w:r w:rsidRPr="006A1EC7">
        <w:fldChar w:fldCharType="separate"/>
      </w:r>
      <w:r w:rsidRPr="006A1EC7">
        <w:rPr>
          <w:noProof/>
        </w:rPr>
        <w:t>(DeVellis, 2017)</w:t>
      </w:r>
      <w:r w:rsidRPr="006A1EC7">
        <w:fldChar w:fldCharType="end"/>
      </w:r>
      <w:r w:rsidRPr="006A1EC7">
        <w:t xml:space="preserve">. Reliability of scales is often assessed in terms of internal consistency (Cronbach’s α, ≥ 0.70) </w:t>
      </w:r>
      <w:r w:rsidRPr="006A1EC7">
        <w:fldChar w:fldCharType="begin" w:fldLock="1"/>
      </w:r>
      <w:r w:rsidRPr="006A1EC7">
        <w:instrText>ADDIN CSL_CITATION {"citationItems":[{"id":"ITEM-1","itemData":{"DOI":"10.1016/j.clinthera.2016.02.024","ISBN":"1879-114X","ISSN":"1879114X","PMID":"26992664","abstract":"Purpose The objective of this study was to develop and validate clinician and patient measures of satisfaction for pharmacologic stress agents (PSAs) used in single-photon emission computed tomography myocardial perfusion imaging procedures. Methods Two questionnaires were developed: the Clinician Satisfaction and Preference Questionnaire (CSPQ) and the Patient Satisfaction and Preference Questionnaire (PSPQ). Items were developed, and the content validity of the questionnaires was ensured by participants' involvement in the item generation (5 clinician and 18 patient face-to-face concept elicitation interviews) and item modification phases (5 clinician and 10 patient face-to-face cognitive debriefing interviews). Psychometric validation of the satisfaction component of the questionnaires was conducted in a sample of 9 clinicians and 90 patients. Findings After initial patient interviews and cognitive interviews, two 8-item instruments were developed with each containing an optional PSA preference question. The PSPQ assessed patients' receptiveness and satisfaction with the PSA that they received. The CSPQ assessed clinicians' satisfaction with the time and ease of PSA preparation, administration, and monitoring of the PSA. The optional preference question in both instruments assesses preference among PSAs. In a multicenter observational study of 88 patients and 9 clinicians, the PSPQ Preparation and Reaction to Agent scales elicited reliability coefficients of 0.90 and 0.87, respectively. In addition, the test-retest reliability was acceptable for all PSPQ scales (intraclass correlation coefficient range, 0.73-0.86). Concurrent validity with the Treatment Satisfaction Questionnaire for Medication (TSQM) indicates low-to-moderate correlations between the Effectiveness, Convenience, and Global Satisfaction scales of the TSQM with the PSPQ Satisfaction with Administration, Satisfaction with Effects, and Overall Satisfaction items (range, 0.46-0.78). Analysis of the CSPQ found that both the Preparation and Reaction to Agent subscales indicated strong internal consistency (α = 0.98 and 0.99, respectively). Implications The PSPQ and CSPQ were developed and validated with rigorous methods. The instruments and their domains found strong internal consistency and good test-retest reliability. These questionnaires, when used as measures of treatment satisfaction in clinical trials, real-world observational studies, or by clinicians in their own laboratories, may …","author":[{"dropping-particle":"","family":"Hudgens","given":"Stacie","non-dropping-particle":"","parse-names":false,"suffix":""},{"dropping-particle":"","family":"Spalding","given":"James","non-dropping-particle":"","parse-names":false,"suffix":""},{"dropping-particle":"","family":"Chaudhari","given":"Paresh","non-dropping-particle":"","parse-names":false,"suffix":""}],"container-title":"Clinical Therapeutics","id":"ITEM-1","issue":"5","issued":{"date-parts":[["2016"]]},"page":"1141-1150","publisher":"Elsevier","title":"Validation of a Patient-reported Outcome (PRO) Measure and a Clinician-reported Outcome (CRO) Measure to Assess Satisfaction with Pharmacologic Stress Agents for Single-photon Emission Computed Tomography (SPECT) Myocardial Perfusion Imaging (MPI)","type":"article-journal","volume":"38"},"uris":["http://www.mendeley.com/documents/?uuid=332b1bcd-a17e-47a3-bdc8-3915eaa90a20"]}],"mendeley":{"formattedCitation":"(Hudgens, Spalding, &amp; Chaudhari, 2016)","plainTextFormattedCitation":"(Hudgens, Spalding, &amp; Chaudhari, 2016)","previouslyFormattedCitation":"(Hudgens, Spalding, &amp; Chaudhari, 2016)"},"properties":{"noteIndex":0},"schema":"https://github.com/citation-style-language/schema/raw/master/csl-citation.json"}</w:instrText>
      </w:r>
      <w:r w:rsidRPr="006A1EC7">
        <w:fldChar w:fldCharType="separate"/>
      </w:r>
      <w:r w:rsidRPr="006A1EC7">
        <w:rPr>
          <w:noProof/>
        </w:rPr>
        <w:t>(Hudgens, Spalding, &amp; Chaudhari, 2016)</w:t>
      </w:r>
      <w:r w:rsidRPr="006A1EC7">
        <w:fldChar w:fldCharType="end"/>
      </w:r>
      <w:r w:rsidRPr="006A1EC7">
        <w:t xml:space="preserve">, and reproducibility via test-retest testing/intra-rater reliability </w:t>
      </w:r>
      <w:r w:rsidRPr="006A1EC7">
        <w:fldChar w:fldCharType="begin" w:fldLock="1"/>
      </w:r>
      <w:r w:rsidRPr="006A1EC7">
        <w:instrText>ADDIN CSL_CITATION {"citationItems":[{"id":"ITEM-1","itemData":{"DOI":"10.2147/PROM.S44694","ISBN":"1179-271X (Electronic)\\n1179-271X (Linking)","ISSN":"1179-271X","PMID":"23833553","abstract":"BACKGROUND: Burden of treatment refers to the workload of health care and its impact on patient functioning and well-being. There are a number of patient-reported measures that assess burden of treatment in single diseases or in specific treatment contexts. A review of such measures could help identify content for a general measure of treatment burden that could be used with patients dealing with multiple chronic conditions. We reviewed the content and psychometric properties of patient-reported measures that assess aspects of treatment burden in three chronic diseases, ie, diabetes, chronic kidney disease, and heart failure.\\n\\nMETHODS: We searched Ovid MEDLINE, Ovid EMBASE, Ovid PsycINFO, and EBSCO CINAHL through November 2011. Abstracts were independently reviewed by two people, with disagreements adjudicated by a third person. Retrieved articles were reviewed to confirm relevance, with patient-reported measures scrutinized to determine consistency with the definition of burden of treatment. Descriptive information and psychometric properties were extracted.\\n\\nRESULTS: A total of 5686 abstracts were identified from the database searches. After abstract review, 359 full-text articles were retrieved, of which 76 met our inclusion criteria. An additional 22 articles were identified from the references of included articles. From the 98 studies, 57 patient-reported measures of treatment burden (full measures or components within measures) were identified. Most were multi-item scales (89%) and assessed treatment burden in diabetes (82%). Only 15 measures were developed using direct patient input and had demonstrable evidence of reliability, scale structure, and multiple forms of validity; six of these demonstrated evidence of sensitivity to change. We identified 12 content domains common across measures and disease types.\\n\\nCONCLUSION: Available measures of treatment burden in single diseases can inform derivation of a patient-centered measure of the construct in patients with multiple chronic conditions. Patients should take part in developing the measure to ensure salience and relevance.","author":[{"dropping-particle":"","family":"Eton","given":"David","non-dropping-particle":"","parse-names":false,"suffix":""},{"dropping-particle":"","family":"Elraiyah","given":"Tarig A.","non-dropping-particle":"","parse-names":false,"suffix":""},{"dropping-particle":"","family":"Yost","given":"Kathleen","non-dropping-particle":"","parse-names":false,"suffix":""},{"dropping-particle":"","family":"Ridgeway","given":"Jennifer","non-dropping-particle":"","parse-names":false,"suffix":""},{"dropping-particle":"","family":"Johnson","given":"Anna","non-dropping-particle":"","parse-names":false,"suffix":""},{"dropping-particle":"","family":"Egginton","given":"Jason","non-dropping-particle":"","parse-names":false,"suffix":""},{"dropping-particle":"","family":"Mullan","given":"Rebecca J.","non-dropping-particle":"","parse-names":false,"suffix":""},{"dropping-particle":"","family":"Murad","given":"M. Hassan","non-dropping-particle":"","parse-names":false,"suffix":""},{"dropping-particle":"","family":"Erwin","given":"Patricia","non-dropping-particle":"","parse-names":false,"suffix":""},{"dropping-particle":"","family":"Montori","given":"Victor","non-dropping-particle":"","parse-names":false,"suffix":""}],"container-title":"Patient Related Outcome Measures","id":"ITEM-1","issued":{"date-parts":[["2013"]]},"page":"7","title":"A systematic review of patient-reported measures of burden of treatment in three chronic diseases","type":"article-journal"},"uris":["http://www.mendeley.com/documents/?uuid=23095c42-c45a-4a3e-bca0-f45dbc69e584"]},{"id":"ITEM-2","itemData":{"DOI":"10.1111/j.1524-4733.2009.00609.x","ISBN":"1524-4733","ISSN":"10983015","PMID":"19744289","abstract":"This guidance describes how the Food and Drug Administration (FDA) reviews and evaluates existing, modified, or newly created patient-reported outcome (PRO) instruments used to support claims in approved medical product labeling.2 A PRO instrument (i.e., a questionnaire plus the information and documentation that support its use) is a means to capture PRO data used to measure treatment benefit or risk in medical product clinical trials. This guidance does not address the use of PRO instruments for purposes beyond evaluation of claims made about a medical product in labeling. This guidance also does not address disease-specific issues. Guidance on clinical trial endpoints for specific diseases can be found on various FDA Web sites.3","author":[{"dropping-particle":"","family":"U.S. Department of Health and Human Services: Food and Drug Administration","given":"","non-dropping-particle":"","parse-names":false,"suffix":""}],"container-title":"Clinical/Medical Federal Register","id":"ITEM-2","issue":"December","issued":{"date-parts":[["2009"]]},"page":"1-39","title":"Guidance for Industry Patient-Reported Outcome Measures: Use in Medical Product Development to Support Labeling Claims","type":"article-journal"},"uris":["http://www.mendeley.com/documents/?uuid=2c191304-7982-4e76-9f1c-ad3469fb78bb"]}],"mendeley":{"formattedCitation":"(Eton et al., 2013; U.S. Department of Health and Human Services: Food and Drug Administration, 2009)","plainTextFormattedCitation":"(Eton et al., 2013; U.S. Department of Health and Human Services: Food and Drug Administration, 2009)","previouslyFormattedCitation":"(Eton et al., 2013; U.S. Department of Health and Human Services: Food and Drug Administration, 2009)"},"properties":{"noteIndex":0},"schema":"https://github.com/citation-style-language/schema/raw/master/csl-citation.json"}</w:instrText>
      </w:r>
      <w:r w:rsidRPr="006A1EC7">
        <w:fldChar w:fldCharType="separate"/>
      </w:r>
      <w:r w:rsidRPr="006A1EC7">
        <w:rPr>
          <w:noProof/>
        </w:rPr>
        <w:t>(Eton et al., 2013; U.S. Department of Health and Human Services: Food and Drug Administration, 2009)</w:t>
      </w:r>
      <w:r w:rsidRPr="006A1EC7">
        <w:fldChar w:fldCharType="end"/>
      </w:r>
      <w:r w:rsidRPr="006A1EC7">
        <w:t xml:space="preserve"> and comparisons of inter-rater results </w:t>
      </w:r>
      <w:r w:rsidRPr="006A1EC7">
        <w:fldChar w:fldCharType="begin" w:fldLock="1"/>
      </w:r>
      <w:r w:rsidRPr="006A1EC7">
        <w:instrText>ADDIN CSL_CITATION {"citationItems":[{"id":"ITEM-1","itemData":{"author":[{"dropping-particle":"","family":"Hallgren","given":"K","non-dropping-particle":"","parse-names":false,"suffix":""}],"container-title":"Tutor Quant Methods Psychol","id":"ITEM-1","issue":"1","issued":{"date-parts":[["2012"]]},"page":"23-34","title":"Computing Inter-Rater Reliability for Observational Data: An Overview and Tutorial Kevin","type":"article-journal","volume":"8"},"uris":["http://www.mendeley.com/documents/?uuid=8faa4420-f914-4fd0-b0f4-b283600c1907"]},{"id":"ITEM-2","itemData":{"DOI":"10.1016/j.chiabu.2017.08.001","ISBN":"1424410681","ISSN":"18737757","abstract":"As there is no “gold standard” in determining whether a fracture is caused by accident or abuse, agreement among medical providers is paramount. Using abstracted medical record data from 551 children &lt;36 months of age presenting to a pediatric emergency department, we examined the extent of agreement between specialists who evaluate children with fractures for suspected abuse. To simulate clinical scenarios, two pediatric orthopaedists and two child abuse pediatricians (CAPs) reviewed the full abstraction and imaging, whereas the two pediatric radiologists reviewed a brief history and imaging. Each physician independently rated each case using a 7-point ordinal scale designed to distinguish accidental from abusive injuries. For any discrepancy in independent ratings, the two specialists discussed the case and came to a joint rating. We analyzed 3 types of agreement: (1) within specialties using independent ratings, (2) between specialties using joint ratings, and (3) between clinicians (orthopaedists and CAPs) with more versus less experience. Agreement between pairs of raters was assessed using Cohen's weighted kappa. Orthopaedists (κ = 0.78) and CAPs (κ = 0.67) had substantial within-specialty agreement, while radiologists (κ = 0.53) had moderate agreement. Orthopaedists and CAPs had almost perfect between-specialty agreement (κ = 0.81), while agreement was much lower for orthopaedists and radiologists (κ = 0.37) and CAPs and radiologists (κ = 0.42). More-experienced clinicians had substantial between-specialty agreement (κ = 0.80) versus less-experienced clinicians who had moderate agreement (κ = 0.60). These findings suggest the level of clinical detail a physician receives and his/her experience in the field has an impact on the level of agreement when evaluating fractures in young children.","author":[{"dropping-particle":"","family":"Buesser","given":"Katherine E.","non-dropping-particle":"","parse-names":false,"suffix":""},{"dropping-particle":"","family":"Leventhal","given":"John M.","non-dropping-particle":"","parse-names":false,"suffix":""},{"dropping-particle":"","family":"Gaither","given":"Julie R.","non-dropping-particle":"","parse-names":false,"suffix":""},{"dropping-particle":"","family":"Tate","given":"Victoria","non-dropping-particle":"","parse-names":false,"suffix":""},{"dropping-particle":"","family":"Cooperman","given":"Daniel R.","non-dropping-particle":"","parse-names":false,"suffix":""},{"dropping-particle":"","family":"Moles","given":"Rebecca L.","non-dropping-particle":"","parse-names":false,"suffix":""},{"dropping-particle":"","family":"Silva","given":"Cicero T.","non-dropping-particle":"","parse-names":false,"suffix":""},{"dropping-particle":"","family":"Ehrlich","given":"Lauren J.","non-dropping-particle":"","parse-names":false,"suffix":""},{"dropping-particle":"","family":"Sharkey","given":"Melinda S.","non-dropping-particle":"","parse-names":false,"suffix":""}],"container-title":"Child Abuse and Neglect","id":"ITEM-2","issue":"December 2016","issued":{"date-parts":[["2017"]]},"page":"140-146","publisher":"Elsevier","title":"Inter-rater reliability of physical abuse determinations in young children with fractures","type":"article-journal","volume":"72"},"uris":["http://www.mendeley.com/documents/?uuid=ad3a3ebf-66a3-4eb6-8f5d-6e48cf3d5405"]}],"mendeley":{"formattedCitation":"(Buesser et al., 2017; Hallgren, 2012)","plainTextFormattedCitation":"(Buesser et al., 2017; Hallgren, 2012)","previouslyFormattedCitation":"(Buesser et al., 2017; Hallgren, 2012)"},"properties":{"noteIndex":0},"schema":"https://github.com/citation-style-language/schema/raw/master/csl-citation.json"}</w:instrText>
      </w:r>
      <w:r w:rsidRPr="006A1EC7">
        <w:fldChar w:fldCharType="separate"/>
      </w:r>
      <w:r w:rsidRPr="006A1EC7">
        <w:rPr>
          <w:noProof/>
        </w:rPr>
        <w:t>(Buesser et al., 2017; Hallgren, 2012)</w:t>
      </w:r>
      <w:r w:rsidRPr="006A1EC7">
        <w:fldChar w:fldCharType="end"/>
      </w:r>
      <w:r w:rsidRPr="006A1EC7">
        <w:t xml:space="preserve">. </w:t>
      </w:r>
    </w:p>
    <w:p w14:paraId="2F6A554C" w14:textId="77777777" w:rsidR="00A40374" w:rsidRPr="006A1EC7" w:rsidRDefault="00A40374" w:rsidP="00A40374">
      <w:pPr>
        <w:spacing w:line="360" w:lineRule="auto"/>
        <w:ind w:firstLine="720"/>
      </w:pPr>
    </w:p>
    <w:p w14:paraId="4AF50295" w14:textId="26E6D53D" w:rsidR="00A40374" w:rsidRPr="006A1EC7" w:rsidRDefault="00A40374" w:rsidP="00DB5C12">
      <w:pPr>
        <w:pStyle w:val="Heading5"/>
        <w:rPr>
          <w:rFonts w:ascii="Times New Roman" w:hAnsi="Times New Roman" w:cs="Times New Roman"/>
        </w:rPr>
      </w:pPr>
      <w:r w:rsidRPr="006A1EC7">
        <w:rPr>
          <w:rFonts w:ascii="Times New Roman" w:hAnsi="Times New Roman" w:cs="Times New Roman"/>
        </w:rPr>
        <w:t>Validity</w:t>
      </w:r>
    </w:p>
    <w:p w14:paraId="3470DC81" w14:textId="69A3651A" w:rsidR="00A40374" w:rsidRPr="006A1EC7" w:rsidRDefault="00A40374" w:rsidP="00A40374">
      <w:pPr>
        <w:spacing w:line="360" w:lineRule="auto"/>
        <w:ind w:firstLine="720"/>
      </w:pPr>
      <w:r w:rsidRPr="006A1EC7">
        <w:t xml:space="preserve">The concept of validity describes </w:t>
      </w:r>
      <w:r w:rsidRPr="006A1EC7">
        <w:rPr>
          <w:i/>
          <w:iCs/>
        </w:rPr>
        <w:t>“how well one can legitimately trust the results of a test, as interpreted for a specific purpose”</w:t>
      </w:r>
      <w:r w:rsidRPr="006A1EC7">
        <w:t xml:space="preserve"> </w:t>
      </w:r>
      <w:r w:rsidRPr="006A1EC7">
        <w:fldChar w:fldCharType="begin" w:fldLock="1"/>
      </w:r>
      <w:r w:rsidRPr="006A1EC7">
        <w:instrText>ADDIN CSL_CITATION {"citationItems":[{"id":"ITEM-1","itemData":{"DOI":"10.1016/j.amjmed.2005.10.036","ISBN":"0002-9343","ISSN":"00029343","PMID":"16443422","abstract":"Validity and reliability relate to the interpretation of scores from psychometric instruments (eg, symptom scales, questionnaires, education tests, and observer ratings) used in clinical practice, research, education, and administration. Emerging paradigms replace prior distinctions of face, content, and criterion validity with the unitary concept \"construct validity,\" the degree to which a score can be interpreted as representing the intended underlying construct. Evidence to support the validity argument is collected from 5 sources: • Content: do instrument items completely represent the construct? • Response process: the relationship between the intended construct and the thought processes of subjects or observers • Internal structure: acceptable reliability and factor structure • Relations to other variables: correlation with scores from another instrument assessing the same construct • Consequences: do scores really make a difference? Evidence should be sought from a variety of sources to support a given interpretation. Reliable scores are necessary, but not sufficient, for valid interpretation. Increased attention to the systematic collection of validity evidence for scores from psychometric instruments will improve assessments in research, patient care, and education. © 2006 Elsevier Inc. All rights reserved.","author":[{"dropping-particle":"","family":"Cook","given":"David A.","non-dropping-particle":"","parse-names":false,"suffix":""},{"dropping-particle":"","family":"Beckman","given":"Thomas J.","non-dropping-particle":"","parse-names":false,"suffix":""}],"container-title":"American Journal of Medicine","id":"ITEM-1","issue":"2","issued":{"date-parts":[["2006"]]},"title":"Current concepts in validity and reliability for psychometric instruments: Theory and application","type":"article-journal","volume":"119"},"uris":["http://www.mendeley.com/documents/?uuid=36151962-0313-4f54-8396-4e2c7c27c410"]}],"mendeley":{"formattedCitation":"(Cook &amp; Beckman, 2006)","plainTextFormattedCitation":"(Cook &amp; Beckman, 2006)","previouslyFormattedCitation":"(Cook &amp; Beckman, 2006)"},"properties":{"noteIndex":0},"schema":"https://github.com/citation-style-language/schema/raw/master/csl-citation.json"}</w:instrText>
      </w:r>
      <w:r w:rsidRPr="006A1EC7">
        <w:fldChar w:fldCharType="separate"/>
      </w:r>
      <w:r w:rsidRPr="006A1EC7">
        <w:rPr>
          <w:noProof/>
        </w:rPr>
        <w:t>(Cook &amp; Beckman, 2006)</w:t>
      </w:r>
      <w:r w:rsidRPr="006A1EC7">
        <w:fldChar w:fldCharType="end"/>
      </w:r>
      <w:r w:rsidRPr="006A1EC7">
        <w:t xml:space="preserve">; it therefore does not directly refer to the measurement properties of a measure, and validity is also not a static concept. It relates to how the tool is used, or “the </w:t>
      </w:r>
      <w:r w:rsidRPr="006A1EC7">
        <w:rPr>
          <w:i/>
          <w:iCs/>
        </w:rPr>
        <w:t>context of its use</w:t>
      </w:r>
      <w:r w:rsidRPr="006A1EC7">
        <w:t xml:space="preserve">” </w:t>
      </w:r>
      <w:r w:rsidRPr="006A1EC7">
        <w:fldChar w:fldCharType="begin" w:fldLock="1"/>
      </w:r>
      <w:r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Applications","type":"book"},"locator":"86","uris":["http://www.mendeley.com/documents/?uuid=0316ab82-7ed3-4f19-b5e0-edf860dc28e5"]},{"id":"ITEM-2","itemData":{"DOI":"10.1016/j.amjmed.2005.10.036","ISBN":"0002-9343","ISSN":"00029343","PMID":"16443422","abstract":"Validity and reliability relate to the interpretation of scores from psychometric instruments (eg, symptom scales, questionnaires, education tests, and observer ratings) used in clinical practice, research, education, and administration. Emerging paradigms replace prior distinctions of face, content, and criterion validity with the unitary concept \"construct validity,\" the degree to which a score can be interpreted as representing the intended underlying construct. Evidence to support the validity argument is collected from 5 sources: • Content: do instrument items completely represent the construct? • Response process: the relationship between the intended construct and the thought processes of subjects or observers • Internal structure: acceptable reliability and factor structure • Relations to other variables: correlation with scores from another instrument assessing the same construct • Consequences: do scores really make a difference? Evidence should be sought from a variety of sources to support a given interpretation. Reliable scores are necessary, but not sufficient, for valid interpretation. Increased attention to the systematic collection of validity evidence for scores from psychometric instruments will improve assessments in research, patient care, and education. © 2006 Elsevier Inc. All rights reserved.","author":[{"dropping-particle":"","family":"Cook","given":"David A.","non-dropping-particle":"","parse-names":false,"suffix":""},{"dropping-particle":"","family":"Beckman","given":"Thomas J.","non-dropping-particle":"","parse-names":false,"suffix":""}],"container-title":"American Journal of Medicine","id":"ITEM-2","issue":"2","issued":{"date-parts":[["2006"]]},"title":"Current concepts in validity and reliability for psychometric instruments: Theory and application","type":"article-journal","volume":"119"},"uris":["http://www.mendeley.com/documents/?uuid=36151962-0313-4f54-8396-4e2c7c27c410"]}],"mendeley":{"formattedCitation":"(Cook &amp; Beckman, 2006; DeVellis, 2017, p. 86)","plainTextFormattedCitation":"(Cook &amp; Beckman, 2006; DeVellis, 2017, p. 86)","previouslyFormattedCitation":"(Cook &amp; Beckman, 2006; DeVellis, 2017, p. 86)"},"properties":{"noteIndex":0},"schema":"https://github.com/citation-style-language/schema/raw/master/csl-citation.json"}</w:instrText>
      </w:r>
      <w:r w:rsidRPr="006A1EC7">
        <w:fldChar w:fldCharType="separate"/>
      </w:r>
      <w:r w:rsidRPr="006A1EC7">
        <w:rPr>
          <w:noProof/>
        </w:rPr>
        <w:t>(Cook &amp; Beckman, 2006; DeVellis, 2017, p. 86)</w:t>
      </w:r>
      <w:r w:rsidRPr="006A1EC7">
        <w:fldChar w:fldCharType="end"/>
      </w:r>
      <w:r w:rsidRPr="006A1EC7">
        <w:t xml:space="preserve">. In practice this therefore means that demonstrating validity means demonstrating how well inferences can be made from the responses to a measure, whether </w:t>
      </w:r>
      <w:r w:rsidRPr="006A1EC7">
        <w:lastRenderedPageBreak/>
        <w:t xml:space="preserve">these are meaningful, and in which contexts </w:t>
      </w:r>
      <w:r w:rsidRPr="006A1EC7">
        <w:fldChar w:fldCharType="begin" w:fldLock="1"/>
      </w:r>
      <w:r w:rsidR="0010036C" w:rsidRPr="006A1EC7">
        <w:instrText>ADDIN CSL_CITATION {"citationItems":[{"id":"ITEM-1","itemData":{"DOI":"10.1016/j.amjmed.2005.10.036","ISBN":"0002-9343","ISSN":"00029343","PMID":"16443422","abstract":"Validity and reliability relate to the interpretation of scores from psychometric instruments (eg, symptom scales, questionnaires, education tests, and observer ratings) used in clinical practice, research, education, and administration. Emerging paradigms replace prior distinctions of face, content, and criterion validity with the unitary concept \"construct validity,\" the degree to which a score can be interpreted as representing the intended underlying construct. Evidence to support the validity argument is collected from 5 sources: • Content: do instrument items completely represent the construct? • Response process: the relationship between the intended construct and the thought processes of subjects or observers • Internal structure: acceptable reliability and factor structure • Relations to other variables: correlation with scores from another instrument assessing the same construct • Consequences: do scores really make a difference? Evidence should be sought from a variety of sources to support a given interpretation. Reliable scores are necessary, but not sufficient, for valid interpretation. Increased attention to the systematic collection of validity evidence for scores from psychometric instruments will improve assessments in research, patient care, and education. © 2006 Elsevier Inc. All rights reserved.","author":[{"dropping-particle":"","family":"Cook","given":"David A.","non-dropping-particle":"","parse-names":false,"suffix":""},{"dropping-particle":"","family":"Beckman","given":"Thomas J.","non-dropping-particle":"","parse-names":false,"suffix":""}],"container-title":"American Journal of Medicine","id":"ITEM-1","issue":"2","issued":{"date-parts":[["2006"]]},"title":"Current concepts in validity and reliability for psychometric instruments: Theory and application","type":"article-journal","volume":"119"},"uris":["http://www.mendeley.com/documents/?uuid=36151962-0313-4f54-8396-4e2c7c27c410"]},{"id":"ITEM-2","itemData":{"DOI":"10.1016/j.ijnurstu.2009.04.014","ISSN":"00207489","abstract":"Content validation theory and practice have received considerable attention in the nursing research literature. This paper positions the discourse within the broader scientific literature on validity of measurement. The content validity index has been recommended as a means to quantify content validity; this paper critically examines its origins, theoretical interpretations, and statistical properties. In addition, the author sets out to understand why many nurse researchers are occupied with content validity and its estimation. This investigation may be of interest to the scholar who desires to deeply understand the issues surrounding validity of measurement. © 2009 Elsevier Ltd. All rights reserved.","author":[{"dropping-particle":"","family":"Beckstead","given":"Jason W.","non-dropping-particle":"","parse-names":false,"suffix":""}],"container-title":"International Journal of Nursing Studies","id":"ITEM-2","issue":"9","issued":{"date-parts":[["2009"]]},"page":"1274-1283","title":"Content validity is naught","type":"article-journal","volume":"46"},"uris":["http://www.mendeley.com/documents/?uuid=6acfc54d-c11f-4511-950e-582f205f42d3","http://www.mendeley.com/documents/?uuid=fec94e68-61a9-4349-bec7-49c99f5ef3fd"]},{"id":"ITEM-3","itemData":{"author":[{"dropping-particle":"","family":"DeVellis","given":"Robert F","non-dropping-particle":"","parse-names":false,"suffix":""}],"edition":"4th","id":"ITEM-3","issued":{"date-parts":[["2017"]]},"publisher":"SAGE Publications Inc.","publisher-place":"Los Angeles","title":"Scale development: Theory and Applications","type":"book"},"locator":"86","uris":["http://www.mendeley.com/documents/?uuid=0316ab82-7ed3-4f19-b5e0-edf860dc28e5"]}],"mendeley":{"formattedCitation":"(Beckstead, 2009; Cook &amp; Beckman, 2006; DeVellis, 2017, p. 86)","manualFormatting":"(Beckstead, 2009; Cook &amp; Beckman, 2006; DeVellis, 2017)","plainTextFormattedCitation":"(Beckstead, 2009; Cook &amp; Beckman, 2006; DeVellis, 2017, p. 86)","previouslyFormattedCitation":"(Beckstead, 2009; Cook &amp; Beckman, 2006; DeVellis, 2017, p. 86)"},"properties":{"noteIndex":0},"schema":"https://github.com/citation-style-language/schema/raw/master/csl-citation.json"}</w:instrText>
      </w:r>
      <w:r w:rsidRPr="006A1EC7">
        <w:fldChar w:fldCharType="separate"/>
      </w:r>
      <w:r w:rsidRPr="006A1EC7">
        <w:rPr>
          <w:noProof/>
        </w:rPr>
        <w:t>(Beckstead, 2009; Cook &amp; Beckman, 2006; DeVellis, 2017)</w:t>
      </w:r>
      <w:r w:rsidRPr="006A1EC7">
        <w:fldChar w:fldCharType="end"/>
      </w:r>
      <w:r w:rsidRPr="006A1EC7">
        <w:t xml:space="preserve">. A measure may be valid for use with one population, but not with another. </w:t>
      </w:r>
    </w:p>
    <w:p w14:paraId="68C81A8D" w14:textId="289B0DC0" w:rsidR="00A40374" w:rsidRPr="006A1EC7" w:rsidRDefault="00A40374" w:rsidP="00A40374">
      <w:pPr>
        <w:spacing w:line="360" w:lineRule="auto"/>
        <w:ind w:firstLine="720"/>
      </w:pPr>
      <w:r w:rsidRPr="006A1EC7">
        <w:t xml:space="preserve">There are different types of validity: content validity, construct validity and criterion validity. Content validity refers to how relevant an instrument’s content is to the concept of interest being studied and how  representative a score given on a measure is to how a patient feels about themselves </w:t>
      </w:r>
      <w:r w:rsidRPr="006A1EC7">
        <w:fldChar w:fldCharType="begin" w:fldLock="1"/>
      </w:r>
      <w:r w:rsidRPr="006A1EC7">
        <w:instrText>ADDIN CSL_CITATION {"citationItems":[{"id":"ITEM-1","itemData":{"author":[{"dropping-particle":"","family":"Haynes, S.N., Richard, D.C.S. &amp; Kubany","given":"E.S.","non-dropping-particle":"","parse-names":false,"suffix":""}],"container-title":"The American Psychological Association, Inc.","id":"ITEM-1","issue":"No. 3","issued":{"date-parts":[["1995"]]},"page":"238-247","title":"Content Validity in Psychological Assessment: A Functional Approach to Concepts and Methods","type":"article","volume":"Vol. 7"},"uris":["http://www.mendeley.com/documents/?uuid=fd3d4cd2-1544-4ece-bd43-3c8ed056bb18","http://www.mendeley.com/documents/?uuid=1c319063-7697-4020-9043-7819a3eaa7b0"]},{"id":"ITEM-2","itemData":{"DOI":"10.1016/j.jval.2018.02.005","ISSN":"15244733","abstract":"Objectives: To assess the content validity of performance outcome (PerfO) measures for use with patients undergoing hip fracture (HF) surgery and elective total hip replacement (eTHR). Methods: This study was a substudy of a broader evaluation of measurement properties of PerfO measures. The PerfO measures assessed were timed up and go (TUG), four-step stair climb (4SC), long stair climb (LSC), and repeated chair stand (RCS). For this substudy, HF and eTHR participants were interviewed to evaluate the relevance and difficulty of each PerfO measure. Qualitative analysis was conducted on interview transcripts, and summaries of coded data were produced to assess saturation. Results: All 18 HF participants related the PerfO measures (TUG, 4SC, and RSC) to activities they completed in daily life, with slight variations in some specific aspects. For the eight eTHR participants, the correspondence between the PerfO measures (TUG, 4SC, and LSC) and activities in daily life varied: all participants saw similarity in the movements for the TUG; most undertook short stair climbs in daily life, but most did not regularly undertake LSC in daily life. Nevertheless, all HF and eTHR participants reported that the PerfO measures were relevant and had a level of difficulty similar to daily activities. Conclusions: This study contributes novel methods that adapt US regulatory guidance for patient-reported outcome measures to the evaluation of PerfO measures. A structured approach was used to explore specific details of each measure and correspondence to everyday life. This study demonstrates how content validity of PerfO measures can be meaningfully assessed.","author":[{"dropping-particle":"","family":"Ballinger","given":"Rachel","non-dropping-particle":"","parse-names":false,"suffix":""},{"dropping-particle":"","family":"Kerr","given":"Cicely","non-dropping-particle":"","parse-names":false,"suffix":""},{"dropping-particle":"","family":"Mowbray","given":"Fiona","non-dropping-particle":"","parse-names":false,"suffix":""},{"dropping-particle":"","family":"Bush","given":"Elizabeth Nicole","non-dropping-particle":"","parse-names":false,"suffix":""}],"container-title":"Value in Health","id":"ITEM-2","issue":"9","issued":{"date-parts":[["2018"]]},"page":"1115-1123","publisher":"Elsevier Inc.","title":"Evaluating the Content Validity of Four Performance Outcome Measures in Patients with Elective Hip Replacements and Hip Fractures","type":"article-journal","volume":"21"},"uris":["http://www.mendeley.com/documents/?uuid=64029bde-1d1d-47c0-a819-cd4d0caf0d6b","http://www.mendeley.com/documents/?uuid=0e478d7f-f2cb-42ed-8723-e893c7a2b419"]},{"id":"ITEM-3","itemData":{"DOI":"10.1016/j.sapharm.2018.03.066","ISSN":"15517411","abstract":"The assessment of content validity is a critical and complex step in the development process of instruments which are frequently used to measure complex constructs in social and administrative pharmacy research. The aims of this study were to investigate the elements of content validity; to describe a practical approach for assessing content validity; and to discuss existing content validity indices. This is a narrative review of the assessment and quantification of content validity. It describes the key stages of conducting the content validation study and discusses the quantification and evaluation of the content validity estimates. Content validity provides evidence about the degree to which elements of an assessment instrument are relevant to and representative of the targeted construct for a particular assessment purpose. The assessment of content validity relies on using a panel of experts to evaluate instrument elements and rate them based on their relevance and representativeness to the content domain. It is a three-stage process that includes; the development stage, judgment and quantifying stage, and revising and reconstruction stage. To quantify the expert judgments, several indices have been discussed in this paper such as the content validity ratio (CVR), content validity index (CVI), modified–Kappa, and some agreement indices. A practical guide describes the process of content validity evaluation is provided. In summary, content validation processes and content validity indices are essential factors in the instrument development process, should be treated and reported as important as other types of construct validation. Determining item CVI and reporting an overall CVI are important components necessary to instruments especially when the instrument is used to measure health outcomes or to guide a clinical decision making. Content validity deserves a rigorous assessment process as the obtained information from this process are invaluable for the quality of the newly developed instrument.","author":[{"dropping-particle":"","family":"Almanasreh","given":"Enas","non-dropping-particle":"","parse-names":false,"suffix":""},{"dropping-particle":"","family":"Moles","given":"Rebekah","non-dropping-particle":"","parse-names":false,"suffix":""},{"dropping-particle":"","family":"Chen","given":"Timothy F.","non-dropping-particle":"","parse-names":false,"suffix":""}],"container-title":"Research in Social and Administrative Pharmacy","id":"ITEM-3","issue":"2","issued":{"date-parts":[["2019"]]},"page":"214-221","publisher":"Elsevier","title":"Evaluation of methods used for estimating content validity","type":"article-journal","volume":"15"},"uris":["http://www.mendeley.com/documents/?uuid=5ff37393-7be4-4426-9046-be67f64a102e","http://www.mendeley.com/documents/?uuid=7e2aadd2-4692-4e1d-a8e3-9a151981bfd6"]}],"mendeley":{"formattedCitation":"(Almanasreh, Moles, &amp; Chen, 2019; Ballinger, Kerr, Mowbray, &amp; Bush, 2018a; Haynes, S.N., Richard, D.C.S. &amp; Kubany, 1995)","manualFormatting":"(Almanasreh, Moles, &amp; Chen, 2019; Ballinger, Kerr, Mowbray, &amp; Bush, 2018; Haynes, Richard, &amp; Kubany, 1995)","plainTextFormattedCitation":"(Almanasreh, Moles, &amp; Chen, 2019; Ballinger, Kerr, Mowbray, &amp; Bush, 2018a; Haynes, S.N., Richard, D.C.S. &amp; Kubany, 1995)","previouslyFormattedCitation":"(Almanasreh, Moles, &amp; Chen, 2019; Ballinger, Kerr, Mowbray, &amp; Bush, 2018a; Haynes, S.N., Richard, D.C.S. &amp; Kubany, 1995)"},"properties":{"noteIndex":0},"schema":"https://github.com/citation-style-language/schema/raw/master/csl-citation.json"}</w:instrText>
      </w:r>
      <w:r w:rsidRPr="006A1EC7">
        <w:fldChar w:fldCharType="separate"/>
      </w:r>
      <w:r w:rsidRPr="006A1EC7">
        <w:rPr>
          <w:noProof/>
        </w:rPr>
        <w:t>(Almanasreh, Moles, &amp; Chen, 2019; Ballinger, Kerr, Mowbray, &amp; Bush, 2018; Haynes, Richard, &amp; Kubany, 1995)</w:t>
      </w:r>
      <w:r w:rsidRPr="006A1EC7">
        <w:fldChar w:fldCharType="end"/>
      </w:r>
      <w:r w:rsidRPr="006A1EC7">
        <w:t xml:space="preserve">, in the context of the current study that would be </w:t>
      </w:r>
      <w:r w:rsidR="009F0718" w:rsidRPr="006A1EC7">
        <w:t>WHS</w:t>
      </w:r>
      <w:r w:rsidRPr="006A1EC7">
        <w:t xml:space="preserve">. Content validity also incorporates face validity, which assesses whether a measure, or intervention, appears valid on the surface </w:t>
      </w:r>
      <w:r w:rsidRPr="006A1EC7">
        <w:fldChar w:fldCharType="begin" w:fldLock="1"/>
      </w:r>
      <w:r w:rsidRPr="006A1EC7">
        <w:instrText>ADDIN CSL_CITATION {"citationItems":[{"id":"ITEM-1","itemData":{"DOI":"10.1016/j.amjsurg.2016.02.018","ISSN":"18791883","abstract":"The American Journal of Surgery (AJS) is a long-standing leader among surgery publications and has published high-quality research dating back to 1926. To preserve AJS's reputation, it is necessary to identify issues that may affect the journal, and subsequently the broader field of surgery, in a negative way, and attempt to resolve those issues. To that end, I would like to address the issue of citing “face validity” as a type of validity evidence. In a review of AJS articles since 2006, 30 articles have consisted of researchers citing face validity as part of their validity evidence. This is problematic because validity theorists (scholars who dedicate their careers to studying validity and what constitutes acceptable types of validity evidence) have universally agreed there is no such thing as “face validity”. Thus, the purpose of this article is to encourage surgeons to study recent, and authoritative, works on validity theory, so they can better articulate the trustworthiness of their research findings and be more informed consumers of research.","author":[{"dropping-particle":"","family":"Royal","given":"Kenneth","non-dropping-particle":"","parse-names":false,"suffix":""}],"container-title":"American Journal of Surgery","id":"ITEM-1","issue":"5","issued":{"date-parts":[["2016"]]},"page":"1026-1027","publisher":"Elsevier Inc","title":"“Face validity” is not a legitimate type of validity evidence!","type":"article-journal","volume":"212"},"uris":["http://www.mendeley.com/documents/?uuid=8e4d3020-7d5b-4774-a55c-33f6883e5676","http://www.mendeley.com/documents/?uuid=1b7ff0f4-7041-46a8-9d18-31ceb3b26f22"]},{"id":"ITEM-2","itemData":{"DOI":"10.1177/001316444700700201","ISSN":"15523888","abstract":"The concept of face validity is discussed critically. Such meanings of the term as validity by assumption, validity by definition, validity by appearance, and validity by hypothesis are considered. Recommendations are made for use of the concept.","author":[{"dropping-particle":"","family":"Mosier","given":"Charles I.","non-dropping-particle":"","parse-names":false,"suffix":""}],"container-title":"Educational and Psychological Measurement","id":"ITEM-2","issued":{"date-parts":[["1947"]]},"title":"A critical examination of the concepts of face validity","type":"article-journal"},"uris":["http://www.mendeley.com/documents/?uuid=e1b02553-bbe5-400f-ba28-e25542a0189b","http://www.mendeley.com/documents/?uuid=1fccbf22-97b2-4b31-a196-0942759cad4a"]}],"mendeley":{"formattedCitation":"(Mosier, 1947; Royal, 2016a)","manualFormatting":"(Mosier, 1947; Royal, 2016)","plainTextFormattedCitation":"(Mosier, 1947; Royal, 2016a)","previouslyFormattedCitation":"(Mosier, 1947; Royal, 2016a)"},"properties":{"noteIndex":0},"schema":"https://github.com/citation-style-language/schema/raw/master/csl-citation.json"}</w:instrText>
      </w:r>
      <w:r w:rsidRPr="006A1EC7">
        <w:fldChar w:fldCharType="separate"/>
      </w:r>
      <w:r w:rsidRPr="006A1EC7">
        <w:rPr>
          <w:noProof/>
        </w:rPr>
        <w:t>(Mosier, 1947; Royal, 2016)</w:t>
      </w:r>
      <w:r w:rsidRPr="006A1EC7">
        <w:fldChar w:fldCharType="end"/>
      </w:r>
      <w:r w:rsidRPr="006A1EC7">
        <w:t xml:space="preserve">. Face validity refers to whether a measure </w:t>
      </w:r>
      <w:r w:rsidRPr="006A1EC7">
        <w:br/>
        <w:t xml:space="preserve"> looks as though it addresses the right domains and contains the right items; however, there is no clear definition or agreement as to who should make this judgment, whether these are clinicians, patients or researchers. It has been widely argued that face validity is neither a scientific nor valid assessment of validity, as something appearing appropriate does not equate to being scientific or correct </w:t>
      </w:r>
      <w:r w:rsidRPr="006A1EC7">
        <w:fldChar w:fldCharType="begin" w:fldLock="1"/>
      </w:r>
      <w:r w:rsidRPr="006A1EC7">
        <w:instrText>ADDIN CSL_CITATION {"citationItems":[{"id":"ITEM-1","itemData":{"DOI":"10.1111/j.1365-2929.2005.02361.x","ISSN":"03080110","abstract":"Simulation plays a vital role in health professions assessment. This review provides a primer on assessment validation for educators and education researchers. We focus on simulation-based assessment of health professionals, but the principles apply broadly to other assessment approaches and topics. Validation refers to the process of collecting validity evidence to evaluate the appropriateness of the interpretations, uses, and decisions based on assessment results. Contemporary frameworks view validity as a hypothesis, and validity evidence is collected to support or refute the validity hypothesis (i.e., that the proposed interpretations and decisions are defensible). In validation, the educator or researcher defines the proposed interpretations and decisions, identifies and prioritizes the most questionable assumptions in making these interpretations and decisions (the “interpretation-use argument”), empirically tests those assumptions using existing or newly-collected evidence, and then summarizes the evidence as a coherent “validity argument.” A framework proposed by Messick identifies potential evidence sources: content, response process, internal structure, relationships with other variables, and consequences. Another framework proposed by Kane identifies key inferences in generating useful interpretations: scoring, generalization, extrapolation, and implications/decision. We propose an eight-step approach to validation that applies to either framework: Define the construct and proposed interpretation, make explicit the intended decision(s), define the interpretation-use argument and prioritize needed validity evidence, identify candidate instruments and/or create/adapt a new instrument, appraise existing evidence and collect new evidence as needed, keep track of practical issues, formulate the validity argument, and make a judgment: does the evidence support the intended use? Rigorous validation first prioritizes and then empirically evaluates key assumptions in the interpretation and use of assessment scores. Validation science would be improved by more explicit articulation and prioritization of the interpretation-use argument, greater use of formal validation frameworks, and more evidence informing the consequences and implications of assessment.","author":[{"dropping-particle":"","family":"Downing","given":"Steven M.","non-dropping-particle":"","parse-names":false,"suffix":""}],"container-title":"Medical Education","id":"ITEM-1","issue":"1","issued":{"date-parts":[["2006"]]},"page":"7-8","title":"Face validity of assessments: Faith-based interpretations or evidence-based science?","type":"article-journal","volume":"40"},"uris":["http://www.mendeley.com/documents/?uuid=93c6a69d-5c3f-4950-bdad-e82dd10592f4","http://www.mendeley.com/documents/?uuid=bd691b28-65dc-4afd-84b2-3f91f4cf0715"]},{"id":"ITEM-2","itemData":{"DOI":"10.1016/j.amjsurg.2016.02.018","ISSN":"18791883","abstract":"The American Journal of Surgery (AJS) is a long-standing leader among surgery publications and has published high-quality research dating back to 1926. To preserve AJS's reputation, it is necessary to identify issues that may affect the journal, and subsequently the broader field of surgery, in a negative way, and attempt to resolve those issues. To that end, I would like to address the issue of citing “face validity” as a type of validity evidence. In a review of AJS articles since 2006, 30 articles have consisted of researchers citing face validity as part of their validity evidence. This is problematic because validity theorists (scholars who dedicate their careers to studying validity and what constitutes acceptable types of validity evidence) have universally agreed there is no such thing as “face validity”. Thus, the purpose of this article is to encourage surgeons to study recent, and authoritative, works on validity theory, so they can better articulate the trustworthiness of their research findings and be more informed consumers of research.","author":[{"dropping-particle":"","family":"Royal","given":"Kenneth","non-dropping-particle":"","parse-names":false,"suffix":""}],"container-title":"American Journal of Surgery","id":"ITEM-2","issue":"5","issued":{"date-parts":[["2016"]]},"page":"1026-1027","publisher":"Elsevier Inc","title":"“Face validity” is not a legitimate type of validity evidence!","type":"article-journal","volume":"212"},"uris":["http://www.mendeley.com/documents/?uuid=1b7ff0f4-7041-46a8-9d18-31ceb3b26f22","http://www.mendeley.com/documents/?uuid=8e4d3020-7d5b-4774-a55c-33f6883e5676"]},{"id":"ITEM-3","itemData":{"DOI":"10.1177/001316444700700201","ISSN":"15523888","abstract":"The concept of face validity is discussed critically. Such meanings of the term as validity by assumption, validity by definition, validity by appearance, and validity by hypothesis are considered. Recommendations are made for use of the concept.","author":[{"dropping-particle":"","family":"Mosier","given":"Charles I.","non-dropping-particle":"","parse-names":false,"suffix":""}],"container-title":"Educational and Psychological Measurement","id":"ITEM-3","issued":{"date-parts":[["1947"]]},"title":"A critical examination of the concepts of face validity","type":"article-journal"},"uris":["http://www.mendeley.com/documents/?uuid=1fccbf22-97b2-4b31-a196-0942759cad4a","http://www.mendeley.com/documents/?uuid=e1b02553-bbe5-400f-ba28-e25542a0189b","http://www.mendeley.com/documents/?uuid=a16156a2-571b-492c-bc73-8fc064e1adf7"]}],"mendeley":{"formattedCitation":"(Downing, 2006; Mosier, 1947; Royal, 2016b)","manualFormatting":"(Downing, 2006; Mosier, 1947; Royal, 2016)","plainTextFormattedCitation":"(Downing, 2006; Mosier, 1947; Royal, 2016b)","previouslyFormattedCitation":"(Downing, 2006; Mosier, 1947; Royal, 2016b)"},"properties":{"noteIndex":0},"schema":"https://github.com/citation-style-language/schema/raw/master/csl-citation.json"}</w:instrText>
      </w:r>
      <w:r w:rsidRPr="006A1EC7">
        <w:fldChar w:fldCharType="separate"/>
      </w:r>
      <w:r w:rsidRPr="006A1EC7">
        <w:rPr>
          <w:noProof/>
        </w:rPr>
        <w:t>(Downing, 2006; Mosier, 1947; Royal, 2016)</w:t>
      </w:r>
      <w:r w:rsidRPr="006A1EC7">
        <w:fldChar w:fldCharType="end"/>
      </w:r>
      <w:r w:rsidRPr="006A1EC7">
        <w:t xml:space="preserve">, and is thus often regarded as the weakest type of validity </w:t>
      </w:r>
      <w:r w:rsidRPr="006A1EC7">
        <w:fldChar w:fldCharType="begin" w:fldLock="1"/>
      </w:r>
      <w:r w:rsidRPr="006A1EC7">
        <w:instrText>ADDIN CSL_CITATION {"citationItems":[{"id":"ITEM-1","itemData":{"DOI":"10.1111/j.1365-2929.2005.02361.x","ISSN":"03080110","abstract":"Simulation plays a vital role in health professions assessment. This review provides a primer on assessment validation for educators and education researchers. We focus on simulation-based assessment of health professionals, but the principles apply broadly to other assessment approaches and topics. Validation refers to the process of collecting validity evidence to evaluate the appropriateness of the interpretations, uses, and decisions based on assessment results. Contemporary frameworks view validity as a hypothesis, and validity evidence is collected to support or refute the validity hypothesis (i.e., that the proposed interpretations and decisions are defensible). In validation, the educator or researcher defines the proposed interpretations and decisions, identifies and prioritizes the most questionable assumptions in making these interpretations and decisions (the “interpretation-use argument”), empirically tests those assumptions using existing or newly-collected evidence, and then summarizes the evidence as a coherent “validity argument.” A framework proposed by Messick identifies potential evidence sources: content, response process, internal structure, relationships with other variables, and consequences. Another framework proposed by Kane identifies key inferences in generating useful interpretations: scoring, generalization, extrapolation, and implications/decision. We propose an eight-step approach to validation that applies to either framework: Define the construct and proposed interpretation, make explicit the intended decision(s), define the interpretation-use argument and prioritize needed validity evidence, identify candidate instruments and/or create/adapt a new instrument, appraise existing evidence and collect new evidence as needed, keep track of practical issues, formulate the validity argument, and make a judgment: does the evidence support the intended use? Rigorous validation first prioritizes and then empirically evaluates key assumptions in the interpretation and use of assessment scores. Validation science would be improved by more explicit articulation and prioritization of the interpretation-use argument, greater use of formal validation frameworks, and more evidence informing the consequences and implications of assessment.","author":[{"dropping-particle":"","family":"Downing","given":"Steven M.","non-dropping-particle":"","parse-names":false,"suffix":""}],"container-title":"Medical Education","id":"ITEM-1","issue":"1","issued":{"date-parts":[["2006"]]},"page":"7-8","title":"Face validity of assessments: Faith-based interpretations or evidence-based science?","type":"article-journal","volume":"40"},"uris":["http://www.mendeley.com/documents/?uuid=bd691b28-65dc-4afd-84b2-3f91f4cf0715","http://www.mendeley.com/documents/?uuid=93c6a69d-5c3f-4950-bdad-e82dd10592f4"]}],"mendeley":{"formattedCitation":"(Downing, 2006)","plainTextFormattedCitation":"(Downing, 2006)","previouslyFormattedCitation":"(Downing, 2006)"},"properties":{"noteIndex":0},"schema":"https://github.com/citation-style-language/schema/raw/master/csl-citation.json"}</w:instrText>
      </w:r>
      <w:r w:rsidRPr="006A1EC7">
        <w:fldChar w:fldCharType="separate"/>
      </w:r>
      <w:r w:rsidRPr="006A1EC7">
        <w:rPr>
          <w:noProof/>
        </w:rPr>
        <w:t>(Downing, 2006)</w:t>
      </w:r>
      <w:r w:rsidRPr="006A1EC7">
        <w:fldChar w:fldCharType="end"/>
      </w:r>
      <w:r w:rsidRPr="006A1EC7">
        <w:t xml:space="preserve">. Demonstrating content validity (including face validity) may involve consulting published research, (international) experts on the illness that is being studied or involving patient representatives for feedback </w:t>
      </w:r>
      <w:r w:rsidRPr="006A1EC7">
        <w:fldChar w:fldCharType="begin" w:fldLock="1"/>
      </w:r>
      <w:r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Applications","type":"book"},"locator":"101","uris":["http://www.mendeley.com/documents/?uuid=0316ab82-7ed3-4f19-b5e0-edf860dc28e5"]}],"mendeley":{"formattedCitation":"(DeVellis, 2017, p. 101)","manualFormatting":"(DeVellis, 2017)","plainTextFormattedCitation":"(DeVellis, 2017, p. 101)","previouslyFormattedCitation":"(DeVellis, 2017, p. 101)"},"properties":{"noteIndex":0},"schema":"https://github.com/citation-style-language/schema/raw/master/csl-citation.json"}</w:instrText>
      </w:r>
      <w:r w:rsidRPr="006A1EC7">
        <w:fldChar w:fldCharType="separate"/>
      </w:r>
      <w:r w:rsidRPr="006A1EC7">
        <w:rPr>
          <w:noProof/>
        </w:rPr>
        <w:t>(DeVellis, 2017)</w:t>
      </w:r>
      <w:r w:rsidRPr="006A1EC7">
        <w:fldChar w:fldCharType="end"/>
      </w:r>
      <w:r w:rsidRPr="006A1EC7">
        <w:t>.</w:t>
      </w:r>
    </w:p>
    <w:p w14:paraId="5FAF7D52" w14:textId="77777777" w:rsidR="00A40374" w:rsidRPr="006A1EC7" w:rsidRDefault="00A40374" w:rsidP="00A40374">
      <w:pPr>
        <w:spacing w:line="360" w:lineRule="auto"/>
        <w:ind w:firstLine="720"/>
      </w:pPr>
      <w:r w:rsidRPr="006A1EC7">
        <w:t>Next, construct validity</w:t>
      </w:r>
      <w:r w:rsidRPr="006A1EC7">
        <w:rPr>
          <w:b/>
          <w:bCs/>
        </w:rPr>
        <w:t xml:space="preserve"> </w:t>
      </w:r>
      <w:r w:rsidRPr="006A1EC7">
        <w:t xml:space="preserve">refers to whether the rating scale accurately reflects the underlying construct as well as its related concepts. Demonstrating construct validity is vital and will </w:t>
      </w:r>
      <w:r w:rsidRPr="006A1EC7">
        <w:rPr>
          <w:i/>
          <w:iCs/>
        </w:rPr>
        <w:t>“instill confidence in all consequent inferences”</w:t>
      </w:r>
      <w:r w:rsidRPr="006A1EC7">
        <w:t xml:space="preserve"> </w:t>
      </w:r>
      <w:r w:rsidRPr="006A1EC7">
        <w:fldChar w:fldCharType="begin" w:fldLock="1"/>
      </w:r>
      <w:r w:rsidRPr="006A1EC7">
        <w:instrText>ADDIN CSL_CITATION {"citationItems":[{"id":"ITEM-1","itemData":{"DOI":"10.1186/s41155-016-0057-1","ISBN":"0102797220170","ISSN":"16787153","abstract":"The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Critica","id":"ITEM-1","issue":"1","issued":{"date-parts":[["2017"]]},"page":"1-20","publisher":"Psicologia: Reflexão e Crítica","title":"Scale development: Ten main limitations and recommendations to improve future research practices","type":"article-journal","volume":"30"},"uris":["http://www.mendeley.com/documents/?uuid=a8b9cc36-43ce-4491-b24e-6b402072bceb"]}],"mendeley":{"formattedCitation":"(Morgado et al., 2017)","plainTextFormattedCitation":"(Morgado et al., 2017)","previouslyFormattedCitation":"(Morgado et al., 2017)"},"properties":{"noteIndex":0},"schema":"https://github.com/citation-style-language/schema/raw/master/csl-citation.json"}</w:instrText>
      </w:r>
      <w:r w:rsidRPr="006A1EC7">
        <w:fldChar w:fldCharType="separate"/>
      </w:r>
      <w:r w:rsidRPr="006A1EC7">
        <w:rPr>
          <w:noProof/>
        </w:rPr>
        <w:t>(Morgado et al., 2017)</w:t>
      </w:r>
      <w:r w:rsidRPr="006A1EC7">
        <w:fldChar w:fldCharType="end"/>
      </w:r>
      <w:r w:rsidRPr="006A1EC7">
        <w:t xml:space="preserve">. A measure’s construct validity is therefore a reflection of how justifiably inferences, based on the measure, can be made </w:t>
      </w:r>
      <w:r w:rsidRPr="006A1EC7">
        <w:fldChar w:fldCharType="begin" w:fldLock="1"/>
      </w:r>
      <w:r w:rsidRPr="006A1EC7">
        <w:instrText>ADDIN CSL_CITATION {"citationItems":[{"id":"ITEM-1","itemData":{"ISBN":"9780761926092","author":[{"dropping-particle":"","family":"Mathison","given":"Sandra","non-dropping-particle":"","parse-names":false,"suffix":""}],"container-title":"Encyclopedia of Evaluation","id":"ITEM-1","issued":{"date-parts":[["2019"]]},"publisher":"Sage Publication","publisher-place":"Thousand Oaks, California","title":"Construct Validity","type":"chapter"},"uris":["http://www.mendeley.com/documents/?uuid=1334b2b2-f6ec-48bb-813a-bde9e90d7bd1","http://www.mendeley.com/documents/?uuid=f83d73e5-02c4-4f4d-b480-8838c2557b3e"]}],"mendeley":{"formattedCitation":"(Mathison, 2019)","plainTextFormattedCitation":"(Mathison, 2019)","previouslyFormattedCitation":"(Mathison, 2019)"},"properties":{"noteIndex":0},"schema":"https://github.com/citation-style-language/schema/raw/master/csl-citation.json"}</w:instrText>
      </w:r>
      <w:r w:rsidRPr="006A1EC7">
        <w:fldChar w:fldCharType="separate"/>
      </w:r>
      <w:r w:rsidRPr="006A1EC7">
        <w:rPr>
          <w:noProof/>
        </w:rPr>
        <w:t>(Mathison, 2019)</w:t>
      </w:r>
      <w:r w:rsidRPr="006A1EC7">
        <w:fldChar w:fldCharType="end"/>
      </w:r>
      <w:r w:rsidRPr="006A1EC7">
        <w:t xml:space="preserve">.  There are two further types of construct validity: Convergent and discriminant validity. Convergent validity refers to the degrees of correlation with measures assessing similar concepts (r ≥.30) </w:t>
      </w:r>
      <w:r w:rsidRPr="006A1EC7">
        <w:fldChar w:fldCharType="begin" w:fldLock="1"/>
      </w:r>
      <w:r w:rsidRPr="006A1EC7">
        <w:instrText>ADDIN CSL_CITATION {"citationItems":[{"id":"ITEM-1","itemData":{"abstract":"COHEN, J. Statistical power analysis for the behavioral sciences. Hillsdale, NJ, England: Lawerence Erlbaum Associates, 1988.","author":[{"dropping-particle":"","family":"Cohen","given":"J","non-dropping-particle":"","parse-names":false,"suffix":""}],"container-title":"Hillsdale, NJ, England: Lawerence Erlbaum Associates","id":"ITEM-1","issued":{"date-parts":[["1988"]]},"title":"Statistical power analysis for the behavioral sciences","type":"article-journal"},"uris":["http://www.mendeley.com/documents/?uuid=8b139791-8066-4449-9022-506ed9a5cf96"]},{"id":"ITEM-2","itemData":{"DOI":"10.1371/journal.pone.0173081","ISBN":"1932-6203","ISSN":"19326203","PMID":"28296910","abstract":"BACKGROUND Preference-weighted multi-faceted endpoints have the potential to facilitate comparative effectiveness research that incorporates patient preferences. The Older Persons and Informal Caregivers Survey-Composite endpoint (TOPICS-CEP) is potentially a valuable outcome measure for evaluating interventions in geriatric care as it combines multiple outcomes relevant to older persons in a single metric. The objective of this study was to validate TOPICS-CEP across different study settings (general population, primary care and hospital). METHODS Data were extracted from TOPICS Minimum Dataset (MDS), a pooled public-access national database with information on older persons throughout the Netherlands. Data of 17,603 older persons were used. Meta-correlations were performed between TOPICS-CEP indexed scores, EuroQol5-D utility scores and Cantril's ladder life satisfaction scores. Mixed linear regression analyses were performed to compare TOPICS-CEP indexed scores between known groups, e.g. persons with versus without depression. RESULTS In the complete sample and when stratified by study setting TOPICS-CEP and Cantril's ladder were moderately correlated, whereas TOPICS-CEP and EQ-5D were highly correlated. Higher mean TOPICS-CEP scores were found in persons who were: married, lived independently and had an education at university level. Moreover, higher mean TOPICS-CEP scores were found in persons without dementia, depression, and dizziness with falls, respectively. Similar results were found when stratified by subgroup. CONCLUSION This study supports that TOPICS-CEP is a robust measure which can potentially be used in broad settings to identify the effect of intervention or of prevention in elderly care.","author":[{"dropping-particle":"","family":"Hofman","given":"Cynthia S.","non-dropping-particle":"","parse-names":false,"suffix":""},{"dropping-particle":"","family":"Lutomski","given":"Jennifer E.","non-dropping-particle":"","parse-names":false,"suffix":""},{"dropping-particle":"","family":"Boter","given":"Han","non-dropping-particle":"","parse-names":false,"suffix":""},{"dropping-particle":"","family":"Buurman","given":"Bianca M.","non-dropping-particle":"","parse-names":false,"suffix":""},{"dropping-particle":"","family":"Craen","given":"Anton J.M.","non-dropping-particle":"De","parse-names":false,"suffix":""},{"dropping-particle":"","family":"Donders","given":"Rogier","non-dropping-particle":"","parse-names":false,"suffix":""},{"dropping-particle":"","family":"Rikkert","given":"Marcel G.M.Olde","non-dropping-particle":"","parse-names":false,"suffix":""},{"dropping-particle":"","family":"Makai","given":"Peter","non-dropping-particle":"","parse-names":false,"suffix":""},{"dropping-particle":"","family":"Melis","given":"René J.F.","non-dropping-particle":"","parse-names":false,"suffix":""},{"dropping-particle":"","family":"Bleijenberg","given":"N.","non-dropping-particle":"","parse-names":false,"suffix":""},{"dropping-particle":"","family":"Blom","given":"J. W.","non-dropping-particle":"","parse-names":false,"suffix":""},{"dropping-particle":"","family":"Kempen","given":"G. I.J.M.","non-dropping-particle":"","parse-names":false,"suffix":""},{"dropping-particle":"","family":"Krabbe","given":"P. F.M.","non-dropping-particle":"","parse-names":false,"suffix":""},{"dropping-particle":"","family":"Moll Van Charante","given":"E. P.","non-dropping-particle":"","parse-names":false,"suffix":""},{"dropping-particle":"","family":"Muntinga","given":"M.","non-dropping-particle":"","parse-names":false,"suffix":""},{"dropping-particle":"","family":"Steyerberg","given":"E. W.","non-dropping-particle":"","parse-names":false,"suffix":""},{"dropping-particle":"","family":"Gussekloo","given":"J.","non-dropping-particle":"","parse-names":false,"suffix":""},{"dropping-particle":"","family":"Horst","given":"H. E.","non-dropping-particle":"Van Der","parse-names":false,"suffix":""},{"dropping-particle":"","family":"Olde Rikkert","given":"M. G.M.","non-dropping-particle":"","parse-names":false,"suffix":""},{"dropping-particle":"","family":"Rooij","given":"S. E.J.A.","non-dropping-particle":"De","parse-names":false,"suffix":""},{"dropping-particle":"","family":"Schols","given":"J. M.G.A.","non-dropping-particle":"","parse-names":false,"suffix":""},{"dropping-particle":"","family":"Schuurmans","given":"M. J.","non-dropping-particle":"","parse-names":false,"suffix":""},{"dropping-particle":"","family":"Smilde","given":"D. A.","non-dropping-particle":"","parse-names":false,"suffix":""},{"dropping-particle":"","family":"Brink","given":"D.","non-dropping-particle":"Van Den","parse-names":false,"suffix":""},{"dropping-particle":"","family":"Qin","given":"L.","non-dropping-particle":"","parse-names":false,"suffix":""}],"container-title":"PLoS ONE","id":"ITEM-2","issue":"3","issued":{"date-parts":[["2017"]]},"page":"1-12","title":"Examining the construct and known-group validity of a composite endpoint for the Older Persons and Informal Caregivers Survey Minimum Data Set (TOPICS-MDS); A largescale data sharing initiative","type":"article-journal","volume":"12"},"uris":["http://www.mendeley.com/documents/?uuid=457b17eb-1d3f-44da-871e-0ac5233b5e99"]},{"id":"ITEM-3","itemData":{"DOI":"10.1016/j.clinthera.2016.02.024","ISBN":"1879-114X","ISSN":"1879114X","PMID":"26992664","abstract":"Purpose The objective of this study was to develop and validate clinician and patient measures of satisfaction for pharmacologic stress agents (PSAs) used in single-photon emission computed tomography myocardial perfusion imaging procedures. Methods Two questionnaires were developed: the Clinician Satisfaction and Preference Questionnaire (CSPQ) and the Patient Satisfaction and Preference Questionnaire (PSPQ). Items were developed, and the content validity of the questionnaires was ensured by participants' involvement in the item generation (5 clinician and 18 patient face-to-face concept elicitation interviews) and item modification phases (5 clinician and 10 patient face-to-face cognitive debriefing interviews). Psychometric validation of the satisfaction component of the questionnaires was conducted in a sample of 9 clinicians and 90 patients. Findings After initial patient interviews and cognitive interviews, two 8-item instruments were developed with each containing an optional PSA preference question. The PSPQ assessed patients' receptiveness and satisfaction with the PSA that they received. The CSPQ assessed clinicians' satisfaction with the time and ease of PSA preparation, administration, and monitoring of the PSA. The optional preference question in both instruments assesses preference among PSAs. In a multicenter observational study of 88 patients and 9 clinicians, the PSPQ Preparation and Reaction to Agent scales elicited reliability coefficients of 0.90 and 0.87, respectively. In addition, the test-retest reliability was acceptable for all PSPQ scales (intraclass correlation coefficient range, 0.73-0.86). Concurrent validity with the Treatment Satisfaction Questionnaire for Medication (TSQM) indicates low-to-moderate correlations between the Effectiveness, Convenience, and Global Satisfaction scales of the TSQM with the PSPQ Satisfaction with Administration, Satisfaction with Effects, and Overall Satisfaction items (range, 0.46-0.78). Analysis of the CSPQ found that both the Preparation and Reaction to Agent subscales indicated strong internal consistency (α = 0.98 and 0.99, respectively). Implications The PSPQ and CSPQ were developed and validated with rigorous methods. The instruments and their domains found strong internal consistency and good test-retest reliability. These questionnaires, when used as measures of treatment satisfaction in clinical trials, real-world observational studies, or by clinicians in their own laboratories, may …","author":[{"dropping-particle":"","family":"Hudgens","given":"Stacie","non-dropping-particle":"","parse-names":false,"suffix":""},{"dropping-particle":"","family":"Spalding","given":"James","non-dropping-particle":"","parse-names":false,"suffix":""},{"dropping-particle":"","family":"Chaudhari","given":"Paresh","non-dropping-particle":"","parse-names":false,"suffix":""}],"container-title":"Clinical Therapeutics","id":"ITEM-3","issue":"5","issued":{"date-parts":[["2016"]]},"page":"1141-1150","publisher":"Elsevier","title":"Validation of a Patient-reported Outcome (PRO) Measure and a Clinician-reported Outcome (CRO) Measure to Assess Satisfaction with Pharmacologic Stress Agents for Single-photon Emission Computed Tomography (SPECT) Myocardial Perfusion Imaging (MPI)","type":"article-journal","volume":"38"},"uris":["http://www.mendeley.com/documents/?uuid=332b1bcd-a17e-47a3-bdc8-3915eaa90a20"]}],"mendeley":{"formattedCitation":"(J Cohen, 1988; Hofman et al., 2017; Hudgens et al., 2016)","manualFormatting":" (Cohen, 1988; Hofman et al., 2017; Hudgens et al., 2016)","plainTextFormattedCitation":"(J Cohen, 1988; Hofman et al., 2017; Hudgens et al., 2016)","previouslyFormattedCitation":"(J Cohen, 1988; Hofman et al., 2017; Hudgens et al., 2016)"},"properties":{"noteIndex":0},"schema":"https://github.com/citation-style-language/schema/raw/master/csl-citation.json"}</w:instrText>
      </w:r>
      <w:r w:rsidRPr="006A1EC7">
        <w:fldChar w:fldCharType="separate"/>
      </w:r>
      <w:r w:rsidRPr="006A1EC7">
        <w:rPr>
          <w:noProof/>
        </w:rPr>
        <w:t xml:space="preserve"> (Cohen, 1988; Hofman et al., 2017; Hudgens et al., 2016)</w:t>
      </w:r>
      <w:r w:rsidRPr="006A1EC7">
        <w:fldChar w:fldCharType="end"/>
      </w:r>
      <w:r w:rsidRPr="006A1EC7">
        <w:t xml:space="preserve">, and discriminant validity refers to no or low correlation with dis-similar measures </w:t>
      </w:r>
      <w:r w:rsidRPr="006A1EC7">
        <w:fldChar w:fldCharType="begin" w:fldLock="1"/>
      </w:r>
      <w:r w:rsidRPr="006A1EC7">
        <w:instrText>ADDIN CSL_CITATION {"citationItems":[{"id":"ITEM-1","itemData":{"abstract":"COHEN, J. Statistical power analysis for the behavioral sciences. Hillsdale, NJ, England: Lawerence Erlbaum Associates, 1988.","author":[{"dropping-particle":"","family":"Cohen","given":"J","non-dropping-particle":"","parse-names":false,"suffix":""}],"container-title":"Hillsdale, NJ, England: Lawerence Erlbaum Associates","id":"ITEM-1","issued":{"date-parts":[["1988"]]},"title":"Statistical power analysis for the behavioral sciences","type":"article-journal"},"uris":["http://www.mendeley.com/documents/?uuid=8b139791-8066-4449-9022-506ed9a5cf96"]},{"id":"ITEM-2","itemData":{"DOI":"10.2147/PROM.S44694","ISBN":"1179-271X (Electronic)\\n1179-271X (Linking)","ISSN":"1179-271X","PMID":"23833553","abstract":"BACKGROUND: Burden of treatment refers to the workload of health care and its impact on patient functioning and well-being. There are a number of patient-reported measures that assess burden of treatment in single diseases or in specific treatment contexts. A review of such measures could help identify content for a general measure of treatment burden that could be used with patients dealing with multiple chronic conditions. We reviewed the content and psychometric properties of patient-reported measures that assess aspects of treatment burden in three chronic diseases, ie, diabetes, chronic kidney disease, and heart failure.\\n\\nMETHODS: We searched Ovid MEDLINE, Ovid EMBASE, Ovid PsycINFO, and EBSCO CINAHL through November 2011. Abstracts were independently reviewed by two people, with disagreements adjudicated by a third person. Retrieved articles were reviewed to confirm relevance, with patient-reported measures scrutinized to determine consistency with the definition of burden of treatment. Descriptive information and psychometric properties were extracted.\\n\\nRESULTS: A total of 5686 abstracts were identified from the database searches. After abstract review, 359 full-text articles were retrieved, of which 76 met our inclusion criteria. An additional 22 articles were identified from the references of included articles. From the 98 studies, 57 patient-reported measures of treatment burden (full measures or components within measures) were identified. Most were multi-item scales (89%) and assessed treatment burden in diabetes (82%). Only 15 measures were developed using direct patient input and had demonstrable evidence of reliability, scale structure, and multiple forms of validity; six of these demonstrated evidence of sensitivity to change. We identified 12 content domains common across measures and disease types.\\n\\nCONCLUSION: Available measures of treatment burden in single diseases can inform derivation of a patient-centered measure of the construct in patients with multiple chronic conditions. Patients should take part in developing the measure to ensure salience and relevance.","author":[{"dropping-particle":"","family":"Eton","given":"David","non-dropping-particle":"","parse-names":false,"suffix":""},{"dropping-particle":"","family":"Elraiyah","given":"Tarig A.","non-dropping-particle":"","parse-names":false,"suffix":""},{"dropping-particle":"","family":"Yost","given":"Kathleen","non-dropping-particle":"","parse-names":false,"suffix":""},{"dropping-particle":"","family":"Ridgeway","given":"Jennifer","non-dropping-particle":"","parse-names":false,"suffix":""},{"dropping-particle":"","family":"Johnson","given":"Anna","non-dropping-particle":"","parse-names":false,"suffix":""},{"dropping-particle":"","family":"Egginton","given":"Jason","non-dropping-particle":"","parse-names":false,"suffix":""},{"dropping-particle":"","family":"Mullan","given":"Rebecca J.","non-dropping-particle":"","parse-names":false,"suffix":""},{"dropping-particle":"","family":"Murad","given":"M. Hassan","non-dropping-particle":"","parse-names":false,"suffix":""},{"dropping-particle":"","family":"Erwin","given":"Patricia","non-dropping-particle":"","parse-names":false,"suffix":""},{"dropping-particle":"","family":"Montori","given":"Victor","non-dropping-particle":"","parse-names":false,"suffix":""}],"container-title":"Patient Related Outcome Measures","id":"ITEM-2","issued":{"date-parts":[["2013"]]},"page":"7","title":"A systematic review of patient-reported measures of burden of treatment in three chronic diseases","type":"article-journal"},"uris":["http://www.mendeley.com/documents/?uuid=23095c42-c45a-4a3e-bca0-f45dbc69e584"]}],"mendeley":{"formattedCitation":"(J Cohen, 1988; Eton et al., 2013)","manualFormatting":"(Cohen, 1988; Eton et al., 2013)","plainTextFormattedCitation":"(J Cohen, 1988; Eton et al., 2013)","previouslyFormattedCitation":"(J Cohen, 1988; Eton et al., 2013)"},"properties":{"noteIndex":0},"schema":"https://github.com/citation-style-language/schema/raw/master/csl-citation.json"}</w:instrText>
      </w:r>
      <w:r w:rsidRPr="006A1EC7">
        <w:fldChar w:fldCharType="separate"/>
      </w:r>
      <w:r w:rsidRPr="006A1EC7">
        <w:rPr>
          <w:noProof/>
        </w:rPr>
        <w:t>(Cohen, 1988; Eton et al., 2013)</w:t>
      </w:r>
      <w:r w:rsidRPr="006A1EC7">
        <w:fldChar w:fldCharType="end"/>
      </w:r>
      <w:r w:rsidRPr="006A1EC7">
        <w:t xml:space="preserve">. There is no correlation size for discriminant validity; however, it would be expected to be close to 0 and smaller than the coefficients obtained for convergent validity </w:t>
      </w:r>
      <w:r w:rsidRPr="006A1EC7">
        <w:fldChar w:fldCharType="begin" w:fldLock="1"/>
      </w:r>
      <w:r w:rsidRPr="006A1EC7">
        <w:instrText>ADDIN CSL_CITATION {"citationItems":[{"id":"ITEM-1","itemData":{"DOI":"10.1007/978-94-007-0753-5_751","author":[{"dropping-particle":"","family":"Hubley","given":"Anita","non-dropping-particle":"","parse-names":false,"suffix":""}],"container-title":"Encyclopedia of Quality of Life and Well-Being Research","editor":[{"dropping-particle":"","family":"Michalos","given":"A","non-dropping-particle":"","parse-names":false,"suffix":""}],"id":"ITEM-1","issued":{"date-parts":[["2014"]]},"publisher":"Springer","publisher-place":"Dordrecht","title":"Discriminant validity","type":"chapter"},"uris":["http://www.mendeley.com/documents/?uuid=4e86ad59-06af-4ba7-bc1f-175c7e4b20d8","http://www.mendeley.com/documents/?uuid=c3325293-1c6b-45a9-972c-5dafd1e18a60"]}],"mendeley":{"formattedCitation":"(Hubley, 2014)","plainTextFormattedCitation":"(Hubley, 2014)","previouslyFormattedCitation":"(Hubley, 2014)"},"properties":{"noteIndex":0},"schema":"https://github.com/citation-style-language/schema/raw/master/csl-citation.json"}</w:instrText>
      </w:r>
      <w:r w:rsidRPr="006A1EC7">
        <w:fldChar w:fldCharType="separate"/>
      </w:r>
      <w:r w:rsidRPr="006A1EC7">
        <w:rPr>
          <w:noProof/>
        </w:rPr>
        <w:t>(Hubley, 2014)</w:t>
      </w:r>
      <w:r w:rsidRPr="006A1EC7">
        <w:fldChar w:fldCharType="end"/>
      </w:r>
      <w:r w:rsidRPr="006A1EC7">
        <w:t xml:space="preserve">. </w:t>
      </w:r>
    </w:p>
    <w:p w14:paraId="6A67946B" w14:textId="63C783CE" w:rsidR="00A40374" w:rsidRPr="006A1EC7" w:rsidRDefault="00A40374" w:rsidP="00A40374">
      <w:pPr>
        <w:spacing w:line="360" w:lineRule="auto"/>
        <w:ind w:firstLine="720"/>
      </w:pPr>
      <w:r w:rsidRPr="006A1EC7">
        <w:t xml:space="preserve">Criterion validity, also referred to as concrete validity, refers to the degree of correspondence to an outcome. There are two types of criterion validity: Concurrent and predictive validity. Concurrent validity refers to the ability of a measure to differentiate between sub-groups of a population based on scores along a scale, such as different </w:t>
      </w:r>
      <w:r w:rsidRPr="006A1EC7">
        <w:lastRenderedPageBreak/>
        <w:t xml:space="preserve">educational level, health status etc. </w:t>
      </w:r>
      <w:r w:rsidRPr="006A1EC7">
        <w:fldChar w:fldCharType="begin" w:fldLock="1"/>
      </w:r>
      <w:r w:rsidRPr="006A1EC7">
        <w:instrText>ADDIN CSL_CITATION {"citationItems":[{"id":"ITEM-1","itemData":{"DOI":"10.1371/journal.pone.0173081","ISBN":"1932-6203","ISSN":"19326203","PMID":"28296910","abstract":"BACKGROUND Preference-weighted multi-faceted endpoints have the potential to facilitate comparative effectiveness research that incorporates patient preferences. The Older Persons and Informal Caregivers Survey-Composite endpoint (TOPICS-CEP) is potentially a valuable outcome measure for evaluating interventions in geriatric care as it combines multiple outcomes relevant to older persons in a single metric. The objective of this study was to validate TOPICS-CEP across different study settings (general population, primary care and hospital). METHODS Data were extracted from TOPICS Minimum Dataset (MDS), a pooled public-access national database with information on older persons throughout the Netherlands. Data of 17,603 older persons were used. Meta-correlations were performed between TOPICS-CEP indexed scores, EuroQol5-D utility scores and Cantril's ladder life satisfaction scores. Mixed linear regression analyses were performed to compare TOPICS-CEP indexed scores between known groups, e.g. persons with versus without depression. RESULTS In the complete sample and when stratified by study setting TOPICS-CEP and Cantril's ladder were moderately correlated, whereas TOPICS-CEP and EQ-5D were highly correlated. Higher mean TOPICS-CEP scores were found in persons who were: married, lived independently and had an education at university level. Moreover, higher mean TOPICS-CEP scores were found in persons without dementia, depression, and dizziness with falls, respectively. Similar results were found when stratified by subgroup. CONCLUSION This study supports that TOPICS-CEP is a robust measure which can potentially be used in broad settings to identify the effect of intervention or of prevention in elderly care.","author":[{"dropping-particle":"","family":"Hofman","given":"Cynthia S.","non-dropping-particle":"","parse-names":false,"suffix":""},{"dropping-particle":"","family":"Lutomski","given":"Jennifer E.","non-dropping-particle":"","parse-names":false,"suffix":""},{"dropping-particle":"","family":"Boter","given":"Han","non-dropping-particle":"","parse-names":false,"suffix":""},{"dropping-particle":"","family":"Buurman","given":"Bianca M.","non-dropping-particle":"","parse-names":false,"suffix":""},{"dropping-particle":"","family":"Craen","given":"Anton J.M.","non-dropping-particle":"De","parse-names":false,"suffix":""},{"dropping-particle":"","family":"Donders","given":"Rogier","non-dropping-particle":"","parse-names":false,"suffix":""},{"dropping-particle":"","family":"Rikkert","given":"Marcel G.M.Olde","non-dropping-particle":"","parse-names":false,"suffix":""},{"dropping-particle":"","family":"Makai","given":"Peter","non-dropping-particle":"","parse-names":false,"suffix":""},{"dropping-particle":"","family":"Melis","given":"René J.F.","non-dropping-particle":"","parse-names":false,"suffix":""},{"dropping-particle":"","family":"Bleijenberg","given":"N.","non-dropping-particle":"","parse-names":false,"suffix":""},{"dropping-particle":"","family":"Blom","given":"J. W.","non-dropping-particle":"","parse-names":false,"suffix":""},{"dropping-particle":"","family":"Kempen","given":"G. I.J.M.","non-dropping-particle":"","parse-names":false,"suffix":""},{"dropping-particle":"","family":"Krabbe","given":"P. F.M.","non-dropping-particle":"","parse-names":false,"suffix":""},{"dropping-particle":"","family":"Moll Van Charante","given":"E. P.","non-dropping-particle":"","parse-names":false,"suffix":""},{"dropping-particle":"","family":"Muntinga","given":"M.","non-dropping-particle":"","parse-names":false,"suffix":""},{"dropping-particle":"","family":"Steyerberg","given":"E. W.","non-dropping-particle":"","parse-names":false,"suffix":""},{"dropping-particle":"","family":"Gussekloo","given":"J.","non-dropping-particle":"","parse-names":false,"suffix":""},{"dropping-particle":"","family":"Horst","given":"H. E.","non-dropping-particle":"Van Der","parse-names":false,"suffix":""},{"dropping-particle":"","family":"Olde Rikkert","given":"M. G.M.","non-dropping-particle":"","parse-names":false,"suffix":""},{"dropping-particle":"","family":"Rooij","given":"S. E.J.A.","non-dropping-particle":"De","parse-names":false,"suffix":""},{"dropping-particle":"","family":"Schols","given":"J. M.G.A.","non-dropping-particle":"","parse-names":false,"suffix":""},{"dropping-particle":"","family":"Schuurmans","given":"M. J.","non-dropping-particle":"","parse-names":false,"suffix":""},{"dropping-particle":"","family":"Smilde","given":"D. A.","non-dropping-particle":"","parse-names":false,"suffix":""},{"dropping-particle":"","family":"Brink","given":"D.","non-dropping-particle":"Van Den","parse-names":false,"suffix":""},{"dropping-particle":"","family":"Qin","given":"L.","non-dropping-particle":"","parse-names":false,"suffix":""}],"container-title":"PLoS ONE","id":"ITEM-1","issue":"3","issued":{"date-parts":[["2017"]]},"page":"1-12","title":"Examining the construct and known-group validity of a composite endpoint for the Older Persons and Informal Caregivers Survey Minimum Data Set (TOPICS-MDS); A largescale data sharing initiative","type":"article-journal","volume":"12"},"uris":["http://www.mendeley.com/documents/?uuid=457b17eb-1d3f-44da-871e-0ac5233b5e99"]},{"id":"ITEM-2","itemData":{"DOI":"10.2147/PROM.S44694","ISBN":"1179-271X (Electronic)\\n1179-271X (Linking)","ISSN":"1179-271X","PMID":"23833553","abstract":"BACKGROUND: Burden of treatment refers to the workload of health care and its impact on patient functioning and well-being. There are a number of patient-reported measures that assess burden of treatment in single diseases or in specific treatment contexts. A review of such measures could help identify content for a general measure of treatment burden that could be used with patients dealing with multiple chronic conditions. We reviewed the content and psychometric properties of patient-reported measures that assess aspects of treatment burden in three chronic diseases, ie, diabetes, chronic kidney disease, and heart failure.\\n\\nMETHODS: We searched Ovid MEDLINE, Ovid EMBASE, Ovid PsycINFO, and EBSCO CINAHL through November 2011. Abstracts were independently reviewed by two people, with disagreements adjudicated by a third person. Retrieved articles were reviewed to confirm relevance, with patient-reported measures scrutinized to determine consistency with the definition of burden of treatment. Descriptive information and psychometric properties were extracted.\\n\\nRESULTS: A total of 5686 abstracts were identified from the database searches. After abstract review, 359 full-text articles were retrieved, of which 76 met our inclusion criteria. An additional 22 articles were identified from the references of included articles. From the 98 studies, 57 patient-reported measures of treatment burden (full measures or components within measures) were identified. Most were multi-item scales (89%) and assessed treatment burden in diabetes (82%). Only 15 measures were developed using direct patient input and had demonstrable evidence of reliability, scale structure, and multiple forms of validity; six of these demonstrated evidence of sensitivity to change. We identified 12 content domains common across measures and disease types.\\n\\nCONCLUSION: Available measures of treatment burden in single diseases can inform derivation of a patient-centered measure of the construct in patients with multiple chronic conditions. Patients should take part in developing the measure to ensure salience and relevance.","author":[{"dropping-particle":"","family":"Eton","given":"David","non-dropping-particle":"","parse-names":false,"suffix":""},{"dropping-particle":"","family":"Elraiyah","given":"Tarig A.","non-dropping-particle":"","parse-names":false,"suffix":""},{"dropping-particle":"","family":"Yost","given":"Kathleen","non-dropping-particle":"","parse-names":false,"suffix":""},{"dropping-particle":"","family":"Ridgeway","given":"Jennifer","non-dropping-particle":"","parse-names":false,"suffix":""},{"dropping-particle":"","family":"Johnson","given":"Anna","non-dropping-particle":"","parse-names":false,"suffix":""},{"dropping-particle":"","family":"Egginton","given":"Jason","non-dropping-particle":"","parse-names":false,"suffix":""},{"dropping-particle":"","family":"Mullan","given":"Rebecca J.","non-dropping-particle":"","parse-names":false,"suffix":""},{"dropping-particle":"","family":"Murad","given":"M. Hassan","non-dropping-particle":"","parse-names":false,"suffix":""},{"dropping-particle":"","family":"Erwin","given":"Patricia","non-dropping-particle":"","parse-names":false,"suffix":""},{"dropping-particle":"","family":"Montori","given":"Victor","non-dropping-particle":"","parse-names":false,"suffix":""}],"container-title":"Patient Related Outcome Measures","id":"ITEM-2","issued":{"date-parts":[["2013"]]},"page":"7","title":"A systematic review of patient-reported measures of burden of treatment in three chronic diseases","type":"article-journal"},"uris":["http://www.mendeley.com/documents/?uuid=23095c42-c45a-4a3e-bca0-f45dbc69e584"]}],"mendeley":{"formattedCitation":"(Eton et al., 2013; Hofman et al., 2017)","plainTextFormattedCitation":"(Eton et al., 2013; Hofman et al., 2017)","previouslyFormattedCitation":"(Eton et al., 2013; Hofman et al., 2017)"},"properties":{"noteIndex":0},"schema":"https://github.com/citation-style-language/schema/raw/master/csl-citation.json"}</w:instrText>
      </w:r>
      <w:r w:rsidRPr="006A1EC7">
        <w:fldChar w:fldCharType="separate"/>
      </w:r>
      <w:r w:rsidRPr="006A1EC7">
        <w:rPr>
          <w:noProof/>
        </w:rPr>
        <w:t>(Eton et al., 2013; Hofman et al., 2017)</w:t>
      </w:r>
      <w:r w:rsidRPr="006A1EC7">
        <w:fldChar w:fldCharType="end"/>
      </w:r>
      <w:r w:rsidRPr="006A1EC7">
        <w:t xml:space="preserve">. Predictive validity refers to a measure’s ability to predict future scores, such as functioning or performance </w:t>
      </w:r>
      <w:r w:rsidRPr="006A1EC7">
        <w:fldChar w:fldCharType="begin" w:fldLock="1"/>
      </w:r>
      <w:r w:rsidRPr="006A1EC7">
        <w:instrText>ADDIN CSL_CITATION {"citationItems":[{"id":"ITEM-1","itemData":{"DOI":"10.4135/9781412952644 Print","ISBN":"9781412916110","author":[{"dropping-particle":"","family":"Sailkind","given":"Neil","non-dropping-particle":"","parse-names":false,"suffix":""}],"chapter-number":"Predictive","id":"ITEM-1","issued":{"date-parts":[["2011"]]},"publisher":"Sage Publication","publisher-place":"Thousand Oaks, California","title":"Encyclopedia of Measurement and Statistics","type":"chapter"},"uris":["http://www.mendeley.com/documents/?uuid=f5d516ba-6a5e-490c-96d9-c0eb19f9c012","http://www.mendeley.com/documents/?uuid=986a0fac-24d0-43c9-8de2-375a2cee6e12"]}],"mendeley":{"formattedCitation":"(Sailkind, 2011)","plainTextFormattedCitation":"(Sailkind, 2011)","previouslyFormattedCitation":"(Sailkind, 2011)"},"properties":{"noteIndex":0},"schema":"https://github.com/citation-style-language/schema/raw/master/csl-citation.json"}</w:instrText>
      </w:r>
      <w:r w:rsidRPr="006A1EC7">
        <w:fldChar w:fldCharType="separate"/>
      </w:r>
      <w:r w:rsidRPr="006A1EC7">
        <w:rPr>
          <w:noProof/>
        </w:rPr>
        <w:t>(Sailkind, 2011)</w:t>
      </w:r>
      <w:r w:rsidRPr="006A1EC7">
        <w:fldChar w:fldCharType="end"/>
      </w:r>
      <w:r w:rsidRPr="006A1EC7">
        <w:t xml:space="preserve">. It assesses how well a measure predicts a participant’s, or patient’s, score from Time 1 to administration at Time 2 </w:t>
      </w:r>
      <w:r w:rsidRPr="006A1EC7">
        <w:fldChar w:fldCharType="begin" w:fldLock="1"/>
      </w:r>
      <w:r w:rsidRPr="006A1EC7">
        <w:instrText>ADDIN CSL_CITATION {"citationItems":[{"id":"ITEM-1","itemData":{"DOI":"10.1007/978-94-007-0753-5_2241","author":[{"dropping-particle":"","family":"Lin","given":"Wei-Ling","non-dropping-particle":"","parse-names":false,"suffix":""},{"dropping-particle":"","family":"Yao","given":"Grace","non-dropping-particle":"","parse-names":false,"suffix":""}],"container-title":"Encyclopedia of Quality of Life and Well-Being Research","editor":[{"dropping-particle":"","family":"Michalos","given":"A","non-dropping-particle":"","parse-names":false,"suffix":""}],"id":"ITEM-1","issued":{"date-parts":[["2014"]]},"publisher":"Springer","publisher-place":"Dordrecht","title":"Predictive validity","type":"chapter"},"uris":["http://www.mendeley.com/documents/?uuid=3773e202-fc04-4562-95a3-8edc39bf4b17","http://www.mendeley.com/documents/?uuid=3e2b00c5-1d7e-4baf-84f1-840dc5f45ac2"]}],"mendeley":{"formattedCitation":"(Lin &amp; Yao, 2014)","plainTextFormattedCitation":"(Lin &amp; Yao, 2014)","previouslyFormattedCitation":"(Lin &amp; Yao, 2014)"},"properties":{"noteIndex":0},"schema":"https://github.com/citation-style-language/schema/raw/master/csl-citation.json"}</w:instrText>
      </w:r>
      <w:r w:rsidRPr="006A1EC7">
        <w:fldChar w:fldCharType="separate"/>
      </w:r>
      <w:r w:rsidRPr="006A1EC7">
        <w:rPr>
          <w:noProof/>
        </w:rPr>
        <w:t>(Lin &amp; Yao, 2014)</w:t>
      </w:r>
      <w:r w:rsidRPr="006A1EC7">
        <w:fldChar w:fldCharType="end"/>
      </w:r>
      <w:r w:rsidRPr="006A1EC7">
        <w:t xml:space="preserve">; and therefore assesses how well a measure is able to predict future outcomes or abilities </w:t>
      </w:r>
      <w:r w:rsidRPr="006A1EC7">
        <w:fldChar w:fldCharType="begin" w:fldLock="1"/>
      </w:r>
      <w:r w:rsidRPr="006A1EC7">
        <w:instrText>ADDIN CSL_CITATION {"citationItems":[{"id":"ITEM-1","itemData":{"DOI":"10.4135/9781506326139","author":[{"dropping-particle":"","family":"Clemens","given":"N","non-dropping-particle":"","parse-names":false,"suffix":""},{"dropping-particle":"","family":"Ragan","given":"K","non-dropping-particle":"","parse-names":false,"suffix":""},{"dropping-particle":"","family":"Pickett","given":"C","non-dropping-particle":"","parse-names":false,"suffix":""}],"chapter-number":"Predictive","container-title":"The SAGE Encyclopedia of Educational Research, Measurement, and Evaluation","editor":[{"dropping-particle":"","family":"Frey","given":"B","non-dropping-particle":"","parse-names":false,"suffix":""}],"id":"ITEM-1","issued":{"date-parts":[["2018"]]},"page":"1289","publisher":"Sage Publication","publisher-place":"Thousand Oaks, California","title":"Predictive validity","type":"chapter"},"uris":["http://www.mendeley.com/documents/?uuid=98968365-0462-4089-aa55-4dd3467347c3","http://www.mendeley.com/documents/?uuid=8dd0e98c-e067-4f72-8441-8872c918d5f2"]}],"mendeley":{"formattedCitation":"(Clemens, Ragan, &amp; Pickett, 2018)","plainTextFormattedCitation":"(Clemens, Ragan, &amp; Pickett, 2018)","previouslyFormattedCitation":"(Clemens, Ragan, &amp; Pickett, 2018)"},"properties":{"noteIndex":0},"schema":"https://github.com/citation-style-language/schema/raw/master/csl-citation.json"}</w:instrText>
      </w:r>
      <w:r w:rsidRPr="006A1EC7">
        <w:fldChar w:fldCharType="separate"/>
      </w:r>
      <w:r w:rsidRPr="006A1EC7">
        <w:rPr>
          <w:noProof/>
        </w:rPr>
        <w:t>(Clemens, Ragan, &amp; Pickett, 2018)</w:t>
      </w:r>
      <w:r w:rsidRPr="006A1EC7">
        <w:fldChar w:fldCharType="end"/>
      </w:r>
      <w:r w:rsidRPr="006A1EC7">
        <w:t xml:space="preserve">. </w:t>
      </w:r>
    </w:p>
    <w:p w14:paraId="22B5C0B6" w14:textId="77777777" w:rsidR="00A40374" w:rsidRPr="006A1EC7" w:rsidRDefault="00A40374" w:rsidP="00A40374">
      <w:pPr>
        <w:spacing w:line="360" w:lineRule="auto"/>
        <w:ind w:firstLine="720"/>
      </w:pPr>
    </w:p>
    <w:p w14:paraId="31AED8EA" w14:textId="77777777" w:rsidR="00A40374" w:rsidRPr="006A1EC7" w:rsidRDefault="00A40374" w:rsidP="00DB5C12">
      <w:pPr>
        <w:pStyle w:val="Heading5"/>
        <w:rPr>
          <w:rFonts w:ascii="Times New Roman" w:hAnsi="Times New Roman" w:cs="Times New Roman"/>
        </w:rPr>
      </w:pPr>
      <w:r w:rsidRPr="006A1EC7">
        <w:rPr>
          <w:rFonts w:ascii="Times New Roman" w:hAnsi="Times New Roman" w:cs="Times New Roman"/>
        </w:rPr>
        <w:t>Responsiveness</w:t>
      </w:r>
    </w:p>
    <w:p w14:paraId="1BC457D6" w14:textId="4EFEED85" w:rsidR="00A40374" w:rsidRPr="006A1EC7" w:rsidRDefault="00A40374" w:rsidP="00A40374">
      <w:pPr>
        <w:spacing w:line="360" w:lineRule="auto"/>
        <w:ind w:firstLine="720"/>
      </w:pPr>
      <w:r w:rsidRPr="006A1EC7">
        <w:t xml:space="preserve">For completion, another important aspect to mention is a measure’s responsiveness, capturing changes in patients’ health over time </w:t>
      </w:r>
      <w:r w:rsidRPr="006A1EC7">
        <w:fldChar w:fldCharType="begin" w:fldLock="1"/>
      </w:r>
      <w:r w:rsidRPr="006A1EC7">
        <w:instrText>ADDIN CSL_CITATION {"citationItems":[{"id":"ITEM-1","itemData":{"DOI":"10.1093/acprof:oso/9780199231881.001.0001","ISBN":"978-0-19-923188-1","abstract":"Fifth edition. Introduction to health measurement scales -- Basic concepts -- Devising the items -- Scaling responses -- Selecting the items -- Biases in responding -- From items to scales -- Reliability -- Generalizability theory -- Validity -- Measuring change -- Item response theory -- Methods of administration -- Ethical consideration -- Reporting test results -- Appendix A : Where to find tests -- Appendix B : A (very) brief introduction to factor analysis.","author":[{"dropping-particle":"","family":"Streiner","given":"David L","non-dropping-particle":"","parse-names":false,"suffix":""},{"dropping-particle":"","family":"Norman","given":"Geoffrey R.","non-dropping-particle":"","parse-names":false,"suffix":""}],"container-title":"Oxford University Press","id":"ITEM-1","issue":"Chapter 7","issued":{"date-parts":[["2008"]]},"number-of-pages":"1-431","title":"Health measurement scales: A practical guide to their development and use","type":"book","volume":"Fourth Edi"},"uris":["http://www.mendeley.com/documents/?uuid=f12e06f7-bb38-4183-9043-f42a593ba7fe"]},{"id":"ITEM-2","itemData":{"DOI":"10.1186/1477-7525-3-8","ISSN":"14777525","abstract":"Background: Since the mid eighties, responsiveness is considered to be a separate property of health status questionnaires distinct from reliability and validity. The aim of the study was to assess the strength of the relationship between internal consistency reliability, referring to an instrument's sensitivity to differences in health status among subjects at one point in time, and responsiveness referring to sensitivity to health status changes over time. Methods: We used three different datasets comprising the scores of patients on the Barthel, the SIP and the GO-QoL instruments at two points in time. The internal consistency was reduced stepwise by removing the item that contributed most to a scale's reliability. We calculated the responsiveness expressed by the Standardized Response Mean (SRM) on each set of remaining items. The strength of the relationship between the thus obtained internal consistency coefficients and SRMs was quantified by Spearman rank correlation coefficients. Results: Strong to perfect correlations (0.90 - 1.00) was found between internal consistency coefficients and SRMs for all instruments indicating, that the two can be used interchangeably. Conclusion: The results contradict the conviction that responsiveness is a separate psychometric property. The internal consistency coefficient adequately reflects an instrument's potential sensitivity to changes over time. © 2005 Lindeboom et al; licensee BioMed Central Ltd.","author":[{"dropping-particle":"","family":"Lindeboom","given":"Robert","non-dropping-particle":"","parse-names":false,"suffix":""},{"dropping-particle":"","family":"Sprangers","given":"Mirjam A.","non-dropping-particle":"","parse-names":false,"suffix":""},{"dropping-particle":"","family":"Zwinderman","given":"Aeilko H.","non-dropping-particle":"","parse-names":false,"suffix":""}],"container-title":"Health and Quality of Life Outcomes","id":"ITEM-2","issued":{"date-parts":[["2005"]]},"page":"1-5","title":"Responsiveness: A reinvention of the wheel?","type":"article-journal","volume":"3"},"uris":["http://www.mendeley.com/documents/?uuid=abeb2f5b-0dac-41cc-9c5b-94cb39a84d47"]}],"mendeley":{"formattedCitation":"(Lindeboom, Sprangers, &amp; Zwinderman, 2005; D. L. Streiner &amp; Norman, 2008)","manualFormatting":"(Lindeboom, Sprangers, &amp; Zwinderman, 2005; Streiner &amp; Norman, 2008)","plainTextFormattedCitation":"(Lindeboom, Sprangers, &amp; Zwinderman, 2005; D. L. Streiner &amp; Norman, 2008)","previouslyFormattedCitation":"(Lindeboom, Sprangers, &amp; Zwinderman, 2005; D. L. Streiner &amp; Norman, 2008)"},"properties":{"noteIndex":0},"schema":"https://github.com/citation-style-language/schema/raw/master/csl-citation.json"}</w:instrText>
      </w:r>
      <w:r w:rsidRPr="006A1EC7">
        <w:fldChar w:fldCharType="separate"/>
      </w:r>
      <w:r w:rsidRPr="006A1EC7">
        <w:rPr>
          <w:noProof/>
        </w:rPr>
        <w:t>(Lindeboom, Sprangers, &amp; Zwinderman, 2005; Streiner &amp; Norman, 2008)</w:t>
      </w:r>
      <w:r w:rsidRPr="006A1EC7">
        <w:fldChar w:fldCharType="end"/>
      </w:r>
      <w:r w:rsidRPr="006A1EC7">
        <w:t>. It is important to note that there is some debate as to whether responsiveness is simply an aspect of content validity</w:t>
      </w:r>
      <w:r w:rsidRPr="006A1EC7">
        <w:fldChar w:fldCharType="begin" w:fldLock="1"/>
      </w:r>
      <w:r w:rsidRPr="006A1EC7">
        <w:instrText>ADDIN CSL_CITATION {"citationItems":[{"id":"ITEM-1","itemData":{"DOI":"10.1093/acprof:oso/9780199231881.001.0001","ISBN":"978-0-19-923188-1","abstract":"Fifth edition. Introduction to health measurement scales -- Basic concepts -- Devising the items -- Scaling responses -- Selecting the items -- Biases in responding -- From items to scales -- Reliability -- Generalizability theory -- Validity -- Measuring change -- Item response theory -- Methods of administration -- Ethical consideration -- Reporting test results -- Appendix A : Where to find tests -- Appendix B : A (very) brief introduction to factor analysis.","author":[{"dropping-particle":"","family":"Streiner","given":"David L","non-dropping-particle":"","parse-names":false,"suffix":""},{"dropping-particle":"","family":"Norman","given":"Geoffrey R.","non-dropping-particle":"","parse-names":false,"suffix":""}],"container-title":"Oxford University Press","id":"ITEM-1","issue":"Chapter 7","issued":{"date-parts":[["2008"]]},"number-of-pages":"1-431","title":"Health measurement scales: A practical guide to their development and use","type":"book","volume":"Fourth Edi"},"uris":["http://www.mendeley.com/documents/?uuid=f12e06f7-bb38-4183-9043-f42a593ba7fe"]}],"mendeley":{"formattedCitation":"(D. L. Streiner &amp; Norman, 2008)","manualFormatting":" (Streiner &amp; Norman, 2008)","plainTextFormattedCitation":"(D. L. Streiner &amp; Norman, 2008)","previouslyFormattedCitation":"(D. L. Streiner &amp; Norman, 2008)"},"properties":{"noteIndex":0},"schema":"https://github.com/citation-style-language/schema/raw/master/csl-citation.json"}</w:instrText>
      </w:r>
      <w:r w:rsidRPr="006A1EC7">
        <w:fldChar w:fldCharType="separate"/>
      </w:r>
      <w:r w:rsidRPr="006A1EC7">
        <w:rPr>
          <w:noProof/>
        </w:rPr>
        <w:t xml:space="preserve"> (Streiner &amp; Norman, 2008)</w:t>
      </w:r>
      <w:r w:rsidRPr="006A1EC7">
        <w:fldChar w:fldCharType="end"/>
      </w:r>
      <w:r w:rsidRPr="006A1EC7">
        <w:t xml:space="preserve">. Nonetheless, an instrument’s responsiveness is an important aspect of a measure, especially if used in the context of clinical trials to show treatment benefit, for example. </w:t>
      </w:r>
    </w:p>
    <w:p w14:paraId="566A6384" w14:textId="77777777" w:rsidR="00A40374" w:rsidRPr="006A1EC7" w:rsidRDefault="00A40374" w:rsidP="00A40374">
      <w:pPr>
        <w:spacing w:line="360" w:lineRule="auto"/>
        <w:ind w:firstLine="720"/>
      </w:pPr>
    </w:p>
    <w:p w14:paraId="4A789053" w14:textId="77777777" w:rsidR="00A40374" w:rsidRPr="006A1EC7" w:rsidRDefault="00A40374" w:rsidP="00DB5C12">
      <w:pPr>
        <w:pStyle w:val="Heading5"/>
        <w:rPr>
          <w:rFonts w:ascii="Times New Roman" w:hAnsi="Times New Roman" w:cs="Times New Roman"/>
        </w:rPr>
      </w:pPr>
      <w:r w:rsidRPr="006A1EC7">
        <w:rPr>
          <w:rFonts w:ascii="Times New Roman" w:hAnsi="Times New Roman" w:cs="Times New Roman"/>
        </w:rPr>
        <w:t>Interpretability</w:t>
      </w:r>
    </w:p>
    <w:p w14:paraId="0E45A409" w14:textId="63E61504" w:rsidR="00A40374" w:rsidRPr="006A1EC7" w:rsidRDefault="00A40374" w:rsidP="00A40374">
      <w:pPr>
        <w:spacing w:line="360" w:lineRule="auto"/>
        <w:ind w:firstLine="720"/>
      </w:pPr>
      <w:r w:rsidRPr="006A1EC7">
        <w:t xml:space="preserve">Finally, interpretability refers to how meaningful obtained scores on a COA are to the context in which the measure is used </w:t>
      </w:r>
      <w:r w:rsidRPr="006A1EC7">
        <w:fldChar w:fldCharType="begin" w:fldLock="1"/>
      </w:r>
      <w:r w:rsidRPr="006A1EC7">
        <w:instrText>ADDIN CSL_CITATION {"citationItems":[{"id":"ITEM-1","itemData":{"DOI":"9812244","ISBN":"1366-5278 (Print)\\n1366-5278 (Linking)","ISSN":"1366-5278","PMID":"9812244","abstract":"Background: 'Patient-based outcome measure' is a short-hand term referring to the array of questionnaires, interview schedules and other related methods of assessing health, illness and benefits of health care interventions from the patient's perspective. Patient-based outcome measures, addressing constructs such as health-related quality of life, subjective health status, functional status, are increasingly used as primary or secondary end-points in clinical trials. Objectives: To describe the diversity and reasons for diversity of available patient-based outcome measures. To make clear that criteria investigators should have in mind when they select patient-based outcome measures for use in a clinical trial. Methods: Data sources: Literature was identified by a combination of electronic searches of databases, handsearching of selected journals and retrieval of references cited in available literature. Databases used included MEDLINE, EMBASE, CINAHL, PsychLIT and Sociofile. Study selection: A set of explicit criteria were used for selection of literature. Articles were included if they focused on any methodological aspect of patient-based outcome measures (for example, methods of evaluating such measures, psychometric evaluation of measures, comparative studies of measures, studies reporting validation of measures). Studies were excluded if they only reported use of a measure without evaluation, focused only on cross-cultural issues, focused only on clinician-based outcome measures or discussed economic utility theory only without considering measurement. A total of 5621 abstracts and articles were identified by initial searches as potentially relevant. However, after assessment, 391 key references were selected as useful to the objectives of the review. A further 22 references were incorporated into the final version as a result of comments from external experts and referees. Data synthesis: A first draft synthesising the evidence was produced by the first author of this review (RF) and extensively critiqued by the other three authors. A revised version was then submitted for evaluation to a panel of ten experts recruited to represent a wide range of areas of expertise (including clinical medicine, clinical trials, health economics, health services research, social sciences and statistics). Feedback from this panel was read and discussed by the authors of the review and a third version of the review drafted. The final version is a quasi- consensus vie…","author":[{"dropping-particle":"","family":"Fitzpatrick","given":"R","non-dropping-particle":"","parse-names":false,"suffix":""},{"dropping-particle":"","family":"Fitzpatrick","given":"R","non-dropping-particle":"","parse-names":false,"suffix":""},{"dropping-particle":"","family":"Davey","given":"C","non-dropping-particle":"","parse-names":false,"suffix":""},{"dropping-particle":"","family":"Davey","given":"C","non-dropping-particle":"","parse-names":false,"suffix":""},{"dropping-particle":"","family":"Buxton","given":"M J","non-dropping-particle":"","parse-names":false,"suffix":""},{"dropping-particle":"","family":"Buxton","given":"M J","non-dropping-particle":"","parse-names":false,"suffix":""},{"dropping-particle":"","family":"Jones","given":"D R","non-dropping-particle":"","parse-names":false,"suffix":""},{"dropping-particle":"","family":"Jones","given":"D R","non-dropping-particle":"","parse-names":false,"suffix":""}],"container-title":"Health Technology Assessment","id":"ITEM-1","issue":"14","issued":{"date-parts":[["1998"]]},"page":"i-iv, 1-74","title":"Evaluating patient-based outcome measures for use in clinical trials.","type":"article-journal","volume":"2"},"uris":["http://www.mendeley.com/documents/?uuid=e1cefbe7-068a-48b6-bb7d-b684501aded8"]},{"id":"ITEM-2","itemData":{"DOI":"10.1007/s11017-011-9186-9","ISSN":"13867415","abstract":"Patient-reported outcomes are increasingly used as dependent variables in studies regarding the effectiveness of clinical interventions. But patient-reported outcome measures (PROMs) do not provide intuitively meaningful data. For instance, it is not clear what a five point increase or decrease on a particular scale signifies. Establishing 'interpretability' involves making changes in outcomes meaningful. Attempts to interpret PROMs have led to the development of methods for identifying a minimum important difference (MID). In this paper, however, I draw on Charles Taylor's distinction between weak and strong evaluations to suggest that identifying a MID, specifically, a MID that uses a patient-reported reference group, may not provide an adequate interpretation of these measures. Moreover, I argue that the difficulty with interpreting these measures is tied to a larger problem concerning their validity. If researchers wish to interpret PROMs, they may first need to know more about the constructs they attempt to measure, namely, quality of life. © Springer Science+Business Media B.V. 2011.","author":[{"dropping-particle":"","family":"McClimans","given":"Leah","non-dropping-particle":"","parse-names":false,"suffix":""}],"container-title":"Theoretical Medicine and Bioethics","id":"ITEM-2","issue":"6","issued":{"date-parts":[["2011"]]},"page":"389-401","title":"Interpretability, validity, and the minimum important difference","type":"article-journal","volume":"32"},"uris":["http://www.mendeley.com/documents/?uuid=83fd93bc-94cf-48bd-aa39-3a8adb2156e9"]},{"id":"ITEM-3","itemData":{"DOI":"10.1037/0003-066X.51.10.1065","ISSN":"0003066X","abstract":"Many findings in psychology, including those in psychotherapy, lack interpretability because measures are not in any meaningful metric. Measures need to be calibrated so as to endow them with inherent meaning. In particular, it is important to calibrate measures against behaviors and real events in people's lives. Approaches to calibrating measures include calibration against direct personal experience, against cross-experiential equivalents, and against cross-modal equivalents, to reflect empirically established behavioral implications as well as just noticeable differences in behavior or between people. Psychological measures may never be as closely calibrated as those for physical properties, but wider reporting of unstandardized regression equations would be of great help. Psychological measures also need to be calibrated against each other so as to permit easy transformations of values or substitutions of measures. Finally, greater standardization of measures is recommended so as to produce better bases for calibration.","author":[{"dropping-particle":"","family":"Sechrest","given":"Lee","non-dropping-particle":"","parse-names":false,"suffix":""},{"dropping-particle":"","family":"McKnight","given":"Patrick","non-dropping-particle":"","parse-names":false,"suffix":""},{"dropping-particle":"","family":"McKnight","given":"Katherine","non-dropping-particle":"","parse-names":false,"suffix":""}],"container-title":"American Psychologist","id":"ITEM-3","issued":{"date-parts":[["1996"]]},"title":"Calibration of Measures for Psychotherapy Outcome Studies","type":"article-journal"},"uris":["http://www.mendeley.com/documents/?uuid=1eb5363d-5797-4875-b8a7-23d3a3a0988c"]}],"mendeley":{"formattedCitation":"(Fitzpatrick et al., 1998; McClimans, 2011; Sechrest, McKnight, &amp; McKnight, 1996)","plainTextFormattedCitation":"(Fitzpatrick et al., 1998; McClimans, 2011; Sechrest, McKnight, &amp; McKnight, 1996)","previouslyFormattedCitation":"(Fitzpatrick et al., 1998; McClimans, 2011; Sechrest, McKnight, &amp; McKnight, 1996)"},"properties":{"noteIndex":0},"schema":"https://github.com/citation-style-language/schema/raw/master/csl-citation.json"}</w:instrText>
      </w:r>
      <w:r w:rsidRPr="006A1EC7">
        <w:fldChar w:fldCharType="separate"/>
      </w:r>
      <w:r w:rsidRPr="006A1EC7">
        <w:rPr>
          <w:noProof/>
        </w:rPr>
        <w:t>(Fitzpatrick et al., 1998; McClimans, 2011; Sechrest, McKnight, &amp; McKnight, 1996)</w:t>
      </w:r>
      <w:r w:rsidRPr="006A1EC7">
        <w:fldChar w:fldCharType="end"/>
      </w:r>
      <w:r w:rsidRPr="006A1EC7">
        <w:t xml:space="preserve">. In practice, this refers to how meaningful an increase (or decrease) of a score on a particular scale is for the patient as well as what the implications are for the patient, their care and health. The EORTC QLQ C-30, a PROM for cancer patients’ QoL, for example has been criticized by </w:t>
      </w:r>
      <w:r w:rsidRPr="006A1EC7">
        <w:fldChar w:fldCharType="begin" w:fldLock="1"/>
      </w:r>
      <w:r w:rsidRPr="006A1EC7">
        <w:instrText>ADDIN CSL_CITATION {"citationItems":[{"id":"ITEM-1","itemData":{"DOI":"10.1007/s11017-011-9186-9","ISSN":"13867415","abstract":"Patient-reported outcomes are increasingly used as dependent variables in studies regarding the effectiveness of clinical interventions. But patient-reported outcome measures (PROMs) do not provide intuitively meaningful data. For instance, it is not clear what a five point increase or decrease on a particular scale signifies. Establishing 'interpretability' involves making changes in outcomes meaningful. Attempts to interpret PROMs have led to the development of methods for identifying a minimum important difference (MID). In this paper, however, I draw on Charles Taylor's distinction between weak and strong evaluations to suggest that identifying a MID, specifically, a MID that uses a patient-reported reference group, may not provide an adequate interpretation of these measures. Moreover, I argue that the difficulty with interpreting these measures is tied to a larger problem concerning their validity. If researchers wish to interpret PROMs, they may first need to know more about the constructs they attempt to measure, namely, quality of life. © Springer Science+Business Media B.V. 2011.","author":[{"dropping-particle":"","family":"McClimans","given":"Leah","non-dropping-particle":"","parse-names":false,"suffix":""}],"container-title":"Theoretical Medicine and Bioethics","id":"ITEM-1","issue":"6","issued":{"date-parts":[["2011"]]},"page":"389-401","title":"Interpretability, validity, and the minimum important difference","type":"article-journal","volume":"32"},"uris":["http://www.mendeley.com/documents/?uuid=83fd93bc-94cf-48bd-aa39-3a8adb2156e9"]}],"mendeley":{"formattedCitation":"(McClimans, 2011)","manualFormatting":"McClimans (2011)","plainTextFormattedCitation":"(McClimans, 2011)","previouslyFormattedCitation":"(McClimans, 2011)"},"properties":{"noteIndex":0},"schema":"https://github.com/citation-style-language/schema/raw/master/csl-citation.json"}</w:instrText>
      </w:r>
      <w:r w:rsidRPr="006A1EC7">
        <w:fldChar w:fldCharType="separate"/>
      </w:r>
      <w:r w:rsidRPr="006A1EC7">
        <w:rPr>
          <w:noProof/>
        </w:rPr>
        <w:t>McClimans (2011)</w:t>
      </w:r>
      <w:r w:rsidRPr="006A1EC7">
        <w:fldChar w:fldCharType="end"/>
      </w:r>
      <w:r w:rsidRPr="006A1EC7">
        <w:t xml:space="preserve"> for lacking interpretability. McClimans puts forward the criticism that a 20-point decrease in a score is not interpretable, as it is not clear what this means. In detail, she questions whether this means that “patients” are “able to enjoy their hobbies?” or “are… able to socialize more regularly?” (McClimans, 2011, p. 390). This lack of (clinical) interpretability is especially problematic when decisions, such as treatment plans or assessments of intervention efficacy, are made based on these scores (McClimans, 2011). Therefore, it is of the utmost important that COAs provide interpretable and meaningful scores, rather than mere numbers. </w:t>
      </w:r>
    </w:p>
    <w:p w14:paraId="20B2A59E" w14:textId="77777777" w:rsidR="00A40374" w:rsidRPr="006A1EC7" w:rsidRDefault="00A40374" w:rsidP="00A40374">
      <w:pPr>
        <w:spacing w:line="360" w:lineRule="auto"/>
      </w:pPr>
    </w:p>
    <w:p w14:paraId="008868A8" w14:textId="77777777" w:rsidR="00A40374" w:rsidRPr="006A1EC7" w:rsidRDefault="00A40374" w:rsidP="00744A8E">
      <w:pPr>
        <w:pStyle w:val="Heading3"/>
        <w:rPr>
          <w:rFonts w:ascii="Times New Roman" w:hAnsi="Times New Roman" w:cs="Times New Roman"/>
        </w:rPr>
      </w:pPr>
      <w:r w:rsidRPr="006A1EC7">
        <w:rPr>
          <w:rFonts w:ascii="Times New Roman" w:hAnsi="Times New Roman" w:cs="Times New Roman"/>
        </w:rPr>
        <w:t>Conclusion</w:t>
      </w:r>
    </w:p>
    <w:p w14:paraId="3838C19E" w14:textId="3717276B" w:rsidR="00A40374" w:rsidRPr="006A1EC7" w:rsidRDefault="00A40374" w:rsidP="00DB5C12">
      <w:pPr>
        <w:spacing w:line="360" w:lineRule="auto"/>
      </w:pPr>
      <w:r w:rsidRPr="006A1EC7">
        <w:tab/>
        <w:t xml:space="preserve">In summary, the development and use of COAs has much to offer for both research and routine clinical practice, especially for patients with rare diseases. The following thesis present the development of a Clinician-Rated COA for the rare disease </w:t>
      </w:r>
      <w:r w:rsidR="009F0718" w:rsidRPr="006A1EC7">
        <w:t>WHS</w:t>
      </w:r>
      <w:r w:rsidRPr="006A1EC7">
        <w:t xml:space="preserve">. It is the aim for </w:t>
      </w:r>
      <w:r w:rsidRPr="006A1EC7">
        <w:lastRenderedPageBreak/>
        <w:t xml:space="preserve">this COA to be applicable to, and useful for, both research and clinical practice. The thesis will present the development of this COAs, following guidance outlined above. Aspects, such as content or face validity and reliability, will be assessed in the following thesis. </w:t>
      </w:r>
    </w:p>
    <w:p w14:paraId="04F35B4F" w14:textId="07028D44" w:rsidR="00735B4B" w:rsidRPr="006A1EC7" w:rsidRDefault="00735B4B" w:rsidP="00DB5C12">
      <w:pPr>
        <w:spacing w:line="360" w:lineRule="auto"/>
      </w:pPr>
    </w:p>
    <w:p w14:paraId="3B4EB3D7" w14:textId="77777777" w:rsidR="00735B4B" w:rsidRPr="006A1EC7" w:rsidRDefault="00735B4B" w:rsidP="00DB5C12">
      <w:pPr>
        <w:spacing w:line="360" w:lineRule="auto"/>
        <w:sectPr w:rsidR="00735B4B" w:rsidRPr="006A1EC7" w:rsidSect="006C7209">
          <w:pgSz w:w="11900" w:h="16840"/>
          <w:pgMar w:top="1440" w:right="1440" w:bottom="1440" w:left="1440" w:header="720" w:footer="720" w:gutter="0"/>
          <w:cols w:space="720"/>
          <w:docGrid w:linePitch="360"/>
        </w:sectPr>
      </w:pPr>
    </w:p>
    <w:p w14:paraId="644C9EF8" w14:textId="2C341E71" w:rsidR="00735B4B" w:rsidRPr="006A1EC7" w:rsidRDefault="00735B4B" w:rsidP="0097625B">
      <w:pPr>
        <w:pStyle w:val="Heading1"/>
        <w:spacing w:line="276" w:lineRule="auto"/>
        <w:rPr>
          <w:rFonts w:ascii="Times New Roman" w:hAnsi="Times New Roman" w:cs="Times New Roman"/>
        </w:rPr>
      </w:pPr>
      <w:bookmarkStart w:id="67" w:name="_Toc17977851"/>
      <w:bookmarkStart w:id="68" w:name="_Toc23522710"/>
      <w:bookmarkStart w:id="69" w:name="_Toc38821425"/>
      <w:bookmarkStart w:id="70" w:name="_Toc40172981"/>
      <w:r w:rsidRPr="006A1EC7">
        <w:rPr>
          <w:rFonts w:ascii="Times New Roman" w:hAnsi="Times New Roman" w:cs="Times New Roman"/>
        </w:rPr>
        <w:lastRenderedPageBreak/>
        <w:t xml:space="preserve">Chapter 3: Systematic reviews to support the development of a Clinical Outcome Assessment for </w:t>
      </w:r>
      <w:r w:rsidR="009F0718" w:rsidRPr="006A1EC7">
        <w:rPr>
          <w:rFonts w:ascii="Times New Roman" w:hAnsi="Times New Roman" w:cs="Times New Roman"/>
        </w:rPr>
        <w:t>WHS</w:t>
      </w:r>
      <w:bookmarkEnd w:id="67"/>
      <w:bookmarkEnd w:id="68"/>
      <w:bookmarkEnd w:id="69"/>
      <w:bookmarkEnd w:id="70"/>
    </w:p>
    <w:p w14:paraId="6289949E" w14:textId="77777777" w:rsidR="0097625B" w:rsidRPr="006A1EC7" w:rsidRDefault="0097625B" w:rsidP="0097625B"/>
    <w:p w14:paraId="6A7B8A86" w14:textId="77777777" w:rsidR="00735B4B" w:rsidRPr="006A1EC7" w:rsidRDefault="00735B4B" w:rsidP="00735B4B">
      <w:pPr>
        <w:spacing w:line="276" w:lineRule="auto"/>
        <w:jc w:val="center"/>
        <w:rPr>
          <w:i/>
          <w:iCs/>
        </w:rPr>
      </w:pPr>
    </w:p>
    <w:p w14:paraId="207E2F3E" w14:textId="77777777" w:rsidR="00735B4B" w:rsidRPr="006A1EC7" w:rsidRDefault="00735B4B" w:rsidP="00735B4B">
      <w:pPr>
        <w:pStyle w:val="Heading2"/>
        <w:spacing w:line="276" w:lineRule="auto"/>
        <w:rPr>
          <w:rFonts w:ascii="Times New Roman" w:hAnsi="Times New Roman" w:cs="Times New Roman"/>
        </w:rPr>
      </w:pPr>
      <w:bookmarkStart w:id="71" w:name="_Toc38821426"/>
      <w:bookmarkStart w:id="72" w:name="_Toc6774583"/>
      <w:bookmarkStart w:id="73" w:name="_Toc17977853"/>
      <w:bookmarkStart w:id="74" w:name="_Toc23522712"/>
      <w:bookmarkStart w:id="75" w:name="_Toc40172982"/>
      <w:r w:rsidRPr="006A1EC7">
        <w:rPr>
          <w:rFonts w:ascii="Times New Roman" w:hAnsi="Times New Roman" w:cs="Times New Roman"/>
        </w:rPr>
        <w:t>Introduction</w:t>
      </w:r>
      <w:bookmarkEnd w:id="71"/>
      <w:bookmarkEnd w:id="75"/>
      <w:r w:rsidRPr="006A1EC7">
        <w:rPr>
          <w:rFonts w:ascii="Times New Roman" w:hAnsi="Times New Roman" w:cs="Times New Roman"/>
        </w:rPr>
        <w:t xml:space="preserve"> </w:t>
      </w:r>
      <w:bookmarkEnd w:id="72"/>
      <w:bookmarkEnd w:id="73"/>
      <w:bookmarkEnd w:id="74"/>
    </w:p>
    <w:p w14:paraId="23E71AF7" w14:textId="77777777" w:rsidR="00735B4B" w:rsidRPr="006A1EC7" w:rsidRDefault="00735B4B" w:rsidP="00735B4B">
      <w:pPr>
        <w:spacing w:line="276" w:lineRule="auto"/>
        <w:rPr>
          <w:u w:val="single"/>
        </w:rPr>
      </w:pPr>
    </w:p>
    <w:p w14:paraId="74024D78" w14:textId="6B61774C" w:rsidR="00735B4B" w:rsidRPr="006A1EC7" w:rsidRDefault="00735B4B" w:rsidP="00735B4B">
      <w:pPr>
        <w:spacing w:line="360" w:lineRule="auto"/>
        <w:ind w:firstLine="720"/>
      </w:pPr>
      <w:r w:rsidRPr="006A1EC7">
        <w:t xml:space="preserve">The development of a Clinical Outcome Assessment is a long and iterative process. One of the initial steps involved in this development is the consultation of the current state of the scientific literature on the topic. This is usually achieved either by consulting existing reviews or conducting one/a number of literature review of primary research findings to maximise understanding and knowledge of the concept of interest (COI) </w:t>
      </w:r>
      <w:r w:rsidRPr="006A1EC7">
        <w:fldChar w:fldCharType="begin" w:fldLock="1"/>
      </w:r>
      <w:r w:rsidRPr="006A1EC7">
        <w:instrText>ADDIN CSL_CITATION {"citationItems":[{"id":"ITEM-1","itemData":{"DOI":"10.1037/1040-3590.7.3.309","ISBN":"1040-3590 1939-134X","ISSN":"1040-3590","PMID":"15195336","abstract":"A primary goal of scale development is to create a valid measure of an underlying construct. We discuss theoretical principles, practical issues, and pragmatic decisions to help developers maximize the construct validity of scales and subscales. First, it is essential to begin with a clear conceptualization of the target construct. Moreover, the content of the initial item pool should be overinclusive and item wording needs careful attention. Next, the item pool should be tested, along with variables that assess closely related constructs, on a heterogeneous sample representing the entire range of the target population. Finally, in selecting scale items, the goal is unidimensionality rather than internal consistency; this means that virtually all interitem correlations should be moderate in magnitude. Factor analysis can play a crucial role in ensuring the unidimensionality and discriminant validity of scales.","author":[{"dropping-particle":"","family":"Clark","given":"Lee Anna","non-dropping-particle":"","parse-names":false,"suffix":""},{"dropping-particle":"","family":"Watson","given":"David","non-dropping-particle":"","parse-names":false,"suffix":""}],"container-title":"Psychological assessment","id":"ITEM-1","issue":"3","issued":{"date-parts":[["1995"]]},"page":"309-319","title":"Constructing validity: Basic issues in objective scale development","type":"article-journal","volume":"7"},"uris":["http://www.mendeley.com/documents/?uuid=20320aac-a109-4d75-86ea-cfe805b4becb"]},{"id":"ITEM-2","itemData":{"DOI":"10.1080/19312458.2017.1396583","ISSN":"19312466","abstract":"ISSN: 1931-2458 (Print) 1931-2466 (Online) Journal homepage: http://www.tandfonline.com/loi/hcms20 ABSTRACT Scale development involves numerous theoretical, methodological, and statistical competencies. Despite the central role that scales play in our predictions, scholars often apply measurement building procedures that are inconsistent with best practices. The defaults in statistical programs, inade-quate training, and numerous evaluation points can lead to improper practices. Based on a quantitative content analysis of communication jour-nal articles, scholars have improved very little in the communication of their scale development decisions and practices. To address these reoccurring issues, this article breaks down and recommends 10 steps to follow in the scale development process for researchers unfamiliar with the process. Furthermore, the present research makes a unique contribution by over-viewing procedures scholars should employ to develop their dimensions and corresponding items. The overarching objective is to encourage the adoption of scale development best practices that yield stronger concepts, and in the long run, a more stable foundation of knowledge. Social scientific terms such as interactivity, source expertise, and media credibility organize our thinking about research. Theoreticians construct abstract measures based on the collective scientific community's interpretation of a latent term. The hallmark of the quantitative approach is that concepts have been grounded in systematic procedures that enable scholars to apply their measures in similar or varying settings to determine their usefulness. Usefulness of a particular concept is often determined by the concept's ability to predict phenomena and make claims of scientific knowledge, but that knowledge may be imprecise if scholars are not aware of proper scale develop-ment techniques and reporting procedures. The linking of measurement indicators to a concept is a complex process. Unfortunately, literature on measurement theory and practice to guide commu-nication scholars is not emphasized. The purpose of the present article is to be constructive by informing readers about the misuses of Exploratory Factor Analysis (EFA) in order to discourage such mistakes in the future. A lack of awareness regarding the appropriate procedures has prompted leading scale methodologists to argue that most measures are seriously flawed even in reputable journals (Conway &amp; Huffcutt, 2003; Kline, 20…","author":[{"dropping-particle":"","family":"Carpenter","given":"Serena","non-dropping-particle":"","parse-names":false,"suffix":""}],"container-title":"Communication Methods and Measures","id":"ITEM-2","issue":"1","issued":{"date-parts":[["2018"]]},"page":"25-44","publisher":"Routledge","title":"Ten Steps in Scale Development and Reporting: A Guide for Researchers","type":"article-journal","volume":"12"},"uris":["http://www.mendeley.com/documents/?uuid=f40a9b5d-a563-4d3f-98ef-c57327bc4369"]},{"id":"ITEM-3","itemData":{"DOI":"10.1186/s41155-016-0057-1","ISBN":"0102797220170","ISSN":"16787153","abstract":"The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Critica","id":"ITEM-3","issue":"1","issued":{"date-parts":[["2017"]]},"page":"1-20","publisher":"Psicologia: Reflexão e Crítica","title":"Scale development: Ten main limitations and recommendations to improve future research practices","type":"article-journal","volume":"30"},"uris":["http://www.mendeley.com/documents/?uuid=a8b9cc36-43ce-4491-b24e-6b402072bceb"]}],"mendeley":{"formattedCitation":"(Carpenter, 2018; Clark &amp; Watson, 1995; Morgado et al., 2017)","plainTextFormattedCitation":"(Carpenter, 2018; Clark &amp; Watson, 1995; Morgado et al., 2017)","previouslyFormattedCitation":"(Carpenter, 2018; Clark &amp; Watson, 1995; Morgado et al., 2017)"},"properties":{"noteIndex":0},"schema":"https://github.com/citation-style-language/schema/raw/master/csl-citation.json"}</w:instrText>
      </w:r>
      <w:r w:rsidRPr="006A1EC7">
        <w:fldChar w:fldCharType="separate"/>
      </w:r>
      <w:r w:rsidRPr="006A1EC7">
        <w:rPr>
          <w:noProof/>
        </w:rPr>
        <w:t>(Carpenter, 2018; Clark &amp; Watson, 1995; Morgado et al., 2017)</w:t>
      </w:r>
      <w:r w:rsidRPr="006A1EC7">
        <w:fldChar w:fldCharType="end"/>
      </w:r>
      <w:r w:rsidRPr="006A1EC7">
        <w:t xml:space="preserve">. These reviews can either be narrative or systematic </w:t>
      </w:r>
      <w:r w:rsidRPr="006A1EC7">
        <w:fldChar w:fldCharType="begin" w:fldLock="1"/>
      </w:r>
      <w:r w:rsidRPr="006A1EC7">
        <w:instrText>ADDIN CSL_CITATION {"citationItems":[{"id":"ITEM-1","itemData":{"DOI":"10.3389/fpubh.2018.00149","ISSN":"2296-2565","PMID":"29942800","abstract":"Scale development and validation are critical to much of the work in the health, social, and behavioral sciences. However, the constellation of techniques required for scale development and evaluation can be onerous, jargon-filled, unfamiliar, and resource-intensive. Further, it is often not a part of graduate training. Therefore, our goal was to concisely review the process of scale development in as straightforward a manner as possible, both to facilitate the development of new, valid, and reliable scales and to help improve existing ones. To do this, we have created a primer for best practices for scale development in measuring complex phenomenon. This is not a systematic review, but rather the amalgamation of technical literature and lessons learned from our experiences spent creating or adapting a number of scales over the past several decades. We identified three phases that span nine steps. In the first phase, items are generated and the validity of their content is assessed. In the second phase, the scale is constructed. Steps in scale construction include pre-testing the questions, administering the survey, reducing the number of items, and understanding how many factors the scale captures. In the third phase, scale evaluation, the number of dimensions is tested, reliability is tested, and validity is assessed. We have also added examples of best practices to each step. In sum, this primer will equip both scientists and practitioners to understand the ontology and methodology of scale development and validation, thereby facilitating the advancement of our understanding of a range of health, social, and behavioral outcomes","author":[{"dropping-particle":"","family":"Boateng","given":"Godfred O.","non-dropping-particle":"","parse-names":false,"suffix":""},{"dropping-particle":"","family":"Neilands","given":"Torsten B.","non-dropping-particle":"","parse-names":false,"suffix":""},{"dropping-particle":"","family":"Frongillo","given":"Edward A.","non-dropping-particle":"","parse-names":false,"suffix":""},{"dropping-particle":"","family":"Melgar-Quiñonez","given":"Hugo R.","non-dropping-particle":"","parse-names":false,"suffix":""},{"dropping-particle":"","family":"Young","given":"Sera L.","non-dropping-particle":"","parse-names":false,"suffix":""}],"container-title":"Frontiers in Public Health","id":"ITEM-1","issue":"June","issued":{"date-parts":[["2018"]]},"page":"1-18","title":"Best Practices for Developing and Validating Scales for Health, Social, and Behavioral Research: A Primer","type":"article-journal","volume":"6"},"uris":["http://www.mendeley.com/documents/?uuid=4ddf49ad-ff37-4c28-97be-ee29877a811d"]},{"id":"ITEM-2","itemData":{"DOI":"10.1136/eb-2018-102895","ISSN":"1367-6539","abstract":"Many health professionals, students and academics including health researchers will have grappled with the challenges of undertaking a review of the literature and choosing a suitable design or framework to structure the review. For many undergraduate and master’s healthcare students their final year dissertation involves undertaking a review of the literature as a way of assessing their understanding and ability to critique and apply research findings to practice. For PhD and Master’s by Research students, a rigorous summary of research is usually expected to identify the state of knowledge and gaps in the evidence related to their topic focus and to provide justification for the empirical work they subsequently undertake. From discussions with students and colleagues, there appears to be much confusion about review designs and in particular …","author":[{"dropping-particle":"","family":"Noble","given":"Helen","non-dropping-particle":"","parse-names":false,"suffix":""},{"dropping-particle":"","family":"Smith","given":"Joanna","non-dropping-particle":"","parse-names":false,"suffix":""}],"container-title":"Evidence Based Nursing","id":"ITEM-2","issue":"2","issued":{"date-parts":[["2018"]]},"page":"39-41","title":"Reviewing the literature: choosing a review design","type":"article-journal","volume":"21"},"uris":["http://www.mendeley.com/documents/?uuid=044e5177-fcb2-4ee7-bed7-5f95e0f7ec6c"]},{"id":"ITEM-3","itemData":{"DOI":"10.1017/S1121189X00002918","ISSN":"1121189X","abstract":"The present article outlines the main features and limitations of systematic reviews, illustrating the advantages of systematic reviews by comparing the conclusions of narrative and systematic reviews of the atypical antipsychotic drugs. Metaanalysis is used to investigate the heterogenity. A comparison between systematic reviews and narrative review is made for atypical antipsychotics and schizophrenia. Finally the article suggest ways in which further syntheses of primary trial data may yield clinically useful information. Systematic review produce more conservative conclusions than narrative reviews. (PsycINFO Database Record (c) 2012 APA, all rights reserved)","author":[{"dropping-particle":"","family":"Cipriani","given":"Andrea","non-dropping-particle":"","parse-names":false,"suffix":""},{"dropping-particle":"","family":"Geddes","given":"John","non-dropping-particle":"","parse-names":false,"suffix":""}],"container-title":"Epidemiologia e Psichiatria Sociale","id":"ITEM-3","issue":"3","issued":{"date-parts":[["2003"]]},"page":"146-153","title":"Comparison of systematic and narrative reviews: The example of the atypical antipsychotics","type":"article-journal","volume":"12"},"uris":["http://www.mendeley.com/documents/?uuid=58f789be-28b3-4256-87dd-f8a9b35d1036"]}],"mendeley":{"formattedCitation":"(Boateng et al., 2018; Cipriani &amp; Geddes, 2003; H. Noble &amp; Smith, 2018)","manualFormatting":"(Boateng et al., 2018; Cipriani &amp; Geddes, 2003; Noble &amp; Smith, 2018)","plainTextFormattedCitation":"(Boateng et al., 2018; Cipriani &amp; Geddes, 2003; H. Noble &amp; Smith, 2018)","previouslyFormattedCitation":"(Boateng et al., 2018; Cipriani &amp; Geddes, 2003; H. Noble &amp; Smith, 2018)"},"properties":{"noteIndex":0},"schema":"https://github.com/citation-style-language/schema/raw/master/csl-citation.json"}</w:instrText>
      </w:r>
      <w:r w:rsidRPr="006A1EC7">
        <w:fldChar w:fldCharType="separate"/>
      </w:r>
      <w:r w:rsidRPr="006A1EC7">
        <w:rPr>
          <w:noProof/>
        </w:rPr>
        <w:t>(Boateng et al., 2018; Cipriani &amp; Geddes, 2003; Noble &amp; Smith, 2018)</w:t>
      </w:r>
      <w:r w:rsidRPr="006A1EC7">
        <w:fldChar w:fldCharType="end"/>
      </w:r>
      <w:r w:rsidRPr="006A1EC7">
        <w:t xml:space="preserve">. The main difference between narrative and systematic reviews is that systematic reviews are based on (previously specified) methods (including search strategy and synthesis), which make them reproducible </w:t>
      </w:r>
      <w:r w:rsidRPr="006A1EC7">
        <w:fldChar w:fldCharType="begin" w:fldLock="1"/>
      </w:r>
      <w:r w:rsidRPr="006A1EC7">
        <w:instrText>ADDIN CSL_CITATION {"citationItems":[{"id":"ITEM-1","itemData":{"DOI":"10.1136/eb-2018-102895","ISSN":"1367-6539","abstract":"Many health professionals, students and academics including health researchers will have grappled with the challenges of undertaking a review of the literature and choosing a suitable design or framework to structure the review. For many undergraduate and master’s healthcare students their final year dissertation involves undertaking a review of the literature as a way of assessing their understanding and ability to critique and apply research findings to practice. For PhD and Master’s by Research students, a rigorous summary of research is usually expected to identify the state of knowledge and gaps in the evidence related to their topic focus and to provide justification for the empirical work they subsequently undertake. From discussions with students and colleagues, there appears to be much confusion about review designs and in particular …","author":[{"dropping-particle":"","family":"Noble","given":"Helen","non-dropping-particle":"","parse-names":false,"suffix":""},{"dropping-particle":"","family":"Smith","given":"Joanna","non-dropping-particle":"","parse-names":false,"suffix":""}],"container-title":"Evidence Based Nursing","id":"ITEM-1","issue":"2","issued":{"date-parts":[["2018"]]},"page":"39-41","title":"Reviewing the literature: choosing a review design","type":"article-journal","volume":"21"},"uris":["http://www.mendeley.com/documents/?uuid=044e5177-fcb2-4ee7-bed7-5f95e0f7ec6c"]},{"id":"ITEM-2","itemData":{"DOI":"10.1017/S1121189X00002918","ISSN":"1121189X","abstract":"The present article outlines the main features and limitations of systematic reviews, illustrating the advantages of systematic reviews by comparing the conclusions of narrative and systematic reviews of the atypical antipsychotic drugs. Metaanalysis is used to investigate the heterogenity. A comparison between systematic reviews and narrative review is made for atypical antipsychotics and schizophrenia. Finally the article suggest ways in which further syntheses of primary trial data may yield clinically useful information. Systematic review produce more conservative conclusions than narrative reviews. (PsycINFO Database Record (c) 2012 APA, all rights reserved)","author":[{"dropping-particle":"","family":"Cipriani","given":"Andrea","non-dropping-particle":"","parse-names":false,"suffix":""},{"dropping-particle":"","family":"Geddes","given":"John","non-dropping-particle":"","parse-names":false,"suffix":""}],"container-title":"Epidemiologia e Psichiatria Sociale","id":"ITEM-2","issue":"3","issued":{"date-parts":[["2003"]]},"page":"146-153","title":"Comparison of systematic and narrative reviews: The example of the atypical antipsychotics","type":"article-journal","volume":"12"},"uris":["http://www.mendeley.com/documents/?uuid=58f789be-28b3-4256-87dd-f8a9b35d1036"]}],"mendeley":{"formattedCitation":"(Cipriani &amp; Geddes, 2003; H. Noble &amp; Smith, 2018)","manualFormatting":"(Cipriani &amp; Geddes, 2003; Noble &amp; Smith, 2018)","plainTextFormattedCitation":"(Cipriani &amp; Geddes, 2003; H. Noble &amp; Smith, 2018)","previouslyFormattedCitation":"(Cipriani &amp; Geddes, 2003; H. Noble &amp; Smith, 2018)"},"properties":{"noteIndex":0},"schema":"https://github.com/citation-style-language/schema/raw/master/csl-citation.json"}</w:instrText>
      </w:r>
      <w:r w:rsidRPr="006A1EC7">
        <w:fldChar w:fldCharType="separate"/>
      </w:r>
      <w:r w:rsidRPr="006A1EC7">
        <w:rPr>
          <w:noProof/>
        </w:rPr>
        <w:t>(Cipriani &amp; Geddes, 2003; Noble &amp; Smith, 2018)</w:t>
      </w:r>
      <w:r w:rsidRPr="006A1EC7">
        <w:fldChar w:fldCharType="end"/>
      </w:r>
      <w:r w:rsidRPr="006A1EC7">
        <w:t xml:space="preserve">. Systematic reviews are seen as a more ‘conservative’ approach </w:t>
      </w:r>
      <w:r w:rsidRPr="006A1EC7">
        <w:fldChar w:fldCharType="begin" w:fldLock="1"/>
      </w:r>
      <w:r w:rsidRPr="006A1EC7">
        <w:instrText>ADDIN CSL_CITATION {"citationItems":[{"id":"ITEM-1","itemData":{"DOI":"10.1017/S1121189X00002918","ISSN":"1121189X","abstract":"The present article outlines the main features and limitations of systematic reviews, illustrating the advantages of systematic reviews by comparing the conclusions of narrative and systematic reviews of the atypical antipsychotic drugs. Metaanalysis is used to investigate the heterogenity. A comparison between systematic reviews and narrative review is made for atypical antipsychotics and schizophrenia. Finally the article suggest ways in which further syntheses of primary trial data may yield clinically useful information. Systematic review produce more conservative conclusions than narrative reviews. (PsycINFO Database Record (c) 2012 APA, all rights reserved)","author":[{"dropping-particle":"","family":"Cipriani","given":"Andrea","non-dropping-particle":"","parse-names":false,"suffix":""},{"dropping-particle":"","family":"Geddes","given":"John","non-dropping-particle":"","parse-names":false,"suffix":""}],"container-title":"Epidemiologia e Psichiatria Sociale","id":"ITEM-1","issue":"3","issued":{"date-parts":[["2003"]]},"page":"146-153","title":"Comparison of systematic and narrative reviews: The example of the atypical antipsychotics","type":"article-journal","volume":"12"},"uris":["http://www.mendeley.com/documents/?uuid=58f789be-28b3-4256-87dd-f8a9b35d1036"]}],"mendeley":{"formattedCitation":"(Cipriani &amp; Geddes, 2003)","plainTextFormattedCitation":"(Cipriani &amp; Geddes, 2003)","previouslyFormattedCitation":"(Cipriani &amp; Geddes, 2003)"},"properties":{"noteIndex":0},"schema":"https://github.com/citation-style-language/schema/raw/master/csl-citation.json"}</w:instrText>
      </w:r>
      <w:r w:rsidRPr="006A1EC7">
        <w:fldChar w:fldCharType="separate"/>
      </w:r>
      <w:r w:rsidRPr="006A1EC7">
        <w:rPr>
          <w:noProof/>
        </w:rPr>
        <w:t>(Cipriani &amp; Geddes, 2003)</w:t>
      </w:r>
      <w:r w:rsidRPr="006A1EC7">
        <w:fldChar w:fldCharType="end"/>
      </w:r>
      <w:r w:rsidRPr="006A1EC7">
        <w:t xml:space="preserve"> to synthesise research findings than narrative reviews. This is reflected in the fact that systematic reviews are referred to as the ‘gold standard’ for evidence synthesis and appraisal </w:t>
      </w:r>
      <w:r w:rsidRPr="006A1EC7">
        <w:fldChar w:fldCharType="begin" w:fldLock="1"/>
      </w:r>
      <w:r w:rsidRPr="006A1EC7">
        <w:instrText>ADDIN CSL_CITATION {"citationItems":[{"id":"ITEM-1","itemData":{"DOI":"10.1136/eb-2018-102895","ISSN":"1367-6539","abstract":"Many health professionals, students and academics including health researchers will have grappled with the challenges of undertaking a review of the literature and choosing a suitable design or framework to structure the review. For many undergraduate and master’s healthcare students their final year dissertation involves undertaking a review of the literature as a way of assessing their understanding and ability to critique and apply research findings to practice. For PhD and Master’s by Research students, a rigorous summary of research is usually expected to identify the state of knowledge and gaps in the evidence related to their topic focus and to provide justification for the empirical work they subsequently undertake. From discussions with students and colleagues, there appears to be much confusion about review designs and in particular …","author":[{"dropping-particle":"","family":"Noble","given":"Helen","non-dropping-particle":"","parse-names":false,"suffix":""},{"dropping-particle":"","family":"Smith","given":"Joanna","non-dropping-particle":"","parse-names":false,"suffix":""}],"container-title":"Evidence Based Nursing","id":"ITEM-1","issue":"2","issued":{"date-parts":[["2018"]]},"page":"39-41","title":"Reviewing the literature: choosing a review design","type":"article-journal","volume":"21"},"uris":["http://www.mendeley.com/documents/?uuid=044e5177-fcb2-4ee7-bed7-5f95e0f7ec6c"]}],"mendeley":{"formattedCitation":"(H. Noble &amp; Smith, 2018)","manualFormatting":"(Noble &amp; Smith, 2018)","plainTextFormattedCitation":"(H. Noble &amp; Smith, 2018)","previouslyFormattedCitation":"(H. Noble &amp; Smith, 2018)"},"properties":{"noteIndex":0},"schema":"https://github.com/citation-style-language/schema/raw/master/csl-citation.json"}</w:instrText>
      </w:r>
      <w:r w:rsidRPr="006A1EC7">
        <w:fldChar w:fldCharType="separate"/>
      </w:r>
      <w:r w:rsidRPr="006A1EC7">
        <w:rPr>
          <w:noProof/>
        </w:rPr>
        <w:t>(Noble &amp; Smith, 2018)</w:t>
      </w:r>
      <w:r w:rsidRPr="006A1EC7">
        <w:fldChar w:fldCharType="end"/>
      </w:r>
      <w:r w:rsidRPr="006A1EC7">
        <w:t xml:space="preserve">. Systematic reviews are often used in the first steps during scale development </w:t>
      </w:r>
      <w:r w:rsidRPr="006A1EC7">
        <w:fldChar w:fldCharType="begin" w:fldLock="1"/>
      </w:r>
      <w:r w:rsidRPr="006A1EC7">
        <w:instrText>ADDIN CSL_CITATION {"citationItems":[{"id":"ITEM-1","itemData":{"DOI":"10.1097/00006534-200301000-00085","ISSN":"00321052","abstract":"Outcomes research examines the end results of medical interventions, taking into account patients' experiences, preferences, and values. The purpose of assessing outcomes is to provide evidence on which to base clinical decisions. The assessment of outcomes in aesthetic surgery is especially pertinent because patient satisfaction is the predominant factor in determining success. In cosmetic surgery, various scales have been used to assess outcomes. Unfortunately, none of these methods has achieved widespread use. The adoption of broadly accepted, relevant scales to measure outcomes would be advantageous, because this would allow the comparison of techniques, quantification of positive effects, and identification of patients unlikely to benefit from surgery. The purpose of this study was to critically review the present literature to identify the appropriate instruments to assess outcomes in aesthetic surgery. After a comprehensive review of aesthetic surgery outcome instruments, the authors identified body-image and quality-of-life measures to be of the greatest value in determining aesthetic surgery outcomes. These conclusions were based on a critical evaluation of the feasibility, validity, reliability, and sensitivity to change of these measures. The Multidimensional Body-States Relations Questionnaire (MBSRQ), a psychological assessment of body image, was selected as a potential candidate for further study. Two additional body-image assessment instruments, the Facial Appearance Sorting Test (FAST) and the Breast Chest Ratings Scale (BCRS), may be useful in the assessment of rhinoplasty and breast surgery, respectively. The Derriford Scale (DAS59), an instrument that assesses appearance-related quality of life, was also selected. In addition, the authors recommend the use of a generic, utility-based quality-of-life instrument, such as the Health Utilities Index (HUI) or the EuroQol (EQ-5D).","author":[{"dropping-particle":"","family":"Ching","given":"Shim","non-dropping-particle":"","parse-names":false,"suffix":""},{"dropping-particle":"","family":"Thoma","given":"Achilleas","non-dropping-particle":"","parse-names":false,"suffix":""},{"dropping-particle":"","family":"McCabe","given":"Randi E.","non-dropping-particle":"","parse-names":false,"suffix":""},{"dropping-particle":"","family":"Antony","given":"Martin M.","non-dropping-particle":"","parse-names":false,"suffix":""}],"container-title":"Plastic and Reconstructive Surgery","id":"ITEM-1","issue":"1","issued":{"date-parts":[["2003"]]},"page":"469-480","title":"Measuring outcomes in aesthetic surgery: A comprehensive review of the literature","type":"article-journal","volume":"111"},"uris":["http://www.mendeley.com/documents/?uuid=684a70c6-db07-48d6-87b0-b0261a1edb7b"]},{"id":"ITEM-2","itemData":{"DOI":"10.1002/bjs.10407","author":[{"dropping-particle":"","family":"Duncan","given":"R","non-dropping-particle":"","parse-names":false,"suffix":""},{"dropping-particle":"","family":"Essat","given":"M","non-dropping-particle":"","parse-names":false,"suffix":""},{"dropping-particle":"","family":"Jones","given":"G","non-dropping-particle":"","parse-names":false,"suffix":""},{"dropping-particle":"","family":"Booth","given":"A","non-dropping-particle":"","parse-names":false,"suffix":""},{"dropping-particle":"","family":"Buckley Woods","given":"H","non-dropping-particle":"","parse-names":false,"suffix":""},{"dropping-particle":"","family":"Poku","given":"E","non-dropping-particle":"","parse-names":false,"suffix":""},{"dropping-particle":"","family":"Kaltenthaler","given":"E","non-dropping-particle":"","parse-names":false,"suffix":""},{"dropping-particle":"","family":"Keetharuth","given":"A","non-dropping-particle":"","parse-names":false,"suffix":""},{"dropping-particle":"","family":"Palfreyman","given":"S","non-dropping-particle":"","parse-names":false,"suffix":""},{"dropping-particle":"","family":"Michaels","given":"J","non-dropping-particle":"","parse-names":false,"suffix":""}],"container-title":"British Journal of Surgery","id":"ITEM-2","issue":"4","issued":{"date-parts":[["2017"]]},"page":"317 - 327","title":"Systematic review and qualitative evidence synthesis of patient-reported outcome measures for abdominal aortic aneurysm","type":"article-journal","volume":"104"},"uris":["http://www.mendeley.com/documents/?uuid=3eef26b0-6cca-4a6c-b110-34649d8c74fa"]},{"id":"ITEM-3","itemData":{"DOI":"10.1111/1471-0528.13251","ISSN":"14710528","abstract":"BackgroundPatient-reported outcome measures (PROMs) are used to assess the impact of health care on a patient's health. Within the gynaecological oncology setting, multiple PROMs have been adopted but no assessment has been made in terms of their psychometric qualities and robustness. ObjectivesTo undertake a systematic review to identify the most psychometrically robust and appropriate PROM used in the gynaecological oncology setting. Search strategyA search of the bibliographic database of the Oxford PROM group, plus nine additional databases, was carried out along with citation-tracking and hand searches. Selection criteriaStudies examining the psychometric properties of outcome measures tested in gynaecological cancer populations were selected by three blinded reviewers. Data collection and analysisStudies were independently assessed and data extracted. Analysis included an appraisal of the psychometric properties and functionality of the included PROMs to guide recommendations. Main resultsEighteen PROMs tested in gynaecological oncology settings were identified. These were categorised into seven areas of focus, and the most psychometrically robust tools were identified: (1) generic (no recommendation); (2) general cancer (EORTC QLQ-C30 and FACT-G); (3) pelvic cancer (QUESTGY); (4) ovarian cancer (EORTC QLQ-OV28); (5) cervical cancer (EORTC QLQ-CX24); (6) endometrial cancer (EORTC QLQ-EN 24); and (7) vulval cancer (FACT-V). Author's conclusionsSeven PROMs were recommended for use in six gynaecological populations. No single tool was identified that had been tested in all disease groups. Some showed promise, but a lack of conceptual clarity about the core outcomes and the rationale for use will require further testing using well-constructed studies.","author":[{"dropping-particle":"","family":"Preston","given":"N. J.","non-dropping-particle":"","parse-names":false,"suffix":""},{"dropping-particle":"","family":"Wilson","given":"N.","non-dropping-particle":"","parse-names":false,"suffix":""},{"dropping-particle":"","family":"Wood","given":"N. J.","non-dropping-particle":"","parse-names":false,"suffix":""},{"dropping-particle":"","family":"Brine","given":"J.","non-dropping-particle":"","parse-names":false,"suffix":""},{"dropping-particle":"","family":"Ferreira","given":"J.","non-dropping-particle":"","parse-names":false,"suffix":""},{"dropping-particle":"","family":"Brearley","given":"S. G.","non-dropping-particle":"","parse-names":false,"suffix":""}],"container-title":"BJOG: An International Journal of Obstetrics and Gynaecology","id":"ITEM-3","issue":"5","issued":{"date-parts":[["2015"]]},"page":"615-622","title":"Patient-reported outcome measures for use in gynaecological oncology: A systematic review","type":"article-journal","volume":"122"},"uris":["http://www.mendeley.com/documents/?uuid=f511f03f-2f66-43b7-b919-172f079e4e70"]},{"id":"ITEM-4","itemData":{"DOI":"10.1017/S0022215117002420","ISSN":"17485460","abstract":"BACKGROUND: Recently, there has been increased emphasis on the development and application of patient-reported outcome measures. This drive to assess the impact of illness or interventions, from the patient's perspective, has resulted in a greater number of available questionnaires. The importance of selecting an appropriate patient-reported outcome measure is specifically emphasised in the paediatric population. The literature on patient-reported outcome measures used in paediatric otolaryngology was reviewed. METHODS: A comprehensive literature search was conducted using the databases Medline, Embase, Cumulative Index to Nursing and Allied Health Literature, and PsycInfo, using the terms: 'health assessment questionnaire', 'structured questionnaire', 'questionnaire', 'patient reported outcome measures', 'PROM', 'quality of life' or 'survey', and 'children' or 'otolaryngology'. The search was limited to English-language articles published between 1996 and 2016. RESULTS: The search yielded 656 articles, of which 63 were considered relevant. This included general paediatric patient-reported outcome measures applied to otolaryngology, and paediatric otolaryngology disease-specific patient-reported outcome measures. CONCLUSION: A large collection of patient-reported outcome measures are described in the paediatric otolaryngology literature. Greater standardisation of the patient-reported outcome measures used in paediatric otolaryngology would assist in pooling of data and increase the validation of tools used.","author":[{"dropping-particle":"","family":"Powell","given":"J.","non-dropping-particle":"","parse-names":false,"suffix":""},{"dropping-particle":"","family":"Powell","given":"S.","non-dropping-particle":"","parse-names":false,"suffix":""},{"dropping-particle":"","family":"Robson","given":"A.","non-dropping-particle":"","parse-names":false,"suffix":""}],"container-title":"Journal of Laryngology and Otology","id":"ITEM-4","issue":"1","issued":{"date-parts":[["2018"]]},"page":"2-7","title":"A systematic review of patient-reported outcome measures in paediatric otolaryngology","type":"article-journal","volume":"132"},"uris":["http://www.mendeley.com/documents/?uuid=2f0de853-4f6b-46d4-a1ae-64d38fe43332"]},{"id":"ITEM-5","itemData":{"DOI":"10.1016/j.orcp.2017.11.003","ISSN":"18780318","abstract":"Objective: Develop/validate a weight-specific health literacy instrument. Methods: The development of weight-specific health literacy measurement consisted of seven phases: (a) a literature review; (b) consultation with weight management experts; (c) generation of an item pool; (d) selection of items via the Delphi method; (e) pilot testing; (f) a national survey; and (g) examination of the psychometric properties of the results. Results: A random sample of 362 Taiwanese adults completed the face-toface survey. The results of factor analysis indicated reasonable good fit of a 2-factor model (χ 2 /df = 1.1, p = 0.18; RMSEA = 0.02, CFI = 0.99, TLI = 0.99). Construct validity testing showed that the both factors were significantly correlated with s-MHLS (γ = 0.71, p &lt; 0.001; γ = 0.22, p &lt; 0.001), comprehension (γ = 0.32, p &lt; 0.001: γ = 0.10, p &lt; 0.05), and writing (γ = 0.44, p &lt; 0.001: γ = 0.11, p &lt; 0.05). Predictive validity testing showed that the first factor had significant correlations with weight management efficacy (γ = 0.16, p &lt; 0.001), and three weight management behaviors. The second factor was significantly correlated with weight management efficacy (γ = 0.11, p &lt; 0.05) but not with the 3 weight management behaviors. Conclusions: On the basis of the psychometric results, we conclude that the final version of Weight-Specific Health Literacy Instrument (WSHLI) includes the 13 items. It is a valid and reliable tool for weight management research and evaluation in Mandarin Chinese speaking populations.","author":[{"dropping-particle":"","family":"Tsai","given":"Tzu I.","non-dropping-particle":"","parse-names":false,"suffix":""},{"dropping-particle":"","family":"Lee","given":"Shoou Yih D.","non-dropping-particle":"","parse-names":false,"suffix":""}],"container-title":"Obesity Research and Clinical Practice","id":"ITEM-5","issue":"2","issued":{"date-parts":[["2018"]]},"page":"214-221","publisher":"Asia Oceania Assoc. for the Study of Obesity","title":"Development and validation of a Weight-Specific Health Literacy Instrument (WSHLI)","type":"article-journal","volume":"12"},"uris":["http://www.mendeley.com/documents/?uuid=a2ec132a-a0ad-4e7c-9f05-2b9d5537b4da"]}],"mendeley":{"formattedCitation":"(Ching, Thoma, McCabe, &amp; Antony, 2003; Duncan et al., 2017; Powell, Powell, &amp; Robson, 2018; Preston et al., 2015; Tsai &amp; Lee, 2018)","manualFormatting":"(e.g. Ching et al., 2003; Preston et al., 2015; Duncan et al., 2017; Powell, Powell and Robson, 2018; Tsai and Lee, 2018)","plainTextFormattedCitation":"(Ching, Thoma, McCabe, &amp; Antony, 2003; Duncan et al., 2017; Powell, Powell, &amp; Robson, 2018; Preston et al., 2015; Tsai &amp; Lee, 2018)","previouslyFormattedCitation":"(Ching, Thoma, McCabe, &amp; Antony, 2003; Duncan et al., 2017; Powell, Powell, &amp; Robson, 2018; Preston et al., 2015; Tsai &amp; Lee, 2018)"},"properties":{"noteIndex":0},"schema":"https://github.com/citation-style-language/schema/raw/master/csl-citation.json"}</w:instrText>
      </w:r>
      <w:r w:rsidRPr="006A1EC7">
        <w:fldChar w:fldCharType="separate"/>
      </w:r>
      <w:r w:rsidRPr="006A1EC7">
        <w:rPr>
          <w:noProof/>
        </w:rPr>
        <w:t xml:space="preserve">(e.g. Ching </w:t>
      </w:r>
      <w:r w:rsidRPr="006A1EC7">
        <w:rPr>
          <w:i/>
          <w:noProof/>
        </w:rPr>
        <w:t>et al.</w:t>
      </w:r>
      <w:r w:rsidRPr="006A1EC7">
        <w:rPr>
          <w:noProof/>
        </w:rPr>
        <w:t xml:space="preserve">, 2003; Preston </w:t>
      </w:r>
      <w:r w:rsidRPr="006A1EC7">
        <w:rPr>
          <w:i/>
          <w:noProof/>
        </w:rPr>
        <w:t>et al.</w:t>
      </w:r>
      <w:r w:rsidRPr="006A1EC7">
        <w:rPr>
          <w:noProof/>
        </w:rPr>
        <w:t xml:space="preserve">, 2015; Duncan </w:t>
      </w:r>
      <w:r w:rsidRPr="006A1EC7">
        <w:rPr>
          <w:i/>
          <w:noProof/>
        </w:rPr>
        <w:t>et al.</w:t>
      </w:r>
      <w:r w:rsidRPr="006A1EC7">
        <w:rPr>
          <w:noProof/>
        </w:rPr>
        <w:t>, 2017; Powell, Powell and Robson, 2018</w:t>
      </w:r>
      <w:r w:rsidRPr="006A1EC7">
        <w:rPr>
          <w:noProof/>
        </w:rPr>
        <w:fldChar w:fldCharType="begin" w:fldLock="1"/>
      </w:r>
      <w:r w:rsidRPr="006A1EC7">
        <w:rPr>
          <w:noProof/>
        </w:rPr>
        <w:instrText>ADDIN CSL_CITATION {"citationItems":[{"id":"ITEM-1","itemData":{"DOI":"10.1016/j.orcp.2017.11.003","ISSN":"18780318","abstract":"Objective: Develop/validate a weight-specific health literacy instrument. Methods: The development of weight-specific health literacy measurement consisted of seven phases: (a) a literature review; (b) consultation with weight management experts; (c) generation of an item pool; (d) selection of items via the Delphi method; (e) pilot testing; (f) a national survey; and (g) examination of the psychometric properties of the results. Results: A random sample of 362 Taiwanese adults completed the face-toface survey. The results of factor analysis indicated reasonable good fit of a 2-factor model (χ 2 /df = 1.1, p = 0.18; RMSEA = 0.02, CFI = 0.99, TLI = 0.99). Construct validity testing showed that the both factors were significantly correlated with s-MHLS (γ = 0.71, p &lt; 0.001; γ = 0.22, p &lt; 0.001), comprehension (γ = 0.32, p &lt; 0.001: γ = 0.10, p &lt; 0.05), and writing (γ = 0.44, p &lt; 0.001: γ = 0.11, p &lt; 0.05). Predictive validity testing showed that the first factor had significant correlations with weight management efficacy (γ = 0.16, p &lt; 0.001), and three weight management behaviors. The second factor was significantly correlated with weight management efficacy (γ = 0.11, p &lt; 0.05) but not with the 3 weight management behaviors. Conclusions: On the basis of the psychometric results, we conclude that the final version of Weight-Specific Health Literacy Instrument (WSHLI) includes the 13 items. It is a valid and reliable tool for weight management research and evaluation in Mandarin Chinese speaking populations.","author":[{"dropping-particle":"","family":"Tsai","given":"Tzu I.","non-dropping-particle":"","parse-names":false,"suffix":""},{"dropping-particle":"","family":"Lee","given":"Shoou Yih D.","non-dropping-particle":"","parse-names":false,"suffix":""}],"container-title":"Obesity Research and Clinical Practice","id":"ITEM-1","issue":"2","issued":{"date-parts":[["2018"]]},"page":"214-221","publisher":"Asia Oceania Assoc. for the Study of Obesity","title":"Development and validation of a Weight-Specific Health Literacy Instrument (WSHLI)","type":"article-journal","volume":"12"},"uris":["http://www.mendeley.com/documents/?uuid=a2ec132a-a0ad-4e7c-9f05-2b9d5537b4da"]}],"mendeley":{"formattedCitation":"(Tsai &amp; Lee, 2018)","manualFormatting":"; Tsai and Lee, 2018","plainTextFormattedCitation":"(Tsai &amp; Lee, 2018)","previouslyFormattedCitation":"(Tsai &amp; Lee, 2018)"},"properties":{"noteIndex":0},"schema":"https://github.com/citation-style-language/schema/raw/master/csl-citation.json"}</w:instrText>
      </w:r>
      <w:r w:rsidRPr="006A1EC7">
        <w:rPr>
          <w:noProof/>
        </w:rPr>
        <w:fldChar w:fldCharType="separate"/>
      </w:r>
      <w:r w:rsidRPr="006A1EC7">
        <w:rPr>
          <w:noProof/>
        </w:rPr>
        <w:t>; Tsai and Lee, 2018</w:t>
      </w:r>
      <w:r w:rsidRPr="006A1EC7">
        <w:rPr>
          <w:noProof/>
        </w:rPr>
        <w:fldChar w:fldCharType="end"/>
      </w:r>
      <w:r w:rsidRPr="006A1EC7">
        <w:rPr>
          <w:noProof/>
        </w:rPr>
        <w:t>)</w:t>
      </w:r>
      <w:r w:rsidRPr="006A1EC7">
        <w:fldChar w:fldCharType="end"/>
      </w:r>
      <w:r w:rsidRPr="006A1EC7">
        <w:t xml:space="preserve">. </w:t>
      </w:r>
    </w:p>
    <w:p w14:paraId="1762E956" w14:textId="77777777" w:rsidR="00735B4B" w:rsidRPr="006A1EC7" w:rsidRDefault="00735B4B" w:rsidP="00735B4B">
      <w:pPr>
        <w:spacing w:line="360" w:lineRule="auto"/>
        <w:ind w:firstLine="360"/>
      </w:pPr>
      <w:r w:rsidRPr="006A1EC7">
        <w:t xml:space="preserve">Narrative reviews do not contain a methods section, but instead are often based on the author’s/ authors’ expertise rather than systematic searches and appraisal of the literature </w:t>
      </w:r>
      <w:r w:rsidRPr="006A1EC7">
        <w:fldChar w:fldCharType="begin" w:fldLock="1"/>
      </w:r>
      <w:r w:rsidRPr="006A1EC7">
        <w:instrText>ADDIN CSL_CITATION {"citationItems":[{"id":"ITEM-1","itemData":{"DOI":"10.1017/S1121189X00002918","ISSN":"1121189X","abstract":"The present article outlines the main features and limitations of systematic reviews, illustrating the advantages of systematic reviews by comparing the conclusions of narrative and systematic reviews of the atypical antipsychotic drugs. Metaanalysis is used to investigate the heterogenity. A comparison between systematic reviews and narrative review is made for atypical antipsychotics and schizophrenia. Finally the article suggest ways in which further syntheses of primary trial data may yield clinically useful information. Systematic review produce more conservative conclusions than narrative reviews. (PsycINFO Database Record (c) 2012 APA, all rights reserved)","author":[{"dropping-particle":"","family":"Cipriani","given":"Andrea","non-dropping-particle":"","parse-names":false,"suffix":""},{"dropping-particle":"","family":"Geddes","given":"John","non-dropping-particle":"","parse-names":false,"suffix":""}],"container-title":"Epidemiologia e Psichiatria Sociale","id":"ITEM-1","issue":"3","issued":{"date-parts":[["2003"]]},"page":"146-153","title":"Comparison of systematic and narrative reviews: The example of the atypical antipsychotics","type":"article-journal","volume":"12"},"uris":["http://www.mendeley.com/documents/?uuid=58f789be-28b3-4256-87dd-f8a9b35d1036"]}],"mendeley":{"formattedCitation":"(Cipriani &amp; Geddes, 2003)","plainTextFormattedCitation":"(Cipriani &amp; Geddes, 2003)","previouslyFormattedCitation":"(Cipriani &amp; Geddes, 2003)"},"properties":{"noteIndex":0},"schema":"https://github.com/citation-style-language/schema/raw/master/csl-citation.json"}</w:instrText>
      </w:r>
      <w:r w:rsidRPr="006A1EC7">
        <w:fldChar w:fldCharType="separate"/>
      </w:r>
      <w:r w:rsidRPr="006A1EC7">
        <w:rPr>
          <w:noProof/>
        </w:rPr>
        <w:t>(Cipriani &amp; Geddes, 2003)</w:t>
      </w:r>
      <w:r w:rsidRPr="006A1EC7">
        <w:fldChar w:fldCharType="end"/>
      </w:r>
      <w:r w:rsidRPr="006A1EC7">
        <w:t xml:space="preserve">. There is a chance that such reviews may be biased in their reports and conclusion(s) drawn </w:t>
      </w:r>
      <w:r w:rsidRPr="006A1EC7">
        <w:fldChar w:fldCharType="begin" w:fldLock="1"/>
      </w:r>
      <w:r w:rsidRPr="006A1EC7">
        <w:instrText>ADDIN CSL_CITATION {"citationItems":[{"id":"ITEM-1","itemData":{"DOI":"10.1017/S1121189X00002918","ISSN":"1121189X","abstract":"The present article outlines the main features and limitations of systematic reviews, illustrating the advantages of systematic reviews by comparing the conclusions of narrative and systematic reviews of the atypical antipsychotic drugs. Metaanalysis is used to investigate the heterogenity. A comparison between systematic reviews and narrative review is made for atypical antipsychotics and schizophrenia. Finally the article suggest ways in which further syntheses of primary trial data may yield clinically useful information. Systematic review produce more conservative conclusions than narrative reviews. (PsycINFO Database Record (c) 2012 APA, all rights reserved)","author":[{"dropping-particle":"","family":"Cipriani","given":"Andrea","non-dropping-particle":"","parse-names":false,"suffix":""},{"dropping-particle":"","family":"Geddes","given":"John","non-dropping-particle":"","parse-names":false,"suffix":""}],"container-title":"Epidemiologia e Psichiatria Sociale","id":"ITEM-1","issue":"3","issued":{"date-parts":[["2003"]]},"page":"146-153","title":"Comparison of systematic and narrative reviews: The example of the atypical antipsychotics","type":"article-journal","volume":"12"},"uris":["http://www.mendeley.com/documents/?uuid=58f789be-28b3-4256-87dd-f8a9b35d1036"]},{"id":"ITEM-2","itemData":{"ISSN":"00034819","abstract":"Fifty reviews published during June 1985 to June 1986 in four major medical journals were assessed in a study of the methods of current review articles. Assessments were based on eight explicit criteria adapted from published guidelines for information syntheses. Of the 50 articles, 17 satisfied three of the eight criteria; 32 satisfied four or five criteria; and 1 satisfied six criteria. Most reviews had clearly specified purposes (n = 40) and conclusions (n = 37). Only one had clearly specified methods of identifying, selecting, and validating included information. Qualitative synthesis was often used to integrate information included in the review (n = 43); quantitative synthesis was rarely used (n = 3). Future research directives were mentioned in 21. These results indicate that current medical reviews do not routinely use scientific methods to identify, assess, and synthesize information. The methods used in this systematic assessment of reviews are proposed to improve the quality of future review articles.","author":[{"dropping-particle":"","family":"Mulrow","given":"C. D.","non-dropping-particle":"","parse-names":false,"suffix":""}],"container-title":"Annals of Internal Medicine","id":"ITEM-2","issued":{"date-parts":[["1987"]]},"title":"The medical review article: state of the science.","type":"article-journal"},"uris":["http://www.mendeley.com/documents/?uuid=6448757e-0a72-4bdd-b92a-f18c57d55ebb"]}],"mendeley":{"formattedCitation":"(Cipriani &amp; Geddes, 2003; Mulrow, 1987)","plainTextFormattedCitation":"(Cipriani &amp; Geddes, 2003; Mulrow, 1987)","previouslyFormattedCitation":"(Cipriani &amp; Geddes, 2003; Mulrow, 1987)"},"properties":{"noteIndex":0},"schema":"https://github.com/citation-style-language/schema/raw/master/csl-citation.json"}</w:instrText>
      </w:r>
      <w:r w:rsidRPr="006A1EC7">
        <w:fldChar w:fldCharType="separate"/>
      </w:r>
      <w:r w:rsidRPr="006A1EC7">
        <w:rPr>
          <w:noProof/>
        </w:rPr>
        <w:t>(Cipriani &amp; Geddes, 2003; Mulrow, 1987)</w:t>
      </w:r>
      <w:r w:rsidRPr="006A1EC7">
        <w:fldChar w:fldCharType="end"/>
      </w:r>
      <w:r w:rsidRPr="006A1EC7">
        <w:t xml:space="preserve">; it is important to critically appraise such narrative reviews or expert reviews to assess for contributions, author expertise and potential conflict of interests. </w:t>
      </w:r>
    </w:p>
    <w:p w14:paraId="489E3BB8" w14:textId="77777777" w:rsidR="00735B4B" w:rsidRPr="006A1EC7" w:rsidRDefault="00735B4B" w:rsidP="00735B4B">
      <w:pPr>
        <w:spacing w:line="360" w:lineRule="auto"/>
        <w:ind w:firstLine="720"/>
      </w:pPr>
      <w:r w:rsidRPr="006A1EC7">
        <w:t xml:space="preserve">For outcomes research, the following reviews are usually required </w:t>
      </w:r>
      <w:r w:rsidRPr="006A1EC7">
        <w:fldChar w:fldCharType="begin" w:fldLock="1"/>
      </w:r>
      <w:r w:rsidRPr="006A1EC7">
        <w:instrText>ADDIN CSL_CITATION {"citationItems":[{"id":"ITEM-1","itemData":{"DOI":"10.3389/fpubh.2018.00149","ISSN":"2296-2565","PMID":"29942800","abstract":"Scale development and validation are critical to much of the work in the health, social, and behavioral sciences. However, the constellation of techniques required for scale development and evaluation can be onerous, jargon-filled, unfamiliar, and resource-intensive. Further, it is often not a part of graduate training. Therefore, our goal was to concisely review the process of scale development in as straightforward a manner as possible, both to facilitate the development of new, valid, and reliable scales and to help improve existing ones. To do this, we have created a primer for best practices for scale development in measuring complex phenomenon. This is not a systematic review, but rather the amalgamation of technical literature and lessons learned from our experiences spent creating or adapting a number of scales over the past several decades. We identified three phases that span nine steps. In the first phase, items are generated and the validity of their content is assessed. In the second phase, the scale is constructed. Steps in scale construction include pre-testing the questions, administering the survey, reducing the number of items, and understanding how many factors the scale captures. In the third phase, scale evaluation, the number of dimensions is tested, reliability is tested, and validity is assessed. We have also added examples of best practices to each step. In sum, this primer will equip both scientists and practitioners to understand the ontology and methodology of scale development and validation, thereby facilitating the advancement of our understanding of a range of health, social, and behavioral outcomes","author":[{"dropping-particle":"","family":"Boateng","given":"Godfred O.","non-dropping-particle":"","parse-names":false,"suffix":""},{"dropping-particle":"","family":"Neilands","given":"Torsten B.","non-dropping-particle":"","parse-names":false,"suffix":""},{"dropping-particle":"","family":"Frongillo","given":"Edward A.","non-dropping-particle":"","parse-names":false,"suffix":""},{"dropping-particle":"","family":"Melgar-Quiñonez","given":"Hugo R.","non-dropping-particle":"","parse-names":false,"suffix":""},{"dropping-particle":"","family":"Young","given":"Sera L.","non-dropping-particle":"","parse-names":false,"suffix":""}],"container-title":"Frontiers in Public Health","id":"ITEM-1","issue":"June","issued":{"date-parts":[["2018"]]},"page":"1-18","title":"Best Practices for Developing and Validating Scales for Health, Social, and Behavioral Research: A Primer","type":"article-journal","volume":"6"},"uris":["http://www.mendeley.com/documents/?uuid=4ddf49ad-ff37-4c28-97be-ee29877a811d"]},{"id":"ITEM-2","itemData":{"URL":"https://www.fda.gov/drugs/developmentapprovalprocess/drugdevelopmenttoolsqualificationprogram/ucm284077.htm","accessed":{"date-parts":[["2017","9","11"]]},"author":[{"dropping-particle":"","family":"U.S. Food and Drug Administration","given":"","non-dropping-particle":"","parse-names":false,"suffix":""}],"id":"ITEM-2","issued":{"date-parts":[["2017"]]},"title":"Clinical Outcome Assessment Qualification Program","type":"webpage"},"uris":["http://www.mendeley.com/documents/?uuid=7e751b8e-50ac-4312-97f0-68c1be4e74dc"]}],"mendeley":{"formattedCitation":"(Boateng et al., 2018; U.S. Food and Drug Administration, 2017a)","plainTextFormattedCitation":"(Boateng et al., 2018; U.S. Food and Drug Administration, 2017a)","previouslyFormattedCitation":"(Boateng et al., 2018; U.S. Food and Drug Administration, 2017a)"},"properties":{"noteIndex":0},"schema":"https://github.com/citation-style-language/schema/raw/master/csl-citation.json"}</w:instrText>
      </w:r>
      <w:r w:rsidRPr="006A1EC7">
        <w:fldChar w:fldCharType="separate"/>
      </w:r>
      <w:r w:rsidRPr="006A1EC7">
        <w:rPr>
          <w:noProof/>
        </w:rPr>
        <w:t>(Boateng et al., 2018; U.S. Food and Drug Administration, 2017a)</w:t>
      </w:r>
      <w:r w:rsidRPr="006A1EC7">
        <w:fldChar w:fldCharType="end"/>
      </w:r>
      <w:r w:rsidRPr="006A1EC7">
        <w:t xml:space="preserve">: </w:t>
      </w:r>
    </w:p>
    <w:p w14:paraId="7965D383" w14:textId="77777777" w:rsidR="00735B4B" w:rsidRPr="006A1EC7" w:rsidRDefault="00735B4B" w:rsidP="00735B4B">
      <w:pPr>
        <w:spacing w:line="276" w:lineRule="auto"/>
        <w:ind w:firstLine="720"/>
      </w:pPr>
    </w:p>
    <w:p w14:paraId="52704857" w14:textId="09B02218" w:rsidR="00735B4B" w:rsidRPr="006A1EC7" w:rsidRDefault="00735B4B" w:rsidP="00735B4B">
      <w:pPr>
        <w:pStyle w:val="ListParagraph"/>
        <w:numPr>
          <w:ilvl w:val="0"/>
          <w:numId w:val="6"/>
        </w:numPr>
        <w:spacing w:line="360" w:lineRule="auto"/>
        <w:ind w:left="0"/>
        <w:rPr>
          <w:rFonts w:ascii="Times New Roman" w:hAnsi="Times New Roman" w:cs="Times New Roman"/>
        </w:rPr>
      </w:pPr>
      <w:r w:rsidRPr="006A1EC7">
        <w:rPr>
          <w:rFonts w:ascii="Times New Roman" w:hAnsi="Times New Roman" w:cs="Times New Roman"/>
          <w:i/>
        </w:rPr>
        <w:t>Firstly</w:t>
      </w:r>
      <w:r w:rsidRPr="006A1EC7">
        <w:rPr>
          <w:rFonts w:ascii="Times New Roman" w:hAnsi="Times New Roman" w:cs="Times New Roman"/>
        </w:rPr>
        <w:t xml:space="preserve">, a review on the concept of interest of the COA is required (Graphic 4 in Chapter 1). For the current project, this means a review on </w:t>
      </w:r>
      <w:r w:rsidR="009F0718" w:rsidRPr="006A1EC7">
        <w:rPr>
          <w:rFonts w:ascii="Times New Roman" w:hAnsi="Times New Roman" w:cs="Times New Roman"/>
        </w:rPr>
        <w:t>WHS</w:t>
      </w:r>
      <w:r w:rsidRPr="006A1EC7">
        <w:rPr>
          <w:rFonts w:ascii="Times New Roman" w:hAnsi="Times New Roman" w:cs="Times New Roman"/>
        </w:rPr>
        <w:t xml:space="preserve">, its clinical features, prevalence and comorbidity is needed. In 2015, Battaglia et al. </w:t>
      </w:r>
      <w:r w:rsidRPr="006A1EC7">
        <w:rPr>
          <w:rFonts w:ascii="Times New Roman" w:hAnsi="Times New Roman" w:cs="Times New Roman"/>
        </w:rPr>
        <w:fldChar w:fldCharType="begin" w:fldLock="1"/>
      </w:r>
      <w:r w:rsidRPr="006A1EC7">
        <w:rPr>
          <w:rFonts w:ascii="Times New Roman" w:hAnsi="Times New Roman" w:cs="Times New Roman"/>
        </w:rPr>
        <w:instrText>ADDIN CSL_CITATION {"citationItems":[{"id":"ITEM-1","itemData":{"DOI":"10.1002/ajmg.c.31449","abstract":"Since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update","type":"article-journal","volume":"169"},"uris":["http://www.mendeley.com/documents/?uuid=acb46dbc-8007-4dc4-b32c-d930a3f9d182"]}],"mendeley":{"formattedCitation":"(Agatino Battaglia et al., 2015b)","manualFormatting":"(2015)","plainTextFormattedCitation":"(Agatino Battaglia et al., 2015b)","previouslyFormattedCitation":"(Agatino Battaglia et al., 2015b)"},"properties":{"noteIndex":0},"schema":"https://github.com/citation-style-language/schema/raw/master/csl-citation.json"}</w:instrText>
      </w:r>
      <w:r w:rsidRPr="006A1EC7">
        <w:rPr>
          <w:rFonts w:ascii="Times New Roman" w:hAnsi="Times New Roman" w:cs="Times New Roman"/>
        </w:rPr>
        <w:fldChar w:fldCharType="separate"/>
      </w:r>
      <w:r w:rsidRPr="006A1EC7">
        <w:rPr>
          <w:rFonts w:ascii="Times New Roman" w:hAnsi="Times New Roman" w:cs="Times New Roman"/>
          <w:noProof/>
        </w:rPr>
        <w:t>(2015)</w:t>
      </w:r>
      <w:r w:rsidRPr="006A1EC7">
        <w:rPr>
          <w:rFonts w:ascii="Times New Roman" w:hAnsi="Times New Roman" w:cs="Times New Roman"/>
        </w:rPr>
        <w:fldChar w:fldCharType="end"/>
      </w:r>
      <w:r w:rsidRPr="006A1EC7">
        <w:rPr>
          <w:rFonts w:ascii="Times New Roman" w:hAnsi="Times New Roman" w:cs="Times New Roman"/>
        </w:rPr>
        <w:t xml:space="preserve">, three leading international </w:t>
      </w:r>
      <w:r w:rsidRPr="006A1EC7">
        <w:rPr>
          <w:rFonts w:ascii="Times New Roman" w:hAnsi="Times New Roman" w:cs="Times New Roman"/>
        </w:rPr>
        <w:lastRenderedPageBreak/>
        <w:t xml:space="preserve">experts on </w:t>
      </w:r>
      <w:r w:rsidR="009F0718" w:rsidRPr="006A1EC7">
        <w:rPr>
          <w:rFonts w:ascii="Times New Roman" w:hAnsi="Times New Roman" w:cs="Times New Roman"/>
        </w:rPr>
        <w:t>WHS</w:t>
      </w:r>
      <w:r w:rsidRPr="006A1EC7">
        <w:rPr>
          <w:rFonts w:ascii="Times New Roman" w:hAnsi="Times New Roman" w:cs="Times New Roman"/>
        </w:rPr>
        <w:t xml:space="preserve"> (Italy, United States of America), published an article titled “</w:t>
      </w:r>
      <w:r w:rsidR="009F0718" w:rsidRPr="006A1EC7">
        <w:rPr>
          <w:rFonts w:ascii="Times New Roman" w:hAnsi="Times New Roman" w:cs="Times New Roman"/>
        </w:rPr>
        <w:t>WHS</w:t>
      </w:r>
      <w:r w:rsidRPr="006A1EC7">
        <w:rPr>
          <w:rFonts w:ascii="Times New Roman" w:hAnsi="Times New Roman" w:cs="Times New Roman"/>
        </w:rPr>
        <w:t xml:space="preserve">: A review and update” in the American Journal of Medical Genetics Part C. This was a narrative expert review. This paper is based on the clinical expertise of the three authors who have been publishing on </w:t>
      </w:r>
      <w:r w:rsidR="009F0718" w:rsidRPr="006A1EC7">
        <w:rPr>
          <w:rFonts w:ascii="Times New Roman" w:hAnsi="Times New Roman" w:cs="Times New Roman"/>
        </w:rPr>
        <w:t>WHS</w:t>
      </w:r>
      <w:r w:rsidRPr="006A1EC7">
        <w:rPr>
          <w:rFonts w:ascii="Times New Roman" w:hAnsi="Times New Roman" w:cs="Times New Roman"/>
        </w:rPr>
        <w:t xml:space="preserve"> since 1993 </w:t>
      </w:r>
      <w:r w:rsidRPr="006A1EC7">
        <w:rPr>
          <w:rFonts w:ascii="Times New Roman" w:hAnsi="Times New Roman" w:cs="Times New Roman"/>
        </w:rPr>
        <w:fldChar w:fldCharType="begin" w:fldLock="1"/>
      </w:r>
      <w:r w:rsidR="00AD67F5" w:rsidRPr="006A1EC7">
        <w:rPr>
          <w:rFonts w:ascii="Times New Roman" w:hAnsi="Times New Roman" w:cs="Times New Roman"/>
        </w:rPr>
        <w:instrText>ADDIN CSL_CITATION {"citationItems":[{"id":"ITEM-1","itemData":{"abstract":"CLINICAL CHARACTERISTICS Wolf-Hirschhorn syndrome (WHS) is characterized by typical craniofacial features in infancy consisting of ‘Greek warrior helmet’ appearance of the nose (wide bridge of the nose continuing to the forehead), microcephaly, high anterior hairline with prominent glabella, widely spaced eyes, epicanthus, highly arched eyebrows, short philtrum, downturned corners of the mouth, micrognathia, and poorly formed ears with pits/tags. All affected individuals have prenatal-onset growth deficiency followed by postnatal growth retardation and hypotonia with muscle underdevelopment. Developmental delay/intellectual disability of variable degree is present in all. Seizures occur in 90% to 100% of children with WHS. Other findings include skeletal anomalies (60%-70%), congenital heart defects (~50%), hearing loss (mostly conductive) (&gt;40%), urinary tract malformations (25%), and structural brain abnormalities (33%). DIAGNOSIS/TESTING The diagnosis of WHS is established by the finding of a heterozygous deletion of the Wolf-Hirschhorn syndrome critical region (WHSCR) on chromosome 4p16.3 by chromosomal microarray (CMA), conventional G-banded cytogenetic analysis, or fluorescence in situ hybridization (FISH). MANAGEMENT Treatment of manifestations: Treatment includes: rehabilitation, speech/communication therapy and sign language; valproic acid for atypical absence seizures; benzodiazepines for status epilepticus; special feeding techniques, gavage feeding, and/or gastrostomy for feeding difficulties. Standard care is recommended for skeletal anomalies, ophthalmologic abnormalities, congenital heart defects, hearing loss, sleep disturbance, and hepatic adenomas. Prevention of secondary complications: Antibiotic prophylaxis for vesicoureteral reflux; IVIG infusions or continuous antibiotics for those with antibody deficiencies. Surveillance: Systematic follow up to monitor rehabilitation and treatment as needed; annual complete blood count and renal function testing; consideration of routine liver ultrasounds. Agents/circumstances to avoid: Carbamazepine may worsen atypical absence seizures. GENETIC COUNSELING WHS is caused by deletion of the WHSCR of chromosome 4p16.3 by one of several genetic mechanisms. About 50%-60% of individuals with WHS have a de novo pure deletion of 4p16 and about 40%-45% have an unbalanced translocation with both a deletion of 4p and a partial trisomy of a different chromosome arm. These unbalanced translocations may be de …","author":[{"dropping-particle":"","family":"Battaglia","given":"Agatino","non-dropping-particle":"","parse-names":false,"suffix":""},{"dropping-particle":"","family":"Carey","given":"John C","non-dropping-particle":"","parse-names":false,"suffix":""},{"dropping-particle":"","family":"South","given":"Sarah T","non-dropping-particle":"","parse-names":false,"suffix":""}],"container-title":"GeneReviews®","id":"ITEM-1","issued":{"date-parts":[["1993"]]},"title":"Wolf-Hirschhorn Syndrome","type":"book"},"uris":["http://www.mendeley.com/documents/?uuid=a7301a9b-9d47-4bd9-91de-fe52134c03ce"]},{"id":"ITEM-2","itemData":{"DOI":"10.1002/ajmg.c.30187","ISBN":"1552-4876 (Electronic)","ISSN":"15524868","PMID":"18932224","abstract":"Wolf-Hirschhorn syndrome (WHS) is a well-known multiple congenital anomalies/mental retardation syndrome, firstly described in 1961 by Cooper and Hirschhorn. Its frequency is estimated as 1/50,000-1/20,000 births, with a female predilection of 2:1. The disorder is caused by partial loss of material from the distal portion of the short arm of chromosome 4 (4p16.3), and is considered a contiguous gene syndrome. No single gene deletions or intragenic mutations have been shown to confer the full WHS phenotype. Since the disorder was brought to the attention of geneticists, many additional cases have been published. Only in 1999, however, were the first data on the natural history brought to the attention of the medical community. The purpose of the present study is to help delineate in more detail and over a longer period of time, the natural history of WHS, in order to establish appropriate health supervision and anticipatory guidance for individuals with this disorder. We have collected information on 87 patients diagnosed with WHS (54 females and 33 males) both in USA and Italy. Age at first observation ranged between newborn and 17 years. Twenty patients have been followed from 4 months to 23 years. The deletion proximal breakpoint varied from 4p15.32 to 4p16.3, and, by FISH, was terminal and included both WHSCR. Deletion was detected by standard cytogenetics in 44/87 (50.5%) patients, whereas FISH was necessary in the other 43 (49.5%). Array-CGH analysis at 1 Mb resolution was performed in 34/87 patients, and, in 15/34 (44%), showed an unbalanced translocation leading to both a 4p monosomy and a partial trisomy for another chromosome arm. Six more patients had been previously shown to have an unbalanced translocation by karyotype analysis or FISH with a WHS-specific probe. Sixty-five of 87 patients had an apparent pure, de novo, terminal deletion; and 1/87 a tandem duplication of 4p16.1p16.3 associated with 4p16.3pter deletion. Age at diagnosis varied between 7 months gestation and 16 years. Ninety-three percent had a seizure disorder with a good outcome; 80% had prenatal onset growth deficiency followed by short stature and slow weight gain; 60% had skeletal anomalies; 50% had heart lesions; 50% had abnormal tooth development; and 40% had hearing loss. Distinctive EEG findings were seen in 90%. Structural CNS anomalies were detected in 80%. Global developmental delay of varying degrees was present in all patients. Almost 50% was able to walk either al…","author":[{"dropping-particle":"","family":"Battaglia","given":"Agatino","non-dropping-particle":"","parse-names":false,"suffix":""},{"dropping-particle":"","family":"Filippi","given":"Tiziana","non-dropping-particle":"","parse-names":false,"suffix":""},{"dropping-particle":"","family":"Carey","given":"John C.","non-dropping-particle":"","parse-names":false,"suffix":""}],"container-title":"American Journal of Medical Genetics, Part C: Seminars in Medical Genetics","id":"ITEM-2","issue":"4","issued":{"date-parts":[["2008","11"]]},"page":"246-251","title":"Update on the clinical features and natural history of Wolf-Hirschhorn (4p-) syndrome: Experience with 87 patients and recommendations for routine health supervision","type":"article-journal","volume":"148"},"uris":["http://www.mendeley.com/documents/?uuid=030e9003-7570-4ac7-b8ec-042d75d129eb"]},{"id":"ITEM-3","itemData":{"DOI":"10.1542/peds.103.4.830","abstract":"Wolf-Hirschhorn syndrome (WHS) is a well-known chromosomal disorder attributable to partial deletion of the short arm of chromosome 4 (4p-). Although about 120 cases have been reported so far, there is still very little data on its natural history. Information given to parents at the time of diagnosis tends to be skewed to the extreme negative. To help delineate more thoroughly the natural history of WHS, and to obtain better information to answer parents' questions in a clinical setting, we evaluated 15 patients (12 females, 3 males) in three centers with the 4p- syndrome. Four of the cases had a follow-up spanning 16 years. Thirteen cases were detected by standard cytogenetics (regular G-banding 10, high-resolution banding 3), while the remaining 2 required fluorescence in situ hybridization. A total of 5/15 (33.3%) had heart lesions; 7/15 (46. 6%) had oral facial clefts; 13/15 (86.6%) had a seizure disorder, that tended to disappear with age; and 100% had severe/profound developmental retardation. One Italian patient had sensorineural deafness and 1 Utah patient had a right split hand defect. Of note, 2 Utah patients were able to walk with support (at 4 and 12 years of age, respectively), whereas 3 Italian patients and 1 Utah patient were able to walk unassisted (at 4, 5, 5 years 9 months, and 7 years of age, respectively). Two of the 3 Italian patients also achieved sphincter control (by day). The 8 patients receiving serial electroencephalogram studies showed fairly distinctive abnormalities, usually outlasting seizures. A slow, but constant progress in development was observed in all cases, during the follow-up period. In conclusion, the combined cases of the three centers represent considerable experience, providing new information on several aspects of this important deletion syndrome.","author":[{"dropping-particle":"","family":"Battaglia","given":"A","non-dropping-particle":"","parse-names":false,"suffix":""},{"dropping-particle":"","family":"Carey","given":"J C","non-dropping-particle":"","parse-names":false,"suffix":""},{"dropping-particle":"","family":"Cederholm","given":"P","non-dropping-particle":"","parse-names":false,"suffix":""},{"dropping-particle":"","family":"Viskochil","given":"D H","non-dropping-particle":"","parse-names":false,"suffix":""},{"dropping-particle":"","family":"Brothman","given":"A R","non-dropping-particle":"","parse-names":false,"suffix":""},{"dropping-particle":"","family":"Galasso","given":"C","non-dropping-particle":"","parse-names":false,"suffix":""}],"container-title":"Pediatrics","id":"ITEM-3","issue":"4 I","issued":{"date-parts":[["1999","4"]]},"language":"English","note":"From Duplicate 3 (Natural history of Wolf-Hirschhorn syndrome: Experience with 15 cases - Battaglia, A; Carey, J C; Cederholm, P; Viskochil, D H; Brothman, A R; Galasso, C)\n\nCited By :120\n\nExport Date: 5 January 2018\n\nCODEN: PEDIA\n\nCorrespondence Address: Battaglia, A.; Stella Maris Scientific Res. Inst., Inst. of Child Neurol. and Psychiat., University of Pisa, via dei Giacinti, 2, 56018 Calambrone, Pisa, Italy","page":"830-836","publisher":"American Academy of Pediatrics","publisher-place":"Stella Maris Sci. Research Institute, Inst. of Child Neurol. and Psychiat., University of Pisa, 2-56018 Calambrone, Pisa, Italy","title":"Natural history of Wolf-Hirschhorn syndrome: Experience with 15 cases","type":"article-journal","volume":"103"},"uris":["http://www.mendeley.com/documents/?uuid=18e12a82-2b91-4fb5-84ff-64f5679a022b"]},{"id":"ITEM-4","itemData":{"DOI":"10.1111/jir.12157","author":[{"dropping-particle":"","family":"Battaglia","given":"A","non-dropping-particle":"","parse-names":false,"suffix":""}],"container-title":"Journal of Intellectual Disability Research","id":"ITEM-4","issue":"10","issued":{"date-parts":[["2014"]]},"note":"Battaglia, A.\n1365-2788","page":"890","title":"WOLF-HIRSCHHORN (4P-) SYNDROME: CLINICAL FEATURES AND NATURAL HISTORY","type":"article-journal","volume":"58"},"uris":["http://www.mendeley.com/documents/?uuid=ab33d941-77a9-4918-9d46-5fc996bfec67"]},{"id":"ITEM-5","itemData":{"author":[{"dropping-particle":"","family":"Bamshad","given":"M.","non-dropping-particle":"","parse-names":false,"suffix":""},{"dropping-particle":"","family":"O'Quinn","given":"J.","non-dropping-particle":"","parse-names":false,"suffix":""},{"dropping-particle":"","family":"Carey","given":"J.","non-dropping-particle":"","parse-names":false,"suffix":""}],"container-title":"American Journal of Medical Genetics","id":"ITEM-5","issued":{"date-parts":[["1998"]]},"page":"351-354","title":"Wo lf-Hirs c h h o rn S y n d ro m e a n d a S p lit-Ha n d Ma lfo rm a tio n","type":"article-journal","volume":"354"},"uris":["http://www.mendeley.com/documents/?uuid=a29fdb83-2f2c-4076-be88-771618629057"]},{"id":"ITEM-6","itemData":{"DOI":"10.1038/sj.ejhg.5201915","ISBN":"1018-4813 (Print)\\r1018-4813","ISSN":"1018-4813","PMID":"17726485","abstract":"Wolf–Hirschhorn syndrome (WHS) is caused by deletions involving chromosome region 4p16.3. The minimal diagnostic criteria include mild-to-severe mental retardation, hypotonia, growth delay and a distinctive facial appearance. Variable manifestations include feeding difficulties, seizures and major congenital anomalies. Clinical variation may be explained by variation in the size of the deletion. However, in addition to having a deletion involving 4p16.3, previous studies indicate that approximately 15% of WHS patients are also duplicated for another chromosome region due to an unbalanced translocation. It is likely that the prevalence of unbalanced translocations resulting in WHS is underestimated since they can be missed using conventional chromosome analyses such as karyotyping and WHS-specific fluorescence in situ hybridization (FISH). Therefore, we hypothesized that some of the clinical variation may be due to an unrecognized and unbalanced translocation. Array comparative genomic hybridization (aCGH) is a new technology that can analyze the entire genome at a significantly higher resolution over conventional cytogenetics to characterize unbalanced rearrangements. We used aCGH to analyze 33 patients with WHS and found a much higher than expected frequency of unbalanced translocations (15/33, 45%). Seven of these 15 cases were cryptic translocations not detected by a previous karyotype combined with WHS-specific FISH. Three of these 15 cases had an unbalanced translocation involving the short arm of an acrocentric chromosome and were not detected by either aCGH or subtelomere FISH. Analysis of clinical manifestations of each patient also revealed that patients with an unbalanced translocation often presented with exceptions to some expected phenotypes.","author":[{"dropping-particle":"","family":"South","given":"Sarah T","non-dropping-particle":"","parse-names":false,"suffix":""},{"dropping-particle":"","family":"Whitby","given":"Heidi","non-dropping-particle":"","parse-names":false,"suffix":""},{"dropping-particle":"","family":"Battaglia","given":"Agatino","non-dropping-particle":"","parse-names":false,"suffix":""},{"dropping-particle":"","family":"Carey","given":"John C","non-dropping-particle":"","parse-names":false,"suffix":""},{"dropping-particle":"","family":"Brothman","given":"Arthur R","non-dropping-particle":"","parse-names":false,"suffix":""}],"container-title":"European Journal of Human Genetics","id":"ITEM-6","issue":"1","issued":{"date-parts":[["2008","1"]]},"page":"45-52","title":"Comprehensive analysis of Wolf–Hirschhorn syndrome using array CGH indicates a high prevalence of translocations","type":"article-journal","volume":"16"},"uris":["http://www.mendeley.com/documents/?uuid=e879da40-afc9-4b1b-92bf-edca290396de"]},{"id":"ITEM-7","itemData":{"abstract":"The Wolf-Hirschhorn syndrome (WHS) is a well known chromosomal disorder, due to a deletion of distal chromosome 4p. The classical gestalt is striking and poses few diagnostic problems. However, due to the difficulty of detecting very small deletions by standard cytogenetics, diagnosis can be sometimes very difficult, particularly in older patients. In this paper we show the changes, occurring over time, in facial appearance of affected individuals, to improve insight into the evolution of the phenotype, and to increase its diagnostic potential.","author":[{"dropping-particle":"","family":"Battaglia","given":"A","non-dropping-particle":"","parse-names":false,"suffix":""},{"dropping-particle":"","family":"Carey","given":"J C","non-dropping-particle":"","parse-names":false,"suffix":""},{"dropping-particle":"","family":"Viskochil","given":"D H","non-dropping-particle":"","parse-names":false,"suffix":""},{"dropping-particle":"","family":"Cederholm","given":"P","non-dropping-particle":"","parse-names":false,"suffix":""},{"dropping-particle":"","family":"Opitz","given":"J M","non-dropping-particle":"","parse-names":false,"suffix":""}],"container-title":"Clinical Dysmorphology","id":"ITEM-7","issue":"1","issued":{"date-parts":[["2000","1"]]},"language":"English","note":"From Duplicate 1 (Wolf-Hirschhorn syndrome (WHS): A history in pictures - Battaglia, A; Carey, J C; Viskochil, D H; Cederholm, P; Opitz, J M)\n\nCited By :23\n\nExport Date: 5 January 2018\n\nCODEN: CDYSE\n\nCorrespondence Address: Battaglia, A.; Stella Maris Scientific Res. Inst., University of Pisa, via dei Giacinti, 2, 56018 Calambrone, Pisa, Italy; email: abattaglia@inpe.unipi.it","page":"25-30","publisher-place":"Stella Maris Sci. Res. Institute, Inst. of Child Neurol./Psychiatry, University of Pisa, Calambrone, Pisa, Italy","title":"Wolf-Hirschhorn syndrome (WHS): A history in pictures","type":"article-journal","volume":"9"},"uris":["http://www.mendeley.com/documents/?uuid=5b122f61-76ee-496b-80b1-3493a5c392b5"]}],"mendeley":{"formattedCitation":"(Bamshad, O’Quinn, &amp; Carey, 1998; A Battaglia, 2014; A Battaglia et al., 1999; A Battaglia, Carey, Viskochil, Cederholm, &amp; Opitz, 2000; Agatino Battaglia, Carey, &amp; South, 1993; Agatino Battaglia, Filippi, &amp; Carey, 2008; South et al., 2008)","manualFormatting":"(e.g. Battaglia, Carey and South, 1993; Bamshad, O’Quinn and Carey, 1998; Battaglia et al., 1999, 2000; Battaglia, Filippi and Carey, 2008; South et al., 2008; Battaglia et al., 2015)","plainTextFormattedCitation":"(Bamshad, O’Quinn, &amp; Carey, 1998; A Battaglia, 2014; A Battaglia et al., 1999; A Battaglia, Carey, Viskochil, Cederholm, &amp; Opitz, 2000; Agatino Battaglia, Carey, &amp; South, 1993; Agatino Battaglia, Filippi, &amp; Carey, 2008; South et al., 2008)","previouslyFormattedCitation":"(Bamshad, O’Quinn, &amp; Carey, 1998; A Battaglia, 2014; A Battaglia et al., 1999; A Battaglia, Carey, Viskochil, Cederholm, &amp; Opitz, 2000; Agatino Battaglia, Carey, &amp; South, 1993; Agatino Battaglia, Filippi, &amp; Carey, 2008; South et al., 2008)"},"properties":{"noteIndex":0},"schema":"https://github.com/citation-style-language/schema/raw/master/csl-citation.json"}</w:instrText>
      </w:r>
      <w:r w:rsidRPr="006A1EC7">
        <w:rPr>
          <w:rFonts w:ascii="Times New Roman" w:hAnsi="Times New Roman" w:cs="Times New Roman"/>
        </w:rPr>
        <w:fldChar w:fldCharType="separate"/>
      </w:r>
      <w:r w:rsidRPr="006A1EC7">
        <w:rPr>
          <w:rFonts w:ascii="Times New Roman" w:hAnsi="Times New Roman" w:cs="Times New Roman"/>
          <w:noProof/>
        </w:rPr>
        <w:t xml:space="preserve">(e.g. Battaglia, Carey and South, 1993; Bamshad, O’Quinn and Carey, 1998; Battaglia </w:t>
      </w:r>
      <w:r w:rsidRPr="006A1EC7">
        <w:rPr>
          <w:rFonts w:ascii="Times New Roman" w:hAnsi="Times New Roman" w:cs="Times New Roman"/>
          <w:i/>
          <w:noProof/>
        </w:rPr>
        <w:t>et al.</w:t>
      </w:r>
      <w:r w:rsidRPr="006A1EC7">
        <w:rPr>
          <w:rFonts w:ascii="Times New Roman" w:hAnsi="Times New Roman" w:cs="Times New Roman"/>
          <w:noProof/>
        </w:rPr>
        <w:t xml:space="preserve">, 1999, 2000; Battaglia, Filippi and Carey, 2008; South </w:t>
      </w:r>
      <w:r w:rsidRPr="006A1EC7">
        <w:rPr>
          <w:rFonts w:ascii="Times New Roman" w:hAnsi="Times New Roman" w:cs="Times New Roman"/>
          <w:i/>
          <w:noProof/>
        </w:rPr>
        <w:t>et al.</w:t>
      </w:r>
      <w:r w:rsidRPr="006A1EC7">
        <w:rPr>
          <w:rFonts w:ascii="Times New Roman" w:hAnsi="Times New Roman" w:cs="Times New Roman"/>
          <w:noProof/>
        </w:rPr>
        <w:t>, 2008; Battaglia et al., 2015)</w:t>
      </w:r>
      <w:r w:rsidRPr="006A1EC7">
        <w:rPr>
          <w:rFonts w:ascii="Times New Roman" w:hAnsi="Times New Roman" w:cs="Times New Roman"/>
        </w:rPr>
        <w:fldChar w:fldCharType="end"/>
      </w:r>
      <w:r w:rsidRPr="006A1EC7">
        <w:rPr>
          <w:rFonts w:ascii="Times New Roman" w:hAnsi="Times New Roman" w:cs="Times New Roman"/>
        </w:rPr>
        <w:t xml:space="preserve">. </w:t>
      </w:r>
      <w:r w:rsidRPr="006A1EC7">
        <w:rPr>
          <w:rFonts w:ascii="Times New Roman" w:hAnsi="Times New Roman" w:cs="Times New Roman"/>
        </w:rPr>
        <w:br/>
        <w:t xml:space="preserve">Considering the expertise of these authors and their extensive experience with </w:t>
      </w:r>
      <w:r w:rsidR="009F0718" w:rsidRPr="006A1EC7">
        <w:rPr>
          <w:rFonts w:ascii="Times New Roman" w:hAnsi="Times New Roman" w:cs="Times New Roman"/>
        </w:rPr>
        <w:t>WHS</w:t>
      </w:r>
      <w:r w:rsidRPr="006A1EC7">
        <w:rPr>
          <w:rFonts w:ascii="Times New Roman" w:hAnsi="Times New Roman" w:cs="Times New Roman"/>
        </w:rPr>
        <w:t xml:space="preserve"> and its publication date, it is unlikely that a recent systematic review on this topic would have yielded further insights into the topic than a narrative review based on more than two decades of experience with patients with the syndrome. This review, together with further research as well as the clinical experiences of the author of this thesis and expertise of her supervisor (AM) of caring for and managing patients with </w:t>
      </w:r>
      <w:r w:rsidR="009F0718" w:rsidRPr="006A1EC7">
        <w:rPr>
          <w:rFonts w:ascii="Times New Roman" w:hAnsi="Times New Roman" w:cs="Times New Roman"/>
        </w:rPr>
        <w:t>WHS</w:t>
      </w:r>
      <w:r w:rsidRPr="006A1EC7">
        <w:rPr>
          <w:rFonts w:ascii="Times New Roman" w:hAnsi="Times New Roman" w:cs="Times New Roman"/>
        </w:rPr>
        <w:t>, was taken as sufficient to achieve expertise and in-depth understanding on the medical aspects of the concept of interest.</w:t>
      </w:r>
    </w:p>
    <w:p w14:paraId="38942645" w14:textId="0D705CF6" w:rsidR="00735B4B" w:rsidRPr="006A1EC7" w:rsidRDefault="00735B4B" w:rsidP="00735B4B">
      <w:pPr>
        <w:pStyle w:val="ListParagraph"/>
        <w:numPr>
          <w:ilvl w:val="0"/>
          <w:numId w:val="6"/>
        </w:numPr>
        <w:spacing w:line="360" w:lineRule="auto"/>
        <w:ind w:left="0"/>
        <w:rPr>
          <w:rFonts w:ascii="Times New Roman" w:hAnsi="Times New Roman" w:cs="Times New Roman"/>
        </w:rPr>
      </w:pPr>
      <w:r w:rsidRPr="006A1EC7">
        <w:rPr>
          <w:rFonts w:ascii="Times New Roman" w:hAnsi="Times New Roman" w:cs="Times New Roman"/>
        </w:rPr>
        <w:t xml:space="preserve">Secondly, a review assessing existing measures that have been used with the population of interest (i.e. patients with </w:t>
      </w:r>
      <w:r w:rsidR="009F0718" w:rsidRPr="006A1EC7">
        <w:rPr>
          <w:rFonts w:ascii="Times New Roman" w:hAnsi="Times New Roman" w:cs="Times New Roman"/>
        </w:rPr>
        <w:t>WHS</w:t>
      </w:r>
      <w:r w:rsidRPr="006A1EC7">
        <w:rPr>
          <w:rFonts w:ascii="Times New Roman" w:hAnsi="Times New Roman" w:cs="Times New Roman"/>
        </w:rPr>
        <w:t>) must be conducted. The results will yield insights into whether any existing measures ‘</w:t>
      </w:r>
      <w:r w:rsidRPr="006A1EC7">
        <w:rPr>
          <w:rFonts w:ascii="Times New Roman" w:hAnsi="Times New Roman" w:cs="Times New Roman"/>
          <w:i/>
          <w:iCs/>
        </w:rPr>
        <w:t>adequately serve the same purpose’</w:t>
      </w:r>
      <w:r w:rsidRPr="006A1EC7">
        <w:rPr>
          <w:rFonts w:ascii="Times New Roman" w:hAnsi="Times New Roman" w:cs="Times New Roman"/>
        </w:rPr>
        <w:t xml:space="preserve"> that the new measure is proposing to fulfil, whether a new measure is justified and/or identify gaps in knowledge and measurement properties of previously used measures </w:t>
      </w:r>
      <w:r w:rsidRPr="006A1EC7">
        <w:rPr>
          <w:rFonts w:ascii="Times New Roman" w:hAnsi="Times New Roman" w:cs="Times New Roman"/>
        </w:rPr>
        <w:fldChar w:fldCharType="begin" w:fldLock="1"/>
      </w:r>
      <w:r w:rsidRPr="006A1EC7">
        <w:rPr>
          <w:rFonts w:ascii="Times New Roman" w:hAnsi="Times New Roman" w:cs="Times New Roman"/>
        </w:rPr>
        <w:instrText>ADDIN CSL_CITATION {"citationItems":[{"id":"ITEM-1","itemData":{"author":[{"dropping-particle":"","family":"Mokkink","given":"L. B.","non-dropping-particle":"","parse-names":false,"suffix":""},{"dropping-particle":"","family":"Prinsen","given":"C. A.C.","non-dropping-particle":"","parse-names":false,"suffix":""},{"dropping-particle":"","family":"Patrick","given":"D. L.","non-dropping-particle":"","parse-names":false,"suffix":""},{"dropping-particle":"","family":"Alonso","given":"J.","non-dropping-particle":"","parse-names":false,"suffix":""},{"dropping-particle":"","family":"Bouter","given":"L. M.","non-dropping-particle":"","parse-names":false,"suffix":""},{"dropping-particle":"","family":"Vet","given":"H. C.","non-dropping-particle":"de","parse-names":false,"suffix":""},{"dropping-particle":"","family":"Terwee","given":"C","non-dropping-particle":"","parse-names":false,"suffix":""}],"id":"ITEM-1","issue":"February","issued":{"date-parts":[["2018"]]},"number-of-pages":"1-78","title":"COSMIN methodology for systematic reviews of Patient-Reported Outcome Measures (PROMs)","type":"report"},"uris":["http://www.mendeley.com/documents/?uuid=6ba393b9-4750-4d61-bd6b-9a7ac48de4cb"]}],"mendeley":{"formattedCitation":"(L. B. Mokkink et al., 2018)","manualFormatting":"(Mokkink et al., 2018)","plainTextFormattedCitation":"(L. B. Mokkink et al., 2018)","previouslyFormattedCitation":"(L. B. Mokkink et al., 2018)"},"properties":{"noteIndex":0},"schema":"https://github.com/citation-style-language/schema/raw/master/csl-citation.json"}</w:instrText>
      </w:r>
      <w:r w:rsidRPr="006A1EC7">
        <w:rPr>
          <w:rFonts w:ascii="Times New Roman" w:hAnsi="Times New Roman" w:cs="Times New Roman"/>
        </w:rPr>
        <w:fldChar w:fldCharType="separate"/>
      </w:r>
      <w:r w:rsidRPr="006A1EC7">
        <w:rPr>
          <w:rFonts w:ascii="Times New Roman" w:hAnsi="Times New Roman" w:cs="Times New Roman"/>
          <w:noProof/>
        </w:rPr>
        <w:t>(Mokkink et al., 2018)</w:t>
      </w:r>
      <w:r w:rsidRPr="006A1EC7">
        <w:rPr>
          <w:rFonts w:ascii="Times New Roman" w:hAnsi="Times New Roman" w:cs="Times New Roman"/>
        </w:rPr>
        <w:fldChar w:fldCharType="end"/>
      </w:r>
      <w:r w:rsidRPr="006A1EC7">
        <w:rPr>
          <w:rFonts w:ascii="Times New Roman" w:hAnsi="Times New Roman" w:cs="Times New Roman"/>
        </w:rPr>
        <w:t xml:space="preserve">. Currently, no such investigation of primary research findings has taken place. This review must therefore be undertaken (reported in Systematic Review 1). </w:t>
      </w:r>
    </w:p>
    <w:p w14:paraId="7DB658F3" w14:textId="2AAB041D" w:rsidR="00735B4B" w:rsidRPr="006A1EC7" w:rsidRDefault="00735B4B" w:rsidP="00735B4B">
      <w:pPr>
        <w:pStyle w:val="ListParagraph"/>
        <w:numPr>
          <w:ilvl w:val="0"/>
          <w:numId w:val="6"/>
        </w:numPr>
        <w:spacing w:line="360" w:lineRule="auto"/>
        <w:ind w:left="0"/>
        <w:rPr>
          <w:rFonts w:ascii="Times New Roman" w:hAnsi="Times New Roman" w:cs="Times New Roman"/>
        </w:rPr>
        <w:sectPr w:rsidR="00735B4B" w:rsidRPr="006A1EC7" w:rsidSect="00D13545">
          <w:pgSz w:w="11900" w:h="16840"/>
          <w:pgMar w:top="1440" w:right="1701" w:bottom="1440" w:left="1701" w:header="709" w:footer="709" w:gutter="0"/>
          <w:cols w:space="708"/>
          <w:docGrid w:linePitch="360"/>
        </w:sectPr>
      </w:pPr>
      <w:r w:rsidRPr="006A1EC7">
        <w:rPr>
          <w:rFonts w:ascii="Times New Roman" w:hAnsi="Times New Roman" w:cs="Times New Roman"/>
        </w:rPr>
        <w:t>Thirdly, ‘</w:t>
      </w:r>
      <w:r w:rsidRPr="006A1EC7">
        <w:rPr>
          <w:rFonts w:ascii="Times New Roman" w:hAnsi="Times New Roman" w:cs="Times New Roman"/>
          <w:iCs/>
        </w:rPr>
        <w:t>less immediately-related concepts’</w:t>
      </w:r>
      <w:r w:rsidRPr="006A1EC7">
        <w:rPr>
          <w:rFonts w:ascii="Times New Roman" w:hAnsi="Times New Roman" w:cs="Times New Roman"/>
        </w:rPr>
        <w:t xml:space="preserve"> to the concept of interest must be reviewed </w:t>
      </w:r>
      <w:r w:rsidRPr="006A1EC7">
        <w:rPr>
          <w:rFonts w:ascii="Times New Roman" w:hAnsi="Times New Roman" w:cs="Times New Roman"/>
        </w:rPr>
        <w:fldChar w:fldCharType="begin" w:fldLock="1"/>
      </w:r>
      <w:r w:rsidRPr="006A1EC7">
        <w:rPr>
          <w:rFonts w:ascii="Times New Roman" w:hAnsi="Times New Roman" w:cs="Times New Roman"/>
        </w:rPr>
        <w:instrText>ADDIN CSL_CITATION {"citationItems":[{"id":"ITEM-1","itemData":{"DOI":"10.1037/1040-3590.7.3.309","ISBN":"1040-3590 1939-134X","ISSN":"1040-3590","PMID":"15195336","abstract":"A primary goal of scale development is to create a valid measure of an underlying construct. We discuss theoretical principles, practical issues, and pragmatic decisions to help developers maximize the construct validity of scales and subscales. First, it is essential to begin with a clear conceptualization of the target construct. Moreover, the content of the initial item pool should be overinclusive and item wording needs careful attention. Next, the item pool should be tested, along with variables that assess closely related constructs, on a heterogeneous sample representing the entire range of the target population. Finally, in selecting scale items, the goal is unidimensionality rather than internal consistency; this means that virtually all interitem correlations should be moderate in magnitude. Factor analysis can play a crucial role in ensuring the unidimensionality and discriminant validity of scales.","author":[{"dropping-particle":"","family":"Clark","given":"Lee Anna","non-dropping-particle":"","parse-names":false,"suffix":""},{"dropping-particle":"","family":"Watson","given":"David","non-dropping-particle":"","parse-names":false,"suffix":""}],"container-title":"Psychological assessment","id":"ITEM-1","issue":"3","issued":{"date-parts":[["1995"]]},"page":"309-319","title":"Constructing validity: Basic issues in objective scale development","type":"article-journal","volume":"7"},"uris":["http://www.mendeley.com/documents/?uuid=20320aac-a109-4d75-86ea-cfe805b4becb"]}],"mendeley":{"formattedCitation":"(Clark &amp; Watson, 1995)","plainTextFormattedCitation":"(Clark &amp; Watson, 1995)","previouslyFormattedCitation":"(Clark &amp; Watson, 1995)"},"properties":{"noteIndex":0},"schema":"https://github.com/citation-style-language/schema/raw/master/csl-citation.json"}</w:instrText>
      </w:r>
      <w:r w:rsidRPr="006A1EC7">
        <w:rPr>
          <w:rFonts w:ascii="Times New Roman" w:hAnsi="Times New Roman" w:cs="Times New Roman"/>
        </w:rPr>
        <w:fldChar w:fldCharType="separate"/>
      </w:r>
      <w:r w:rsidRPr="006A1EC7">
        <w:rPr>
          <w:rFonts w:ascii="Times New Roman" w:hAnsi="Times New Roman" w:cs="Times New Roman"/>
          <w:noProof/>
        </w:rPr>
        <w:t>(Clark &amp; Watson, 1995)</w:t>
      </w:r>
      <w:r w:rsidRPr="006A1EC7">
        <w:rPr>
          <w:rFonts w:ascii="Times New Roman" w:hAnsi="Times New Roman" w:cs="Times New Roman"/>
        </w:rPr>
        <w:fldChar w:fldCharType="end"/>
      </w:r>
      <w:r w:rsidRPr="006A1EC7">
        <w:rPr>
          <w:rFonts w:ascii="Times New Roman" w:hAnsi="Times New Roman" w:cs="Times New Roman"/>
        </w:rPr>
        <w:t xml:space="preserve">. For the current project, this means an investigation into the psycho-social impact of </w:t>
      </w:r>
      <w:r w:rsidR="009F0718" w:rsidRPr="006A1EC7">
        <w:rPr>
          <w:rFonts w:ascii="Times New Roman" w:hAnsi="Times New Roman" w:cs="Times New Roman"/>
        </w:rPr>
        <w:t>WHS</w:t>
      </w:r>
      <w:r w:rsidRPr="006A1EC7">
        <w:rPr>
          <w:rFonts w:ascii="Times New Roman" w:hAnsi="Times New Roman" w:cs="Times New Roman"/>
        </w:rPr>
        <w:t xml:space="preserve"> on patients and their families to further inform the content of the COA by providing insights into the quality of life of patients and their families. As for review (2), no such investigation of primary research findings has taken place; and must also be conducted for the purpose of this thesis.</w:t>
      </w:r>
      <w:bookmarkStart w:id="76" w:name="_Toc6774584"/>
    </w:p>
    <w:p w14:paraId="090AC83E" w14:textId="6B59834E" w:rsidR="00735B4B" w:rsidRPr="006A1EC7" w:rsidRDefault="00735B4B" w:rsidP="00735B4B">
      <w:pPr>
        <w:pStyle w:val="Heading2"/>
        <w:rPr>
          <w:rFonts w:ascii="Times New Roman" w:hAnsi="Times New Roman" w:cs="Times New Roman"/>
        </w:rPr>
      </w:pPr>
      <w:bookmarkStart w:id="77" w:name="_Toc17977854"/>
      <w:bookmarkStart w:id="78" w:name="_Toc23522713"/>
      <w:bookmarkStart w:id="79" w:name="_Toc38821427"/>
      <w:bookmarkStart w:id="80" w:name="_Toc40172983"/>
      <w:r w:rsidRPr="006A1EC7">
        <w:rPr>
          <w:rFonts w:ascii="Times New Roman" w:hAnsi="Times New Roman" w:cs="Times New Roman"/>
        </w:rPr>
        <w:lastRenderedPageBreak/>
        <w:t xml:space="preserve">Systematic Review 1: </w:t>
      </w:r>
      <w:bookmarkEnd w:id="76"/>
      <w:r w:rsidRPr="006A1EC7">
        <w:rPr>
          <w:rFonts w:ascii="Times New Roman" w:hAnsi="Times New Roman" w:cs="Times New Roman"/>
        </w:rPr>
        <w:t xml:space="preserve">Investigating Clinical Outcome Assessments for </w:t>
      </w:r>
      <w:r w:rsidR="009F0718" w:rsidRPr="006A1EC7">
        <w:rPr>
          <w:rFonts w:ascii="Times New Roman" w:hAnsi="Times New Roman" w:cs="Times New Roman"/>
        </w:rPr>
        <w:t>WHS</w:t>
      </w:r>
      <w:bookmarkEnd w:id="77"/>
      <w:bookmarkEnd w:id="78"/>
      <w:bookmarkEnd w:id="79"/>
      <w:bookmarkEnd w:id="80"/>
    </w:p>
    <w:p w14:paraId="7DB0AD6A" w14:textId="77777777" w:rsidR="00735B4B" w:rsidRPr="006A1EC7" w:rsidRDefault="00735B4B" w:rsidP="00735B4B">
      <w:pPr>
        <w:spacing w:line="276" w:lineRule="auto"/>
      </w:pPr>
    </w:p>
    <w:p w14:paraId="7DF9B2DD" w14:textId="77777777" w:rsidR="00735B4B" w:rsidRPr="006A1EC7" w:rsidRDefault="00735B4B" w:rsidP="00735B4B">
      <w:pPr>
        <w:pStyle w:val="Heading3"/>
        <w:rPr>
          <w:rFonts w:ascii="Times New Roman" w:hAnsi="Times New Roman" w:cs="Times New Roman"/>
        </w:rPr>
      </w:pPr>
      <w:bookmarkStart w:id="81" w:name="_Toc17977855"/>
      <w:r w:rsidRPr="006A1EC7">
        <w:rPr>
          <w:rFonts w:ascii="Times New Roman" w:hAnsi="Times New Roman" w:cs="Times New Roman"/>
        </w:rPr>
        <w:t>Methods</w:t>
      </w:r>
      <w:bookmarkEnd w:id="81"/>
    </w:p>
    <w:p w14:paraId="6F4FD61F" w14:textId="77777777" w:rsidR="00735B4B" w:rsidRPr="006A1EC7" w:rsidRDefault="00735B4B" w:rsidP="00735B4B">
      <w:pPr>
        <w:spacing w:line="276" w:lineRule="auto"/>
      </w:pPr>
    </w:p>
    <w:p w14:paraId="64D65D9E" w14:textId="77777777" w:rsidR="00735B4B" w:rsidRPr="006A1EC7" w:rsidRDefault="00735B4B" w:rsidP="00735B4B">
      <w:pPr>
        <w:pStyle w:val="Heading4"/>
        <w:spacing w:line="276" w:lineRule="auto"/>
        <w:rPr>
          <w:rFonts w:ascii="Times New Roman" w:hAnsi="Times New Roman" w:cs="Times New Roman"/>
        </w:rPr>
      </w:pPr>
      <w:r w:rsidRPr="006A1EC7">
        <w:rPr>
          <w:rFonts w:ascii="Times New Roman" w:hAnsi="Times New Roman" w:cs="Times New Roman"/>
        </w:rPr>
        <w:t xml:space="preserve">Searches </w:t>
      </w:r>
    </w:p>
    <w:p w14:paraId="0ED26811" w14:textId="77777777" w:rsidR="00735B4B" w:rsidRPr="006A1EC7" w:rsidRDefault="00735B4B" w:rsidP="00735B4B">
      <w:pPr>
        <w:spacing w:line="360" w:lineRule="auto"/>
        <w:ind w:firstLine="720"/>
        <w:rPr>
          <w:color w:val="000000" w:themeColor="text1"/>
        </w:rPr>
      </w:pPr>
      <w:r w:rsidRPr="006A1EC7">
        <w:t xml:space="preserve">Five databases were searched (PubMed, Cinahl, PsycINFO, Web of Science and Scopus) in January 2016, and subsequently updated in April 2019. The following search-term combinations were used, totalling 30 searches across the five data bases: </w:t>
      </w:r>
      <w:r w:rsidRPr="006A1EC7">
        <w:rPr>
          <w:color w:val="000000" w:themeColor="text1"/>
        </w:rPr>
        <w:t>Wolf-Hirschhorn* AND (scale OR assessment OR rating OR outcome), Wolf-Hirschhorn* AND clinical, Wolf-Hirschhorn* AND diagnos*, (4p16 deletion) AND (scale OR assessment OR rating OR outcome), 4p16 deletion AND diagnos*, 4p16 deletion AND clinical (Appendix 3.1).</w:t>
      </w:r>
    </w:p>
    <w:p w14:paraId="38EF1CB5" w14:textId="77777777" w:rsidR="00735B4B" w:rsidRPr="006A1EC7" w:rsidRDefault="00735B4B" w:rsidP="00735B4B">
      <w:pPr>
        <w:spacing w:line="276" w:lineRule="auto"/>
        <w:rPr>
          <w:color w:val="000000" w:themeColor="text1"/>
        </w:rPr>
      </w:pPr>
    </w:p>
    <w:p w14:paraId="482D1F00" w14:textId="77777777" w:rsidR="00735B4B" w:rsidRPr="006A1EC7" w:rsidRDefault="00735B4B" w:rsidP="00735B4B">
      <w:pPr>
        <w:pStyle w:val="Heading4"/>
        <w:spacing w:line="276" w:lineRule="auto"/>
        <w:rPr>
          <w:rFonts w:ascii="Times New Roman" w:hAnsi="Times New Roman" w:cs="Times New Roman"/>
        </w:rPr>
      </w:pPr>
      <w:bookmarkStart w:id="82" w:name="_Toc6774588"/>
      <w:r w:rsidRPr="006A1EC7">
        <w:rPr>
          <w:rFonts w:ascii="Times New Roman" w:hAnsi="Times New Roman" w:cs="Times New Roman"/>
        </w:rPr>
        <w:t>Rayyan</w:t>
      </w:r>
      <w:bookmarkEnd w:id="82"/>
    </w:p>
    <w:p w14:paraId="060B1546" w14:textId="7DC98F98" w:rsidR="00735B4B" w:rsidRPr="006A1EC7" w:rsidRDefault="00735B4B" w:rsidP="00735B4B">
      <w:pPr>
        <w:pStyle w:val="NoSpacing"/>
        <w:spacing w:line="360" w:lineRule="auto"/>
        <w:ind w:firstLine="720"/>
        <w:rPr>
          <w:color w:val="2F5496" w:themeColor="accent1" w:themeShade="BF"/>
        </w:rPr>
      </w:pPr>
      <w:r w:rsidRPr="006A1EC7">
        <w:t xml:space="preserve">Search results for each database were imported into the web and mobile app Rayyan via CSV files, and stored online </w:t>
      </w:r>
      <w:r w:rsidRPr="006A1EC7">
        <w:fldChar w:fldCharType="begin" w:fldLock="1"/>
      </w:r>
      <w:r w:rsidRPr="006A1EC7">
        <w:instrText>ADDIN CSL_CITATION {"citationItems":[{"id":"ITEM-1","itemData":{"DOI":"10.1186/s13643-016-0384-4","ISSN":"20464053","abstract":"Synthesis of multiple randomized controlled trials (RCTs) in a systematic review can summarize the effects of individual outcomes and provide numerical answers about the effectiveness of interventions. Filtering of searches is time consuming, and no single method fulfills the principal requirements of speed with accuracy. Automation of systematic reviews is driven by a necessity to expedite the availability of current best evidence for policy and clinical decision-making. We developed Rayyan (\\n http://rayyan.qcri.org\\n \\n ), a free web and mobile app, that helps expedite the initial screening of abstracts and titles using a process of semi-automation while incorporating a high level of usability. For the beta testing phase, we used two published Cochrane reviews in which included studies had been selected manually. Their searches, with 1030 records and 273 records, were uploaded to Rayyan. Different features of Rayyan were tested using these two reviews. We also conducted a survey of Rayyan’s users and collected feedback through a built-in feature. Pilot testing of Rayyan focused on usability, accuracy against manual methods, and the added value of the prediction feature. The “taster” review (273 records) allowed a quick overview of Rayyan for early comments on usability. The second review (1030 records) required several iterations to identify the previously identified 11 trials. The “suggestions” and “hints,” based on the “prediction model,” appeared as testing progressed beyond five included studies. Post rollout user experiences and a reflexive response by the developers enabled real-time modifications and improvements. The survey respondents reported 40% average time savings when using Rayyan compared to others tools, with 34% of the respondents reporting more than 50% time savings. In addition, around 75% of the respondents mentioned that screening and labeling studies as well as collaborating on reviews to be the two most important features of Rayyan. As of November 2016, Rayyan users exceed 2000 from over 60 countries conducting hundreds of reviews totaling more than 1.6M citations. Feedback from users, obtained mostly through the app web site and a recent survey, has highlighted the ease in exploration of searches, the time saved, and simplicity in sharing and comparing include-exclude decisions. The strongest features of the app, identified and reported in user feedback, were its ability to help in screening and collaboration as well as the ti…","author":[{"dropping-particle":"","family":"Ouzzani","given":"Mourad","non-dropping-particle":"","parse-names":false,"suffix":""},{"dropping-particle":"","family":"Hammady","given":"Hossam","non-dropping-particle":"","parse-names":false,"suffix":""},{"dropping-particle":"","family":"Fedorowicz","given":"Zbys","non-dropping-particle":"","parse-names":false,"suffix":""},{"dropping-particle":"","family":"Elmagarmid","given":"Ahmed","non-dropping-particle":"","parse-names":false,"suffix":""}],"container-title":"Systematic Reviews","id":"ITEM-1","issued":{"date-parts":[["2016"]]},"title":"Rayyan-a web and mobile app for systematic reviews","type":"article-journal"},"uris":["http://www.mendeley.com/documents/?uuid=7c4298bf-129f-4274-9448-db107cb5870f"]}],"mendeley":{"formattedCitation":"(Ouzzani, Hammady, Fedorowicz, &amp; Elmagarmid, 2016)","plainTextFormattedCitation":"(Ouzzani, Hammady, Fedorowicz, &amp; Elmagarmid, 2016)","previouslyFormattedCitation":"(Ouzzani, Hammady, Fedorowicz, &amp; Elmagarmid, 2016)"},"properties":{"noteIndex":0},"schema":"https://github.com/citation-style-language/schema/raw/master/csl-citation.json"}</w:instrText>
      </w:r>
      <w:r w:rsidRPr="006A1EC7">
        <w:fldChar w:fldCharType="separate"/>
      </w:r>
      <w:r w:rsidRPr="006A1EC7">
        <w:rPr>
          <w:noProof/>
        </w:rPr>
        <w:t>(Ouzzani, Hammady, Fedorowicz, &amp; Elmagarmid, 2016)</w:t>
      </w:r>
      <w:r w:rsidRPr="006A1EC7">
        <w:fldChar w:fldCharType="end"/>
      </w:r>
      <w:r w:rsidRPr="006A1EC7">
        <w:t>. This application was used to screen for duplicates and to keep a record of reasons for exclusion from the review</w:t>
      </w:r>
      <w:r w:rsidRPr="006A1EC7">
        <w:rPr>
          <w:color w:val="000000" w:themeColor="text1"/>
        </w:rPr>
        <w:t>.</w:t>
      </w:r>
    </w:p>
    <w:p w14:paraId="723BE2D6" w14:textId="77777777" w:rsidR="00735B4B" w:rsidRPr="006A1EC7" w:rsidRDefault="00735B4B" w:rsidP="00735B4B">
      <w:pPr>
        <w:spacing w:line="276" w:lineRule="auto"/>
      </w:pPr>
    </w:p>
    <w:p w14:paraId="7E7A25B9" w14:textId="77777777" w:rsidR="00735B4B" w:rsidRPr="006A1EC7" w:rsidRDefault="00735B4B" w:rsidP="00735B4B">
      <w:pPr>
        <w:pStyle w:val="Heading4"/>
        <w:spacing w:line="276" w:lineRule="auto"/>
        <w:rPr>
          <w:rFonts w:ascii="Times New Roman" w:hAnsi="Times New Roman" w:cs="Times New Roman"/>
        </w:rPr>
      </w:pPr>
      <w:r w:rsidRPr="006A1EC7">
        <w:rPr>
          <w:rFonts w:ascii="Times New Roman" w:hAnsi="Times New Roman" w:cs="Times New Roman"/>
        </w:rPr>
        <w:t xml:space="preserve">Inclusion Criteria </w:t>
      </w:r>
    </w:p>
    <w:p w14:paraId="2F061F52" w14:textId="7C4E8747" w:rsidR="00735B4B" w:rsidRPr="006A1EC7" w:rsidRDefault="00735B4B" w:rsidP="00735B4B">
      <w:pPr>
        <w:spacing w:line="360" w:lineRule="auto"/>
        <w:ind w:firstLine="720"/>
        <w:rPr>
          <w:color w:val="000000" w:themeColor="text1"/>
        </w:rPr>
      </w:pPr>
      <w:r w:rsidRPr="006A1EC7">
        <w:t>The inclusion criteria for this systematic review is illustrated in Table 3.</w:t>
      </w:r>
      <w:r w:rsidRPr="006A1EC7">
        <w:rPr>
          <w:color w:val="000000" w:themeColor="text1"/>
        </w:rPr>
        <w:t xml:space="preserve"> No limitations in terms of publication date were set; however only English-language full-text, original research papers were included. Papers needed to include samples either consisting entirely of patients with </w:t>
      </w:r>
      <w:r w:rsidR="009F0718" w:rsidRPr="006A1EC7">
        <w:rPr>
          <w:color w:val="000000" w:themeColor="text1"/>
        </w:rPr>
        <w:t>WHS</w:t>
      </w:r>
      <w:r w:rsidRPr="006A1EC7">
        <w:rPr>
          <w:color w:val="000000" w:themeColor="text1"/>
        </w:rPr>
        <w:t xml:space="preserve">, or have mixed samples clearly indicating that patients with WHS were included. Studies needed to have used at least one validated measure for use with and study of </w:t>
      </w:r>
      <w:r w:rsidR="009F0718" w:rsidRPr="006A1EC7">
        <w:rPr>
          <w:color w:val="000000" w:themeColor="text1"/>
        </w:rPr>
        <w:t>WHS</w:t>
      </w:r>
      <w:r w:rsidRPr="006A1EC7">
        <w:rPr>
          <w:color w:val="000000" w:themeColor="text1"/>
        </w:rPr>
        <w:t>, ad-hoc measures, non-validated as well as clinical checklist reporting were excluded. Comparative as well as non-comparative study designs were eligible.</w:t>
      </w:r>
    </w:p>
    <w:p w14:paraId="18EC6309" w14:textId="77777777" w:rsidR="00735B4B" w:rsidRPr="006A1EC7" w:rsidRDefault="00735B4B" w:rsidP="00735B4B">
      <w:pPr>
        <w:spacing w:line="276" w:lineRule="auto"/>
      </w:pPr>
    </w:p>
    <w:p w14:paraId="79212387" w14:textId="5DF0D5AF" w:rsidR="00735B4B" w:rsidRPr="006A1EC7" w:rsidRDefault="00735B4B" w:rsidP="00735B4B">
      <w:r w:rsidRPr="006A1EC7">
        <w:br w:type="page"/>
      </w:r>
    </w:p>
    <w:p w14:paraId="4E74A352" w14:textId="2618804D" w:rsidR="00735B4B" w:rsidRPr="006A1EC7" w:rsidRDefault="00735B4B" w:rsidP="00735B4B">
      <w:pPr>
        <w:pStyle w:val="Heading3"/>
        <w:rPr>
          <w:rFonts w:ascii="Times New Roman" w:hAnsi="Times New Roman" w:cs="Times New Roman"/>
        </w:rPr>
      </w:pPr>
      <w:bookmarkStart w:id="83" w:name="_Toc40173028"/>
      <w:r w:rsidRPr="006A1EC7">
        <w:rPr>
          <w:rFonts w:ascii="Times New Roman" w:hAnsi="Times New Roman" w:cs="Times New Roman"/>
        </w:rPr>
        <w:lastRenderedPageBreak/>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3</w:t>
      </w:r>
      <w:r w:rsidRPr="006A1EC7">
        <w:rPr>
          <w:rFonts w:ascii="Times New Roman" w:hAnsi="Times New Roman" w:cs="Times New Roman"/>
        </w:rPr>
        <w:fldChar w:fldCharType="end"/>
      </w:r>
      <w:r w:rsidRPr="006A1EC7">
        <w:rPr>
          <w:rFonts w:ascii="Times New Roman" w:hAnsi="Times New Roman" w:cs="Times New Roman"/>
        </w:rPr>
        <w:t>: Inclusion and Exclusion Criteria for Systematic Review 1</w:t>
      </w:r>
      <w:bookmarkEnd w:id="83"/>
    </w:p>
    <w:tbl>
      <w:tblPr>
        <w:tblStyle w:val="PlainTable4"/>
        <w:tblW w:w="0" w:type="auto"/>
        <w:tblLook w:val="04A0" w:firstRow="1" w:lastRow="0" w:firstColumn="1" w:lastColumn="0" w:noHBand="0" w:noVBand="1"/>
      </w:tblPr>
      <w:tblGrid>
        <w:gridCol w:w="2819"/>
        <w:gridCol w:w="2852"/>
        <w:gridCol w:w="2827"/>
      </w:tblGrid>
      <w:tr w:rsidR="00735B4B" w:rsidRPr="006A1EC7" w14:paraId="53A01BA4" w14:textId="77777777" w:rsidTr="00735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6AAE7A21" w14:textId="3896A9DD" w:rsidR="00735B4B" w:rsidRPr="006A1EC7" w:rsidRDefault="00735B4B" w:rsidP="00D13545">
            <w:pPr>
              <w:spacing w:line="276" w:lineRule="auto"/>
            </w:pPr>
            <w:r w:rsidRPr="006A1EC7">
              <w:t>Criterion</w:t>
            </w:r>
          </w:p>
        </w:tc>
        <w:tc>
          <w:tcPr>
            <w:tcW w:w="2852" w:type="dxa"/>
          </w:tcPr>
          <w:p w14:paraId="42903DD2" w14:textId="06FF4FA4"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pPr>
            <w:r w:rsidRPr="006A1EC7">
              <w:t>Inclusion criterion</w:t>
            </w:r>
          </w:p>
        </w:tc>
        <w:tc>
          <w:tcPr>
            <w:tcW w:w="2827" w:type="dxa"/>
          </w:tcPr>
          <w:p w14:paraId="32A08877" w14:textId="0B9EFD94"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pPr>
            <w:r w:rsidRPr="006A1EC7">
              <w:t>Exclusion criterion</w:t>
            </w:r>
          </w:p>
        </w:tc>
      </w:tr>
      <w:tr w:rsidR="00735B4B" w:rsidRPr="006A1EC7" w14:paraId="7EE2B3E6" w14:textId="77777777" w:rsidTr="00735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40513753" w14:textId="77777777" w:rsidR="00735B4B" w:rsidRPr="006A1EC7" w:rsidRDefault="00735B4B" w:rsidP="00D13545">
            <w:pPr>
              <w:spacing w:line="276" w:lineRule="auto"/>
            </w:pPr>
            <w:r w:rsidRPr="006A1EC7">
              <w:t>Publication date</w:t>
            </w:r>
          </w:p>
        </w:tc>
        <w:tc>
          <w:tcPr>
            <w:tcW w:w="2852" w:type="dxa"/>
          </w:tcPr>
          <w:p w14:paraId="06C42F57"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pPr>
            <w:r w:rsidRPr="006A1EC7">
              <w:t>No restrictions</w:t>
            </w:r>
          </w:p>
        </w:tc>
        <w:tc>
          <w:tcPr>
            <w:tcW w:w="2827" w:type="dxa"/>
          </w:tcPr>
          <w:p w14:paraId="2F58DB52"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pPr>
          </w:p>
        </w:tc>
      </w:tr>
      <w:tr w:rsidR="00735B4B" w:rsidRPr="006A1EC7" w14:paraId="08DBA24E" w14:textId="77777777" w:rsidTr="00735B4B">
        <w:tc>
          <w:tcPr>
            <w:cnfStyle w:val="001000000000" w:firstRow="0" w:lastRow="0" w:firstColumn="1" w:lastColumn="0" w:oddVBand="0" w:evenVBand="0" w:oddHBand="0" w:evenHBand="0" w:firstRowFirstColumn="0" w:firstRowLastColumn="0" w:lastRowFirstColumn="0" w:lastRowLastColumn="0"/>
            <w:tcW w:w="2819" w:type="dxa"/>
          </w:tcPr>
          <w:p w14:paraId="5A1C79F6" w14:textId="77777777" w:rsidR="00735B4B" w:rsidRPr="006A1EC7" w:rsidRDefault="00735B4B" w:rsidP="00D13545">
            <w:pPr>
              <w:spacing w:line="276" w:lineRule="auto"/>
            </w:pPr>
            <w:r w:rsidRPr="006A1EC7">
              <w:t>Publication language</w:t>
            </w:r>
          </w:p>
        </w:tc>
        <w:tc>
          <w:tcPr>
            <w:tcW w:w="2852" w:type="dxa"/>
          </w:tcPr>
          <w:p w14:paraId="117FB281"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pPr>
            <w:r w:rsidRPr="006A1EC7">
              <w:t>English-language only</w:t>
            </w:r>
          </w:p>
        </w:tc>
        <w:tc>
          <w:tcPr>
            <w:tcW w:w="2827" w:type="dxa"/>
          </w:tcPr>
          <w:p w14:paraId="6AEFB40F"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pPr>
          </w:p>
        </w:tc>
      </w:tr>
      <w:tr w:rsidR="00735B4B" w:rsidRPr="006A1EC7" w14:paraId="36DA4699" w14:textId="77777777" w:rsidTr="00735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6CEE51BD" w14:textId="77777777" w:rsidR="00735B4B" w:rsidRPr="006A1EC7" w:rsidRDefault="00735B4B" w:rsidP="00D13545">
            <w:pPr>
              <w:spacing w:line="276" w:lineRule="auto"/>
            </w:pPr>
            <w:r w:rsidRPr="006A1EC7">
              <w:t>Publication type</w:t>
            </w:r>
          </w:p>
        </w:tc>
        <w:tc>
          <w:tcPr>
            <w:tcW w:w="2852" w:type="dxa"/>
          </w:tcPr>
          <w:p w14:paraId="0DC2C3D6"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pPr>
            <w:r w:rsidRPr="006A1EC7">
              <w:t>Full-text, original research only</w:t>
            </w:r>
          </w:p>
        </w:tc>
        <w:tc>
          <w:tcPr>
            <w:tcW w:w="2827" w:type="dxa"/>
          </w:tcPr>
          <w:p w14:paraId="03DFAC1B"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pPr>
            <w:r w:rsidRPr="006A1EC7">
              <w:t>Systematic reviews, letters to the editor, (conference) abstracts</w:t>
            </w:r>
          </w:p>
        </w:tc>
      </w:tr>
      <w:tr w:rsidR="00735B4B" w:rsidRPr="006A1EC7" w14:paraId="71DDEA75" w14:textId="77777777" w:rsidTr="00735B4B">
        <w:tc>
          <w:tcPr>
            <w:cnfStyle w:val="001000000000" w:firstRow="0" w:lastRow="0" w:firstColumn="1" w:lastColumn="0" w:oddVBand="0" w:evenVBand="0" w:oddHBand="0" w:evenHBand="0" w:firstRowFirstColumn="0" w:firstRowLastColumn="0" w:lastRowFirstColumn="0" w:lastRowLastColumn="0"/>
            <w:tcW w:w="2819" w:type="dxa"/>
          </w:tcPr>
          <w:p w14:paraId="6ED33DA9" w14:textId="77777777" w:rsidR="00735B4B" w:rsidRPr="006A1EC7" w:rsidRDefault="00735B4B" w:rsidP="00D13545">
            <w:pPr>
              <w:spacing w:line="276" w:lineRule="auto"/>
            </w:pPr>
            <w:r w:rsidRPr="006A1EC7">
              <w:t>Sample</w:t>
            </w:r>
          </w:p>
        </w:tc>
        <w:tc>
          <w:tcPr>
            <w:tcW w:w="2852" w:type="dxa"/>
          </w:tcPr>
          <w:p w14:paraId="38F173AE" w14:textId="43032ABA"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pPr>
            <w:r w:rsidRPr="006A1EC7">
              <w:t xml:space="preserve">Patients diagnosed with </w:t>
            </w:r>
            <w:r w:rsidR="009F0718" w:rsidRPr="006A1EC7">
              <w:t>WHS</w:t>
            </w:r>
            <w:r w:rsidRPr="006A1EC7">
              <w:t>;</w:t>
            </w:r>
          </w:p>
          <w:p w14:paraId="21EFBAA5"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pPr>
            <w:r w:rsidRPr="006A1EC7">
              <w:t xml:space="preserve">Mixed samples with other developmental disorders </w:t>
            </w:r>
          </w:p>
        </w:tc>
        <w:tc>
          <w:tcPr>
            <w:tcW w:w="2827" w:type="dxa"/>
          </w:tcPr>
          <w:p w14:paraId="04D81D05"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pPr>
          </w:p>
        </w:tc>
      </w:tr>
      <w:tr w:rsidR="00735B4B" w:rsidRPr="006A1EC7" w14:paraId="1129F6D0" w14:textId="77777777" w:rsidTr="00735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697879B2" w14:textId="77777777" w:rsidR="00735B4B" w:rsidRPr="006A1EC7" w:rsidRDefault="00735B4B" w:rsidP="00D13545">
            <w:pPr>
              <w:spacing w:line="276" w:lineRule="auto"/>
            </w:pPr>
            <w:r w:rsidRPr="006A1EC7">
              <w:t>Measures</w:t>
            </w:r>
          </w:p>
        </w:tc>
        <w:tc>
          <w:tcPr>
            <w:tcW w:w="2852" w:type="dxa"/>
          </w:tcPr>
          <w:p w14:paraId="4DE190C8"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pPr>
            <w:r w:rsidRPr="006A1EC7">
              <w:t>Use of at least one validated outcome measure investigating clinical features of WHS, patient functioning or health</w:t>
            </w:r>
          </w:p>
        </w:tc>
        <w:tc>
          <w:tcPr>
            <w:tcW w:w="2827" w:type="dxa"/>
          </w:tcPr>
          <w:p w14:paraId="617C30CE"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pPr>
            <w:r w:rsidRPr="006A1EC7">
              <w:t>Ad-hoc measures,</w:t>
            </w:r>
          </w:p>
          <w:p w14:paraId="74693B1B"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noProof/>
                <w:color w:val="000000" w:themeColor="text1"/>
              </w:rPr>
            </w:pPr>
            <w:r w:rsidRPr="006A1EC7">
              <w:t>Non-validated measures</w:t>
            </w:r>
            <w:r w:rsidRPr="006A1EC7">
              <w:br/>
              <w:t xml:space="preserve">Checklist format (absent versus present) </w:t>
            </w:r>
            <w:r w:rsidRPr="006A1EC7">
              <w:rPr>
                <w:color w:val="000000" w:themeColor="text1"/>
              </w:rPr>
              <w:t xml:space="preserve">(e.g. </w:t>
            </w:r>
            <w:r w:rsidRPr="006A1EC7">
              <w:rPr>
                <w:color w:val="000000" w:themeColor="text1"/>
              </w:rPr>
              <w:fldChar w:fldCharType="begin" w:fldLock="1"/>
            </w:r>
            <w:r w:rsidRPr="006A1EC7">
              <w:rPr>
                <w:color w:val="000000" w:themeColor="text1"/>
              </w:rPr>
              <w:instrText>ADDIN CSL_CITATION {"citationItems":[{"id":"ITEM-1","itemData":{"DOI":"10.1038/sj.ejhg.5200498","abstract":"We performed clinical, cytogenetic, and molecular analyses on 13 patients (8 females and 5 males, aged 6 months to 13 years) with Wolf-Hirschhorn syndrome due to de novo deletions of chromosome 4p. All patients presented with the typical facial gestalt, microcephaly, and profound mental retardation. Other clinical signs were low birth weight (10/13; 77%), postnatal short stature (8/12; 66%), muscular hypotonia (12/13; 92%), seizures (11/13; 85%), congenital heart defects (4/13; 31%), colobomata of iris (4/12; 33%), genital anomalies (4/13; 31%), deafness (3/13; 23%), and renal anomalies (3/13; 23%). The smallest deletion was a submicroscopic terminal deletion of nearly 2.5 Mb. The largest was a terminal deletion of nearly 30 Mb. Cleft lip/palate, preauricular pits/tags, and congenital heart defects were present only in patients with terminal deletions larger than 10 Mb. The deviations from mean birth weight, birth length, and postnatal head circumference correlated with the size of the deletion. Determining the parental origin of the deletion with microsatellite markers, the maternal allele was missing in three patients and the paternal allele in eight patients. Our observations support the existence of a partial genotype-phenotype correlation in Wolf-Hirschhorn syndrome.","author":[{"dropping-particle":"","family":"Wieczorek","given":"D","non-dropping-particle":"","parse-names":false,"suffix":""},{"dropping-particle":"","family":"Krause","given":"M","non-dropping-particle":"","parse-names":false,"suffix":""},{"dropping-particle":"","family":"Majewski","given":"F","non-dropping-particle":"","parse-names":false,"suffix":""},{"dropping-particle":"","family":"Albrecht","given":"B","non-dropping-particle":"","parse-names":false,"suffix":""},{"dropping-particle":"","family":"Horn","given":"D","non-dropping-particle":"","parse-names":false,"suffix":""},{"dropping-particle":"","family":"Riess","given":"O","non-dropping-particle":"","parse-names":false,"suffix":""},{"dropping-particle":"","family":"Gillessen-Kaesbach","given":"G","non-dropping-particle":"","parse-names":false,"suffix":""}],"container-title":"European Journal of Human Genetics","id":"ITEM-1","issue":"7","issued":{"date-parts":[["2000","7"]]},"language":"English","note":"From Duplicate 2 (Effect of the size of the deletion and clinical manifestation in Wolf-Hirschhorn syndrome: Analysis of 13 patients with a de novo deletion - Wieczorek, D; Krause, M; Majewski, F; Albrecht, B; Horn, D; Riess, O; Gillessen-Kaesbach, G)\n\nCited By :79\n\nExport Date: 5 January 2018\n\nCODEN: EJHGE\n\nCorrespondence Address: Wieczorek, D.; Institut fur Humangenetik, Universitatsklinikum Essen, Hufelandstr. 55, 45122 Essen, Germany; email: dagmar.wieczorek@uni-essen.de","page":"519-526","publisher-place":"Institut für Humangenetik, Universitätsklinikum, Essen, Germany","title":"Effect of the size of the deletion and clinical manifestation in Wolf-Hirschhorn syndrome: Analysis of 13 patients with a de novo deletion","type":"article-journal","volume":"8"},"uris":["http://www.mendeley.com/documents/?uuid=caa6c942-4b0a-4b0f-b978-8c4a84be643d"]},{"id":"ITEM-2","itemData":{"DOI":"10.1016/j.jaapos.2004.04.009","ISBN":"1091-8531 (Print)\\n1091-8531 (Linking)","ISSN":"10918531","PMID":"15314595","abstract":"Purpose Wolf-Hirschhorn syndrome is caused by partial deletion of the short arm of chromosome 4 (4p-). Common features include developmental delay, microcephaly, seizures, craniofacial anomalies, mental retardation, and cardiac defects. This article further describes the ocular manifestations of this rare disorder. Methods Charts of patients with 4p- from the University of Arkansas (n = 3) and the University of Minnesota (n = 7) were reviewed. Diagnosis was made by a geneticist and was confirmed by karyotype. Cytogenetic reports were available for review in eight patients. Results Ten patients (six females and four males) aged 4 months to 11 years were included. Ophthalmic findings included exodeviation (9/10), nasolacrimal obstruction (6/10), shallow orbits (3/10), epicanthal folds (3/10), foveal hypoplasia (3/10), upper lid coloboma (2/10), optic disk anomalies (2/10), downslanting palpebral fissures (2/10), microcornea (2/10), hypertelorism (1/10), nystagmus (1/10), and chorioretinal coloboma (1/10). Eight patients with 4p- had break points ranging from band 4p14 to 4p16.3. Conclusions This study expands on previous reports of the ophthalmic phenotype in 4p- and includes the additional findings of foveal hypoplasia, nystagmus, shallow orbits, epicanthal folds, and upper lid colobomas. Ophthalmic findings in 4p- are variable, likely related to the size of the deletion.","author":[{"dropping-particle":"","family":"Wu-Chen","given":"Wen Y.","non-dropping-particle":"","parse-names":false,"suffix":""},{"dropping-particle":"","family":"Christiansen","given":"Stephen P.","non-dropping-particle":"","parse-names":false,"suffix":""},{"dropping-particle":"","family":"Berry","given":"Susan A.","non-dropping-particle":"","parse-names":false,"suffix":""},{"dropping-particle":"","family":"Engel","given":"W. Keith","non-dropping-particle":"","parse-names":false,"suffix":""},{"dropping-particle":"","family":"Fray","given":"Katherine J.","non-dropping-particle":"","parse-names":false,"suffix":""},{"dropping-particle":"","family":"Summers","given":"C. Gail","non-dropping-particle":"","parse-names":false,"suffix":""}],"container-title":"Journal of AAPOS","id":"ITEM-2","issue":"4","issued":{"date-parts":[["2004","8"]]},"language":"English","note":"From Duplicate 1 (Ophthalmic manifestations of Wolf-Hirschhorn syndrome - Wu-Chen, Wen Y; Christiansen, Stephen P; Berry, Susan A; Engel, W Keith; Fray, Katherine J; Summers, C Gail)\n\nFrom Duplicate 2 (Ophthalmic manifestations of Wolf-Hirschhorn syndrome - Wu-Chen, W Y; Christiansen, S P; Berry, S A; Engel, W K; Fray, K J; Summers, C G)\n\nCited By :11\n\nExport Date: 5 January 2018\n\nCODEN: JAOAB\n\nCorrespondence Address: Summers, C.G.; Department of Ophthalmology, University of Minnesota, Minneapolis, MN, United States","page":"345-348","publisher-place":"Department of Ophthalmology, University of Minnesota, Minneapolis, MN, United States","title":"Ophthalmic manifestations of Wolf-Hirschhorn syndrome","type":"article-journal","volume":"8"},"uris":["http://www.mendeley.com/documents/?uuid=1302c797-5ab9-4620-b7e7-c4fe11180552"]},{"id":"ITEM-3","itemData":{"DOI":"10.1542/peds.103.4.830","abstract":"Wolf-Hirschhorn syndrome (WHS) is a well-known chromosomal disorder attributable to partial deletion of the short arm of chromosome 4 (4p-). Although about 120 cases have been reported so far, there is still very little data on its natural history. Information given to parents at the time of diagnosis tends to be skewed to the extreme negative. To help delineate more thoroughly the natural history of WHS, and to obtain better information to answer parents' questions in a clinical setting, we evaluated 15 patients (12 females, 3 males) in three centers with the 4p- syndrome. Four of the cases had a follow-up spanning 16 years. Thirteen cases were detected by standard cytogenetics (regular G-banding 10, high-resolution banding 3), while the remaining 2 required fluorescence in situ hybridization. A total of 5/15 (33.3%) had heart lesions; 7/15 (46. 6%) had oral facial clefts; 13/15 (86.6%) had a seizure disorder, that tended to disappear with age; and 100% had severe/profound developmental retardation. One Italian patient had sensorineural deafness and 1 Utah patient had a right split hand defect. Of note, 2 Utah patients were able to walk with support (at 4 and 12 years of age, respectively), whereas 3 Italian patients and 1 Utah patient were able to walk unassisted (at 4, 5, 5 years 9 months, and 7 years of age, respectively). Two of the 3 Italian patients also achieved sphincter control (by day). The 8 patients receiving serial electroencephalogram studies showed fairly distinctive abnormalities, usually outlasting seizures. A slow, but constant progress in development was observed in all cases, during the follow-up period. In conclusion, the combined cases of the three centers represent considerable experience, providing new information on several aspects of this important deletion syndrome.","author":[{"dropping-particle":"","family":"Battaglia","given":"A","non-dropping-particle":"","parse-names":false,"suffix":""},{"dropping-particle":"","family":"Carey","given":"J C","non-dropping-particle":"","parse-names":false,"suffix":""},{"dropping-particle":"","family":"Cederholm","given":"P","non-dropping-particle":"","parse-names":false,"suffix":""},{"dropping-particle":"","family":"Viskochil","given":"D H","non-dropping-particle":"","parse-names":false,"suffix":""},{"dropping-particle":"","family":"Brothman","given":"A R","non-dropping-particle":"","parse-names":false,"suffix":""},{"dropping-particle":"","family":"Galasso","given":"C","non-dropping-particle":"","parse-names":false,"suffix":""}],"container-title":"Pediatrics","id":"ITEM-3","issue":"4 I","issued":{"date-parts":[["1999","4"]]},"language":"English","note":"From Duplicate 3 (Natural history of Wolf-Hirschhorn syndrome: Experience with 15 cases - Battaglia, A; Carey, J C; Cederholm, P; Viskochil, D H; Brothman, A R; Galasso, C)\n\nCited By :120\n\nExport Date: 5 January 2018\n\nCODEN: PEDIA\n\nCorrespondence Address: Battaglia, A.; Stella Maris Scientific Res. Inst., Inst. of Child Neurol. and Psychiat., University of Pisa, via dei Giacinti, 2, 56018 Calambrone, Pisa, Italy","page":"830-836","publisher":"American Academy of Pediatrics","publisher-place":"Stella Maris Sci. Research Institute, Inst. of Child Neurol. and Psychiat., University of Pisa, 2-56018 Calambrone, Pisa, Italy","title":"Natural history of Wolf-Hirschhorn syndrome: Experience with 15 cases","type":"article-journal","volume":"103"},"uris":["http://www.mendeley.com/documents/?uuid=18e12a82-2b91-4fb5-84ff-64f5679a022b"]}],"mendeley":{"formattedCitation":"(A Battaglia et al., 1999; Wieczorek et al., 2000; Wu-Chen et al., 2004)","manualFormatting":"\r Battaglia et al., 1999; Wieczorek et al., 2000; Wu-Chen et al., 2004)","plainTextFormattedCitation":"(A Battaglia et al., 1999; Wieczorek et al., 2000; Wu-Chen et al., 2004)","previouslyFormattedCitation":"(A Battaglia et al., 1999; Wieczorek et al., 2000; Wu-Chen et al., 2004)"},"properties":{"noteIndex":0},"schema":"https://github.com/citation-style-language/schema/raw/master/csl-citation.json"}</w:instrText>
            </w:r>
            <w:r w:rsidRPr="006A1EC7">
              <w:rPr>
                <w:color w:val="000000" w:themeColor="text1"/>
              </w:rPr>
              <w:fldChar w:fldCharType="separate"/>
            </w:r>
          </w:p>
          <w:p w14:paraId="040D66B6"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noProof/>
                <w:color w:val="000000" w:themeColor="text1"/>
              </w:rPr>
            </w:pPr>
            <w:r w:rsidRPr="006A1EC7">
              <w:rPr>
                <w:noProof/>
                <w:color w:val="000000" w:themeColor="text1"/>
              </w:rPr>
              <w:t xml:space="preserve"> Battaglia et al., 1999; Wieczorek et al., 2000; Wu-Chen et al., 2004)</w:t>
            </w:r>
            <w:r w:rsidRPr="006A1EC7">
              <w:rPr>
                <w:color w:val="000000" w:themeColor="text1"/>
              </w:rPr>
              <w:fldChar w:fldCharType="end"/>
            </w:r>
            <w:r w:rsidRPr="006A1EC7">
              <w:rPr>
                <w:color w:val="000000" w:themeColor="text1"/>
              </w:rPr>
              <w:t>.</w:t>
            </w:r>
          </w:p>
        </w:tc>
      </w:tr>
      <w:tr w:rsidR="00735B4B" w:rsidRPr="006A1EC7" w14:paraId="06AE11B0" w14:textId="77777777" w:rsidTr="00735B4B">
        <w:tc>
          <w:tcPr>
            <w:cnfStyle w:val="001000000000" w:firstRow="0" w:lastRow="0" w:firstColumn="1" w:lastColumn="0" w:oddVBand="0" w:evenVBand="0" w:oddHBand="0" w:evenHBand="0" w:firstRowFirstColumn="0" w:firstRowLastColumn="0" w:lastRowFirstColumn="0" w:lastRowLastColumn="0"/>
            <w:tcW w:w="2819" w:type="dxa"/>
          </w:tcPr>
          <w:p w14:paraId="11EE40DD" w14:textId="77777777" w:rsidR="00735B4B" w:rsidRPr="006A1EC7" w:rsidRDefault="00735B4B" w:rsidP="00D13545">
            <w:pPr>
              <w:spacing w:line="276" w:lineRule="auto"/>
            </w:pPr>
            <w:r w:rsidRPr="006A1EC7">
              <w:t>Design</w:t>
            </w:r>
          </w:p>
        </w:tc>
        <w:tc>
          <w:tcPr>
            <w:tcW w:w="2852" w:type="dxa"/>
          </w:tcPr>
          <w:p w14:paraId="7C3B13B5"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pPr>
            <w:r w:rsidRPr="006A1EC7">
              <w:t xml:space="preserve">Comparative as well as non-comparative </w:t>
            </w:r>
          </w:p>
          <w:p w14:paraId="016FF427"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pPr>
          </w:p>
        </w:tc>
        <w:tc>
          <w:tcPr>
            <w:tcW w:w="2827" w:type="dxa"/>
          </w:tcPr>
          <w:p w14:paraId="3EF63723"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pPr>
          </w:p>
        </w:tc>
      </w:tr>
    </w:tbl>
    <w:p w14:paraId="075CFB04" w14:textId="4477FEA1" w:rsidR="00735B4B" w:rsidRPr="006A1EC7" w:rsidRDefault="00735B4B" w:rsidP="00735B4B"/>
    <w:p w14:paraId="15167D6E" w14:textId="77777777" w:rsidR="00735B4B" w:rsidRPr="006A1EC7" w:rsidRDefault="00735B4B" w:rsidP="00735B4B">
      <w:pPr>
        <w:pStyle w:val="Heading4"/>
        <w:rPr>
          <w:rFonts w:ascii="Times New Roman" w:hAnsi="Times New Roman" w:cs="Times New Roman"/>
        </w:rPr>
      </w:pPr>
      <w:r w:rsidRPr="006A1EC7">
        <w:rPr>
          <w:rFonts w:ascii="Times New Roman" w:hAnsi="Times New Roman" w:cs="Times New Roman"/>
        </w:rPr>
        <w:t>Findings: Records obtained &amp; screened</w:t>
      </w:r>
      <w:r w:rsidRPr="006A1EC7">
        <w:rPr>
          <w:rFonts w:ascii="Times New Roman" w:hAnsi="Times New Roman" w:cs="Times New Roman"/>
        </w:rPr>
        <w:br/>
      </w:r>
    </w:p>
    <w:p w14:paraId="12BE5114" w14:textId="2005DC2C" w:rsidR="00735B4B" w:rsidRPr="006A1EC7" w:rsidRDefault="00735B4B" w:rsidP="00735B4B">
      <w:pPr>
        <w:spacing w:line="360" w:lineRule="auto"/>
        <w:ind w:firstLine="720"/>
        <w:rPr>
          <w:color w:val="000000" w:themeColor="text1"/>
        </w:rPr>
      </w:pPr>
      <w:r w:rsidRPr="006A1EC7">
        <w:rPr>
          <w:color w:val="000000" w:themeColor="text1"/>
        </w:rPr>
        <w:t xml:space="preserve">A total of 697 results were obtained; all records were imported into Rayyan, a web and mobile application for systematic reviews </w:t>
      </w:r>
      <w:r w:rsidRPr="006A1EC7">
        <w:rPr>
          <w:color w:val="000000" w:themeColor="text1"/>
        </w:rPr>
        <w:fldChar w:fldCharType="begin" w:fldLock="1"/>
      </w:r>
      <w:r w:rsidRPr="006A1EC7">
        <w:rPr>
          <w:color w:val="000000" w:themeColor="text1"/>
        </w:rPr>
        <w:instrText>ADDIN CSL_CITATION {"citationItems":[{"id":"ITEM-1","itemData":{"DOI":"10.1186/s13643-016-0384-4","ISSN":"20464053","abstract":"Synthesis of multiple randomized controlled trials (RCTs) in a systematic review can summarize the effects of individual outcomes and provide numerical answers about the effectiveness of interventions. Filtering of searches is time consuming, and no single method fulfills the principal requirements of speed with accuracy. Automation of systematic reviews is driven by a necessity to expedite the availability of current best evidence for policy and clinical decision-making. We developed Rayyan (\\n http://rayyan.qcri.org\\n \\n ), a free web and mobile app, that helps expedite the initial screening of abstracts and titles using a process of semi-automation while incorporating a high level of usability. For the beta testing phase, we used two published Cochrane reviews in which included studies had been selected manually. Their searches, with 1030 records and 273 records, were uploaded to Rayyan. Different features of Rayyan were tested using these two reviews. We also conducted a survey of Rayyan’s users and collected feedback through a built-in feature. Pilot testing of Rayyan focused on usability, accuracy against manual methods, and the added value of the prediction feature. The “taster” review (273 records) allowed a quick overview of Rayyan for early comments on usability. The second review (1030 records) required several iterations to identify the previously identified 11 trials. The “suggestions” and “hints,” based on the “prediction model,” appeared as testing progressed beyond five included studies. Post rollout user experiences and a reflexive response by the developers enabled real-time modifications and improvements. The survey respondents reported 40% average time savings when using Rayyan compared to others tools, with 34% of the respondents reporting more than 50% time savings. In addition, around 75% of the respondents mentioned that screening and labeling studies as well as collaborating on reviews to be the two most important features of Rayyan. As of November 2016, Rayyan users exceed 2000 from over 60 countries conducting hundreds of reviews totaling more than 1.6M citations. Feedback from users, obtained mostly through the app web site and a recent survey, has highlighted the ease in exploration of searches, the time saved, and simplicity in sharing and comparing include-exclude decisions. The strongest features of the app, identified and reported in user feedback, were its ability to help in screening and collaboration as well as the ti…","author":[{"dropping-particle":"","family":"Ouzzani","given":"Mourad","non-dropping-particle":"","parse-names":false,"suffix":""},{"dropping-particle":"","family":"Hammady","given":"Hossam","non-dropping-particle":"","parse-names":false,"suffix":""},{"dropping-particle":"","family":"Fedorowicz","given":"Zbys","non-dropping-particle":"","parse-names":false,"suffix":""},{"dropping-particle":"","family":"Elmagarmid","given":"Ahmed","non-dropping-particle":"","parse-names":false,"suffix":""}],"container-title":"Systematic Reviews","id":"ITEM-1","issued":{"date-parts":[["2016"]]},"title":"Rayyan-a web and mobile app for systematic reviews","type":"article-journal"},"uris":["http://www.mendeley.com/documents/?uuid=9847cc3a-07fa-4de2-95b4-cd2c6f0f1e86","http://www.mendeley.com/documents/?uuid=7c4298bf-129f-4274-9448-db107cb5870f"]}],"mendeley":{"formattedCitation":"(Ouzzani et al., 2016)","plainTextFormattedCitation":"(Ouzzani et al., 2016)","previouslyFormattedCitation":"(Ouzzani et al., 2016)"},"properties":{"noteIndex":0},"schema":"https://github.com/citation-style-language/schema/raw/master/csl-citation.json"}</w:instrText>
      </w:r>
      <w:r w:rsidRPr="006A1EC7">
        <w:rPr>
          <w:color w:val="000000" w:themeColor="text1"/>
        </w:rPr>
        <w:fldChar w:fldCharType="separate"/>
      </w:r>
      <w:r w:rsidRPr="006A1EC7">
        <w:rPr>
          <w:noProof/>
          <w:color w:val="000000" w:themeColor="text1"/>
        </w:rPr>
        <w:t>(Ouzzani et al., 2016)</w:t>
      </w:r>
      <w:r w:rsidRPr="006A1EC7">
        <w:rPr>
          <w:color w:val="000000" w:themeColor="text1"/>
        </w:rPr>
        <w:fldChar w:fldCharType="end"/>
      </w:r>
      <w:r w:rsidRPr="006A1EC7">
        <w:rPr>
          <w:color w:val="000000" w:themeColor="text1"/>
        </w:rPr>
        <w:t xml:space="preserve">. Using Rayyan, 351 articles were found to be duplicates, leaving the titles of 346 articles to be screened. Upon screening of the titles, 279 records were excluded. The abstracts of the 67 remaining records were assessed. Fifty-five papers used ad-hoc measures with their patient samples with </w:t>
      </w:r>
      <w:r w:rsidR="009F0718" w:rsidRPr="006A1EC7">
        <w:rPr>
          <w:color w:val="000000" w:themeColor="text1"/>
        </w:rPr>
        <w:t>WHS</w:t>
      </w:r>
      <w:r w:rsidRPr="006A1EC7">
        <w:rPr>
          <w:color w:val="000000" w:themeColor="text1"/>
        </w:rPr>
        <w:t xml:space="preserve">, and were thus also excluded. Thirteen studies remained for full-text assessment. Out of those, four articles were not available in English, they were either in Polish (n = 1) or French (n = 1), or Spanish (n = 2) and thus excluded. The remaining eight studies were assessed in-depth, an overview of these studies is provided in Tables 4 and 5. However, as none of the measures used in these studies were validated for </w:t>
      </w:r>
      <w:r w:rsidR="009F0718" w:rsidRPr="006A1EC7">
        <w:rPr>
          <w:color w:val="000000" w:themeColor="text1"/>
        </w:rPr>
        <w:t>WHS</w:t>
      </w:r>
      <w:r w:rsidRPr="006A1EC7">
        <w:rPr>
          <w:color w:val="000000" w:themeColor="text1"/>
        </w:rPr>
        <w:t xml:space="preserve">, they also had to be excluded from this systematic review. Consequently, no records (or measures) matching the inclusion criteria were found. </w:t>
      </w:r>
      <w:r w:rsidRPr="006A1EC7">
        <w:rPr>
          <w:color w:val="000000" w:themeColor="text1"/>
        </w:rPr>
        <w:lastRenderedPageBreak/>
        <w:t xml:space="preserve">Prisma Diagram 1 (Appendix 3.2) illustrates the flow throughout the search. </w:t>
      </w:r>
      <w:r w:rsidRPr="006A1EC7">
        <w:rPr>
          <w:color w:val="000000" w:themeColor="text1"/>
        </w:rPr>
        <w:br/>
      </w:r>
    </w:p>
    <w:p w14:paraId="4D16E0D6" w14:textId="6894B848" w:rsidR="00735B4B" w:rsidRPr="006A1EC7" w:rsidRDefault="00735B4B" w:rsidP="00735B4B">
      <w:pPr>
        <w:pStyle w:val="Heading3"/>
        <w:rPr>
          <w:rFonts w:ascii="Times New Roman" w:hAnsi="Times New Roman" w:cs="Times New Roman"/>
        </w:rPr>
      </w:pPr>
      <w:bookmarkStart w:id="84" w:name="_Toc40173029"/>
      <w:r w:rsidRPr="006A1EC7">
        <w:rPr>
          <w:rFonts w:ascii="Times New Roman" w:hAnsi="Times New Roman" w:cs="Times New Roman"/>
        </w:rPr>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4</w:t>
      </w:r>
      <w:r w:rsidRPr="006A1EC7">
        <w:rPr>
          <w:rFonts w:ascii="Times New Roman" w:hAnsi="Times New Roman" w:cs="Times New Roman"/>
        </w:rPr>
        <w:fldChar w:fldCharType="end"/>
      </w:r>
      <w:r w:rsidRPr="006A1EC7">
        <w:rPr>
          <w:rFonts w:ascii="Times New Roman" w:hAnsi="Times New Roman" w:cs="Times New Roman"/>
        </w:rPr>
        <w:t>: Overview of studies excluded in the last step of the systematic review</w:t>
      </w:r>
      <w:bookmarkEnd w:id="84"/>
    </w:p>
    <w:tbl>
      <w:tblPr>
        <w:tblStyle w:val="PlainTable4"/>
        <w:tblW w:w="0" w:type="auto"/>
        <w:tblLook w:val="04A0" w:firstRow="1" w:lastRow="0" w:firstColumn="1" w:lastColumn="0" w:noHBand="0" w:noVBand="1"/>
      </w:tblPr>
      <w:tblGrid>
        <w:gridCol w:w="3241"/>
        <w:gridCol w:w="5257"/>
      </w:tblGrid>
      <w:tr w:rsidR="00735B4B" w:rsidRPr="006A1EC7" w14:paraId="0C026B4D" w14:textId="77777777" w:rsidTr="00D13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2232B9" w14:textId="77777777" w:rsidR="00735B4B" w:rsidRPr="006A1EC7" w:rsidRDefault="00735B4B" w:rsidP="00D13545">
            <w:pPr>
              <w:spacing w:line="276" w:lineRule="auto"/>
              <w:rPr>
                <w:color w:val="000000" w:themeColor="text1"/>
                <w:sz w:val="18"/>
                <w:szCs w:val="18"/>
                <w:u w:val="single"/>
              </w:rPr>
            </w:pPr>
            <w:r w:rsidRPr="006A1EC7">
              <w:rPr>
                <w:color w:val="000000" w:themeColor="text1"/>
                <w:sz w:val="18"/>
                <w:szCs w:val="18"/>
                <w:u w:val="single"/>
              </w:rPr>
              <w:t>Authors (Year), Country</w:t>
            </w:r>
          </w:p>
        </w:tc>
        <w:tc>
          <w:tcPr>
            <w:tcW w:w="0" w:type="auto"/>
          </w:tcPr>
          <w:p w14:paraId="5900BA92"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u w:val="single"/>
              </w:rPr>
            </w:pPr>
            <w:r w:rsidRPr="006A1EC7">
              <w:rPr>
                <w:color w:val="000000" w:themeColor="text1"/>
                <w:sz w:val="18"/>
                <w:szCs w:val="18"/>
                <w:u w:val="single"/>
              </w:rPr>
              <w:t>Study Objective</w:t>
            </w:r>
          </w:p>
        </w:tc>
      </w:tr>
      <w:tr w:rsidR="00735B4B" w:rsidRPr="006A1EC7" w14:paraId="02C2B652"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B30E7" w14:textId="77777777" w:rsidR="00735B4B" w:rsidRPr="006A1EC7" w:rsidRDefault="00735B4B" w:rsidP="00D13545">
            <w:pPr>
              <w:spacing w:line="276" w:lineRule="auto"/>
              <w:rPr>
                <w:color w:val="000000" w:themeColor="text1"/>
                <w:sz w:val="18"/>
                <w:szCs w:val="18"/>
                <w:u w:val="single"/>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{"citationItems":[{"id":"ITEM-1","itemData":{"DOI":"10.6000/2292-2598.2014.02.02.3","author":[{"dropping-particle":"","family":"Cossu","given":"M C","non-dropping-particle":"","parse-names":false,"suffix":""},{"dropping-particle":"","family":"Albergo","given":"A","non-dropping-particle":"","parse-names":false,"suffix":""},{"dropping-particle":"","family":"Galluzzi","given":"C","non-dropping-particle":"","parse-names":false,"suffix":""},{"dropping-particle":"","family":"Stefani","given":"C","non-dropping-particle":"","parse-names":false,"suffix":""},{"dropping-particle":"","family":"Antonucci","given":"G","non-dropping-particle":"","parse-names":false,"suffix":""}],"container-title":"Journal of Intellectual Disability - Diagnosis and Treatment","id":"ITEM-1","issue":"2","issued":{"date-parts":[["2014"]]},"note":"Export Date: 5 January 2018","page":"101-111","title":"Neuropsychological phenotype in Wolf-Hirschhorn syndrome","type":"article-journal","volume":"2"},"uris":["http://www.mendeley.com/documents/?uuid=35abbeaa-1443-4764-91f9-b817a99572b0"]}],"mendeley":{"formattedCitation":"(Cossu, Albergo, Galluzzi, Stefani, &amp; Antonucci, 2014)","manualFormatting":"Cossu et al., (2014)","plainTextFormattedCitation":"(Cossu, Albergo, Galluzzi, Stefani, &amp; Antonucci, 2014)","previouslyFormattedCitation":"(Cossu, Albergo, Galluzzi, Stefani, &amp; Antonucci, 2014)"},"properties":{"noteIndex":0},"schema":"https://github.com/citation-style-language/schema/raw/master/csl-citation.json"}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Cossu et al., (2014)</w:t>
            </w:r>
            <w:r w:rsidRPr="006A1EC7">
              <w:rPr>
                <w:color w:val="000000" w:themeColor="text1"/>
                <w:sz w:val="18"/>
                <w:szCs w:val="18"/>
              </w:rPr>
              <w:fldChar w:fldCharType="end"/>
            </w:r>
            <w:r w:rsidRPr="006A1EC7">
              <w:rPr>
                <w:color w:val="000000" w:themeColor="text1"/>
                <w:sz w:val="18"/>
                <w:szCs w:val="18"/>
              </w:rPr>
              <w:t>, Italy</w:t>
            </w:r>
          </w:p>
        </w:tc>
        <w:tc>
          <w:tcPr>
            <w:tcW w:w="0" w:type="auto"/>
          </w:tcPr>
          <w:p w14:paraId="1AEFF625"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u w:val="single"/>
              </w:rPr>
            </w:pPr>
            <w:r w:rsidRPr="006A1EC7">
              <w:rPr>
                <w:color w:val="000000" w:themeColor="text1"/>
                <w:sz w:val="18"/>
                <w:szCs w:val="18"/>
              </w:rPr>
              <w:t>Characterisation of neuropsychological WHS phenotype</w:t>
            </w:r>
          </w:p>
        </w:tc>
      </w:tr>
      <w:tr w:rsidR="00735B4B" w:rsidRPr="006A1EC7" w14:paraId="26512FEE" w14:textId="77777777" w:rsidTr="00D13545">
        <w:trPr>
          <w:trHeight w:val="1285"/>
        </w:trPr>
        <w:tc>
          <w:tcPr>
            <w:cnfStyle w:val="001000000000" w:firstRow="0" w:lastRow="0" w:firstColumn="1" w:lastColumn="0" w:oddVBand="0" w:evenVBand="0" w:oddHBand="0" w:evenHBand="0" w:firstRowFirstColumn="0" w:firstRowLastColumn="0" w:lastRowFirstColumn="0" w:lastRowLastColumn="0"/>
            <w:tcW w:w="0" w:type="auto"/>
          </w:tcPr>
          <w:p w14:paraId="02D92935" w14:textId="77777777" w:rsidR="00735B4B" w:rsidRPr="006A1EC7" w:rsidRDefault="00735B4B" w:rsidP="00D13545">
            <w:pPr>
              <w:spacing w:line="276" w:lineRule="auto"/>
              <w:rPr>
                <w:noProof/>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{"citationItems":[{"id":"ITEM-1","itemData":{"DOI":"10.1002/ajmg.c.30185","ISSN":"1552-4876","PMID":"18932225","abstract":"As a subset of genetic abnormalities, subtelomeric deletions have been found in 7-10% of individuals with mental retardation (MR). One subtelomeric deletion, Wolf-Hirschhorn syndrome (WHS), causes mild to severe MR, but the cognitive-behavioral features of individuals with WHS have not been studied systematically. To that end, we administered a comprehensive cognitive-behavioral battery to 12 children with WHS, ages 4-17 years, who also had some expressive language. Using the Stanford-Binet (4th Edition), we found cognitive deficits ranged from mild to severe, with mean IQ = 44.1. Interviewing parents with the Vineland Adaptive Behavior Scales, we found mean adaptive behavior score (DQ) = 37.3, with females exhibiting slightly higher scores than males. Cognitive profiles indicated relative strengths in Verbal and Quantitative Reasoning. Adaptive behavior profiles noted significant relative strengths in the Socialization Domain. These cognitive-behavioral profiles differed from children with other subtelomeric deletion syndromes, 2q37 or 8p23. Attention deficits and hyperactivity (ADHD) were observed in 7/12 (58%) of the children we tested. One child attained a score on the Child Autism Rating Scale (CARS) suggestive of mild autism. We conclude that different genetic disorders, which cause MR, produce diverse cognitive-behavioral profiles. Consequently, cognitive-behavioral profiles of children with MR need to be assessed more comprehensively.","author":[{"dropping-particle":"","family":"Fisch","given":"Gene S","non-dropping-particle":"","parse-names":false,"suffix":""},{"dropping-particle":"","family":"Battaglia","given":"Agatino","non-dropping-particle":"","parse-names":false,"suffix":""},{"dropping-particle":"","family":"Parrini","given":"Barbara","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genetics","id":"ITEM-1","issue":"4","issued":{"date-parts":[["2008","11","15"]]},"page":"252-6","title":"Cognitive-behavioral features of children with Wolf-Hirschhorn syndrome: preliminary report of 12 cases.","type":"article-journal","volume":"148C"},"uris":["http://www.mendeley.com/documents/?uuid=b0177e36-efa1-301e-ae10-dedd8fb3b2a4"]}],"mendeley":{"formattedCitation":"(Gene S Fisch et al., 2008)","manualFormatting":"Fisch et al. (2008; 2010)","plainTextFormattedCitation":"(Gene S Fisch et al., 2008)","previouslyFormattedCitation":"(Gene S Fisch et al., 2008)"},"properties":{"noteIndex":0},"schema":"https://github.com/citation-style-language/schema/raw/master/csl-citation.json"}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Fisch et al. (2008; 2010)</w:t>
            </w:r>
            <w:r w:rsidRPr="006A1EC7">
              <w:rPr>
                <w:color w:val="000000" w:themeColor="text1"/>
                <w:sz w:val="18"/>
                <w:szCs w:val="18"/>
              </w:rPr>
              <w:fldChar w:fldCharType="end"/>
            </w:r>
            <w:r w:rsidRPr="006A1EC7">
              <w:rPr>
                <w:color w:val="000000" w:themeColor="text1"/>
                <w:sz w:val="18"/>
                <w:szCs w:val="18"/>
              </w:rPr>
              <w:t>, USA (n = 2)</w:t>
            </w:r>
          </w:p>
        </w:tc>
        <w:tc>
          <w:tcPr>
            <w:tcW w:w="0" w:type="auto"/>
          </w:tcPr>
          <w:p w14:paraId="600E7952"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u w:val="single"/>
              </w:rPr>
            </w:pPr>
            <w:r w:rsidRPr="006A1EC7">
              <w:rPr>
                <w:color w:val="000000" w:themeColor="text1"/>
                <w:sz w:val="18"/>
                <w:szCs w:val="18"/>
              </w:rPr>
              <w:t>Systematic study of cognitive-behavioural features of WHS (2008: preliminary report of 12 cases; 2010: full report of 45 patients)</w:t>
            </w:r>
          </w:p>
        </w:tc>
      </w:tr>
      <w:tr w:rsidR="00735B4B" w:rsidRPr="006A1EC7" w14:paraId="4E86F4F0"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873F0" w14:textId="77777777" w:rsidR="00735B4B" w:rsidRPr="006A1EC7" w:rsidRDefault="00735B4B" w:rsidP="00D13545">
            <w:pPr>
              <w:spacing w:line="276" w:lineRule="auto"/>
              <w:rPr>
                <w:color w:val="000000" w:themeColor="text1"/>
                <w:sz w:val="18"/>
                <w:szCs w:val="18"/>
                <w:u w:val="single"/>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{"citationItems":[{"id":"ITEM-1","itemData":{"DOI":"10.1352/1944-7558-117.2.167","ISSN":"19447515","PMID":"22515830","abstract":"Few studies exist of developmental trajectories in children with intellectual disability, and none for those with subtelomeric deletions. We compared developmental trajectories of children with Wolf-Hirschhorn syndrome to other genetic disorders. We recruited 106 children diagnosed with fragile X, Williams-Beuren syndrome, or Wolf-Hirschhorn syndrome, assessing their intellectual and adaptive behavior abilities. We retested 61 children 2 years later. We compared Time 1 and Time 2 difference scores related to genetic disorder, age, initial IQ, or adaptive behavior composite. Results show genetic disorder and initial IQ score were significant factors for IQ differences, but only genetic disorder affected adaptive behavior differences. Results suggest different gene-brain-behavior pathways likely exist for these genetic disorders. Different developmental trajectories will influence the type and intensity of intervention implemented by caregivers.","author":[{"dropping-particle":"","family":"Fisch","given":"Gene S.","non-dropping-particle":"","parse-names":false,"suffix":""},{"dropping-particle":"","family":"Carpenter","given":"Nancy","non-dropping-particle":"","parse-names":false,"suffix":""},{"dropping-particle":"","family":"Howard-Peebles","given":"Patricia N.","non-dropping-particle":"","parse-names":false,"suffix":""},{"dropping-particle":"","family":"Holden","given":"Jeanette J A","non-dropping-particle":"","parse-names":false,"suffix":""},{"dropping-particle":"","family":"Tarleton","given":"Jack","non-dropping-particle":"","parse-names":false,"suffix":""},{"dropping-particle":"","family":"Simensen","given":"Richard","non-dropping-particle":"","parse-names":false,"suffix":""},{"dropping-particle":"","family":"Battaglia","given":"Agatino","non-dropping-particle":"","parse-names":false,"suffix":""}],"collection-title":"American Journal of Mental Deficiency, American Journal on Mental Retardation","container-title":"American Journal on Intellectual and Developmental Disabilities","editor":[{"dropping-particle":"","family":"Axelrad  Battaglia  Borghgraef, Carr, Dykens, Dykens, Fisch, Fisch, Fisch, Fisch, Fisch, Fisch, Fisch, Gosch, Gothelf, Hagerman, Hall, Hyman, Lachiewicz, Maas, McGill, Mervis, Mervis, Morris, Roberts, Rooms, Skinner, South, South, South, Udwin,, Baileyy","given":"Battaglia","non-dropping-particle":"","parse-names":false,"suffix":""}],"id":"ITEM-1","issue":"2","issued":{"date-parts":[["2012","3"]]},"page":"167-179","publisher":"American Association on Intellectual and Developmental Disabilities","publisher-place":"Fisch, Gene S.: New York University, Epidemiology and Health Promotion, 250 Park Avenue South, 6th Floor, New York, NY, US, 10003, gene.fisch@nyu.edu","title":"Developmental trajectories in syndromes with intellectual disability, with a focus on wolf-hirschhorn and its cognitive-behavioral profile","type":"article-journal","volume":"117"},"uris":["http://www.mendeley.com/documents/?uuid=150d6988-0592-4309-99bb-d5e735bf22eb"]}],"mendeley":{"formattedCitation":"(Gene S. Fisch et al., 2012)","manualFormatting":"Fisch et al. (2012)","plainTextFormattedCitation":"(Gene S. Fisch et al., 2012)","previouslyFormattedCitation":"(Gene S. Fisch et al., 2012)"},"properties":{"noteIndex":0},"schema":"https://github.com/citation-style-language/schema/raw/master/csl-citation.json"}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Fisch et al. (2012)</w:t>
            </w:r>
            <w:r w:rsidRPr="006A1EC7">
              <w:rPr>
                <w:color w:val="000000" w:themeColor="text1"/>
                <w:sz w:val="18"/>
                <w:szCs w:val="18"/>
              </w:rPr>
              <w:fldChar w:fldCharType="end"/>
            </w:r>
            <w:r w:rsidRPr="006A1EC7">
              <w:rPr>
                <w:color w:val="000000" w:themeColor="text1"/>
                <w:sz w:val="18"/>
                <w:szCs w:val="18"/>
              </w:rPr>
              <w:t>, USA</w:t>
            </w:r>
          </w:p>
        </w:tc>
        <w:tc>
          <w:tcPr>
            <w:tcW w:w="0" w:type="auto"/>
          </w:tcPr>
          <w:p w14:paraId="407473B0"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u w:val="single"/>
              </w:rPr>
            </w:pPr>
            <w:r w:rsidRPr="006A1EC7">
              <w:rPr>
                <w:color w:val="000000" w:themeColor="text1"/>
                <w:sz w:val="18"/>
                <w:szCs w:val="18"/>
              </w:rPr>
              <w:t>Comparison of developmental trajectories for patients with WHS and other subtelomeric syndromes</w:t>
            </w:r>
          </w:p>
        </w:tc>
      </w:tr>
      <w:tr w:rsidR="00735B4B" w:rsidRPr="006A1EC7" w14:paraId="46573773"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2A6F7866" w14:textId="77777777" w:rsidR="00735B4B" w:rsidRPr="006A1EC7" w:rsidRDefault="00735B4B" w:rsidP="00D13545">
            <w:pPr>
              <w:spacing w:line="276" w:lineRule="auto"/>
              <w:rPr>
                <w:color w:val="000000" w:themeColor="text1"/>
                <w:sz w:val="18"/>
                <w:szCs w:val="18"/>
                <w:u w:val="single"/>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{"citationItems":[{"id":"ITEM-1","itemData":{"DOI":"10.1016/j.yebeh.2017.12.008","ISSN":"15255069","abstract":"Seizures are present in over 90% of infants and children with Wolf–Hirschhorn syndrome (WHS). When present, they significantly affect quality of life. The goal of this study was to use caregiver reports to describe the comparative efficacies of commonly used antiepileptic medications in a large population of individuals with WHS. A web-based, confidential caregiver survey was developed to capture seizure semiology and a chronologic record of seizure treatments as well as responses to each treatment. Adverse events for each drug were also cataloged. We received 141 complete survey responses (47% response rate) describing the seizures of individuals ranging in age from 4 months to 61 years (90 females: 51 males). Using the Early Childhood Epilepsy Severity Scale (E-Chess), WHS-associated seizures are demonstrably severe regardless of deletion size. The best-performing antiepileptic drugs (AEDs) for controlling seizures in this cohort were broad spectrum drugs clobazam, levetiracetam, and lamotrigine; whereas, the three commonly used carboxamide class drugs: carbamazepine, phenytoin, and oxcarbazepine, were reported to have little effect on, or even exacerbate, seizures. The carboxamide class drugs, along with phenobarbital and topiramate, were also associated with the highest rate of intolerance due to cooccurrence of adverse events. Levetiracetam, clobazam, and clonazepam demonstrated higher tolerability and comparatively less severe adverse events (Wilcoxon rank sum comparison between performance of levetiracetam and carboxamide class drugs gives a p &lt; 0.0001 after multiple comparison adjustment). This is the largest survey to date assessing WHS seizures. This study design is susceptible to possible bias, as the data are largely drawn from caregiver report and investigators had limited access to medical records. Despite this, our data suggest that the genetic etiology of seizures, together with an accurate electroclinical delineation, are important components of drug selection, even in contiguous gene syndromes which may have complex seizure etiologies.","author":[{"dropping-particle":"","family":"Ho","given":"Karen S.","non-dropping-particle":"","parse-names":false,"suffix":""},{"dropping-particle":"","family":"Markham","given":"Leah M.","non-dropping-particle":"","parse-names":false,"suffix":""},{"dropping-particle":"","family":"Twede","given":"Hope","non-dropping-particle":"","parse-names":false,"suffix":""},{"dropping-particle":"","family":"Lortz","given":"Amanda","non-dropping-particle":"","parse-names":false,"suffix":""},{"dropping-particle":"","family":"Olson","given":"Lenora M.","non-dropping-particle":"","parse-names":false,"suffix":""},{"dropping-particle":"","family":"Sheng","given":"Xiaoming","non-dropping-particle":"","parse-names":false,"suffix":""},{"dropping-particle":"","family":"Weng","given":"Cindy","non-dropping-particle":"","parse-names":false,"suffix":""},{"dropping-particle":"","family":"Wassman","given":"E. Robert","non-dropping-particle":"","parse-names":false,"suffix":""},{"dropping-particle":"","family":"Newcomb","given":"Tara","non-dropping-particle":"","parse-names":false,"suffix":""},{"dropping-particle":"","family":"Wassman","given":"E. Robert","non-dropping-particle":"","parse-names":false,"suffix":""},{"dropping-particle":"","family":"Carey","given":"John C.","non-dropping-particle":"","parse-names":false,"suffix":""},{"dropping-particle":"","family":"Battaglia","given":"Agatino","non-dropping-particle":"","parse-names":false,"suffix":""}],"container-title":"Epilepsy and Behavior","id":"ITEM-1","issued":{"date-parts":[["2018"]]},"page":"55-61","publisher":"Elsevier Inc.","title":"A survey of antiepileptic drug responses identifies drugs with potential efficacy for seizure control in Wolf–Hirschhorn syndrome","type":"article-journal","volume":"81"},"uris":["http://www.mendeley.com/documents/?uuid=f2072478-ed93-4824-8c58-4866e436ad22"]}],"mendeley":{"formattedCitation":"(Ho et al., 2018a)","manualFormatting":"Ho et al. (2018)","plainTextFormattedCitation":"(Ho et al., 2018a)","previouslyFormattedCitation":"(Ho et al., 2018a)"},"properties":{"noteIndex":0},"schema":"https://github.com/citation-style-language/schema/raw/master/csl-citation.json"}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Ho et al. (2018)</w:t>
            </w:r>
            <w:r w:rsidRPr="006A1EC7">
              <w:rPr>
                <w:color w:val="000000" w:themeColor="text1"/>
                <w:sz w:val="18"/>
                <w:szCs w:val="18"/>
              </w:rPr>
              <w:fldChar w:fldCharType="end"/>
            </w:r>
            <w:r w:rsidRPr="006A1EC7">
              <w:rPr>
                <w:color w:val="000000" w:themeColor="text1"/>
                <w:sz w:val="18"/>
                <w:szCs w:val="18"/>
              </w:rPr>
              <w:t xml:space="preserve">, USA, Europe and Asia </w:t>
            </w:r>
          </w:p>
        </w:tc>
        <w:tc>
          <w:tcPr>
            <w:tcW w:w="0" w:type="auto"/>
          </w:tcPr>
          <w:p w14:paraId="116AB966"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u w:val="single"/>
              </w:rPr>
            </w:pPr>
            <w:r w:rsidRPr="006A1EC7">
              <w:rPr>
                <w:color w:val="000000" w:themeColor="text1"/>
                <w:sz w:val="18"/>
                <w:szCs w:val="18"/>
              </w:rPr>
              <w:t>Measurement of antiepileptic drugs responses in WHS</w:t>
            </w:r>
          </w:p>
        </w:tc>
      </w:tr>
      <w:tr w:rsidR="00735B4B" w:rsidRPr="006A1EC7" w14:paraId="0C383347"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715DD" w14:textId="77777777" w:rsidR="00735B4B" w:rsidRPr="006A1EC7" w:rsidRDefault="00735B4B" w:rsidP="00D13545">
            <w:pPr>
              <w:spacing w:line="276" w:lineRule="auto"/>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{"citationItems":[{"id":"ITEM-1","itemData":{"DOI":"10.1044/0161-1461(2009/08-0098)","ISSN":"0161-1461","PMID":"20421614","abstract":"PURPOSE: The purpose of this investigation was to examine the impact of Chromosome 4p- syndrome on the communication and expressive language phenotype of a large cross-cultural population of children, adolescents, and adults. METHOD: A large-scale survey study was conducted and a descriptive research design was used to analyze quantitative and qualitative data regarding the communication and expressive language manifestations of 200 children, youth, and adults from 16 countries and Puerto Rico who had been diagnosed with 4p conditions, including Wolf-Hirschhorn syndrome (WHS), Pitt-Rogers-Danks syndrome (PRDS), Proximal 4p Deletion syndrome, and complex chromosomal rearrangements associated with 4p-. RESULTS: Individuals with Chromosome 4p- syndrome represent a heterogeneous population with complex phenotypic profiles. The majority of the participants exhibited communication and expressive language skills below the 36-month developmental functioning level. A relatively small cohort of the study population exhibited advanced expressive language skills, a finding not reported in the professional literature. CONCLUSION: Results broaden the spectrum of expressive language skills associated with Chromosome 4p- syndrome and highlight the communication potential of a subset of individuals with 4p abnormalities for development of advanced language structures. It is hypothesized that the largest 4p deletion, which includes the 4p16.3 band and contiguous gene regions, results in the most severely affected expressive language phenotype.","author":[{"dropping-particle":"","family":"Marshall","given":"Althea T.","non-dropping-particle":"","parse-names":false,"suffix":""}],"container-title":"Language Speech and Hearing Services in Schools","id":"ITEM-1","issue":"3","issued":{"date-parts":[["2010","7"]]},"page":"265","title":"Impact of Chromosome 4p- Syndrome on Communication and Expressive Language Skills: A Preliminary Investigation","type":"article-journal","volume":"41"},"uris":["http://www.mendeley.com/documents/?uuid=1579e43f-32e3-4d96-a19d-c205424e9c08"]}],"mendeley":{"formattedCitation":"(A. T. Marshall, 2010)","manualFormatting":"Marshall (2010)","plainTextFormattedCitation":"(A. T. Marshall, 2010)","previouslyFormattedCitation":"(A. T. Marshall, 2010)"},"properties":{"noteIndex":0},"schema":"https://github.com/citation-style-language/schema/raw/master/csl-citation.json"}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Marshall (2010)</w:t>
            </w:r>
            <w:r w:rsidRPr="006A1EC7">
              <w:rPr>
                <w:color w:val="000000" w:themeColor="text1"/>
                <w:sz w:val="18"/>
                <w:szCs w:val="18"/>
              </w:rPr>
              <w:fldChar w:fldCharType="end"/>
            </w:r>
            <w:r w:rsidRPr="006A1EC7">
              <w:rPr>
                <w:color w:val="000000" w:themeColor="text1"/>
                <w:sz w:val="18"/>
                <w:szCs w:val="18"/>
              </w:rPr>
              <w:t xml:space="preserve">, 16 countries and the commonwealth of Puerto Rico </w:t>
            </w:r>
          </w:p>
        </w:tc>
        <w:tc>
          <w:tcPr>
            <w:tcW w:w="0" w:type="auto"/>
          </w:tcPr>
          <w:p w14:paraId="140E8605"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u w:val="single"/>
              </w:rPr>
            </w:pPr>
            <w:r w:rsidRPr="006A1EC7">
              <w:rPr>
                <w:color w:val="000000" w:themeColor="text1"/>
                <w:sz w:val="18"/>
                <w:szCs w:val="18"/>
              </w:rPr>
              <w:t>Examination of the impact of WHS on communication and expressive language skills</w:t>
            </w:r>
          </w:p>
        </w:tc>
      </w:tr>
      <w:tr w:rsidR="00735B4B" w:rsidRPr="006A1EC7" w14:paraId="79A4AABA"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6313ECE1" w14:textId="77777777" w:rsidR="00735B4B" w:rsidRPr="006A1EC7" w:rsidRDefault="00735B4B" w:rsidP="00D13545">
            <w:pPr>
              <w:spacing w:line="276" w:lineRule="auto"/>
              <w:rPr>
                <w:color w:val="000000" w:themeColor="text1"/>
                <w:sz w:val="18"/>
                <w:szCs w:val="18"/>
                <w:u w:val="single"/>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genetics","id":"ITEM-1","issue":"11","issued":{"date-parts":[["2017","11"]]},"page":"610-617","title":"A structured assessment of motor function, behavior, and communication in patients with Wolf-Hirschhorn syndrome.","type":"article-journal","volume":"60"},"uris":["http://www.mendeley.com/documents/?uuid=290aecbf-c91b-4edf-a7e4-bf884192a1cc"]}],"mendeley":{"formattedCitation":"(Nag et al., 2017)","manualFormatting":"Nag et al. (2017)","plainTextFormattedCitation":"(Nag et al., 2017)","previouslyFormattedCitation":"(Nag et al., 2017)"},"properties":{"noteIndex":0},"schema":"https://github.com/citation-style-language/schema/raw/master/csl-citation.json"}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Nag et al. (2017)</w:t>
            </w:r>
            <w:r w:rsidRPr="006A1EC7">
              <w:rPr>
                <w:color w:val="000000" w:themeColor="text1"/>
                <w:sz w:val="18"/>
                <w:szCs w:val="18"/>
              </w:rPr>
              <w:fldChar w:fldCharType="end"/>
            </w:r>
            <w:r w:rsidRPr="006A1EC7">
              <w:rPr>
                <w:color w:val="000000" w:themeColor="text1"/>
                <w:sz w:val="18"/>
                <w:szCs w:val="18"/>
              </w:rPr>
              <w:t>, Norway</w:t>
            </w:r>
          </w:p>
        </w:tc>
        <w:tc>
          <w:tcPr>
            <w:tcW w:w="0" w:type="auto"/>
          </w:tcPr>
          <w:p w14:paraId="0E735586"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u w:val="single"/>
              </w:rPr>
            </w:pPr>
            <w:r w:rsidRPr="006A1EC7">
              <w:rPr>
                <w:color w:val="000000" w:themeColor="text1"/>
                <w:sz w:val="18"/>
                <w:szCs w:val="18"/>
              </w:rPr>
              <w:t>Structured assessment of motor function, behaviour and communication in WHS</w:t>
            </w:r>
          </w:p>
        </w:tc>
      </w:tr>
      <w:tr w:rsidR="00735B4B" w:rsidRPr="006A1EC7" w14:paraId="6BC93D82"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36927D" w14:textId="77777777" w:rsidR="00735B4B" w:rsidRPr="006A1EC7" w:rsidRDefault="00735B4B" w:rsidP="00D13545">
            <w:pPr>
              <w:spacing w:line="276" w:lineRule="auto"/>
              <w:rPr>
                <w:color w:val="000000" w:themeColor="text1"/>
                <w:sz w:val="18"/>
                <w:szCs w:val="18"/>
                <w:u w:val="single"/>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{"citationItems":[{"id":"ITEM-1","itemData":{"DOI":"10.1016/S0021-9924(03)00037-6","ISBN":"0021-9924 (Print)\\n0021-9924 (Linking)","ISSN":"00219924","PMID":"15013377","abstract":"Wolf-Hirschhorn syndrome (WHS), a condition resulting from a distal deletion of the short arm of chromosome 4, is usually associated with a severe phenotypic expression including multiple malformations, delayed psychomotor development, and profound learning disabilities. As far as communicative development is concerned, speech is usually absent and comprehension is limited to simple orders or to a specific context. There is some suggestion, however, that the developmental outcome in WHS depends on deletion size. This paper reports on an individual with WHS illustrating that a smaller deletion may result in a milder phenotype with respect to communicative abilities. This 10-year-old girl developed speech and language to a considerable degree. Although most children with this syndrome are severely limited in communicative abilities, the school-based speech-language pathologist working with a special education caseload may encounter WHS children with smaller deletions (and thus less severe phenotypes) who may profit from speech language pathology services. Learning outcomes: The reader will learn about the genetics, incidence, and clinical characteristics of Wolf-Hirschhorn syndrome, and about the communicative abilities and genotype/phenotype correlations in children with this syndrome. ?? 2003 Elsevier Inc. All rights reserved.","author":[{"dropping-particle":"","family":"Borsel","given":"John","non-dropping-particle":"Van","parse-names":false,"suffix":""},{"dropping-particle":"","family":"Grande","given":"Sigrid","non-dropping-particle":"De","parse-names":false,"suffix":""},{"dropping-particle":"","family":"Buggenhout","given":"Griet","non-dropping-particle":"Van","parse-names":false,"suffix":""},{"dropping-particle":"","family":"Fryns","given":"Jean-Pierre Pierre","non-dropping-particle":"","parse-names":false,"suffix":""}],"container-title":"Journal of Communication Disorders","id":"ITEM-1","issue":"1","issued":{"date-parts":[["2004"]]},"page":"21-33","title":"Speech and language in Wolf-Hirschhorn syndrome: A case-study","type":"article-journal","volume":"37"},"uris":["http://www.mendeley.com/documents/?uuid=53fff812-cba7-4662-8d49-6cbf4bef1ffc"]}],"mendeley":{"formattedCitation":"(Van Borsel, De Grande, Van Buggenhout, &amp; Fryns, 2004)","manualFormatting":"Van Borsel, De Grande, Van Buggenhout, &amp; Fryns (2004)","plainTextFormattedCitation":"(Van Borsel, De Grande, Van Buggenhout, &amp; Fryns, 2004)","previouslyFormattedCitation":"(Van Borsel, De Grande, Van Buggenhout, &amp; Fryns, 2004)"},"properties":{"noteIndex":0},"schema":"https://github.com/citation-style-language/schema/raw/master/csl-citation.json"}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Van Borsel, De Grande, Van Buggenhout, &amp; Fryns (2004)</w:t>
            </w:r>
            <w:r w:rsidRPr="006A1EC7">
              <w:rPr>
                <w:color w:val="000000" w:themeColor="text1"/>
                <w:sz w:val="18"/>
                <w:szCs w:val="18"/>
              </w:rPr>
              <w:fldChar w:fldCharType="end"/>
            </w:r>
            <w:r w:rsidRPr="006A1EC7">
              <w:rPr>
                <w:color w:val="000000" w:themeColor="text1"/>
                <w:sz w:val="18"/>
                <w:szCs w:val="18"/>
              </w:rPr>
              <w:t>, Belgium</w:t>
            </w:r>
          </w:p>
        </w:tc>
        <w:tc>
          <w:tcPr>
            <w:tcW w:w="0" w:type="auto"/>
          </w:tcPr>
          <w:p w14:paraId="719E950E"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u w:val="single"/>
              </w:rPr>
            </w:pPr>
            <w:r w:rsidRPr="006A1EC7">
              <w:rPr>
                <w:color w:val="000000" w:themeColor="text1"/>
                <w:sz w:val="18"/>
                <w:szCs w:val="18"/>
              </w:rPr>
              <w:t>Assessment of speech and language development</w:t>
            </w:r>
          </w:p>
        </w:tc>
      </w:tr>
    </w:tbl>
    <w:p w14:paraId="50749BC6" w14:textId="77777777" w:rsidR="00735B4B" w:rsidRPr="006A1EC7" w:rsidRDefault="00735B4B" w:rsidP="00735B4B">
      <w:pPr>
        <w:spacing w:line="276" w:lineRule="auto"/>
        <w:rPr>
          <w:i/>
          <w:iCs/>
          <w:color w:val="44546A" w:themeColor="text2"/>
          <w:sz w:val="18"/>
          <w:szCs w:val="18"/>
        </w:rPr>
      </w:pPr>
    </w:p>
    <w:p w14:paraId="27FB8594" w14:textId="77777777" w:rsidR="00735B4B" w:rsidRPr="006A1EC7" w:rsidRDefault="00735B4B" w:rsidP="00735B4B">
      <w:pPr>
        <w:spacing w:line="276" w:lineRule="auto"/>
        <w:rPr>
          <w:color w:val="000000" w:themeColor="text1"/>
        </w:rPr>
        <w:sectPr w:rsidR="00735B4B" w:rsidRPr="006A1EC7" w:rsidSect="00D13545">
          <w:pgSz w:w="11900" w:h="16840"/>
          <w:pgMar w:top="1440" w:right="1701" w:bottom="1440" w:left="1701" w:header="709" w:footer="709" w:gutter="0"/>
          <w:cols w:space="708"/>
          <w:docGrid w:linePitch="360"/>
        </w:sectPr>
      </w:pPr>
    </w:p>
    <w:p w14:paraId="18D33E9E" w14:textId="6EA98919" w:rsidR="00735B4B" w:rsidRPr="006A1EC7" w:rsidRDefault="00735B4B" w:rsidP="00735B4B">
      <w:pPr>
        <w:pStyle w:val="Heading3"/>
        <w:rPr>
          <w:rFonts w:ascii="Times New Roman" w:hAnsi="Times New Roman" w:cs="Times New Roman"/>
        </w:rPr>
      </w:pPr>
      <w:bookmarkStart w:id="85" w:name="_Toc40173030"/>
      <w:r w:rsidRPr="006A1EC7">
        <w:rPr>
          <w:rFonts w:ascii="Times New Roman" w:hAnsi="Times New Roman" w:cs="Times New Roman"/>
        </w:rPr>
        <w:lastRenderedPageBreak/>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5</w:t>
      </w:r>
      <w:r w:rsidRPr="006A1EC7">
        <w:rPr>
          <w:rFonts w:ascii="Times New Roman" w:hAnsi="Times New Roman" w:cs="Times New Roman"/>
        </w:rPr>
        <w:fldChar w:fldCharType="end"/>
      </w:r>
      <w:r w:rsidRPr="006A1EC7">
        <w:rPr>
          <w:rFonts w:ascii="Times New Roman" w:hAnsi="Times New Roman" w:cs="Times New Roman"/>
        </w:rPr>
        <w:t xml:space="preserve">: Overview of non-validated scales used to study </w:t>
      </w:r>
      <w:r w:rsidR="009F0718" w:rsidRPr="006A1EC7">
        <w:rPr>
          <w:rFonts w:ascii="Times New Roman" w:hAnsi="Times New Roman" w:cs="Times New Roman"/>
        </w:rPr>
        <w:t>WHS</w:t>
      </w:r>
      <w:bookmarkEnd w:id="85"/>
    </w:p>
    <w:tbl>
      <w:tblPr>
        <w:tblStyle w:val="PlainTable4"/>
        <w:tblW w:w="0" w:type="auto"/>
        <w:tblLook w:val="04A0" w:firstRow="1" w:lastRow="0" w:firstColumn="1" w:lastColumn="0" w:noHBand="0" w:noVBand="1"/>
      </w:tblPr>
      <w:tblGrid>
        <w:gridCol w:w="2492"/>
        <w:gridCol w:w="3957"/>
        <w:gridCol w:w="1690"/>
        <w:gridCol w:w="3014"/>
        <w:gridCol w:w="2285"/>
      </w:tblGrid>
      <w:tr w:rsidR="00735B4B" w:rsidRPr="006A1EC7" w14:paraId="2154362B" w14:textId="77777777" w:rsidTr="00D13545">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0" w:type="auto"/>
          </w:tcPr>
          <w:p w14:paraId="3CB254ED" w14:textId="77777777" w:rsidR="00735B4B" w:rsidRPr="006A1EC7" w:rsidRDefault="00735B4B" w:rsidP="00D13545">
            <w:pPr>
              <w:spacing w:line="276" w:lineRule="auto"/>
              <w:rPr>
                <w:sz w:val="18"/>
                <w:szCs w:val="18"/>
              </w:rPr>
            </w:pPr>
            <w:r w:rsidRPr="006A1EC7">
              <w:rPr>
                <w:sz w:val="18"/>
                <w:szCs w:val="18"/>
              </w:rPr>
              <w:t>Scale, Frequency (f) of use in studies in the review</w:t>
            </w:r>
          </w:p>
        </w:tc>
        <w:tc>
          <w:tcPr>
            <w:tcW w:w="0" w:type="auto"/>
          </w:tcPr>
          <w:p w14:paraId="2070DFFE"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Scale developed to assess</w:t>
            </w:r>
          </w:p>
        </w:tc>
        <w:tc>
          <w:tcPr>
            <w:tcW w:w="0" w:type="auto"/>
          </w:tcPr>
          <w:p w14:paraId="254DC939"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u w:val="single"/>
              </w:rPr>
            </w:pPr>
            <w:r w:rsidRPr="006A1EC7">
              <w:rPr>
                <w:color w:val="000000" w:themeColor="text1"/>
                <w:sz w:val="18"/>
                <w:szCs w:val="18"/>
                <w:u w:val="single"/>
              </w:rPr>
              <w:t xml:space="preserve">Scale validated for patients with WHS </w:t>
            </w:r>
          </w:p>
        </w:tc>
        <w:tc>
          <w:tcPr>
            <w:tcW w:w="0" w:type="auto"/>
          </w:tcPr>
          <w:p w14:paraId="342D6128"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u w:val="single"/>
              </w:rPr>
            </w:pPr>
            <w:r w:rsidRPr="006A1EC7">
              <w:rPr>
                <w:color w:val="000000" w:themeColor="text1"/>
                <w:sz w:val="18"/>
                <w:szCs w:val="18"/>
                <w:u w:val="single"/>
              </w:rPr>
              <w:t xml:space="preserve">Type of Scale </w:t>
            </w:r>
          </w:p>
          <w:p w14:paraId="4BF50004"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Patient - reported (P)</w:t>
            </w:r>
          </w:p>
          <w:p w14:paraId="110E740B"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Observer- reported (O)</w:t>
            </w:r>
          </w:p>
          <w:p w14:paraId="7286949F"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Clinician – reported (C)</w:t>
            </w:r>
          </w:p>
        </w:tc>
        <w:tc>
          <w:tcPr>
            <w:tcW w:w="0" w:type="auto"/>
          </w:tcPr>
          <w:p w14:paraId="300094AB"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Used by included papers </w:t>
            </w:r>
          </w:p>
        </w:tc>
      </w:tr>
      <w:tr w:rsidR="00735B4B" w:rsidRPr="006A1EC7" w14:paraId="17C4E535" w14:textId="77777777" w:rsidTr="00D13545">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0" w:type="auto"/>
          </w:tcPr>
          <w:p w14:paraId="36AEE57D" w14:textId="77777777" w:rsidR="00735B4B" w:rsidRPr="006A1EC7" w:rsidRDefault="00735B4B" w:rsidP="00D13545">
            <w:pPr>
              <w:spacing w:line="276" w:lineRule="auto"/>
              <w:rPr>
                <w:sz w:val="18"/>
                <w:szCs w:val="18"/>
              </w:rPr>
            </w:pPr>
            <w:r w:rsidRPr="006A1EC7">
              <w:rPr>
                <w:sz w:val="18"/>
                <w:szCs w:val="18"/>
              </w:rPr>
              <w:t>Child Autism Rating Scale (CARS)</w:t>
            </w:r>
          </w:p>
        </w:tc>
        <w:tc>
          <w:tcPr>
            <w:tcW w:w="0" w:type="auto"/>
          </w:tcPr>
          <w:p w14:paraId="6EA6CC64"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Childhood Autism Disorders </w:t>
            </w:r>
            <w:r w:rsidRPr="006A1EC7">
              <w:rPr>
                <w:sz w:val="18"/>
                <w:szCs w:val="18"/>
              </w:rPr>
              <w:fldChar w:fldCharType="begin" w:fldLock="1"/>
            </w:r>
            <w:r w:rsidRPr="006A1EC7">
              <w:rPr>
                <w:sz w:val="18"/>
                <w:szCs w:val="18"/>
              </w:rPr>
              <w:instrText>ADDIN CSL_CITATION {"citationItems":[{"id":"ITEM-1","itemData":{"DOI":"10.1007/s10803-009-0926-x.Using","author":[{"dropping-particle":"","family":"Chlebowski","given":"Colby","non-dropping-particle":"","parse-names":false,"suffix":""},{"dropping-particle":"","family":"Green","given":"James A","non-dropping-particle":"","parse-names":false,"suffix":""},{"dropping-particle":"","family":"Barton","given":"Marianne L","non-dropping-particle":"","parse-names":false,"suffix":""},{"dropping-particle":"","family":"Fein","given":"Deborah","non-dropping-particle":"","parse-names":false,"suffix":""}],"id":"ITEM-1","issue":"7","issued":{"date-parts":[["2013"]]},"page":"787-799","title":"Using the CARS to diagnose Autism Spectrum disorders","type":"article-journal","volume":"40"},"uris":["http://www.mendeley.com/documents/?uuid=e8720563-ea0c-45bd-80ea-4861bb078be8"]}],"mendeley":{"formattedCitation":"(Chlebowski, Green, Barton, &amp; Fein, 2013)","plainTextFormattedCitation":"(Chlebowski, Green, Barton, &amp; Fein, 2013)","previouslyFormattedCitation":"(Chlebowski, Green, Barton, &amp; Fein, 2013)"},"properties":{"noteIndex":0},"schema":"https://github.com/citation-style-language/schema/raw/master/csl-citation.json"}</w:instrText>
            </w:r>
            <w:r w:rsidRPr="006A1EC7">
              <w:rPr>
                <w:sz w:val="18"/>
                <w:szCs w:val="18"/>
              </w:rPr>
              <w:fldChar w:fldCharType="separate"/>
            </w:r>
            <w:r w:rsidRPr="006A1EC7">
              <w:rPr>
                <w:noProof/>
                <w:sz w:val="18"/>
                <w:szCs w:val="18"/>
              </w:rPr>
              <w:t>(Chlebowski, Green, Barton, &amp; Fein, 2013)</w:t>
            </w:r>
            <w:r w:rsidRPr="006A1EC7">
              <w:rPr>
                <w:sz w:val="18"/>
                <w:szCs w:val="18"/>
              </w:rPr>
              <w:fldChar w:fldCharType="end"/>
            </w:r>
            <w:r w:rsidRPr="006A1EC7">
              <w:rPr>
                <w:sz w:val="18"/>
                <w:szCs w:val="18"/>
              </w:rPr>
              <w:t xml:space="preserve"> </w:t>
            </w:r>
            <w:r w:rsidRPr="006A1EC7">
              <w:rPr>
                <w:sz w:val="18"/>
                <w:szCs w:val="18"/>
              </w:rPr>
              <w:fldChar w:fldCharType="begin" w:fldLock="1"/>
            </w:r>
            <w:r w:rsidRPr="006A1EC7">
              <w:rPr>
                <w:sz w:val="18"/>
                <w:szCs w:val="18"/>
              </w:rPr>
              <w:instrText>ADDIN CSL_CITATION {"citationItems":[{"id":"ITEM-1","itemData":{"DOI":"10.1007/BF02408436","ISBN":"0162-3257 (Print)\\r0162-3257 (Linking)","ISSN":"01623257","PMID":"6927682","abstract":"Without Abstract","author":[{"dropping-particle":"","family":"Schopler","given":"Eric","non-dropping-particle":"","parse-names":false,"suffix":""},{"dropping-particle":"","family":"Reichler","given":"Robert J.","non-dropping-particle":"","parse-names":false,"suffix":""},{"dropping-particle":"","family":"DeVellis","given":"Robert F.","non-dropping-particle":"","parse-names":false,"suffix":""},{"dropping-particle":"","family":"Daly","given":"Kenneth","non-dropping-particle":"","parse-names":false,"suffix":""}],"container-title":"Journal of Autism and Developmental Disorders","id":"ITEM-1","issue":"1","issued":{"date-parts":[["1980"]]},"page":"91-103","title":"Toward objective classification of childhood autism: Childhood Autism Rating Scale (CARS)","type":"article-journal","volume":"10"},"uris":["http://www.mendeley.com/documents/?uuid=544659cd-44e2-4a40-84b6-ff9c42c7116b"]}],"mendeley":{"formattedCitation":"(Schopler, Reichler, DeVellis, &amp; Daly, 1980)","plainTextFormattedCitation":"(Schopler, Reichler, DeVellis, &amp; Daly, 1980)","previouslyFormattedCitation":"(Schopler, Reichler, DeVellis, &amp; Daly, 1980)"},"properties":{"noteIndex":0},"schema":"https://github.com/citation-style-language/schema/raw/master/csl-citation.json"}</w:instrText>
            </w:r>
            <w:r w:rsidRPr="006A1EC7">
              <w:rPr>
                <w:sz w:val="18"/>
                <w:szCs w:val="18"/>
              </w:rPr>
              <w:fldChar w:fldCharType="separate"/>
            </w:r>
            <w:r w:rsidRPr="006A1EC7">
              <w:rPr>
                <w:noProof/>
                <w:sz w:val="18"/>
                <w:szCs w:val="18"/>
              </w:rPr>
              <w:t>(Schopler, Reichler, DeVellis, &amp; Daly, 1980)</w:t>
            </w:r>
            <w:r w:rsidRPr="006A1EC7">
              <w:rPr>
                <w:sz w:val="18"/>
                <w:szCs w:val="18"/>
              </w:rPr>
              <w:fldChar w:fldCharType="end"/>
            </w:r>
          </w:p>
        </w:tc>
        <w:tc>
          <w:tcPr>
            <w:tcW w:w="0" w:type="auto"/>
          </w:tcPr>
          <w:p w14:paraId="0FFC0C52"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No</w:t>
            </w:r>
          </w:p>
        </w:tc>
        <w:tc>
          <w:tcPr>
            <w:tcW w:w="0" w:type="auto"/>
          </w:tcPr>
          <w:p w14:paraId="53716028"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O</w:t>
            </w:r>
          </w:p>
        </w:tc>
        <w:tc>
          <w:tcPr>
            <w:tcW w:w="0" w:type="auto"/>
          </w:tcPr>
          <w:p w14:paraId="3F82CB7A"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{"citationItems":[{"id":"ITEM-1","itemData":{"DOI":"10.1002/ajmg.c.30185","ISSN":"1552-4876","PMID":"18932225","abstract":"As a subset of genetic abnormalities, subtelomeric deletions have been found in 7-10% of individuals with mental retardation (MR). One subtelomeric deletion, Wolf-Hirschhorn syndrome (WHS), causes mild to severe MR, but the cognitive-behavioral features of individuals with WHS have not been studied systematically. To that end, we administered a comprehensive cognitive-behavioral battery to 12 children with WHS, ages 4-17 years, who also had some expressive language. Using the Stanford-Binet (4th Edition), we found cognitive deficits ranged from mild to severe, with mean IQ = 44.1. Interviewing parents with the Vineland Adaptive Behavior Scales, we found mean adaptive behavior score (DQ) = 37.3, with females exhibiting slightly higher scores than males. Cognitive profiles indicated relative strengths in Verbal and Quantitative Reasoning. Adaptive behavior profiles noted significant relative strengths in the Socialization Domain. These cognitive-behavioral profiles differed from children with other subtelomeric deletion syndromes, 2q37 or 8p23. Attention deficits and hyperactivity (ADHD) were observed in 7/12 (58%) of the children we tested. One child attained a score on the Child Autism Rating Scale (CARS) suggestive of mild autism. We conclude that different genetic disorders, which cause MR, produce diverse cognitive-behavioral profiles. Consequently, cognitive-behavioral profiles of children with MR need to be assessed more comprehensively.","author":[{"dropping-particle":"","family":"Fisch","given":"Gene S","non-dropping-particle":"","parse-names":false,"suffix":""},{"dropping-particle":"","family":"Battaglia","given":"Agatino","non-dropping-particle":"","parse-names":false,"suffix":""},{"dropping-particle":"","family":"Parrini","given":"Barbara","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genetics","id":"ITEM-1","issue":"4","issued":{"date-parts":[["2008","11","15"]]},"page":"252-6","title":"Cognitive-behavioral features of children with Wolf-Hirschhorn syndrome: preliminary report of 12 cases.","type":"article-journal","volume":"148C"},"uris":["http://www.mendeley.com/documents/?uuid=b0177e36-efa1-301e-ae10-dedd8fb3b2a4"]}],"mendeley":{"formattedCitation":"(Gene S Fisch et al., 2008)","manualFormatting":"Fisch et al. (2008; 2010)","plainTextFormattedCitation":"(Gene S Fisch et al., 2008)","previouslyFormattedCitation":"(Gene S Fisch et al., 2008)"},"properties":{"noteIndex":0},"schema":"https://github.com/citation-style-language/schema/raw/master/csl-citation.json"}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Fisch et al. (2008; 2010)</w:t>
            </w:r>
            <w:r w:rsidRPr="006A1EC7">
              <w:rPr>
                <w:color w:val="000000" w:themeColor="text1"/>
                <w:sz w:val="18"/>
                <w:szCs w:val="18"/>
              </w:rPr>
              <w:fldChar w:fldCharType="end"/>
            </w:r>
          </w:p>
        </w:tc>
      </w:tr>
      <w:tr w:rsidR="00735B4B" w:rsidRPr="006A1EC7" w14:paraId="10019DFD" w14:textId="77777777" w:rsidTr="00D13545">
        <w:trPr>
          <w:trHeight w:val="700"/>
        </w:trPr>
        <w:tc>
          <w:tcPr>
            <w:cnfStyle w:val="001000000000" w:firstRow="0" w:lastRow="0" w:firstColumn="1" w:lastColumn="0" w:oddVBand="0" w:evenVBand="0" w:oddHBand="0" w:evenHBand="0" w:firstRowFirstColumn="0" w:firstRowLastColumn="0" w:lastRowFirstColumn="0" w:lastRowLastColumn="0"/>
            <w:tcW w:w="0" w:type="auto"/>
          </w:tcPr>
          <w:p w14:paraId="7799EC94" w14:textId="77777777" w:rsidR="00735B4B" w:rsidRPr="006A1EC7" w:rsidRDefault="00735B4B" w:rsidP="00D13545">
            <w:pPr>
              <w:spacing w:line="276" w:lineRule="auto"/>
              <w:rPr>
                <w:sz w:val="18"/>
                <w:szCs w:val="18"/>
              </w:rPr>
            </w:pPr>
            <w:r w:rsidRPr="006A1EC7">
              <w:rPr>
                <w:sz w:val="18"/>
                <w:szCs w:val="18"/>
              </w:rPr>
              <w:t xml:space="preserve">Child Behaviour Checklist </w:t>
            </w:r>
          </w:p>
        </w:tc>
        <w:tc>
          <w:tcPr>
            <w:tcW w:w="0" w:type="auto"/>
          </w:tcPr>
          <w:p w14:paraId="6715F129"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Youth and Child Behaviour problems </w:t>
            </w:r>
            <w:r w:rsidRPr="006A1EC7">
              <w:rPr>
                <w:sz w:val="18"/>
                <w:szCs w:val="18"/>
              </w:rPr>
              <w:fldChar w:fldCharType="begin" w:fldLock="1"/>
            </w:r>
            <w:r w:rsidRPr="006A1EC7">
              <w:rPr>
                <w:sz w:val="18"/>
                <w:szCs w:val="18"/>
              </w:rPr>
              <w:instrText>ADDIN CSL_CITATION {"citationItems":[{"id":"ITEM-1","itemData":{"DOI":"10.1007/s10862-009-9174-9","ISSN":"08822689","abstract":"This study used receiver operating characteristic (ROC) methodology and discriminative analyses to examine the correspondence of the Child Behavior Checklist (CBCL) rationally-derived DSM-oriented scales and empirically-derived syndrome scales with clinical diagnoses in a clinic-referred sample of children and adolescents (N = 476). Although results demonstrated that the CBCL Anxiety, Affective, Attention Deficit/Hyperactivity, Oppositional and Conduct Problems DSM-oriented scales corresponded significantly with related clinical diagnoses derived from parent-based structured interviews, these DSM-oriented scales did not evidence significantly greater correspondence with clinical diagnoses than the syndrome scales in all cases but one. The DSM-oriented Anxiety Problems scale was the only scale that evidenced significantly greater correspondence with diagnoses above its syndrome scale counterpart —the Anxious/Depressed scale. The recently developed and rationally-derived DSM-oriented scales thus generally do not add incremental clinical utility above that already afforded by the syndrome scales with respect to corresponding with diagnoses. Implications of these findings are discussed.","author":[{"dropping-particle":"","family":"Ebesutani","given":"Chad","non-dropping-particle":"","parse-names":false,"suffix":""},{"dropping-particle":"","family":"Bernstein","given":"Adam","non-dropping-particle":"","parse-names":false,"suffix":""},{"dropping-particle":"","family":"Nakamura","given":"Brad J.","non-dropping-particle":"","parse-names":false,"suffix":""},{"dropping-particle":"","family":"Chorpita","given":"Bruce F.","non-dropping-particle":"","parse-names":false,"suffix":""},{"dropping-particle":"","family":"Higa-Mcmillan","given":"Charmaine K.","non-dropping-particle":"","parse-names":false,"suffix":""},{"dropping-particle":"","family":"Weisz","given":"John R.","non-dropping-particle":"","parse-names":false,"suffix":""}],"container-title":"Journal of Psychopathology and Behavioral Assessment","id":"ITEM-1","issue":"3","issued":{"date-parts":[["2010"]]},"page":"373-384","title":"Concurrent validity of the child behavior checklist DSM-Oriented Scales: Correspondence with DSM diagnoses and comparison to syndrome scales","type":"article-journal","volume":"32"},"uris":["http://www.mendeley.com/documents/?uuid=176f9722-2dfb-438f-9941-cf110d3c6fc4"]}],"mendeley":{"formattedCitation":"(Ebesutani et al., 2010)","plainTextFormattedCitation":"(Ebesutani et al., 2010)","previouslyFormattedCitation":"(Ebesutani et al., 2010)"},"properties":{"noteIndex":0},"schema":"https://github.com/citation-style-language/schema/raw/master/csl-citation.json"}</w:instrText>
            </w:r>
            <w:r w:rsidRPr="006A1EC7">
              <w:rPr>
                <w:sz w:val="18"/>
                <w:szCs w:val="18"/>
              </w:rPr>
              <w:fldChar w:fldCharType="separate"/>
            </w:r>
            <w:r w:rsidRPr="006A1EC7">
              <w:rPr>
                <w:noProof/>
                <w:sz w:val="18"/>
                <w:szCs w:val="18"/>
              </w:rPr>
              <w:t>(Ebesutani et al., 2010)</w:t>
            </w:r>
            <w:r w:rsidRPr="006A1EC7">
              <w:rPr>
                <w:sz w:val="18"/>
                <w:szCs w:val="18"/>
              </w:rPr>
              <w:fldChar w:fldCharType="end"/>
            </w:r>
          </w:p>
        </w:tc>
        <w:tc>
          <w:tcPr>
            <w:tcW w:w="0" w:type="auto"/>
          </w:tcPr>
          <w:p w14:paraId="4FD1946D"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No</w:t>
            </w:r>
          </w:p>
        </w:tc>
        <w:tc>
          <w:tcPr>
            <w:tcW w:w="0" w:type="auto"/>
          </w:tcPr>
          <w:p w14:paraId="3637EDF8"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O</w:t>
            </w:r>
          </w:p>
        </w:tc>
        <w:tc>
          <w:tcPr>
            <w:tcW w:w="0" w:type="auto"/>
          </w:tcPr>
          <w:p w14:paraId="1AB10ACD"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genetics","id":"ITEM-1","issue":"11","issued":{"date-parts":[["2017","11"]]},"page":"610-617","title":"A structured assessment of motor function, behavior, and communication in patients with Wolf-Hirschhorn syndrome.","type":"article-journal","volume":"60"},"uris":["http://www.mendeley.com/documents/?uuid=290aecbf-c91b-4edf-a7e4-bf884192a1cc"]}],"mendeley":{"formattedCitation":"(Nag et al., 2017)","manualFormatting":"Nag et al. (2017)","plainTextFormattedCitation":"(Nag et al., 2017)","previouslyFormattedCitation":"(Nag et al., 2017)"},"properties":{"noteIndex":0},"schema":"https://github.com/citation-style-language/schema/raw/master/csl-citation.json"}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Nag et al. (2017)</w:t>
            </w:r>
            <w:r w:rsidRPr="006A1EC7">
              <w:rPr>
                <w:color w:val="000000" w:themeColor="text1"/>
                <w:sz w:val="18"/>
                <w:szCs w:val="18"/>
              </w:rPr>
              <w:fldChar w:fldCharType="end"/>
            </w:r>
            <w:r w:rsidRPr="006A1EC7">
              <w:rPr>
                <w:color w:val="000000" w:themeColor="text1"/>
                <w:sz w:val="18"/>
                <w:szCs w:val="18"/>
              </w:rPr>
              <w:t xml:space="preserve">: </w:t>
            </w:r>
          </w:p>
          <w:p w14:paraId="14F82DCC"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{"citationItems":[{"id":"ITEM-1","itemData":{"DOI":"10.1002/ajmg.c.30185","ISSN":"1552-4876","PMID":"18932225","abstract":"As a subset of genetic abnormalities, subtelomeric deletions have been found in 7-10% of individuals with mental retardation (MR). One subtelomeric deletion, Wolf-Hirschhorn syndrome (WHS), causes mild to severe MR, but the cognitive-behavioral features of individuals with WHS have not been studied systematically. To that end, we administered a comprehensive cognitive-behavioral battery to 12 children with WHS, ages 4-17 years, who also had some expressive language. Using the Stanford-Binet (4th Edition), we found cognitive deficits ranged from mild to severe, with mean IQ = 44.1. Interviewing parents with the Vineland Adaptive Behavior Scales, we found mean adaptive behavior score (DQ) = 37.3, with females exhibiting slightly higher scores than males. Cognitive profiles indicated relative strengths in Verbal and Quantitative Reasoning. Adaptive behavior profiles noted significant relative strengths in the Socialization Domain. These cognitive-behavioral profiles differed from children with other subtelomeric deletion syndromes, 2q37 or 8p23. Attention deficits and hyperactivity (ADHD) were observed in 7/12 (58%) of the children we tested. One child attained a score on the Child Autism Rating Scale (CARS) suggestive of mild autism. We conclude that different genetic disorders, which cause MR, produce diverse cognitive-behavioral profiles. Consequently, cognitive-behavioral profiles of children with MR need to be assessed more comprehensively.","author":[{"dropping-particle":"","family":"Fisch","given":"Gene S","non-dropping-particle":"","parse-names":false,"suffix":""},{"dropping-particle":"","family":"Battaglia","given":"Agatino","non-dropping-particle":"","parse-names":false,"suffix":""},{"dropping-particle":"","family":"Parrini","given":"Barbara","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genetics","id":"ITEM-1","issue":"4","issued":{"date-parts":[["2008","11","15"]]},"page":"252-6","title":"Cognitive-behavioral features of children with Wolf-Hirschhorn syndrome: preliminary report of 12 cases.","type":"article-journal","volume":"148C"},"uris":["http://www.mendeley.com/documents/?uuid=b0177e36-efa1-301e-ae10-dedd8fb3b2a4"]}],"mendeley":{"formattedCitation":"(Gene S Fisch et al., 2008)","manualFormatting":"Fisch et al. (2008; 2010)","plainTextFormattedCitation":"(Gene S Fisch et al., 2008)","previouslyFormattedCitation":"(Gene S Fisch et al., 2008)"},"properties":{"noteIndex":0},"schema":"https://github.com/citation-style-language/schema/raw/master/csl-citation.json"}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Fisch et al. (2008; 2010)</w:t>
            </w:r>
            <w:r w:rsidRPr="006A1EC7">
              <w:rPr>
                <w:color w:val="000000" w:themeColor="text1"/>
                <w:sz w:val="18"/>
                <w:szCs w:val="18"/>
              </w:rPr>
              <w:fldChar w:fldCharType="end"/>
            </w:r>
          </w:p>
        </w:tc>
      </w:tr>
      <w:tr w:rsidR="00735B4B" w:rsidRPr="006A1EC7" w14:paraId="22851267" w14:textId="77777777" w:rsidTr="00D1354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0" w:type="auto"/>
          </w:tcPr>
          <w:p w14:paraId="2916B333" w14:textId="77777777" w:rsidR="00735B4B" w:rsidRPr="006A1EC7" w:rsidRDefault="00735B4B" w:rsidP="00D13545">
            <w:pPr>
              <w:spacing w:line="276" w:lineRule="auto"/>
              <w:rPr>
                <w:sz w:val="18"/>
                <w:szCs w:val="18"/>
              </w:rPr>
            </w:pPr>
            <w:r w:rsidRPr="006A1EC7">
              <w:rPr>
                <w:sz w:val="18"/>
                <w:szCs w:val="18"/>
              </w:rPr>
              <w:t xml:space="preserve">Conners’ Parent Rating Scale </w:t>
            </w:r>
          </w:p>
          <w:p w14:paraId="66E57F85" w14:textId="77777777" w:rsidR="00735B4B" w:rsidRPr="006A1EC7" w:rsidRDefault="00735B4B" w:rsidP="00D13545">
            <w:pPr>
              <w:spacing w:line="276" w:lineRule="auto"/>
              <w:rPr>
                <w:sz w:val="18"/>
                <w:szCs w:val="18"/>
              </w:rPr>
            </w:pPr>
          </w:p>
        </w:tc>
        <w:tc>
          <w:tcPr>
            <w:tcW w:w="0" w:type="auto"/>
          </w:tcPr>
          <w:p w14:paraId="0D5A02E9"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Childhood Behaviour Problems </w:t>
            </w:r>
            <w:r w:rsidRPr="006A1EC7">
              <w:rPr>
                <w:sz w:val="18"/>
                <w:szCs w:val="18"/>
              </w:rPr>
              <w:fldChar w:fldCharType="begin" w:fldLock="1"/>
            </w:r>
            <w:r w:rsidRPr="006A1EC7">
              <w:rPr>
                <w:sz w:val="18"/>
                <w:szCs w:val="18"/>
              </w:rPr>
              <w:instrText>ADDIN CSL_CITATION {"citationItems":[{"id":"ITEM-1","itemData":{"DOI":"10.1023/A","ISBN":"1009982220290","ISSN":"16130073","PMID":"1284","abstract":"The Conner's Parent Rating Sale (CPRS) is a popular research and clinical tool for obtaining parental reports of childhood behvaior problems. The present study introduces a revised CPRS (CPRS-R) which has norms derived from a large, representative sample of North American chldren, used confirmatory gacor analysis to develop a definitive factor structure, and has an updated irem content to reflec recent knowledge and developments concerning childhoos behavior problems. Exploratory and confirmatory factor-analytic results revealed a seven-factor model including the following factors: Cognitive Problems, Oppositional, Hyperactivity-Impulsivity, Anxious-Shy, Perfectionism, Social Problems, and Psycho- somatic. The psychometric properties of the revised scale appear adequate as demonstrated by good internal reliability coefficients, high test-retest reliability, and effective discriminatory power. Advantages of the CPRS-R include a corresponding factor structure with the Con- ners' Teacher Rating Scale—Revised and comprehensive symptom coverage for attention deficit hyperactivity disorder (ADHD) and related disorders. Factor congruence with the original CPRS as well as similarities with other parent rating scales are discussed.","author":[{"dropping-particle":"","family":"Conners","given":"C. Keith","non-dropping-particle":"","parse-names":false,"suffix":""},{"dropping-particle":"","family":"Sitarenios","given":"Gill","non-dropping-particle":"","parse-names":false,"suffix":""},{"dropping-particle":"","family":"Parker","given":"James D. A.","non-dropping-particle":"","parse-names":false,"suffix":""},{"dropping-particle":"","family":"Epstein","given":"Jeffery N.","non-dropping-particle":"","parse-names":false,"suffix":""}],"container-title":"Journal of Abnormal Child Psychology","id":"ITEM-1","issue":"4","issued":{"date-parts":[["1998"]]},"page":"257-268","title":"The revised Connors' Parent Rating Scale (CPRS-R): factor structure, reliability, and criterion validity","type":"article-journal","volume":"26"},"uris":["http://www.mendeley.com/documents/?uuid=bedf2b98-1d4a-4fc9-b42d-87efc16d851b"]}],"mendeley":{"formattedCitation":"(Conners, Sitarenios, Parker, &amp; Epstein, 1998)","plainTextFormattedCitation":"(Conners, Sitarenios, Parker, &amp; Epstein, 1998)","previouslyFormattedCitation":"(Conners, Sitarenios, Parker, &amp; Epstein, 1998)"},"properties":{"noteIndex":0},"schema":"https://github.com/citation-style-language/schema/raw/master/csl-citation.json"}</w:instrText>
            </w:r>
            <w:r w:rsidRPr="006A1EC7">
              <w:rPr>
                <w:sz w:val="18"/>
                <w:szCs w:val="18"/>
              </w:rPr>
              <w:fldChar w:fldCharType="separate"/>
            </w:r>
            <w:r w:rsidRPr="006A1EC7">
              <w:rPr>
                <w:noProof/>
                <w:sz w:val="18"/>
                <w:szCs w:val="18"/>
              </w:rPr>
              <w:t>(Conners, Sitarenios, Parker, &amp; Epstein, 1998)</w:t>
            </w:r>
            <w:r w:rsidRPr="006A1EC7">
              <w:rPr>
                <w:sz w:val="18"/>
                <w:szCs w:val="18"/>
              </w:rPr>
              <w:fldChar w:fldCharType="end"/>
            </w:r>
          </w:p>
        </w:tc>
        <w:tc>
          <w:tcPr>
            <w:tcW w:w="0" w:type="auto"/>
          </w:tcPr>
          <w:p w14:paraId="512E6635"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No</w:t>
            </w:r>
          </w:p>
        </w:tc>
        <w:tc>
          <w:tcPr>
            <w:tcW w:w="0" w:type="auto"/>
          </w:tcPr>
          <w:p w14:paraId="7C13D69E"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O</w:t>
            </w:r>
          </w:p>
        </w:tc>
        <w:tc>
          <w:tcPr>
            <w:tcW w:w="0" w:type="auto"/>
          </w:tcPr>
          <w:p w14:paraId="201D63A9"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{"citationItems":[{"id":"ITEM-1","itemData":{"DOI":"10.1002/ajmg.c.30185","ISSN":"1552-4876","PMID":"18932225","abstract":"As a subset of genetic abnormalities, subtelomeric deletions have been found in 7-10% of individuals with mental retardation (MR). One subtelomeric deletion, Wolf-Hirschhorn syndrome (WHS), causes mild to severe MR, but the cognitive-behavioral features of individuals with WHS have not been studied systematically. To that end, we administered a comprehensive cognitive-behavioral battery to 12 children with WHS, ages 4-17 years, who also had some expressive language. Using the Stanford-Binet (4th Edition), we found cognitive deficits ranged from mild to severe, with mean IQ = 44.1. Interviewing parents with the Vineland Adaptive Behavior Scales, we found mean adaptive behavior score (DQ) = 37.3, with females exhibiting slightly higher scores than males. Cognitive profiles indicated relative strengths in Verbal and Quantitative Reasoning. Adaptive behavior profiles noted significant relative strengths in the Socialization Domain. These cognitive-behavioral profiles differed from children with other subtelomeric deletion syndromes, 2q37 or 8p23. Attention deficits and hyperactivity (ADHD) were observed in 7/12 (58%) of the children we tested. One child attained a score on the Child Autism Rating Scale (CARS) suggestive of mild autism. We conclude that different genetic disorders, which cause MR, produce diverse cognitive-behavioral profiles. Consequently, cognitive-behavioral profiles of children with MR need to be assessed more comprehensively.","author":[{"dropping-particle":"","family":"Fisch","given":"Gene S","non-dropping-particle":"","parse-names":false,"suffix":""},{"dropping-particle":"","family":"Battaglia","given":"Agatino","non-dropping-particle":"","parse-names":false,"suffix":""},{"dropping-particle":"","family":"Parrini","given":"Barbara","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genetics","id":"ITEM-1","issue":"4","issued":{"date-parts":[["2008","11","15"]]},"page":"252-6","title":"Cognitive-behavioral features of children with Wolf-Hirschhorn syndrome: preliminary report of 12 cases.","type":"article-journal","volume":"148C"},"uris":["http://www.mendeley.com/documents/?uuid=b0177e36-efa1-301e-ae10-dedd8fb3b2a4"]}],"mendeley":{"formattedCitation":"(Gene S Fisch et al., 2008)","manualFormatting":"Fisch et al. (2008; 2010)","plainTextFormattedCitation":"(Gene S Fisch et al., 2008)","previouslyFormattedCitation":"(Gene S Fisch et al., 2008)"},"properties":{"noteIndex":0},"schema":"https://github.com/citation-style-language/schema/raw/master/csl-citation.json"}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Fisch et al. (2008; 2010)</w:t>
            </w:r>
            <w:r w:rsidRPr="006A1EC7">
              <w:rPr>
                <w:color w:val="000000" w:themeColor="text1"/>
                <w:sz w:val="18"/>
                <w:szCs w:val="18"/>
              </w:rPr>
              <w:fldChar w:fldCharType="end"/>
            </w:r>
          </w:p>
        </w:tc>
      </w:tr>
      <w:tr w:rsidR="00735B4B" w:rsidRPr="006A1EC7" w14:paraId="4AB28146" w14:textId="77777777" w:rsidTr="00D13545">
        <w:trPr>
          <w:trHeight w:val="1261"/>
        </w:trPr>
        <w:tc>
          <w:tcPr>
            <w:cnfStyle w:val="001000000000" w:firstRow="0" w:lastRow="0" w:firstColumn="1" w:lastColumn="0" w:oddVBand="0" w:evenVBand="0" w:oddHBand="0" w:evenHBand="0" w:firstRowFirstColumn="0" w:firstRowLastColumn="0" w:lastRowFirstColumn="0" w:lastRowLastColumn="0"/>
            <w:tcW w:w="0" w:type="auto"/>
          </w:tcPr>
          <w:p w14:paraId="661FC23F" w14:textId="77777777" w:rsidR="00735B4B" w:rsidRPr="006A1EC7" w:rsidRDefault="00735B4B" w:rsidP="00D13545">
            <w:pPr>
              <w:spacing w:line="276" w:lineRule="auto"/>
              <w:rPr>
                <w:sz w:val="18"/>
                <w:szCs w:val="18"/>
              </w:rPr>
            </w:pPr>
            <w:r w:rsidRPr="006A1EC7">
              <w:rPr>
                <w:sz w:val="18"/>
                <w:szCs w:val="18"/>
              </w:rPr>
              <w:t>Early Childhood Epilepsy Severity Scale</w:t>
            </w:r>
          </w:p>
        </w:tc>
        <w:tc>
          <w:tcPr>
            <w:tcW w:w="0" w:type="auto"/>
          </w:tcPr>
          <w:p w14:paraId="6B6BDA01"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Childhood Epilepsy in Children with Tuberous Sclerosis </w:t>
            </w:r>
            <w:r w:rsidRPr="006A1EC7">
              <w:rPr>
                <w:sz w:val="18"/>
                <w:szCs w:val="18"/>
              </w:rPr>
              <w:fldChar w:fldCharType="begin" w:fldLock="1"/>
            </w:r>
            <w:r w:rsidRPr="006A1EC7">
              <w:rPr>
                <w:sz w:val="18"/>
                <w:szCs w:val="18"/>
              </w:rPr>
              <w:instrText>ADDIN CSL_CITATION {"citationItems":[{"id":"ITEM-1","itemData":{"DOI":"10.1016/j.eplepsyres.2008.01.007","ISSN":"09201211","abstract":"Purpose: We have developed the Early Childhood Epilepsy Severity Scale (E-Chess) to quantify the severity of epilepsy in infants and young children with tuberous sclerosis as an aid to the evaluation of treatment efficacy and the investigation of the influence of epilepsy severity on development. Methods: Twenty infants aged 11-36 months with a diagnosis of tuberous sclerosis participated in the study. From the literature, six potential measures of epilepsy severity were identified: time period over which seizures occurred; seizure frequency; number of seizure types; occurrence and duration of status epilepticus; number of anticonvulsant medications used; response to treatment. The variables were given a score, usually from 0 to 3, a higher score indicating greater severity. For each child, these variables were scored over consecutive 1 year time periods by three independent raters. We employed restricted and nonrestricted factor analytic models to identify the latent structure of the six items. Results: The six severity items had a unidimensional structure. All severity indicators loaded highly on the latent epilepsy severity factor (&gt;0.77), with the exception of the status indicator which had a poor loading (&lt;0.40) and was excluded from further analyses. Goodness of fit indices were all well within the acceptable criteria for model fit. The E-Chess score at 12 months was significantly predictive of scores at 24 and 36 months. Conclusions: A single continuous latent variable accounts for the variation in five of the six epilepsy severity indicators under study. These form the Early Childhood Epilepsy Severity Scale. The predictive validity of the E-Chess was satisfactory. The E-Chess provides an epilepsy severity score that can be easily used to assess epilepsy severity in tuberous sclerosis and would merit evaluation in other early onset childhood epilepsies. © 2008 Elsevier B.V. All rights reserved.","author":[{"dropping-particle":"","family":"Humphrey","given":"Ayla","non-dropping-particle":"","parse-names":false,"suffix":""},{"dropping-particle":"","family":"Ploubidis","given":"George B.","non-dropping-particle":"","parse-names":false,"suffix":""},{"dropping-particle":"","family":"Yates","given":"John R.W.","non-dropping-particle":"","parse-names":false,"suffix":""},{"dropping-particle":"","family":"Steinberg","given":"Tami","non-dropping-particle":"","parse-names":false,"suffix":""},{"dropping-particle":"","family":"Bolton","given":"Patrick F.","non-dropping-particle":"","parse-names":false,"suffix":""}],"container-title":"Epilepsy Research","id":"ITEM-1","issue":"2-3","issued":{"date-parts":[["2008"]]},"page":"139-145","title":"The Early Childhood Epilepsy Severity Scale (E-Chess)","type":"article-journal","volume":"79"},"uris":["http://www.mendeley.com/documents/?uuid=ffbe2e38-412b-4525-ae5c-52f0ce363598"]}],"mendeley":{"formattedCitation":"(Humphrey, Ploubidis, Yates, Steinberg, &amp; Bolton, 2008)","plainTextFormattedCitation":"(Humphrey, Ploubidis, Yates, Steinberg, &amp; Bolton, 2008)","previouslyFormattedCitation":"(Humphrey, Ploubidis, Yates, Steinberg, &amp; Bolton, 2008)"},"properties":{"noteIndex":0},"schema":"https://github.com/citation-style-language/schema/raw/master/csl-citation.json"}</w:instrText>
            </w:r>
            <w:r w:rsidRPr="006A1EC7">
              <w:rPr>
                <w:sz w:val="18"/>
                <w:szCs w:val="18"/>
              </w:rPr>
              <w:fldChar w:fldCharType="separate"/>
            </w:r>
            <w:r w:rsidRPr="006A1EC7">
              <w:rPr>
                <w:noProof/>
                <w:sz w:val="18"/>
                <w:szCs w:val="18"/>
              </w:rPr>
              <w:t>(Humphrey, Ploubidis, Yates, Steinberg, &amp; Bolton, 2008)</w:t>
            </w:r>
            <w:r w:rsidRPr="006A1EC7">
              <w:rPr>
                <w:sz w:val="18"/>
                <w:szCs w:val="18"/>
              </w:rPr>
              <w:fldChar w:fldCharType="end"/>
            </w:r>
          </w:p>
        </w:tc>
        <w:tc>
          <w:tcPr>
            <w:tcW w:w="0" w:type="auto"/>
          </w:tcPr>
          <w:p w14:paraId="23974084"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No</w:t>
            </w:r>
          </w:p>
        </w:tc>
        <w:tc>
          <w:tcPr>
            <w:tcW w:w="0" w:type="auto"/>
          </w:tcPr>
          <w:p w14:paraId="7C92CE02"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C or O (unclear)</w:t>
            </w:r>
          </w:p>
        </w:tc>
        <w:tc>
          <w:tcPr>
            <w:tcW w:w="0" w:type="auto"/>
          </w:tcPr>
          <w:p w14:paraId="26F61C90"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{"citationItems":[{"id":"ITEM-1","itemData":{"DOI":"10.1016/j.yebeh.2017.12.008","ISSN":"15255069","abstract":"Seizures are present in over 90% of infants and children with Wolf–Hirschhorn syndrome (WHS). When present, they significantly affect quality of life. The goal of this study was to use caregiver reports to describe the comparative efficacies of commonly used antiepileptic medications in a large population of individuals with WHS. A web-based, confidential caregiver survey was developed to capture seizure semiology and a chronologic record of seizure treatments as well as responses to each treatment. Adverse events for each drug were also cataloged. We received 141 complete survey responses (47% response rate) describing the seizures of individuals ranging in age from 4 months to 61 years (90 females: 51 males). Using the Early Childhood Epilepsy Severity Scale (E-Chess), WHS-associated seizures are demonstrably severe regardless of deletion size. The best-performing antiepileptic drugs (AEDs) for controlling seizures in this cohort were broad spectrum drugs clobazam, levetiracetam, and lamotrigine; whereas, the three commonly used carboxamide class drugs: carbamazepine, phenytoin, and oxcarbazepine, were reported to have little effect on, or even exacerbate, seizures. The carboxamide class drugs, along with phenobarbital and topiramate, were also associated with the highest rate of intolerance due to cooccurrence of adverse events. Levetiracetam, clobazam, and clonazepam demonstrated higher tolerability and comparatively less severe adverse events (Wilcoxon rank sum comparison between performance of levetiracetam and carboxamide class drugs gives a p &lt; 0.0001 after multiple comparison adjustment). This is the largest survey to date assessing WHS seizures. This study design is susceptible to possible bias, as the data are largely drawn from caregiver report and investigators had limited access to medical records. Despite this, our data suggest that the genetic etiology of seizures, together with an accurate electroclinical delineation, are important components of drug selection, even in contiguous gene syndromes which may have complex seizure etiologies.","author":[{"dropping-particle":"","family":"Ho","given":"Karen S.","non-dropping-particle":"","parse-names":false,"suffix":""},{"dropping-particle":"","family":"Markham","given":"Leah M.","non-dropping-particle":"","parse-names":false,"suffix":""},{"dropping-particle":"","family":"Twede","given":"Hope","non-dropping-particle":"","parse-names":false,"suffix":""},{"dropping-particle":"","family":"Lortz","given":"Amanda","non-dropping-particle":"","parse-names":false,"suffix":""},{"dropping-particle":"","family":"Olson","given":"Lenora M.","non-dropping-particle":"","parse-names":false,"suffix":""},{"dropping-particle":"","family":"Sheng","given":"Xiaoming","non-dropping-particle":"","parse-names":false,"suffix":""},{"dropping-particle":"","family":"Weng","given":"Cindy","non-dropping-particle":"","parse-names":false,"suffix":""},{"dropping-particle":"","family":"Wassman","given":"E. Robert","non-dropping-particle":"","parse-names":false,"suffix":""},{"dropping-particle":"","family":"Newcomb","given":"Tara","non-dropping-particle":"","parse-names":false,"suffix":""},{"dropping-particle":"","family":"Wassman","given":"E. Robert","non-dropping-particle":"","parse-names":false,"suffix":""},{"dropping-particle":"","family":"Carey","given":"John C.","non-dropping-particle":"","parse-names":false,"suffix":""},{"dropping-particle":"","family":"Battaglia","given":"Agatino","non-dropping-particle":"","parse-names":false,"suffix":""}],"container-title":"Epilepsy and Behavior","id":"ITEM-1","issued":{"date-parts":[["2018"]]},"page":"55-61","publisher":"Elsevier Inc.","title":"A survey of antiepileptic drug responses identifies drugs with potential efficacy for seizure control in Wolf–Hirschhorn syndrome","type":"article-journal","volume":"81"},"uris":["http://www.mendeley.com/documents/?uuid=f2072478-ed93-4824-8c58-4866e436ad22"]}],"mendeley":{"formattedCitation":"(Ho et al., 2018a)","manualFormatting":"Ho et al. (2018)","plainTextFormattedCitation":"(Ho et al., 2018a)","previouslyFormattedCitation":"(Ho et al., 2018a)"},"properties":{"noteIndex":0},"schema":"https://github.com/citation-style-language/schema/raw/master/csl-citation.json"}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Ho et al. (2018)</w:t>
            </w:r>
            <w:r w:rsidRPr="006A1EC7">
              <w:rPr>
                <w:color w:val="000000" w:themeColor="text1"/>
                <w:sz w:val="18"/>
                <w:szCs w:val="18"/>
              </w:rPr>
              <w:fldChar w:fldCharType="end"/>
            </w:r>
          </w:p>
        </w:tc>
      </w:tr>
      <w:tr w:rsidR="00735B4B" w:rsidRPr="006A1EC7" w14:paraId="1FE072A6" w14:textId="77777777" w:rsidTr="00D13545">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0" w:type="auto"/>
          </w:tcPr>
          <w:p w14:paraId="3D1646C7" w14:textId="77777777" w:rsidR="00735B4B" w:rsidRPr="006A1EC7" w:rsidRDefault="00735B4B" w:rsidP="00D13545">
            <w:pPr>
              <w:spacing w:line="276" w:lineRule="auto"/>
              <w:rPr>
                <w:sz w:val="18"/>
                <w:szCs w:val="18"/>
              </w:rPr>
            </w:pPr>
            <w:r w:rsidRPr="006A1EC7">
              <w:rPr>
                <w:sz w:val="18"/>
                <w:szCs w:val="18"/>
              </w:rPr>
              <w:t xml:space="preserve">Griffiths Mental Development Scale </w:t>
            </w:r>
          </w:p>
        </w:tc>
        <w:tc>
          <w:tcPr>
            <w:tcW w:w="0" w:type="auto"/>
          </w:tcPr>
          <w:p w14:paraId="1AA60CCC"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Mental development </w:t>
            </w:r>
            <w:r w:rsidRPr="006A1EC7">
              <w:rPr>
                <w:sz w:val="18"/>
                <w:szCs w:val="18"/>
              </w:rPr>
              <w:fldChar w:fldCharType="begin" w:fldLock="1"/>
            </w:r>
            <w:r w:rsidRPr="006A1EC7">
              <w:rPr>
                <w:sz w:val="18"/>
                <w:szCs w:val="18"/>
              </w:rPr>
              <w:instrText>ADDIN CSL_CITATION {"citationItems":[{"id":"ITEM-1","itemData":{"abstract":"During the 1960s the Griffiths scales, which were originally designed to measure children from birth to two years, were extended to cover birth to eight years and a sixth scale (Practical Reasoning) was added to the five scales comprising the measure for the early years. The first edition was published in 1970 and revised in 1984. The third and most current edition was published in 2006.","author":[{"dropping-particle":"","family":"Griffiths","given":"","non-dropping-particle":"","parse-names":false,"suffix":""}],"container-title":"1970","id":"ITEM-1","issued":{"date-parts":[["1970"]]},"title":"Griffiths Mental Development Scales – GMDS","type":"article-journal"},"uris":["http://www.mendeley.com/documents/?uuid=2c451900-71eb-44cb-9dba-c027592370f7"]}],"mendeley":{"formattedCitation":"(Griffiths, 1970)","plainTextFormattedCitation":"(Griffiths, 1970)","previouslyFormattedCitation":"(Griffiths, 1970)"},"properties":{"noteIndex":0},"schema":"https://github.com/citation-style-language/schema/raw/master/csl-citation.json"}</w:instrText>
            </w:r>
            <w:r w:rsidRPr="006A1EC7">
              <w:rPr>
                <w:sz w:val="18"/>
                <w:szCs w:val="18"/>
              </w:rPr>
              <w:fldChar w:fldCharType="separate"/>
            </w:r>
            <w:r w:rsidRPr="006A1EC7">
              <w:rPr>
                <w:noProof/>
                <w:sz w:val="18"/>
                <w:szCs w:val="18"/>
              </w:rPr>
              <w:t>(Griffiths, 1970)</w:t>
            </w:r>
            <w:r w:rsidRPr="006A1EC7">
              <w:rPr>
                <w:sz w:val="18"/>
                <w:szCs w:val="18"/>
              </w:rPr>
              <w:fldChar w:fldCharType="end"/>
            </w:r>
          </w:p>
        </w:tc>
        <w:tc>
          <w:tcPr>
            <w:tcW w:w="0" w:type="auto"/>
          </w:tcPr>
          <w:p w14:paraId="6F45B30A"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sz w:val="18"/>
                <w:szCs w:val="18"/>
              </w:rPr>
              <w:t>No</w:t>
            </w:r>
          </w:p>
        </w:tc>
        <w:tc>
          <w:tcPr>
            <w:tcW w:w="0" w:type="auto"/>
          </w:tcPr>
          <w:p w14:paraId="5FF28B08"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color w:val="000000" w:themeColor="text1"/>
                <w:sz w:val="18"/>
                <w:szCs w:val="18"/>
              </w:rPr>
              <w:t xml:space="preserve">Predominantly C (psychologist, paediatrician) </w:t>
            </w:r>
            <w:r w:rsidRPr="006A1EC7">
              <w:rPr>
                <w:color w:val="000000" w:themeColor="text1"/>
                <w:sz w:val="18"/>
                <w:szCs w:val="18"/>
              </w:rPr>
              <w:fldChar w:fldCharType="begin" w:fldLock="1"/>
            </w:r>
            <w:r w:rsidRPr="006A1EC7">
              <w:rPr>
                <w:color w:val="000000" w:themeColor="text1"/>
                <w:sz w:val="18"/>
                <w:szCs w:val="18"/>
              </w:rPr>
              <w:instrText>ADDIN CSL_CITATION {"citationItems":[{"id":"ITEM-1","itemData":{"URL":"https://childpsychologist.com.au/service/assessments/developmental-assessments/the-griffith-mental-development-scales/","accessed":{"date-parts":[["2019","4","22"]]},"author":[{"dropping-particle":"","family":"Child Psychologist Australia","given":"","non-dropping-particle":"","parse-names":false,"suffix":""}],"id":"ITEM-1","issued":{"date-parts":[["0"]]},"title":"Griffiths Mental Development Scale","type":"webpage"},"uris":["http://www.mendeley.com/documents/?uuid=f3557c0b-0134-4fe8-9432-09a198129e61"]}],"mendeley":{"formattedCitation":"(Child Psychologist Australia, n.d.)","plainTextFormattedCitation":"(Child Psychologist Australia, n.d.)","previouslyFormattedCitation":"(Child Psychologist Australia, n.d.)"},"properties":{"noteIndex":0},"schema":"https://github.com/citation-style-language/schema/raw/master/csl-citation.json"}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(Child Psychologist Australia, n.d.)</w:t>
            </w:r>
            <w:r w:rsidRPr="006A1EC7">
              <w:rPr>
                <w:color w:val="000000" w:themeColor="text1"/>
                <w:sz w:val="18"/>
                <w:szCs w:val="18"/>
              </w:rPr>
              <w:fldChar w:fldCharType="end"/>
            </w:r>
          </w:p>
        </w:tc>
        <w:tc>
          <w:tcPr>
            <w:tcW w:w="0" w:type="auto"/>
          </w:tcPr>
          <w:p w14:paraId="76CC8A3E"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{"citationItems":[{"id":"ITEM-1","itemData":{"DOI":"10.6000/2292-2598.2014.02.02.3","author":[{"dropping-particle":"","family":"Cossu","given":"M C","non-dropping-particle":"","parse-names":false,"suffix":""},{"dropping-particle":"","family":"Albergo","given":"A","non-dropping-particle":"","parse-names":false,"suffix":""},{"dropping-particle":"","family":"Galluzzi","given":"C","non-dropping-particle":"","parse-names":false,"suffix":""},{"dropping-particle":"","family":"Stefani","given":"C","non-dropping-particle":"","parse-names":false,"suffix":""},{"dropping-particle":"","family":"Antonucci","given":"G","non-dropping-particle":"","parse-names":false,"suffix":""}],"container-title":"Journal of Intellectual Disability - Diagnosis and Treatment","id":"ITEM-1","issue":"2","issued":{"date-parts":[["2014"]]},"note":"Export Date: 5 January 2018","page":"101-111","title":"Neuropsychological phenotype in Wolf-Hirschhorn syndrome","type":"article-journal","volume":"2"},"uris":["http://www.mendeley.com/documents/?uuid=35abbeaa-1443-4764-91f9-b817a99572b0"]}],"mendeley":{"formattedCitation":"(Cossu et al., 2014)","manualFormatting":"Cossu et al. (2014)","plainTextFormattedCitation":"(Cossu et al., 2014)","previouslyFormattedCitation":"(Cossu et al., 2014)"},"properties":{"noteIndex":0},"schema":"https://github.com/citation-style-language/schema/raw/master/csl-citation.json"}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Cossu et al. (2014)</w:t>
            </w:r>
            <w:r w:rsidRPr="006A1EC7">
              <w:rPr>
                <w:color w:val="000000" w:themeColor="text1"/>
                <w:sz w:val="18"/>
                <w:szCs w:val="18"/>
              </w:rPr>
              <w:fldChar w:fldCharType="end"/>
            </w:r>
          </w:p>
        </w:tc>
      </w:tr>
      <w:tr w:rsidR="00735B4B" w:rsidRPr="006A1EC7" w14:paraId="49FFED29" w14:textId="77777777" w:rsidTr="00D13545">
        <w:trPr>
          <w:trHeight w:val="1125"/>
        </w:trPr>
        <w:tc>
          <w:tcPr>
            <w:cnfStyle w:val="001000000000" w:firstRow="0" w:lastRow="0" w:firstColumn="1" w:lastColumn="0" w:oddVBand="0" w:evenVBand="0" w:oddHBand="0" w:evenHBand="0" w:firstRowFirstColumn="0" w:firstRowLastColumn="0" w:lastRowFirstColumn="0" w:lastRowLastColumn="0"/>
            <w:tcW w:w="0" w:type="auto"/>
          </w:tcPr>
          <w:p w14:paraId="009B032E" w14:textId="77777777" w:rsidR="00735B4B" w:rsidRPr="006A1EC7" w:rsidRDefault="00735B4B" w:rsidP="00D13545">
            <w:pPr>
              <w:spacing w:line="276" w:lineRule="auto"/>
              <w:rPr>
                <w:sz w:val="18"/>
                <w:szCs w:val="18"/>
              </w:rPr>
            </w:pPr>
            <w:r w:rsidRPr="006A1EC7">
              <w:rPr>
                <w:sz w:val="18"/>
                <w:szCs w:val="18"/>
              </w:rPr>
              <w:t>MacArthur Communicative Development Inventories</w:t>
            </w:r>
          </w:p>
        </w:tc>
        <w:tc>
          <w:tcPr>
            <w:tcW w:w="0" w:type="auto"/>
          </w:tcPr>
          <w:p w14:paraId="55D5AA04"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Lexical development </w:t>
            </w:r>
            <w:r w:rsidRPr="006A1EC7">
              <w:rPr>
                <w:sz w:val="18"/>
                <w:szCs w:val="18"/>
              </w:rPr>
              <w:fldChar w:fldCharType="begin" w:fldLock="1"/>
            </w:r>
            <w:r w:rsidRPr="006A1EC7">
              <w:rPr>
                <w:sz w:val="18"/>
                <w:szCs w:val="18"/>
              </w:rPr>
              <w:instrText>ADDIN CSL_CITATION {"citationItems":[{"id":"ITEM-1","itemData":{"DOI":"10.1590/S1678-77572011000600002","author":[{"dropping-particle":"","family":"Silva","given":"M","non-dropping-particle":"da","parse-names":false,"suffix":""},{"dropping-particle":"","family":"Comerlatto Junior","given":"A","non-dropping-particle":"","parse-names":false,"suffix":""},{"dropping-particle":"","family":"Bevilacqua","given":"M","non-dropping-particle":"","parse-names":false,"suffix":""},{"dropping-particle":"","family":"Lopes-Herrerda","given":"S","non-dropping-particle":"","parse-names":false,"suffix":""}],"container-title":"J App Oral Sci","id":"ITEM-1","issue":"6","issued":{"date-parts":[["2011"]]},"page":"549-553","title":"Instruments to assess the oral language of children","type":"article-journal","volume":"19"},"uris":["http://www.mendeley.com/documents/?uuid=79369177-17c3-4317-9b29-01105d004c81"]}],"mendeley":{"formattedCitation":"(da Silva, Comerlatto Junior, Bevilacqua, &amp; Lopes-Herrerda, 2011)","plainTextFormattedCitation":"(da Silva, Comerlatto Junior, Bevilacqua, &amp; Lopes-Herrerda, 2011)","previouslyFormattedCitation":"(da Silva, Comerlatto Junior, Bevilacqua, &amp; Lopes-Herrerda, 2011)"},"properties":{"noteIndex":0},"schema":"https://github.com/citation-style-language/schema/raw/master/csl-citation.json"}</w:instrText>
            </w:r>
            <w:r w:rsidRPr="006A1EC7">
              <w:rPr>
                <w:sz w:val="18"/>
                <w:szCs w:val="18"/>
              </w:rPr>
              <w:fldChar w:fldCharType="separate"/>
            </w:r>
            <w:r w:rsidRPr="006A1EC7">
              <w:rPr>
                <w:noProof/>
                <w:sz w:val="18"/>
                <w:szCs w:val="18"/>
              </w:rPr>
              <w:t>(da Silva, Comerlatto Junior, Bevilacqua, &amp; Lopes-Herrerda, 2011)</w:t>
            </w:r>
            <w:r w:rsidRPr="006A1EC7">
              <w:rPr>
                <w:sz w:val="18"/>
                <w:szCs w:val="18"/>
              </w:rPr>
              <w:fldChar w:fldCharType="end"/>
            </w:r>
          </w:p>
        </w:tc>
        <w:tc>
          <w:tcPr>
            <w:tcW w:w="0" w:type="auto"/>
          </w:tcPr>
          <w:p w14:paraId="00E83F0A"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No</w:t>
            </w:r>
          </w:p>
        </w:tc>
        <w:tc>
          <w:tcPr>
            <w:tcW w:w="0" w:type="auto"/>
          </w:tcPr>
          <w:p w14:paraId="68C70A91"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O</w:t>
            </w:r>
          </w:p>
        </w:tc>
        <w:tc>
          <w:tcPr>
            <w:tcW w:w="0" w:type="auto"/>
          </w:tcPr>
          <w:p w14:paraId="36ED55C3"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{"citationItems":[{"id":"ITEM-1","itemData":{"DOI":"10.1044/0161-1461(2009/08-0098)","ISSN":"0161-1461","PMID":"20421614","abstract":"PURPOSE: The purpose of this investigation was to examine the impact of Chromosome 4p- syndrome on the communication and expressive language phenotype of a large cross-cultural population of children, adolescents, and adults. METHOD: A large-scale survey study was conducted and a descriptive research design was used to analyze quantitative and qualitative data regarding the communication and expressive language manifestations of 200 children, youth, and adults from 16 countries and Puerto Rico who had been diagnosed with 4p conditions, including Wolf-Hirschhorn syndrome (WHS), Pitt-Rogers-Danks syndrome (PRDS), Proximal 4p Deletion syndrome, and complex chromosomal rearrangements associated with 4p-. RESULTS: Individuals with Chromosome 4p- syndrome represent a heterogeneous population with complex phenotypic profiles. The majority of the participants exhibited communication and expressive language skills below the 36-month developmental functioning level. A relatively small cohort of the study population exhibited advanced expressive language skills, a finding not reported in the professional literature. CONCLUSION: Results broaden the spectrum of expressive language skills associated with Chromosome 4p- syndrome and highlight the communication potential of a subset of individuals with 4p abnormalities for development of advanced language structures. It is hypothesized that the largest 4p deletion, which includes the 4p16.3 band and contiguous gene regions, results in the most severely affected expressive language phenotype.","author":[{"dropping-particle":"","family":"Marshall","given":"Althea T.","non-dropping-particle":"","parse-names":false,"suffix":""}],"container-title":"Language Speech and Hearing Services in Schools","id":"ITEM-1","issue":"3","issued":{"date-parts":[["2010","7"]]},"page":"265","title":"Impact of Chromosome 4p- Syndrome on Communication and Expressive Language Skills: A Preliminary Investigation","type":"article-journal","volume":"41"},"uris":["http://www.mendeley.com/documents/?uuid=1579e43f-32e3-4d96-a19d-c205424e9c08"]}],"mendeley":{"formattedCitation":"(A. T. Marshall, 2010)","manualFormatting":"Marshall (2010)","plainTextFormattedCitation":"(A. T. Marshall, 2010)","previouslyFormattedCitation":"(A. T. Marshall, 2010)"},"properties":{"noteIndex":0},"schema":"https://github.com/citation-style-language/schema/raw/master/csl-citation.json"}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Marshall (2010)</w:t>
            </w:r>
            <w:r w:rsidRPr="006A1EC7">
              <w:rPr>
                <w:color w:val="000000" w:themeColor="text1"/>
                <w:sz w:val="18"/>
                <w:szCs w:val="18"/>
              </w:rPr>
              <w:fldChar w:fldCharType="end"/>
            </w:r>
          </w:p>
        </w:tc>
      </w:tr>
      <w:tr w:rsidR="00735B4B" w:rsidRPr="006A1EC7" w14:paraId="4FC08734" w14:textId="77777777" w:rsidTr="00D1354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0" w:type="auto"/>
          </w:tcPr>
          <w:p w14:paraId="7A3A1722" w14:textId="77777777" w:rsidR="00735B4B" w:rsidRPr="006A1EC7" w:rsidRDefault="00735B4B" w:rsidP="00D13545">
            <w:pPr>
              <w:spacing w:line="276" w:lineRule="auto"/>
              <w:rPr>
                <w:sz w:val="18"/>
                <w:szCs w:val="18"/>
              </w:rPr>
            </w:pPr>
            <w:r w:rsidRPr="006A1EC7">
              <w:rPr>
                <w:sz w:val="18"/>
                <w:szCs w:val="18"/>
              </w:rPr>
              <w:t>McCarthy scales of Children’s Abilities</w:t>
            </w:r>
          </w:p>
        </w:tc>
        <w:tc>
          <w:tcPr>
            <w:tcW w:w="0" w:type="auto"/>
          </w:tcPr>
          <w:p w14:paraId="21965A01"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Children’s cognitive and motor abilities</w:t>
            </w:r>
          </w:p>
        </w:tc>
        <w:tc>
          <w:tcPr>
            <w:tcW w:w="0" w:type="auto"/>
          </w:tcPr>
          <w:p w14:paraId="2007AC83"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No</w:t>
            </w:r>
          </w:p>
        </w:tc>
        <w:tc>
          <w:tcPr>
            <w:tcW w:w="0" w:type="auto"/>
          </w:tcPr>
          <w:p w14:paraId="6171D064"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O</w:t>
            </w:r>
          </w:p>
        </w:tc>
        <w:tc>
          <w:tcPr>
            <w:tcW w:w="0" w:type="auto"/>
          </w:tcPr>
          <w:p w14:paraId="66546C02"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{"citationItems":[{"id":"ITEM-1","itemData":{"DOI":"10.1016/S0021-9924(03)00037-6","ISBN":"0021-9924 (Print)\\n0021-9924 (Linking)","ISSN":"00219924","PMID":"15013377","abstract":"Wolf-Hirschhorn syndrome (WHS), a condition resulting from a distal deletion of the short arm of chromosome 4, is usually associated with a severe phenotypic expression including multiple malformations, delayed psychomotor development, and profound learning disabilities. As far as communicative development is concerned, speech is usually absent and comprehension is limited to simple orders or to a specific context. There is some suggestion, however, that the developmental outcome in WHS depends on deletion size. This paper reports on an individual with WHS illustrating that a smaller deletion may result in a milder phenotype with respect to communicative abilities. This 10-year-old girl developed speech and language to a considerable degree. Although most children with this syndrome are severely limited in communicative abilities, the school-based speech-language pathologist working with a special education caseload may encounter WHS children with smaller deletions (and thus less severe phenotypes) who may profit from speech language pathology services. Learning outcomes: The reader will learn about the genetics, incidence, and clinical characteristics of Wolf-Hirschhorn syndrome, and about the communicative abilities and genotype/phenotype correlations in children with this syndrome. ?? 2003 Elsevier Inc. All rights reserved.","author":[{"dropping-particle":"","family":"Borsel","given":"John","non-dropping-particle":"Van","parse-names":false,"suffix":""},{"dropping-particle":"","family":"Grande","given":"Sigrid","non-dropping-particle":"De","parse-names":false,"suffix":""},{"dropping-particle":"","family":"Buggenhout","given":"Griet","non-dropping-particle":"Van","parse-names":false,"suffix":""},{"dropping-particle":"","family":"Fryns","given":"Jean-Pierre Pierre","non-dropping-particle":"","parse-names":false,"suffix":""}],"container-title":"Journal of Communication Disorders","id":"ITEM-1","issue":"1","issued":{"date-parts":[["2004"]]},"page":"21-33","title":"Speech and language in Wolf-Hirschhorn syndrome: A case-study","type":"article-journal","volume":"37"},"uris":["http://www.mendeley.com/documents/?uuid=53fff812-cba7-4662-8d49-6cbf4bef1ffc"]}],"mendeley":{"formattedCitation":"(Van Borsel et al., 2004)","manualFormatting":"Van Borsel, De Grande, Van Buggenhout, &amp; Fryns (2004)","plainTextFormattedCitation":"(Van Borsel et al., 2004)","previouslyFormattedCitation":"(Van Borsel et al., 2004)"},"properties":{"noteIndex":0},"schema":"https://github.com/citation-style-language/schema/raw/master/csl-citation.json"}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Van Borsel, De Grande, Van Buggenhout, &amp; Fryns (2004)</w:t>
            </w:r>
            <w:r w:rsidRPr="006A1EC7">
              <w:rPr>
                <w:color w:val="000000" w:themeColor="text1"/>
                <w:sz w:val="18"/>
                <w:szCs w:val="18"/>
              </w:rPr>
              <w:fldChar w:fldCharType="end"/>
            </w:r>
          </w:p>
        </w:tc>
      </w:tr>
      <w:tr w:rsidR="00735B4B" w:rsidRPr="006A1EC7" w14:paraId="23D20F2B" w14:textId="77777777" w:rsidTr="00D13545">
        <w:trPr>
          <w:trHeight w:val="693"/>
        </w:trPr>
        <w:tc>
          <w:tcPr>
            <w:cnfStyle w:val="001000000000" w:firstRow="0" w:lastRow="0" w:firstColumn="1" w:lastColumn="0" w:oddVBand="0" w:evenVBand="0" w:oddHBand="0" w:evenHBand="0" w:firstRowFirstColumn="0" w:firstRowLastColumn="0" w:lastRowFirstColumn="0" w:lastRowLastColumn="0"/>
            <w:tcW w:w="0" w:type="auto"/>
          </w:tcPr>
          <w:p w14:paraId="280FC71C" w14:textId="77777777" w:rsidR="00735B4B" w:rsidRPr="006A1EC7" w:rsidRDefault="00735B4B" w:rsidP="00D13545">
            <w:pPr>
              <w:spacing w:line="276" w:lineRule="auto"/>
              <w:rPr>
                <w:sz w:val="18"/>
                <w:szCs w:val="18"/>
              </w:rPr>
            </w:pPr>
            <w:r w:rsidRPr="006A1EC7">
              <w:rPr>
                <w:sz w:val="18"/>
                <w:szCs w:val="18"/>
              </w:rPr>
              <w:lastRenderedPageBreak/>
              <w:t>Receptive expressive emergent language test (REEL-2)</w:t>
            </w:r>
          </w:p>
        </w:tc>
        <w:tc>
          <w:tcPr>
            <w:tcW w:w="0" w:type="auto"/>
          </w:tcPr>
          <w:p w14:paraId="00564243"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Receptive and expressive language skills </w:t>
            </w:r>
          </w:p>
        </w:tc>
        <w:tc>
          <w:tcPr>
            <w:tcW w:w="0" w:type="auto"/>
          </w:tcPr>
          <w:p w14:paraId="0838A397"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No</w:t>
            </w:r>
          </w:p>
        </w:tc>
        <w:tc>
          <w:tcPr>
            <w:tcW w:w="0" w:type="auto"/>
          </w:tcPr>
          <w:p w14:paraId="7FE88183"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O</w:t>
            </w:r>
          </w:p>
        </w:tc>
        <w:tc>
          <w:tcPr>
            <w:tcW w:w="0" w:type="auto"/>
          </w:tcPr>
          <w:p w14:paraId="15BD8CDF"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{"citationItems":[{"id":"ITEM-1","itemData":{"DOI":"10.1044/0161-1461(2009/08-0098)","ISSN":"0161-1461","PMID":"20421614","abstract":"PURPOSE: The purpose of this investigation was to examine the impact of Chromosome 4p- syndrome on the communication and expressive language phenotype of a large cross-cultural population of children, adolescents, and adults. METHOD: A large-scale survey study was conducted and a descriptive research design was used to analyze quantitative and qualitative data regarding the communication and expressive language manifestations of 200 children, youth, and adults from 16 countries and Puerto Rico who had been diagnosed with 4p conditions, including Wolf-Hirschhorn syndrome (WHS), Pitt-Rogers-Danks syndrome (PRDS), Proximal 4p Deletion syndrome, and complex chromosomal rearrangements associated with 4p-. RESULTS: Individuals with Chromosome 4p- syndrome represent a heterogeneous population with complex phenotypic profiles. The majority of the participants exhibited communication and expressive language skills below the 36-month developmental functioning level. A relatively small cohort of the study population exhibited advanced expressive language skills, a finding not reported in the professional literature. CONCLUSION: Results broaden the spectrum of expressive language skills associated with Chromosome 4p- syndrome and highlight the communication potential of a subset of individuals with 4p abnormalities for development of advanced language structures. It is hypothesized that the largest 4p deletion, which includes the 4p16.3 band and contiguous gene regions, results in the most severely affected expressive language phenotype.","author":[{"dropping-particle":"","family":"Marshall","given":"Althea T.","non-dropping-particle":"","parse-names":false,"suffix":""}],"container-title":"Language Speech and Hearing Services in Schools","id":"ITEM-1","issue":"3","issued":{"date-parts":[["2010","7"]]},"page":"265","title":"Impact of Chromosome 4p- Syndrome on Communication and Expressive Language Skills: A Preliminary Investigation","type":"article-journal","volume":"41"},"uris":["http://www.mendeley.com/documents/?uuid=1579e43f-32e3-4d96-a19d-c205424e9c08"]}],"mendeley":{"formattedCitation":"(A. T. Marshall, 2010)","manualFormatting":" Marshall (2010)","plainTextFormattedCitation":"(A. T. Marshall, 2010)","previouslyFormattedCitation":"(A. T. Marshall, 2010)"},"properties":{"noteIndex":0},"schema":"https://github.com/citation-style-language/schema/raw/master/csl-citation.json"}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 xml:space="preserve"> Marshall (2010)</w:t>
            </w:r>
            <w:r w:rsidRPr="006A1EC7">
              <w:rPr>
                <w:color w:val="000000" w:themeColor="text1"/>
                <w:sz w:val="18"/>
                <w:szCs w:val="18"/>
              </w:rPr>
              <w:fldChar w:fldCharType="end"/>
            </w:r>
          </w:p>
        </w:tc>
      </w:tr>
      <w:tr w:rsidR="00735B4B" w:rsidRPr="006A1EC7" w14:paraId="382D18F4" w14:textId="77777777" w:rsidTr="00D13545">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0" w:type="auto"/>
          </w:tcPr>
          <w:p w14:paraId="4C9CBB63" w14:textId="77777777" w:rsidR="00735B4B" w:rsidRPr="006A1EC7" w:rsidRDefault="00735B4B" w:rsidP="00D13545">
            <w:pPr>
              <w:spacing w:line="276" w:lineRule="auto"/>
              <w:rPr>
                <w:sz w:val="18"/>
                <w:szCs w:val="18"/>
              </w:rPr>
            </w:pPr>
            <w:r w:rsidRPr="006A1EC7">
              <w:rPr>
                <w:sz w:val="18"/>
                <w:szCs w:val="18"/>
              </w:rPr>
              <w:t>Reynell-Developmental language scale</w:t>
            </w:r>
          </w:p>
        </w:tc>
        <w:tc>
          <w:tcPr>
            <w:tcW w:w="0" w:type="auto"/>
          </w:tcPr>
          <w:p w14:paraId="33CDABD8"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Speech/language delay; Receptive and expressive language skills </w:t>
            </w:r>
          </w:p>
        </w:tc>
        <w:tc>
          <w:tcPr>
            <w:tcW w:w="0" w:type="auto"/>
          </w:tcPr>
          <w:p w14:paraId="74464001"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No</w:t>
            </w:r>
          </w:p>
        </w:tc>
        <w:tc>
          <w:tcPr>
            <w:tcW w:w="0" w:type="auto"/>
          </w:tcPr>
          <w:p w14:paraId="46124B97"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O (speech and language therapists)</w:t>
            </w:r>
          </w:p>
        </w:tc>
        <w:tc>
          <w:tcPr>
            <w:tcW w:w="0" w:type="auto"/>
          </w:tcPr>
          <w:p w14:paraId="46EAC8FB"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{"citationItems":[{"id":"ITEM-1","itemData":{"DOI":"10.1016/S0021-9924(03)00037-6","ISBN":"0021-9924 (Print)\\n0021-9924 (Linking)","ISSN":"00219924","PMID":"15013377","abstract":"Wolf-Hirschhorn syndrome (WHS), a condition resulting from a distal deletion of the short arm of chromosome 4, is usually associated with a severe phenotypic expression including multiple malformations, delayed psychomotor development, and profound learning disabilities. As far as communicative development is concerned, speech is usually absent and comprehension is limited to simple orders or to a specific context. There is some suggestion, however, that the developmental outcome in WHS depends on deletion size. This paper reports on an individual with WHS illustrating that a smaller deletion may result in a milder phenotype with respect to communicative abilities. This 10-year-old girl developed speech and language to a considerable degree. Although most children with this syndrome are severely limited in communicative abilities, the school-based speech-language pathologist working with a special education caseload may encounter WHS children with smaller deletions (and thus less severe phenotypes) who may profit from speech language pathology services. Learning outcomes: The reader will learn about the genetics, incidence, and clinical characteristics of Wolf-Hirschhorn syndrome, and about the communicative abilities and genotype/phenotype correlations in children with this syndrome. ?? 2003 Elsevier Inc. All rights reserved.","author":[{"dropping-particle":"","family":"Borsel","given":"John","non-dropping-particle":"Van","parse-names":false,"suffix":""},{"dropping-particle":"","family":"Grande","given":"Sigrid","non-dropping-particle":"De","parse-names":false,"suffix":""},{"dropping-particle":"","family":"Buggenhout","given":"Griet","non-dropping-particle":"Van","parse-names":false,"suffix":""},{"dropping-particle":"","family":"Fryns","given":"Jean-Pierre Pierre","non-dropping-particle":"","parse-names":false,"suffix":""}],"container-title":"Journal of Communication Disorders","id":"ITEM-1","issue":"1","issued":{"date-parts":[["2004"]]},"page":"21-33","title":"Speech and language in Wolf-Hirschhorn syndrome: A case-study","type":"article-journal","volume":"37"},"uris":["http://www.mendeley.com/documents/?uuid=53fff812-cba7-4662-8d49-6cbf4bef1ffc"]}],"mendeley":{"formattedCitation":"(Van Borsel et al., 2004)","manualFormatting":"Van Borsel, De Grande, Van Buggenhout, &amp; Fryns (2004)","plainTextFormattedCitation":"(Van Borsel et al., 2004)","previouslyFormattedCitation":"(Van Borsel et al., 2004)"},"properties":{"noteIndex":0},"schema":"https://github.com/citation-style-language/schema/raw/master/csl-citation.json"}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Van Borsel, De Grande, Van Buggenhout, &amp; Fryns (2004)</w:t>
            </w:r>
            <w:r w:rsidRPr="006A1EC7">
              <w:rPr>
                <w:color w:val="000000" w:themeColor="text1"/>
                <w:sz w:val="18"/>
                <w:szCs w:val="18"/>
              </w:rPr>
              <w:fldChar w:fldCharType="end"/>
            </w:r>
            <w:r w:rsidRPr="006A1EC7">
              <w:rPr>
                <w:color w:val="000000" w:themeColor="text1"/>
                <w:sz w:val="18"/>
                <w:szCs w:val="18"/>
              </w:rPr>
              <w:t xml:space="preserve">, </w:t>
            </w:r>
          </w:p>
        </w:tc>
      </w:tr>
      <w:tr w:rsidR="00735B4B" w:rsidRPr="006A1EC7" w14:paraId="4602E323" w14:textId="77777777" w:rsidTr="00D13545">
        <w:trPr>
          <w:trHeight w:val="275"/>
        </w:trPr>
        <w:tc>
          <w:tcPr>
            <w:cnfStyle w:val="001000000000" w:firstRow="0" w:lastRow="0" w:firstColumn="1" w:lastColumn="0" w:oddVBand="0" w:evenVBand="0" w:oddHBand="0" w:evenHBand="0" w:firstRowFirstColumn="0" w:firstRowLastColumn="0" w:lastRowFirstColumn="0" w:lastRowLastColumn="0"/>
            <w:tcW w:w="0" w:type="auto"/>
          </w:tcPr>
          <w:p w14:paraId="35232554" w14:textId="77777777" w:rsidR="00735B4B" w:rsidRPr="006A1EC7" w:rsidRDefault="00735B4B" w:rsidP="00D13545">
            <w:pPr>
              <w:spacing w:line="276" w:lineRule="auto"/>
              <w:rPr>
                <w:sz w:val="18"/>
                <w:szCs w:val="18"/>
              </w:rPr>
            </w:pPr>
            <w:r w:rsidRPr="006A1EC7">
              <w:rPr>
                <w:sz w:val="18"/>
                <w:szCs w:val="18"/>
              </w:rPr>
              <w:t>Social Communication Questionnaire</w:t>
            </w:r>
          </w:p>
        </w:tc>
        <w:tc>
          <w:tcPr>
            <w:tcW w:w="0" w:type="auto"/>
          </w:tcPr>
          <w:p w14:paraId="205BD571"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Autistic features</w:t>
            </w:r>
          </w:p>
        </w:tc>
        <w:tc>
          <w:tcPr>
            <w:tcW w:w="0" w:type="auto"/>
          </w:tcPr>
          <w:p w14:paraId="7E18264A"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No</w:t>
            </w:r>
          </w:p>
        </w:tc>
        <w:tc>
          <w:tcPr>
            <w:tcW w:w="0" w:type="auto"/>
          </w:tcPr>
          <w:p w14:paraId="7F81E7B4"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O</w:t>
            </w:r>
          </w:p>
        </w:tc>
        <w:tc>
          <w:tcPr>
            <w:tcW w:w="0" w:type="auto"/>
          </w:tcPr>
          <w:p w14:paraId="35A2EA4A"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genetics","id":"ITEM-1","issue":"11","issued":{"date-parts":[["2017","11"]]},"page":"610-617","title":"A structured assessment of motor function, behavior, and communication in patients with Wolf-Hirschhorn syndrome.","type":"article-journal","volume":"60"},"uris":["http://www.mendeley.com/documents/?uuid=290aecbf-c91b-4edf-a7e4-bf884192a1cc"]}],"mendeley":{"formattedCitation":"(Nag et al., 2017)","manualFormatting":"Nag et al. (2017)","plainTextFormattedCitation":"(Nag et al., 2017)","previouslyFormattedCitation":"(Nag et al., 2017)"},"properties":{"noteIndex":0},"schema":"https://github.com/citation-style-language/schema/raw/master/csl-citation.json"}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Nag et al. (2017)</w:t>
            </w:r>
            <w:r w:rsidRPr="006A1EC7">
              <w:rPr>
                <w:color w:val="000000" w:themeColor="text1"/>
                <w:sz w:val="18"/>
                <w:szCs w:val="18"/>
              </w:rPr>
              <w:fldChar w:fldCharType="end"/>
            </w:r>
          </w:p>
        </w:tc>
      </w:tr>
      <w:tr w:rsidR="00735B4B" w:rsidRPr="006A1EC7" w14:paraId="6FE03C63" w14:textId="77777777" w:rsidTr="00D1354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tcPr>
          <w:p w14:paraId="77D08FC7" w14:textId="77777777" w:rsidR="00735B4B" w:rsidRPr="006A1EC7" w:rsidRDefault="00735B4B" w:rsidP="00D13545">
            <w:pPr>
              <w:spacing w:line="276" w:lineRule="auto"/>
              <w:rPr>
                <w:sz w:val="18"/>
                <w:szCs w:val="18"/>
              </w:rPr>
            </w:pPr>
            <w:r w:rsidRPr="006A1EC7">
              <w:rPr>
                <w:sz w:val="18"/>
                <w:szCs w:val="18"/>
              </w:rPr>
              <w:t>Stanford Binet 4</w:t>
            </w:r>
            <w:r w:rsidRPr="006A1EC7">
              <w:rPr>
                <w:sz w:val="18"/>
                <w:szCs w:val="18"/>
                <w:vertAlign w:val="superscript"/>
              </w:rPr>
              <w:t>th</w:t>
            </w:r>
            <w:r w:rsidRPr="006A1EC7">
              <w:rPr>
                <w:sz w:val="18"/>
                <w:szCs w:val="18"/>
              </w:rPr>
              <w:t xml:space="preserve"> edition (SBFE)</w:t>
            </w:r>
          </w:p>
        </w:tc>
        <w:tc>
          <w:tcPr>
            <w:tcW w:w="0" w:type="auto"/>
          </w:tcPr>
          <w:p w14:paraId="1728ABDF"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Intelligence</w:t>
            </w:r>
          </w:p>
        </w:tc>
        <w:tc>
          <w:tcPr>
            <w:tcW w:w="0" w:type="auto"/>
          </w:tcPr>
          <w:p w14:paraId="0E56571E"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No</w:t>
            </w:r>
          </w:p>
        </w:tc>
        <w:tc>
          <w:tcPr>
            <w:tcW w:w="0" w:type="auto"/>
          </w:tcPr>
          <w:p w14:paraId="2158C9DB"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O</w:t>
            </w:r>
          </w:p>
        </w:tc>
        <w:tc>
          <w:tcPr>
            <w:tcW w:w="0" w:type="auto"/>
          </w:tcPr>
          <w:p w14:paraId="664493A0"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{"citationItems":[{"id":"ITEM-1","itemData":{"DOI":"10.1352/1944-7558-117.2.167","ISSN":"19447515","PMID":"22515830","abstract":"Few studies exist of developmental trajectories in children with intellectual disability, and none for those with subtelomeric deletions. We compared developmental trajectories of children with Wolf-Hirschhorn syndrome to other genetic disorders. We recruited 106 children diagnosed with fragile X, Williams-Beuren syndrome, or Wolf-Hirschhorn syndrome, assessing their intellectual and adaptive behavior abilities. We retested 61 children 2 years later. We compared Time 1 and Time 2 difference scores related to genetic disorder, age, initial IQ, or adaptive behavior composite. Results show genetic disorder and initial IQ score were significant factors for IQ differences, but only genetic disorder affected adaptive behavior differences. Results suggest different gene-brain-behavior pathways likely exist for these genetic disorders. Different developmental trajectories will influence the type and intensity of intervention implemented by caregivers.","author":[{"dropping-particle":"","family":"Fisch","given":"Gene S.","non-dropping-particle":"","parse-names":false,"suffix":""},{"dropping-particle":"","family":"Carpenter","given":"Nancy","non-dropping-particle":"","parse-names":false,"suffix":""},{"dropping-particle":"","family":"Howard-Peebles","given":"Patricia N.","non-dropping-particle":"","parse-names":false,"suffix":""},{"dropping-particle":"","family":"Holden","given":"Jeanette J A","non-dropping-particle":"","parse-names":false,"suffix":""},{"dropping-particle":"","family":"Tarleton","given":"Jack","non-dropping-particle":"","parse-names":false,"suffix":""},{"dropping-particle":"","family":"Simensen","given":"Richard","non-dropping-particle":"","parse-names":false,"suffix":""},{"dropping-particle":"","family":"Battaglia","given":"Agatino","non-dropping-particle":"","parse-names":false,"suffix":""}],"collection-title":"American Journal of Mental Deficiency, American Journal on Mental Retardation","container-title":"American Journal on Intellectual and Developmental Disabilities","editor":[{"dropping-particle":"","family":"Axelrad  Battaglia  Borghgraef, Carr, Dykens, Dykens, Fisch, Fisch, Fisch, Fisch, Fisch, Fisch, Fisch, Gosch, Gothelf, Hagerman, Hall, Hyman, Lachiewicz, Maas, McGill, Mervis, Mervis, Morris, Roberts, Rooms, Skinner, South, South, South, Udwin,, Baileyy","given":"Battaglia","non-dropping-particle":"","parse-names":false,"suffix":""}],"id":"ITEM-1","issue":"2","issued":{"date-parts":[["2012","3"]]},"page":"167-179","publisher":"American Association on Intellectual and Developmental Disabilities","publisher-place":"Fisch, Gene S.: New York University, Epidemiology and Health Promotion, 250 Park Avenue South, 6th Floor, New York, NY, US, 10003, gene.fisch@nyu.edu","title":"Developmental trajectories in syndromes with intellectual disability, with a focus on wolf-hirschhorn and its cognitive-behavioral profile","type":"article-journal","volume":"117"},"uris":["http://www.mendeley.com/documents/?uuid=150d6988-0592-4309-99bb-d5e735bf22eb"]}],"mendeley":{"formattedCitation":"(Gene S. Fisch et al., 2012)","manualFormatting":"Fisch et al. (2012)","plainTextFormattedCitation":"(Gene S. Fisch et al., 2012)","previouslyFormattedCitation":"(Gene S. Fisch et al., 2012)"},"properties":{"noteIndex":0},"schema":"https://github.com/citation-style-language/schema/raw/master/csl-citation.json"}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Fisch et al. (2012)</w:t>
            </w:r>
            <w:r w:rsidRPr="006A1EC7">
              <w:rPr>
                <w:color w:val="000000" w:themeColor="text1"/>
                <w:sz w:val="18"/>
                <w:szCs w:val="18"/>
              </w:rPr>
              <w:fldChar w:fldCharType="end"/>
            </w:r>
            <w:r w:rsidRPr="006A1EC7">
              <w:rPr>
                <w:color w:val="000000" w:themeColor="text1"/>
                <w:sz w:val="18"/>
                <w:szCs w:val="18"/>
              </w:rPr>
              <w:br/>
            </w: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{"citationItems":[{"id":"ITEM-1","itemData":{"DOI":"10.1002/ajmg.c.30185","ISSN":"1552-4876","PMID":"18932225","abstract":"As a subset of genetic abnormalities, subtelomeric deletions have been found in 7-10% of individuals with mental retardation (MR). One subtelomeric deletion, Wolf-Hirschhorn syndrome (WHS), causes mild to severe MR, but the cognitive-behavioral features of individuals with WHS have not been studied systematically. To that end, we administered a comprehensive cognitive-behavioral battery to 12 children with WHS, ages 4-17 years, who also had some expressive language. Using the Stanford-Binet (4th Edition), we found cognitive deficits ranged from mild to severe, with mean IQ = 44.1. Interviewing parents with the Vineland Adaptive Behavior Scales, we found mean adaptive behavior score (DQ) = 37.3, with females exhibiting slightly higher scores than males. Cognitive profiles indicated relative strengths in Verbal and Quantitative Reasoning. Adaptive behavior profiles noted significant relative strengths in the Socialization Domain. These cognitive-behavioral profiles differed from children with other subtelomeric deletion syndromes, 2q37 or 8p23. Attention deficits and hyperactivity (ADHD) were observed in 7/12 (58%) of the children we tested. One child attained a score on the Child Autism Rating Scale (CARS) suggestive of mild autism. We conclude that different genetic disorders, which cause MR, produce diverse cognitive-behavioral profiles. Consequently, cognitive-behavioral profiles of children with MR need to be assessed more comprehensively.","author":[{"dropping-particle":"","family":"Fisch","given":"Gene S","non-dropping-particle":"","parse-names":false,"suffix":""},{"dropping-particle":"","family":"Battaglia","given":"Agatino","non-dropping-particle":"","parse-names":false,"suffix":""},{"dropping-particle":"","family":"Parrini","given":"Barbara","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genetics","id":"ITEM-1","issue":"4","issued":{"date-parts":[["2008","11","15"]]},"page":"252-6","title":"Cognitive-behavioral features of children with Wolf-Hirschhorn syndrome: preliminary report of 12 cases.","type":"article-journal","volume":"148C"},"uris":["http://www.mendeley.com/documents/?uuid=b0177e36-efa1-301e-ae10-dedd8fb3b2a4"]}],"mendeley":{"formattedCitation":"(Gene S Fisch et al., 2008)","manualFormatting":"Fisch et al. (2008; 2010)","plainTextFormattedCitation":"(Gene S Fisch et al., 2008)","previouslyFormattedCitation":"(Gene S Fisch et al., 2008)"},"properties":{"noteIndex":0},"schema":"https://github.com/citation-style-language/schema/raw/master/csl-citation.json"}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Fisch et al. (2008; 2010)</w:t>
            </w:r>
            <w:r w:rsidRPr="006A1EC7">
              <w:rPr>
                <w:color w:val="000000" w:themeColor="text1"/>
                <w:sz w:val="18"/>
                <w:szCs w:val="18"/>
              </w:rPr>
              <w:fldChar w:fldCharType="end"/>
            </w:r>
          </w:p>
        </w:tc>
      </w:tr>
      <w:tr w:rsidR="00735B4B" w:rsidRPr="006A1EC7" w14:paraId="2EA91014" w14:textId="77777777" w:rsidTr="00D13545">
        <w:trPr>
          <w:trHeight w:val="1170"/>
        </w:trPr>
        <w:tc>
          <w:tcPr>
            <w:cnfStyle w:val="001000000000" w:firstRow="0" w:lastRow="0" w:firstColumn="1" w:lastColumn="0" w:oddVBand="0" w:evenVBand="0" w:oddHBand="0" w:evenHBand="0" w:firstRowFirstColumn="0" w:firstRowLastColumn="0" w:lastRowFirstColumn="0" w:lastRowLastColumn="0"/>
            <w:tcW w:w="0" w:type="auto"/>
          </w:tcPr>
          <w:p w14:paraId="087984F3" w14:textId="77777777" w:rsidR="00735B4B" w:rsidRPr="006A1EC7" w:rsidRDefault="00735B4B" w:rsidP="00D13545">
            <w:pPr>
              <w:spacing w:line="276" w:lineRule="auto"/>
              <w:rPr>
                <w:sz w:val="18"/>
                <w:szCs w:val="18"/>
              </w:rPr>
            </w:pPr>
            <w:r w:rsidRPr="006A1EC7">
              <w:rPr>
                <w:sz w:val="18"/>
                <w:szCs w:val="18"/>
              </w:rPr>
              <w:t>Vineland Adaptive Behavioural Scale</w:t>
            </w:r>
          </w:p>
        </w:tc>
        <w:tc>
          <w:tcPr>
            <w:tcW w:w="0" w:type="auto"/>
          </w:tcPr>
          <w:p w14:paraId="38EE0FCE"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Adaptive Behaviour</w:t>
            </w:r>
          </w:p>
        </w:tc>
        <w:tc>
          <w:tcPr>
            <w:tcW w:w="0" w:type="auto"/>
          </w:tcPr>
          <w:p w14:paraId="1FE12E26"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sz w:val="18"/>
                <w:szCs w:val="18"/>
              </w:rPr>
              <w:t>No</w:t>
            </w:r>
          </w:p>
        </w:tc>
        <w:tc>
          <w:tcPr>
            <w:tcW w:w="0" w:type="auto"/>
          </w:tcPr>
          <w:p w14:paraId="1CB43941"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color w:val="000000" w:themeColor="text1"/>
                <w:sz w:val="18"/>
                <w:szCs w:val="18"/>
              </w:rPr>
              <w:t>O (two forms: parent/caregiver and teacher)</w:t>
            </w:r>
          </w:p>
        </w:tc>
        <w:tc>
          <w:tcPr>
            <w:tcW w:w="0" w:type="auto"/>
          </w:tcPr>
          <w:p w14:paraId="49053719"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genetics","id":"ITEM-1","issue":"11","issued":{"date-parts":[["2017","11"]]},"page":"610-617","title":"A structured assessment of motor function, behavior, and communication in patients with Wolf-Hirschhorn syndrome.","type":"article-journal","volume":"60"},"uris":["http://www.mendeley.com/documents/?uuid=290aecbf-c91b-4edf-a7e4-bf884192a1cc"]}],"mendeley":{"formattedCitation":"(Nag et al., 2017)","manualFormatting":"Nag et al. (2017)","plainTextFormattedCitation":"(Nag et al., 2017)","previouslyFormattedCitation":"(Nag et al., 2017)"},"properties":{"noteIndex":0},"schema":"https://github.com/citation-style-language/schema/raw/master/csl-citation.json"}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Nag et al. (2017)</w:t>
            </w:r>
            <w:r w:rsidRPr="006A1EC7">
              <w:rPr>
                <w:color w:val="000000" w:themeColor="text1"/>
                <w:sz w:val="18"/>
                <w:szCs w:val="18"/>
              </w:rPr>
              <w:fldChar w:fldCharType="end"/>
            </w:r>
          </w:p>
          <w:p w14:paraId="681F94AB"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{"citationItems":[{"id":"ITEM-1","itemData":{"DOI":"10.1352/1944-7558-117.2.167","ISSN":"19447515","PMID":"22515830","abstract":"Few studies exist of developmental trajectories in children with intellectual disability, and none for those with subtelomeric deletions. We compared developmental trajectories of children with Wolf-Hirschhorn syndrome to other genetic disorders. We recruited 106 children diagnosed with fragile X, Williams-Beuren syndrome, or Wolf-Hirschhorn syndrome, assessing their intellectual and adaptive behavior abilities. We retested 61 children 2 years later. We compared Time 1 and Time 2 difference scores related to genetic disorder, age, initial IQ, or adaptive behavior composite. Results show genetic disorder and initial IQ score were significant factors for IQ differences, but only genetic disorder affected adaptive behavior differences. Results suggest different gene-brain-behavior pathways likely exist for these genetic disorders. Different developmental trajectories will influence the type and intensity of intervention implemented by caregivers.","author":[{"dropping-particle":"","family":"Fisch","given":"Gene S.","non-dropping-particle":"","parse-names":false,"suffix":""},{"dropping-particle":"","family":"Carpenter","given":"Nancy","non-dropping-particle":"","parse-names":false,"suffix":""},{"dropping-particle":"","family":"Howard-Peebles","given":"Patricia N.","non-dropping-particle":"","parse-names":false,"suffix":""},{"dropping-particle":"","family":"Holden","given":"Jeanette J A","non-dropping-particle":"","parse-names":false,"suffix":""},{"dropping-particle":"","family":"Tarleton","given":"Jack","non-dropping-particle":"","parse-names":false,"suffix":""},{"dropping-particle":"","family":"Simensen","given":"Richard","non-dropping-particle":"","parse-names":false,"suffix":""},{"dropping-particle":"","family":"Battaglia","given":"Agatino","non-dropping-particle":"","parse-names":false,"suffix":""}],"collection-title":"American Journal of Mental Deficiency, American Journal on Mental Retardation","container-title":"American Journal on Intellectual and Developmental Disabilities","editor":[{"dropping-particle":"","family":"Axelrad  Battaglia  Borghgraef, Carr, Dykens, Dykens, Fisch, Fisch, Fisch, Fisch, Fisch, Fisch, Fisch, Gosch, Gothelf, Hagerman, Hall, Hyman, Lachiewicz, Maas, McGill, Mervis, Mervis, Morris, Roberts, Rooms, Skinner, South, South, South, Udwin,, Baileyy","given":"Battaglia","non-dropping-particle":"","parse-names":false,"suffix":""}],"id":"ITEM-1","issue":"2","issued":{"date-parts":[["2012","3"]]},"page":"167-179","publisher":"American Association on Intellectual and Developmental Disabilities","publisher-place":"Fisch, Gene S.: New York University, Epidemiology and Health Promotion, 250 Park Avenue South, 6th Floor, New York, NY, US, 10003, gene.fisch@nyu.edu","title":"Developmental trajectories in syndromes with intellectual disability, with a focus on wolf-hirschhorn and its cognitive-behavioral profile","type":"article-journal","volume":"117"},"uris":["http://www.mendeley.com/documents/?uuid=150d6988-0592-4309-99bb-d5e735bf22eb"]}],"mendeley":{"formattedCitation":"(Gene S. Fisch et al., 2012)","manualFormatting":"Fisch et al. (2012)","plainTextFormattedCitation":"(Gene S. Fisch et al., 2012)","previouslyFormattedCitation":"(Gene S. Fisch et al., 2012)"},"properties":{"noteIndex":0},"schema":"https://github.com/citation-style-language/schema/raw/master/csl-citation.json"}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Fisch et al. (2012)</w:t>
            </w:r>
            <w:r w:rsidRPr="006A1EC7">
              <w:rPr>
                <w:color w:val="000000" w:themeColor="text1"/>
                <w:sz w:val="18"/>
                <w:szCs w:val="18"/>
              </w:rPr>
              <w:fldChar w:fldCharType="end"/>
            </w:r>
          </w:p>
          <w:p w14:paraId="1E97551E"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{"citationItems":[{"id":"ITEM-1","itemData":{"DOI":"10.1002/ajmg.c.30185","ISSN":"1552-4876","PMID":"18932225","abstract":"As a subset of genetic abnormalities, subtelomeric deletions have been found in 7-10% of individuals with mental retardation (MR). One subtelomeric deletion, Wolf-Hirschhorn syndrome (WHS), causes mild to severe MR, but the cognitive-behavioral features of individuals with WHS have not been studied systematically. To that end, we administered a comprehensive cognitive-behavioral battery to 12 children with WHS, ages 4-17 years, who also had some expressive language. Using the Stanford-Binet (4th Edition), we found cognitive deficits ranged from mild to severe, with mean IQ = 44.1. Interviewing parents with the Vineland Adaptive Behavior Scales, we found mean adaptive behavior score (DQ) = 37.3, with females exhibiting slightly higher scores than males. Cognitive profiles indicated relative strengths in Verbal and Quantitative Reasoning. Adaptive behavior profiles noted significant relative strengths in the Socialization Domain. These cognitive-behavioral profiles differed from children with other subtelomeric deletion syndromes, 2q37 or 8p23. Attention deficits and hyperactivity (ADHD) were observed in 7/12 (58%) of the children we tested. One child attained a score on the Child Autism Rating Scale (CARS) suggestive of mild autism. We conclude that different genetic disorders, which cause MR, produce diverse cognitive-behavioral profiles. Consequently, cognitive-behavioral profiles of children with MR need to be assessed more comprehensively.","author":[{"dropping-particle":"","family":"Fisch","given":"Gene S","non-dropping-particle":"","parse-names":false,"suffix":""},{"dropping-particle":"","family":"Battaglia","given":"Agatino","non-dropping-particle":"","parse-names":false,"suffix":""},{"dropping-particle":"","family":"Parrini","given":"Barbara","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genetics","id":"ITEM-1","issue":"4","issued":{"date-parts":[["2008","11","15"]]},"page":"252-6","title":"Cognitive-behavioral features of children with Wolf-Hirschhorn syndrome: preliminary report of 12 cases.","type":"article-journal","volume":"148C"},"uris":["http://www.mendeley.com/documents/?uuid=b0177e36-efa1-301e-ae10-dedd8fb3b2a4"]}],"mendeley":{"formattedCitation":"(Gene S Fisch et al., 2008)","manualFormatting":"Fisch et al. (2008; 2010)","plainTextFormattedCitation":"(Gene S Fisch et al., 2008)","previouslyFormattedCitation":"(Gene S Fisch et al., 2008)"},"properties":{"noteIndex":0},"schema":"https://github.com/citation-style-language/schema/raw/master/csl-citation.json"}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Fisch et al. (2008; 2010)</w:t>
            </w:r>
            <w:r w:rsidRPr="006A1EC7">
              <w:rPr>
                <w:color w:val="000000" w:themeColor="text1"/>
                <w:sz w:val="18"/>
                <w:szCs w:val="18"/>
              </w:rPr>
              <w:fldChar w:fldCharType="end"/>
            </w:r>
            <w:r w:rsidRPr="006A1EC7">
              <w:rPr>
                <w:color w:val="000000" w:themeColor="text1"/>
                <w:sz w:val="18"/>
                <w:szCs w:val="18"/>
              </w:rPr>
              <w:br/>
            </w: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{"citationItems":[{"id":"ITEM-1","itemData":{"DOI":"10.6000/2292-2598.2014.02.02.3","author":[{"dropping-particle":"","family":"Cossu","given":"M C","non-dropping-particle":"","parse-names":false,"suffix":""},{"dropping-particle":"","family":"Albergo","given":"A","non-dropping-particle":"","parse-names":false,"suffix":""},{"dropping-particle":"","family":"Galluzzi","given":"C","non-dropping-particle":"","parse-names":false,"suffix":""},{"dropping-particle":"","family":"Stefani","given":"C","non-dropping-particle":"","parse-names":false,"suffix":""},{"dropping-particle":"","family":"Antonucci","given":"G","non-dropping-particle":"","parse-names":false,"suffix":""}],"container-title":"Journal of Intellectual Disability - Diagnosis and Treatment","id":"ITEM-1","issue":"2","issued":{"date-parts":[["2014"]]},"note":"Export Date: 5 January 2018","page":"101-111","title":"Neuropsychological phenotype in Wolf-Hirschhorn syndrome","type":"article-journal","volume":"2"},"uris":["http://www.mendeley.com/documents/?uuid=35abbeaa-1443-4764-91f9-b817a99572b0"]}],"mendeley":{"formattedCitation":"(Cossu et al., 2014)","manualFormatting":"Cossu et al. (2014)","plainTextFormattedCitation":"(Cossu et al., 2014)","previouslyFormattedCitation":"(Cossu et al., 2014)"},"properties":{"noteIndex":0},"schema":"https://github.com/citation-style-language/schema/raw/master/csl-citation.json"}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Cossu et al. (2014)</w:t>
            </w:r>
            <w:r w:rsidRPr="006A1EC7">
              <w:rPr>
                <w:color w:val="000000" w:themeColor="text1"/>
                <w:sz w:val="18"/>
                <w:szCs w:val="18"/>
              </w:rPr>
              <w:fldChar w:fldCharType="end"/>
            </w:r>
          </w:p>
        </w:tc>
      </w:tr>
      <w:tr w:rsidR="00735B4B" w:rsidRPr="006A1EC7" w14:paraId="0362E5D4" w14:textId="77777777" w:rsidTr="00D13545">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0" w:type="auto"/>
          </w:tcPr>
          <w:p w14:paraId="26DAA13D" w14:textId="77777777" w:rsidR="00735B4B" w:rsidRPr="006A1EC7" w:rsidRDefault="00735B4B" w:rsidP="00D13545">
            <w:pPr>
              <w:spacing w:line="276" w:lineRule="auto"/>
              <w:rPr>
                <w:sz w:val="18"/>
                <w:szCs w:val="18"/>
              </w:rPr>
            </w:pPr>
            <w:r w:rsidRPr="006A1EC7">
              <w:rPr>
                <w:sz w:val="18"/>
                <w:szCs w:val="18"/>
              </w:rPr>
              <w:t>Wechsler Pre- and Primary School Scale of Intelligence</w:t>
            </w:r>
          </w:p>
        </w:tc>
        <w:tc>
          <w:tcPr>
            <w:tcW w:w="0" w:type="auto"/>
          </w:tcPr>
          <w:p w14:paraId="2C687010"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Intelligence</w:t>
            </w:r>
          </w:p>
        </w:tc>
        <w:tc>
          <w:tcPr>
            <w:tcW w:w="0" w:type="auto"/>
          </w:tcPr>
          <w:p w14:paraId="3D9FD38E"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No</w:t>
            </w:r>
          </w:p>
        </w:tc>
        <w:tc>
          <w:tcPr>
            <w:tcW w:w="0" w:type="auto"/>
          </w:tcPr>
          <w:p w14:paraId="3783BBD6"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O</w:t>
            </w:r>
          </w:p>
        </w:tc>
        <w:tc>
          <w:tcPr>
            <w:tcW w:w="0" w:type="auto"/>
          </w:tcPr>
          <w:p w14:paraId="53C9E4FF"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fldChar w:fldCharType="begin" w:fldLock="1"/>
            </w:r>
            <w:r w:rsidRPr="006A1EC7">
              <w:rPr>
                <w:color w:val="000000" w:themeColor="text1"/>
                <w:sz w:val="18"/>
                <w:szCs w:val="18"/>
              </w:rPr>
              <w:instrText>ADDIN CSL_CITATION {"citationItems":[{"id":"ITEM-1","itemData":{"DOI":"10.1016/S0021-9924(03)00037-6","ISBN":"0021-9924 (Print)\\n0021-9924 (Linking)","ISSN":"00219924","PMID":"15013377","abstract":"Wolf-Hirschhorn syndrome (WHS), a condition resulting from a distal deletion of the short arm of chromosome 4, is usually associated with a severe phenotypic expression including multiple malformations, delayed psychomotor development, and profound learning disabilities. As far as communicative development is concerned, speech is usually absent and comprehension is limited to simple orders or to a specific context. There is some suggestion, however, that the developmental outcome in WHS depends on deletion size. This paper reports on an individual with WHS illustrating that a smaller deletion may result in a milder phenotype with respect to communicative abilities. This 10-year-old girl developed speech and language to a considerable degree. Although most children with this syndrome are severely limited in communicative abilities, the school-based speech-language pathologist working with a special education caseload may encounter WHS children with smaller deletions (and thus less severe phenotypes) who may profit from speech language pathology services. Learning outcomes: The reader will learn about the genetics, incidence, and clinical characteristics of Wolf-Hirschhorn syndrome, and about the communicative abilities and genotype/phenotype correlations in children with this syndrome. ?? 2003 Elsevier Inc. All rights reserved.","author":[{"dropping-particle":"","family":"Borsel","given":"John","non-dropping-particle":"Van","parse-names":false,"suffix":""},{"dropping-particle":"","family":"Grande","given":"Sigrid","non-dropping-particle":"De","parse-names":false,"suffix":""},{"dropping-particle":"","family":"Buggenhout","given":"Griet","non-dropping-particle":"Van","parse-names":false,"suffix":""},{"dropping-particle":"","family":"Fryns","given":"Jean-Pierre Pierre","non-dropping-particle":"","parse-names":false,"suffix":""}],"container-title":"Journal of Communication Disorders","id":"ITEM-1","issue":"1","issued":{"date-parts":[["2004"]]},"page":"21-33","title":"Speech and language in Wolf-Hirschhorn syndrome: A case-study","type":"article-journal","volume":"37"},"uris":["http://www.mendeley.com/documents/?uuid=53fff812-cba7-4662-8d49-6cbf4bef1ffc"]}],"mendeley":{"formattedCitation":"(Van Borsel et al., 2004)","manualFormatting":"Van Borsel, De Grande, Van Buggenhout, &amp; Fryns (2004)","plainTextFormattedCitation":"(Van Borsel et al., 2004)","previouslyFormattedCitation":"(Van Borsel et al., 2004)"},"properties":{"noteIndex":0},"schema":"https://github.com/citation-style-language/schema/raw/master/csl-citation.json"}</w:instrText>
            </w:r>
            <w:r w:rsidRPr="006A1EC7">
              <w:rPr>
                <w:color w:val="000000" w:themeColor="text1"/>
                <w:sz w:val="18"/>
                <w:szCs w:val="18"/>
              </w:rPr>
              <w:fldChar w:fldCharType="separate"/>
            </w:r>
            <w:r w:rsidRPr="006A1EC7">
              <w:rPr>
                <w:noProof/>
                <w:color w:val="000000" w:themeColor="text1"/>
                <w:sz w:val="18"/>
                <w:szCs w:val="18"/>
              </w:rPr>
              <w:t>Van Borsel, De Grande, Van Buggenhout, &amp; Fryns (2004)</w:t>
            </w:r>
            <w:r w:rsidRPr="006A1EC7">
              <w:rPr>
                <w:color w:val="000000" w:themeColor="text1"/>
                <w:sz w:val="18"/>
                <w:szCs w:val="18"/>
              </w:rPr>
              <w:fldChar w:fldCharType="end"/>
            </w:r>
          </w:p>
        </w:tc>
      </w:tr>
    </w:tbl>
    <w:p w14:paraId="51DE04C2" w14:textId="77777777" w:rsidR="00735B4B" w:rsidRPr="006A1EC7" w:rsidRDefault="00735B4B" w:rsidP="00735B4B">
      <w:pPr>
        <w:spacing w:line="276" w:lineRule="auto"/>
        <w:rPr>
          <w:i/>
          <w:iCs/>
          <w:color w:val="44546A" w:themeColor="text2"/>
          <w:sz w:val="18"/>
          <w:szCs w:val="18"/>
        </w:rPr>
      </w:pPr>
    </w:p>
    <w:p w14:paraId="78BF790F" w14:textId="77777777" w:rsidR="00735B4B" w:rsidRPr="006A1EC7" w:rsidRDefault="00735B4B" w:rsidP="00735B4B">
      <w:pPr>
        <w:spacing w:line="276" w:lineRule="auto"/>
        <w:rPr>
          <w:i/>
          <w:iCs/>
          <w:color w:val="44546A" w:themeColor="text2"/>
          <w:sz w:val="18"/>
          <w:szCs w:val="18"/>
        </w:rPr>
      </w:pPr>
    </w:p>
    <w:p w14:paraId="64942178" w14:textId="77777777" w:rsidR="00735B4B" w:rsidRPr="006A1EC7" w:rsidRDefault="00735B4B" w:rsidP="00735B4B">
      <w:pPr>
        <w:spacing w:line="276" w:lineRule="auto"/>
        <w:rPr>
          <w:color w:val="000000" w:themeColor="text1"/>
        </w:rPr>
        <w:sectPr w:rsidR="00735B4B" w:rsidRPr="006A1EC7" w:rsidSect="00D13545">
          <w:pgSz w:w="16840" w:h="11900" w:orient="landscape"/>
          <w:pgMar w:top="1440" w:right="1701" w:bottom="1440" w:left="1701" w:header="709" w:footer="709" w:gutter="0"/>
          <w:cols w:space="708"/>
          <w:docGrid w:linePitch="360"/>
        </w:sectPr>
      </w:pPr>
    </w:p>
    <w:p w14:paraId="21D4DD86" w14:textId="77777777" w:rsidR="00735B4B" w:rsidRPr="006A1EC7" w:rsidRDefault="00735B4B" w:rsidP="00735B4B">
      <w:pPr>
        <w:pStyle w:val="Heading3"/>
        <w:spacing w:line="276" w:lineRule="auto"/>
        <w:rPr>
          <w:rFonts w:ascii="Times New Roman" w:hAnsi="Times New Roman" w:cs="Times New Roman"/>
          <w:color w:val="000000" w:themeColor="text1"/>
        </w:rPr>
      </w:pPr>
      <w:bookmarkStart w:id="86" w:name="_Toc17977859"/>
      <w:r w:rsidRPr="006A1EC7">
        <w:rPr>
          <w:rFonts w:ascii="Times New Roman" w:hAnsi="Times New Roman" w:cs="Times New Roman"/>
        </w:rPr>
        <w:lastRenderedPageBreak/>
        <w:t>Discussion</w:t>
      </w:r>
      <w:bookmarkEnd w:id="86"/>
      <w:r w:rsidRPr="006A1EC7">
        <w:rPr>
          <w:rFonts w:ascii="Times New Roman" w:hAnsi="Times New Roman" w:cs="Times New Roman"/>
        </w:rPr>
        <w:t>: Systematic Review 1</w:t>
      </w:r>
      <w:r w:rsidRPr="006A1EC7">
        <w:rPr>
          <w:rFonts w:ascii="Times New Roman" w:hAnsi="Times New Roman" w:cs="Times New Roman"/>
        </w:rPr>
        <w:br/>
      </w:r>
    </w:p>
    <w:p w14:paraId="7E432ADA" w14:textId="6D72D6AD" w:rsidR="00735B4B" w:rsidRPr="006A1EC7" w:rsidRDefault="00735B4B" w:rsidP="00735B4B">
      <w:pPr>
        <w:spacing w:line="360" w:lineRule="auto"/>
        <w:ind w:firstLine="720"/>
        <w:rPr>
          <w:color w:val="000000" w:themeColor="text1"/>
        </w:rPr>
      </w:pPr>
      <w:r w:rsidRPr="006A1EC7">
        <w:rPr>
          <w:color w:val="000000" w:themeColor="text1"/>
        </w:rPr>
        <w:t xml:space="preserve">This systematic review was conducted to investigate and produce an overview of COAs used and validated for </w:t>
      </w:r>
      <w:r w:rsidR="009F0718" w:rsidRPr="006A1EC7">
        <w:rPr>
          <w:color w:val="000000" w:themeColor="text1"/>
        </w:rPr>
        <w:t>WHS</w:t>
      </w:r>
      <w:r w:rsidRPr="006A1EC7">
        <w:rPr>
          <w:color w:val="000000" w:themeColor="text1"/>
        </w:rPr>
        <w:t xml:space="preserve">. The main findings of this review were that (1) there is currently no Clinical Outcome Assessment for </w:t>
      </w:r>
      <w:r w:rsidR="009F0718" w:rsidRPr="006A1EC7">
        <w:rPr>
          <w:color w:val="000000" w:themeColor="text1"/>
        </w:rPr>
        <w:t>WHS</w:t>
      </w:r>
      <w:r w:rsidRPr="006A1EC7">
        <w:rPr>
          <w:color w:val="000000" w:themeColor="text1"/>
        </w:rPr>
        <w:t xml:space="preserve">, which supports the objective of the current project, and (2), none of the scales used in the literature to assess patients with </w:t>
      </w:r>
      <w:r w:rsidR="009F0718" w:rsidRPr="006A1EC7">
        <w:rPr>
          <w:color w:val="000000" w:themeColor="text1"/>
        </w:rPr>
        <w:t>WHS</w:t>
      </w:r>
      <w:r w:rsidRPr="006A1EC7">
        <w:rPr>
          <w:color w:val="000000" w:themeColor="text1"/>
        </w:rPr>
        <w:t xml:space="preserve"> (n = 13) were validated for use with this patient group. </w:t>
      </w:r>
    </w:p>
    <w:p w14:paraId="71CFF0D7" w14:textId="2E79FDC4" w:rsidR="00735B4B" w:rsidRPr="006A1EC7" w:rsidRDefault="00735B4B" w:rsidP="00735B4B">
      <w:pPr>
        <w:spacing w:line="360" w:lineRule="auto"/>
        <w:ind w:firstLine="720"/>
        <w:rPr>
          <w:color w:val="000000" w:themeColor="text1"/>
        </w:rPr>
      </w:pPr>
      <w:r w:rsidRPr="006A1EC7">
        <w:rPr>
          <w:color w:val="000000" w:themeColor="text1"/>
        </w:rPr>
        <w:t xml:space="preserve">This has a number of serious consequences: using scales that have not been validated for the population of interest (or populations with similar characteristics at the very least) suggest unreliable results of empirical studies. Perhaps most striking is the use of the Early </w:t>
      </w:r>
      <w:r w:rsidRPr="006A1EC7">
        <w:t xml:space="preserve">Childhood Epilepsy Severity Scale (E-CHESS) by </w:t>
      </w:r>
      <w:r w:rsidRPr="006A1EC7">
        <w:fldChar w:fldCharType="begin" w:fldLock="1"/>
      </w:r>
      <w:r w:rsidRPr="006A1EC7">
        <w:instrText>ADDIN CSL_CITATION {"citationItems":[{"id":"ITEM-1","itemData":{"DOI":"10.1016/j.yebeh.2017.12.008","ISSN":"15255069","abstract":"Seizures are present in over 90% of infants and children with Wolf–Hirschhorn syndrome (WHS). When present, they significantly affect quality of life. The goal of this study was to use caregiver reports to describe the comparative efficacies of commonly used antiepileptic medications in a large population of individuals with WHS. A web-based, confidential caregiver survey was developed to capture seizure semiology and a chronologic record of seizure treatments as well as responses to each treatment. Adverse events for each drug were also cataloged. We received 141 complete survey responses (47% response rate) describing the seizures of individuals ranging in age from 4 months to 61 years (90 females: 51 males). Using the Early Childhood Epilepsy Severity Scale (E-Chess), WHS-associated seizures are demonstrably severe regardless of deletion size. The best-performing antiepileptic drugs (AEDs) for controlling seizures in this cohort were broad spectrum drugs clobazam, levetiracetam, and lamotrigine; whereas, the three commonly used carboxamide class drugs: carbamazepine, phenytoin, and oxcarbazepine, were reported to have little effect on, or even exacerbate, seizures. The carboxamide class drugs, along with phenobarbital and topiramate, were also associated with the highest rate of intolerance due to cooccurrence of adverse events. Levetiracetam, clobazam, and clonazepam demonstrated higher tolerability and comparatively less severe adverse events (Wilcoxon rank sum comparison between performance of levetiracetam and carboxamide class drugs gives a p &lt; 0.0001 after multiple comparison adjustment). This is the largest survey to date assessing WHS seizures. This study design is susceptible to possible bias, as the data are largely drawn from caregiver report and investigators had limited access to medical records. Despite this, our data suggest that the genetic etiology of seizures, together with an accurate electroclinical delineation, are important components of drug selection, even in contiguous gene syndromes which may have complex seizure etiologies.","author":[{"dropping-particle":"","family":"Ho","given":"Karen S.","non-dropping-particle":"","parse-names":false,"suffix":""},{"dropping-particle":"","family":"Markham","given":"Leah M.","non-dropping-particle":"","parse-names":false,"suffix":""},{"dropping-particle":"","family":"Twede","given":"Hope","non-dropping-particle":"","parse-names":false,"suffix":""},{"dropping-particle":"","family":"Lortz","given":"Amanda","non-dropping-particle":"","parse-names":false,"suffix":""},{"dropping-particle":"","family":"Olson","given":"Lenora M.","non-dropping-particle":"","parse-names":false,"suffix":""},{"dropping-particle":"","family":"Sheng","given":"Xiaoming","non-dropping-particle":"","parse-names":false,"suffix":""},{"dropping-particle":"","family":"Weng","given":"Cindy","non-dropping-particle":"","parse-names":false,"suffix":""},{"dropping-particle":"","family":"Wassman","given":"E. Robert","non-dropping-particle":"","parse-names":false,"suffix":""},{"dropping-particle":"","family":"Newcomb","given":"Tara","non-dropping-particle":"","parse-names":false,"suffix":""},{"dropping-particle":"","family":"Wassman","given":"E. Robert","non-dropping-particle":"","parse-names":false,"suffix":""},{"dropping-particle":"","family":"Carey","given":"John C.","non-dropping-particle":"","parse-names":false,"suffix":""},{"dropping-particle":"","family":"Battaglia","given":"Agatino","non-dropping-particle":"","parse-names":false,"suffix":""}],"container-title":"Epilepsy and Behavior","id":"ITEM-1","issued":{"date-parts":[["2018"]]},"page":"55-61","publisher":"Elsevier Inc.","title":"A survey of antiepileptic drug responses identifies drugs with potential efficacy for seizure control in Wolf–Hirschhorn syndrome","type":"article-journal","volume":"81"},"uris":["http://www.mendeley.com/documents/?uuid=f2072478-ed93-4824-8c58-4866e436ad22"]}],"mendeley":{"formattedCitation":"(Ho et al., 2018a)","manualFormatting":"(Ho et al., 2018)","plainTextFormattedCitation":"(Ho et al., 2018a)","previouslyFormattedCitation":"(Ho et al., 2018a)"},"properties":{"noteIndex":0},"schema":"https://github.com/citation-style-language/schema/raw/master/csl-citation.json"}</w:instrText>
      </w:r>
      <w:r w:rsidRPr="006A1EC7">
        <w:fldChar w:fldCharType="separate"/>
      </w:r>
      <w:r w:rsidRPr="006A1EC7">
        <w:rPr>
          <w:noProof/>
        </w:rPr>
        <w:t>(Ho et al., 2018)</w:t>
      </w:r>
      <w:r w:rsidRPr="006A1EC7">
        <w:fldChar w:fldCharType="end"/>
      </w:r>
      <w:r w:rsidRPr="006A1EC7">
        <w:t xml:space="preserve">, which was developed to assess epilepsy in children with Tuberous Sclerosis </w:t>
      </w:r>
      <w:r w:rsidRPr="006A1EC7">
        <w:fldChar w:fldCharType="begin" w:fldLock="1"/>
      </w:r>
      <w:r w:rsidRPr="006A1EC7">
        <w:instrText>ADDIN CSL_CITATION {"citationItems":[{"id":"ITEM-1","itemData":{"DOI":"10.1016/j.eplepsyres.2008.01.007","ISSN":"09201211","abstract":"Purpose: We have developed the Early Childhood Epilepsy Severity Scale (E-Chess) to quantify the severity of epilepsy in infants and young children with tuberous sclerosis as an aid to the evaluation of treatment efficacy and the investigation of the influence of epilepsy severity on development. Methods: Twenty infants aged 11-36 months with a diagnosis of tuberous sclerosis participated in the study. From the literature, six potential measures of epilepsy severity were identified: time period over which seizures occurred; seizure frequency; number of seizure types; occurrence and duration of status epilepticus; number of anticonvulsant medications used; response to treatment. The variables were given a score, usually from 0 to 3, a higher score indicating greater severity. For each child, these variables were scored over consecutive 1 year time periods by three independent raters. We employed restricted and nonrestricted factor analytic models to identify the latent structure of the six items. Results: The six severity items had a unidimensional structure. All severity indicators loaded highly on the latent epilepsy severity factor (&gt;0.77), with the exception of the status indicator which had a poor loading (&lt;0.40) and was excluded from further analyses. Goodness of fit indices were all well within the acceptable criteria for model fit. The E-Chess score at 12 months was significantly predictive of scores at 24 and 36 months. Conclusions: A single continuous latent variable accounts for the variation in five of the six epilepsy severity indicators under study. These form the Early Childhood Epilepsy Severity Scale. The predictive validity of the E-Chess was satisfactory. The E-Chess provides an epilepsy severity score that can be easily used to assess epilepsy severity in tuberous sclerosis and would merit evaluation in other early onset childhood epilepsies. © 2008 Elsevier B.V. All rights reserved.","author":[{"dropping-particle":"","family":"Humphrey","given":"Ayla","non-dropping-particle":"","parse-names":false,"suffix":""},{"dropping-particle":"","family":"Ploubidis","given":"George B.","non-dropping-particle":"","parse-names":false,"suffix":""},{"dropping-particle":"","family":"Yates","given":"John R.W.","non-dropping-particle":"","parse-names":false,"suffix":""},{"dropping-particle":"","family":"Steinberg","given":"Tami","non-dropping-particle":"","parse-names":false,"suffix":""},{"dropping-particle":"","family":"Bolton","given":"Patrick F.","non-dropping-particle":"","parse-names":false,"suffix":""}],"container-title":"Epilepsy Research","id":"ITEM-1","issue":"2-3","issued":{"date-parts":[["2008"]]},"page":"139-145","title":"The Early Childhood Epilepsy Severity Scale (E-Chess)","type":"article-journal","volume":"79"},"uris":["http://www.mendeley.com/documents/?uuid=ffbe2e38-412b-4525-ae5c-52f0ce363598"]}],"mendeley":{"formattedCitation":"(Humphrey et al., 2008)","plainTextFormattedCitation":"(Humphrey et al., 2008)","previouslyFormattedCitation":"(Humphrey et al., 2008)"},"properties":{"noteIndex":0},"schema":"https://github.com/citation-style-language/schema/raw/master/csl-citation.json"}</w:instrText>
      </w:r>
      <w:r w:rsidRPr="006A1EC7">
        <w:fldChar w:fldCharType="separate"/>
      </w:r>
      <w:r w:rsidRPr="006A1EC7">
        <w:rPr>
          <w:noProof/>
        </w:rPr>
        <w:t>(Humphrey et al., 2008)</w:t>
      </w:r>
      <w:r w:rsidRPr="006A1EC7">
        <w:fldChar w:fldCharType="end"/>
      </w:r>
      <w:r w:rsidRPr="006A1EC7">
        <w:t xml:space="preserve">. While epilepsy is a shared clinical feature between these two conditions, there is no scientific literature suggesting that these two conditions share either the same aetiology underlying the epilepsy nor share common experiences of this clinical feature. At face value, this scale assesses salient aspects to epilepsy severity, such as frequency of seizures or number of anticonvulsant medications taken. However, without validation for use with patients with </w:t>
      </w:r>
      <w:r w:rsidR="009F0718" w:rsidRPr="006A1EC7">
        <w:t>WHS</w:t>
      </w:r>
      <w:r w:rsidRPr="006A1EC7">
        <w:t xml:space="preserve"> or at least some attempt to demonstrate validity for this patient group, the results of Ho et al.’s study have to be questioned. </w:t>
      </w:r>
    </w:p>
    <w:p w14:paraId="51576DDA" w14:textId="77777777" w:rsidR="00735B4B" w:rsidRPr="006A1EC7" w:rsidRDefault="00735B4B" w:rsidP="00735B4B">
      <w:pPr>
        <w:spacing w:line="360" w:lineRule="auto"/>
        <w:ind w:firstLine="720"/>
      </w:pPr>
      <w:r w:rsidRPr="006A1EC7">
        <w:rPr>
          <w:color w:val="000000" w:themeColor="text1"/>
        </w:rPr>
        <w:t xml:space="preserve">In addition to the use of non-validated measures, arguably very unsuitable measures were also used with this population group: for example, the use of the </w:t>
      </w:r>
      <w:r w:rsidRPr="006A1EC7">
        <w:t xml:space="preserve">Griffiths Mental Development Scale for patients with WHS is highly unsuitable as a degree of verbal skill is needed in the first instance to complete this scale </w:t>
      </w:r>
      <w:r w:rsidRPr="006A1EC7">
        <w:fldChar w:fldCharType="begin" w:fldLock="1"/>
      </w:r>
      <w:r w:rsidRPr="006A1EC7">
        <w:instrText>ADDIN CSL_CITATION {"citationItems":[{"id":"ITEM-1","itemData":{"DOI":"10.1046/j.1365-2214.2001.00158.x","abstract":"The aim of this study was to contribute to our knowledge of the construct validity of the Griffiths Scales of Mental Development (Griffiths Scales) through an examination of the underlying dimensions tapped by the six subscales, using Common Factor Analysis. A sample of 430 South African children, from four ethnic groups (i. e. White, Mixed Race, Asian and Black) participated. The correlation coefficients obtained for the South African groups were compared to those Griffiths obtained in her work with the British standardization sample of the Griffiths Scales. The pattern of correlation for South African and British subjects was found to be similar. This suggests that the Scales are measuring a construct which is consistent across cultures and through time. A factor analysis was performed with the data for each South African ethnic group separately and the factor solutions were compared to determine whether the Griffiths Scales measure similar or different constructs for the groups. The results indicate that the Griffiths Scales tend to measure one factor, and including only common variables, the factor appears to be similar cross-culturally.","author":[{"dropping-particle":"","family":"Luiz","given":"D M","non-dropping-particle":"","parse-names":false,"suffix":""},{"dropping-particle":"","family":"Foxcroft","given":"C D","non-dropping-particle":"","parse-names":false,"suffix":""},{"dropping-particle":"","family":"Stewart","given":"R","non-dropping-particle":"","parse-names":false,"suffix":""}],"container-title":"Child: Care, Health and Development","id":"ITEM-1","issue":"1","issued":{"date-parts":[["2003"]]},"page":"73-83","title":"The construct validity of the Griffiths Scales of Mental Development","type":"article-journal","volume":"27"},"uris":["http://www.mendeley.com/documents/?uuid=bcd7ee1d-8597-44be-b853-6e1aa77a4394"]}],"mendeley":{"formattedCitation":"(Luiz, Foxcroft, &amp; Stewart, 2003)","plainTextFormattedCitation":"(Luiz, Foxcroft, &amp; Stewart, 2003)","previouslyFormattedCitation":"(Luiz, Foxcroft, &amp; Stewart, 2003)"},"properties":{"noteIndex":0},"schema":"https://github.com/citation-style-language/schema/raw/master/csl-citation.json"}</w:instrText>
      </w:r>
      <w:r w:rsidRPr="006A1EC7">
        <w:fldChar w:fldCharType="separate"/>
      </w:r>
      <w:r w:rsidRPr="006A1EC7">
        <w:rPr>
          <w:noProof/>
        </w:rPr>
        <w:t>(Luiz, Foxcroft, &amp; Stewart, 2003)</w:t>
      </w:r>
      <w:r w:rsidRPr="006A1EC7">
        <w:fldChar w:fldCharType="end"/>
      </w:r>
      <w:r w:rsidRPr="006A1EC7">
        <w:t>; this adds further scrutiny to results previously obtained in the literature for patients with WHS due to non-validated, as well as unsuitable assessments chosen.</w:t>
      </w:r>
    </w:p>
    <w:p w14:paraId="221E26E1" w14:textId="77777777" w:rsidR="00735B4B" w:rsidRPr="006A1EC7" w:rsidRDefault="00735B4B" w:rsidP="00735B4B">
      <w:pPr>
        <w:spacing w:line="360" w:lineRule="auto"/>
        <w:ind w:firstLine="720"/>
        <w:rPr>
          <w:color w:val="000000" w:themeColor="text1"/>
        </w:rPr>
      </w:pPr>
      <w:r w:rsidRPr="006A1EC7">
        <w:t>Unsurprisingly, all measures found to have previously been used for patients with WHS, were either reliant on observer- or clinician- report; likely due to a recognition of lack of communicative abilities and cognitive skills of patients.</w:t>
      </w:r>
    </w:p>
    <w:p w14:paraId="79C641AD" w14:textId="77777777" w:rsidR="00735B4B" w:rsidRPr="006A1EC7" w:rsidRDefault="00735B4B" w:rsidP="00735B4B">
      <w:pPr>
        <w:spacing w:line="360" w:lineRule="auto"/>
        <w:ind w:firstLine="720"/>
      </w:pPr>
      <w:r w:rsidRPr="006A1EC7">
        <w:t xml:space="preserve">Not only does this study highlight a lack of validated measures for patients with WHS, but it also highlights the lack of knowledge in the medical community about the importance of using validated, and appropriate measures. While a (previous) lack of guidance on which measures to choose or a lack of scales to choose from may excuse older research, recent research, such as Ho et al.’s (2018) paper, should have chosen a different and validated </w:t>
      </w:r>
      <w:r w:rsidRPr="006A1EC7">
        <w:lastRenderedPageBreak/>
        <w:t xml:space="preserve">measure as there is now a plethora of guidance on how to choose appropriate outcome measures for clinical trials and outcomes research </w:t>
      </w:r>
      <w:r w:rsidRPr="006A1EC7">
        <w:fldChar w:fldCharType="begin" w:fldLock="1"/>
      </w:r>
      <w:r w:rsidRPr="006A1EC7">
        <w:instrText>ADDIN CSL_CITATION {"citationItems":[{"id":"ITEM-1","itemData":{"DOI":"10.5014/ajot.2013.006015","ISBN":"02729490","ISSN":"02729490","PMID":"23433270","abstract":"Selecting an appropriate outcome measure is a critical step in designing valid and useful clinical trials and outcome studies. This selection process needs to extend beyond examining basic psychometric properties to consider additional features of instruments that may affect their validity and utility for the study's purpose. This article discusses these additional factors and their potential impact on outcome measurement. Guidelines are proposed to help clinical researchers and consumers of clinical research literature evaluate the match between the study purpose, population, and instrument.","author":[{"dropping-particle":"","family":"Coster","given":"Wendy J.","non-dropping-particle":"","parse-names":false,"suffix":""}],"container-title":"American Journal of Occupational Therapy","id":"ITEM-1","issue":"2","issued":{"date-parts":[["2013"]]},"page":"162-170","title":"Making the best match: Selecting outcome measures for clinical trials and outcome studies","type":"article-journal","volume":"67"},"uris":["http://www.mendeley.com/documents/?uuid=712ea64a-be77-44e8-9afd-5e1856065fe8"]}],"mendeley":{"formattedCitation":"(Coster, 2013)","manualFormatting":"(e.g Coster, 2013)","plainTextFormattedCitation":"(Coster, 2013)","previouslyFormattedCitation":"(Coster, 2013)"},"properties":{"noteIndex":0},"schema":"https://github.com/citation-style-language/schema/raw/master/csl-citation.json"}</w:instrText>
      </w:r>
      <w:r w:rsidRPr="006A1EC7">
        <w:fldChar w:fldCharType="separate"/>
      </w:r>
      <w:r w:rsidRPr="006A1EC7">
        <w:rPr>
          <w:noProof/>
        </w:rPr>
        <w:t>(e.g Coster, 2013)</w:t>
      </w:r>
      <w:r w:rsidRPr="006A1EC7">
        <w:fldChar w:fldCharType="end"/>
      </w:r>
      <w:r w:rsidRPr="006A1EC7">
        <w:t>.</w:t>
      </w:r>
    </w:p>
    <w:p w14:paraId="45D2960A" w14:textId="77777777" w:rsidR="00735B4B" w:rsidRPr="006A1EC7" w:rsidRDefault="00735B4B" w:rsidP="00735B4B">
      <w:pPr>
        <w:spacing w:line="360" w:lineRule="auto"/>
        <w:ind w:firstLine="720"/>
      </w:pPr>
    </w:p>
    <w:p w14:paraId="3AD2D1C7" w14:textId="0BF92DDD" w:rsidR="00735B4B" w:rsidRPr="006A1EC7" w:rsidRDefault="00735B4B" w:rsidP="00735B4B">
      <w:pPr>
        <w:pStyle w:val="Heading2"/>
        <w:rPr>
          <w:rFonts w:ascii="Times New Roman" w:hAnsi="Times New Roman" w:cs="Times New Roman"/>
        </w:rPr>
      </w:pPr>
      <w:bookmarkStart w:id="87" w:name="_Toc17977860"/>
      <w:bookmarkStart w:id="88" w:name="_Toc23522714"/>
      <w:bookmarkStart w:id="89" w:name="_Toc38821428"/>
      <w:bookmarkStart w:id="90" w:name="_Toc525647930"/>
      <w:bookmarkStart w:id="91" w:name="_Toc40172984"/>
      <w:r w:rsidRPr="006A1EC7">
        <w:rPr>
          <w:rFonts w:ascii="Times New Roman" w:hAnsi="Times New Roman" w:cs="Times New Roman"/>
        </w:rPr>
        <w:t xml:space="preserve">Systematic review 2: The psychosocial impact of </w:t>
      </w:r>
      <w:r w:rsidR="009F0718" w:rsidRPr="006A1EC7">
        <w:rPr>
          <w:rFonts w:ascii="Times New Roman" w:hAnsi="Times New Roman" w:cs="Times New Roman"/>
        </w:rPr>
        <w:t>WHS</w:t>
      </w:r>
      <w:r w:rsidRPr="006A1EC7">
        <w:rPr>
          <w:rFonts w:ascii="Times New Roman" w:hAnsi="Times New Roman" w:cs="Times New Roman"/>
        </w:rPr>
        <w:t xml:space="preserve"> on families and patients</w:t>
      </w:r>
      <w:bookmarkEnd w:id="87"/>
      <w:bookmarkEnd w:id="88"/>
      <w:bookmarkEnd w:id="89"/>
      <w:bookmarkEnd w:id="91"/>
      <w:r w:rsidRPr="006A1EC7">
        <w:rPr>
          <w:rFonts w:ascii="Times New Roman" w:hAnsi="Times New Roman" w:cs="Times New Roman"/>
        </w:rPr>
        <w:t xml:space="preserve"> </w:t>
      </w:r>
      <w:bookmarkEnd w:id="90"/>
    </w:p>
    <w:p w14:paraId="44C69875" w14:textId="77777777" w:rsidR="00735B4B" w:rsidRPr="006A1EC7" w:rsidRDefault="00735B4B" w:rsidP="00735B4B">
      <w:pPr>
        <w:spacing w:line="276" w:lineRule="auto"/>
      </w:pPr>
    </w:p>
    <w:p w14:paraId="11D3A031" w14:textId="77777777" w:rsidR="00735B4B" w:rsidRPr="006A1EC7" w:rsidRDefault="00735B4B" w:rsidP="00735B4B">
      <w:pPr>
        <w:pStyle w:val="Heading3"/>
        <w:rPr>
          <w:rFonts w:ascii="Times New Roman" w:hAnsi="Times New Roman" w:cs="Times New Roman"/>
        </w:rPr>
      </w:pPr>
      <w:bookmarkStart w:id="92" w:name="_Toc525647931"/>
      <w:bookmarkStart w:id="93" w:name="_Toc17977861"/>
      <w:r w:rsidRPr="006A1EC7">
        <w:rPr>
          <w:rFonts w:ascii="Times New Roman" w:hAnsi="Times New Roman" w:cs="Times New Roman"/>
        </w:rPr>
        <w:t>Method</w:t>
      </w:r>
      <w:bookmarkEnd w:id="92"/>
      <w:bookmarkEnd w:id="93"/>
    </w:p>
    <w:p w14:paraId="7EB5298D" w14:textId="77777777" w:rsidR="00735B4B" w:rsidRPr="006A1EC7" w:rsidRDefault="00735B4B" w:rsidP="00735B4B">
      <w:pPr>
        <w:spacing w:line="276" w:lineRule="auto"/>
      </w:pPr>
    </w:p>
    <w:p w14:paraId="0707F771" w14:textId="77777777" w:rsidR="00735B4B" w:rsidRPr="006A1EC7" w:rsidRDefault="00735B4B" w:rsidP="00735B4B">
      <w:pPr>
        <w:pStyle w:val="Heading4"/>
        <w:spacing w:line="276" w:lineRule="auto"/>
        <w:rPr>
          <w:rFonts w:ascii="Times New Roman" w:hAnsi="Times New Roman" w:cs="Times New Roman"/>
        </w:rPr>
      </w:pPr>
      <w:r w:rsidRPr="006A1EC7">
        <w:rPr>
          <w:rFonts w:ascii="Times New Roman" w:hAnsi="Times New Roman" w:cs="Times New Roman"/>
        </w:rPr>
        <w:t>Searches</w:t>
      </w:r>
    </w:p>
    <w:p w14:paraId="57AC6F35" w14:textId="77777777" w:rsidR="00735B4B" w:rsidRPr="006A1EC7" w:rsidRDefault="00735B4B" w:rsidP="00735B4B">
      <w:pPr>
        <w:spacing w:line="360" w:lineRule="auto"/>
        <w:ind w:firstLine="720"/>
      </w:pPr>
      <w:r w:rsidRPr="006A1EC7">
        <w:t>The intention for this systematic review was registered on PROSPERO (Reference number: CRD42017060561) in March 2017. Searches were conducted in November 2016, and subsequently updated in April 2019. Five databases were used for the review (Scopus, Web of Science, PsycInfo, CINAHL and PubMed). The search terms were: (psychosocial) AND (Wolf-Hirschhorn* 4p16 deletion), (experience OR patient) AND (Wolf-Hirschhorn* OR 4p16 deletion), (living OR life) AND (Wolf-Hirschhorn* OR 4p16 deletion), (car*) AND (Wolf-Hirschhorn* OR 4p16 deletion), (parent OR child OR adult) AND (Wolf-Hirschhorn* OR 4p16 deletion), (burden OR impact) AND (Wolf-Hirschhorn* OR 4p16 deletion). A total of 30 searches were performed across the five databases (Appendix 3.3).</w:t>
      </w:r>
    </w:p>
    <w:p w14:paraId="0D333733" w14:textId="77777777" w:rsidR="00735B4B" w:rsidRPr="006A1EC7" w:rsidRDefault="00735B4B" w:rsidP="00735B4B">
      <w:pPr>
        <w:spacing w:line="276" w:lineRule="auto"/>
        <w:ind w:firstLine="720"/>
      </w:pPr>
    </w:p>
    <w:p w14:paraId="00D94512" w14:textId="77777777" w:rsidR="00735B4B" w:rsidRPr="006A1EC7" w:rsidRDefault="00735B4B" w:rsidP="00735B4B">
      <w:pPr>
        <w:pStyle w:val="Heading4"/>
        <w:spacing w:line="276" w:lineRule="auto"/>
        <w:rPr>
          <w:rFonts w:ascii="Times New Roman" w:hAnsi="Times New Roman" w:cs="Times New Roman"/>
        </w:rPr>
      </w:pPr>
      <w:r w:rsidRPr="006A1EC7">
        <w:rPr>
          <w:rFonts w:ascii="Times New Roman" w:hAnsi="Times New Roman" w:cs="Times New Roman"/>
        </w:rPr>
        <w:t>Rayyan</w:t>
      </w:r>
    </w:p>
    <w:p w14:paraId="2A3B7717" w14:textId="77777777" w:rsidR="00735B4B" w:rsidRPr="006A1EC7" w:rsidRDefault="00735B4B" w:rsidP="00735B4B">
      <w:pPr>
        <w:spacing w:line="360" w:lineRule="auto"/>
        <w:ind w:firstLine="720"/>
        <w:rPr>
          <w:color w:val="000000" w:themeColor="text1"/>
        </w:rPr>
      </w:pPr>
      <w:r w:rsidRPr="006A1EC7">
        <w:rPr>
          <w:color w:val="000000" w:themeColor="text1"/>
        </w:rPr>
        <w:t xml:space="preserve">As above, search results for each database were imported into the web and mobile app Rayyan via CSV files, and stored online </w:t>
      </w:r>
      <w:r w:rsidRPr="006A1EC7">
        <w:rPr>
          <w:color w:val="000000" w:themeColor="text1"/>
        </w:rPr>
        <w:fldChar w:fldCharType="begin" w:fldLock="1"/>
      </w:r>
      <w:r w:rsidRPr="006A1EC7">
        <w:rPr>
          <w:color w:val="000000" w:themeColor="text1"/>
        </w:rPr>
        <w:instrText>ADDIN CSL_CITATION {"citationItems":[{"id":"ITEM-1","itemData":{"DOI":"10.1186/s13643-016-0384-4","ISSN":"20464053","abstract":"Synthesis of multiple randomized controlled trials (RCTs) in a systematic review can summarize the effects of individual outcomes and provide numerical answers about the effectiveness of interventions. Filtering of searches is time consuming, and no single method fulfills the principal requirements of speed with accuracy. Automation of systematic reviews is driven by a necessity to expedite the availability of current best evidence for policy and clinical decision-making. We developed Rayyan (\\n http://rayyan.qcri.org\\n \\n ), a free web and mobile app, that helps expedite the initial screening of abstracts and titles using a process of semi-automation while incorporating a high level of usability. For the beta testing phase, we used two published Cochrane reviews in which included studies had been selected manually. Their searches, with 1030 records and 273 records, were uploaded to Rayyan. Different features of Rayyan were tested using these two reviews. We also conducted a survey of Rayyan’s users and collected feedback through a built-in feature. Pilot testing of Rayyan focused on usability, accuracy against manual methods, and the added value of the prediction feature. The “taster” review (273 records) allowed a quick overview of Rayyan for early comments on usability. The second review (1030 records) required several iterations to identify the previously identified 11 trials. The “suggestions” and “hints,” based on the “prediction model,” appeared as testing progressed beyond five included studies. Post rollout user experiences and a reflexive response by the developers enabled real-time modifications and improvements. The survey respondents reported 40% average time savings when using Rayyan compared to others tools, with 34% of the respondents reporting more than 50% time savings. In addition, around 75% of the respondents mentioned that screening and labeling studies as well as collaborating on reviews to be the two most important features of Rayyan. As of November 2016, Rayyan users exceed 2000 from over 60 countries conducting hundreds of reviews totaling more than 1.6M citations. Feedback from users, obtained mostly through the app web site and a recent survey, has highlighted the ease in exploration of searches, the time saved, and simplicity in sharing and comparing include-exclude decisions. The strongest features of the app, identified and reported in user feedback, were its ability to help in screening and collaboration as well as the ti…","author":[{"dropping-particle":"","family":"Ouzzani","given":"Mourad","non-dropping-particle":"","parse-names":false,"suffix":""},{"dropping-particle":"","family":"Hammady","given":"Hossam","non-dropping-particle":"","parse-names":false,"suffix":""},{"dropping-particle":"","family":"Fedorowicz","given":"Zbys","non-dropping-particle":"","parse-names":false,"suffix":""},{"dropping-particle":"","family":"Elmagarmid","given":"Ahmed","non-dropping-particle":"","parse-names":false,"suffix":""}],"container-title":"Systematic Reviews","id":"ITEM-1","issued":{"date-parts":[["2016"]]},"title":"Rayyan-a web and mobile app for systematic reviews","type":"article-journal"},"uris":["http://www.mendeley.com/documents/?uuid=7c4298bf-129f-4274-9448-db107cb5870f"]}],"mendeley":{"formattedCitation":"(Ouzzani et al., 2016)","plainTextFormattedCitation":"(Ouzzani et al., 2016)","previouslyFormattedCitation":"(Ouzzani et al., 2016)"},"properties":{"noteIndex":0},"schema":"https://github.com/citation-style-language/schema/raw/master/csl-citation.json"}</w:instrText>
      </w:r>
      <w:r w:rsidRPr="006A1EC7">
        <w:rPr>
          <w:color w:val="000000" w:themeColor="text1"/>
        </w:rPr>
        <w:fldChar w:fldCharType="separate"/>
      </w:r>
      <w:r w:rsidRPr="006A1EC7">
        <w:rPr>
          <w:noProof/>
          <w:color w:val="000000" w:themeColor="text1"/>
        </w:rPr>
        <w:t>(Ouzzani et al., 2016)</w:t>
      </w:r>
      <w:r w:rsidRPr="006A1EC7">
        <w:rPr>
          <w:color w:val="000000" w:themeColor="text1"/>
        </w:rPr>
        <w:fldChar w:fldCharType="end"/>
      </w:r>
      <w:r w:rsidRPr="006A1EC7">
        <w:rPr>
          <w:color w:val="000000" w:themeColor="text1"/>
        </w:rPr>
        <w:t xml:space="preserve">. Duplicates were screened for using this application. </w:t>
      </w:r>
    </w:p>
    <w:p w14:paraId="465485FF" w14:textId="77777777" w:rsidR="00735B4B" w:rsidRPr="006A1EC7" w:rsidRDefault="00735B4B" w:rsidP="00735B4B">
      <w:pPr>
        <w:spacing w:line="360" w:lineRule="auto"/>
        <w:rPr>
          <w:color w:val="000000" w:themeColor="text1"/>
        </w:rPr>
      </w:pPr>
    </w:p>
    <w:p w14:paraId="33A56868" w14:textId="77777777" w:rsidR="00735B4B" w:rsidRPr="006A1EC7" w:rsidRDefault="00735B4B" w:rsidP="00735B4B">
      <w:pPr>
        <w:pStyle w:val="Heading4"/>
        <w:spacing w:line="276" w:lineRule="auto"/>
        <w:rPr>
          <w:rFonts w:ascii="Times New Roman" w:hAnsi="Times New Roman" w:cs="Times New Roman"/>
        </w:rPr>
      </w:pPr>
      <w:r w:rsidRPr="006A1EC7">
        <w:rPr>
          <w:rFonts w:ascii="Times New Roman" w:hAnsi="Times New Roman" w:cs="Times New Roman"/>
        </w:rPr>
        <w:t>Inclusion criteria</w:t>
      </w:r>
    </w:p>
    <w:p w14:paraId="6BA33AFD" w14:textId="1B06F4E3" w:rsidR="00735B4B" w:rsidRPr="006A1EC7" w:rsidRDefault="00735B4B" w:rsidP="00735B4B">
      <w:pPr>
        <w:spacing w:line="360" w:lineRule="auto"/>
        <w:ind w:firstLine="720"/>
      </w:pPr>
      <w:r w:rsidRPr="006A1EC7">
        <w:rPr>
          <w:color w:val="000000" w:themeColor="text1"/>
        </w:rPr>
        <w:t xml:space="preserve">The inclusion criteria for studies was set as particularly broad with the intention to be able to allow inclusion of a variety of papers in the review (Table 6). The study design was not set as an inclusion criterion </w:t>
      </w:r>
      <w:r w:rsidRPr="006A1EC7">
        <w:t xml:space="preserve">as both qualitative and quantitative approaches have been used to study the psychosocial impact of rare genetic conditions on families. These methods have previously included personal narratives </w:t>
      </w:r>
      <w:r w:rsidRPr="006A1EC7">
        <w:fldChar w:fldCharType="begin" w:fldLock="1"/>
      </w:r>
      <w:r w:rsidRPr="006A1EC7">
        <w:instrText>ADDIN CSL_CITATION {"citationItems":[{"id":"ITEM-1","itemData":{"DOI":"10.2190/IL6.2.b","ISBN":"1552-6968(Electronic);1054-1373(Print)","ISSN":"1054-1373","abstract":"This article includes a personal narrative about the first author's experience surrounding the diagnosis of her youngest child with cystic fibrosis, a fatal genetic disease. Sociological research on chronic illness is analyzed in the light of lived experience. Through personal sharing, the reader is invited to develop a greater depth of understanding of the coping experience of a mother and her family who are caring for a child with a life-threatening chronic illness. (PsycINFO Database Record (c) 2017 APA, all rights reserved)","author":[{"dropping-particle":"","family":"Funk","given":"Maureen","non-dropping-particle":"","parse-names":false,"suffix":""},{"dropping-particle":"","family":"Seem","given":"John","non-dropping-particle":"","parse-names":false,"suffix":""}],"container-title":"Illness, Crisis, &amp; Loss","id":"ITEM-1","issue":"2","issued":{"date-parts":[["1998"]]},"page":"127-141","title":"A mother's perspective on chronic childhood illness: Parenting a child with cystic fibrosis","type":"article-journal","volume":"6"},"uris":["http://www.mendeley.com/documents/?uuid=168deb55-77e0-4b70-8611-eadfed413dba"]}],"mendeley":{"formattedCitation":"(Funk &amp; Seem, 1998)","plainTextFormattedCitation":"(Funk &amp; Seem, 1998)","previouslyFormattedCitation":"(Funk &amp; Seem, 1998)"},"properties":{"noteIndex":0},"schema":"https://github.com/citation-style-language/schema/raw/master/csl-citation.json"}</w:instrText>
      </w:r>
      <w:r w:rsidRPr="006A1EC7">
        <w:fldChar w:fldCharType="separate"/>
      </w:r>
      <w:r w:rsidRPr="006A1EC7">
        <w:rPr>
          <w:noProof/>
        </w:rPr>
        <w:t>(Funk &amp; Seem, 1998)</w:t>
      </w:r>
      <w:r w:rsidRPr="006A1EC7">
        <w:fldChar w:fldCharType="end"/>
      </w:r>
      <w:r w:rsidRPr="006A1EC7">
        <w:t xml:space="preserve">, ethnographic studies </w:t>
      </w:r>
      <w:r w:rsidRPr="006A1EC7">
        <w:fldChar w:fldCharType="begin" w:fldLock="1"/>
      </w:r>
      <w:r w:rsidRPr="006A1EC7">
        <w:instrText>ADDIN CSL_CITATION {"citationItems":[{"id":"ITEM-1","itemData":{"author":[{"dropping-particle":"","family":"Blake","given":"Deborah D","non-dropping-particle":"","parse-names":false,"suffix":""}],"container-title":"Illness, Crisis, &amp; Loss","id":"ITEM-1","issue":"4","issued":{"date-parts":[["2001"]]},"page":"323-335","title":"“ We Wanted to Include Him ”: Personhood in One Hispanic Family ’ s Experience of the Genetic Illness and Loss of Their Son","type":"article-journal","volume":"9"},"uris":["http://www.mendeley.com/documents/?uuid=6a004906-bc7c-4c0c-bbde-15e68da14c4f"]}],"mendeley":{"formattedCitation":"(Blake, 2001)","plainTextFormattedCitation":"(Blake, 2001)","previouslyFormattedCitation":"(Blake, 2001)"},"properties":{"noteIndex":0},"schema":"https://github.com/citation-style-language/schema/raw/master/csl-citation.json"}</w:instrText>
      </w:r>
      <w:r w:rsidRPr="006A1EC7">
        <w:fldChar w:fldCharType="separate"/>
      </w:r>
      <w:r w:rsidRPr="006A1EC7">
        <w:rPr>
          <w:noProof/>
        </w:rPr>
        <w:t>(Blake, 2001)</w:t>
      </w:r>
      <w:r w:rsidRPr="006A1EC7">
        <w:fldChar w:fldCharType="end"/>
      </w:r>
      <w:r w:rsidRPr="006A1EC7">
        <w:t xml:space="preserve">, semi-structured </w:t>
      </w:r>
      <w:r w:rsidRPr="006A1EC7">
        <w:fldChar w:fldCharType="begin" w:fldLock="1"/>
      </w:r>
      <w:r w:rsidRPr="006A1EC7">
        <w:instrText>ADDIN CSL_CITATION {"citationItems":[{"id":"ITEM-1","itemData":{"DOI":"10.1007/s12687-015-0247-z","ISBN":"1868-310X","ISSN":"18686001","PMID":"26201467","abstract":"Neurofibromatosis type 1 (NF1) is a variable and unpredictable genetic condition that can lead to changes to an individual's appearance. Research has started to explore children's and young people's experiences of living with the condition; however, there is a lack of research with parents. This exploratory qualitative study set out to examine parents' experiences of caring for a young person with NF1. Seven parents took part in semi structured interviews which were subjected to a thematic analysis. Three key themes were identified which related to managing the uncertainty of the condition, the impact of an altered appearance, and others' awareness and understanding of NF1. Parents felt that understanding NF1 themselves in order to support their child was beneficial whilst a perceived lack of understanding by others was cited as a significant challenge. Parents require trustworthy information and also more widely call for greater understanding and awareness of the condition.","author":[{"dropping-particle":"","family":"Barke","given":"Jenny","non-dropping-particle":"","parse-names":false,"suffix":""},{"dropping-particle":"","family":"Coad","given":"Jane","non-dropping-particle":"","parse-names":false,"suffix":""},{"dropping-particle":"","family":"Harcourt","given":"Diana","non-dropping-particle":"","parse-names":false,"suffix":""}],"container-title":"Journal of Community Genetics","id":"ITEM-1","issue":"1","issued":{"date-parts":[["2016"]]},"page":"33-39","title":"Parents' experiences of caring for a young person with neurofibromatosis type 1 (NF1): a qualitative study","type":"article-journal","volume":"7"},"uris":["http://www.mendeley.com/documents/?uuid=e6c04315-a462-4dbb-8171-3663577dc860"]},{"id":"ITEM-2","itemData":{"DOI":"10.1007/s10897-010-9339-4","ISBN":"1059-7700","ISSN":"10597700","PMID":"21203808","abstract":"The experiences of mothers of adult offspring with Angelman, Cornelia de Lange, or Cri du Chat syndrome have not been previously explored in research. The current study focuses on experiences with social and medical services and the impact the rareness of an adult offspring's syndrome has on the experiences of mothers. Eight mothers of adults with Angelman, Cornelia de Lange, or Cri du Chat syndrome were interviewed. Thematic Content Analysis was used to interpret the interviews. Four themes emerged from the analysis: (i) The rarity of their offspring's syndrome, (ii) Uneven medical and social care service provision, (iii) The inertia of social care services, and (iv) Mothers as advocates. Mothers felt that the rareness of their offspring's syndrome did not affect experiences with social care services, but did affect access to medical services and some aspects of day-to-day living. Accessing appropriate social care services was reported to be a lengthy and complex process. These data may help inform care service providers about how best to support adults with rare genetic syndromes and their families.","author":[{"dropping-particle":"","family":"Griffith","given":"Gemma Maria","non-dropping-particle":"","parse-names":false,"suffix":""},{"dropping-particle":"","family":"Hastings","given":"Richard P.","non-dropping-particle":"","parse-names":false,"suffix":""},{"dropping-particle":"","family":"Nash","given":"Susie","non-dropping-particle":"","parse-names":false,"suffix":""},{"dropping-particle":"","family":"Petalas","given":"Michael","non-dropping-particle":"","parse-names":false,"suffix":""},{"dropping-particle":"","family":"Oliver","given":"Chris","non-dropping-particle":"","parse-names":false,"suffix":""},{"dropping-particle":"","family":"Howlin","given":"Patricia","non-dropping-particle":"","parse-names":false,"suffix":""},{"dropping-particle":"","family":"Moss","given":"Joanna","non-dropping-particle":"","parse-names":false,"suffix":""},{"dropping-particle":"","family":"Petty","given":"Jane","non-dropping-particle":"","parse-names":false,"suffix":""},{"dropping-particle":"","family":"Tunnicliffe","given":"Penelope","non-dropping-particle":"","parse-names":false,"suffix":""}],"container-title":"Journal of Genetic Counseling","id":"ITEM-2","issue":"2","issued":{"date-parts":[["2011"]]},"page":"165-177","title":"\"You have to sit and explain it all, and explain yourself.\" mothers' experiences of support services for their offspring with a rare genetic intellectual disability syndrome","type":"article-journal","volume":"20"},"uris":["http://www.mendeley.com/documents/?uuid=0fe88b08-e83c-46d9-b7b8-48a3c2d62738"]}],"mendeley":{"formattedCitation":"(Barke, Coad, &amp; Harcourt, 2016; Gemma Maria Griffith et al., 2011)","plainTextFormattedCitation":"(Barke, Coad, &amp; Harcourt, 2016; Gemma Maria Griffith et al., 2011)","previouslyFormattedCitation":"(Barke, Coad, &amp; Harcourt, 2016; Gemma Maria Griffith et al., 2011)"},"properties":{"noteIndex":0},"schema":"https://github.com/citation-style-language/schema/raw/master/csl-citation.json"}</w:instrText>
      </w:r>
      <w:r w:rsidRPr="006A1EC7">
        <w:fldChar w:fldCharType="separate"/>
      </w:r>
      <w:r w:rsidRPr="006A1EC7">
        <w:rPr>
          <w:noProof/>
        </w:rPr>
        <w:t>(Barke, Coad, &amp; Harcourt, 2016; Gemma Maria Griffith et al., 2011)</w:t>
      </w:r>
      <w:r w:rsidRPr="006A1EC7">
        <w:fldChar w:fldCharType="end"/>
      </w:r>
      <w:r w:rsidRPr="006A1EC7">
        <w:t xml:space="preserve"> or in-depth interviews </w:t>
      </w:r>
      <w:r w:rsidRPr="006A1EC7">
        <w:fldChar w:fldCharType="begin" w:fldLock="1"/>
      </w:r>
      <w:r w:rsidRPr="006A1EC7">
        <w:instrText>ADDIN CSL_CITATION {"citationItems":[{"id":"ITEM-1","itemData":{"DOI":"10.1016/j.socscimed.2014.02.025","ISSN":"18735347","PMID":"24602967","abstract":"The expressivist objection to prenatal testing is acknowledged as a significant critique of prenatal testing practices most commonly advanced by disability rights supporters. Such writers argue that prenatal testing and selective termination practices are objectionable as they express disvalue not only of the foetus being tested, but also of disabled people as a whole, by focusing exclusively on the disabling trait. While the objection has been widely critiqued on the basis of its theoretical incoherence, this paper highlights the way in which it, nevertheless, is a significant mediator in decisions around the use of reproductive genetic technologies. By drawing on 41 in-depth qualitative interviews (drawn from a sample of 61) conducted in the UK between 2007 and 2009 with families and individuals living with a genetic disease, Spinal Muscular Atrophy (SMA), this paper highlights the ways in which expressivist objections feature prominently in the reproductive decisions of families living with SMA and the significant emotional burden they represent. While the literature on the expressivist objection has focused on the reproductive decisions of those undergoing prenatal testing for a condition of which they have little (or no) prior knowledge, the context of intimate familial relationships and extensive experience with the tested-for condition fundamentally alters the nature and impact of expressivist objections within families living with an inheritable condition. By focussing on the reproductive decisions of families living with SMA and their strategic management of the expressivist objection, this paper will address the call, made primarily by disability rights supporters, for 'experientially based' (as opposed to medical) information about the tested-for disability to be made available to would-be parents considering selective termination. It will be argued that parents' experiential knowledge of the tested-for disability can, in fact, amplify expressivist objections to prenatal testing, and thus paradoxically constrain, rather than facilitate, reproductive decisions. © 2014 The Author.","author":[{"dropping-particle":"","family":"Boardman","given":"Felicity Kate","non-dropping-particle":"","parse-names":false,"suffix":""}],"container-title":"Social Science and Medicine","id":"ITEM-1","issued":{"date-parts":[["2014"]]},"page":"18-25","publisher":"Elsevier Ltd","title":"The expressivist objection to prenatal testing: The experiences of families living with genetic disease","type":"article-journal","volume":"107"},"uris":["http://www.mendeley.com/documents/?uuid=8fda08d1-f9d5-4b37-92ad-187281c84841"]}],"mendeley":{"formattedCitation":"(Boardman, 2014)","plainTextFormattedCitation":"(Boardman, 2014)","previouslyFormattedCitation":"(Boardman, 2014)"},"properties":{"noteIndex":0},"schema":"https://github.com/citation-style-language/schema/raw/master/csl-citation.json"}</w:instrText>
      </w:r>
      <w:r w:rsidRPr="006A1EC7">
        <w:fldChar w:fldCharType="separate"/>
      </w:r>
      <w:r w:rsidRPr="006A1EC7">
        <w:rPr>
          <w:noProof/>
        </w:rPr>
        <w:t>(Boardman, 2014)</w:t>
      </w:r>
      <w:r w:rsidRPr="006A1EC7">
        <w:fldChar w:fldCharType="end"/>
      </w:r>
      <w:r w:rsidRPr="006A1EC7">
        <w:t xml:space="preserve">, quantitative questionnaires or surveys </w:t>
      </w:r>
      <w:r w:rsidRPr="006A1EC7">
        <w:fldChar w:fldCharType="begin" w:fldLock="1"/>
      </w:r>
      <w:r w:rsidRPr="006A1EC7">
        <w:instrText>ADDIN CSL_CITATION {"citationItems":[{"id":"ITEM-1","itemData":{"author":[{"dropping-particle":"","family":"Green","given":"J M","non-dropping-particle":"","parse-names":false,"suffix":""},{"dropping-particle":"","family":"Murton","given":"F E","non-dropping-particle":"","parse-names":false,"suffix":""}],"container-title":"Blackwell Science Ltd","id":"ITEM-1","issue":"2","issued":{"date-parts":[["1996"]]},"page":"113 - 128","title":"Diagnosis of Duchenne musuclar dystrophy: parents' experiences and satisfaction","type":"article-journal","volume":"22"},"uris":["http://www.mendeley.com/documents/?uuid=08fb487a-cade-4225-8444-41bbabf03716"]},{"id":"ITEM-2","itemData":{"DOI":"10.1007/s10897-011-9361-1","ISBN":"1552-4825","ISSN":"10597700","PMID":"26684080","abstract":"Background Despite the distinctive physical, cognitive, personality and behavioural characteristics associated with Williams syndrome, few studies to date have examined parental experiences of raising a child with this genetic syndrome. Methods This explorative pilot study employed predominantly qualitative methodologies via face-to-face semi-structured interviews with parents. Results Participants’ responses indicated a variety of daily challenges faced by parents of a person with Williams syndrome. Parents also noted challenges unique to this aetiological group that were derived from the oversensitive and highly empathetic nature of the person with Williams syndrome. Parental perceptions relating to the positive impact that a person with Williams syndrome can have on the family were also reported. Discussion While some of the findings regarding the daily challenges faced by families with a person with WS appear to be similar to the experiences of families who have children with other genetic syndromes and developmental disabilities, the findings indicate that certain daily challenges may also be unique to parents of this aetiological group. In addition, the present study makes a valuable contribution to the research literature focusing on the positive aspects of raising a child with a disability. Future theoretical and practical applications of the present study are also suggested.","author":[{"dropping-particle":"","family":"Hercher","given":"Laura","non-dropping-particle":"","parse-names":false,"suffix":""},{"dropping-particle":"","family":"Bruenner","given":"Georgette","non-dropping-particle":"","parse-names":false,"suffix":""}],"container-title":"Journal of Genetic Counseling","id":"ITEM-2","issue":"1","issued":{"date-parts":[["2013"]]},"page":"1574-1581","publisher":"Elsevier Inc","title":"Parents' experiences of living with, and caring for children, adolescents and young adults with Mucopolysaccharidosis (MPS).","type":"article-journal","volume":"24"},"uris":["http://www.mendeley.com/documents/?uuid=3652ebe7-1a7f-4639-8320-5a711185aa19"]},{"id":"ITEM-3","itemData":{"DOI":"10.1037/1091-7527.25.2.161","ISBN":"1939-0602\\r1091-7527","ISSN":"1091-7527","abstract":"When caring for a child with a chronic illness, parents, physicians, and other medical personnel often focus their attention on treatment of the medical illness. The child’s and family’s coping and mental health are often secondary to medical management of the disorder. Cystinosis is a genetic metabolic disease that affects multiple organs, and specific aspects of cognition and behavior. The present study examined behavior and adjustment in a sample of families and children with a chronic illness, cystinosis. The Cystinosis Behavior Questionnaire was administered to 63 parents of children and adolescents with cystinosis (ages 2–17 years). The questionnaire was comprised of both open- and closed-ended questions that probed areas of child characteristics, family adjustment, school performance, and intervention for mental health issues. Parents reported many areas of strength and difficulty within their child and family. Interestingly, however, very few of the families had sought out intervention for behavioral and/or adjustment issues. In better defining behavioral and adjustment issues in cystinosis families, the current findings may prompt greater awareness in individuals caring for and/or working with a child with cystinosis.","author":[{"dropping-particle":"","family":"Spilkin","given":"Amy","non-dropping-particle":"","parse-names":false,"suffix":""},{"dropping-particle":"","family":"Ballantyne","given":"Angela","non-dropping-particle":"","parse-names":false,"suffix":""}],"container-title":"Families, Systems, &amp; Health","id":"ITEM-3","issue":"2","issued":{"date-parts":[["2007"]]},"page":"161-161","title":"\"Behavior in children with a chronic illness: A descriptive study of child characteristics, family, adjustment, and school issues in children with cystinosis\": Correction.","type":"article-journal","volume":"25"},"uris":["http://www.mendeley.com/documents/?uuid=e39ab35d-9850-450e-a8a9-e38ebf90473c"]}],"mendeley":{"formattedCitation":"(Green &amp; Murton, 1996; Hercher &amp; Bruenner, 2013; Spilkin &amp; Ballantyne, 2007)","plainTextFormattedCitation":"(Green &amp; Murton, 1996; Hercher &amp; Bruenner, 2013; Spilkin &amp; Ballantyne, 2007)","previouslyFormattedCitation":"(Green &amp; Murton, 1996; Hercher &amp; Bruenner, 2013; Spilkin &amp; Ballantyne, 2007)"},"properties":{"noteIndex":0},"schema":"https://github.com/citation-style-language/schema/raw/master/csl-citation.json"}</w:instrText>
      </w:r>
      <w:r w:rsidRPr="006A1EC7">
        <w:fldChar w:fldCharType="separate"/>
      </w:r>
      <w:r w:rsidRPr="006A1EC7">
        <w:rPr>
          <w:noProof/>
        </w:rPr>
        <w:t>(Green &amp; Murton, 1996; Hercher &amp; Bruenner, 2013; Spilkin &amp; Ballantyne, 2007)</w:t>
      </w:r>
      <w:r w:rsidRPr="006A1EC7">
        <w:fldChar w:fldCharType="end"/>
      </w:r>
      <w:r w:rsidRPr="006A1EC7">
        <w:t xml:space="preserve">. The only requirement for studies to be included was for them to investigate some aspect of the </w:t>
      </w:r>
      <w:r w:rsidRPr="006A1EC7">
        <w:rPr>
          <w:color w:val="000000" w:themeColor="text1"/>
        </w:rPr>
        <w:t xml:space="preserve">psychosocial impact of </w:t>
      </w:r>
      <w:r w:rsidR="009F0718" w:rsidRPr="006A1EC7">
        <w:rPr>
          <w:color w:val="000000" w:themeColor="text1"/>
        </w:rPr>
        <w:t>WHS</w:t>
      </w:r>
      <w:r w:rsidRPr="006A1EC7">
        <w:rPr>
          <w:color w:val="000000" w:themeColor="text1"/>
        </w:rPr>
        <w:t xml:space="preserve"> on either WHS patients themselves or their families. </w:t>
      </w:r>
      <w:r w:rsidRPr="006A1EC7">
        <w:lastRenderedPageBreak/>
        <w:t xml:space="preserve">Furthermore, </w:t>
      </w:r>
      <w:r w:rsidRPr="006A1EC7">
        <w:rPr>
          <w:color w:val="000000" w:themeColor="text1"/>
        </w:rPr>
        <w:t>the search was not limited in terms of publication date; however, searches were conducted in the English language.</w:t>
      </w:r>
    </w:p>
    <w:p w14:paraId="544B82C6" w14:textId="19277AE7" w:rsidR="00735B4B" w:rsidRPr="006A1EC7" w:rsidRDefault="00735B4B" w:rsidP="00735B4B"/>
    <w:p w14:paraId="09C2859F" w14:textId="42E95F42" w:rsidR="00735B4B" w:rsidRPr="006A1EC7" w:rsidRDefault="00735B4B" w:rsidP="00735B4B">
      <w:pPr>
        <w:pStyle w:val="Heading3"/>
        <w:rPr>
          <w:rFonts w:ascii="Times New Roman" w:hAnsi="Times New Roman" w:cs="Times New Roman"/>
        </w:rPr>
      </w:pPr>
      <w:bookmarkStart w:id="94" w:name="_Toc40173031"/>
      <w:r w:rsidRPr="006A1EC7">
        <w:rPr>
          <w:rFonts w:ascii="Times New Roman" w:hAnsi="Times New Roman" w:cs="Times New Roman"/>
        </w:rPr>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6</w:t>
      </w:r>
      <w:r w:rsidRPr="006A1EC7">
        <w:rPr>
          <w:rFonts w:ascii="Times New Roman" w:hAnsi="Times New Roman" w:cs="Times New Roman"/>
        </w:rPr>
        <w:fldChar w:fldCharType="end"/>
      </w:r>
      <w:r w:rsidRPr="006A1EC7">
        <w:rPr>
          <w:rFonts w:ascii="Times New Roman" w:hAnsi="Times New Roman" w:cs="Times New Roman"/>
        </w:rPr>
        <w:t>: Inclusion and Exclusion Criteria for Systematic Review 2</w:t>
      </w:r>
      <w:bookmarkEnd w:id="94"/>
    </w:p>
    <w:tbl>
      <w:tblPr>
        <w:tblStyle w:val="PlainTable4"/>
        <w:tblW w:w="0" w:type="auto"/>
        <w:tblLook w:val="04A0" w:firstRow="1" w:lastRow="0" w:firstColumn="1" w:lastColumn="0" w:noHBand="0" w:noVBand="1"/>
      </w:tblPr>
      <w:tblGrid>
        <w:gridCol w:w="3003"/>
        <w:gridCol w:w="3003"/>
        <w:gridCol w:w="3004"/>
      </w:tblGrid>
      <w:tr w:rsidR="00735B4B" w:rsidRPr="006A1EC7" w14:paraId="702351D0" w14:textId="77777777" w:rsidTr="00D13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3BD2CEB9" w14:textId="77777777" w:rsidR="00735B4B" w:rsidRPr="006A1EC7" w:rsidRDefault="00735B4B" w:rsidP="00D13545">
            <w:pPr>
              <w:spacing w:line="276" w:lineRule="auto"/>
              <w:rPr>
                <w:sz w:val="18"/>
                <w:szCs w:val="18"/>
              </w:rPr>
            </w:pPr>
            <w:r w:rsidRPr="006A1EC7">
              <w:rPr>
                <w:sz w:val="18"/>
                <w:szCs w:val="18"/>
              </w:rPr>
              <w:t>Criteria</w:t>
            </w:r>
          </w:p>
        </w:tc>
        <w:tc>
          <w:tcPr>
            <w:tcW w:w="3003" w:type="dxa"/>
          </w:tcPr>
          <w:p w14:paraId="215170EA"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Inclusion criteria</w:t>
            </w:r>
          </w:p>
        </w:tc>
        <w:tc>
          <w:tcPr>
            <w:tcW w:w="3004" w:type="dxa"/>
          </w:tcPr>
          <w:p w14:paraId="4C659574" w14:textId="77777777" w:rsidR="00735B4B" w:rsidRPr="006A1EC7" w:rsidRDefault="00735B4B" w:rsidP="00D13545">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Exclusion criteria</w:t>
            </w:r>
          </w:p>
        </w:tc>
      </w:tr>
      <w:tr w:rsidR="00735B4B" w:rsidRPr="006A1EC7" w14:paraId="1F254487"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16068E21" w14:textId="77777777" w:rsidR="00735B4B" w:rsidRPr="006A1EC7" w:rsidRDefault="00735B4B" w:rsidP="00D13545">
            <w:pPr>
              <w:spacing w:line="276" w:lineRule="auto"/>
              <w:rPr>
                <w:sz w:val="18"/>
                <w:szCs w:val="18"/>
              </w:rPr>
            </w:pPr>
            <w:r w:rsidRPr="006A1EC7">
              <w:rPr>
                <w:sz w:val="18"/>
                <w:szCs w:val="18"/>
              </w:rPr>
              <w:t>Publication date</w:t>
            </w:r>
          </w:p>
        </w:tc>
        <w:tc>
          <w:tcPr>
            <w:tcW w:w="3003" w:type="dxa"/>
          </w:tcPr>
          <w:p w14:paraId="14873B51"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No restrictions</w:t>
            </w:r>
          </w:p>
        </w:tc>
        <w:tc>
          <w:tcPr>
            <w:tcW w:w="3004" w:type="dxa"/>
          </w:tcPr>
          <w:p w14:paraId="22FB562A"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735B4B" w:rsidRPr="006A1EC7" w14:paraId="5004E66E" w14:textId="77777777" w:rsidTr="00D13545">
        <w:tc>
          <w:tcPr>
            <w:cnfStyle w:val="001000000000" w:firstRow="0" w:lastRow="0" w:firstColumn="1" w:lastColumn="0" w:oddVBand="0" w:evenVBand="0" w:oddHBand="0" w:evenHBand="0" w:firstRowFirstColumn="0" w:firstRowLastColumn="0" w:lastRowFirstColumn="0" w:lastRowLastColumn="0"/>
            <w:tcW w:w="3003" w:type="dxa"/>
          </w:tcPr>
          <w:p w14:paraId="73C2BC84" w14:textId="77777777" w:rsidR="00735B4B" w:rsidRPr="006A1EC7" w:rsidRDefault="00735B4B" w:rsidP="00D13545">
            <w:pPr>
              <w:spacing w:line="276" w:lineRule="auto"/>
              <w:rPr>
                <w:sz w:val="18"/>
                <w:szCs w:val="18"/>
              </w:rPr>
            </w:pPr>
            <w:r w:rsidRPr="006A1EC7">
              <w:rPr>
                <w:sz w:val="18"/>
                <w:szCs w:val="18"/>
              </w:rPr>
              <w:t>Publication language</w:t>
            </w:r>
          </w:p>
        </w:tc>
        <w:tc>
          <w:tcPr>
            <w:tcW w:w="3003" w:type="dxa"/>
          </w:tcPr>
          <w:p w14:paraId="10C70D1E"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English-language only</w:t>
            </w:r>
          </w:p>
        </w:tc>
        <w:tc>
          <w:tcPr>
            <w:tcW w:w="3004" w:type="dxa"/>
          </w:tcPr>
          <w:p w14:paraId="3F4EE06F"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735B4B" w:rsidRPr="006A1EC7" w14:paraId="7F343489"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6708D736" w14:textId="77777777" w:rsidR="00735B4B" w:rsidRPr="006A1EC7" w:rsidRDefault="00735B4B" w:rsidP="00D13545">
            <w:pPr>
              <w:spacing w:line="276" w:lineRule="auto"/>
              <w:rPr>
                <w:sz w:val="18"/>
                <w:szCs w:val="18"/>
              </w:rPr>
            </w:pPr>
            <w:r w:rsidRPr="006A1EC7">
              <w:rPr>
                <w:sz w:val="18"/>
                <w:szCs w:val="18"/>
              </w:rPr>
              <w:t>Publication type</w:t>
            </w:r>
          </w:p>
        </w:tc>
        <w:tc>
          <w:tcPr>
            <w:tcW w:w="3003" w:type="dxa"/>
          </w:tcPr>
          <w:p w14:paraId="593516DF"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Full-text, original research only</w:t>
            </w:r>
          </w:p>
        </w:tc>
        <w:tc>
          <w:tcPr>
            <w:tcW w:w="3004" w:type="dxa"/>
          </w:tcPr>
          <w:p w14:paraId="64BB4433"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Systematic reviews, letters to the editor, (conference) abstracts</w:t>
            </w:r>
          </w:p>
        </w:tc>
      </w:tr>
      <w:tr w:rsidR="00735B4B" w:rsidRPr="006A1EC7" w14:paraId="73740F07" w14:textId="77777777" w:rsidTr="00D13545">
        <w:tc>
          <w:tcPr>
            <w:cnfStyle w:val="001000000000" w:firstRow="0" w:lastRow="0" w:firstColumn="1" w:lastColumn="0" w:oddVBand="0" w:evenVBand="0" w:oddHBand="0" w:evenHBand="0" w:firstRowFirstColumn="0" w:firstRowLastColumn="0" w:lastRowFirstColumn="0" w:lastRowLastColumn="0"/>
            <w:tcW w:w="3003" w:type="dxa"/>
          </w:tcPr>
          <w:p w14:paraId="10D06E13" w14:textId="77777777" w:rsidR="00735B4B" w:rsidRPr="006A1EC7" w:rsidRDefault="00735B4B" w:rsidP="00D13545">
            <w:pPr>
              <w:spacing w:line="276" w:lineRule="auto"/>
              <w:rPr>
                <w:sz w:val="18"/>
                <w:szCs w:val="18"/>
              </w:rPr>
            </w:pPr>
            <w:r w:rsidRPr="006A1EC7">
              <w:rPr>
                <w:sz w:val="18"/>
                <w:szCs w:val="18"/>
              </w:rPr>
              <w:t>Sample</w:t>
            </w:r>
          </w:p>
        </w:tc>
        <w:tc>
          <w:tcPr>
            <w:tcW w:w="3003" w:type="dxa"/>
          </w:tcPr>
          <w:p w14:paraId="271B7D96"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Patients or family caregivers of children and adults with WHS </w:t>
            </w:r>
          </w:p>
        </w:tc>
        <w:tc>
          <w:tcPr>
            <w:tcW w:w="3004" w:type="dxa"/>
          </w:tcPr>
          <w:p w14:paraId="64AD9D2F"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735B4B" w:rsidRPr="006A1EC7" w14:paraId="1AA689D6"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46718284" w14:textId="77777777" w:rsidR="00735B4B" w:rsidRPr="006A1EC7" w:rsidRDefault="00735B4B" w:rsidP="00D13545">
            <w:pPr>
              <w:spacing w:line="276" w:lineRule="auto"/>
              <w:rPr>
                <w:sz w:val="18"/>
                <w:szCs w:val="18"/>
              </w:rPr>
            </w:pPr>
            <w:r w:rsidRPr="006A1EC7">
              <w:rPr>
                <w:sz w:val="18"/>
                <w:szCs w:val="18"/>
              </w:rPr>
              <w:t>Variable of interest</w:t>
            </w:r>
          </w:p>
        </w:tc>
        <w:tc>
          <w:tcPr>
            <w:tcW w:w="3003" w:type="dxa"/>
          </w:tcPr>
          <w:p w14:paraId="0BA8EF47"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Psychosocial aspects of living with and caring for an individual with WHS</w:t>
            </w:r>
          </w:p>
        </w:tc>
        <w:tc>
          <w:tcPr>
            <w:tcW w:w="3004" w:type="dxa"/>
          </w:tcPr>
          <w:p w14:paraId="6AF02ACA" w14:textId="77777777" w:rsidR="00735B4B" w:rsidRPr="006A1EC7" w:rsidRDefault="00735B4B" w:rsidP="00D13545">
            <w:pPr>
              <w:spacing w:line="276" w:lineRule="auto"/>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sidRPr="006A1EC7">
              <w:rPr>
                <w:noProof/>
                <w:color w:val="000000" w:themeColor="text1"/>
                <w:sz w:val="18"/>
                <w:szCs w:val="18"/>
              </w:rPr>
              <w:t>If only clinical aspects, such as frequency of seizures, are reported on</w:t>
            </w:r>
          </w:p>
        </w:tc>
      </w:tr>
      <w:tr w:rsidR="00735B4B" w:rsidRPr="006A1EC7" w14:paraId="7ABBFE6E" w14:textId="77777777" w:rsidTr="00D13545">
        <w:tc>
          <w:tcPr>
            <w:cnfStyle w:val="001000000000" w:firstRow="0" w:lastRow="0" w:firstColumn="1" w:lastColumn="0" w:oddVBand="0" w:evenVBand="0" w:oddHBand="0" w:evenHBand="0" w:firstRowFirstColumn="0" w:firstRowLastColumn="0" w:lastRowFirstColumn="0" w:lastRowLastColumn="0"/>
            <w:tcW w:w="3003" w:type="dxa"/>
          </w:tcPr>
          <w:p w14:paraId="0202935D" w14:textId="77777777" w:rsidR="00735B4B" w:rsidRPr="006A1EC7" w:rsidRDefault="00735B4B" w:rsidP="00D13545">
            <w:pPr>
              <w:spacing w:line="276" w:lineRule="auto"/>
              <w:rPr>
                <w:sz w:val="18"/>
                <w:szCs w:val="18"/>
              </w:rPr>
            </w:pPr>
            <w:r w:rsidRPr="006A1EC7">
              <w:rPr>
                <w:sz w:val="18"/>
                <w:szCs w:val="18"/>
              </w:rPr>
              <w:t>Design</w:t>
            </w:r>
          </w:p>
        </w:tc>
        <w:tc>
          <w:tcPr>
            <w:tcW w:w="3003" w:type="dxa"/>
          </w:tcPr>
          <w:p w14:paraId="37DC083D"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Quantitative, Qualitative and Mixed-Methods </w:t>
            </w:r>
          </w:p>
        </w:tc>
        <w:tc>
          <w:tcPr>
            <w:tcW w:w="3004" w:type="dxa"/>
          </w:tcPr>
          <w:p w14:paraId="0F34E182" w14:textId="77777777" w:rsidR="00735B4B" w:rsidRPr="006A1EC7" w:rsidRDefault="00735B4B"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bl>
    <w:p w14:paraId="6FE4D5DF" w14:textId="77777777" w:rsidR="00735B4B" w:rsidRPr="006A1EC7" w:rsidRDefault="00735B4B" w:rsidP="00735B4B">
      <w:pPr>
        <w:spacing w:line="276" w:lineRule="auto"/>
      </w:pPr>
    </w:p>
    <w:p w14:paraId="12229560" w14:textId="2908A58A" w:rsidR="00735B4B" w:rsidRPr="006A1EC7" w:rsidRDefault="00735B4B" w:rsidP="0004067D">
      <w:pPr>
        <w:pStyle w:val="Heading4"/>
        <w:spacing w:line="276" w:lineRule="auto"/>
        <w:rPr>
          <w:rFonts w:ascii="Times New Roman" w:hAnsi="Times New Roman" w:cs="Times New Roman"/>
        </w:rPr>
      </w:pPr>
      <w:bookmarkStart w:id="95" w:name="_Toc525647932"/>
      <w:r w:rsidRPr="006A1EC7">
        <w:rPr>
          <w:rFonts w:ascii="Times New Roman" w:hAnsi="Times New Roman" w:cs="Times New Roman"/>
        </w:rPr>
        <w:t>Findings</w:t>
      </w:r>
      <w:bookmarkEnd w:id="95"/>
      <w:r w:rsidRPr="006A1EC7">
        <w:rPr>
          <w:rFonts w:ascii="Times New Roman" w:hAnsi="Times New Roman" w:cs="Times New Roman"/>
        </w:rPr>
        <w:t>: Records obtained &amp; screened</w:t>
      </w:r>
    </w:p>
    <w:p w14:paraId="53C92E22" w14:textId="69A2A8BA" w:rsidR="00735B4B" w:rsidRPr="006A1EC7" w:rsidRDefault="00735B4B" w:rsidP="00735B4B">
      <w:pPr>
        <w:spacing w:line="360" w:lineRule="auto"/>
        <w:ind w:firstLine="720"/>
        <w:rPr>
          <w:color w:val="000000" w:themeColor="text1"/>
        </w:rPr>
      </w:pPr>
      <w:r w:rsidRPr="006A1EC7">
        <w:rPr>
          <w:color w:val="000000" w:themeColor="text1"/>
        </w:rPr>
        <w:t>A total of 1603 results were obtained and, as above, imported into Rayyan. Nine hundred and eighty-nine were found to be duplicates, leaving 614 articles to be screened for inclusion. Upon screening of the titles, 600 results were excluded; due to the fact that the vast majority of results were aetiology and genetics-specific papers, and therefore deemed irrelevant to the purpose of this systematic review. The full-text versions of the remaining 14 results were assessed. None of the papers matched the inclusion criteria and all had to be excluded. Seven of the 14 papers were assessments of functioning, such as verbal skills, of patients with WHS (n = 7), three were clinical case studies (n = 3), two were clinical management papers (n = 2) and the full-text of another one was available in Spanish only (n = 1, email correspondence investigating whether there was an English translation that took place, unfortunately no translation was obtained). A further record was deemed irrelevant as it focused on collaboration between academics and patient groups (n= 1; Total n = 14). Prisma Diagram 2 (Appendix 3.4) illustrates the flow throughout the search.</w:t>
      </w:r>
    </w:p>
    <w:p w14:paraId="67FBB946" w14:textId="77777777" w:rsidR="00735B4B" w:rsidRPr="006A1EC7" w:rsidRDefault="00735B4B" w:rsidP="00735B4B">
      <w:pPr>
        <w:spacing w:line="276" w:lineRule="auto"/>
        <w:ind w:firstLine="720"/>
        <w:rPr>
          <w:color w:val="000000" w:themeColor="text1"/>
        </w:rPr>
      </w:pPr>
    </w:p>
    <w:p w14:paraId="3EFF93FD" w14:textId="77777777" w:rsidR="00735B4B" w:rsidRPr="006A1EC7" w:rsidRDefault="00735B4B" w:rsidP="00735B4B">
      <w:pPr>
        <w:pStyle w:val="Heading3"/>
        <w:spacing w:line="276" w:lineRule="auto"/>
        <w:rPr>
          <w:rFonts w:ascii="Times New Roman" w:hAnsi="Times New Roman" w:cs="Times New Roman"/>
        </w:rPr>
      </w:pPr>
      <w:bookmarkStart w:id="96" w:name="_Toc525647933"/>
      <w:bookmarkStart w:id="97" w:name="_Toc17977863"/>
      <w:r w:rsidRPr="006A1EC7">
        <w:rPr>
          <w:rFonts w:ascii="Times New Roman" w:hAnsi="Times New Roman" w:cs="Times New Roman"/>
        </w:rPr>
        <w:t>Discussion</w:t>
      </w:r>
      <w:bookmarkEnd w:id="96"/>
      <w:bookmarkEnd w:id="97"/>
      <w:r w:rsidRPr="006A1EC7">
        <w:rPr>
          <w:rFonts w:ascii="Times New Roman" w:hAnsi="Times New Roman" w:cs="Times New Roman"/>
        </w:rPr>
        <w:br/>
      </w:r>
    </w:p>
    <w:p w14:paraId="6DDD176A" w14:textId="542BB8D9" w:rsidR="00735B4B" w:rsidRPr="006A1EC7" w:rsidRDefault="00735B4B" w:rsidP="00735B4B">
      <w:pPr>
        <w:spacing w:line="360" w:lineRule="auto"/>
        <w:ind w:firstLine="720"/>
      </w:pPr>
      <w:r w:rsidRPr="006A1EC7">
        <w:t xml:space="preserve">Despite a rise in research interest into the psychosocial effects of rare genetic disorders on families and patients, no articles could be found that, at least to some extent, assess the psychosocial impact of being a patient with WHS or having a child or family member with </w:t>
      </w:r>
      <w:r w:rsidR="009F0718" w:rsidRPr="006A1EC7">
        <w:t>WHS</w:t>
      </w:r>
      <w:r w:rsidRPr="006A1EC7">
        <w:t xml:space="preserve">. This reflects a gap not only in the academic literature, but also identifies </w:t>
      </w:r>
      <w:r w:rsidRPr="006A1EC7">
        <w:lastRenderedPageBreak/>
        <w:t>a clear unmet need in the understanding and psychosocial support provided to those affected by this genetic disorder. Given the severity of the disorder, it can be suspected that such support will be much-needed.</w:t>
      </w:r>
    </w:p>
    <w:p w14:paraId="55D83AC9" w14:textId="77777777" w:rsidR="00735B4B" w:rsidRPr="006A1EC7" w:rsidRDefault="00735B4B" w:rsidP="00735B4B">
      <w:pPr>
        <w:spacing w:line="360" w:lineRule="auto"/>
        <w:ind w:firstLine="720"/>
      </w:pPr>
      <w:r w:rsidRPr="006A1EC7">
        <w:t xml:space="preserve">It could be suggested that it comes as no surprise that there are no papers investigating the psychosocial impact of the condition on WHS patients themselves, as due to a high prevalence of severe learning disability and inability to communicate </w:t>
      </w:r>
      <w:r w:rsidRPr="006A1EC7">
        <w:fldChar w:fldCharType="begin" w:fldLock="1"/>
      </w:r>
      <w:r w:rsidRPr="006A1EC7">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update","type":"article-journal","volume":"169"},"uris":["http://www.mendeley.com/documents/?uuid=24c81fdd-ba44-4a54-bde3-6fe1c64d9570"]},{"id":"ITEM-2","itemData":{"DOI":"10.1352/1944-7558-117.2.167","ISSN":"19447515","PMID":"22515830","abstract":"Few studies exist of developmental trajectories in children with intellectual disability, and none for those with subtelomeric deletions. We compared developmental trajectories of children with Wolf-Hirschhorn syndrome to other genetic disorders. We recruited 106 children diagnosed with fragile X, Williams-Beuren syndrome, or Wolf-Hirschhorn syndrome, assessing their intellectual and adaptive behavior abilities. We retested 61 children 2 years later. We compared Time 1 and Time 2 difference scores related to genetic disorder, age, initial IQ, or adaptive behavior composite. Results show genetic disorder and initial IQ score were significant factors for IQ differences, but only genetic disorder affected adaptive behavior differences. Results suggest different gene-brain-behavior pathways likely exist for these genetic disorders. Different developmental trajectories will influence the type and intensity of intervention implemented by caregivers.","author":[{"dropping-particle":"","family":"Fisch","given":"Gene S.","non-dropping-particle":"","parse-names":false,"suffix":""},{"dropping-particle":"","family":"Carpenter","given":"Nancy","non-dropping-particle":"","parse-names":false,"suffix":""},{"dropping-particle":"","family":"Howard-Peebles","given":"Patricia N.","non-dropping-particle":"","parse-names":false,"suffix":""},{"dropping-particle":"","family":"Holden","given":"Jeanette J A","non-dropping-particle":"","parse-names":false,"suffix":""},{"dropping-particle":"","family":"Tarleton","given":"Jack","non-dropping-particle":"","parse-names":false,"suffix":""},{"dropping-particle":"","family":"Simensen","given":"Richard","non-dropping-particle":"","parse-names":false,"suffix":""},{"dropping-particle":"","family":"Battaglia","given":"Agatino","non-dropping-particle":"","parse-names":false,"suffix":""}],"collection-title":"American Journal of Mental Deficiency, American Journal on Mental Retardation","container-title":"American Journal on Intellectual and Developmental Disabilities","editor":[{"dropping-particle":"","family":"Axelrad  Battaglia  Borghgraef, Carr, Dykens, Dykens, Fisch, Fisch, Fisch, Fisch, Fisch, Fisch, Fisch, Gosch, Gothelf, Hagerman, Hall, Hyman, Lachiewicz, Maas, McGill, Mervis, Mervis, Morris, Roberts, Rooms, Skinner, South, South, South, Udwin,, Baileyy","given":"Battaglia","non-dropping-particle":"","parse-names":false,"suffix":""}],"id":"ITEM-2","issue":"2","issued":{"date-parts":[["2012","3"]]},"page":"167-179","publisher":"American Association on Intellectual and Developmental Disabilities","publisher-place":"Fisch, Gene S.: New York University, Epidemiology and Health Promotion, 250 Park Avenue South, 6th Floor, New York, NY, US, 10003, gene.fisch@nyu.edu","title":"Developmental trajectories in syndromes with intellectual disability, with a focus on wolf-hirschhorn and its cognitive-behavioral profile","type":"article-journal","volume":"117"},"uris":["http://www.mendeley.com/documents/?uuid=150d6988-0592-4309-99bb-d5e735bf22eb"]},{"id":"ITEM-3","itemData":{"DOI":"10.1002/ajmg.c.30185","ISSN":"1552-4876","PMID":"18932225","abstract":"As a subset of genetic abnormalities, subtelomeric deletions have been found in 7-10% of individuals with mental retardation (MR). One subtelomeric deletion, Wolf-Hirschhorn syndrome (WHS), causes mild to severe MR, but the cognitive-behavioral features of individuals with WHS have not been studied systematically. To that end, we administered a comprehensive cognitive-behavioral battery to 12 children with WHS, ages 4-17 years, who also had some expressive language. Using the Stanford-Binet (4th Edition), we found cognitive deficits ranged from mild to severe, with mean IQ = 44.1. Interviewing parents with the Vineland Adaptive Behavior Scales, we found mean adaptive behavior score (DQ) = 37.3, with females exhibiting slightly higher scores than males. Cognitive profiles indicated relative strengths in Verbal and Quantitative Reasoning. Adaptive behavior profiles noted significant relative strengths in the Socialization Domain. These cognitive-behavioral profiles differed from children with other subtelomeric deletion syndromes, 2q37 or 8p23. Attention deficits and hyperactivity (ADHD) were observed in 7/12 (58%) of the children we tested. One child attained a score on the Child Autism Rating Scale (CARS) suggestive of mild autism. We conclude that different genetic disorders, which cause MR, produce diverse cognitive-behavioral profiles. Consequently, cognitive-behavioral profiles of children with MR need to be assessed more comprehensively.","author":[{"dropping-particle":"","family":"Fisch","given":"Gene S","non-dropping-particle":"","parse-names":false,"suffix":""},{"dropping-particle":"","family":"Battaglia","given":"Agatino","non-dropping-particle":"","parse-names":false,"suffix":""},{"dropping-particle":"","family":"Parrini","given":"Barbara","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genetics","id":"ITEM-3","issue":"4","issued":{"date-parts":[["2008","11","15"]]},"page":"252-6","title":"Cognitive-behavioral features of children with Wolf-Hirschhorn syndrome: preliminary report of 12 cases.","type":"article-journal","volume":"148C"},"uris":["http://www.mendeley.com/documents/?uuid=b0177e36-efa1-301e-ae10-dedd8fb3b2a4"]}],"mendeley":{"formattedCitation":"(Agatino Battaglia et al., 2015a; Gene S. Fisch et al., 2012; Gene S Fisch et al., 2008)","manualFormatting":"(Battaglia et al., 2015; Fisch et al., 2012; Fisch et al., 2008)","plainTextFormattedCitation":"(Agatino Battaglia et al., 2015a; Gene S. Fisch et al., 2012; Gene S Fisch et al., 2008)","previouslyFormattedCitation":"(Agatino Battaglia et al., 2015a; Gene S. Fisch et al., 2012; Gene S Fisch et al., 2008)"},"properties":{"noteIndex":0},"schema":"https://github.com/citation-style-language/schema/raw/master/csl-citation.json"}</w:instrText>
      </w:r>
      <w:r w:rsidRPr="006A1EC7">
        <w:fldChar w:fldCharType="separate"/>
      </w:r>
      <w:r w:rsidRPr="006A1EC7">
        <w:rPr>
          <w:noProof/>
        </w:rPr>
        <w:t>(Battaglia et al., 2015; Fisch et al., 2012; Fisch et al., 2008)</w:t>
      </w:r>
      <w:r w:rsidRPr="006A1EC7">
        <w:fldChar w:fldCharType="end"/>
      </w:r>
      <w:r w:rsidRPr="006A1EC7">
        <w:t xml:space="preserve">, such studies are potentially very challenging, if not impossible conduct. This may also explain why other rare genetic diseases, where the degree of learning disability is much more varied or not a symptom of the disorder itself, have been investigated in this way, including, long QT syndrome, 22q11 deletion or Huntington’s disease </w:t>
      </w:r>
      <w:r w:rsidRPr="006A1EC7">
        <w:fldChar w:fldCharType="begin" w:fldLock="1"/>
      </w:r>
      <w:r w:rsidRPr="006A1EC7">
        <w:instrText>ADDIN CSL_CITATION {"citationItems":[{"id":"ITEM-1","itemData":{"DOI":"10.1007/s10897-008-9167-y","ISBN":"1573-3599 (Electronic)\\r1059-7700 (Linking)","ISSN":"10597700","PMID":"18719982","abstract":"Long QT syndrome (LQTS) is a congenital disorder associated with increased risk of sudden cardiac death; LQTS patients and their families are offered diagnostic or predictive genetic testing. The purpose of this qualitative study was to investigate the psychosocial aspects of living with LQTS, to identify LQTS patients' daily life challenges and coping strategies, and to describe their experiences with healthcare services. In-depth interviews were conducted with seven individuals who had been tested for long QT genetic mutation. Four of these participants had an implantable cardiac defibrillator (ICD). The participants reported that early and gradually acquired knowledge of the syndrome was an advantage. They also reported experiencing worries and limitations in daily life, but their main concern was for their children or grandchildren. Healthcare providers' minimal knowledge of LQTS resulted in uncertainty, misinformation, and even wrong advice regarding treatment. The results suggest that regional centers, with the appropriate expertise, should investigate and counsel LQTS patients and their families.","author":[{"dropping-particle":"","family":"Andersen","given":"Janice","non-dropping-particle":"","parse-names":false,"suffix":""},{"dropping-particle":"","family":"Øyen","given":"Nina","non-dropping-particle":"","parse-names":false,"suffix":""},{"dropping-particle":"","family":"Bjorvatn","given":"Cathrine","non-dropping-particle":"","parse-names":false,"suffix":""},{"dropping-particle":"","family":"Gjengedal","given":"Eva","non-dropping-particle":"","parse-names":false,"suffix":""}],"container-title":"Journal of Genetic Counseling","id":"ITEM-1","issue":"5","issued":{"date-parts":[["2008"]]},"page":"489-498","title":"Living with long QT syndrome: A qualitative study of coping with increased risk of sudden cardiac death","type":"article-journal","volume":"17"},"uris":["http://www.mendeley.com/documents/?uuid=6e332903-e404-484f-9c10-93ca3906a14c"]},{"id":"ITEM-2","itemData":{"DOI":"10.1111/j.1365-2788.2011.01510.x","ISBN":"1365-2788 (Electronic)\\r0964-2633 (Linking)","ISSN":"09642633","PMID":"22142442","abstract":"BACKGROUND: Recent advances in genetics are particularly relevant in the field of intellectual disability (ID), where sub-microscopic deletions or duplications of genetic material are increasingly implicated as known or suspected causal factors. Data-driven reports on the impact of providing an aetiological explanation in ID are needed to help justify widespread use of new and expensive genetic technologies.\\n\\nMETHODS: We conducted a survey of caregivers on the value of a genetic/aetiologic diagnosis of 22q11.2 deletion syndrome (22q11.2DS), the most common microdeletion syndrome in ID. We also surveyed the opinion of a high-functioning subset of adults with 22q11.2DS themselves. We used standard quantitative and qualitative methods to analyse the responses.\\n\\nRESULTS: In total, 73 of 118 surveys were returned (61.9%). There was convergence of quantitative and qualitative results, and consistency between adult patient and caregiver responses. A definitive molecular diagnosis of 22q11.2DS was a critical event with diverse positive repercussions, even if occurring later in life. Frequently cited benefits included greater understanding and certainty, newfound sense of purpose and a platform for advocacy, and increased opportunities to optimise medical, social and educational needs.\\n\\nCONCLUSIONS: This is the first study to characterise the impact of a diagnosis of this representative microdeletion syndrome on adult patients and their families. The results both validate and expand on the theoretical benefits proposed by clinicians and researchers. The use of genome-wide microarray technologies will provide an increasing number of molecular diagnoses. The importance of a diagnosis of 22q11.2DS demonstrated here therefore has implications for changing attitudes about molecular genetic diagnosis that could benefit individuals with ID of currently unknown cause and their families.","author":[{"dropping-particle":"","family":"Costain","given":"G.","non-dropping-particle":"","parse-names":false,"suffix":""},{"dropping-particle":"","family":"Chow","given":"E. W C","non-dropping-particle":"","parse-names":false,"suffix":""},{"dropping-particle":"","family":"Ray","given":"P. N.","non-dropping-particle":"","parse-names":false,"suffix":""},{"dropping-particle":"","family":"Bassett","given":"A. S.","non-dropping-particle":"","parse-names":false,"suffix":""}],"container-title":"Journal of Intellectual Disability Research","id":"ITEM-2","issue":"6","issued":{"date-parts":[["2012"]]},"page":"641-651","title":"Caregiver and adult patient perspectives on the importance of a diagnosis of 22q11.2 deletion syndrome","type":"article-journal","volume":"56"},"uris":["http://www.mendeley.com/documents/?uuid=23fc4782-8c49-4ab0-8c2c-1bdfeaac8845"]},{"id":"ITEM-3","itemData":{"DOI":"10.1097/GIM.0b013e3182136d19","author":[{"dropping-particle":"","family":"Herlihy","given":"Amy S","non-dropping-particle":"","parse-names":false,"suffix":""},{"dropping-particle":"","family":"Mclachlan","given":"Robert I","non-dropping-particle":"","parse-names":false,"suffix":""},{"dropping-particle":"","family":"Gillam","given":"Lynn","non-dropping-particle":"","parse-names":false,"suffix":""},{"dropping-particle":"","family":"Cock","given":"Megan L","non-dropping-particle":"","parse-names":false,"suffix":""},{"dropping-particle":"","family":"Collins","given":"Veronica","non-dropping-particle":"","parse-names":false,"suffix":""},{"dropping-particle":"","family":"Halliday","given":"Jane L","non-dropping-particle":"","parse-names":false,"suffix":""}],"id":"ITEM-3","issue":"7","issued":{"date-parts":[["2011"]]},"title":"The psychosocial impact of Klinefelter syndrome and factors influencing quality of life","type":"article-journal","volume":"13"},"uris":["http://www.mendeley.com/documents/?uuid=49522408-8e4d-4a5e-a0d5-2beccdc94a6d"]},{"id":"ITEM-4","itemData":{"author":[{"dropping-particle":"","family":"Hollman","given":"Gunilla","non-dropping-particle":"","parse-names":false,"suffix":""},{"dropping-particle":"","family":"Olsson","given":"Anders G","non-dropping-particle":"","parse-names":false,"suffix":""}],"id":"ITEM-4","issue":"4","issued":{"date-parts":[["2004"]]},"page":"243-250","title":"The Meaning of Quality of Life Among Patients With Familial Hypercholesterolemia","type":"article-journal","volume":"19"},"uris":["http://www.mendeley.com/documents/?uuid=cb4ae309-94d9-4c6d-baf9-a93d7bec7ded"]},{"id":"ITEM-5","itemData":{"DOI":"10.1111/j.1399-0004.2006.00624.x","ISBN":"0009-9163","ISSN":"00099163","PMID":"16712700","abstract":"There has been a paucity of research into the psychosocial impact of juvenile Huntington's disease (JHD) on the child and the family. The study reported here is part of larger project that aimed to address this and investigate the social and health care needs of those affected by JHD. Ten semistructured interviews with the main caregiver(s) were carried out and were analyzed using the qualitative methodology interpretative phenomenological analysis. The main themes arising from the analysis are reported here: first becoming aware something is wrong; physical symptoms; speech and communication difficulties; behavioral problems; a slow but relentless process. These are discussed in relation to extant literature. We hope the article will be helpful to clinicians working with families where a child is affected by JHD and also contribute to the general literature on understanding symptoms in childhood illness.","author":[{"dropping-particle":"","family":"Smith","given":"Jonathan A.","non-dropping-particle":"","parse-names":false,"suffix":""},{"dropping-particle":"","family":"Brewer","given":"H. M.","non-dropping-particle":"","parse-names":false,"suffix":""},{"dropping-particle":"","family":"Eatough","given":"V.","non-dropping-particle":"","parse-names":false,"suffix":""},{"dropping-particle":"","family":"Stanley","given":"C. A.","non-dropping-particle":"","parse-names":false,"suffix":""},{"dropping-particle":"","family":"Glendinning","given":"N. W.","non-dropping-particle":"","parse-names":false,"suffix":""},{"dropping-particle":"","family":"Quarrell","given":"O. W J","non-dropping-particle":"","parse-names":false,"suffix":""}],"container-title":"Clinical Genetics","id":"ITEM-5","issue":"6","issued":{"date-parts":[["2006"]]},"page":"486-496","title":"The personal experience of juvenile Huntington's disease: An interpretative phenomenological analysis of parents' accounts of the primary features of a rare genetic condition","type":"article-journal","volume":"69"},"uris":["http://www.mendeley.com/documents/?uuid=d7b855e5-1d6f-4e0c-b183-ba5936e6df61"]}],"mendeley":{"formattedCitation":"(Andersen, Øyen, Bjorvatn, &amp; Gjengedal, 2008; Costain, Chow, Ray, &amp; Bassett, 2012; Herlihy et al., 2011; Hollman &amp; Olsson, 2004; Jonathan A. Smith et al., 2006)","plainTextFormattedCitation":"(Andersen, Øyen, Bjorvatn, &amp; Gjengedal, 2008; Costain, Chow, Ray, &amp; Bassett, 2012; Herlihy et al., 2011; Hollman &amp; Olsson, 2004; Jonathan A. Smith et al., 2006)","previouslyFormattedCitation":"(Andersen, Øyen, Bjorvatn, &amp; Gjengedal, 2008; Costain, Chow, Ray, &amp; Bassett, 2012; Herlihy et al., 2011; Hollman &amp; Olsson, 2004; Jonathan A. Smith et al., 2006)"},"properties":{"noteIndex":0},"schema":"https://github.com/citation-style-language/schema/raw/master/csl-citation.json"}</w:instrText>
      </w:r>
      <w:r w:rsidRPr="006A1EC7">
        <w:fldChar w:fldCharType="separate"/>
      </w:r>
      <w:r w:rsidRPr="006A1EC7">
        <w:rPr>
          <w:noProof/>
        </w:rPr>
        <w:t>(Andersen, Øyen, Bjorvatn, &amp; Gjengedal, 2008; Costain, Chow, Ray, &amp; Bassett, 2012; Herlihy et al., 2011; Hollman &amp; Olsson, 2004; Jonathan A. Smith et al., 2006)</w:t>
      </w:r>
      <w:r w:rsidRPr="006A1EC7">
        <w:fldChar w:fldCharType="end"/>
      </w:r>
      <w:r w:rsidRPr="006A1EC7">
        <w:t xml:space="preserve">. However, by proxy reports have been used to try and understand the quality of life of patients with other severe and debilitating conditions, and are unable to communicate this themselves. The lack of literature investigating the psychosocial impact of WHS on and from the parents/carers perspective, especially considering its complexity and severity in some cases </w:t>
      </w:r>
      <w:r w:rsidRPr="006A1EC7">
        <w:fldChar w:fldCharType="begin" w:fldLock="1"/>
      </w:r>
      <w:r w:rsidRPr="006A1EC7">
        <w:instrText>ADDIN CSL_CITATION {"citationItems":[{"id":"ITEM-1","itemData":{"DOI":"10.2478/bjmg-2014-0021","ISSN":"1311-0160","abstract":"Wolf-Hirschhorn syndrome (WHS) is a rare chromosomal disorder caused by terminal deletion of the short arm of chromosome 4. The clinical picture includes growth retardation, severe mental retardation, characteristic “Greek helmet” like face, seizures and midline defects in the brain, heart, palate and genitalia. Recently-used molecular techniques increase the number of diagnosed cases due to the detection of smaller deletions. The severity of the clinical presentation is variable depending on the haploinsufficiency of genes in a deleted region.","author":[{"dropping-particle":"","family":"Sukarova-Angelovska","given":"E","non-dropping-particle":"","parse-names":false,"suffix":""},{"dropping-particle":"","family":"Kocova","given":"M","non-dropping-particle":"","parse-names":false,"suffix":""},{"dropping-particle":"","family":"Sabolich","given":"V","non-dropping-particle":"","parse-names":false,"suffix":""},{"dropping-particle":"","family":"Palcevska","given":"S","non-dropping-particle":"","parse-names":false,"suffix":""},{"dropping-particle":"","family":"Angelkova","given":"N","non-dropping-particle":"","parse-names":false,"suffix":""}],"container-title":"Balkan Journal of Medical Genetics","id":"ITEM-1","issue":"1","issued":{"date-parts":[["2014"]]},"page":"23-30","title":"Phenotypic Variations in Wolfhirschhorn Syndrome","type":"article-journal","volume":"17"},"uris":["http://www.mendeley.com/documents/?uuid=316ec31e-fdd7-485a-a83e-ff103fe9e72f"]},{"id":"ITEM-2","itemData":{"DOI":"10.1007/s00246-012-0367-8","ISSN":"01720643","PMID":"22639003","abstract":"Wolf-Hirschhorn Syndrome (WHS) is a genetic syndrome that includes a typical facial appearance, mental retardation, growth delay, seizures, and congenital cardiac defects. A deletion of the terminal band of the short arm of chromosome 4, with a breakpoint at the 4p15 to 4p16 region, is the most common genetic mutation causing WHS. Congenital heart disease associated with WHS typically includes atrial and ventricular septal defects, though there are a few case reports of associated complex congenital heart disease. Here we report a case of an infant with a large 4p deletion, with a breakpoint at the 4p12 region, and hypoplasic left heart syndrome. We discuss a possible link between the size of the chromosomal deletion in WHS and the severity of the cardiac defect. © 2012 Springer Science+Business Media, LLC (outside the USA).","author":[{"dropping-particle":"","family":"Elten","given":"Kelley","non-dropping-particle":"von","parse-names":false,"suffix":""},{"dropping-particle":"","family":"Sawyer","given":"Taylor","non-dropping-particle":"","parse-names":false,"suffix":""},{"dropping-particle":"","family":"Lentz-Kapua","given":"Sarah","non-dropping-particle":"","parse-names":false,"suffix":""},{"dropping-particle":"","family":"Kanis","given":"Adam","non-dropping-particle":"","parse-names":false,"suffix":""},{"dropping-particle":"","family":"Studer","given":"Matthew","non-dropping-particle":"","parse-names":false,"suffix":""}],"container-title":"Pediatric Cardiology","id":"ITEM-2","issue":"5","issued":{"date-parts":[["2013","6"]]},"page":"1244-1246","title":"A case of Wolf-Hirschhorn syndrome and hypoplastic left heart syndrome.","type":"article-journal","volume":"34"},"uris":["http://www.mendeley.com/documents/?uuid=e87977eb-d5a1-4035-b607-585782ce35fd"]},{"id":"ITEM-3","itemData":{"DOI":"10.1002/ajmg.c.31449","ISBN":"0000000000000","ISSN":"15524876","PMID":"26239400","abstract":"Since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Genetics","id":"ITEM-3","issue":"3","issued":{"date-parts":[["2015","9"]]},"language":"English","note":"From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 Sukarova-Angelovska et al., 2014; von Elten et al., 2013)","manualFormatting":"(Battaglia et al., 2015; Sukarova-Angelovska et al., 2014; von Elten, Sawyer, Lentz-Kapua, Kanis, &amp; Studer, 2013)","plainTextFormattedCitation":"(Agatino Battaglia et al., 2015a; Sukarova-Angelovska et al., 2014; von Elten et al., 2013)","previouslyFormattedCitation":"(Agatino Battaglia et al., 2015a; Sukarova-Angelovska et al., 2014; von Elten et al., 2013)"},"properties":{"noteIndex":0},"schema":"https://github.com/citation-style-language/schema/raw/master/csl-citation.json"}</w:instrText>
      </w:r>
      <w:r w:rsidRPr="006A1EC7">
        <w:fldChar w:fldCharType="separate"/>
      </w:r>
      <w:r w:rsidRPr="006A1EC7">
        <w:rPr>
          <w:noProof/>
        </w:rPr>
        <w:t>(Battaglia et al., 2015; Sukarova-Angelovska et al., 2014; von Elten, Sawyer, Lentz-Kapua, Kanis, &amp; Studer, 2013)</w:t>
      </w:r>
      <w:r w:rsidRPr="006A1EC7">
        <w:fldChar w:fldCharType="end"/>
      </w:r>
      <w:r w:rsidRPr="006A1EC7">
        <w:t xml:space="preserve">, is surprising. </w:t>
      </w:r>
    </w:p>
    <w:p w14:paraId="635425D5" w14:textId="77777777" w:rsidR="00735B4B" w:rsidRPr="006A1EC7" w:rsidRDefault="00735B4B" w:rsidP="00735B4B">
      <w:pPr>
        <w:spacing w:line="360" w:lineRule="auto"/>
        <w:ind w:firstLine="720"/>
        <w:rPr>
          <w:color w:val="000000"/>
          <w:shd w:val="clear" w:color="auto" w:fill="FFFFFF"/>
        </w:rPr>
      </w:pPr>
      <w:r w:rsidRPr="006A1EC7">
        <w:t xml:space="preserve">It could be argued that this gap in the literature is, to some degree, the result of lack of health care researchers investigating the burden and psychosocial impact of rare condition, such as WHS on families, rather than as a result of unwilling participants. The American website wolfhirschhorn.org, for example, lists the tab “Our Stories” on their website, where different parents regularly share their experiences of their children’s illness and the impact of the syndrome on their family life. One parent couple, for example, talk about their journey of raising an 18-month old girl with WHS and describe it as “a very humbling and educational time in our lives” </w:t>
      </w:r>
      <w:r w:rsidRPr="006A1EC7">
        <w:fldChar w:fldCharType="begin" w:fldLock="1"/>
      </w:r>
      <w:r w:rsidRPr="006A1EC7">
        <w:instrText>ADDIN CSL_CITATION {"citationItems":[{"id":"ITEM-1","itemData":{"URL":"ttp://wolfhirschhorn.org/2016/11/halloween/paige-halloween-18-months/","accessed":{"date-parts":[["2017","4","22"]]},"author":[{"dropping-particle":"","family":"Wolfhirschhorn.org","given":"","non-dropping-particle":"","parse-names":false,"suffix":""}],"id":"ITEM-1","issued":{"date-parts":[["2016"]]},"title":"Paige Stealing our hearts - Halloween 18 months.","type":"webpage"},"uris":["http://www.mendeley.com/documents/?uuid=85a81cfb-7c75-466e-b72f-af2d97b90bee"]}],"mendeley":{"formattedCitation":"(Wolfhirschhorn.org, 2016)","plainTextFormattedCitation":"(Wolfhirschhorn.org, 2016)","previouslyFormattedCitation":"(Wolfhirschhorn.org, 2016)"},"properties":{"noteIndex":0},"schema":"https://github.com/citation-style-language/schema/raw/master/csl-citation.json"}</w:instrText>
      </w:r>
      <w:r w:rsidRPr="006A1EC7">
        <w:fldChar w:fldCharType="separate"/>
      </w:r>
      <w:r w:rsidRPr="006A1EC7">
        <w:rPr>
          <w:noProof/>
        </w:rPr>
        <w:t>(Wolfhirschhorn.org, 2016)</w:t>
      </w:r>
      <w:r w:rsidRPr="006A1EC7">
        <w:fldChar w:fldCharType="end"/>
      </w:r>
      <w:r w:rsidRPr="006A1EC7">
        <w:t>. There is also a book published by an American WHS mother titled “Swan: The story of a very special person and her mom”</w:t>
      </w:r>
      <w:r w:rsidRPr="006A1EC7">
        <w:fldChar w:fldCharType="begin" w:fldLock="1"/>
      </w:r>
      <w:r w:rsidRPr="006A1EC7">
        <w:instrText>ADDIN CSL_CITATION {"citationItems":[{"id":"ITEM-1","itemData":{"author":[{"dropping-particle":"","family":"Gilker","given":"Wendy","non-dropping-particle":"","parse-names":false,"suffix":""}],"id":"ITEM-1","issued":{"date-parts":[["2016"]]},"publisher":"CreateSpace Independent Publishing Platform","title":"Swan: The story of a very special person and her mom.","type":"book"},"uris":["http://www.mendeley.com/documents/?uuid=467442b1-b076-4243-bcb1-00c2dcc05c67"]}],"mendeley":{"formattedCitation":"(Gilker, 2016)","plainTextFormattedCitation":"(Gilker, 2016)","previouslyFormattedCitation":"(Gilker, 2016)"},"properties":{"noteIndex":0},"schema":"https://github.com/citation-style-language/schema/raw/master/csl-citation.json"}</w:instrText>
      </w:r>
      <w:r w:rsidRPr="006A1EC7">
        <w:fldChar w:fldCharType="separate"/>
      </w:r>
      <w:r w:rsidRPr="006A1EC7">
        <w:rPr>
          <w:noProof/>
        </w:rPr>
        <w:t>(Gilker, 2016)</w:t>
      </w:r>
      <w:r w:rsidRPr="006A1EC7">
        <w:fldChar w:fldCharType="end"/>
      </w:r>
      <w:r w:rsidRPr="006A1EC7">
        <w:t xml:space="preserve"> where she describes her life with her daughter Bree who grew up in a time, where not much was known about the condition, and how she learnt to manage the syndrome herself. She also talks of the impact WHS had on her life, her relationships and her emotional health. In a blog post she wrote for ‘the caregiverspace’, she argues for the existence of caregiver PTSD and describes the profound psychosocial impact that caring for her daughter has had on her </w:t>
      </w:r>
      <w:r w:rsidRPr="006A1EC7">
        <w:fldChar w:fldCharType="begin" w:fldLock="1"/>
      </w:r>
      <w:r w:rsidRPr="006A1EC7">
        <w:instrText>ADDIN CSL_CITATION {"citationItems":[{"id":"ITEM-1","itemData":{"URL":"http://thecaregiverspace.org/ptsd-caregiver/","accessed":{"date-parts":[["2017","4","12"]]},"author":[{"dropping-particle":"","family":"Gilker","given":"Wendy","non-dropping-particle":"","parse-names":false,"suffix":""}],"id":"ITEM-1","issued":{"date-parts":[["2014"]]},"title":"PTSD and the caregiver.","type":"webpage"},"uris":["http://www.mendeley.com/documents/?uuid=8be49f5b-2283-48ba-aa0c-6e0b8b2babc8"]}],"mendeley":{"formattedCitation":"(Gilker, 2014)","plainTextFormattedCitation":"(Gilker, 2014)","previouslyFormattedCitation":"(Gilker, 2014)"},"properties":{"noteIndex":0},"schema":"https://github.com/citation-style-language/schema/raw/master/csl-citation.json"}</w:instrText>
      </w:r>
      <w:r w:rsidRPr="006A1EC7">
        <w:fldChar w:fldCharType="separate"/>
      </w:r>
      <w:r w:rsidRPr="006A1EC7">
        <w:rPr>
          <w:noProof/>
        </w:rPr>
        <w:t>(Gilker, 2014)</w:t>
      </w:r>
      <w:r w:rsidRPr="006A1EC7">
        <w:fldChar w:fldCharType="end"/>
      </w:r>
      <w:r w:rsidRPr="006A1EC7">
        <w:t xml:space="preserve">. The themes of “joy” and “sorrow” were found in Mrs Gilker’s writing: the extreme challenges that accompany caring for her WHS daughter, </w:t>
      </w:r>
      <w:r w:rsidRPr="006A1EC7">
        <w:lastRenderedPageBreak/>
        <w:t>the pressure on her to cope but also the profound love she has for her daughter (“</w:t>
      </w:r>
      <w:r w:rsidRPr="006A1EC7">
        <w:rPr>
          <w:i/>
          <w:iCs/>
          <w:color w:val="000000"/>
          <w:shd w:val="clear" w:color="auto" w:fill="FFFFFF"/>
        </w:rPr>
        <w:t>As I look back in retrospect on these years, I am amazed that I am even still on this planet and </w:t>
      </w:r>
      <w:r w:rsidRPr="006A1EC7">
        <w:rPr>
          <w:bCs/>
          <w:i/>
          <w:iCs/>
          <w:color w:val="000000"/>
          <w:bdr w:val="none" w:sz="0" w:space="0" w:color="auto" w:frame="1"/>
        </w:rPr>
        <w:t>the only reason I am here is because of my beautiful little daughter</w:t>
      </w:r>
      <w:r w:rsidRPr="006A1EC7">
        <w:rPr>
          <w:i/>
          <w:iCs/>
          <w:color w:val="000000"/>
          <w:shd w:val="clear" w:color="auto" w:fill="FFFFFF"/>
        </w:rPr>
        <w:t xml:space="preserve">”) </w:t>
      </w:r>
      <w:r w:rsidRPr="006A1EC7">
        <w:rPr>
          <w:color w:val="000000"/>
          <w:shd w:val="clear" w:color="auto" w:fill="FFFFFF"/>
        </w:rPr>
        <w:fldChar w:fldCharType="begin" w:fldLock="1"/>
      </w:r>
      <w:r w:rsidRPr="006A1EC7">
        <w:rPr>
          <w:color w:val="000000"/>
          <w:shd w:val="clear" w:color="auto" w:fill="FFFFFF"/>
        </w:rPr>
        <w:instrText>ADDIN CSL_CITATION {"citationItems":[{"id":"ITEM-1","itemData":{"URL":"http://thecaregiverspace.org/ptsd-caregiver/","accessed":{"date-parts":[["2017","4","12"]]},"author":[{"dropping-particle":"","family":"Gilker","given":"Wendy","non-dropping-particle":"","parse-names":false,"suffix":""}],"id":"ITEM-1","issued":{"date-parts":[["2014"]]},"title":"PTSD and the caregiver.","type":"webpage"},"uris":["http://www.mendeley.com/documents/?uuid=8be49f5b-2283-48ba-aa0c-6e0b8b2babc8"]},{"id":"ITEM-2","itemData":{"author":[{"dropping-particle":"","family":"Gilker","given":"Wendy","non-dropping-particle":"","parse-names":false,"suffix":""}],"id":"ITEM-2","issued":{"date-parts":[["2016"]]},"publisher":"CreateSpace Independent Publishing Platform","title":"Swan: The story of a very special person and her mom.","type":"book"},"uris":["http://www.mendeley.com/documents/?uuid=467442b1-b076-4243-bcb1-00c2dcc05c67"]}],"mendeley":{"formattedCitation":"(Gilker, 2014, 2016)","plainTextFormattedCitation":"(Gilker, 2014, 2016)","previouslyFormattedCitation":"(Gilker, 2014, 2016)"},"properties":{"noteIndex":0},"schema":"https://github.com/citation-style-language/schema/raw/master/csl-citation.json"}</w:instrText>
      </w:r>
      <w:r w:rsidRPr="006A1EC7">
        <w:rPr>
          <w:color w:val="000000"/>
          <w:shd w:val="clear" w:color="auto" w:fill="FFFFFF"/>
        </w:rPr>
        <w:fldChar w:fldCharType="separate"/>
      </w:r>
      <w:r w:rsidRPr="006A1EC7">
        <w:rPr>
          <w:noProof/>
          <w:color w:val="000000"/>
          <w:shd w:val="clear" w:color="auto" w:fill="FFFFFF"/>
        </w:rPr>
        <w:t>(Gilker, 2014, 2016)</w:t>
      </w:r>
      <w:r w:rsidRPr="006A1EC7">
        <w:rPr>
          <w:color w:val="000000"/>
          <w:shd w:val="clear" w:color="auto" w:fill="FFFFFF"/>
        </w:rPr>
        <w:fldChar w:fldCharType="end"/>
      </w:r>
      <w:r w:rsidRPr="006A1EC7">
        <w:rPr>
          <w:color w:val="000000"/>
          <w:shd w:val="clear" w:color="auto" w:fill="FFFFFF"/>
        </w:rPr>
        <w:t>.</w:t>
      </w:r>
    </w:p>
    <w:p w14:paraId="2E3C3D0A" w14:textId="77777777" w:rsidR="00735B4B" w:rsidRPr="006A1EC7" w:rsidRDefault="00735B4B" w:rsidP="00735B4B"/>
    <w:p w14:paraId="3FB114B4" w14:textId="77777777" w:rsidR="0097625B" w:rsidRPr="006A1EC7" w:rsidRDefault="0097625B" w:rsidP="00DB5C12">
      <w:pPr>
        <w:spacing w:line="360" w:lineRule="auto"/>
        <w:sectPr w:rsidR="0097625B" w:rsidRPr="006A1EC7" w:rsidSect="006C7209">
          <w:pgSz w:w="11900" w:h="16840"/>
          <w:pgMar w:top="1440" w:right="1440" w:bottom="1440" w:left="1440" w:header="720" w:footer="720" w:gutter="0"/>
          <w:cols w:space="720"/>
          <w:docGrid w:linePitch="360"/>
        </w:sectPr>
      </w:pPr>
    </w:p>
    <w:p w14:paraId="60B434E4" w14:textId="5B70B9C7" w:rsidR="00D13545" w:rsidRPr="006A1EC7" w:rsidRDefault="00D13545" w:rsidP="00D13545">
      <w:pPr>
        <w:pStyle w:val="Heading1"/>
        <w:rPr>
          <w:rStyle w:val="Strong"/>
          <w:rFonts w:ascii="Times New Roman" w:hAnsi="Times New Roman" w:cs="Times New Roman"/>
          <w:b w:val="0"/>
          <w:bCs w:val="0"/>
        </w:rPr>
      </w:pPr>
      <w:bookmarkStart w:id="98" w:name="_Toc22126817"/>
      <w:bookmarkStart w:id="99" w:name="_Toc23522715"/>
      <w:bookmarkStart w:id="100" w:name="_Toc38821429"/>
      <w:bookmarkStart w:id="101" w:name="_Toc40172985"/>
      <w:r w:rsidRPr="006A1EC7">
        <w:rPr>
          <w:rStyle w:val="Strong"/>
          <w:rFonts w:ascii="Times New Roman" w:hAnsi="Times New Roman" w:cs="Times New Roman"/>
          <w:b w:val="0"/>
          <w:bCs w:val="0"/>
        </w:rPr>
        <w:lastRenderedPageBreak/>
        <w:t xml:space="preserve">Chapter 4: Family perspectives on living with and caring for family members with </w:t>
      </w:r>
      <w:r w:rsidR="009F0718" w:rsidRPr="006A1EC7">
        <w:rPr>
          <w:rStyle w:val="Strong"/>
          <w:rFonts w:ascii="Times New Roman" w:hAnsi="Times New Roman" w:cs="Times New Roman"/>
          <w:b w:val="0"/>
          <w:bCs w:val="0"/>
        </w:rPr>
        <w:t>WHS</w:t>
      </w:r>
      <w:r w:rsidRPr="006A1EC7">
        <w:rPr>
          <w:rStyle w:val="Strong"/>
          <w:rFonts w:ascii="Times New Roman" w:hAnsi="Times New Roman" w:cs="Times New Roman"/>
          <w:b w:val="0"/>
          <w:bCs w:val="0"/>
        </w:rPr>
        <w:t>: qualitative interview study to inform the development of the Clinical outcome assessment</w:t>
      </w:r>
      <w:bookmarkEnd w:id="98"/>
      <w:bookmarkEnd w:id="99"/>
      <w:bookmarkEnd w:id="100"/>
      <w:bookmarkEnd w:id="101"/>
      <w:r w:rsidRPr="006A1EC7">
        <w:rPr>
          <w:rStyle w:val="Strong"/>
          <w:rFonts w:ascii="Times New Roman" w:hAnsi="Times New Roman" w:cs="Times New Roman"/>
          <w:b w:val="0"/>
          <w:bCs w:val="0"/>
        </w:rPr>
        <w:t xml:space="preserve"> </w:t>
      </w:r>
    </w:p>
    <w:p w14:paraId="7C5DF21B" w14:textId="77777777" w:rsidR="00D13545" w:rsidRPr="006A1EC7" w:rsidRDefault="00D13545" w:rsidP="00D13545">
      <w:pPr>
        <w:spacing w:line="276" w:lineRule="auto"/>
      </w:pPr>
    </w:p>
    <w:p w14:paraId="3B1DE980" w14:textId="77777777" w:rsidR="00D13545" w:rsidRPr="006A1EC7" w:rsidRDefault="00D13545" w:rsidP="00D13545">
      <w:pPr>
        <w:spacing w:line="276" w:lineRule="auto"/>
        <w:rPr>
          <w:b/>
        </w:rPr>
      </w:pPr>
    </w:p>
    <w:p w14:paraId="0593985D" w14:textId="77777777" w:rsidR="00D13545" w:rsidRPr="006A1EC7" w:rsidRDefault="00D13545" w:rsidP="00D13545">
      <w:pPr>
        <w:spacing w:line="276" w:lineRule="auto"/>
      </w:pPr>
    </w:p>
    <w:p w14:paraId="0A48D87E" w14:textId="77777777" w:rsidR="00D13545" w:rsidRPr="006A1EC7" w:rsidRDefault="00D13545" w:rsidP="00D13545">
      <w:pPr>
        <w:pStyle w:val="Heading2"/>
        <w:rPr>
          <w:rFonts w:ascii="Times New Roman" w:hAnsi="Times New Roman" w:cs="Times New Roman"/>
        </w:rPr>
      </w:pPr>
      <w:bookmarkStart w:id="102" w:name="_Toc22126819"/>
      <w:bookmarkStart w:id="103" w:name="_Toc23522717"/>
      <w:bookmarkStart w:id="104" w:name="_Toc38821430"/>
      <w:bookmarkStart w:id="105" w:name="_Toc40172986"/>
      <w:r w:rsidRPr="006A1EC7">
        <w:rPr>
          <w:rFonts w:ascii="Times New Roman" w:hAnsi="Times New Roman" w:cs="Times New Roman"/>
        </w:rPr>
        <w:t>Introduction</w:t>
      </w:r>
      <w:bookmarkEnd w:id="102"/>
      <w:bookmarkEnd w:id="103"/>
      <w:bookmarkEnd w:id="104"/>
      <w:bookmarkEnd w:id="105"/>
      <w:r w:rsidRPr="006A1EC7">
        <w:rPr>
          <w:rFonts w:ascii="Times New Roman" w:hAnsi="Times New Roman" w:cs="Times New Roman"/>
        </w:rPr>
        <w:br/>
      </w:r>
    </w:p>
    <w:p w14:paraId="27A60FCC" w14:textId="56CE285B" w:rsidR="00D13545" w:rsidRPr="006A1EC7" w:rsidRDefault="00D13545" w:rsidP="00D13545">
      <w:pPr>
        <w:spacing w:line="360" w:lineRule="auto"/>
        <w:ind w:firstLine="720"/>
      </w:pPr>
      <w:r w:rsidRPr="006A1EC7">
        <w:t xml:space="preserve">From the literature reviews conducted and described in Chapter 3, it has become obvious that the clinical features of </w:t>
      </w:r>
      <w:r w:rsidR="009F0718" w:rsidRPr="006A1EC7">
        <w:t>WHS</w:t>
      </w:r>
      <w:r w:rsidRPr="006A1EC7">
        <w:t xml:space="preserve"> are well described, but that there is a lack of psychosocial literature investigating the effect of the condition on patients’ HRQoL. While there are some narrative personal accounts from parents, which are published in blog or book format, the majority of these are from US-based families. This in itself is another limitation of the use of these narratives for developing a COA predominantly used in NHS settings in the UK. The need for conducting research investigating the HRQoL of WHS patients and their families living in the United Kingdom, is therefore pressing. This is essential for informing the content of the COA and to determine the HRQoL of patients and their relatives; as well as to assess unmet needs for this population. </w:t>
      </w:r>
    </w:p>
    <w:p w14:paraId="28B8DD87" w14:textId="77777777" w:rsidR="00D13545" w:rsidRPr="006A1EC7" w:rsidRDefault="00D13545" w:rsidP="00D13545">
      <w:pPr>
        <w:spacing w:line="360" w:lineRule="auto"/>
        <w:ind w:firstLine="720"/>
        <w:rPr>
          <w:color w:val="000000"/>
          <w:shd w:val="clear" w:color="auto" w:fill="FFFFFF"/>
        </w:rPr>
      </w:pPr>
      <w:r w:rsidRPr="006A1EC7">
        <w:t>Due to the lack of past research, the methodology (interview schedule) for this study could not be based on previous psychosocial literature, and instead had to be guided by clinical literature and the relied on the expertise of the psychologist involved in the study (KV, GJ) to ensure relevant psychosocial aspects of the conditions were assessed as well as clinical aspects.</w:t>
      </w:r>
    </w:p>
    <w:p w14:paraId="57174468" w14:textId="77777777" w:rsidR="00D13545" w:rsidRPr="006A1EC7" w:rsidRDefault="00D13545" w:rsidP="00D13545">
      <w:pPr>
        <w:spacing w:line="360" w:lineRule="auto"/>
        <w:ind w:firstLine="720"/>
      </w:pPr>
    </w:p>
    <w:p w14:paraId="32A824BF" w14:textId="77777777" w:rsidR="00D13545" w:rsidRPr="006A1EC7" w:rsidRDefault="00D13545" w:rsidP="00D13545">
      <w:pPr>
        <w:pStyle w:val="Heading2"/>
        <w:rPr>
          <w:rFonts w:ascii="Times New Roman" w:hAnsi="Times New Roman" w:cs="Times New Roman"/>
        </w:rPr>
      </w:pPr>
      <w:bookmarkStart w:id="106" w:name="_Toc22126820"/>
      <w:bookmarkStart w:id="107" w:name="_Toc38821431"/>
      <w:bookmarkStart w:id="108" w:name="_Toc40172987"/>
      <w:r w:rsidRPr="006A1EC7">
        <w:rPr>
          <w:rFonts w:ascii="Times New Roman" w:hAnsi="Times New Roman" w:cs="Times New Roman"/>
        </w:rPr>
        <w:t>The importance of qualitative research</w:t>
      </w:r>
      <w:bookmarkEnd w:id="106"/>
      <w:bookmarkEnd w:id="107"/>
      <w:bookmarkEnd w:id="108"/>
    </w:p>
    <w:p w14:paraId="77967A7E" w14:textId="77777777" w:rsidR="00D13545" w:rsidRPr="006A1EC7" w:rsidRDefault="00D13545" w:rsidP="00D13545"/>
    <w:p w14:paraId="62E61C12" w14:textId="202FC768" w:rsidR="00D13545" w:rsidRPr="006A1EC7" w:rsidRDefault="00D13545" w:rsidP="00D13545">
      <w:pPr>
        <w:spacing w:line="360" w:lineRule="auto"/>
      </w:pPr>
      <w:r w:rsidRPr="006A1EC7">
        <w:tab/>
        <w:t xml:space="preserve">As discussed in Chapter 2, a combination of inductive and deductive methods is the most commonly used approach to scale development (56%) </w:t>
      </w:r>
      <w:r w:rsidRPr="006A1EC7">
        <w:fldChar w:fldCharType="begin" w:fldLock="1"/>
      </w:r>
      <w:r w:rsidRPr="006A1EC7">
        <w:instrText>ADDIN CSL_CITATION {"citationItems":[{"id":"ITEM-1","itemData":{"DOI":"10.1186/s41155-016-0057-1","ISBN":"0102797220170","ISSN":"16787153","abstract":"The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Critica","id":"ITEM-1","issue":"1","issued":{"date-parts":[["2017"]]},"page":"1-20","publisher":"Psicologia: Reflexão e Crítica","title":"Scale development: Ten main limitations and recommendations to improve future research practices","type":"article-journal","volume":"30"},"uris":["http://www.mendeley.com/documents/?uuid=a8b9cc36-43ce-4491-b24e-6b402072bceb"]}],"mendeley":{"formattedCitation":"(Morgado et al., 2017)","plainTextFormattedCitation":"(Morgado et al., 2017)","previouslyFormattedCitation":"(Morgado et al., 2017)"},"properties":{"noteIndex":0},"schema":"https://github.com/citation-style-language/schema/raw/master/csl-citation.json"}</w:instrText>
      </w:r>
      <w:r w:rsidRPr="006A1EC7">
        <w:fldChar w:fldCharType="separate"/>
      </w:r>
      <w:r w:rsidRPr="006A1EC7">
        <w:rPr>
          <w:noProof/>
        </w:rPr>
        <w:t>(Morgado et al., 2017)</w:t>
      </w:r>
      <w:r w:rsidRPr="006A1EC7">
        <w:fldChar w:fldCharType="end"/>
      </w:r>
      <w:r w:rsidRPr="006A1EC7">
        <w:t xml:space="preserve">. Chapter 2 also outlines which research methods are commonly used when taking an inductive approach to scale development, these include focus groups, individual interviews and surveys </w:t>
      </w:r>
      <w:r w:rsidRPr="006A1EC7">
        <w:fldChar w:fldCharType="begin" w:fldLock="1"/>
      </w:r>
      <w:r w:rsidRPr="006A1EC7">
        <w:instrText>ADDIN CSL_CITATION {"citationItems":[{"id":"ITEM-1","itemData":{"author":[{"dropping-particle":"","family":"Hamera","given":"Edna","non-dropping-particle":"","parse-names":false,"suffix":""},{"dropping-particle":"","family":"Brown","given":"Catana E","non-dropping-particle":"","parse-names":false,"suffix":""}],"container-title":"American Journal of Occupational Therapy","id":"ITEM-1","issued":{"date-parts":[["2000"]]},"page":"20 - 25","title":"Developing a Context-Based Performance Measure for Persons with Schizophrenia: The Test of Grocery Shopping Skills","type":"article-journal","volume":"54"},"uris":["http://www.mendeley.com/documents/?uuid=601a3baf-2f83-4060-8c6e-ec1ae5338f2b"]},{"id":"ITEM-2","itemData":{"author":[{"dropping-particle":"","family":"Pelentsov","given":"L","non-dropping-particle":"","parse-names":false,"suffix":""},{"dropping-particle":"","family":"Fielder","given":"Andrea L","non-dropping-particle":"","parse-names":false,"suffix":""},{"dropping-particle":"","family":"Laws","given":"Thomas A","non-dropping-particle":"","parse-names":false,"suffix":""},{"dropping-particle":"","family":"Esterman","given":"Adrian J","non-dropping-particle":"","parse-names":false,"suffix":""}],"container-title":"Journal of Multidisciplinary Healthcare","id":"ITEM-2","issue":"9","issued":{"date-parts":[["2016"]]},"page":"425-433","title":"Development of the parental needs scale for rare diseases : a tool for measuring the supportive care needs of parents caring for a child with a rare disease","type":"article-journal","volume":"6"},"uris":["http://www.mendeley.com/documents/?uuid=e7aab930-e495-403a-80dc-d434325740c2"]},{"id":"ITEM-3","itemData":{"author":[{"dropping-particle":"","family":"Robling","given":"Author M","non-dropping-particle":"","parse-names":false,"suffix":""},{"dropping-particle":"","family":"Matthews","given":"S J","non-dropping-particle":"","parse-names":false,"suffix":""},{"dropping-particle":"","family":"Hood","given":"K","non-dropping-particle":"","parse-names":false,"suffix":""},{"dropping-particle":"","family":"Russell","given":"I T","non-dropping-particle":"","parse-names":false,"suffix":""},{"dropping-particle":"","family":"Holloway","given":"R","non-dropping-particle":"","parse-names":false,"suffix":""},{"dropping-particle":"","family":"Wilkinson","given":"C","non-dropping-particle":"","parse-names":false,"suffix":""},{"dropping-particle":"","family":"Edwards","given":"G K","non-dropping-particle":"","parse-names":false,"suffix":""},{"dropping-particle":"","family":"Austoker","given":"J","non-dropping-particle":"","parse-names":false,"suffix":""},{"dropping-particle":"","family":"Cohen","given":"D","non-dropping-particle":"","parse-names":false,"suffix":""},{"dropping-particle":"","family":"Mansel","given":"R","non-dropping-particle":"","parse-names":false,"suffix":""},{"dropping-particle":"","family":"Pill","given":"R M","non-dropping-particle":"","parse-names":false,"suffix":""},{"dropping-particle":"","family":"Stott","given":"N C H","non-dropping-particle":"","parse-names":false,"suffix":""},{"dropping-particle":"","family":"Thapar","given":"A","non-dropping-particle":"","parse-names":false,"suffix":""}],"id":"ITEM-3","issue":"4","issued":{"date-parts":[["2002"]]},"page":"339-348","title":"The Development of a New Site-Specific Measure of Quality of Life for Breast Problems : The Cardiff Breast Scales","type":"article-journal","volume":"11"},"uris":["http://www.mendeley.com/documents/?uuid=e1045dd4-ac7e-4002-8a4b-cfd6914a8476"]},{"id":"ITEM-4","itemData":{"DOI":"10.1186/s41687-018-0034-9","ISSN":"2509-8020","abstract":"Background: Respiratory syncytial virus (RSV) is a seasonal infection affecting most children by 2 years of age and the leading cause of lower respiratory tract infection requiring hospitalization in infants. Novel antiviral medications are in development to improve the clinical outcomes of RSV; however, no clinical outcome assessments (COAs) for RSV have been developed in alignment with the United States Food and Drug Administration patient-reported outcome guidance to assist in the evaluation of new therapies. To address this need, an observer-reported outcome (ObsRO) measure designed to assess observable RSV symptoms was created., Methods: The literature was reviewed to evaluate existing COAs and identify constructs of interest. Individual caregiver interviews elicited concepts that informed item development, and candidate items were subsequently evaluated in two rounds of cognitive testing. Separate cohorts of caregivers of RSV-infected nonhospitalized and hospitalized infants participated. Therapeutic-area experts provided input throughout the instrument development process., Results: Caregivers of 39 children &lt;24 months old with RSV (31 nonhospitalized, 8 hospitalized) participated in in-depth, individual interviews during concept elicitation and cognitive debriefing, resulting in 21 concepts identified as potentially observable and relevant to young children with RSV. The item pool was reduced to 12 cardinal symptoms and behavior impacts reported to be directly observable by caregivers, with 10 daytime and 9 nighttime symptoms to capture diurnal variation in severity., Conclusions: The RSV Caregiver Diary assesses RSV symptom severity and change from the parent or caregiver perspective in a standardized manner to measure treatment benefit. Following psychometric evaluation and refinement, this tool is expected to be suitable for assisting in the clinical development of RSV therapeutics.","author":[{"dropping-particle":"","family":"Lewis","given":"Sandy","non-dropping-particle":"","parse-names":false,"suffix":""},{"dropping-particle":"","family":"DeMuro","given":"Carla","non-dropping-particle":"","parse-names":false,"suffix":""},{"dropping-particle":"","family":"Block","given":"Stan L","non-dropping-particle":"","parse-names":false,"suffix":""},{"dropping-particle":"","family":"Senders","given":"Shelly","non-dropping-particle":"","parse-names":false,"suffix":""},{"dropping-particle":"","family":"Wisman","given":"Paul","non-dropping-particle":"","parse-names":false,"suffix":""},{"dropping-particle":"","family":"Toback","given":"Seth","non-dropping-particle":"","parse-names":false,"suffix":""},{"dropping-particle":"","family":"Chien","given":"Jason W","non-dropping-particle":"","parse-names":false,"suffix":""},{"dropping-particle":"","family":"Williams","given":"Valerie","non-dropping-particle":"","parse-names":false,"suffix":""}],"container-title":"Journal of patient-reported outcomes","id":"ITEM-4","issue":"1","issued":{"date-parts":[["2017"]]},"page":"9","publisher":"Journal of Patient-Reported Outcomes","title":"Development of a novel observer-reported outcome measure for the assessment of Respiratory Syncytial Virus (RSV) infection symptoms in pediatric clinical trials.","type":"article-journal","volume":"2"},"uris":["http://www.mendeley.com/documents/?uuid=f14c929f-98c8-42d1-a590-961e847e0ce8"]},{"id":"ITEM-5","itemData":{"DOI":"10.1093/brain/awt048","ISBN":"1460-2156 (Electronic)\\r0006-8950 (Linking)","ISSN":"14602156","PMID":"23550114","abstract":"Progress in therapeutics for rare disorders like prion disease is impeded by the lack of validated outcome measures and a paucity of natural history data derived from prospective observational studies. The first analysis of the UK National Prion Monitoring Cohort involved 1337 scheduled clinical assessments and 479 telephone assessments in 437 participants over 373 patient-years of follow-up. Scale development has included semi-quantitative and qualitative carer interviews, item response modelling (Rasch analysis), inter-rater reliability testing, construct analysis and correlation with several existing scales. The proposed 20-point Medical Research Council Prion Disease Rating Scale assesses domains of cognitive function, speech, mobility, personal care/feeding and continence, according to their relative importance documented by carer interviews. It is quick and simple to administer, and has been validated for use by doctors and nurses and for use over the telephone, allowing for frequent assessments that capture the rapid change typical of these diseases. The Medical Research Council Scale correlates highly with widely used cognitive and single item scales, but has substantial advantages over these including minimal floor effects. Three clear patterns of decline were observed using the scale: fast linear decline, slow linear decline (usually inherited prion disease) and in some patients, decline followed by a prolonged preterminal plateau at very low functional levels. Rates of decline and progress through milestones measured using the scale vary between sporadic, acquired and inherited prion diseases following clinical expectations. We have developed and validated a new functionally-oriented outcome measure and propose that future clinical trials in prion disease should collect data compatible with this scale, to allow for combined and comparative analyses. Such approaches may be advantageous in orphan conditions, where single studies of feasible duration will often struggle to achieve statistical power.","author":[{"dropping-particle":"","family":"Thompson","given":"Andrew G.B. B","non-dropping-particle":"","parse-names":false,"suffix":""},{"dropping-particle":"","family":"Lowe","given":"Jessica","non-dropping-particle":"","parse-names":false,"suffix":""},{"dropping-particle":"","family":"Fox","given":"Zoe","non-dropping-particle":"","parse-names":false,"suffix":""},{"dropping-particle":"","family":"Lukic","given":"Ana","non-dropping-particle":"","parse-names":false,"suffix":""},{"dropping-particle":"","family":"Porter","given":"Marie Claire","non-dropping-particle":"","parse-names":false,"suffix":""},{"dropping-particle":"","family":"Ford","given":"Liz","non-dropping-particle":"","parse-names":false,"suffix":""},{"dropping-particle":"","family":"Gorham","given":"Michele","non-dropping-particle":"","parse-names":false,"suffix":""},{"dropping-particle":"","family":"Gopalakrishnan","given":"Gosala S.","non-dropping-particle":"","parse-names":false,"suffix":""},{"dropping-particle":"","family":"Rudge","given":"Peter","non-dropping-particle":"","parse-names":false,"suffix":""},{"dropping-particle":"","family":"Walker","given":"A. Sarah","non-dropping-particle":"","parse-names":false,"suffix":""},{"dropping-particle":"","family":"Collinge","given":"John","non-dropping-particle":"","parse-names":false,"suffix":""},{"dropping-particle":"","family":"Mead","given":"Simon","non-dropping-particle":"","parse-names":false,"suffix":""}],"container-title":"Brain","id":"ITEM-5","issue":"4","issued":{"date-parts":[["2013"]]},"page":"1116-1127","title":"The medical research council prion disease rating scale: A new outcome measure for prion disease therapeutic trials developed and validated using systematic observational studies","type":"article-journal","volume":"136"},"uris":["http://www.mendeley.com/documents/?uuid=3aabe36a-1ae9-4f82-8507-208c33376690"]}],"mendeley":{"formattedCitation":"(Hamera &amp; Brown, 2000; Lewis et al., 2017; Pelentsov et al., 2016; Robling et al., 2002; Thompson et al., 2013)","manualFormatting":"(e.g. Hamera &amp; Brown, 2000; Lewis et al., 2017b; Pelentsov et al., 2016; Robling et al., 2002; Thompson et al., 2013)","plainTextFormattedCitation":"(Hamera &amp; Brown, 2000; Lewis et al., 2017; Pelentsov et al., 2016; Robling et al., 2002; Thompson et al., 2013)","previouslyFormattedCitation":"(Hamera &amp; Brown, 2000; Lewis et al., 2017; Pelentsov et al., 2016; Robling et al., 2002; Thompson et al., 2013)"},"properties":{"noteIndex":0},"schema":"https://github.com/citation-style-language/schema/raw/master/csl-citation.json"}</w:instrText>
      </w:r>
      <w:r w:rsidRPr="006A1EC7">
        <w:fldChar w:fldCharType="separate"/>
      </w:r>
      <w:r w:rsidRPr="006A1EC7">
        <w:rPr>
          <w:noProof/>
        </w:rPr>
        <w:t>(e.g. Hamera &amp; Brown, 2000; Lewis et al., 2017b; Pelentsov et al., 2016; Robling et al., 2002; Thompson et al., 2013)</w:t>
      </w:r>
      <w:r w:rsidRPr="006A1EC7">
        <w:fldChar w:fldCharType="end"/>
      </w:r>
      <w:r w:rsidRPr="006A1EC7">
        <w:t xml:space="preserve">, with interviews being the most commonly used inductive method </w:t>
      </w:r>
      <w:r w:rsidRPr="006A1EC7">
        <w:fldChar w:fldCharType="begin" w:fldLock="1"/>
      </w:r>
      <w:r w:rsidRPr="006A1EC7">
        <w:instrText>ADDIN CSL_CITATION {"citationItems":[{"id":"ITEM-1","itemData":{"DOI":"10.1186/s41155-016-0057-1","ISBN":"0102797220170","ISSN":"16787153","abstract":"The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Critica","id":"ITEM-1","issue":"1","issued":{"date-parts":[["2017"]]},"page":"1-20","publisher":"Psicologia: Reflexão e Crítica","title":"Scale development: Ten main limitations and recommendations to improve future research practices","type":"article-journal","volume":"30"},"uris":["http://www.mendeley.com/documents/?uuid=a8b9cc36-43ce-4491-b24e-6b402072bceb"]}],"mendeley":{"formattedCitation":"(Morgado et al., 2017)","plainTextFormattedCitation":"(Morgado et al., 2017)","previouslyFormattedCitation":"(Morgado et al., 2017)"},"properties":{"noteIndex":0},"schema":"https://github.com/citation-style-language/schema/raw/master/csl-citation.json"}</w:instrText>
      </w:r>
      <w:r w:rsidRPr="006A1EC7">
        <w:fldChar w:fldCharType="separate"/>
      </w:r>
      <w:r w:rsidRPr="006A1EC7">
        <w:rPr>
          <w:noProof/>
        </w:rPr>
        <w:t>(Morgado et al., 2017)</w:t>
      </w:r>
      <w:r w:rsidRPr="006A1EC7">
        <w:fldChar w:fldCharType="end"/>
      </w:r>
      <w:r w:rsidRPr="006A1EC7">
        <w:t xml:space="preserve">. </w:t>
      </w:r>
    </w:p>
    <w:p w14:paraId="30CFD8C0" w14:textId="6401A078" w:rsidR="00D13545" w:rsidRPr="006A1EC7" w:rsidRDefault="00D13545" w:rsidP="00D13545">
      <w:pPr>
        <w:spacing w:line="360" w:lineRule="auto"/>
        <w:ind w:firstLine="720"/>
      </w:pPr>
      <w:r w:rsidRPr="006A1EC7">
        <w:lastRenderedPageBreak/>
        <w:t xml:space="preserve">Using focus groups and interviews are qualitative research methods. Unlike quantitative methods, it is not the aim of qualitative methods to provide quantifiable answers or ‘to enumerate’ </w:t>
      </w:r>
      <w:r w:rsidRPr="006A1EC7">
        <w:fldChar w:fldCharType="begin" w:fldLock="1"/>
      </w:r>
      <w:r w:rsidRPr="006A1EC7">
        <w:instrText>ADDIN CSL_CITATION {"citationItems":[{"id":"ITEM-1","itemData":{"DOI":"10.1177/1468794106068019","ISBN":"9781606235454","ISSN":"1098-6596","PMID":"25246403","author":[{"dropping-particle":"","family":"Pope","given":"C.","non-dropping-particle":"","parse-names":false,"suffix":""},{"dropping-particle":"","family":"Mays","given":"N.","non-dropping-particle":"","parse-names":false,"suffix":""}],"container-title":"British Medical Journal","id":"ITEM-1","issue":"311","issued":{"date-parts":[["1995"]]},"page":"42-45","title":"Qualitative Research","type":"article-journal"},"uris":["http://www.mendeley.com/documents/?uuid=882e7001-2c31-4013-a4bf-0147a9e7a276"]},{"id":"ITEM-2","itemData":{"DOI":"10.1177/1524839910363537.Appraising","ISBN":"0142-159X; 0142-159X","ISSN":"2075-051X","PMID":"21654952","abstract":"Although relatively uncommon in health care research, qualitative research is now receiving recognition and is increasingly used in health care research with social and cultural dimensions. Unlike quantitative research, which is deductive and tends to analyze phenomena in terms of trends and frequencies, qualitative research seeks to determine the meaning of a phenomenon through description. It aims to develop concepts that aid in the understanding of natural phenomena with emphasis on the meaning, experiences and views of the participants. Differences among qualitative researchers exist on matters of ontology, epistemology, data collection methods and methods of evaluation. The aim of this article is not to act as a practical guide on how to conduct qualitative research, but is an attempt to give an introduction to qualitative research methods and their use in health-related research.","author":[{"dropping-particle":"","family":"Al-Busaidi","given":"Zakiya Q","non-dropping-particle":"","parse-names":false,"suffix":""}],"container-title":"Sultan Qaboos University medical journal","id":"ITEM-2","issue":"1","issued":{"date-parts":[["2008"]]},"page":"11-9","title":"Qualitative research and its uses in health care.","type":"article-journal","volume":"8"},"uris":["http://www.mendeley.com/documents/?uuid=25b7ccb1-1881-455e-87ee-a84d4c0c26a7"]}],"mendeley":{"formattedCitation":"(Al-Busaidi, 2008; Pope &amp; Mays, 1995)","plainTextFormattedCitation":"(Al-Busaidi, 2008; Pope &amp; Mays, 1995)","previouslyFormattedCitation":"(Al-Busaidi, 2008; Pope &amp; Mays, 1995)"},"properties":{"noteIndex":0},"schema":"https://github.com/citation-style-language/schema/raw/master/csl-citation.json"}</w:instrText>
      </w:r>
      <w:r w:rsidRPr="006A1EC7">
        <w:fldChar w:fldCharType="separate"/>
      </w:r>
      <w:r w:rsidRPr="006A1EC7">
        <w:rPr>
          <w:noProof/>
        </w:rPr>
        <w:t>(Al-Busaidi, 2008; Pope &amp; Mays, 1995)</w:t>
      </w:r>
      <w:r w:rsidRPr="006A1EC7">
        <w:fldChar w:fldCharType="end"/>
      </w:r>
      <w:r w:rsidRPr="006A1EC7">
        <w:t xml:space="preserve"> but to further understanding of complex experiences </w:t>
      </w:r>
      <w:r w:rsidRPr="006A1EC7">
        <w:fldChar w:fldCharType="begin" w:fldLock="1"/>
      </w:r>
      <w:r w:rsidRPr="006A1EC7">
        <w:instrText>ADDIN CSL_CITATION {"citationItems":[{"id":"ITEM-1","itemData":{"DOI":"10.1177/1468794106068019","ISBN":"9781606235454","ISSN":"1098-6596","PMID":"25246403","author":[{"dropping-particle":"","family":"Pope","given":"C.","non-dropping-particle":"","parse-names":false,"suffix":""},{"dropping-particle":"","family":"Mays","given":"N.","non-dropping-particle":"","parse-names":false,"suffix":""}],"container-title":"British Medical Journal","id":"ITEM-1","issue":"311","issued":{"date-parts":[["1995"]]},"page":"42-45","title":"Qualitative Research","type":"article-journal"},"uris":["http://www.mendeley.com/documents/?uuid=882e7001-2c31-4013-a4bf-0147a9e7a276"]}],"mendeley":{"formattedCitation":"(Pope &amp; Mays, 1995)","plainTextFormattedCitation":"(Pope &amp; Mays, 1995)","previouslyFormattedCitation":"(Pope &amp; Mays, 1995)"},"properties":{"noteIndex":0},"schema":"https://github.com/citation-style-language/schema/raw/master/csl-citation.json"}</w:instrText>
      </w:r>
      <w:r w:rsidRPr="006A1EC7">
        <w:fldChar w:fldCharType="separate"/>
      </w:r>
      <w:r w:rsidRPr="006A1EC7">
        <w:rPr>
          <w:noProof/>
        </w:rPr>
        <w:t>(Pope &amp; Mays, 1995)</w:t>
      </w:r>
      <w:r w:rsidRPr="006A1EC7">
        <w:fldChar w:fldCharType="end"/>
      </w:r>
      <w:r w:rsidRPr="006A1EC7">
        <w:t xml:space="preserve">. Qualitative research acknowledges the complexity of the human experience, a core strength of the qualitative research approach. Relevant examples include investigations of the psychosocial impact of living with Long QT syndrome in adult patients </w:t>
      </w:r>
      <w:r w:rsidRPr="006A1EC7">
        <w:fldChar w:fldCharType="begin" w:fldLock="1"/>
      </w:r>
      <w:r w:rsidRPr="006A1EC7">
        <w:instrText>ADDIN CSL_CITATION {"citationItems":[{"id":"ITEM-1","itemData":{"DOI":"10.1007/s10897-008-9167-y","ISBN":"1573-3599 (Electronic)\\r1059-7700 (Linking)","ISSN":"10597700","PMID":"18719982","abstract":"Long QT syndrome (LQTS) is a congenital disorder associated with increased risk of sudden cardiac death; LQTS patients and their families are offered diagnostic or predictive genetic testing. The purpose of this qualitative study was to investigate the psychosocial aspects of living with LQTS, to identify LQTS patients' daily life challenges and coping strategies, and to describe their experiences with healthcare services. In-depth interviews were conducted with seven individuals who had been tested for long QT genetic mutation. Four of these participants had an implantable cardiac defibrillator (ICD). The participants reported that early and gradually acquired knowledge of the syndrome was an advantage. They also reported experiencing worries and limitations in daily life, but their main concern was for their children or grandchildren. Healthcare providers' minimal knowledge of LQTS resulted in uncertainty, misinformation, and even wrong advice regarding treatment. The results suggest that regional centers, with the appropriate expertise, should investigate and counsel LQTS patients and their families.","author":[{"dropping-particle":"","family":"Andersen","given":"Janice","non-dropping-particle":"","parse-names":false,"suffix":""},{"dropping-particle":"","family":"Øyen","given":"Nina","non-dropping-particle":"","parse-names":false,"suffix":""},{"dropping-particle":"","family":"Bjorvatn","given":"Cathrine","non-dropping-particle":"","parse-names":false,"suffix":""},{"dropping-particle":"","family":"Gjengedal","given":"Eva","non-dropping-particle":"","parse-names":false,"suffix":""}],"container-title":"Journal of Genetic Counseling","id":"ITEM-1","issue":"5","issued":{"date-parts":[["2008"]]},"page":"489-498","title":"Living with long QT syndrome: A qualitative study of coping with increased risk of sudden cardiac death","type":"article-journal","volume":"17"},"uris":["http://www.mendeley.com/documents/?uuid=6e332903-e404-484f-9c10-93ca3906a14c"]}],"mendeley":{"formattedCitation":"(Andersen et al., 2008)","plainTextFormattedCitation":"(Andersen et al., 2008)","previouslyFormattedCitation":"(Andersen et al., 2008)"},"properties":{"noteIndex":0},"schema":"https://github.com/citation-style-language/schema/raw/master/csl-citation.json"}</w:instrText>
      </w:r>
      <w:r w:rsidRPr="006A1EC7">
        <w:fldChar w:fldCharType="separate"/>
      </w:r>
      <w:r w:rsidRPr="006A1EC7">
        <w:rPr>
          <w:noProof/>
        </w:rPr>
        <w:t>(Andersen et al., 2008)</w:t>
      </w:r>
      <w:r w:rsidRPr="006A1EC7">
        <w:fldChar w:fldCharType="end"/>
      </w:r>
      <w:r w:rsidRPr="006A1EC7">
        <w:t xml:space="preserve">, parents’ experience of parenting a child with neurofibromatosis </w:t>
      </w:r>
      <w:r w:rsidRPr="006A1EC7">
        <w:fldChar w:fldCharType="begin" w:fldLock="1"/>
      </w:r>
      <w:r w:rsidRPr="006A1EC7">
        <w:instrText>ADDIN CSL_CITATION {"citationItems":[{"id":"ITEM-1","itemData":{"DOI":"10.1007/s12687-015-0247-z","ISBN":"1868-310X","ISSN":"18686001","PMID":"26201467","abstract":"Neurofibromatosis type 1 (NF1) is a variable and unpredictable genetic condition that can lead to changes to an individual's appearance. Research has started to explore children's and young people's experiences of living with the condition; however, there is a lack of research with parents. This exploratory qualitative study set out to examine parents' experiences of caring for a young person with NF1. Seven parents took part in semi structured interviews which were subjected to a thematic analysis. Three key themes were identified which related to managing the uncertainty of the condition, the impact of an altered appearance, and others' awareness and understanding of NF1. Parents felt that understanding NF1 themselves in order to support their child was beneficial whilst a perceived lack of understanding by others was cited as a significant challenge. Parents require trustworthy information and also more widely call for greater understanding and awareness of the condition.","author":[{"dropping-particle":"","family":"Barke","given":"Jenny","non-dropping-particle":"","parse-names":false,"suffix":""},{"dropping-particle":"","family":"Coad","given":"Jane","non-dropping-particle":"","parse-names":false,"suffix":""},{"dropping-particle":"","family":"Harcourt","given":"Diana","non-dropping-particle":"","parse-names":false,"suffix":""}],"container-title":"Journal of Community Genetics","id":"ITEM-1","issue":"1","issued":{"date-parts":[["2016"]]},"page":"33-39","title":"Parents' experiences of caring for a young person with neurofibromatosis type 1 (NF1): a qualitative study","type":"article-journal","volume":"7"},"uris":["http://www.mendeley.com/documents/?uuid=e6c04315-a462-4dbb-8171-3663577dc860"]}],"mendeley":{"formattedCitation":"(Barke et al., 2016)","plainTextFormattedCitation":"(Barke et al., 2016)","previouslyFormattedCitation":"(Barke et al., 2016)"},"properties":{"noteIndex":0},"schema":"https://github.com/citation-style-language/schema/raw/master/csl-citation.json"}</w:instrText>
      </w:r>
      <w:r w:rsidRPr="006A1EC7">
        <w:fldChar w:fldCharType="separate"/>
      </w:r>
      <w:r w:rsidRPr="006A1EC7">
        <w:rPr>
          <w:noProof/>
        </w:rPr>
        <w:t>(Barke et al., 2016)</w:t>
      </w:r>
      <w:r w:rsidRPr="006A1EC7">
        <w:fldChar w:fldCharType="end"/>
      </w:r>
      <w:r w:rsidRPr="006A1EC7">
        <w:t xml:space="preserve"> or parental reactions to unclear genetic testing results of their intellectually disabled children </w:t>
      </w:r>
      <w:r w:rsidRPr="006A1EC7">
        <w:fldChar w:fldCharType="begin" w:fldLock="1"/>
      </w:r>
      <w:r w:rsidRPr="006A1EC7">
        <w:instrText>ADDIN CSL_CITATION {"citationItems":[{"id":"ITEM-1","itemData":{"DOI":"10.1002/ajmg.a.37838","ISSN":"15524833","PMID":"27411073","abstract":"Chromosomal microarray is an increasingly utilized diagnostic test, particularly in the pediatric setting. However, the clinical significance of copy number variants detected by this technology is not always understood, creating uncertainties in interpreting and communicating results. The aim of this study was to explore parents' experiences of an uncertain microarray result for their child. This research utilized a qualitative approach with a phenomenological methodology. Semi-structured interviews were conducted with nine parents of eight children who received an uncertain microarray result for their child, either a 16p11.2 microdeletion or 15q13.3 microdeletion. Interviews were transcribed verbatim and thematic analysis was used to identify themes within the data. Participants were unprepared for the abnormal test result. They had a complex perception of the extent of their child's condition and a mixed understanding of the clinical relevance of the result, but were accepting of the limitations of medical knowledge, and appeared to have adapted to the result. The test result was empowering for parents in terms of access to medical and educational services; however, they articulated significant unmet support needs. Participants expressed hope for the future, in particular that more information would become available over time. This research has demonstrated that parents of children who have an uncertain microarray result appeared to adapt to uncertainty and limited availability of information and valued honesty and empathic ongoing support from health professionals. Genetic health professionals are well positioned to provide such support and aid patients' and families' adaptation to their situation as well as promote empowerment. © 2016 Wiley Periodicals, Inc.","author":[{"dropping-particle":"","family":"Wilkins","given":"Ella J.","non-dropping-particle":"","parse-names":false,"suffix":""},{"dropping-particle":"","family":"Archibald","given":"Alison D.","non-dropping-particle":"","parse-names":false,"suffix":""},{"dropping-particle":"","family":"Sahhar","given":"Margaret A.","non-dropping-particle":"","parse-names":false,"suffix":""},{"dropping-particle":"","family":"White","given":"Susan M.","non-dropping-particle":"","parse-names":false,"suffix":""}],"container-title":"American Journal of Medical Genetics, Part A","id":"ITEM-1","issue":"11","issued":{"date-parts":[["2016"]]},"page":"2895-2904","title":"???It wasn't a disaster or anything???: Parents??? experiences of their child's uncertain chromosomal microarray result","type":"article-journal","volume":"170"},"uris":["http://www.mendeley.com/documents/?uuid=2b0cdb55-cae0-4ed8-8bec-f624cc815908"]}],"mendeley":{"formattedCitation":"(Wilkins, Archibald, Sahhar, &amp; White, 2016)","plainTextFormattedCitation":"(Wilkins, Archibald, Sahhar, &amp; White, 2016)","previouslyFormattedCitation":"(Wilkins, Archibald, Sahhar, &amp; White, 2016)"},"properties":{"noteIndex":0},"schema":"https://github.com/citation-style-language/schema/raw/master/csl-citation.json"}</w:instrText>
      </w:r>
      <w:r w:rsidRPr="006A1EC7">
        <w:fldChar w:fldCharType="separate"/>
      </w:r>
      <w:r w:rsidRPr="006A1EC7">
        <w:rPr>
          <w:noProof/>
        </w:rPr>
        <w:t>(Wilkins, Archibald, Sahhar, &amp; White, 2016)</w:t>
      </w:r>
      <w:r w:rsidRPr="006A1EC7">
        <w:fldChar w:fldCharType="end"/>
      </w:r>
      <w:r w:rsidRPr="006A1EC7">
        <w:t>.</w:t>
      </w:r>
    </w:p>
    <w:p w14:paraId="30BAFB0B" w14:textId="77777777" w:rsidR="00D13545" w:rsidRPr="006A1EC7" w:rsidRDefault="00D13545" w:rsidP="00D13545">
      <w:pPr>
        <w:spacing w:line="360" w:lineRule="auto"/>
        <w:ind w:firstLine="720"/>
      </w:pPr>
      <w:r w:rsidRPr="006A1EC7">
        <w:t xml:space="preserve">It can be argued that the biggest difference between qualitative and quantitative research is in regard to their central aims: while quantitative methods, as a result of the frequent use of standardised validated instruments, aim for reliability; qualitative methods aim for validity, thus gaining accurate information about what experiences people have had and what meaning they attribute to those experiences </w:t>
      </w:r>
      <w:r w:rsidRPr="006A1EC7">
        <w:fldChar w:fldCharType="begin" w:fldLock="1"/>
      </w:r>
      <w:r w:rsidRPr="006A1EC7">
        <w:instrText>ADDIN CSL_CITATION {"citationItems":[{"id":"ITEM-1","itemData":{"DOI":"10.1177/1468794106068019","ISBN":"9781606235454","ISSN":"1098-6596","PMID":"25246403","author":[{"dropping-particle":"","family":"Pope","given":"C.","non-dropping-particle":"","parse-names":false,"suffix":""},{"dropping-particle":"","family":"Mays","given":"N.","non-dropping-particle":"","parse-names":false,"suffix":""}],"container-title":"British Medical Journal","id":"ITEM-1","issue":"311","issued":{"date-parts":[["1995"]]},"page":"42-45","title":"Qualitative Research","type":"article-journal"},"uris":["http://www.mendeley.com/documents/?uuid=882e7001-2c31-4013-a4bf-0147a9e7a276"]},{"id":"ITEM-2","itemData":{"DOI":"10.1177/1524839910363537.Appraising","ISBN":"0142-159X; 0142-159X","ISSN":"2075-051X","PMID":"21654952","abstract":"Although relatively uncommon in health care research, qualitative research is now receiving recognition and is increasingly used in health care research with social and cultural dimensions. Unlike quantitative research, which is deductive and tends to analyze phenomena in terms of trends and frequencies, qualitative research seeks to determine the meaning of a phenomenon through description. It aims to develop concepts that aid in the understanding of natural phenomena with emphasis on the meaning, experiences and views of the participants. Differences among qualitative researchers exist on matters of ontology, epistemology, data collection methods and methods of evaluation. The aim of this article is not to act as a practical guide on how to conduct qualitative research, but is an attempt to give an introduction to qualitative research methods and their use in health-related research.","author":[{"dropping-particle":"","family":"Al-Busaidi","given":"Zakiya Q","non-dropping-particle":"","parse-names":false,"suffix":""}],"container-title":"Sultan Qaboos University medical journal","id":"ITEM-2","issue":"1","issued":{"date-parts":[["2008"]]},"page":"11-9","title":"Qualitative research and its uses in health care.","type":"article-journal","volume":"8"},"uris":["http://www.mendeley.com/documents/?uuid=25b7ccb1-1881-455e-87ee-a84d4c0c26a7"]}],"mendeley":{"formattedCitation":"(Al-Busaidi, 2008; Pope &amp; Mays, 1995)","plainTextFormattedCitation":"(Al-Busaidi, 2008; Pope &amp; Mays, 1995)","previouslyFormattedCitation":"(Al-Busaidi, 2008; Pope &amp; Mays, 1995)"},"properties":{"noteIndex":0},"schema":"https://github.com/citation-style-language/schema/raw/master/csl-citation.json"}</w:instrText>
      </w:r>
      <w:r w:rsidRPr="006A1EC7">
        <w:fldChar w:fldCharType="separate"/>
      </w:r>
      <w:r w:rsidRPr="006A1EC7">
        <w:rPr>
          <w:noProof/>
        </w:rPr>
        <w:t>(Al-Busaidi, 2008; Pope &amp; Mays, 1995)</w:t>
      </w:r>
      <w:r w:rsidRPr="006A1EC7">
        <w:fldChar w:fldCharType="end"/>
      </w:r>
      <w:r w:rsidRPr="006A1EC7">
        <w:t xml:space="preserve">. The importance of the concept of validity, for the purpose of scale development, has been discussed in Chapter 2; and thus, further emphasises the importance of conducting (supplementary) qualitative research to inform the content of the Clinical Outcome Assessment that is being developed, especially considering the lack of research surrounding patient or family experiences. </w:t>
      </w:r>
    </w:p>
    <w:p w14:paraId="103D9ECE" w14:textId="77777777" w:rsidR="00D13545" w:rsidRPr="006A1EC7" w:rsidRDefault="00D13545" w:rsidP="00D13545">
      <w:pPr>
        <w:spacing w:line="360" w:lineRule="auto"/>
        <w:ind w:firstLine="720"/>
      </w:pPr>
      <w:r w:rsidRPr="006A1EC7">
        <w:t xml:space="preserve">Often, qualitative and quantitative work are presented in an antithetic light as opposite ends of a spectrum </w:t>
      </w:r>
      <w:r w:rsidRPr="006A1EC7">
        <w:fldChar w:fldCharType="begin" w:fldLock="1"/>
      </w:r>
      <w:r w:rsidRPr="006A1EC7">
        <w:instrText>ADDIN CSL_CITATION {"citationItems":[{"id":"ITEM-1","itemData":{"DOI":"10.1177/1468794106068019","ISBN":"9781606235454","ISSN":"1098-6596","PMID":"25246403","author":[{"dropping-particle":"","family":"Pope","given":"C.","non-dropping-particle":"","parse-names":false,"suffix":""},{"dropping-particle":"","family":"Mays","given":"N.","non-dropping-particle":"","parse-names":false,"suffix":""}],"container-title":"British Medical Journal","id":"ITEM-1","issue":"311","issued":{"date-parts":[["1995"]]},"page":"42-45","title":"Qualitative Research","type":"article-journal"},"uris":["http://www.mendeley.com/documents/?uuid=882e7001-2c31-4013-a4bf-0147a9e7a276"]},{"id":"ITEM-2","itemData":{"DOI":"10.1177/1524839910363537.Appraising","ISBN":"0142-159X; 0142-159X","ISSN":"2075-051X","PMID":"21654952","abstract":"Although relatively uncommon in health care research, qualitative research is now receiving recognition and is increasingly used in health care research with social and cultural dimensions. Unlike quantitative research, which is deductive and tends to analyze phenomena in terms of trends and frequencies, qualitative research seeks to determine the meaning of a phenomenon through description. It aims to develop concepts that aid in the understanding of natural phenomena with emphasis on the meaning, experiences and views of the participants. Differences among qualitative researchers exist on matters of ontology, epistemology, data collection methods and methods of evaluation. The aim of this article is not to act as a practical guide on how to conduct qualitative research, but is an attempt to give an introduction to qualitative research methods and their use in health-related research.","author":[{"dropping-particle":"","family":"Al-Busaidi","given":"Zakiya Q","non-dropping-particle":"","parse-names":false,"suffix":""}],"container-title":"Sultan Qaboos University medical journal","id":"ITEM-2","issue":"1","issued":{"date-parts":[["2008"]]},"page":"11-9","title":"Qualitative research and its uses in health care.","type":"article-journal","volume":"8"},"uris":["http://www.mendeley.com/documents/?uuid=25b7ccb1-1881-455e-87ee-a84d4c0c26a7"]}],"mendeley":{"formattedCitation":"(Al-Busaidi, 2008; Pope &amp; Mays, 1995)","plainTextFormattedCitation":"(Al-Busaidi, 2008; Pope &amp; Mays, 1995)","previouslyFormattedCitation":"(Al-Busaidi, 2008; Pope &amp; Mays, 1995)"},"properties":{"noteIndex":0},"schema":"https://github.com/citation-style-language/schema/raw/master/csl-citation.json"}</w:instrText>
      </w:r>
      <w:r w:rsidRPr="006A1EC7">
        <w:fldChar w:fldCharType="separate"/>
      </w:r>
      <w:r w:rsidRPr="006A1EC7">
        <w:rPr>
          <w:noProof/>
        </w:rPr>
        <w:t>(Al-Busaidi, 2008; Pope &amp; Mays, 1995)</w:t>
      </w:r>
      <w:r w:rsidRPr="006A1EC7">
        <w:fldChar w:fldCharType="end"/>
      </w:r>
      <w:r w:rsidRPr="006A1EC7">
        <w:t xml:space="preserve">, however Pope and Mays (1995), for example, argue that these approaches should be viewed as complimentary rather than opposing. It is now widely acknowledged that qualitative research methods can provide insight into complex phenomena that are often not accessible for quantitative research. These complex phenomena can include illness experience, (health-related) quality of life, family attitudes or personal coping </w:t>
      </w:r>
      <w:r w:rsidRPr="006A1EC7">
        <w:fldChar w:fldCharType="begin" w:fldLock="1"/>
      </w:r>
      <w:r w:rsidRPr="006A1EC7">
        <w:instrText>ADDIN CSL_CITATION {"citationItems":[{"id":"ITEM-1","itemData":{"DOI":"10.1038/ejhg.2013.102","ISBN":"1018-4813","ISSN":"1476-5438","PMID":"23695282","abstract":"Klinefelter syndrome (KS) is a common genetic condition that is currently under-diagnosed. The phenotype is broad, with physical, medical and psychosocial features ranging from mild to severe. When a child is diagnosed with KS, the parents may spend months to years searching for a diagnosis. This study used a qualitative methods approach to explore parents' experiences of having a child with KS and receiving a diagnosis. Fifteen semistructured one-to-one in-depth interviews were conducted to explore their experiences and views. The interviews were then transcribed, coded and thematically analysed. The interviews revealed that parents had diverse experiences related to: the timing of the diagnosis of their child and reasons why their child was investigated for KS; the information that was provided at the time of diagnosis; the supports that were available and the concerns that parents held for the future of their child. The conclusions from this study were that parents' experiences of having a child with KS and receiving a diagnosis were complex and multifaceted. This experience was shaped by the timing of when the diagnosis was received, who provided the diagnosis, what information was provided from health-care professionals and that which parents may have encountered on the internet. The long-term experiences for parents were also impacted by the level of support they received. These findings have implications for the process by which KS is recognised by the health-care community and supports available for families.","author":[{"dropping-particle":"","family":"Bourke","given":"Elyssia","non-dropping-particle":"","parse-names":false,"suffix":""},{"dropping-particle":"","family":"Snow","given":"Pamela","non-dropping-particle":"","parse-names":false,"suffix":""},{"dropping-particle":"","family":"Herlihy","given":"Amy","non-dropping-particle":"","parse-names":false,"suffix":""},{"dropping-particle":"","family":"Amor","given":"David","non-dropping-particle":"","parse-names":false,"suffix":""},{"dropping-particle":"","family":"Metcalfe","given":"Sylvia","non-dropping-particle":"","parse-names":false,"suffix":""}],"container-title":"European journal of human genetics : EJHG","id":"ITEM-1","issue":"1","issued":{"date-parts":[["2014"]]},"page":"18-24","publisher":"Nature Publishing Group","title":"A qualitative exploration of mothers' and fathers' experiences of having a child with Klinefelter syndrome and the process of reaching this diagnosis.","type":"article-journal","volume":"22"},"uris":["http://www.mendeley.com/documents/?uuid=1a9feabd-8882-40cc-99cd-a9c1d034c507"]},{"id":"ITEM-2","itemData":{"author":[{"dropping-particle":"","family":"Hollman","given":"Gunilla","non-dropping-particle":"","parse-names":false,"suffix":""},{"dropping-particle":"","family":"Olsson","given":"Anders G","non-dropping-particle":"","parse-names":false,"suffix":""}],"id":"ITEM-2","issue":"4","issued":{"date-parts":[["2004"]]},"page":"243-250","title":"The Meaning of Quality of Life Among Patients With Familial Hypercholesterolemia","type":"article-journal","volume":"19"},"uris":["http://www.mendeley.com/documents/?uuid=cb4ae309-94d9-4c6d-baf9-a93d7bec7ded"]},{"id":"ITEM-3","itemData":{"DOI":"10.1111/j.1399-0004.2006.00624.x","ISBN":"0009-9163","ISSN":"00099163","PMID":"16712700","abstract":"There has been a paucity of research into the psychosocial impact of juvenile Huntington's disease (JHD) on the child and the family. The study reported here is part of larger project that aimed to address this and investigate the social and health care needs of those affected by JHD. Ten semistructured interviews with the main caregiver(s) were carried out and were analyzed using the qualitative methodology interpretative phenomenological analysis. The main themes arising from the analysis are reported here: first becoming aware something is wrong; physical symptoms; speech and communication difficulties; behavioral problems; a slow but relentless process. These are discussed in relation to extant literature. We hope the article will be helpful to clinicians working with families where a child is affected by JHD and also contribute to the general literature on understanding symptoms in childhood illness.","author":[{"dropping-particle":"","family":"Smith","given":"Jonathan A.","non-dropping-particle":"","parse-names":false,"suffix":""},{"dropping-particle":"","family":"Brewer","given":"H. M.","non-dropping-particle":"","parse-names":false,"suffix":""},{"dropping-particle":"","family":"Eatough","given":"V.","non-dropping-particle":"","parse-names":false,"suffix":""},{"dropping-particle":"","family":"Stanley","given":"C. A.","non-dropping-particle":"","parse-names":false,"suffix":""},{"dropping-particle":"","family":"Glendinning","given":"N. W.","non-dropping-particle":"","parse-names":false,"suffix":""},{"dropping-particle":"","family":"Quarrell","given":"O. W J","non-dropping-particle":"","parse-names":false,"suffix":""}],"container-title":"Clinical Genetics","id":"ITEM-3","issue":"6","issued":{"date-parts":[["2006"]]},"page":"486-496","title":"The personal experience of juvenile Huntington's disease: An interpretative phenomenological analysis of parents' accounts of the primary features of a rare genetic condition","type":"article-journal","volume":"69"},"uris":["http://www.mendeley.com/documents/?uuid=d7b855e5-1d6f-4e0c-b183-ba5936e6df61"]}],"mendeley":{"formattedCitation":"(Bourke, Snow, Herlihy, Amor, &amp; Metcalfe, 2014; Hollman &amp; Olsson, 2004; Jonathan A. Smith et al., 2006)","manualFormatting":"(e.g. Bourke, Snow, Herlihy, Amor, &amp; Metcalfe, 2014; Hollman &amp; Olsson, 2004; Smith et al., 2006)","plainTextFormattedCitation":"(Bourke, Snow, Herlihy, Amor, &amp; Metcalfe, 2014; Hollman &amp; Olsson, 2004; Jonathan A. Smith et al., 2006)","previouslyFormattedCitation":"(Bourke, Snow, Herlihy, Amor, &amp; Metcalfe, 2014; Hollman &amp; Olsson, 2004; Jonathan A. Smith et al., 2006)"},"properties":{"noteIndex":0},"schema":"https://github.com/citation-style-language/schema/raw/master/csl-citation.json"}</w:instrText>
      </w:r>
      <w:r w:rsidRPr="006A1EC7">
        <w:fldChar w:fldCharType="separate"/>
      </w:r>
      <w:r w:rsidRPr="006A1EC7">
        <w:rPr>
          <w:noProof/>
        </w:rPr>
        <w:t>(e.g. Bourke, Snow, Herlihy, Amor, &amp; Metcalfe, 2014; Hollman &amp; Olsson, 2004; Smith et al., 2006)</w:t>
      </w:r>
      <w:r w:rsidRPr="006A1EC7">
        <w:fldChar w:fldCharType="end"/>
      </w:r>
      <w:r w:rsidRPr="006A1EC7">
        <w:t xml:space="preserve">. </w:t>
      </w:r>
    </w:p>
    <w:p w14:paraId="2701F517" w14:textId="14C706CD" w:rsidR="00D13545" w:rsidRPr="006A1EC7" w:rsidRDefault="00D13545" w:rsidP="00D13545">
      <w:pPr>
        <w:spacing w:line="360" w:lineRule="auto"/>
        <w:ind w:firstLine="720"/>
      </w:pPr>
      <w:r w:rsidRPr="006A1EC7">
        <w:t xml:space="preserve">Within qualitative health research, interviews are the most common form of data collection </w:t>
      </w:r>
      <w:r w:rsidRPr="006A1EC7">
        <w:fldChar w:fldCharType="begin" w:fldLock="1"/>
      </w:r>
      <w:r w:rsidRPr="006A1EC7">
        <w:instrText>ADDIN CSL_CITATION {"citationItems":[{"id":"ITEM-1","itemData":{"DOI":"10.1177/1524839910363537.Appraising","ISBN":"0142-159X; 0142-159X","ISSN":"2075-051X","PMID":"21654952","abstract":"Although relatively uncommon in health care research, qualitative research is now receiving recognition and is increasingly used in health care research with social and cultural dimensions. Unlike quantitative research, which is deductive and tends to analyze phenomena in terms of trends and frequencies, qualitative research seeks to determine the meaning of a phenomenon through description. It aims to develop concepts that aid in the understanding of natural phenomena with emphasis on the meaning, experiences and views of the participants. Differences among qualitative researchers exist on matters of ontology, epistemology, data collection methods and methods of evaluation. The aim of this article is not to act as a practical guide on how to conduct qualitative research, but is an attempt to give an introduction to qualitative research methods and their use in health-related research.","author":[{"dropping-particle":"","family":"Al-Busaidi","given":"Zakiya Q","non-dropping-particle":"","parse-names":false,"suffix":""}],"container-title":"Sultan Qaboos University medical journal","id":"ITEM-1","issue":"1","issued":{"date-parts":[["2008"]]},"page":"11-9","title":"Qualitative research and its uses in health care.","type":"article-journal","volume":"8"},"uris":["http://www.mendeley.com/documents/?uuid=25b7ccb1-1881-455e-87ee-a84d4c0c26a7"]}],"mendeley":{"formattedCitation":"(Al-Busaidi, 2008)","plainTextFormattedCitation":"(Al-Busaidi, 2008)","previouslyFormattedCitation":"(Al-Busaidi, 2008)"},"properties":{"noteIndex":0},"schema":"https://github.com/citation-style-language/schema/raw/master/csl-citation.json"}</w:instrText>
      </w:r>
      <w:r w:rsidRPr="006A1EC7">
        <w:fldChar w:fldCharType="separate"/>
      </w:r>
      <w:r w:rsidRPr="006A1EC7">
        <w:rPr>
          <w:noProof/>
        </w:rPr>
        <w:t>(Al-Busaidi, 2008)</w:t>
      </w:r>
      <w:r w:rsidRPr="006A1EC7">
        <w:fldChar w:fldCharType="end"/>
      </w:r>
      <w:r w:rsidRPr="006A1EC7">
        <w:t xml:space="preserve">, which is also reflected in the fact that they are the most commonly used inductive method for scale development </w:t>
      </w:r>
      <w:r w:rsidRPr="006A1EC7">
        <w:fldChar w:fldCharType="begin" w:fldLock="1"/>
      </w:r>
      <w:r w:rsidRPr="006A1EC7">
        <w:instrText>ADDIN CSL_CITATION {"citationItems":[{"id":"ITEM-1","itemData":{"DOI":"10.1186/s41155-016-0057-1","ISBN":"0102797220170","ISSN":"16787153","abstract":"The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Critica","id":"ITEM-1","issue":"1","issued":{"date-parts":[["2017"]]},"page":"1-20","publisher":"Psicologia: Reflexão e Crítica","title":"Scale development: Ten main limitations and recommendations to improve future research practices","type":"article-journal","volume":"30"},"uris":["http://www.mendeley.com/documents/?uuid=a8b9cc36-43ce-4491-b24e-6b402072bceb"]}],"mendeley":{"formattedCitation":"(Morgado et al., 2017)","plainTextFormattedCitation":"(Morgado et al., 2017)","previouslyFormattedCitation":"(Morgado et al., 2017)"},"properties":{"noteIndex":0},"schema":"https://github.com/citation-style-language/schema/raw/master/csl-citation.json"}</w:instrText>
      </w:r>
      <w:r w:rsidRPr="006A1EC7">
        <w:fldChar w:fldCharType="separate"/>
      </w:r>
      <w:r w:rsidRPr="006A1EC7">
        <w:rPr>
          <w:noProof/>
        </w:rPr>
        <w:t>(Morgado et al., 2017)</w:t>
      </w:r>
      <w:r w:rsidRPr="006A1EC7">
        <w:fldChar w:fldCharType="end"/>
      </w:r>
      <w:r w:rsidRPr="006A1EC7">
        <w:t xml:space="preserve">. For scale development, the second most commonly used qualitative research methodology is the conduction of focus groups  </w:t>
      </w:r>
      <w:r w:rsidRPr="006A1EC7">
        <w:fldChar w:fldCharType="begin" w:fldLock="1"/>
      </w:r>
      <w:r w:rsidRPr="006A1EC7">
        <w:instrText>ADDIN CSL_CITATION {"citationItems":[{"id":"ITEM-1","itemData":{"DOI":"10.1186/s41155-016-0057-1","ISBN":"0102797220170","ISSN":"16787153","abstract":"The scale development process is critical to building knowledge in human and social sciences. The present paper aimed (a) to provide a systematic review of the published literature regarding current practices of the scale development process, (b) to assess the main limitations reported by the authors in these processes, and (c) to provide a set of recommendations for best practices in future scale development research. Papers were selected in September 2015, with the search terms “scale development” and “limitations” from three databases: Scopus, PsycINFO, and Web of Science, with no time restriction. We evaluated 105 studies published between 1976 and 2015. The analysis considered the three basic steps in scale development: item generation, theoretical analysis, and psychometric analysis. The study identified ten main types of limitation in these practices reported in the literature: sample characteristic limitations, methodological limitations, psychometric limitations, qualitative research limitations, missing data, social desirability bias, item limitations, brevity of the scale, difficulty controlling all variables, and lack of manual instructions. Considering these results, various studies analyzed in this review clearly identified methodological weaknesses in the scale development process (e.g., smaller sample sizes in psychometric analysis), but only a few researchers recognized and recorded these limitations. We hope that a systematic knowledge of the difficulties usually reported in scale development will help future researchers to recognize their own limitations and especially to make the most appropriate choices among different conceptions and methodological strategies.","author":[{"dropping-particle":"","family":"Morgado","given":"Fabiane F.R.","non-dropping-particle":"","parse-names":false,"suffix":""},{"dropping-particle":"","family":"Meireles","given":"Juliana F.F.","non-dropping-particle":"","parse-names":false,"suffix":""},{"dropping-particle":"","family":"Neves","given":"Clara M.","non-dropping-particle":"","parse-names":false,"suffix":""},{"dropping-particle":"","family":"Amaral","given":"Ana C.S.","non-dropping-particle":"","parse-names":false,"suffix":""},{"dropping-particle":"","family":"Ferreira","given":"Maria E.C.","non-dropping-particle":"","parse-names":false,"suffix":""}],"container-title":"Psicologia: Reflexao e Critica","id":"ITEM-1","issue":"1","issued":{"date-parts":[["2017"]]},"page":"1-20","publisher":"Psicologia: Reflexão e Crítica","title":"Scale development: Ten main limitations and recommendations to improve future research practices","type":"article-journal","volume":"30"},"uris":["http://www.mendeley.com/documents/?uuid=a8b9cc36-43ce-4491-b24e-6b402072bceb"]}],"mendeley":{"formattedCitation":"(Morgado et al., 2017)","plainTextFormattedCitation":"(Morgado et al., 2017)","previouslyFormattedCitation":"(Morgado et al., 2017)"},"properties":{"noteIndex":0},"schema":"https://github.com/citation-style-language/schema/raw/master/csl-citation.json"}</w:instrText>
      </w:r>
      <w:r w:rsidRPr="006A1EC7">
        <w:fldChar w:fldCharType="separate"/>
      </w:r>
      <w:r w:rsidRPr="006A1EC7">
        <w:rPr>
          <w:noProof/>
        </w:rPr>
        <w:t>(Morgado et al., 2017)</w:t>
      </w:r>
      <w:r w:rsidRPr="006A1EC7">
        <w:fldChar w:fldCharType="end"/>
      </w:r>
      <w:r w:rsidRPr="006A1EC7">
        <w:t xml:space="preserve">. However, for rare disease research, in particular </w:t>
      </w:r>
      <w:r w:rsidR="009F0718" w:rsidRPr="006A1EC7">
        <w:t>WHS</w:t>
      </w:r>
      <w:r w:rsidRPr="006A1EC7">
        <w:t xml:space="preserve">, conducting a focus group would be extremely challenging for a number of reasons: as WHS is a rare condition, the participant pool is already limited; a lack of </w:t>
      </w:r>
      <w:r w:rsidRPr="006A1EC7">
        <w:lastRenderedPageBreak/>
        <w:t xml:space="preserve">(potential) participants living in close proximity to each other, requiring participants and their families to travel to a mutually convenient location for other participants; the high heterogeneity of clinical features in this patient group may exacerbate these challenges due to different families having, for example, different priorities or experiences. Individual interviews are therefore preferred in these such situations. </w:t>
      </w:r>
    </w:p>
    <w:p w14:paraId="11244C4C" w14:textId="77777777" w:rsidR="00D13545" w:rsidRPr="006A1EC7" w:rsidRDefault="00D13545" w:rsidP="00D13545">
      <w:pPr>
        <w:spacing w:line="360" w:lineRule="auto"/>
        <w:ind w:firstLine="720"/>
      </w:pPr>
      <w:r w:rsidRPr="006A1EC7">
        <w:t xml:space="preserve">Using open-ended questions in interviews enables participants to answer relevant questions and elaborate on experiences they also perceive as relevant. Usually, interviews are characterised by their flexibility, as during the interview process researchers are able to ask for clarification or further explore certain topics resulting in much richer data </w:t>
      </w:r>
      <w:r w:rsidRPr="006A1EC7">
        <w:fldChar w:fldCharType="begin" w:fldLock="1"/>
      </w:r>
      <w:r w:rsidRPr="006A1EC7">
        <w:instrText>ADDIN CSL_CITATION {"citationItems":[{"id":"ITEM-1","itemData":{"ISBN":"9781412971676","author":[{"dropping-particle":"","family":"Guest","given":"By Greg","non-dropping-particle":"","parse-names":false,"suffix":""},{"dropping-particle":"","family":"Macqueen","given":"Kathleen M","non-dropping-particle":"","parse-names":false,"suffix":""},{"dropping-particle":"","family":"Namey","given":"Emily E","non-dropping-particle":"","parse-names":false,"suffix":""}],"id":"ITEM-1","issued":{"date-parts":[["2014"]]},"number-of-pages":"49-78","publisher":"Sage Publications","title":"Introduction to Applied Thematic Analysis","type":"book"},"uris":["http://www.mendeley.com/documents/?uuid=83681fef-83ce-446f-b355-391f44ff2624"]}],"mendeley":{"formattedCitation":"(Guest, Macqueen, &amp; Namey, 2014)","plainTextFormattedCitation":"(Guest, Macqueen, &amp; Namey, 2014)","previouslyFormattedCitation":"(Guest, Macqueen, &amp; Namey, 2014)"},"properties":{"noteIndex":0},"schema":"https://github.com/citation-style-language/schema/raw/master/csl-citation.json"}</w:instrText>
      </w:r>
      <w:r w:rsidRPr="006A1EC7">
        <w:fldChar w:fldCharType="separate"/>
      </w:r>
      <w:r w:rsidRPr="006A1EC7">
        <w:rPr>
          <w:noProof/>
        </w:rPr>
        <w:t>(Guest, Macqueen, &amp; Namey, 2014)</w:t>
      </w:r>
      <w:r w:rsidRPr="006A1EC7">
        <w:fldChar w:fldCharType="end"/>
      </w:r>
      <w:r w:rsidRPr="006A1EC7">
        <w:t xml:space="preserve">. Of course, focus groups may also offer rich data but are affected by the aforementioned limitations, individual experiences or social desirability. </w:t>
      </w:r>
    </w:p>
    <w:p w14:paraId="388FCA63" w14:textId="252ED517" w:rsidR="00D13545" w:rsidRPr="006A1EC7" w:rsidRDefault="00D13545" w:rsidP="00D13545">
      <w:pPr>
        <w:spacing w:line="360" w:lineRule="auto"/>
        <w:ind w:firstLine="720"/>
      </w:pPr>
      <w:r w:rsidRPr="006A1EC7">
        <w:t xml:space="preserve">In conclusion, interviews offer a more appropriate way of data collection than focus groups for the purpose of investigating the psychosocial impact of </w:t>
      </w:r>
      <w:r w:rsidR="009F0718" w:rsidRPr="006A1EC7">
        <w:t>WHS</w:t>
      </w:r>
      <w:r w:rsidRPr="006A1EC7">
        <w:t xml:space="preserve"> on patients and families and informing the development of a Clinical outcome assessment to measure health-related quality of life of patients.</w:t>
      </w:r>
    </w:p>
    <w:p w14:paraId="7F541C71" w14:textId="77777777" w:rsidR="00D13545" w:rsidRPr="006A1EC7" w:rsidRDefault="00D13545" w:rsidP="00D13545">
      <w:pPr>
        <w:spacing w:line="276" w:lineRule="auto"/>
        <w:ind w:firstLine="720"/>
      </w:pPr>
    </w:p>
    <w:p w14:paraId="58D40B24" w14:textId="77777777" w:rsidR="00D13545" w:rsidRPr="006A1EC7" w:rsidRDefault="00D13545" w:rsidP="00D13545">
      <w:pPr>
        <w:pStyle w:val="Heading3"/>
        <w:rPr>
          <w:rFonts w:ascii="Times New Roman" w:hAnsi="Times New Roman" w:cs="Times New Roman"/>
        </w:rPr>
      </w:pPr>
      <w:bookmarkStart w:id="109" w:name="_Toc22126821"/>
      <w:r w:rsidRPr="006A1EC7">
        <w:rPr>
          <w:rFonts w:ascii="Times New Roman" w:hAnsi="Times New Roman" w:cs="Times New Roman"/>
        </w:rPr>
        <w:t>Methods for qualitative research</w:t>
      </w:r>
      <w:bookmarkEnd w:id="109"/>
      <w:r w:rsidRPr="006A1EC7">
        <w:rPr>
          <w:rFonts w:ascii="Times New Roman" w:hAnsi="Times New Roman" w:cs="Times New Roman"/>
        </w:rPr>
        <w:t xml:space="preserve"> and analysis</w:t>
      </w:r>
      <w:r w:rsidRPr="006A1EC7">
        <w:rPr>
          <w:rFonts w:ascii="Times New Roman" w:hAnsi="Times New Roman" w:cs="Times New Roman"/>
        </w:rPr>
        <w:br/>
      </w:r>
    </w:p>
    <w:p w14:paraId="59BC5A17" w14:textId="77777777" w:rsidR="00D13545" w:rsidRPr="006A1EC7" w:rsidRDefault="00D13545" w:rsidP="00D13545">
      <w:pPr>
        <w:spacing w:line="360" w:lineRule="auto"/>
        <w:ind w:firstLine="360"/>
      </w:pPr>
      <w:r w:rsidRPr="006A1EC7">
        <w:t>A distinction must be made between ‘content-driven’ (exploratory/inductive) and ‘hypothesis-driven’ (confirmatory/deductive) methods of qualitative data analysis. When choosing to work from a content driven perspective, a researcher immerses themselves into the data by reading the interviews repeatedly then looking for “</w:t>
      </w:r>
      <w:r w:rsidRPr="006A1EC7">
        <w:rPr>
          <w:i/>
        </w:rPr>
        <w:t>keywords, trends, themes and ideas</w:t>
      </w:r>
      <w:r w:rsidRPr="006A1EC7">
        <w:t xml:space="preserve">” within the data. Codes or themes that are the result of such analyses are never predetermined in such exploratory analyses but are a direct result of working with the data. Contrary to this are the confirmatory analysis methods, where the ‘analytic categories’ are pre-determined. The approach chosen by the researcher/s may also influence their sampling: exploratory work usually applies purposive sampling and data collection for their specific topic, whereas confirmatory work usually employs random sampling of pre-existing data </w:t>
      </w:r>
      <w:r w:rsidRPr="006A1EC7">
        <w:fldChar w:fldCharType="begin" w:fldLock="1"/>
      </w:r>
      <w:r w:rsidRPr="006A1EC7">
        <w:instrText>ADDIN CSL_CITATION {"citationItems":[{"id":"ITEM-1","itemData":{"ISBN":"9781412971676","author":[{"dropping-particle":"","family":"Guest","given":"By Greg","non-dropping-particle":"","parse-names":false,"suffix":""},{"dropping-particle":"","family":"Macqueen","given":"Kathleen M","non-dropping-particle":"","parse-names":false,"suffix":""},{"dropping-particle":"","family":"Namey","given":"Emily E","non-dropping-particle":"","parse-names":false,"suffix":""}],"id":"ITEM-1","issued":{"date-parts":[["2014"]]},"number-of-pages":"49-78","publisher":"Sage Publications","title":"Introduction to Applied Thematic Analysis","type":"book"},"uris":["http://www.mendeley.com/documents/?uuid=83681fef-83ce-446f-b355-391f44ff2624"]}],"mendeley":{"formattedCitation":"(Guest et al., 2014)","plainTextFormattedCitation":"(Guest et al., 2014)","previouslyFormattedCitation":"(Guest et al., 2014)"},"properties":{"noteIndex":0},"schema":"https://github.com/citation-style-language/schema/raw/master/csl-citation.json"}</w:instrText>
      </w:r>
      <w:r w:rsidRPr="006A1EC7">
        <w:fldChar w:fldCharType="separate"/>
      </w:r>
      <w:r w:rsidRPr="006A1EC7">
        <w:rPr>
          <w:noProof/>
        </w:rPr>
        <w:t>(Guest et al., 2014)</w:t>
      </w:r>
      <w:r w:rsidRPr="006A1EC7">
        <w:fldChar w:fldCharType="end"/>
      </w:r>
      <w:r w:rsidRPr="006A1EC7">
        <w:t xml:space="preserve">. </w:t>
      </w:r>
    </w:p>
    <w:p w14:paraId="29D9016B" w14:textId="77777777" w:rsidR="00D13545" w:rsidRPr="006A1EC7" w:rsidRDefault="00D13545" w:rsidP="00D13545">
      <w:pPr>
        <w:spacing w:line="360" w:lineRule="auto"/>
        <w:ind w:firstLine="360"/>
      </w:pPr>
      <w:r w:rsidRPr="006A1EC7">
        <w:t xml:space="preserve">Some argue that the exploratory approach is less valid than confirmatory ones, however, it is typically the first step to generating hypotheses exploring a mostly unknown field </w:t>
      </w:r>
      <w:r w:rsidRPr="006A1EC7">
        <w:fldChar w:fldCharType="begin" w:fldLock="1"/>
      </w:r>
      <w:r w:rsidRPr="006A1EC7">
        <w:instrText>ADDIN CSL_CITATION {"citationItems":[{"id":"ITEM-1","itemData":{"ISBN":"9781412971676","author":[{"dropping-particle":"","family":"Guest","given":"By Greg","non-dropping-particle":"","parse-names":false,"suffix":""},{"dropping-particle":"","family":"Macqueen","given":"Kathleen M","non-dropping-particle":"","parse-names":false,"suffix":""},{"dropping-particle":"","family":"Namey","given":"Emily E","non-dropping-particle":"","parse-names":false,"suffix":""}],"id":"ITEM-1","issued":{"date-parts":[["2014"]]},"number-of-pages":"49-78","publisher":"Sage Publications","title":"Introduction to Applied Thematic Analysis","type":"book"},"uris":["http://www.mendeley.com/documents/?uuid=83681fef-83ce-446f-b355-391f44ff2624"]}],"mendeley":{"formattedCitation":"(Guest et al., 2014)","plainTextFormattedCitation":"(Guest et al., 2014)","previouslyFormattedCitation":"(Guest et al., 2014)"},"properties":{"noteIndex":0},"schema":"https://github.com/citation-style-language/schema/raw/master/csl-citation.json"}</w:instrText>
      </w:r>
      <w:r w:rsidRPr="006A1EC7">
        <w:fldChar w:fldCharType="separate"/>
      </w:r>
      <w:r w:rsidRPr="006A1EC7">
        <w:rPr>
          <w:noProof/>
        </w:rPr>
        <w:t>(Guest et al., 2014)</w:t>
      </w:r>
      <w:r w:rsidRPr="006A1EC7">
        <w:fldChar w:fldCharType="end"/>
      </w:r>
      <w:r w:rsidRPr="006A1EC7">
        <w:t xml:space="preserve">, and is therefore applicable to the current project. While there is a breadth of published literature about key clinical features of WHS, there is a distinct lack of psychosocial literature as well as literature exploring the caregiver and patient perspectives. </w:t>
      </w:r>
      <w:r w:rsidRPr="006A1EC7">
        <w:lastRenderedPageBreak/>
        <w:t xml:space="preserve">In keeping with the FDA guidance, the patient/caregiver perspectives must be incorporated in the development of a new COA </w:t>
      </w:r>
      <w:r w:rsidRPr="006A1EC7">
        <w:fldChar w:fldCharType="begin" w:fldLock="1"/>
      </w:r>
      <w:r w:rsidRPr="006A1EC7">
        <w:instrText>ADDIN CSL_CITATION {"citationItems":[{"id":"ITEM-1","itemData":{"URL":"https://www.fda.gov/drugs/developmentapprovalprocess/drugdevelopmenttoolsqualificationprogram/ucm284077.htm","accessed":{"date-parts":[["2017","9","11"]]},"author":[{"dropping-particle":"","family":"U.S. Department of Health and Human Services: Food and Drug Administration","given":"","non-dropping-particle":"","parse-names":false,"suffix":""},{"dropping-particle":"","family":"U.S. Food and Drug Administration","given":"","non-dropping-particle":"","parse-names":false,"suffix":""}],"id":"ITEM-1","issued":{"date-parts":[["2017"]]},"title":"Clinical Outcome Assessment Qualification Program","type":"webpage"},"uris":["http://www.mendeley.com/documents/?uuid=9766beb7-1ed3-4a03-a387-dfb6c26d6b23"]}],"mendeley":{"formattedCitation":"(U.S. Department of Health and Human Services: Food and Drug Administration &amp; U.S. Food and Drug Administration, 2017)","plainTextFormattedCitation":"(U.S. Department of Health and Human Services: Food and Drug Administration &amp; U.S. Food and Drug Administration, 2017)","previouslyFormattedCitation":"(U.S. Department of Health and Human Services: Food and Drug Administration &amp; U.S. Food and Drug Administration, 2017)"},"properties":{"noteIndex":0},"schema":"https://github.com/citation-style-language/schema/raw/master/csl-citation.json"}</w:instrText>
      </w:r>
      <w:r w:rsidRPr="006A1EC7">
        <w:fldChar w:fldCharType="separate"/>
      </w:r>
      <w:r w:rsidRPr="006A1EC7">
        <w:rPr>
          <w:noProof/>
        </w:rPr>
        <w:t>(U.S. Department of Health and Human Services: Food and Drug Administration &amp; U.S. Food and Drug Administration, 2017)</w:t>
      </w:r>
      <w:r w:rsidRPr="006A1EC7">
        <w:fldChar w:fldCharType="end"/>
      </w:r>
      <w:r w:rsidRPr="006A1EC7">
        <w:t xml:space="preserve">. As no research has previously been conducted in this area, the work is explanatory and requires an inductive approach. </w:t>
      </w:r>
    </w:p>
    <w:p w14:paraId="05183047" w14:textId="77777777" w:rsidR="00D13545" w:rsidRPr="006A1EC7" w:rsidRDefault="00D13545" w:rsidP="00D13545">
      <w:pPr>
        <w:spacing w:line="360" w:lineRule="auto"/>
        <w:ind w:firstLine="720"/>
      </w:pPr>
      <w:r w:rsidRPr="006A1EC7">
        <w:t>For (exploratory) interviews investigating an area where no previous research has been conducted, there are a number of suitable qualitative analysis methods: Content Analysis, Grounded Theory, Thematic Analysis (TA), and Interpretative Phenomenological Analysis.</w:t>
      </w:r>
    </w:p>
    <w:p w14:paraId="0C00D56F" w14:textId="77777777" w:rsidR="00D13545" w:rsidRPr="006A1EC7" w:rsidRDefault="00D13545" w:rsidP="00D13545">
      <w:pPr>
        <w:spacing w:line="360" w:lineRule="auto"/>
      </w:pPr>
    </w:p>
    <w:p w14:paraId="1708BB4C" w14:textId="77777777" w:rsidR="00D13545" w:rsidRPr="006A1EC7" w:rsidRDefault="00D13545" w:rsidP="00D13545">
      <w:pPr>
        <w:pStyle w:val="Heading4"/>
        <w:rPr>
          <w:rFonts w:ascii="Times New Roman" w:hAnsi="Times New Roman" w:cs="Times New Roman"/>
        </w:rPr>
      </w:pPr>
      <w:r w:rsidRPr="006A1EC7">
        <w:rPr>
          <w:rFonts w:ascii="Times New Roman" w:hAnsi="Times New Roman" w:cs="Times New Roman"/>
        </w:rPr>
        <w:t>Content Analysis</w:t>
      </w:r>
    </w:p>
    <w:p w14:paraId="45062063" w14:textId="77777777" w:rsidR="00D13545" w:rsidRPr="006A1EC7" w:rsidRDefault="00D13545" w:rsidP="00D13545">
      <w:pPr>
        <w:spacing w:line="360" w:lineRule="auto"/>
        <w:ind w:firstLine="720"/>
      </w:pPr>
      <w:r w:rsidRPr="006A1EC7">
        <w:t xml:space="preserve">Content analysis is arguably the most basic of analysis approaches and focuses on categorising data and frequencies of certain categories within a data set </w:t>
      </w:r>
      <w:r w:rsidRPr="006A1EC7">
        <w:fldChar w:fldCharType="begin" w:fldLock="1"/>
      </w:r>
      <w:r w:rsidRPr="006A1EC7">
        <w:instrText>ADDIN CSL_CITATION {"citationItems":[{"id":"ITEM-1","itemData":{"author":[{"dropping-particle":"","family":"Joffe","given":"Helen","non-dropping-particle":"","parse-names":false,"suffix":""}],"editor":[{"dropping-particle":"","family":"Harper","given":"David","non-dropping-particle":"","parse-names":false,"suffix":""},{"dropping-particle":"","family":"Thompson","given":"Andrew","non-dropping-particle":"","parse-names":false,"suffix":""}],"id":"ITEM-1","issued":{"date-parts":[["2012"]]},"publisher":"Blackwell Publishing","publisher-place":"Chichester","title":"Qualitative Research Methods in Mental Health and Psychotherapy: A Guide for Students and Practitioners","type":"book"},"uris":["http://www.mendeley.com/documents/?uuid=81bd7f30-0961-4d4a-9994-3dd729ea1645"]},{"id":"ITEM-2","itemData":{"DOI":"dx.doi.org/10.4135/9781849209793","ISBN":"0761971912","abstract":"List of contributors viii Preface and acknowledgements ix 1 Introduction to research methods in clinical and health psychology 1 Lucy Yardley and David F. Marks 2 Getting started: the practicalities of doing research 21 Nichola Rumsey and David F. Marks 3 Qualitative data collection: interviews and focus groups 39 Sue Wilkinson, HeÂleÁne Joffe and Lucy Yardley 4 Content and thematic analysis 56 HeÂleÁne Joffe and Lucy Yardley 5 Qualitative analysis of experience: grounded theory and case studies 69 Kerry Chamberlain, Paul Camic and Lucy Yardley 6 Qualitative analysis of talk and text: discourse and narrative analysis 90 Lucy Yardley and Michael Murray 7 Observation and action research 102 Claire Ballinger, Lucy Yardley and Sheila Payne 8 Questionnaires and surveys 122 David F. Marks 9 Analysis of questionnaire and survey data 145 David Clark-Carter and David F. Marks 10 Intervention studies: design and analysis 166 David Clark-Carter and David F. Marks 11 Synthesising evidence: systematic reviews, meta-analysis and preference analysis 185 David F. Marks and Catherine Marie Sykes Glossary 210 Bibliography 225 Index 240","author":[{"dropping-particle":"","family":"Yardley","given":"Lucy","non-dropping-particle":"","parse-names":false,"suffix":""},{"dropping-particle":"","family":"Marks","given":"David F","non-dropping-particle":"","parse-names":false,"suffix":""}],"container-title":"Research Methods for Clinical and Health Psychology","id":"ITEM-2","issued":{"date-parts":[["2011"]]},"publisher":"Sage Publications","title":"Research Methods for Clinical and Health Psychology","type":"chapter"},"uris":["http://www.mendeley.com/documents/?uuid=1053f643-4ba1-4730-9fae-11c85957b80b"]}],"mendeley":{"formattedCitation":"(Joffe, 2012; Yardley &amp; Marks, 2011)","plainTextFormattedCitation":"(Joffe, 2012; Yardley &amp; Marks, 2011)","previouslyFormattedCitation":"(Joffe, 2012; Yardley &amp; Marks, 2011)"},"properties":{"noteIndex":0},"schema":"https://github.com/citation-style-language/schema/raw/master/csl-citation.json"}</w:instrText>
      </w:r>
      <w:r w:rsidRPr="006A1EC7">
        <w:fldChar w:fldCharType="separate"/>
      </w:r>
      <w:r w:rsidRPr="006A1EC7">
        <w:rPr>
          <w:noProof/>
        </w:rPr>
        <w:t>(Joffe, 2012; Yardley &amp; Marks, 2011)</w:t>
      </w:r>
      <w:r w:rsidRPr="006A1EC7">
        <w:fldChar w:fldCharType="end"/>
      </w:r>
      <w:r w:rsidRPr="006A1EC7">
        <w:t xml:space="preserve">. While it offers a systematic approach to data analysis, it has been criticised as being reductionist and failing to take account of the complexity within these categories </w:t>
      </w:r>
      <w:r w:rsidRPr="006A1EC7">
        <w:fldChar w:fldCharType="begin" w:fldLock="1"/>
      </w:r>
      <w:r w:rsidRPr="006A1EC7">
        <w:instrText>ADDIN CSL_CITATION {"citationItems":[{"id":"ITEM-1","itemData":{"author":[{"dropping-particle":"","family":"Joffe","given":"Helen","non-dropping-particle":"","parse-names":false,"suffix":""}],"editor":[{"dropping-particle":"","family":"Harper","given":"David","non-dropping-particle":"","parse-names":false,"suffix":""},{"dropping-particle":"","family":"Thompson","given":"Andrew","non-dropping-particle":"","parse-names":false,"suffix":""}],"id":"ITEM-1","issued":{"date-parts":[["2012"]]},"publisher":"Blackwell Publishing","publisher-place":"Chichester","title":"Qualitative Research Methods in Mental Health and Psychotherapy: A Guide for Students and Practitioners","type":"book"},"uris":["http://www.mendeley.com/documents/?uuid=81bd7f30-0961-4d4a-9994-3dd729ea1645"]}],"mendeley":{"formattedCitation":"(Joffe, 2012)","plainTextFormattedCitation":"(Joffe, 2012)","previouslyFormattedCitation":"(Joffe, 2012)"},"properties":{"noteIndex":0},"schema":"https://github.com/citation-style-language/schema/raw/master/csl-citation.json"}</w:instrText>
      </w:r>
      <w:r w:rsidRPr="006A1EC7">
        <w:fldChar w:fldCharType="separate"/>
      </w:r>
      <w:r w:rsidRPr="006A1EC7">
        <w:rPr>
          <w:noProof/>
        </w:rPr>
        <w:t>(Joffe, 2012)</w:t>
      </w:r>
      <w:r w:rsidRPr="006A1EC7">
        <w:fldChar w:fldCharType="end"/>
      </w:r>
      <w:r w:rsidRPr="006A1EC7">
        <w:t xml:space="preserve">. This is a serious limitation, especially if the aim of the study is to explore the psychosocial implications of WHS syndrome for patients and their families, which are likely to be complex. Therefore, alternative analysis methods are more appropriate for the current project. </w:t>
      </w:r>
    </w:p>
    <w:p w14:paraId="17153E46" w14:textId="77777777" w:rsidR="00D13545" w:rsidRPr="006A1EC7" w:rsidRDefault="00D13545" w:rsidP="00D13545">
      <w:pPr>
        <w:pStyle w:val="Heading4"/>
        <w:rPr>
          <w:rFonts w:ascii="Times New Roman" w:hAnsi="Times New Roman" w:cs="Times New Roman"/>
        </w:rPr>
      </w:pPr>
      <w:r w:rsidRPr="006A1EC7">
        <w:rPr>
          <w:rFonts w:ascii="Times New Roman" w:hAnsi="Times New Roman" w:cs="Times New Roman"/>
        </w:rPr>
        <w:t>Grounded Theory</w:t>
      </w:r>
    </w:p>
    <w:p w14:paraId="2502C1C6" w14:textId="2D760492" w:rsidR="00D13545" w:rsidRPr="006A1EC7" w:rsidRDefault="00D13545" w:rsidP="00D13545">
      <w:pPr>
        <w:spacing w:line="360" w:lineRule="auto"/>
        <w:ind w:firstLine="720"/>
      </w:pPr>
      <w:r w:rsidRPr="006A1EC7">
        <w:t xml:space="preserve">Grounded Theory, on the other hand, aims to derive a unified theory of a phenomenon, concept or experience, not a mere quantification of the data. Usually, research utilising a grounded theory methodology starts with a broad research question using an inductive approach and, as the research process progresses, becomes more focused and deductive in nature </w:t>
      </w:r>
      <w:r w:rsidRPr="006A1EC7">
        <w:fldChar w:fldCharType="begin" w:fldLock="1"/>
      </w:r>
      <w:r w:rsidR="0010036C" w:rsidRPr="006A1EC7">
        <w:instrText>ADDIN CSL_CITATION {"citationItems":[{"id":"ITEM-1","itemData":{"ISBN":"978-0-8261-3467-7 (Paperback), 978-0-8261-3468-4 (Digital (undefined format))","abstract":"(from the cover) Grounded theory, often considered the parent of all qualitative research, is a complex approach used to develop theory about a phenomenon rooted in observation of empirical data. Widely used in nursing, grounded theory enables researchers to apply what they learn from interviewees to a wider client population. This is a practical \"how to\" guide to conducting research using this qualitative design. It is part of an innovative series for novice researchers and specialists alike, focusing on state-of-the-art methodologies from a nursing perspective. International scholars of grounded theory discuss the theoretical rationale for using this design, describe its components, and delineate a plan for generating theory using grounded theory methodology. Examples from published nursing research, with author commentary, help support new and experienced researchers in making decisions and facing challenges. The book describes traditional and focused grounded theory, phases of research, and methodology, from sample and setting to dissemination and follow-up. It encompasses state-of-the-art research about grounded theory. Varied studies range from promoting health for an overweight child to psychological adjustment of Chinese women with breast cancer to a study of nursing students' experiences in the off-campus clinical setting, among many others. The book also discusses techniques whereby researchers can ensure high standards of rigor. With a focus on practical problem solving throughout, the book will be of value to novice and experienced nurse researchers, graduate teachers and students, in-service educators and students, and nursing research staff at health care institutions. (PsycINFO Database Record (c) 2015 APA, all rights reserved)","author":[{"dropping-particle":"","family":"Chesnay","given":"Mary [Ed]","non-dropping-particle":"de","parse-names":false,"suffix":""}],"container-title":"Nursing research using grounded theory: Qualitative designs and methods in nursing.","id":"ITEM-1","issued":{"date-parts":[["2015"]]},"title":"Nursing research using grounded theory: Qualitative designs and methods in nursing.","type":"article"},"locator":"5","uris":["http://www.mendeley.com/documents/?uuid=0a45d663-dd2b-4643-86d2-3e3d9d62838c"]},{"id":"ITEM-2","itemData":{"abstract":"Published as an expression of Glaser's belief that Strauss and Corbin had grossly misrepresented the most important features of grounded theory. It describes in detail the way in which Glaser's style of grounded theory is done. As the subtitle implies, the heart of the difference is between allowing the theory to emerge from the data as opposed to forcing it into preconceived frameworks.","author":[{"dropping-particle":"","family":"Glaser","given":"Barney G.","non-dropping-particle":"","parse-names":false,"suffix":""}],"container-title":"Recherche","id":"ITEM-2","issued":{"date-parts":[["1992"]]},"title":"Basics of Grounded Theory Analysis","type":"book"},"uris":["http://www.mendeley.com/documents/?uuid=a6a20eab-00a9-4794-8771-fdb048c90c29"]},{"id":"ITEM-3","itemData":{"DOI":"10.1111/1475-6773.12275","ISSN":"14756773","abstract":"© Health Research and Educational Trust. Objective Grounded theory (GT) is an established qualitative research method, but few papers have encapsulated the benefits, limits, and basic tenets of doing GT research on user and provider experiences of health care services. GT can be used to guide the entire study method, or it can be applied at the data analysis stage only. Methods We summarize key components of GT and common GT procedures used by qualitative researchers in health care research. We draw on our experience of conducting a GT study on amyotrophic lateral sclerosis patients' experiences of health care services. Findings We discuss why some approaches in GT research may work better than others, particularly when the focus of study is hard-to-reach population groups. We highlight the flexibility of procedures in GT to build theory about how people engage with health care services. Conclusion GT enables researchers to capture and understand health care experiences. GT methods are particularly valuable when the topic of interest has not previously been studied. GT can be applied to bring structure and rigor to the analysis of qualitative data.","author":[{"dropping-particle":"","family":"Foley","given":"Geraldine","non-dropping-particle":"","parse-names":false,"suffix":""},{"dropping-particle":"","family":"Timonen","given":"Virpi","non-dropping-particle":"","parse-names":false,"suffix":""}],"container-title":"Health Services Research","id":"ITEM-3","issue":"4","issued":{"date-parts":[["2015"]]},"page":"1195-1210","title":"Using grounded theory method to capture and analyze health care experiences","type":"article-journal","volume":"50"},"uris":["http://www.mendeley.com/documents/?uuid=e2141591-307e-486f-8ed2-2f5020667a98"]}],"mendeley":{"formattedCitation":"(de Chesnay, 2015, p. 5; Foley &amp; Timonen, 2015; Glaser, 1992)","manualFormatting":"(de Chesnay, 2015; Foley &amp; Timonen, 2015; Glaser, 1992)","plainTextFormattedCitation":"(de Chesnay, 2015, p. 5; Foley &amp; Timonen, 2015; Glaser, 1992)","previouslyFormattedCitation":"(de Chesnay, 2015, p. 5; Foley &amp; Timonen, 2015; Glaser, 1992)"},"properties":{"noteIndex":0},"schema":"https://github.com/citation-style-language/schema/raw/master/csl-citation.json"}</w:instrText>
      </w:r>
      <w:r w:rsidRPr="006A1EC7">
        <w:fldChar w:fldCharType="separate"/>
      </w:r>
      <w:r w:rsidRPr="006A1EC7">
        <w:rPr>
          <w:noProof/>
        </w:rPr>
        <w:t>(de Chesnay, 2015; Foley &amp; Timonen, 2015; Glaser, 1992)</w:t>
      </w:r>
      <w:r w:rsidRPr="006A1EC7">
        <w:fldChar w:fldCharType="end"/>
      </w:r>
      <w:r w:rsidRPr="006A1EC7">
        <w:t xml:space="preserve">. One of the key aspects of Grounded Theory is that data collection and analysis are simultaneous processes; interview schedules, for example, can be continually amended after each interview. This demonstrates that Grounded Theory also heavily relies on the researcher to make judgements about what constitutes a phenomenon, and what does not </w:t>
      </w:r>
      <w:r w:rsidRPr="006A1EC7">
        <w:fldChar w:fldCharType="begin" w:fldLock="1"/>
      </w:r>
      <w:r w:rsidR="0010036C" w:rsidRPr="006A1EC7">
        <w:instrText>ADDIN CSL_CITATION {"citationItems":[{"id":"ITEM-1","itemData":{"ISBN":"978-0-8261-3467-7 (Paperback), 978-0-8261-3468-4 (Digital (undefined format))","abstract":"(from the cover) Grounded theory, often considered the parent of all qualitative research, is a complex approach used to develop theory about a phenomenon rooted in observation of empirical data. Widely used in nursing, grounded theory enables researchers to apply what they learn from interviewees to a wider client population. This is a practical \"how to\" guide to conducting research using this qualitative design. It is part of an innovative series for novice researchers and specialists alike, focusing on state-of-the-art methodologies from a nursing perspective. International scholars of grounded theory discuss the theoretical rationale for using this design, describe its components, and delineate a plan for generating theory using grounded theory methodology. Examples from published nursing research, with author commentary, help support new and experienced researchers in making decisions and facing challenges. The book describes traditional and focused grounded theory, phases of research, and methodology, from sample and setting to dissemination and follow-up. It encompasses state-of-the-art research about grounded theory. Varied studies range from promoting health for an overweight child to psychological adjustment of Chinese women with breast cancer to a study of nursing students' experiences in the off-campus clinical setting, among many others. The book also discusses techniques whereby researchers can ensure high standards of rigor. With a focus on practical problem solving throughout, the book will be of value to novice and experienced nurse researchers, graduate teachers and students, in-service educators and students, and nursing research staff at health care institutions. (PsycINFO Database Record (c) 2015 APA, all rights reserved)","author":[{"dropping-particle":"","family":"Chesnay","given":"Mary [Ed]","non-dropping-particle":"de","parse-names":false,"suffix":""}],"container-title":"Nursing research using grounded theory: Qualitative designs and methods in nursing.","id":"ITEM-1","issued":{"date-parts":[["2015"]]},"title":"Nursing research using grounded theory: Qualitative designs and methods in nursing.","type":"article"},"locator":"5","uris":["http://www.mendeley.com/documents/?uuid=0a45d663-dd2b-4643-86d2-3e3d9d62838c"]}],"mendeley":{"formattedCitation":"(de Chesnay, 2015, p. 5)","manualFormatting":"(de Chesnay, 2015)","plainTextFormattedCitation":"(de Chesnay, 2015, p. 5)","previouslyFormattedCitation":"(de Chesnay, 2015, p. 5)"},"properties":{"noteIndex":0},"schema":"https://github.com/citation-style-language/schema/raw/master/csl-citation.json"}</w:instrText>
      </w:r>
      <w:r w:rsidRPr="006A1EC7">
        <w:fldChar w:fldCharType="separate"/>
      </w:r>
      <w:r w:rsidRPr="006A1EC7">
        <w:rPr>
          <w:noProof/>
        </w:rPr>
        <w:t>(de Chesnay, 2015)</w:t>
      </w:r>
      <w:r w:rsidRPr="006A1EC7">
        <w:fldChar w:fldCharType="end"/>
      </w:r>
      <w:r w:rsidRPr="006A1EC7">
        <w:t>. This is a limitation of its utility to the current project; as the study seeks to investigate caregiver perspectives on what constituted syndrome severity and thus, which items or clinical feature warrant inclusion in the Clinical Outcome Assessment.</w:t>
      </w:r>
    </w:p>
    <w:p w14:paraId="75D08133" w14:textId="77777777" w:rsidR="00D13545" w:rsidRPr="006A1EC7" w:rsidRDefault="00D13545" w:rsidP="00D13545">
      <w:pPr>
        <w:spacing w:line="360" w:lineRule="auto"/>
        <w:ind w:firstLine="720"/>
      </w:pPr>
      <w:r w:rsidRPr="006A1EC7">
        <w:t xml:space="preserve">As a result of Grounded Theory utilising a bottom-up approach to data collection, data collection and analysis is usually a lengthy process </w:t>
      </w:r>
      <w:r w:rsidRPr="006A1EC7">
        <w:fldChar w:fldCharType="begin" w:fldLock="1"/>
      </w:r>
      <w:r w:rsidRPr="006A1EC7">
        <w:instrText>ADDIN CSL_CITATION {"citationItems":[{"id":"ITEM-1","itemData":{"DOI":"10.1177/1609406918758086","ISSN":"16094069","abstract":"© The Author(s) 2018. The grounded theory (GT) method is widely applied, yet frequently misunderstood. We outline the main variants of GT and dispel the most common myths associated with GT. We argue that the different variants of GT incorporate a core set of shared procedures that can be put to work by any researcher or team from their chosen ontological and epistemological perspective. This “shared core” of the GT method is articulated as the principles of (1) taking the word “grounded” seriously, (2) capturing and explaining context-related social processes, (3) pursuing theory through engagement with data, and (4) pursuing theory through theoretical sampling. In this article, we have put forward, in a nutshell, a distillation of core principles underpinning existing GT approaches that can aid further engagement with the different variants of GT. We are motivated by the wish to make GT more comprehensible and accessible, especially for researchers who are new to the method.","author":[{"dropping-particle":"","family":"Timonen","given":"Virpi","non-dropping-particle":"","parse-names":false,"suffix":""},{"dropping-particle":"","family":"Foley","given":"Geraldine","non-dropping-particle":"","parse-names":false,"suffix":""},{"dropping-particle":"","family":"Conlon","given":"Catherine","non-dropping-particle":"","parse-names":false,"suffix":""}],"container-title":"International Journal of Qualitative Methods","id":"ITEM-1","issue":"1","issued":{"date-parts":[["2018"]]},"page":"1-10","title":"Challenges when using grounded theory: A pragmatic introduction to doing GT research","type":"article-journal","volume":"17"},"uris":["http://www.mendeley.com/documents/?uuid=7109393c-b14b-47b4-8e7c-f6e59d062511"]},{"id":"ITEM-2","itemData":{"abstract":"Published as an expression of Glaser's belief that Strauss and Corbin had grossly misrepresented the most important features of grounded theory. It describes in detail the way in which Glaser's style of grounded theory is done. As the subtitle implies, the heart of the difference is between allowing the theory to emerge from the data as opposed to forcing it into preconceived frameworks.","author":[{"dropping-particle":"","family":"Glaser","given":"Barney G.","non-dropping-particle":"","parse-names":false,"suffix":""}],"container-title":"Recherche","id":"ITEM-2","issued":{"date-parts":[["1992"]]},"title":"Basics of Grounded Theory Analysis","type":"book"},"uris":["http://www.mendeley.com/documents/?uuid=a6a20eab-00a9-4794-8771-fdb048c90c29"]}],"mendeley":{"formattedCitation":"(Glaser, 1992; Timonen, Foley, &amp; Conlon, 2018)","plainTextFormattedCitation":"(Glaser, 1992; Timonen, Foley, &amp; Conlon, 2018)","previouslyFormattedCitation":"(Glaser, 1992; Timonen, Foley, &amp; Conlon, 2018)"},"properties":{"noteIndex":0},"schema":"https://github.com/citation-style-language/schema/raw/master/csl-citation.json"}</w:instrText>
      </w:r>
      <w:r w:rsidRPr="006A1EC7">
        <w:fldChar w:fldCharType="separate"/>
      </w:r>
      <w:r w:rsidRPr="006A1EC7">
        <w:rPr>
          <w:noProof/>
        </w:rPr>
        <w:t xml:space="preserve">(Glaser, 1992; Timonen, Foley, &amp; </w:t>
      </w:r>
      <w:r w:rsidRPr="006A1EC7">
        <w:rPr>
          <w:noProof/>
        </w:rPr>
        <w:lastRenderedPageBreak/>
        <w:t>Conlon, 2018)</w:t>
      </w:r>
      <w:r w:rsidRPr="006A1EC7">
        <w:fldChar w:fldCharType="end"/>
      </w:r>
      <w:r w:rsidRPr="006A1EC7">
        <w:t xml:space="preserve">. This raises a number of issues for the current study: firstly, due to the time constraints of the current project and the qualitative study being conducted as part of an iterative research process to scale development, this was not practical or appropriate. Secondly, as significant individual differences are found between patients with WHS, it is also likely that these significant differences are reflected in the caregiver experiences. Therefore, an analysis approach that seeks to unify the experience of these people is not appropriate either. Thirdly, due to the myriad categories of clinical features associated with WHS, results of the qualitative study and its analysis should provide a framework of experiences, rather than a unified theory of experience, as typically seen in Grounded Theory. </w:t>
      </w:r>
    </w:p>
    <w:p w14:paraId="5AF96B2D" w14:textId="77777777" w:rsidR="00D13545" w:rsidRPr="006A1EC7" w:rsidRDefault="00D13545" w:rsidP="00D13545">
      <w:pPr>
        <w:spacing w:line="360" w:lineRule="auto"/>
      </w:pPr>
    </w:p>
    <w:p w14:paraId="2D917BAF" w14:textId="77777777" w:rsidR="00D13545" w:rsidRPr="006A1EC7" w:rsidRDefault="00D13545" w:rsidP="00D13545">
      <w:pPr>
        <w:pStyle w:val="Heading4"/>
        <w:rPr>
          <w:rFonts w:ascii="Times New Roman" w:hAnsi="Times New Roman" w:cs="Times New Roman"/>
        </w:rPr>
      </w:pPr>
      <w:r w:rsidRPr="006A1EC7">
        <w:rPr>
          <w:rFonts w:ascii="Times New Roman" w:hAnsi="Times New Roman" w:cs="Times New Roman"/>
        </w:rPr>
        <w:t>Thematic Analysis</w:t>
      </w:r>
    </w:p>
    <w:p w14:paraId="4142B65A" w14:textId="239A1AE0" w:rsidR="00D13545" w:rsidRPr="006A1EC7" w:rsidRDefault="00D13545" w:rsidP="00D13545">
      <w:pPr>
        <w:spacing w:line="360" w:lineRule="auto"/>
        <w:ind w:firstLine="720"/>
      </w:pPr>
      <w:r w:rsidRPr="006A1EC7">
        <w:t>Thematic analysis (TA) offers an alternative approach to both content analysis and grounded theory. On one hand, TA was developed to enable researchers to go beyond assessing categories within the parameters of frequencies (and is thus somewhat superior to content analysis). It is a qualitative analysis method that goes “</w:t>
      </w:r>
      <w:r w:rsidRPr="006A1EC7">
        <w:rPr>
          <w:i/>
          <w:iCs/>
        </w:rPr>
        <w:t>beyond counting explicit words or phrases</w:t>
      </w:r>
      <w:r w:rsidRPr="006A1EC7">
        <w:t xml:space="preserve">”, rather it aims to explore ideas expressed in the data that are both implicit and explicit </w:t>
      </w:r>
      <w:r w:rsidRPr="006A1EC7">
        <w:fldChar w:fldCharType="begin" w:fldLock="1"/>
      </w:r>
      <w:r w:rsidRPr="006A1EC7">
        <w:instrText>ADDIN CSL_CITATION {"citationItems":[{"id":"ITEM-1","itemData":{"DOI":"dx.doi.org/10.4135/9781849209793","ISBN":"0761971912","abstract":"List of contributors viii Preface and acknowledgements ix 1 Introduction to research methods in clinical and health psychology 1 Lucy Yardley and David F. Marks 2 Getting started: the practicalities of doing research 21 Nichola Rumsey and David F. Marks 3 Qualitative data collection: interviews and focus groups 39 Sue Wilkinson, HeÂleÁne Joffe and Lucy Yardley 4 Content and thematic analysis 56 HeÂleÁne Joffe and Lucy Yardley 5 Qualitative analysis of experience: grounded theory and case studies 69 Kerry Chamberlain, Paul Camic and Lucy Yardley 6 Qualitative analysis of talk and text: discourse and narrative analysis 90 Lucy Yardley and Michael Murray 7 Observation and action research 102 Claire Ballinger, Lucy Yardley and Sheila Payne 8 Questionnaires and surveys 122 David F. Marks 9 Analysis of questionnaire and survey data 145 David Clark-Carter and David F. Marks 10 Intervention studies: design and analysis 166 David Clark-Carter and David F. Marks 11 Synthesising evidence: systematic reviews, meta-analysis and preference analysis 185 David F. Marks and Catherine Marie Sykes Glossary 210 Bibliography 225 Index 240","author":[{"dropping-particle":"","family":"Yardley","given":"Lucy","non-dropping-particle":"","parse-names":false,"suffix":""},{"dropping-particle":"","family":"Marks","given":"David F","non-dropping-particle":"","parse-names":false,"suffix":""}],"container-title":"Research Methods for Clinical and Health Psychology","id":"ITEM-1","issued":{"date-parts":[["2011"]]},"publisher":"Sage Publications","title":"Research Methods for Clinical and Health Psychology","type":"chapter"},"uris":["http://www.mendeley.com/documents/?uuid=1053f643-4ba1-4730-9fae-11c85957b80b"]},{"id":"ITEM-2","itemData":{"ISBN":"1478-0887\\n1478-0895","ISSN":"1478-0887","PMID":"223135521","author":[{"dropping-particle":"","family":"Braun","given":"V","non-dropping-particle":"","parse-names":false,"suffix":""},{"dropping-particle":"","family":"Clarke","given":"V","non-dropping-particle":"","parse-names":false,"suffix":""}],"container-title":"Qualitative Research in Psychology","id":"ITEM-2","issue":"2","issued":{"date-parts":[["2006"]]},"page":"77-101","title":"Using thematic analysis in psychology","type":"article-journal","volume":"3"},"uris":["http://www.mendeley.com/documents/?uuid=1e9f3ded-ede4-4ee2-9c46-1c4d52b398b3"]},{"id":"ITEM-3","itemData":{"ISBN":"9781412971676","author":[{"dropping-particle":"","family":"Guest","given":"By Greg","non-dropping-particle":"","parse-names":false,"suffix":""},{"dropping-particle":"","family":"Macqueen","given":"Kathleen M","non-dropping-particle":"","parse-names":false,"suffix":""},{"dropping-particle":"","family":"Namey","given":"Emily E","non-dropping-particle":"","parse-names":false,"suffix":""}],"id":"ITEM-3","issued":{"date-parts":[["2014"]]},"number-of-pages":"49-78","publisher":"Sage Publications","title":"Introduction to Applied Thematic Analysis","type":"book"},"uris":["http://www.mendeley.com/documents/?uuid=83681fef-83ce-446f-b355-391f44ff2624"]}],"mendeley":{"formattedCitation":"(Braun &amp; Clarke, 2006; Guest et al., 2014; Yardley &amp; Marks, 2011)","plainTextFormattedCitation":"(Braun &amp; Clarke, 2006; Guest et al., 2014; Yardley &amp; Marks, 2011)","previouslyFormattedCitation":"(Braun &amp; Clarke, 2006; Guest et al., 2014; Yardley &amp; Marks, 2011)"},"properties":{"noteIndex":0},"schema":"https://github.com/citation-style-language/schema/raw/master/csl-citation.json"}</w:instrText>
      </w:r>
      <w:r w:rsidRPr="006A1EC7">
        <w:fldChar w:fldCharType="separate"/>
      </w:r>
      <w:r w:rsidRPr="006A1EC7">
        <w:rPr>
          <w:noProof/>
        </w:rPr>
        <w:t>(Braun &amp; Clarke, 2006; Guest et al., 2014; Yardley &amp; Marks, 2011)</w:t>
      </w:r>
      <w:r w:rsidRPr="006A1EC7">
        <w:fldChar w:fldCharType="end"/>
      </w:r>
      <w:r w:rsidRPr="006A1EC7">
        <w:t xml:space="preserve">. It offers a systematic way to analyse qualitative data </w:t>
      </w:r>
      <w:r w:rsidRPr="006A1EC7">
        <w:fldChar w:fldCharType="begin" w:fldLock="1"/>
      </w:r>
      <w:r w:rsidRPr="006A1EC7">
        <w:instrText>ADDIN CSL_CITATION {"citationItems":[{"id":"ITEM-1","itemData":{"author":[{"dropping-particle":"","family":"Joffe","given":"Helen","non-dropping-particle":"","parse-names":false,"suffix":""}],"editor":[{"dropping-particle":"","family":"Harper","given":"David","non-dropping-particle":"","parse-names":false,"suffix":""},{"dropping-particle":"","family":"Thompson","given":"Andrew","non-dropping-particle":"","parse-names":false,"suffix":""}],"id":"ITEM-1","issued":{"date-parts":[["2012"]]},"publisher":"Blackwell Publishing","publisher-place":"Chichester","title":"Qualitative Research Methods in Mental Health and Psychotherapy: A Guide for Students and Practitioners","type":"book"},"uris":["http://www.mendeley.com/documents/?uuid=81bd7f30-0961-4d4a-9994-3dd729ea1645"]}],"mendeley":{"formattedCitation":"(Joffe, 2012)","plainTextFormattedCitation":"(Joffe, 2012)","previouslyFormattedCitation":"(Joffe, 2012)"},"properties":{"noteIndex":0},"schema":"https://github.com/citation-style-language/schema/raw/master/csl-citation.json"}</w:instrText>
      </w:r>
      <w:r w:rsidRPr="006A1EC7">
        <w:fldChar w:fldCharType="separate"/>
      </w:r>
      <w:r w:rsidRPr="006A1EC7">
        <w:rPr>
          <w:noProof/>
        </w:rPr>
        <w:t>(Joffe, 2012)</w:t>
      </w:r>
      <w:r w:rsidRPr="006A1EC7">
        <w:fldChar w:fldCharType="end"/>
      </w:r>
      <w:r w:rsidRPr="006A1EC7">
        <w:t xml:space="preserve"> in an inductive way. However, it does not aim to generate a hypothesis or theory in the same way as Grounded Theory does. </w:t>
      </w:r>
    </w:p>
    <w:p w14:paraId="375A6301" w14:textId="77777777" w:rsidR="00D13545" w:rsidRPr="006A1EC7" w:rsidRDefault="00D13545" w:rsidP="00D13545">
      <w:pPr>
        <w:spacing w:line="360" w:lineRule="auto"/>
        <w:ind w:firstLine="720"/>
      </w:pPr>
      <w:r w:rsidRPr="006A1EC7">
        <w:t xml:space="preserve">When analysing collected data, a researcher applies codes to ideas and later combines them into themes that encapsulate those expressed ideas </w:t>
      </w:r>
      <w:r w:rsidRPr="006A1EC7">
        <w:fldChar w:fldCharType="begin" w:fldLock="1"/>
      </w:r>
      <w:r w:rsidRPr="006A1EC7">
        <w:instrText>ADDIN CSL_CITATION {"citationItems":[{"id":"ITEM-1","itemData":{"DOI":"dx.doi.org/10.4135/9781849209793","ISBN":"0761971912","abstract":"List of contributors viii Preface and acknowledgements ix 1 Introduction to research methods in clinical and health psychology 1 Lucy Yardley and David F. Marks 2 Getting started: the practicalities of doing research 21 Nichola Rumsey and David F. Marks 3 Qualitative data collection: interviews and focus groups 39 Sue Wilkinson, HeÂleÁne Joffe and Lucy Yardley 4 Content and thematic analysis 56 HeÂleÁne Joffe and Lucy Yardley 5 Qualitative analysis of experience: grounded theory and case studies 69 Kerry Chamberlain, Paul Camic and Lucy Yardley 6 Qualitative analysis of talk and text: discourse and narrative analysis 90 Lucy Yardley and Michael Murray 7 Observation and action research 102 Claire Ballinger, Lucy Yardley and Sheila Payne 8 Questionnaires and surveys 122 David F. Marks 9 Analysis of questionnaire and survey data 145 David Clark-Carter and David F. Marks 10 Intervention studies: design and analysis 166 David Clark-Carter and David F. Marks 11 Synthesising evidence: systematic reviews, meta-analysis and preference analysis 185 David F. Marks and Catherine Marie Sykes Glossary 210 Bibliography 225 Index 240","author":[{"dropping-particle":"","family":"Yardley","given":"Lucy","non-dropping-particle":"","parse-names":false,"suffix":""},{"dropping-particle":"","family":"Marks","given":"David F","non-dropping-particle":"","parse-names":false,"suffix":""}],"container-title":"Research Methods for Clinical and Health Psychology","id":"ITEM-1","issued":{"date-parts":[["2011"]]},"publisher":"Sage Publications","title":"Research Methods for Clinical and Health Psychology","type":"chapter"},"uris":["http://www.mendeley.com/documents/?uuid=1053f643-4ba1-4730-9fae-11c85957b80b"]},{"id":"ITEM-2","itemData":{"ISBN":"1478-0887\\n1478-0895","ISSN":"1478-0887","PMID":"223135521","author":[{"dropping-particle":"","family":"Braun","given":"V","non-dropping-particle":"","parse-names":false,"suffix":""},{"dropping-particle":"","family":"Clarke","given":"V","non-dropping-particle":"","parse-names":false,"suffix":""}],"container-title":"Qualitative Research in Psychology","id":"ITEM-2","issue":"2","issued":{"date-parts":[["2006"]]},"page":"77-101","title":"Using thematic analysis in psychology","type":"article-journal","volume":"3"},"uris":["http://www.mendeley.com/documents/?uuid=1e9f3ded-ede4-4ee2-9c46-1c4d52b398b3"]},{"id":"ITEM-3","itemData":{"ISBN":"9781412971676","author":[{"dropping-particle":"","family":"Guest","given":"By Greg","non-dropping-particle":"","parse-names":false,"suffix":""},{"dropping-particle":"","family":"Macqueen","given":"Kathleen M","non-dropping-particle":"","parse-names":false,"suffix":""},{"dropping-particle":"","family":"Namey","given":"Emily E","non-dropping-particle":"","parse-names":false,"suffix":""}],"id":"ITEM-3","issued":{"date-parts":[["2014"]]},"number-of-pages":"49-78","publisher":"Sage Publications","title":"Introduction to Applied Thematic Analysis","type":"book"},"uris":["http://www.mendeley.com/documents/?uuid=83681fef-83ce-446f-b355-391f44ff2624"]}],"mendeley":{"formattedCitation":"(Braun &amp; Clarke, 2006; Guest et al., 2014; Yardley &amp; Marks, 2011)","plainTextFormattedCitation":"(Braun &amp; Clarke, 2006; Guest et al., 2014; Yardley &amp; Marks, 2011)","previouslyFormattedCitation":"(Braun &amp; Clarke, 2006; Guest et al., 2014; Yardley &amp; Marks, 2011)"},"properties":{"noteIndex":0},"schema":"https://github.com/citation-style-language/schema/raw/master/csl-citation.json"}</w:instrText>
      </w:r>
      <w:r w:rsidRPr="006A1EC7">
        <w:fldChar w:fldCharType="separate"/>
      </w:r>
      <w:r w:rsidRPr="006A1EC7">
        <w:rPr>
          <w:noProof/>
        </w:rPr>
        <w:t>(Braun &amp; Clarke, 2006; Guest et al., 2014; Yardley &amp; Marks, 2011)</w:t>
      </w:r>
      <w:r w:rsidRPr="006A1EC7">
        <w:fldChar w:fldCharType="end"/>
      </w:r>
      <w:r w:rsidRPr="006A1EC7">
        <w:t xml:space="preserve">. These codes can be latent or semantic, which is a key strength of the method and makes it very different from Grounded Theory as it allows for both implicit and explicit meaning to be reflected in the results. Semantic codes are those that are close to the data and thus reflect the data at an explicit level, for example, the number of seizures a day. Latent codes, on the other hand, reflect the data at a deeper level: these codes go beyond the explicit meaning of a code and allow for exploration into the meaning attributed to the experiences/ phenomena discussed </w:t>
      </w:r>
      <w:r w:rsidRPr="006A1EC7">
        <w:fldChar w:fldCharType="begin" w:fldLock="1"/>
      </w:r>
      <w:r w:rsidRPr="006A1EC7">
        <w:instrText>ADDIN CSL_CITATION {"citationItems":[{"id":"ITEM-1","itemData":{"ISBN":"1478-0887\\n1478-0895","ISSN":"1478-0887","PMID":"223135521","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e9f3ded-ede4-4ee2-9c46-1c4d52b398b3"]},{"id":"ITEM-2","itemData":{"author":[{"dropping-particle":"","family":"Braun","given":"V","non-dropping-particle":"","parse-names":false,"suffix":""},{"dropping-particle":"","family":"Clarke","given":"V","non-dropping-particle":"","parse-names":false,"suffix":""}],"container-title":"APA handbook of research methods in psychology. Research designs: Quantitative, qualitative, neuropsychological, and biological","edition":"2","editor":[{"dropping-particle":"","family":"Cooper","given":"H.","non-dropping-particle":"","parse-names":false,"suffix":""},{"dropping-particle":"","family":"Camic","given":"P.","non-dropping-particle":"","parse-names":false,"suffix":""},{"dropping-particle":"","family":"Long","given":"D","non-dropping-particle":"","parse-names":false,"suffix":""},{"dropping-particle":"","family":"Panter","given":"A","non-dropping-particle":"","parse-names":false,"suffix":""},{"dropping-particle":"","family":"Rindskopf","given":"D","non-dropping-particle":"","parse-names":false,"suffix":""},{"dropping-particle":"","family":"Sher","given":"K","non-dropping-particle":"","parse-names":false,"suffix":""}],"id":"ITEM-2","issued":{"date-parts":[["2012"]]},"page":"57-71","publisher":"American Psychological Association","publisher-place":"Washington","title":"Thematic analysis","type":"chapter"},"uris":["http://www.mendeley.com/documents/?uuid=dd6aa783-f4e3-472f-bcc4-095e890f6d35"]}],"mendeley":{"formattedCitation":"(Braun &amp; Clarke, 2006, 2012)","plainTextFormattedCitation":"(Braun &amp; Clarke, 2006, 2012)","previouslyFormattedCitation":"(Braun &amp; Clarke, 2006, 2012)"},"properties":{"noteIndex":0},"schema":"https://github.com/citation-style-language/schema/raw/master/csl-citation.json"}</w:instrText>
      </w:r>
      <w:r w:rsidRPr="006A1EC7">
        <w:fldChar w:fldCharType="separate"/>
      </w:r>
      <w:r w:rsidRPr="006A1EC7">
        <w:rPr>
          <w:noProof/>
        </w:rPr>
        <w:t>(Braun &amp; Clarke, 2006, 2012)</w:t>
      </w:r>
      <w:r w:rsidRPr="006A1EC7">
        <w:fldChar w:fldCharType="end"/>
      </w:r>
      <w:r w:rsidRPr="006A1EC7">
        <w:t>, such as the emotional experience of having a relative experience a seizure.</w:t>
      </w:r>
    </w:p>
    <w:p w14:paraId="2194DBB5" w14:textId="6A05C1F0" w:rsidR="00D13545" w:rsidRPr="006A1EC7" w:rsidRDefault="00D13545" w:rsidP="00D13545">
      <w:pPr>
        <w:spacing w:line="360" w:lineRule="auto"/>
        <w:ind w:firstLine="720"/>
      </w:pPr>
      <w:r w:rsidRPr="006A1EC7">
        <w:t xml:space="preserve">On the basis of these codes, themes are developed. A theme represents meaningful information in regard to the research question/s (i.e. How does having </w:t>
      </w:r>
      <w:r w:rsidR="009F0718" w:rsidRPr="006A1EC7">
        <w:t>WHS</w:t>
      </w:r>
      <w:r w:rsidRPr="006A1EC7">
        <w:t xml:space="preserve"> affect the HRQoL of patients with the syndrome and their relatives. What is the impact of its clinical features?). Braun and Clarke (2006) are the main proponents of Thematic Analysis for psychological/health research, their guidance paper “</w:t>
      </w:r>
      <w:r w:rsidRPr="006A1EC7">
        <w:rPr>
          <w:i/>
        </w:rPr>
        <w:t>Using Thematic Analysis in Psychology</w:t>
      </w:r>
      <w:r w:rsidRPr="006A1EC7">
        <w:t xml:space="preserve">” </w:t>
      </w:r>
      <w:r w:rsidRPr="006A1EC7">
        <w:lastRenderedPageBreak/>
        <w:fldChar w:fldCharType="begin" w:fldLock="1"/>
      </w:r>
      <w:r w:rsidRPr="006A1EC7">
        <w:instrText>ADDIN CSL_CITATION {"citationItems":[{"id":"ITEM-1","itemData":{"ISBN":"1478-0887\\n1478-0895","ISSN":"1478-0887","PMID":"223135521","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psychology","type":"article-journal","volume":"3"},"uris":["http://www.mendeley.com/documents/?uuid=1e9f3ded-ede4-4ee2-9c46-1c4d52b398b3"]}],"mendeley":{"formattedCitation":"(Braun &amp; Clarke, 2006)","plainTextFormattedCitation":"(Braun &amp; Clarke, 2006)","previouslyFormattedCitation":"(Braun &amp; Clarke, 2006)"},"properties":{"noteIndex":0},"schema":"https://github.com/citation-style-language/schema/raw/master/csl-citation.json"}</w:instrText>
      </w:r>
      <w:r w:rsidRPr="006A1EC7">
        <w:fldChar w:fldCharType="separate"/>
      </w:r>
      <w:r w:rsidRPr="006A1EC7">
        <w:rPr>
          <w:noProof/>
        </w:rPr>
        <w:t>(Braun &amp; Clarke, 2006)</w:t>
      </w:r>
      <w:r w:rsidRPr="006A1EC7">
        <w:fldChar w:fldCharType="end"/>
      </w:r>
      <w:r w:rsidRPr="006A1EC7">
        <w:t xml:space="preserve"> has, to date, been cited over 50 000 times (08/02/2019), according to Google Scholar. In it, they identify and suggest a 6-step process to analysis (Graphic 8).</w:t>
      </w:r>
    </w:p>
    <w:p w14:paraId="66BD6706" w14:textId="77777777" w:rsidR="00D13545" w:rsidRPr="006A1EC7" w:rsidRDefault="00D13545" w:rsidP="00D13545"/>
    <w:p w14:paraId="7B1381F1" w14:textId="50D9FE52" w:rsidR="00D13545" w:rsidRPr="006A1EC7" w:rsidRDefault="00D13545" w:rsidP="00D13545">
      <w:pPr>
        <w:pStyle w:val="Heading3"/>
        <w:rPr>
          <w:rFonts w:ascii="Times New Roman" w:hAnsi="Times New Roman" w:cs="Times New Roman"/>
        </w:rPr>
      </w:pPr>
      <w:bookmarkStart w:id="110" w:name="_Toc39270365"/>
      <w:bookmarkStart w:id="111" w:name="_Toc40173064"/>
      <w:r w:rsidRPr="006A1EC7">
        <w:rPr>
          <w:rFonts w:ascii="Times New Roman" w:hAnsi="Times New Roman" w:cs="Times New Roman"/>
        </w:rPr>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8</w:t>
      </w:r>
      <w:r w:rsidRPr="006A1EC7">
        <w:rPr>
          <w:rFonts w:ascii="Times New Roman" w:hAnsi="Times New Roman" w:cs="Times New Roman"/>
        </w:rPr>
        <w:fldChar w:fldCharType="end"/>
      </w:r>
      <w:r w:rsidRPr="006A1EC7">
        <w:rPr>
          <w:rFonts w:ascii="Times New Roman" w:hAnsi="Times New Roman" w:cs="Times New Roman"/>
        </w:rPr>
        <w:t>: Braun &amp; Clarke (2006)’s: 6-step thematic analysis process</w:t>
      </w:r>
      <w:bookmarkEnd w:id="110"/>
      <w:bookmarkEnd w:id="111"/>
    </w:p>
    <w:p w14:paraId="07F21996" w14:textId="1A985FCB" w:rsidR="00735B4B" w:rsidRPr="006A1EC7" w:rsidRDefault="00D13545" w:rsidP="00DB5C12">
      <w:pPr>
        <w:spacing w:line="360" w:lineRule="auto"/>
      </w:pPr>
      <w:r w:rsidRPr="006A1EC7">
        <w:rPr>
          <w:noProof/>
          <w:lang w:eastAsia="en-GB"/>
        </w:rPr>
        <w:drawing>
          <wp:inline distT="0" distB="0" distL="0" distR="0" wp14:anchorId="38C3C697" wp14:editId="49A671E9">
            <wp:extent cx="3619500" cy="3247888"/>
            <wp:effectExtent l="0" t="0" r="0" b="0"/>
            <wp:docPr id="12" name="Picture 12" descr="cid:4F0332CC-C132-4A5C-A777-D48537A1EC77@ad.hud.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33014-C8BE-461A-B93F-644FBC492D95" descr="cid:4F0332CC-C132-4A5C-A777-D48537A1EC77@ad.hud.ac.uk"/>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627041" cy="3254655"/>
                    </a:xfrm>
                    <a:prstGeom prst="rect">
                      <a:avLst/>
                    </a:prstGeom>
                    <a:noFill/>
                    <a:ln>
                      <a:noFill/>
                    </a:ln>
                  </pic:spPr>
                </pic:pic>
              </a:graphicData>
            </a:graphic>
          </wp:inline>
        </w:drawing>
      </w:r>
    </w:p>
    <w:p w14:paraId="0FB4A9C1" w14:textId="77777777" w:rsidR="00D13545" w:rsidRPr="006A1EC7" w:rsidRDefault="00D13545" w:rsidP="00D13545">
      <w:pPr>
        <w:spacing w:line="276" w:lineRule="auto"/>
      </w:pPr>
    </w:p>
    <w:p w14:paraId="20E10018" w14:textId="77777777" w:rsidR="00D13545" w:rsidRPr="006A1EC7" w:rsidRDefault="00D13545" w:rsidP="00D13545">
      <w:pPr>
        <w:spacing w:line="360" w:lineRule="auto"/>
        <w:ind w:firstLine="720"/>
      </w:pPr>
      <w:r w:rsidRPr="006A1EC7">
        <w:t xml:space="preserve">In this original guidance paper, the authors further argue that there is no fixed size or frequency with which a theme must occur within a data set to be considered important; researcher’s judgment is decisive as whether important and relevant meaning is conveyed by a theme, or not. While prevalence may be one aspect of the importance of a theme, this is not always necessary </w:t>
      </w:r>
      <w:r w:rsidRPr="006A1EC7">
        <w:fldChar w:fldCharType="begin" w:fldLock="1"/>
      </w:r>
      <w:r w:rsidRPr="006A1EC7">
        <w:instrText>ADDIN CSL_CITATION {"citationItems":[{"id":"ITEM-1","itemData":{"ISBN":"1478-0887\\n1478-0895","ISSN":"1478-0887","PMID":"223135521","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psychology","type":"article-journal","volume":"3"},"uris":["http://www.mendeley.com/documents/?uuid=1e9f3ded-ede4-4ee2-9c46-1c4d52b398b3"]}],"mendeley":{"formattedCitation":"(Braun &amp; Clarke, 2006)","plainTextFormattedCitation":"(Braun &amp; Clarke, 2006)","previouslyFormattedCitation":"(Braun &amp; Clarke, 2006)"},"properties":{"noteIndex":0},"schema":"https://github.com/citation-style-language/schema/raw/master/csl-citation.json"}</w:instrText>
      </w:r>
      <w:r w:rsidRPr="006A1EC7">
        <w:fldChar w:fldCharType="separate"/>
      </w:r>
      <w:r w:rsidRPr="006A1EC7">
        <w:rPr>
          <w:noProof/>
        </w:rPr>
        <w:t>(Braun &amp; Clarke, 2006)</w:t>
      </w:r>
      <w:r w:rsidRPr="006A1EC7">
        <w:fldChar w:fldCharType="end"/>
      </w:r>
      <w:r w:rsidRPr="006A1EC7">
        <w:t xml:space="preserve">, which is especially relevant for the current study. Due to a high heterogeneity of clinical features in the WHS population, it is likely that interviews may vary significantly in terms of which clinical features are reported for which patient. More common clinical features, such as highly arched eyebrows or seizures, have similar prevalence rates </w:t>
      </w:r>
      <w:r w:rsidRPr="006A1EC7">
        <w:fldChar w:fldCharType="begin" w:fldLock="1"/>
      </w:r>
      <w:r w:rsidRPr="006A1EC7">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2015a)","manualFormatting":"(Battaglia, Carey, &amp; South, 2015)","plainTextFormattedCitation":"(Agatino Battaglia et al., 2015a)","previouslyFormattedCitation":"(Agatino Battaglia et al., 2015a)"},"properties":{"noteIndex":0},"schema":"https://github.com/citation-style-language/schema/raw/master/csl-citation.json"}</w:instrText>
      </w:r>
      <w:r w:rsidRPr="006A1EC7">
        <w:fldChar w:fldCharType="separate"/>
      </w:r>
      <w:r w:rsidRPr="006A1EC7">
        <w:rPr>
          <w:noProof/>
        </w:rPr>
        <w:t>(Battaglia, Carey, &amp; South, 2015)</w:t>
      </w:r>
      <w:r w:rsidRPr="006A1EC7">
        <w:fldChar w:fldCharType="end"/>
      </w:r>
      <w:r w:rsidRPr="006A1EC7">
        <w:t xml:space="preserve">, but it is hypothesised that their impact on patients’ and families’ HRQoL will be significantly different, with epilepsy impacting much more than highly arched eyebrows. Heart defects, on the other hand, have a lower prevalence of 25-50% </w:t>
      </w:r>
      <w:r w:rsidRPr="006A1EC7">
        <w:fldChar w:fldCharType="begin" w:fldLock="1"/>
      </w:r>
      <w:r w:rsidRPr="006A1EC7">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2015a)","manualFormatting":"(Battaglia et al., 2015)","plainTextFormattedCitation":"(Agatino Battaglia et al., 2015a)","previouslyFormattedCitation":"(Agatino Battaglia et al., 2015a)"},"properties":{"noteIndex":0},"schema":"https://github.com/citation-style-language/schema/raw/master/csl-citation.json"}</w:instrText>
      </w:r>
      <w:r w:rsidRPr="006A1EC7">
        <w:fldChar w:fldCharType="separate"/>
      </w:r>
      <w:r w:rsidRPr="006A1EC7">
        <w:rPr>
          <w:noProof/>
        </w:rPr>
        <w:t>(Battaglia et al., 2015)</w:t>
      </w:r>
      <w:r w:rsidRPr="006A1EC7">
        <w:fldChar w:fldCharType="end"/>
      </w:r>
      <w:r w:rsidRPr="006A1EC7">
        <w:t xml:space="preserve"> but may still impact more significantly than widely spaced eyes (prevalence: &gt;75%) </w:t>
      </w:r>
      <w:r w:rsidRPr="006A1EC7">
        <w:fldChar w:fldCharType="begin" w:fldLock="1"/>
      </w:r>
      <w:r w:rsidRPr="006A1EC7">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2015a)","manualFormatting":"(Battaglia et al., 2015)","plainTextFormattedCitation":"(Agatino Battaglia et al., 2015a)","previouslyFormattedCitation":"(Agatino Battaglia et al., 2015a)"},"properties":{"noteIndex":0},"schema":"https://github.com/citation-style-language/schema/raw/master/csl-citation.json"}</w:instrText>
      </w:r>
      <w:r w:rsidRPr="006A1EC7">
        <w:fldChar w:fldCharType="separate"/>
      </w:r>
      <w:r w:rsidRPr="006A1EC7">
        <w:rPr>
          <w:noProof/>
        </w:rPr>
        <w:t>(Battaglia et al., 2015)</w:t>
      </w:r>
      <w:r w:rsidRPr="006A1EC7">
        <w:fldChar w:fldCharType="end"/>
      </w:r>
      <w:r w:rsidRPr="006A1EC7">
        <w:t xml:space="preserve"> on HRQoL. </w:t>
      </w:r>
    </w:p>
    <w:p w14:paraId="72CD6E49" w14:textId="77777777" w:rsidR="00D13545" w:rsidRPr="006A1EC7" w:rsidRDefault="00D13545" w:rsidP="00D13545">
      <w:pPr>
        <w:spacing w:line="360" w:lineRule="auto"/>
        <w:ind w:firstLine="720"/>
      </w:pPr>
      <w:r w:rsidRPr="006A1EC7">
        <w:t xml:space="preserve">While there is no official guidance as to which qualitative analysis method is most suitable to support inductive research for scale development, the advantages described above support the utility and use of Thematic Analysis for inductive scale development in the </w:t>
      </w:r>
      <w:r w:rsidRPr="006A1EC7">
        <w:lastRenderedPageBreak/>
        <w:t xml:space="preserve">context of scale development. This is also reflected in published literature, where scales have been developed on the basis of data analysed using Thematic Analysis; examples include patient and caregiver responsibility scales, treatment progress and treatment burden scales </w:t>
      </w:r>
      <w:r w:rsidRPr="006A1EC7">
        <w:fldChar w:fldCharType="begin" w:fldLock="1"/>
      </w:r>
      <w:r w:rsidRPr="006A1EC7">
        <w:instrText>ADDIN CSL_CITATION {"citationItems":[{"id":"ITEM-1","itemData":{"DOI":"10.1007/s11136-019-02154-4","ISBN":"0123456789","ISSN":"15732649","abstract":"The caregiver roles and responsibilities scale (CRRS) was developed to facilitate formal assessment of broad life impacts for informal (i.e. unpaid) caregivers to people with cancer. Here we report the development and initial validation.","author":[{"dropping-particle":"","family":"Shilling","given":"Valerie","non-dropping-particle":"","parse-names":false,"suffix":""},{"dropping-particle":"","family":"Starkings","given":"Rachel","non-dropping-particle":"","parse-names":false,"suffix":""},{"dropping-particle":"","family":"Jenkins","given":"Valerie","non-dropping-particle":"","parse-names":false,"suffix":""},{"dropping-particle":"","family":"Cella","given":"David","non-dropping-particle":"","parse-names":false,"suffix":""},{"dropping-particle":"","family":"Fallowfield","given":"Lesley","non-dropping-particle":"","parse-names":false,"suffix":""}],"container-title":"Quality of Life Research","id":"ITEM-1","issue":"6","issued":{"date-parts":[["2019"]]},"page":"1655-1668","publisher":"Springer International Publishing","title":"Development and validation of the caregiver roles and responsibilities scale in cancer caregivers","type":"article-journal","volume":"28"},"uris":["http://www.mendeley.com/documents/?uuid=e5ab2a31-3547-43bb-8da0-6974644b3c81"]},{"id":"ITEM-2","itemData":{"DOI":"10.1007/s11136-018-1940-2","ISBN":"0123456789","ISSN":"15732649","abstract":"Purpose: The Patient Roles and Responsibilities Scale (PRRS) was developed to enable a broader evaluation of the impact of cancer and cancer treatment, measuring ‘real world’ roles and responsibilities such as caring for others and financial and employment responsibilities. Here, we report the development and initial validation.Methods: The 29-item PRRS was developed from the thematic analysis of two interview studies with cancer patients and caregivers. In the evaluation study, participants completed the PRRS alongside the Social Difficulties Inventory (SDI), the main criterion measure for concurrent validity, and the Functional Assessment of Cancer Therapy - General and WHO Quality of Life-BREF (WHOQOL-BREF) for additional convergent validity data. Questionnaires were completed at baseline, 7-days (PRRS only) and 2 months. Demographic data and patient characteristics were collected at baseline.Results: One hundred and thirty-five patients with stage III/IV breast, lung or gynaecological cancer or melanoma completed the PRRS at least once. Five items performed poorly and were removed from the scale. The final 16 core items selected comprised 3 dimensions: family well-being, responsibilities and social life, and financial well-being, identified in principal component analysis, accounting for 61.5% of total variance. Missing data (0.6%) and floor/ceiling effects were low (0%/1.5%). Cronbach’s alpha was 0.9 for the PRRS-16; 0.79–0.87 for the subscales. PRRS showed good test–retest reliability (ICC-0.86), sensitivity to change and the predicted pattern of correlation with validation measures r = |0.65–0.77|. The standalone 7-item jobs and careers subscale requires further validation.Conclusions: Initial evaluation shows that the PRRS is psychometrically robust with potential to inform the evaluation of new treatments in clinical trials and real-world studies. (PsycINFO Database Record (c) 2018 APA, all rights reserved)","author":[{"dropping-particle":"","family":"Shilling","given":"Valerie","non-dropping-particle":"","parse-names":false,"suffix":""},{"dropping-particle":"","family":"Starkings","given":"Rachel","non-dropping-particle":"","parse-names":false,"suffix":""},{"dropping-particle":"","family":"Jenkins","given":"Valerie","non-dropping-particle":"","parse-names":false,"suffix":""},{"dropping-particle":"","family":"Cella","given":"David","non-dropping-particle":"","parse-names":false,"suffix":""},{"dropping-particle":"","family":"Fallowfield","given":"Lesley","non-dropping-particle":"","parse-names":false,"suffix":""}],"container-title":"Quality of Life Research","id":"ITEM-2","issue":"11","issued":{"date-parts":[["2018"]]},"page":"2923-2934","publisher":"Springer International Publishing","title":"Development and validation of the patient roles and responsibilities scale in cancer patients","type":"article-journal","volume":"27"},"uris":["http://www.mendeley.com/documents/?uuid=c4c1b178-a435-4d57-bfbb-5a5bdea901cf"]},{"id":"ITEM-3","itemData":{"DOI":"10.1002/pmh.1291","author":[{"dropping-particle":"","family":"Baliousis","given":"M","non-dropping-particle":"","parse-names":false,"suffix":""},{"dropping-particle":"","family":"Huabdn","given":"N","non-dropping-particle":"","parse-names":false,"suffix":""},{"dropping-particle":"","family":"Duggan","given":"C","non-dropping-particle":"","parse-names":false,"suffix":""},{"dropping-particle":"","family":"Mccarthy","given":"L","non-dropping-particle":"","parse-names":false,"suffix":""},{"dropping-particle":"","family":"Voellm","given":"B","non-dropping-particle":"","parse-names":false,"suffix":""}],"container-title":"Personality and Mental Health","id":"ITEM-3","issued":{"date-parts":[["2015"]]},"page":"107-123","title":"Development and validation of a treatment progress scale for personality disordered offenders","type":"article-journal","volume":"9"},"uris":["http://www.mendeley.com/documents/?uuid=577c812e-9dfc-4173-8b95-a407ef5e0781"]}],"mendeley":{"formattedCitation":"(Baliousis, Huabdn, Duggan, Mccarthy, &amp; Voellm, 2015; Shilling, Starkings, Jenkins, Cella, &amp; Fallowfield, 2018, 2019)","plainTextFormattedCitation":"(Baliousis, Huabdn, Duggan, Mccarthy, &amp; Voellm, 2015; Shilling, Starkings, Jenkins, Cella, &amp; Fallowfield, 2018, 2019)","previouslyFormattedCitation":"(Baliousis, Huabdn, Duggan, Mccarthy, &amp; Voellm, 2015; Shilling, Starkings, Jenkins, Cella, &amp; Fallowfield, 2018, 2019)"},"properties":{"noteIndex":0},"schema":"https://github.com/citation-style-language/schema/raw/master/csl-citation.json"}</w:instrText>
      </w:r>
      <w:r w:rsidRPr="006A1EC7">
        <w:fldChar w:fldCharType="separate"/>
      </w:r>
      <w:r w:rsidRPr="006A1EC7">
        <w:rPr>
          <w:noProof/>
        </w:rPr>
        <w:t>(Baliousis, Huabdn, Duggan, Mccarthy, &amp; Voellm, 2015; Shilling, Starkings, Jenkins, Cella, &amp; Fallowfield, 2018, 2019)</w:t>
      </w:r>
      <w:r w:rsidRPr="006A1EC7">
        <w:fldChar w:fldCharType="end"/>
      </w:r>
      <w:r w:rsidRPr="006A1EC7">
        <w:t xml:space="preserve">. </w:t>
      </w:r>
    </w:p>
    <w:p w14:paraId="4E0CD0FE" w14:textId="77777777" w:rsidR="00D13545" w:rsidRPr="006A1EC7" w:rsidRDefault="00D13545" w:rsidP="00D13545">
      <w:pPr>
        <w:spacing w:line="360" w:lineRule="auto"/>
        <w:ind w:firstLine="720"/>
      </w:pPr>
      <w:r w:rsidRPr="006A1EC7">
        <w:t xml:space="preserve">As a result of thematic analysis being largely dependent on researcher interpretation, some may argue that an issue with reliability and validity arises where a researcher subjectively interprets participants’ subjective accounts. It is therefore paramount that the researcher is aware of those issues, and is continually engaged in reflection </w:t>
      </w:r>
      <w:r w:rsidRPr="006A1EC7">
        <w:fldChar w:fldCharType="begin" w:fldLock="1"/>
      </w:r>
      <w:r w:rsidRPr="006A1EC7">
        <w:instrText>ADDIN CSL_CITATION {"citationItems":[{"id":"ITEM-1","itemData":{"ISBN":"9781412971676","author":[{"dropping-particle":"","family":"Guest","given":"By Greg","non-dropping-particle":"","parse-names":false,"suffix":""},{"dropping-particle":"","family":"Macqueen","given":"Kathleen M","non-dropping-particle":"","parse-names":false,"suffix":""},{"dropping-particle":"","family":"Namey","given":"Emily E","non-dropping-particle":"","parse-names":false,"suffix":""}],"id":"ITEM-1","issued":{"date-parts":[["2014"]]},"number-of-pages":"49-78","publisher":"Sage Publications","title":"Introduction to Applied Thematic Analysis","type":"book"},"uris":["http://www.mendeley.com/documents/?uuid=83681fef-83ce-446f-b355-391f44ff2624"]}],"mendeley":{"formattedCitation":"(Guest et al., 2014)","plainTextFormattedCitation":"(Guest et al., 2014)","previouslyFormattedCitation":"(Guest et al., 2014)"},"properties":{"noteIndex":0},"schema":"https://github.com/citation-style-language/schema/raw/master/csl-citation.json"}</w:instrText>
      </w:r>
      <w:r w:rsidRPr="006A1EC7">
        <w:fldChar w:fldCharType="separate"/>
      </w:r>
      <w:r w:rsidRPr="006A1EC7">
        <w:rPr>
          <w:noProof/>
        </w:rPr>
        <w:t>(Guest et al., 2014)</w:t>
      </w:r>
      <w:r w:rsidRPr="006A1EC7">
        <w:fldChar w:fldCharType="end"/>
      </w:r>
      <w:r w:rsidRPr="006A1EC7">
        <w:t>, for example in research diaries or a researcher debriefing with another researcher.</w:t>
      </w:r>
    </w:p>
    <w:p w14:paraId="5CBA7E75" w14:textId="77777777" w:rsidR="00D13545" w:rsidRPr="006A1EC7" w:rsidRDefault="00D13545" w:rsidP="00D13545">
      <w:pPr>
        <w:spacing w:line="360" w:lineRule="auto"/>
      </w:pPr>
    </w:p>
    <w:p w14:paraId="799234B4" w14:textId="77777777" w:rsidR="00D13545" w:rsidRPr="006A1EC7" w:rsidRDefault="00D13545" w:rsidP="00D13545">
      <w:pPr>
        <w:pStyle w:val="Heading4"/>
        <w:rPr>
          <w:rFonts w:ascii="Times New Roman" w:hAnsi="Times New Roman" w:cs="Times New Roman"/>
        </w:rPr>
      </w:pPr>
      <w:r w:rsidRPr="006A1EC7">
        <w:rPr>
          <w:rFonts w:ascii="Times New Roman" w:hAnsi="Times New Roman" w:cs="Times New Roman"/>
        </w:rPr>
        <w:t>Interpretative Phenomenological Analysis</w:t>
      </w:r>
    </w:p>
    <w:p w14:paraId="78FCD44C" w14:textId="79EE07B9" w:rsidR="00D13545" w:rsidRPr="006A1EC7" w:rsidRDefault="00D13545" w:rsidP="00D13545">
      <w:pPr>
        <w:spacing w:line="360" w:lineRule="auto"/>
        <w:ind w:firstLine="720"/>
      </w:pPr>
      <w:r w:rsidRPr="006A1EC7">
        <w:t xml:space="preserve">For completion, there is a fourth potential methodology that would have been applicable to the current project, to some degree. Interpretative Phenomenological Analysis (IPA), is a more recently developed qualitative method of analysis, concerned with examining the meaning attributed to, for example, health experiences and how patients make sense of these </w:t>
      </w:r>
      <w:r w:rsidRPr="006A1EC7">
        <w:fldChar w:fldCharType="begin" w:fldLock="1"/>
      </w:r>
      <w:r w:rsidRPr="006A1EC7">
        <w:instrText>ADDIN CSL_CITATION {"citationItems":[{"id":"ITEM-1","itemData":{"ISBN":"1412908345","abstract":"Interpretative phenomenological analysis (IPA) is an increasingly popular approach to qualitative inquiry. This handy text covers its theoretical foundations and provides a detailed guide to conducting IPA research. Extended worked examples from the authors' own studies in health, sexuality, psychological distress and identity illustrate the breadth and depth of IPA research. Each of the chapters also offers a guide to other good exemplars of IPA research in the designated area. The final section of the book considers how IPA connects with other contemporary qualitative approaches like discourse and narrative analysis and how it addresses issues to do with validity. The book is written in an accessible style and will be extremely useful to students and researchers in psychology and related disciplines in the health and social sciences.","author":[{"dropping-particle":"","family":"Smith","given":"J A","non-dropping-particle":"","parse-names":false,"suffix":""},{"dropping-particle":"","family":"Flowers","given":"P","non-dropping-particle":"","parse-names":false,"suffix":""},{"dropping-particle":"","family":"Larkin","given":"M","non-dropping-particle":"","parse-names":false,"suffix":""}],"container-title":"SAGE Publications Ltd","id":"ITEM-1","issued":{"date-parts":[["2009"]]},"title":"interpretative phenomenological anlaysis. Theory , Method and Research","type":"book"},"uris":["http://www.mendeley.com/documents/?uuid=76ae9475-7850-4eb9-ae04-ffc196aab25a"]},{"id":"ITEM-2","itemData":{"DOI":"10.1080/17437199.2010.510659","ISSN":"17437199","abstract":"This paper presents the results of a review of studies employing interpretative phenomenological analysis (IPA) obtained from three of the major databases: web of science, medline and psychinfo. Between 1996 and 2008, 293 papers presenting empirical IPA studies were published. Trends over time are presented. This is followed by a categorisation of the content area of that corpus. The biggest specific area of research within IPA is illness experience, it forming the subject of nearly a quarter of the corpus. The paper then describes a guide for evaluating IPA research which is used to assess the illness experience papers. Detailed summaries are provided of the papers rated as good. These summaries describe the substantive findings as well as the markers of high quality. The paper finishes with a summary of core features of high-quality IPA.","author":[{"dropping-particle":"","family":"Smith","given":"Jonathan A.","non-dropping-particle":"","parse-names":false,"suffix":""}],"container-title":"Health Psychology Review","id":"ITEM-2","issue":"1","issued":{"date-parts":[["2011"]]},"page":"9-27","title":"Evaluating the contribution of interpretative phenomenological analysis","type":"article-journal","volume":"5"},"uris":["http://www.mendeley.com/documents/?uuid=7e5a51b6-da7f-4c83-b064-1cd2e959f525"]},{"id":"ITEM-3","itemData":{"DOI":"10.1177/2049463714541642","ISBN":"2049463714541","ISSN":"20494645","abstract":"We are delighted to see it reprinted here, taking this as an indication of its ongoing resonance. We wish to take the opportunity to say a little on how we think inter-pretative phenomenological analysis (IPA) can make a valuable contribution to research on pain. IPA is a qualitative approach which aims to provide detailed examinations of personal lived experience (Smith et al. 1). It has three primary theoretical underpin-nings. Phenomenology is a philosophical approach, ini-tially articulated by Husserl, which aims to produce an account of lived experience in its own terms rather than one prescribed by pre-existing theoretical preconcep-tions. IPA recognises that this is an interpretative endeav-our because humans are sense-making organisms. In IPA, therefore, the researcher is trying to make sense of the participant trying to make sense of what is happening to them. Finally, IPA is idiographic in its commitment to examining the detailed experience of each case in turn, prior to the move to more general claims. There is now a very large corpus of research studies applying IPA in psychology and also in cognate disci-plines. Much of this research is on the patients' per-spective on illness, and it includes a number of papers on the experience of pain. There are a number of rea-sons why IPA is a particularly useful methodology for examining pain. First, IPA is especially valuable when examining topics which are complex, ambiguous and emotionally laden. And pain is a prime exemplar of such a phenomenon: elusive, involving complex psy-cho-somatic interactions and difficult to articulate. IPA Interpretative phenomenological analysis as a useful methodology for research on the lived experience of pain","author":[{"dropping-particle":"","family":"Smith","given":"Jonathan A.","non-dropping-particle":"","parse-names":false,"suffix":""},{"dropping-particle":"","family":"Osborn","given":"Mike","non-dropping-particle":"","parse-names":false,"suffix":""}],"container-title":"British Journal of Pain","id":"ITEM-3","issue":"1","issued":{"date-parts":[["2015"]]},"page":"41-42","title":"Interpretative phenomenological analysis as a useful methodology for research on the lived experience of pain","type":"article-journal","volume":"9"},"uris":["http://www.mendeley.com/documents/?uuid=c76dbfc8-dbd8-425d-9980-4bb41ea0c260"]}],"mendeley":{"formattedCitation":"(J A Smith, Flowers, &amp; Larkin, 2009; Jonathan A. Smith, 2011; Jonathan A. Smith &amp; Osborn, 2015)","manualFormatting":"(Smith, Flowers, &amp; Larkin, 2009; Smith, 2011; Smith &amp; Osborn, 2015)","plainTextFormattedCitation":"(J A Smith, Flowers, &amp; Larkin, 2009; Jonathan A. Smith, 2011; Jonathan A. Smith &amp; Osborn, 2015)","previouslyFormattedCitation":"(J A Smith, Flowers, &amp; Larkin, 2009; Jonathan A. Smith, 2011; Jonathan A. Smith &amp; Osborn, 2015)"},"properties":{"noteIndex":0},"schema":"https://github.com/citation-style-language/schema/raw/master/csl-citation.json"}</w:instrText>
      </w:r>
      <w:r w:rsidRPr="006A1EC7">
        <w:fldChar w:fldCharType="separate"/>
      </w:r>
      <w:r w:rsidRPr="006A1EC7">
        <w:rPr>
          <w:noProof/>
        </w:rPr>
        <w:t>(Smith, Flowers, &amp; Larkin, 2009; Smith, 2011; Smith &amp; Osborn, 2015)</w:t>
      </w:r>
      <w:r w:rsidRPr="006A1EC7">
        <w:fldChar w:fldCharType="end"/>
      </w:r>
      <w:r w:rsidRPr="006A1EC7">
        <w:t xml:space="preserve">. While it is possible to apply this method to the current project, it has to be acknowledged that in health psychology it is mainly applied to studying the lived experience of patients, which is often emotional and emotive in nature </w:t>
      </w:r>
      <w:r w:rsidRPr="006A1EC7">
        <w:fldChar w:fldCharType="begin" w:fldLock="1"/>
      </w:r>
      <w:r w:rsidRPr="006A1EC7">
        <w:instrText>ADDIN CSL_CITATION {"citationItems":[{"id":"ITEM-1","itemData":{"ISBN":"1412908345","abstract":"Interpretative phenomenological analysis (IPA) is an increasingly popular approach to qualitative inquiry. This handy text covers its theoretical foundations and provides a detailed guide to conducting IPA research. Extended worked examples from the authors' own studies in health, sexuality, psychological distress and identity illustrate the breadth and depth of IPA research. Each of the chapters also offers a guide to other good exemplars of IPA research in the designated area. The final section of the book considers how IPA connects with other contemporary qualitative approaches like discourse and narrative analysis and how it addresses issues to do with validity. The book is written in an accessible style and will be extremely useful to students and researchers in psychology and related disciplines in the health and social sciences.","author":[{"dropping-particle":"","family":"Smith","given":"J A","non-dropping-particle":"","parse-names":false,"suffix":""},{"dropping-particle":"","family":"Flowers","given":"P","non-dropping-particle":"","parse-names":false,"suffix":""},{"dropping-particle":"","family":"Larkin","given":"M","non-dropping-particle":"","parse-names":false,"suffix":""}],"container-title":"SAGE Publications Ltd","id":"ITEM-1","issued":{"date-parts":[["2009"]]},"title":"interpretative phenomenological anlaysis. Theory , Method and Research","type":"book"},"uris":["http://www.mendeley.com/documents/?uuid=76ae9475-7850-4eb9-ae04-ffc196aab25a"]},{"id":"ITEM-2","itemData":{"DOI":"10.1080/17437199.2010.510659","ISSN":"17437199","abstract":"This paper presents the results of a review of studies employing interpretative phenomenological analysis (IPA) obtained from three of the major databases: web of science, medline and psychinfo. Between 1996 and 2008, 293 papers presenting empirical IPA studies were published. Trends over time are presented. This is followed by a categorisation of the content area of that corpus. The biggest specific area of research within IPA is illness experience, it forming the subject of nearly a quarter of the corpus. The paper then describes a guide for evaluating IPA research which is used to assess the illness experience papers. Detailed summaries are provided of the papers rated as good. These summaries describe the substantive findings as well as the markers of high quality. The paper finishes with a summary of core features of high-quality IPA.","author":[{"dropping-particle":"","family":"Smith","given":"Jonathan A.","non-dropping-particle":"","parse-names":false,"suffix":""}],"container-title":"Health Psychology Review","id":"ITEM-2","issue":"1","issued":{"date-parts":[["2011"]]},"page":"9-27","title":"Evaluating the contribution of interpretative phenomenological analysis","type":"article-journal","volume":"5"},"uris":["http://www.mendeley.com/documents/?uuid=7e5a51b6-da7f-4c83-b064-1cd2e959f525"]}],"mendeley":{"formattedCitation":"(J A Smith et al., 2009; Jonathan A. Smith, 2011)","manualFormatting":"(Smith, Flowers, &amp; Larkin, 2009; Jonathan Smith, 2011)","plainTextFormattedCitation":"(J A Smith et al., 2009; Jonathan A. Smith, 2011)","previouslyFormattedCitation":"(J A Smith et al., 2009; Jonathan A. Smith, 2011)"},"properties":{"noteIndex":0},"schema":"https://github.com/citation-style-language/schema/raw/master/csl-citation.json"}</w:instrText>
      </w:r>
      <w:r w:rsidRPr="006A1EC7">
        <w:fldChar w:fldCharType="separate"/>
      </w:r>
      <w:r w:rsidRPr="006A1EC7">
        <w:rPr>
          <w:noProof/>
        </w:rPr>
        <w:t>(Smith, Flowers, &amp; Larkin, 2009; Jonathan Smith, 2011)</w:t>
      </w:r>
      <w:r w:rsidRPr="006A1EC7">
        <w:fldChar w:fldCharType="end"/>
      </w:r>
      <w:r w:rsidRPr="006A1EC7">
        <w:t xml:space="preserve">. IPA is typically applied to studying clearly focused topics with homogeneous samples, such as the experience of stereotypes by autistic people </w:t>
      </w:r>
      <w:r w:rsidRPr="006A1EC7">
        <w:fldChar w:fldCharType="begin" w:fldLock="1"/>
      </w:r>
      <w:r w:rsidRPr="006A1EC7">
        <w:instrText>ADDIN CSL_CITATION {"citationItems":[{"id":"ITEM-1","itemData":{"DOI":"10.1177/1362361318778286","ISSN":"14617005","abstract":"© 2018, The Author(s) 2018. Autism stereotypes can often portray autistic people in a negative way. However, few studies have looked at how autistic people think they are perceived by others, and none have specifically asked autistic people what they think the autistic stereotypes are. Semi-structured interviews with 12 autistic adults (aged between 20 and 63 years) were conducted. Using interpretative phenomenological analysis, three main themes emerged from the data. These were as follows: (1) the primary stereotype is that autistic people are ‘weird’; (2) autistic stereotypes have negative effects and consequences; and (3) autistic people are heterogeneous. This study makes an important and novel contribution to understanding the experience of being autistic by exploring how autistic people feel they are perceived by others and identifying some of the ways in which negative stereotypes are believed to have negative consequences for autistic people.","author":[{"dropping-particle":"","family":"Treweek","given":"Caroline","non-dropping-particle":"","parse-names":false,"suffix":""},{"dropping-particle":"","family":"Wood","given":"Chantelle","non-dropping-particle":"","parse-names":false,"suffix":""},{"dropping-particle":"","family":"Martin","given":"Jilly","non-dropping-particle":"","parse-names":false,"suffix":""},{"dropping-particle":"","family":"Freeth","given":"Megan","non-dropping-particle":"","parse-names":false,"suffix":""}],"container-title":"Autism","id":"ITEM-1","issue":"3","issued":{"date-parts":[["2019"]]},"page":"759-769","title":"Autistic people’s perspectives on stereotypes: An interpretative phenomenological analysis","type":"article-journal","volume":"23"},"uris":["http://www.mendeley.com/documents/?uuid=a9be017a-1b7c-4eda-8df1-17e609d86af1"]}],"mendeley":{"formattedCitation":"(Treweek, Wood, Martin, &amp; Freeth, 2019)","plainTextFormattedCitation":"(Treweek, Wood, Martin, &amp; Freeth, 2019)","previouslyFormattedCitation":"(Treweek, Wood, Martin, &amp; Freeth, 2019)"},"properties":{"noteIndex":0},"schema":"https://github.com/citation-style-language/schema/raw/master/csl-citation.json"}</w:instrText>
      </w:r>
      <w:r w:rsidRPr="006A1EC7">
        <w:fldChar w:fldCharType="separate"/>
      </w:r>
      <w:r w:rsidRPr="006A1EC7">
        <w:rPr>
          <w:noProof/>
        </w:rPr>
        <w:t>(Treweek, Wood, Martin, &amp; Freeth, 2019)</w:t>
      </w:r>
      <w:r w:rsidRPr="006A1EC7">
        <w:fldChar w:fldCharType="end"/>
      </w:r>
      <w:r w:rsidRPr="006A1EC7">
        <w:t xml:space="preserve">, the illness and associated treatment experience of patients with rosacea </w:t>
      </w:r>
      <w:r w:rsidRPr="006A1EC7">
        <w:fldChar w:fldCharType="begin" w:fldLock="1"/>
      </w:r>
      <w:r w:rsidRPr="006A1EC7">
        <w:instrText>ADDIN CSL_CITATION {"citationItems":[{"id":"ITEM-1","itemData":{"DOI":"10.1111/bjd.15780","ISSN":"13652133","abstract":"© 2017 British Association of Dermatologists Background: While rosacea is a chronic skin condition, it can often have a large psychosocial impact on the individual. There is therefore a need to understand the experience of living with rosacea from the patient perspective. Objectives: To examine the experience of living with rosacea and the experience of seeking and receiving treatment. Methods: Nine participants took part in semistructured interviews, which were analysed using interpretative phenomenological analysis. Results: Three superordinate themes were identified within the data: ‘self-consciousness’, which focused on the fear of others assigning blame to participants for having caused symptoms; ‘avoidance, concealment and hiding emotions’, referring to the coping strategies participants employed in response to rosacea; and ‘inconsistencies in general practitioner treatment and guidance’, which focused on the need for medical professionals to assess the psychosocial well-being of patients with rosacea. Conclusions: Rosacea can have a negative impact on the daily life of people with the condition, contributing to lowered self-esteem, embarrassment and feelings of shame. Engaging in emotion-focused and behavioural/avoidant-focused coping strategies increased participants’ confidence and reduced their avoidance of social situations. However, such strategies might still serve to maintain underlying unhelpful cognitive processes. Consequently, it is important for medical professionals to assess for the presence of cognitive factors that might contribute to maintaining distress in patients with rosacea, and where unhelpful thoughts or beliefs are reported, patients may need to be referred for psychological support.","author":[{"dropping-particle":"","family":"Johnston","given":"S. A.","non-dropping-particle":"","parse-names":false,"suffix":""},{"dropping-particle":"","family":"Krasuska","given":"M.","non-dropping-particle":"","parse-names":false,"suffix":""},{"dropping-particle":"","family":"Millings","given":"A.","non-dropping-particle":"","parse-names":false,"suffix":""},{"dropping-particle":"","family":"Lavda","given":"A. C.","non-dropping-particle":"","parse-names":false,"suffix":""},{"dropping-particle":"","family":"Thompson","given":"A. R.","non-dropping-particle":"","parse-names":false,"suffix":""}],"container-title":"British Journal of Dermatology","id":"ITEM-1","issue":"1","issued":{"date-parts":[["2018"]]},"page":"154-160","title":"Experiences of rosacea and its treatment: an interpretative phenomenological analysis","type":"article-journal","volume":"178"},"uris":["http://www.mendeley.com/documents/?uuid=ea0ac99f-7e3f-4d70-a31a-35c55985fb4e"]}],"mendeley":{"formattedCitation":"(S. A. Johnston, Krasuska, Millings, Lavda, &amp; Thompson, 2018)","manualFormatting":"(Johnston, Krasuska, Millings, Lavda, &amp; Thompson, 2018)","plainTextFormattedCitation":"(S. A. Johnston, Krasuska, Millings, Lavda, &amp; Thompson, 2018)","previouslyFormattedCitation":"(S. A. Johnston, Krasuska, Millings, Lavda, &amp; Thompson, 2018)"},"properties":{"noteIndex":0},"schema":"https://github.com/citation-style-language/schema/raw/master/csl-citation.json"}</w:instrText>
      </w:r>
      <w:r w:rsidRPr="006A1EC7">
        <w:fldChar w:fldCharType="separate"/>
      </w:r>
      <w:r w:rsidRPr="006A1EC7">
        <w:rPr>
          <w:noProof/>
        </w:rPr>
        <w:t>(Johnston, Krasuska, Millings, Lavda, &amp; Thompson, 2018)</w:t>
      </w:r>
      <w:r w:rsidRPr="006A1EC7">
        <w:fldChar w:fldCharType="end"/>
      </w:r>
      <w:r w:rsidRPr="006A1EC7">
        <w:t xml:space="preserve"> or adolescents’ experiences of communicating after acquiring a brain injury </w:t>
      </w:r>
      <w:r w:rsidRPr="006A1EC7">
        <w:fldChar w:fldCharType="begin" w:fldLock="1"/>
      </w:r>
      <w:r w:rsidRPr="006A1EC7">
        <w:instrText>ADDIN CSL_CITATION {"citationItems":[{"id":"ITEM-1","itemData":{"DOI":"10.1111/1460-6984.12506","author":[{"dropping-particle":"","family":"Buckeridge","given":"Katherine","non-dropping-particle":"","parse-names":false,"suffix":""},{"dropping-particle":"","family":"Clarke","given":"Channine","non-dropping-particle":"","parse-names":false,"suffix":""},{"dropping-particle":"","family":"Sellers","given":"Diane","non-dropping-particle":"","parse-names":false,"suffix":""}],"id":"ITEM-1","issued":{"date-parts":[["2019"]]},"page":"1-13","title":"Adolescents ’ experiences of communication following acquired brain injury","type":"article-journal"},"uris":["http://www.mendeley.com/documents/?uuid=85ab259c-a61d-46de-adc8-8b10c5c1d3a0"]}],"mendeley":{"formattedCitation":"(Buckeridge, Clarke, &amp; Sellers, 2019)","plainTextFormattedCitation":"(Buckeridge, Clarke, &amp; Sellers, 2019)","previouslyFormattedCitation":"(Buckeridge, Clarke, &amp; Sellers, 2019)"},"properties":{"noteIndex":0},"schema":"https://github.com/citation-style-language/schema/raw/master/csl-citation.json"}</w:instrText>
      </w:r>
      <w:r w:rsidRPr="006A1EC7">
        <w:fldChar w:fldCharType="separate"/>
      </w:r>
      <w:r w:rsidRPr="006A1EC7">
        <w:rPr>
          <w:noProof/>
        </w:rPr>
        <w:t>(Buckeridge, Clarke, &amp; Sellers, 2019)</w:t>
      </w:r>
      <w:r w:rsidRPr="006A1EC7">
        <w:fldChar w:fldCharType="end"/>
      </w:r>
      <w:r w:rsidRPr="006A1EC7">
        <w:t xml:space="preserve">. It must be noted that it has been applied to studying the caregiver perspective </w:t>
      </w:r>
      <w:r w:rsidRPr="006A1EC7">
        <w:fldChar w:fldCharType="begin" w:fldLock="1"/>
      </w:r>
      <w:r w:rsidRPr="006A1EC7">
        <w:instrText>ADDIN CSL_CITATION {"citationItems":[{"id":"ITEM-1","itemData":{"DOI":"10.1007/s10897-011-9361-1","ISBN":"1552-4825","ISSN":"10597700","PMID":"26684080","abstract":"Background Despite the distinctive physical, cognitive, personality and behavioural characteristics associated with Williams syndrome, few studies to date have examined parental experiences of raising a child with this genetic syndrome. Methods This explorative pilot study employed predominantly qualitative methodologies via face-to-face semi-structured interviews with parents. Results Participants’ responses indicated a variety of daily challenges faced by parents of a person with Williams syndrome. Parents also noted challenges unique to this aetiological group that were derived from the oversensitive and highly empathetic nature of the person with Williams syndrome. Parental perceptions relating to the positive impact that a person with Williams syndrome can have on the family were also reported. Discussion While some of the findings regarding the daily challenges faced by families with a person with WS appear to be similar to the experiences of families who have children with other genetic syndromes and developmental disabilities, the findings indicate that certain daily challenges may also be unique to parents of this aetiological group. In addition, the present study makes a valuable contribution to the research literature focusing on the positive aspects of raising a child with a disability. Future theoretical and practical applications of the present study are also suggested.","author":[{"dropping-particle":"","family":"Hercher","given":"Laura","non-dropping-particle":"","parse-names":false,"suffix":""},{"dropping-particle":"","family":"Bruenner","given":"Georgette","non-dropping-particle":"","parse-names":false,"suffix":""}],"container-title":"Journal of Genetic Counseling","id":"ITEM-1","issue":"1","issued":{"date-parts":[["2013"]]},"page":"1574-1581","publisher":"Elsevier Inc","title":"Parents' experiences of living with, and caring for children, adolescents and young adults with Mucopolysaccharidosis (MPS).","type":"article-journal","volume":"24"},"uris":["http://www.mendeley.com/documents/?uuid=3652ebe7-1a7f-4639-8320-5a711185aa19"]},{"id":"ITEM-2","itemData":{"DOI":"10.1080/13607863.2013.860425","ISSN":"13646915","abstract":"Objectives: The current research explores how family caregivers (1) make sense of caregiving and (2) cope with their circumstance.Method: We analysed semistructured interviews of 13 caregivers of people with either stroke (n = 5) or dementia (n = 8) and used photographs that caregivers took exemplifying their caregiving experiences to elicit their description of how they made sense of caregiving. This enabled greater insight into caregivers' perspective of caregiving complementing our use of Interpretative Phenomenological Analysis (IPA) to analyse verbatim transcripts.Results: Emerging themes included (1) making sense of illness including the implications of receiving a diagnosis, caregiving motivations and receiving support, and (2) coping with caregiving, with variance in coping depending on, in part, individual differences in sense making. Caregivers adopted active and information seeking techniques to deal with current problems and to increase their sense of control, but avoidant techniques when considering future logistics of caregiving and when feeling helpless due to the burden they faced. At times caregivers looked on the bright side and made downward comparisons.Conclusion: The combination of elicitation techniques and analysis using IPA established patterns across caregivers and individual differences between caregivers in the meaning they assigned to their caregiving experience. Differences in sense making were based on the context of the caregiving stressor, which in turn influenced the variability in caregiver's coping techniques adopted. The analysis detailed within this article provides evidence that information and service provision must be tailored to individual caregiver experiences.","author":[{"dropping-particle":"","family":"Williams","given":"Karina Louise","non-dropping-particle":"","parse-names":false,"suffix":""},{"dropping-particle":"","family":"Morrison","given":"Val","non-dropping-particle":"","parse-names":false,"suffix":""},{"dropping-particle":"","family":"Robinson","given":"Catherine A.","non-dropping-particle":"","parse-names":false,"suffix":""}],"container-title":"Aging and Mental Health","id":"ITEM-2","issue":"5","issued":{"date-parts":[["2014"]]},"page":"600-609","publisher":"Taylor &amp; Francis","title":"Exploring caregiving experiences: Caregiver coping and making sense of illness","type":"article-journal","volume":"18"},"uris":["http://www.mendeley.com/documents/?uuid=c6c741c3-2fcd-457f-ae8e-bc8fbe6f6702"]}],"mendeley":{"formattedCitation":"(Hercher &amp; Bruenner, 2013; K. L. Williams, Morrison, &amp; Robinson, 2014)","manualFormatting":"(Hercher &amp; Bruenner, 2013; Williams, Morrison, &amp; Robinson, 2014)","plainTextFormattedCitation":"(Hercher &amp; Bruenner, 2013; K. L. Williams, Morrison, &amp; Robinson, 2014)","previouslyFormattedCitation":"(Hercher &amp; Bruenner, 2013; K. L. Williams, Morrison, &amp; Robinson, 2014)"},"properties":{"noteIndex":0},"schema":"https://github.com/citation-style-language/schema/raw/master/csl-citation.json"}</w:instrText>
      </w:r>
      <w:r w:rsidRPr="006A1EC7">
        <w:fldChar w:fldCharType="separate"/>
      </w:r>
      <w:r w:rsidRPr="006A1EC7">
        <w:rPr>
          <w:noProof/>
        </w:rPr>
        <w:t>(Hercher &amp; Bruenner, 2013; Williams, Morrison, &amp; Robinson, 2014)</w:t>
      </w:r>
      <w:r w:rsidRPr="006A1EC7">
        <w:fldChar w:fldCharType="end"/>
      </w:r>
      <w:r w:rsidRPr="006A1EC7">
        <w:t xml:space="preserve">, however, there are more suitable, less idiographic qualitative methods to analyse these study contexts. </w:t>
      </w:r>
    </w:p>
    <w:p w14:paraId="16697201" w14:textId="77777777" w:rsidR="00D13545" w:rsidRPr="006A1EC7" w:rsidRDefault="00D13545" w:rsidP="00D13545">
      <w:pPr>
        <w:spacing w:line="360" w:lineRule="auto"/>
        <w:ind w:firstLine="720"/>
      </w:pPr>
      <w:r w:rsidRPr="006A1EC7">
        <w:t xml:space="preserve">The two major limitations of IPA for the current project are firstly, due to the heterogeneity and rarity of WHS, recruiting a homogeneous sample is not realistic, as participants will likely have very different experiences of their relatives’ illness and there are too many variables (e.g. NHS trust, age of child/adult, context of diagnosis, WHS severity) for IPA to be a suitable method. Secondly, the main purpose of this study is to understand the caregiver’s perspective on the HRQoL of patients with WHS, and not their own HRQoL. </w:t>
      </w:r>
      <w:r w:rsidRPr="006A1EC7">
        <w:lastRenderedPageBreak/>
        <w:t>Although it can be expected that narratives around their own HRQoL will also be found, they are not the sole focus of this study. Therefore, a less idiographic qualitative research method is needed.</w:t>
      </w:r>
    </w:p>
    <w:p w14:paraId="664756B8" w14:textId="77777777" w:rsidR="00D13545" w:rsidRPr="006A1EC7" w:rsidRDefault="00D13545" w:rsidP="00D13545">
      <w:pPr>
        <w:spacing w:line="360" w:lineRule="auto"/>
        <w:ind w:firstLine="360"/>
      </w:pPr>
      <w:r w:rsidRPr="006A1EC7">
        <w:t xml:space="preserve">After reviewing these methodologies, it was concluded that Thematic Analysis was the most appropriate methodology for the current project, as it offers a superior way of analysing qualitative interview data, compared to Content Analysis, and does not rely on the development of a theory or the recruitment of a homogeneous sample. </w:t>
      </w:r>
    </w:p>
    <w:p w14:paraId="59D6C030" w14:textId="77777777" w:rsidR="00D13545" w:rsidRPr="006A1EC7" w:rsidRDefault="00D13545" w:rsidP="00D13545">
      <w:pPr>
        <w:spacing w:line="360" w:lineRule="auto"/>
      </w:pPr>
    </w:p>
    <w:p w14:paraId="3FE579E6" w14:textId="0A6AE8FC" w:rsidR="00D13545" w:rsidRPr="006A1EC7" w:rsidRDefault="00D13545" w:rsidP="0092678A">
      <w:pPr>
        <w:pStyle w:val="Heading2"/>
        <w:rPr>
          <w:rFonts w:ascii="Times New Roman" w:hAnsi="Times New Roman" w:cs="Times New Roman"/>
        </w:rPr>
      </w:pPr>
      <w:bookmarkStart w:id="112" w:name="_Toc38821432"/>
      <w:bookmarkStart w:id="113" w:name="_Toc40172988"/>
      <w:r w:rsidRPr="006A1EC7">
        <w:rPr>
          <w:rFonts w:ascii="Times New Roman" w:hAnsi="Times New Roman" w:cs="Times New Roman"/>
        </w:rPr>
        <w:t>Objective</w:t>
      </w:r>
      <w:bookmarkEnd w:id="112"/>
      <w:bookmarkEnd w:id="113"/>
    </w:p>
    <w:p w14:paraId="61823336" w14:textId="478691F7" w:rsidR="00D13545" w:rsidRPr="006A1EC7" w:rsidRDefault="00D13545" w:rsidP="00D13545">
      <w:pPr>
        <w:spacing w:line="360" w:lineRule="auto"/>
        <w:ind w:firstLine="360"/>
      </w:pPr>
      <w:r w:rsidRPr="006A1EC7">
        <w:t xml:space="preserve">The aims of this research therefore are to explore the caregiver perspective of relatives living with and caring for adults and children with </w:t>
      </w:r>
      <w:r w:rsidR="009F0718" w:rsidRPr="006A1EC7">
        <w:t>WHS</w:t>
      </w:r>
      <w:r w:rsidRPr="006A1EC7">
        <w:t xml:space="preserve"> in the UK, to inform the development of the Clinician-Rated Clinical Outcome Assessment for WHS. </w:t>
      </w:r>
    </w:p>
    <w:p w14:paraId="5AF38378" w14:textId="77777777" w:rsidR="00D13545" w:rsidRPr="006A1EC7" w:rsidRDefault="00D13545" w:rsidP="00D13545"/>
    <w:p w14:paraId="79A64FA9" w14:textId="4278CFA8" w:rsidR="00D13545" w:rsidRPr="006A1EC7" w:rsidRDefault="00D13545" w:rsidP="0092678A">
      <w:pPr>
        <w:pStyle w:val="Heading2"/>
        <w:rPr>
          <w:rFonts w:ascii="Times New Roman" w:hAnsi="Times New Roman" w:cs="Times New Roman"/>
        </w:rPr>
      </w:pPr>
      <w:bookmarkStart w:id="114" w:name="_Toc38821433"/>
      <w:bookmarkStart w:id="115" w:name="_Toc40172989"/>
      <w:r w:rsidRPr="006A1EC7">
        <w:rPr>
          <w:rFonts w:ascii="Times New Roman" w:hAnsi="Times New Roman" w:cs="Times New Roman"/>
        </w:rPr>
        <w:t>Rationale</w:t>
      </w:r>
      <w:bookmarkEnd w:id="114"/>
      <w:bookmarkEnd w:id="115"/>
      <w:r w:rsidRPr="006A1EC7">
        <w:rPr>
          <w:rFonts w:ascii="Times New Roman" w:hAnsi="Times New Roman" w:cs="Times New Roman"/>
        </w:rPr>
        <w:t xml:space="preserve"> </w:t>
      </w:r>
    </w:p>
    <w:p w14:paraId="7C4B0BB0" w14:textId="77777777" w:rsidR="00D13545" w:rsidRPr="006A1EC7" w:rsidRDefault="00D13545" w:rsidP="00D13545">
      <w:pPr>
        <w:spacing w:line="360" w:lineRule="auto"/>
        <w:ind w:firstLine="360"/>
      </w:pPr>
      <w:r w:rsidRPr="006A1EC7">
        <w:t>The underlying rationale of its conduction is that, as patients with the syndrome cannot be interviewed due to limited cognitive abilities and inability to give informed consent, by-proxy reports are the most appropriate form of data collection on the HRQoL of patients.</w:t>
      </w:r>
    </w:p>
    <w:p w14:paraId="660C6488" w14:textId="77777777" w:rsidR="00D13545" w:rsidRPr="006A1EC7" w:rsidRDefault="00D13545" w:rsidP="00D13545">
      <w:pPr>
        <w:spacing w:line="276" w:lineRule="auto"/>
      </w:pPr>
    </w:p>
    <w:p w14:paraId="0479B084" w14:textId="77777777" w:rsidR="00D13545" w:rsidRPr="006A1EC7" w:rsidRDefault="00D13545" w:rsidP="00D13545">
      <w:pPr>
        <w:pStyle w:val="Heading2"/>
        <w:rPr>
          <w:rFonts w:ascii="Times New Roman" w:hAnsi="Times New Roman" w:cs="Times New Roman"/>
        </w:rPr>
      </w:pPr>
      <w:bookmarkStart w:id="116" w:name="_Toc22126823"/>
      <w:bookmarkStart w:id="117" w:name="_Toc23522718"/>
      <w:bookmarkStart w:id="118" w:name="_Toc38821434"/>
      <w:bookmarkStart w:id="119" w:name="_Toc40172990"/>
      <w:r w:rsidRPr="006A1EC7">
        <w:rPr>
          <w:rFonts w:ascii="Times New Roman" w:hAnsi="Times New Roman" w:cs="Times New Roman"/>
        </w:rPr>
        <w:t>Method</w:t>
      </w:r>
      <w:bookmarkEnd w:id="116"/>
      <w:bookmarkEnd w:id="117"/>
      <w:bookmarkEnd w:id="118"/>
      <w:bookmarkEnd w:id="119"/>
    </w:p>
    <w:p w14:paraId="4B757C23" w14:textId="77777777" w:rsidR="00D13545" w:rsidRPr="006A1EC7" w:rsidRDefault="00D13545" w:rsidP="00D13545"/>
    <w:p w14:paraId="21BE59DC" w14:textId="2FC33E24" w:rsidR="00D13545" w:rsidRPr="006A1EC7" w:rsidRDefault="00D13545" w:rsidP="0092678A">
      <w:pPr>
        <w:pStyle w:val="Heading3"/>
        <w:rPr>
          <w:rFonts w:ascii="Times New Roman" w:hAnsi="Times New Roman" w:cs="Times New Roman"/>
        </w:rPr>
      </w:pPr>
      <w:bookmarkStart w:id="120" w:name="_Toc22126824"/>
      <w:r w:rsidRPr="006A1EC7">
        <w:rPr>
          <w:rFonts w:ascii="Times New Roman" w:hAnsi="Times New Roman" w:cs="Times New Roman"/>
        </w:rPr>
        <w:t>Ethics</w:t>
      </w:r>
      <w:bookmarkEnd w:id="120"/>
    </w:p>
    <w:p w14:paraId="1E8A21F8" w14:textId="77777777" w:rsidR="00D13545" w:rsidRPr="006A1EC7" w:rsidRDefault="00D13545" w:rsidP="00D13545">
      <w:pPr>
        <w:spacing w:line="360" w:lineRule="auto"/>
        <w:ind w:firstLine="720"/>
      </w:pPr>
      <w:r w:rsidRPr="006A1EC7">
        <w:t>NHS Research Ethics Committee and Health Regulatory Authority approval for the project was obtained (</w:t>
      </w:r>
      <w:hyperlink r:id="rId22" w:history="1">
        <w:r w:rsidRPr="006A1EC7">
          <w:rPr>
            <w:rStyle w:val="Hyperlink"/>
            <w:color w:val="auto"/>
          </w:rPr>
          <w:t>https://www.hra.nhs.uk/planning-and-improving-research/application-summaries/research-summaries/a-clinical-outcome-assessment-for-wolf-hirschhorn-syndrome/</w:t>
        </w:r>
      </w:hyperlink>
      <w:r w:rsidRPr="006A1EC7">
        <w:rPr>
          <w:rStyle w:val="Hyperlink"/>
          <w:color w:val="auto"/>
        </w:rPr>
        <w:t xml:space="preserve"> - Appendix 4.1)</w:t>
      </w:r>
    </w:p>
    <w:p w14:paraId="3445E0CA" w14:textId="77777777" w:rsidR="00D13545" w:rsidRPr="006A1EC7" w:rsidRDefault="00D13545" w:rsidP="00D13545">
      <w:pPr>
        <w:spacing w:line="276" w:lineRule="auto"/>
      </w:pPr>
    </w:p>
    <w:p w14:paraId="77CD79F9" w14:textId="77777777" w:rsidR="00D13545" w:rsidRPr="006A1EC7" w:rsidRDefault="00D13545" w:rsidP="00D13545">
      <w:pPr>
        <w:spacing w:line="276" w:lineRule="auto"/>
      </w:pPr>
    </w:p>
    <w:p w14:paraId="20CD486F" w14:textId="77777777" w:rsidR="00D13545" w:rsidRPr="006A1EC7" w:rsidRDefault="00D13545" w:rsidP="00D13545">
      <w:pPr>
        <w:pStyle w:val="Heading3"/>
        <w:rPr>
          <w:rFonts w:ascii="Times New Roman" w:hAnsi="Times New Roman" w:cs="Times New Roman"/>
        </w:rPr>
      </w:pPr>
      <w:bookmarkStart w:id="121" w:name="_Toc22126825"/>
      <w:r w:rsidRPr="006A1EC7">
        <w:rPr>
          <w:rFonts w:ascii="Times New Roman" w:hAnsi="Times New Roman" w:cs="Times New Roman"/>
        </w:rPr>
        <w:t>Sample</w:t>
      </w:r>
      <w:bookmarkEnd w:id="121"/>
    </w:p>
    <w:p w14:paraId="7E609147" w14:textId="77777777" w:rsidR="00D13545" w:rsidRPr="006A1EC7" w:rsidRDefault="00D13545" w:rsidP="00D13545">
      <w:pPr>
        <w:spacing w:line="276" w:lineRule="auto"/>
      </w:pPr>
    </w:p>
    <w:p w14:paraId="28EE378E" w14:textId="3834FA88" w:rsidR="00D13545" w:rsidRPr="006A1EC7" w:rsidRDefault="00D13545" w:rsidP="0092678A">
      <w:pPr>
        <w:pStyle w:val="Heading4"/>
        <w:rPr>
          <w:rFonts w:ascii="Times New Roman" w:hAnsi="Times New Roman" w:cs="Times New Roman"/>
        </w:rPr>
      </w:pPr>
      <w:r w:rsidRPr="006A1EC7">
        <w:rPr>
          <w:rFonts w:ascii="Times New Roman" w:hAnsi="Times New Roman" w:cs="Times New Roman"/>
        </w:rPr>
        <w:t>Recruitment</w:t>
      </w:r>
    </w:p>
    <w:p w14:paraId="55D60D10" w14:textId="11952DCE" w:rsidR="00D13545" w:rsidRPr="006A1EC7" w:rsidRDefault="00D13545" w:rsidP="00D13545">
      <w:pPr>
        <w:spacing w:line="360" w:lineRule="auto"/>
        <w:ind w:firstLine="720"/>
      </w:pPr>
      <w:r w:rsidRPr="006A1EC7">
        <w:t xml:space="preserve">All family members of children or adults with </w:t>
      </w:r>
      <w:r w:rsidR="009F0718" w:rsidRPr="006A1EC7">
        <w:t>WHS</w:t>
      </w:r>
      <w:r w:rsidRPr="006A1EC7">
        <w:t xml:space="preserve"> living in the UK and Ireland were eligible to participate in this study, provided they were over the age of 18 and able to give informed consent for participation. All degrees of relationships were included, such as stepparents, grandparents, siblings and aunts or uncles. If more than one family member of a patient with WHS volunteered, they could also participate. Participants were recruited as </w:t>
      </w:r>
      <w:r w:rsidRPr="006A1EC7">
        <w:lastRenderedPageBreak/>
        <w:t xml:space="preserve">volunteers either via the UK Wolf-Hirschhorn trust or via the database of WHS families held at the Sheffield Clinical Genetics Service. </w:t>
      </w:r>
    </w:p>
    <w:p w14:paraId="0FC00DC9" w14:textId="77777777" w:rsidR="00D13545" w:rsidRPr="006A1EC7" w:rsidRDefault="00D13545" w:rsidP="00D13545">
      <w:pPr>
        <w:spacing w:line="360" w:lineRule="auto"/>
        <w:ind w:firstLine="720"/>
      </w:pPr>
      <w:r w:rsidRPr="006A1EC7">
        <w:t xml:space="preserve">Contact with the local co-ordinator of the WHS Trust was made; this subsequently led to snowball sampling (i.e. the first participant passing on study and contact information to their peer-network of family carers for children and adults with WHS). No financial incentive was given. </w:t>
      </w:r>
    </w:p>
    <w:p w14:paraId="55DD8BDE" w14:textId="77777777" w:rsidR="00D13545" w:rsidRPr="006A1EC7" w:rsidRDefault="00D13545" w:rsidP="00D13545">
      <w:pPr>
        <w:spacing w:line="276" w:lineRule="auto"/>
      </w:pPr>
    </w:p>
    <w:p w14:paraId="2F4BB82A" w14:textId="77777777" w:rsidR="00D13545" w:rsidRPr="006A1EC7" w:rsidRDefault="00D13545" w:rsidP="00D13545">
      <w:pPr>
        <w:pStyle w:val="Heading3"/>
        <w:rPr>
          <w:rFonts w:ascii="Times New Roman" w:hAnsi="Times New Roman" w:cs="Times New Roman"/>
        </w:rPr>
      </w:pPr>
      <w:bookmarkStart w:id="122" w:name="_Toc22126826"/>
      <w:r w:rsidRPr="006A1EC7">
        <w:rPr>
          <w:rFonts w:ascii="Times New Roman" w:hAnsi="Times New Roman" w:cs="Times New Roman"/>
        </w:rPr>
        <w:t>Procedure</w:t>
      </w:r>
      <w:bookmarkEnd w:id="122"/>
    </w:p>
    <w:p w14:paraId="06E4E80C" w14:textId="77777777" w:rsidR="00D13545" w:rsidRPr="006A1EC7" w:rsidRDefault="00D13545" w:rsidP="00D13545">
      <w:pPr>
        <w:spacing w:line="276" w:lineRule="auto"/>
      </w:pPr>
    </w:p>
    <w:p w14:paraId="15D77F3B" w14:textId="2CFE70AA" w:rsidR="00D13545" w:rsidRPr="006A1EC7" w:rsidRDefault="00D13545" w:rsidP="0092678A">
      <w:pPr>
        <w:pStyle w:val="Heading4"/>
        <w:rPr>
          <w:rFonts w:ascii="Times New Roman" w:hAnsi="Times New Roman" w:cs="Times New Roman"/>
        </w:rPr>
      </w:pPr>
      <w:r w:rsidRPr="006A1EC7">
        <w:rPr>
          <w:rFonts w:ascii="Times New Roman" w:hAnsi="Times New Roman" w:cs="Times New Roman"/>
        </w:rPr>
        <w:t xml:space="preserve">Interview schedule </w:t>
      </w:r>
    </w:p>
    <w:p w14:paraId="0738AC1D" w14:textId="73F5391D" w:rsidR="00D13545" w:rsidRPr="006A1EC7" w:rsidRDefault="00D13545" w:rsidP="00D13545">
      <w:pPr>
        <w:spacing w:line="360" w:lineRule="auto"/>
        <w:ind w:firstLine="720"/>
      </w:pPr>
      <w:r w:rsidRPr="006A1EC7">
        <w:t xml:space="preserve">As aforementioned, Interviews are the most common form of data collection for qualitative health care research </w:t>
      </w:r>
      <w:r w:rsidRPr="006A1EC7">
        <w:fldChar w:fldCharType="begin" w:fldLock="1"/>
      </w:r>
      <w:r w:rsidRPr="006A1EC7">
        <w:instrText>ADDIN CSL_CITATION {"citationItems":[{"id":"ITEM-1","itemData":{"DOI":"10.1177/1524839910363537.Appraising","ISBN":"0142-159X; 0142-159X","ISSN":"2075-051X","PMID":"21654952","abstract":"Although relatively uncommon in health care research, qualitative research is now receiving recognition and is increasingly used in health care research with social and cultural dimensions. Unlike quantitative research, which is deductive and tends to analyze phenomena in terms of trends and frequencies, qualitative research seeks to determine the meaning of a phenomenon through description. It aims to develop concepts that aid in the understanding of natural phenomena with emphasis on the meaning, experiences and views of the participants. Differences among qualitative researchers exist on matters of ontology, epistemology, data collection methods and methods of evaluation. The aim of this article is not to act as a practical guide on how to conduct qualitative research, but is an attempt to give an introduction to qualitative research methods and their use in health-related research.","author":[{"dropping-particle":"","family":"Al-Busaidi","given":"Zakiya Q","non-dropping-particle":"","parse-names":false,"suffix":""}],"container-title":"Sultan Qaboos University medical journal","id":"ITEM-1","issue":"1","issued":{"date-parts":[["2008"]]},"page":"11-9","title":"Qualitative research and its uses in health care.","type":"article-journal","volume":"8"},"uris":["http://www.mendeley.com/documents/?uuid=25b7ccb1-1881-455e-87ee-a84d4c0c26a7"]}],"mendeley":{"formattedCitation":"(Al-Busaidi, 2008)","plainTextFormattedCitation":"(Al-Busaidi, 2008)","previouslyFormattedCitation":"(Al-Busaidi, 2008)"},"properties":{"noteIndex":0},"schema":"https://github.com/citation-style-language/schema/raw/master/csl-citation.json"}</w:instrText>
      </w:r>
      <w:r w:rsidRPr="006A1EC7">
        <w:fldChar w:fldCharType="separate"/>
      </w:r>
      <w:r w:rsidRPr="006A1EC7">
        <w:rPr>
          <w:noProof/>
        </w:rPr>
        <w:t>(Al-Busaidi, 2008)</w:t>
      </w:r>
      <w:r w:rsidRPr="006A1EC7">
        <w:fldChar w:fldCharType="end"/>
      </w:r>
      <w:r w:rsidRPr="006A1EC7">
        <w:t xml:space="preserve">; the use of open-ended questions as well as semi-structured interviews enables participants to answer relevant questions while providing enough space elaborate on experiences they perceive as relevant. Therefore, a semi-structured interview schedule with open-ended questions was developed with focus on two particular aspects: firstly, the perceptions of severity or impact of different symptoms of </w:t>
      </w:r>
      <w:r w:rsidR="009F0718" w:rsidRPr="006A1EC7">
        <w:t>WHS</w:t>
      </w:r>
      <w:r w:rsidRPr="006A1EC7">
        <w:t xml:space="preserve"> (to inform the development of the Clinical Outcome Assessment), and secondly, the experiences of caring for someone with WHS, its psychosocial impact and the use of support networks.</w:t>
      </w:r>
    </w:p>
    <w:p w14:paraId="242F986C" w14:textId="77777777" w:rsidR="00D13545" w:rsidRPr="006A1EC7" w:rsidRDefault="00D13545" w:rsidP="00D13545">
      <w:pPr>
        <w:spacing w:line="360" w:lineRule="auto"/>
        <w:ind w:firstLine="720"/>
      </w:pPr>
      <w:r w:rsidRPr="006A1EC7">
        <w:t xml:space="preserve">To test the acceptability and utility of the interview schedule, the first interview conducted served as a pilot interview. Overall, the pilot interview was successful, and the questions were well-received. The participant was able to answer all questions and gave in-depth answers. Some small changes were made to the interview schedule following the pilot interview, such as adding in a question about discomfort and bowel movements. </w:t>
      </w:r>
    </w:p>
    <w:p w14:paraId="50F73070" w14:textId="77777777" w:rsidR="00D13545" w:rsidRPr="006A1EC7" w:rsidRDefault="00D13545" w:rsidP="00D13545">
      <w:pPr>
        <w:spacing w:line="360" w:lineRule="auto"/>
        <w:ind w:firstLine="720"/>
      </w:pPr>
    </w:p>
    <w:p w14:paraId="360A2449" w14:textId="77777777" w:rsidR="00D13545" w:rsidRPr="006A1EC7" w:rsidRDefault="00D13545" w:rsidP="00D13545">
      <w:pPr>
        <w:pStyle w:val="Heading4"/>
        <w:rPr>
          <w:rFonts w:ascii="Times New Roman" w:hAnsi="Times New Roman" w:cs="Times New Roman"/>
        </w:rPr>
      </w:pPr>
      <w:r w:rsidRPr="006A1EC7">
        <w:rPr>
          <w:rFonts w:ascii="Times New Roman" w:hAnsi="Times New Roman" w:cs="Times New Roman"/>
        </w:rPr>
        <w:t>Interview arrangements</w:t>
      </w:r>
    </w:p>
    <w:p w14:paraId="3E1ED811" w14:textId="77777777" w:rsidR="00D13545" w:rsidRPr="006A1EC7" w:rsidRDefault="00D13545" w:rsidP="00D13545">
      <w:pPr>
        <w:spacing w:line="360" w:lineRule="auto"/>
        <w:ind w:firstLine="720"/>
      </w:pPr>
      <w:r w:rsidRPr="006A1EC7">
        <w:t xml:space="preserve">Interested participants were asked to email either the principal investigator of this study (AM) or the researcher (KV) for information and to arrange interviews. All interviews took place at the participant’s home for their convenience. Once the researcher arrived there, the study purpose and process were explained to the participant who had previously received an information sheet via email. A printed copy of the information sheet was also available for the participant to read again should they wish to before consenting. Written consent was taken from each participant using an approved consent form (Appendices 4.3, 4.4). All </w:t>
      </w:r>
      <w:r w:rsidRPr="006A1EC7">
        <w:lastRenderedPageBreak/>
        <w:t>interviews were conducted by KV.</w:t>
      </w:r>
      <w:r w:rsidRPr="006A1EC7">
        <w:br/>
      </w:r>
    </w:p>
    <w:p w14:paraId="4053CBF5" w14:textId="77777777" w:rsidR="00D13545" w:rsidRPr="006A1EC7" w:rsidRDefault="00D13545" w:rsidP="00D13545">
      <w:pPr>
        <w:pStyle w:val="Heading4"/>
        <w:rPr>
          <w:rFonts w:ascii="Times New Roman" w:hAnsi="Times New Roman" w:cs="Times New Roman"/>
        </w:rPr>
      </w:pPr>
      <w:r w:rsidRPr="006A1EC7">
        <w:rPr>
          <w:rFonts w:ascii="Times New Roman" w:hAnsi="Times New Roman" w:cs="Times New Roman"/>
        </w:rPr>
        <w:t xml:space="preserve">Participant codes </w:t>
      </w:r>
    </w:p>
    <w:p w14:paraId="69C4504A" w14:textId="77777777" w:rsidR="00D13545" w:rsidRPr="006A1EC7" w:rsidRDefault="00D13545" w:rsidP="00D13545">
      <w:pPr>
        <w:spacing w:line="360" w:lineRule="auto"/>
        <w:ind w:firstLine="720"/>
      </w:pPr>
      <w:r w:rsidRPr="006A1EC7">
        <w:t>All participants received a participant code in order of completion of interviews; the first interview was coded as participant WHS1, the second as WHS2 etc. If more than one family member from one family volunteered, a letter was added after their code to be able to distinguish interviews from each other without losing emphasis on the fact that the interview relates to the same individual with WHS (e.g. WHS45A, WHS45B).</w:t>
      </w:r>
      <w:r w:rsidRPr="006A1EC7">
        <w:br/>
      </w:r>
    </w:p>
    <w:p w14:paraId="2B49225E" w14:textId="77777777" w:rsidR="00D13545" w:rsidRPr="006A1EC7" w:rsidRDefault="00D13545" w:rsidP="00D13545">
      <w:pPr>
        <w:pStyle w:val="Heading4"/>
        <w:rPr>
          <w:rFonts w:ascii="Times New Roman" w:hAnsi="Times New Roman" w:cs="Times New Roman"/>
        </w:rPr>
      </w:pPr>
      <w:r w:rsidRPr="006A1EC7">
        <w:rPr>
          <w:rFonts w:ascii="Times New Roman" w:hAnsi="Times New Roman" w:cs="Times New Roman"/>
        </w:rPr>
        <w:t>Transcription</w:t>
      </w:r>
    </w:p>
    <w:p w14:paraId="2FB830D0" w14:textId="77777777" w:rsidR="00D13545" w:rsidRPr="006A1EC7" w:rsidRDefault="00D13545" w:rsidP="00D13545">
      <w:pPr>
        <w:spacing w:line="360" w:lineRule="auto"/>
        <w:ind w:firstLine="720"/>
      </w:pPr>
      <w:r w:rsidRPr="006A1EC7">
        <w:t>All interviews were transcribed verbatim and anonymised. The premium version of the transcription software F5 for Mac was used for transcription (</w:t>
      </w:r>
      <w:hyperlink r:id="rId23" w:history="1">
        <w:r w:rsidRPr="006A1EC7">
          <w:rPr>
            <w:rStyle w:val="Hyperlink"/>
            <w:color w:val="auto"/>
          </w:rPr>
          <w:t>https://itunes.apple.com/gb/app/f5-transcription-pro/id935669212?mt=12</w:t>
        </w:r>
      </w:hyperlink>
      <w:r w:rsidRPr="006A1EC7">
        <w:t xml:space="preserve">). The majority of interviews were transcribed by KV, one was transcribed by a BMedSci Student wishing to practice her transcription technique; and five were transcribed via a paid, professional transcribing service. </w:t>
      </w:r>
      <w:r w:rsidRPr="006A1EC7">
        <w:br/>
      </w:r>
    </w:p>
    <w:p w14:paraId="48356C09" w14:textId="77777777" w:rsidR="00D13545" w:rsidRPr="006A1EC7" w:rsidRDefault="00D13545" w:rsidP="00D13545">
      <w:pPr>
        <w:pStyle w:val="Heading4"/>
        <w:rPr>
          <w:rFonts w:ascii="Times New Roman" w:hAnsi="Times New Roman" w:cs="Times New Roman"/>
        </w:rPr>
      </w:pPr>
      <w:r w:rsidRPr="006A1EC7">
        <w:rPr>
          <w:rFonts w:ascii="Times New Roman" w:hAnsi="Times New Roman" w:cs="Times New Roman"/>
        </w:rPr>
        <w:t>Analysis</w:t>
      </w:r>
    </w:p>
    <w:p w14:paraId="447E7241" w14:textId="3BAB47DB" w:rsidR="00D13545" w:rsidRPr="006A1EC7" w:rsidRDefault="00D13545" w:rsidP="00D13545">
      <w:pPr>
        <w:spacing w:line="360" w:lineRule="auto"/>
        <w:ind w:firstLine="720"/>
        <w:rPr>
          <w:rFonts w:eastAsia="Cambria"/>
        </w:rPr>
      </w:pPr>
      <w:r w:rsidRPr="006A1EC7">
        <w:t xml:space="preserve">All interviews were analysed using Thematic Analysis according to </w:t>
      </w:r>
      <w:r w:rsidRPr="006A1EC7">
        <w:fldChar w:fldCharType="begin" w:fldLock="1"/>
      </w:r>
      <w:r w:rsidRPr="006A1EC7">
        <w:instrText>ADDIN CSL_CITATION {"citationItems":[{"id":"ITEM-1","itemData":{"ISBN":"1478-0887\\n1478-0895","ISSN":"1478-0887","PMID":"223135521","author":[{"dropping-particle":"","family":"Braun","given":"V","non-dropping-particle":"","parse-names":false,"suffix":""},{"dropping-particle":"","family":"Clarke","given":"V","non-dropping-particle":"","parse-names":false,"suffix":""}],"container-title":"Qualitative Research in Psychology","id":"ITEM-1","issue":"2","issued":{"date-parts":[["2006"]]},"page":"77-101","title":"Using thematic analysis in psychology","type":"article-journal","volume":"3"},"uris":["http://www.mendeley.com/documents/?uuid=1e9f3ded-ede4-4ee2-9c46-1c4d52b398b3"]}],"mendeley":{"formattedCitation":"(Braun &amp; Clarke, 2006)","manualFormatting":"Braun and Clarke (2006)","plainTextFormattedCitation":"(Braun &amp; Clarke, 2006)","previouslyFormattedCitation":"(Braun &amp; Clarke, 2006)"},"properties":{"noteIndex":0},"schema":"https://github.com/citation-style-language/schema/raw/master/csl-citation.json"}</w:instrText>
      </w:r>
      <w:r w:rsidRPr="006A1EC7">
        <w:fldChar w:fldCharType="separate"/>
      </w:r>
      <w:r w:rsidRPr="006A1EC7">
        <w:rPr>
          <w:noProof/>
        </w:rPr>
        <w:t>Braun and Clarke (2006)</w:t>
      </w:r>
      <w:r w:rsidRPr="006A1EC7">
        <w:fldChar w:fldCharType="end"/>
      </w:r>
      <w:r w:rsidRPr="006A1EC7">
        <w:t>’s 6-steps (Graphic 8)</w:t>
      </w:r>
      <w:r w:rsidRPr="006A1EC7">
        <w:rPr>
          <w:rFonts w:eastAsia="Cambria"/>
        </w:rPr>
        <w:t xml:space="preserve">. KV coded all interviews, and a coding framework was </w:t>
      </w:r>
      <w:r w:rsidRPr="006A1EC7">
        <w:t>developed on the basis of interviews WHS1 and 2A by KV and GJ. Both researchers coded the interviews separately, and commonalities and disagreements between both proposed frameworks discussed. This resulted in the initial coding framework, which was extended as more interviews were coded.</w:t>
      </w:r>
    </w:p>
    <w:p w14:paraId="41F2116A" w14:textId="77777777" w:rsidR="00D13545" w:rsidRPr="006A1EC7" w:rsidRDefault="00D13545" w:rsidP="00D13545">
      <w:pPr>
        <w:spacing w:line="276" w:lineRule="auto"/>
      </w:pPr>
    </w:p>
    <w:p w14:paraId="7E92D543" w14:textId="77777777" w:rsidR="00D13545" w:rsidRPr="006A1EC7" w:rsidRDefault="00D13545" w:rsidP="00D13545">
      <w:pPr>
        <w:pStyle w:val="Heading2"/>
        <w:rPr>
          <w:rFonts w:ascii="Times New Roman" w:hAnsi="Times New Roman" w:cs="Times New Roman"/>
        </w:rPr>
      </w:pPr>
      <w:bookmarkStart w:id="123" w:name="_Toc22126827"/>
      <w:bookmarkStart w:id="124" w:name="_Toc23522719"/>
      <w:bookmarkStart w:id="125" w:name="_Toc38821435"/>
      <w:bookmarkStart w:id="126" w:name="_Toc40172991"/>
      <w:r w:rsidRPr="006A1EC7">
        <w:rPr>
          <w:rFonts w:ascii="Times New Roman" w:hAnsi="Times New Roman" w:cs="Times New Roman"/>
        </w:rPr>
        <w:t>Results</w:t>
      </w:r>
      <w:bookmarkEnd w:id="123"/>
      <w:bookmarkEnd w:id="124"/>
      <w:bookmarkEnd w:id="125"/>
      <w:bookmarkEnd w:id="126"/>
    </w:p>
    <w:p w14:paraId="620C6FA9" w14:textId="77777777" w:rsidR="00D13545" w:rsidRPr="006A1EC7" w:rsidRDefault="00D13545" w:rsidP="00D13545">
      <w:pPr>
        <w:spacing w:line="276" w:lineRule="auto"/>
      </w:pPr>
    </w:p>
    <w:p w14:paraId="12249E35" w14:textId="77777777" w:rsidR="00D13545" w:rsidRPr="006A1EC7" w:rsidRDefault="00D13545" w:rsidP="00D13545">
      <w:pPr>
        <w:pStyle w:val="Heading3"/>
        <w:spacing w:line="276" w:lineRule="auto"/>
        <w:rPr>
          <w:rFonts w:ascii="Times New Roman" w:hAnsi="Times New Roman" w:cs="Times New Roman"/>
          <w:color w:val="auto"/>
        </w:rPr>
      </w:pPr>
      <w:bookmarkStart w:id="127" w:name="_Toc22126828"/>
      <w:r w:rsidRPr="006A1EC7">
        <w:rPr>
          <w:rFonts w:ascii="Times New Roman" w:hAnsi="Times New Roman" w:cs="Times New Roman"/>
        </w:rPr>
        <w:t>Participants</w:t>
      </w:r>
      <w:bookmarkEnd w:id="127"/>
    </w:p>
    <w:p w14:paraId="750F7C27" w14:textId="227F6CDF" w:rsidR="00D13545" w:rsidRPr="006A1EC7" w:rsidRDefault="00D13545" w:rsidP="00400746">
      <w:pPr>
        <w:spacing w:line="360" w:lineRule="auto"/>
        <w:ind w:firstLine="720"/>
      </w:pPr>
      <w:r w:rsidRPr="006A1EC7">
        <w:t>Overall, twenty-two interviews took place between November 2016 and February 2017. Their characteristics are described in Table 7. Occasionally more than one family member volunteered</w:t>
      </w:r>
      <w:r w:rsidR="000E4DA8" w:rsidRPr="006A1EC7">
        <w:t>,</w:t>
      </w:r>
      <w:r w:rsidRPr="006A1EC7">
        <w:t xml:space="preserve"> which was welcomed in order to compare perspectives of severity or impact within one family. In total, twelve mothers took part in the study, five fathers, three grandmothers and two sisters of affected siblings. One mother had two affected children (boy, girl), however, her son had passed away. Another mother had three affected girls, two </w:t>
      </w:r>
      <w:r w:rsidRPr="006A1EC7">
        <w:lastRenderedPageBreak/>
        <w:t xml:space="preserve">of whom were deceased. </w:t>
      </w:r>
      <w:r w:rsidR="000E4DA8" w:rsidRPr="006A1EC7">
        <w:t xml:space="preserve">Therefore, the current sample is based on, and representative of, the experiences of twelve family members, representing a total number of fifteen patients with WHS. </w:t>
      </w:r>
      <w:r w:rsidRPr="006A1EC7">
        <w:t xml:space="preserve">The age ranges of affected children or adults was 2 – 55 </w:t>
      </w:r>
      <m:oMath>
        <m:d>
          <m:dPr>
            <m:begChr m:val="["/>
            <m:endChr m:val="]"/>
            <m:ctrlPr>
              <w:rPr>
                <w:rFonts w:ascii="Cambria Math" w:hAnsi="Cambria Math"/>
                <w:i/>
              </w:rPr>
            </m:ctrlPr>
          </m:dPr>
          <m:e>
            <m:r>
              <w:rPr>
                <w:rFonts w:ascii="Cambria Math" w:hAnsi="Cambria Math"/>
              </w:rPr>
              <m:t xml:space="preserve">mean:14, median: 8, mode:7 </m:t>
            </m:r>
          </m:e>
        </m:d>
      </m:oMath>
      <w:r w:rsidRPr="006A1EC7">
        <w:t xml:space="preserve"> </w:t>
      </w:r>
      <w:r w:rsidRPr="006A1EC7">
        <w:rPr>
          <w:rStyle w:val="FootnoteReference"/>
        </w:rPr>
        <w:footnoteReference w:id="8"/>
      </w:r>
      <w:r w:rsidRPr="006A1EC7">
        <w:t>. Participants were from England, Scotland and Wales; Graphic 9 illustrates the locations.</w:t>
      </w:r>
    </w:p>
    <w:p w14:paraId="56B7B770" w14:textId="1F2A749C" w:rsidR="00D13545" w:rsidRPr="006A1EC7" w:rsidRDefault="00D13545" w:rsidP="00D13545">
      <w:pPr>
        <w:spacing w:line="360" w:lineRule="auto"/>
      </w:pPr>
    </w:p>
    <w:p w14:paraId="3296B81E" w14:textId="275D4E23" w:rsidR="00D13545" w:rsidRPr="006A1EC7" w:rsidRDefault="00D13545" w:rsidP="00D13545">
      <w:pPr>
        <w:pStyle w:val="Heading3"/>
        <w:rPr>
          <w:rFonts w:ascii="Times New Roman" w:hAnsi="Times New Roman" w:cs="Times New Roman"/>
        </w:rPr>
      </w:pPr>
      <w:bookmarkStart w:id="128" w:name="_Toc40173032"/>
      <w:r w:rsidRPr="006A1EC7">
        <w:rPr>
          <w:rFonts w:ascii="Times New Roman" w:hAnsi="Times New Roman" w:cs="Times New Roman"/>
        </w:rPr>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7</w:t>
      </w:r>
      <w:r w:rsidRPr="006A1EC7">
        <w:rPr>
          <w:rFonts w:ascii="Times New Roman" w:hAnsi="Times New Roman" w:cs="Times New Roman"/>
        </w:rPr>
        <w:fldChar w:fldCharType="end"/>
      </w:r>
      <w:r w:rsidRPr="006A1EC7">
        <w:rPr>
          <w:rFonts w:ascii="Times New Roman" w:hAnsi="Times New Roman" w:cs="Times New Roman"/>
        </w:rPr>
        <w:t>: Participant Overview for Qualitative Study</w:t>
      </w:r>
      <w:bookmarkEnd w:id="128"/>
    </w:p>
    <w:tbl>
      <w:tblPr>
        <w:tblStyle w:val="PlainTable4"/>
        <w:tblW w:w="0" w:type="auto"/>
        <w:tblLook w:val="04A0" w:firstRow="1" w:lastRow="0" w:firstColumn="1" w:lastColumn="0" w:noHBand="0" w:noVBand="1"/>
      </w:tblPr>
      <w:tblGrid>
        <w:gridCol w:w="926"/>
        <w:gridCol w:w="1176"/>
        <w:gridCol w:w="1911"/>
        <w:gridCol w:w="1181"/>
      </w:tblGrid>
      <w:tr w:rsidR="00D13545" w:rsidRPr="006A1EC7" w14:paraId="1C5BF669" w14:textId="77777777" w:rsidTr="00D13545">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0" w:type="auto"/>
          </w:tcPr>
          <w:p w14:paraId="6E1AD84E" w14:textId="77777777" w:rsidR="00D13545" w:rsidRPr="006A1EC7" w:rsidRDefault="00D13545" w:rsidP="00D13545">
            <w:pPr>
              <w:spacing w:line="276" w:lineRule="auto"/>
              <w:rPr>
                <w:b w:val="0"/>
                <w:sz w:val="18"/>
                <w:szCs w:val="18"/>
              </w:rPr>
            </w:pPr>
            <w:r w:rsidRPr="006A1EC7">
              <w:rPr>
                <w:b w:val="0"/>
                <w:sz w:val="18"/>
                <w:szCs w:val="18"/>
              </w:rPr>
              <w:t>ID Code</w:t>
            </w:r>
          </w:p>
          <w:p w14:paraId="16E91728" w14:textId="77777777" w:rsidR="00D13545" w:rsidRPr="006A1EC7" w:rsidRDefault="00D13545" w:rsidP="00D13545">
            <w:pPr>
              <w:spacing w:line="276" w:lineRule="auto"/>
              <w:rPr>
                <w:b w:val="0"/>
                <w:sz w:val="18"/>
                <w:szCs w:val="18"/>
              </w:rPr>
            </w:pPr>
          </w:p>
        </w:tc>
        <w:tc>
          <w:tcPr>
            <w:tcW w:w="0" w:type="auto"/>
          </w:tcPr>
          <w:p w14:paraId="072A25E3" w14:textId="77777777" w:rsidR="00D13545" w:rsidRPr="006A1EC7" w:rsidRDefault="00D13545" w:rsidP="00D13545">
            <w:pPr>
              <w:spacing w:line="276" w:lineRule="auto"/>
              <w:cnfStyle w:val="100000000000" w:firstRow="1" w:lastRow="0" w:firstColumn="0" w:lastColumn="0" w:oddVBand="0" w:evenVBand="0" w:oddHBand="0" w:evenHBand="0" w:firstRowFirstColumn="0" w:firstRowLastColumn="0" w:lastRowFirstColumn="0" w:lastRowLastColumn="0"/>
              <w:rPr>
                <w:b w:val="0"/>
                <w:sz w:val="18"/>
                <w:szCs w:val="18"/>
              </w:rPr>
            </w:pPr>
            <w:r w:rsidRPr="006A1EC7">
              <w:rPr>
                <w:b w:val="0"/>
                <w:sz w:val="18"/>
                <w:szCs w:val="18"/>
              </w:rPr>
              <w:t xml:space="preserve">Relationship </w:t>
            </w:r>
          </w:p>
        </w:tc>
        <w:tc>
          <w:tcPr>
            <w:tcW w:w="0" w:type="auto"/>
          </w:tcPr>
          <w:p w14:paraId="76FC2C76" w14:textId="77777777" w:rsidR="00D13545" w:rsidRPr="006A1EC7" w:rsidRDefault="00D13545" w:rsidP="00D13545">
            <w:pPr>
              <w:spacing w:line="276" w:lineRule="auto"/>
              <w:cnfStyle w:val="100000000000" w:firstRow="1" w:lastRow="0" w:firstColumn="0" w:lastColumn="0" w:oddVBand="0" w:evenVBand="0" w:oddHBand="0" w:evenHBand="0" w:firstRowFirstColumn="0" w:firstRowLastColumn="0" w:lastRowFirstColumn="0" w:lastRowLastColumn="0"/>
              <w:rPr>
                <w:b w:val="0"/>
                <w:sz w:val="18"/>
                <w:szCs w:val="18"/>
              </w:rPr>
            </w:pPr>
            <w:r w:rsidRPr="006A1EC7">
              <w:rPr>
                <w:b w:val="0"/>
                <w:sz w:val="18"/>
                <w:szCs w:val="18"/>
              </w:rPr>
              <w:t>Interview relating to …</w:t>
            </w:r>
          </w:p>
          <w:p w14:paraId="43429125" w14:textId="77777777" w:rsidR="00D13545" w:rsidRPr="006A1EC7" w:rsidRDefault="00D13545" w:rsidP="00D13545">
            <w:pPr>
              <w:spacing w:line="276" w:lineRule="auto"/>
              <w:cnfStyle w:val="100000000000" w:firstRow="1" w:lastRow="0" w:firstColumn="0" w:lastColumn="0" w:oddVBand="0" w:evenVBand="0" w:oddHBand="0" w:evenHBand="0" w:firstRowFirstColumn="0" w:firstRowLastColumn="0" w:lastRowFirstColumn="0" w:lastRowLastColumn="0"/>
              <w:rPr>
                <w:b w:val="0"/>
                <w:sz w:val="18"/>
                <w:szCs w:val="18"/>
              </w:rPr>
            </w:pPr>
            <w:r w:rsidRPr="006A1EC7">
              <w:rPr>
                <w:b w:val="0"/>
                <w:sz w:val="18"/>
                <w:szCs w:val="18"/>
              </w:rPr>
              <w:t xml:space="preserve"> (Age of relative)</w:t>
            </w:r>
          </w:p>
          <w:p w14:paraId="6BC71008" w14:textId="77777777" w:rsidR="00D13545" w:rsidRPr="006A1EC7" w:rsidRDefault="00D13545" w:rsidP="00D13545">
            <w:pPr>
              <w:spacing w:line="276" w:lineRule="auto"/>
              <w:cnfStyle w:val="100000000000" w:firstRow="1" w:lastRow="0" w:firstColumn="0" w:lastColumn="0" w:oddVBand="0" w:evenVBand="0" w:oddHBand="0" w:evenHBand="0" w:firstRowFirstColumn="0" w:firstRowLastColumn="0" w:lastRowFirstColumn="0" w:lastRowLastColumn="0"/>
              <w:rPr>
                <w:b w:val="0"/>
                <w:sz w:val="18"/>
                <w:szCs w:val="18"/>
              </w:rPr>
            </w:pPr>
          </w:p>
        </w:tc>
        <w:tc>
          <w:tcPr>
            <w:tcW w:w="0" w:type="auto"/>
          </w:tcPr>
          <w:p w14:paraId="4EBEE9B5" w14:textId="77777777" w:rsidR="00D13545" w:rsidRPr="006A1EC7" w:rsidRDefault="00D13545" w:rsidP="00D13545">
            <w:pPr>
              <w:spacing w:line="276" w:lineRule="auto"/>
              <w:cnfStyle w:val="100000000000" w:firstRow="1" w:lastRow="0" w:firstColumn="0" w:lastColumn="0" w:oddVBand="0" w:evenVBand="0" w:oddHBand="0" w:evenHBand="0" w:firstRowFirstColumn="0" w:firstRowLastColumn="0" w:lastRowFirstColumn="0" w:lastRowLastColumn="0"/>
              <w:rPr>
                <w:b w:val="0"/>
                <w:sz w:val="18"/>
                <w:szCs w:val="18"/>
              </w:rPr>
            </w:pPr>
            <w:r w:rsidRPr="006A1EC7">
              <w:rPr>
                <w:b w:val="0"/>
                <w:sz w:val="18"/>
                <w:szCs w:val="18"/>
              </w:rPr>
              <w:t xml:space="preserve">Recruited via </w:t>
            </w:r>
          </w:p>
          <w:p w14:paraId="0D18A6B0" w14:textId="77777777" w:rsidR="00D13545" w:rsidRPr="006A1EC7" w:rsidRDefault="00D13545" w:rsidP="00D13545">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6A1EC7">
              <w:rPr>
                <w:b w:val="0"/>
                <w:bCs w:val="0"/>
                <w:sz w:val="18"/>
                <w:szCs w:val="18"/>
              </w:rPr>
              <w:t>C (Charity)</w:t>
            </w:r>
          </w:p>
          <w:p w14:paraId="05BF70ED" w14:textId="77777777" w:rsidR="00D13545" w:rsidRPr="006A1EC7" w:rsidRDefault="00D13545" w:rsidP="00D13545">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6A1EC7">
              <w:rPr>
                <w:b w:val="0"/>
                <w:bCs w:val="0"/>
                <w:sz w:val="18"/>
                <w:szCs w:val="18"/>
              </w:rPr>
              <w:t>D (Database)</w:t>
            </w:r>
          </w:p>
        </w:tc>
      </w:tr>
      <w:tr w:rsidR="00D13545" w:rsidRPr="006A1EC7" w14:paraId="425FC1D2" w14:textId="77777777" w:rsidTr="00D1354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tcPr>
          <w:p w14:paraId="0F08EA79" w14:textId="77777777" w:rsidR="00D13545" w:rsidRPr="006A1EC7" w:rsidRDefault="00D13545" w:rsidP="00D13545">
            <w:pPr>
              <w:spacing w:line="276" w:lineRule="auto"/>
              <w:rPr>
                <w:b w:val="0"/>
                <w:sz w:val="18"/>
                <w:szCs w:val="18"/>
              </w:rPr>
            </w:pPr>
            <w:r w:rsidRPr="006A1EC7">
              <w:rPr>
                <w:b w:val="0"/>
                <w:sz w:val="18"/>
                <w:szCs w:val="18"/>
              </w:rPr>
              <w:t xml:space="preserve">WHS1 </w:t>
            </w:r>
          </w:p>
        </w:tc>
        <w:tc>
          <w:tcPr>
            <w:tcW w:w="0" w:type="auto"/>
          </w:tcPr>
          <w:p w14:paraId="6417CCA4"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Mother</w:t>
            </w:r>
          </w:p>
        </w:tc>
        <w:tc>
          <w:tcPr>
            <w:tcW w:w="0" w:type="auto"/>
          </w:tcPr>
          <w:p w14:paraId="0012A1A0"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Son (4)</w:t>
            </w:r>
          </w:p>
          <w:p w14:paraId="65CF15C5"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54830B92"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w:t>
            </w:r>
          </w:p>
        </w:tc>
      </w:tr>
      <w:tr w:rsidR="00D13545" w:rsidRPr="006A1EC7" w14:paraId="7D086447"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6E9B70B3" w14:textId="77777777" w:rsidR="00D13545" w:rsidRPr="006A1EC7" w:rsidRDefault="00D13545" w:rsidP="00D13545">
            <w:pPr>
              <w:spacing w:line="276" w:lineRule="auto"/>
              <w:rPr>
                <w:b w:val="0"/>
                <w:sz w:val="18"/>
                <w:szCs w:val="18"/>
              </w:rPr>
            </w:pPr>
            <w:r w:rsidRPr="006A1EC7">
              <w:rPr>
                <w:b w:val="0"/>
                <w:sz w:val="18"/>
                <w:szCs w:val="18"/>
              </w:rPr>
              <w:t>WHS2A</w:t>
            </w:r>
          </w:p>
        </w:tc>
        <w:tc>
          <w:tcPr>
            <w:tcW w:w="0" w:type="auto"/>
          </w:tcPr>
          <w:p w14:paraId="5C3F73F1"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Grandmother</w:t>
            </w:r>
          </w:p>
        </w:tc>
        <w:tc>
          <w:tcPr>
            <w:tcW w:w="0" w:type="auto"/>
          </w:tcPr>
          <w:p w14:paraId="094FDA91"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Grandson (7)</w:t>
            </w:r>
          </w:p>
        </w:tc>
        <w:tc>
          <w:tcPr>
            <w:tcW w:w="0" w:type="auto"/>
          </w:tcPr>
          <w:p w14:paraId="5780A35F"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C</w:t>
            </w:r>
          </w:p>
        </w:tc>
      </w:tr>
      <w:tr w:rsidR="00D13545" w:rsidRPr="006A1EC7" w14:paraId="2E476270"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FBDFCB" w14:textId="77777777" w:rsidR="00D13545" w:rsidRPr="006A1EC7" w:rsidRDefault="00D13545" w:rsidP="00D13545">
            <w:pPr>
              <w:spacing w:line="276" w:lineRule="auto"/>
              <w:rPr>
                <w:b w:val="0"/>
                <w:sz w:val="18"/>
                <w:szCs w:val="18"/>
              </w:rPr>
            </w:pPr>
            <w:r w:rsidRPr="006A1EC7">
              <w:rPr>
                <w:b w:val="0"/>
                <w:sz w:val="18"/>
                <w:szCs w:val="18"/>
              </w:rPr>
              <w:t>WHS2B</w:t>
            </w:r>
          </w:p>
        </w:tc>
        <w:tc>
          <w:tcPr>
            <w:tcW w:w="0" w:type="auto"/>
          </w:tcPr>
          <w:p w14:paraId="6AC54D14"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Mother</w:t>
            </w:r>
          </w:p>
        </w:tc>
        <w:tc>
          <w:tcPr>
            <w:tcW w:w="0" w:type="auto"/>
          </w:tcPr>
          <w:p w14:paraId="2E2AEC68"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Son (7)</w:t>
            </w:r>
          </w:p>
        </w:tc>
        <w:tc>
          <w:tcPr>
            <w:tcW w:w="0" w:type="auto"/>
          </w:tcPr>
          <w:p w14:paraId="3FBC1A3D"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w:t>
            </w:r>
          </w:p>
        </w:tc>
      </w:tr>
      <w:tr w:rsidR="00D13545" w:rsidRPr="006A1EC7" w14:paraId="1B716DEF"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03983915" w14:textId="77777777" w:rsidR="00D13545" w:rsidRPr="006A1EC7" w:rsidRDefault="00D13545" w:rsidP="00D13545">
            <w:pPr>
              <w:spacing w:line="276" w:lineRule="auto"/>
              <w:rPr>
                <w:b w:val="0"/>
                <w:sz w:val="18"/>
                <w:szCs w:val="18"/>
              </w:rPr>
            </w:pPr>
            <w:r w:rsidRPr="006A1EC7">
              <w:rPr>
                <w:b w:val="0"/>
                <w:sz w:val="18"/>
                <w:szCs w:val="18"/>
              </w:rPr>
              <w:t>WHS2C</w:t>
            </w:r>
          </w:p>
        </w:tc>
        <w:tc>
          <w:tcPr>
            <w:tcW w:w="0" w:type="auto"/>
          </w:tcPr>
          <w:p w14:paraId="01D29EAB"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Dad</w:t>
            </w:r>
          </w:p>
        </w:tc>
        <w:tc>
          <w:tcPr>
            <w:tcW w:w="0" w:type="auto"/>
          </w:tcPr>
          <w:p w14:paraId="081DB6E7"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Son (7)</w:t>
            </w:r>
          </w:p>
        </w:tc>
        <w:tc>
          <w:tcPr>
            <w:tcW w:w="0" w:type="auto"/>
          </w:tcPr>
          <w:p w14:paraId="76FE78E9"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C</w:t>
            </w:r>
          </w:p>
        </w:tc>
      </w:tr>
      <w:tr w:rsidR="00D13545" w:rsidRPr="006A1EC7" w14:paraId="044D1E9E"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9338B9" w14:textId="77777777" w:rsidR="00D13545" w:rsidRPr="006A1EC7" w:rsidRDefault="00D13545" w:rsidP="00D13545">
            <w:pPr>
              <w:spacing w:line="276" w:lineRule="auto"/>
              <w:rPr>
                <w:b w:val="0"/>
                <w:sz w:val="18"/>
                <w:szCs w:val="18"/>
              </w:rPr>
            </w:pPr>
            <w:r w:rsidRPr="006A1EC7">
              <w:rPr>
                <w:b w:val="0"/>
                <w:sz w:val="18"/>
                <w:szCs w:val="18"/>
              </w:rPr>
              <w:t>WHS3A</w:t>
            </w:r>
          </w:p>
        </w:tc>
        <w:tc>
          <w:tcPr>
            <w:tcW w:w="0" w:type="auto"/>
          </w:tcPr>
          <w:p w14:paraId="4FF3F550"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Mother</w:t>
            </w:r>
          </w:p>
        </w:tc>
        <w:tc>
          <w:tcPr>
            <w:tcW w:w="0" w:type="auto"/>
          </w:tcPr>
          <w:p w14:paraId="5D16CB50"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Son (7)</w:t>
            </w:r>
          </w:p>
        </w:tc>
        <w:tc>
          <w:tcPr>
            <w:tcW w:w="0" w:type="auto"/>
          </w:tcPr>
          <w:p w14:paraId="4E82A051"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w:t>
            </w:r>
          </w:p>
        </w:tc>
      </w:tr>
      <w:tr w:rsidR="00D13545" w:rsidRPr="006A1EC7" w14:paraId="39A6B146"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1D9C490D" w14:textId="77777777" w:rsidR="00D13545" w:rsidRPr="006A1EC7" w:rsidRDefault="00D13545" w:rsidP="00D13545">
            <w:pPr>
              <w:spacing w:line="276" w:lineRule="auto"/>
              <w:rPr>
                <w:b w:val="0"/>
                <w:sz w:val="18"/>
                <w:szCs w:val="18"/>
              </w:rPr>
            </w:pPr>
            <w:r w:rsidRPr="006A1EC7">
              <w:rPr>
                <w:b w:val="0"/>
                <w:sz w:val="18"/>
                <w:szCs w:val="18"/>
              </w:rPr>
              <w:t>WHS3B</w:t>
            </w:r>
          </w:p>
        </w:tc>
        <w:tc>
          <w:tcPr>
            <w:tcW w:w="0" w:type="auto"/>
          </w:tcPr>
          <w:p w14:paraId="0FAB2D4D"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Grandmother</w:t>
            </w:r>
          </w:p>
        </w:tc>
        <w:tc>
          <w:tcPr>
            <w:tcW w:w="0" w:type="auto"/>
          </w:tcPr>
          <w:p w14:paraId="34F59194"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Grandson (7)</w:t>
            </w:r>
          </w:p>
        </w:tc>
        <w:tc>
          <w:tcPr>
            <w:tcW w:w="0" w:type="auto"/>
          </w:tcPr>
          <w:p w14:paraId="4BDEB3DB"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C</w:t>
            </w:r>
          </w:p>
        </w:tc>
      </w:tr>
      <w:tr w:rsidR="00D13545" w:rsidRPr="006A1EC7" w14:paraId="110819D7"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EBA6AB" w14:textId="77777777" w:rsidR="00D13545" w:rsidRPr="006A1EC7" w:rsidRDefault="00D13545" w:rsidP="00D13545">
            <w:pPr>
              <w:spacing w:line="276" w:lineRule="auto"/>
              <w:rPr>
                <w:b w:val="0"/>
                <w:sz w:val="18"/>
                <w:szCs w:val="18"/>
              </w:rPr>
            </w:pPr>
            <w:r w:rsidRPr="006A1EC7">
              <w:rPr>
                <w:b w:val="0"/>
                <w:sz w:val="18"/>
                <w:szCs w:val="18"/>
              </w:rPr>
              <w:t>WHS3C</w:t>
            </w:r>
          </w:p>
        </w:tc>
        <w:tc>
          <w:tcPr>
            <w:tcW w:w="0" w:type="auto"/>
          </w:tcPr>
          <w:p w14:paraId="4D65B899"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Father</w:t>
            </w:r>
          </w:p>
        </w:tc>
        <w:tc>
          <w:tcPr>
            <w:tcW w:w="0" w:type="auto"/>
          </w:tcPr>
          <w:p w14:paraId="5267B48D"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Son (7)</w:t>
            </w:r>
          </w:p>
        </w:tc>
        <w:tc>
          <w:tcPr>
            <w:tcW w:w="0" w:type="auto"/>
          </w:tcPr>
          <w:p w14:paraId="6F865F6F"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w:t>
            </w:r>
          </w:p>
        </w:tc>
      </w:tr>
      <w:tr w:rsidR="00D13545" w:rsidRPr="006A1EC7" w14:paraId="2B14BCBB"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7ED411F6" w14:textId="77777777" w:rsidR="00D13545" w:rsidRPr="006A1EC7" w:rsidRDefault="00D13545" w:rsidP="00D13545">
            <w:pPr>
              <w:spacing w:line="276" w:lineRule="auto"/>
              <w:rPr>
                <w:b w:val="0"/>
                <w:sz w:val="18"/>
                <w:szCs w:val="18"/>
              </w:rPr>
            </w:pPr>
            <w:r w:rsidRPr="006A1EC7">
              <w:rPr>
                <w:b w:val="0"/>
                <w:sz w:val="18"/>
                <w:szCs w:val="18"/>
              </w:rPr>
              <w:t>WHS4A</w:t>
            </w:r>
          </w:p>
        </w:tc>
        <w:tc>
          <w:tcPr>
            <w:tcW w:w="0" w:type="auto"/>
          </w:tcPr>
          <w:p w14:paraId="28C207CD"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Grandmother</w:t>
            </w:r>
          </w:p>
        </w:tc>
        <w:tc>
          <w:tcPr>
            <w:tcW w:w="0" w:type="auto"/>
          </w:tcPr>
          <w:p w14:paraId="36B1F9A6"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Granddaughter (2)</w:t>
            </w:r>
          </w:p>
        </w:tc>
        <w:tc>
          <w:tcPr>
            <w:tcW w:w="0" w:type="auto"/>
          </w:tcPr>
          <w:p w14:paraId="64C3154B"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C</w:t>
            </w:r>
          </w:p>
        </w:tc>
      </w:tr>
      <w:tr w:rsidR="00D13545" w:rsidRPr="006A1EC7" w14:paraId="34787D63"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92DA5" w14:textId="77777777" w:rsidR="00D13545" w:rsidRPr="006A1EC7" w:rsidRDefault="00D13545" w:rsidP="00D13545">
            <w:pPr>
              <w:spacing w:line="276" w:lineRule="auto"/>
              <w:rPr>
                <w:b w:val="0"/>
                <w:sz w:val="18"/>
                <w:szCs w:val="18"/>
              </w:rPr>
            </w:pPr>
            <w:r w:rsidRPr="006A1EC7">
              <w:rPr>
                <w:b w:val="0"/>
                <w:sz w:val="18"/>
                <w:szCs w:val="18"/>
              </w:rPr>
              <w:t>WHS4B</w:t>
            </w:r>
          </w:p>
        </w:tc>
        <w:tc>
          <w:tcPr>
            <w:tcW w:w="0" w:type="auto"/>
          </w:tcPr>
          <w:p w14:paraId="7078F95E"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Mother</w:t>
            </w:r>
          </w:p>
        </w:tc>
        <w:tc>
          <w:tcPr>
            <w:tcW w:w="0" w:type="auto"/>
          </w:tcPr>
          <w:p w14:paraId="6C037099"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Daughter (2)</w:t>
            </w:r>
          </w:p>
        </w:tc>
        <w:tc>
          <w:tcPr>
            <w:tcW w:w="0" w:type="auto"/>
          </w:tcPr>
          <w:p w14:paraId="5B039BAF"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w:t>
            </w:r>
          </w:p>
        </w:tc>
      </w:tr>
      <w:tr w:rsidR="00D13545" w:rsidRPr="006A1EC7" w14:paraId="76EEFF74"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0D6F1FA0" w14:textId="77777777" w:rsidR="00D13545" w:rsidRPr="006A1EC7" w:rsidRDefault="00D13545" w:rsidP="00D13545">
            <w:pPr>
              <w:spacing w:line="276" w:lineRule="auto"/>
              <w:rPr>
                <w:b w:val="0"/>
                <w:sz w:val="18"/>
                <w:szCs w:val="18"/>
              </w:rPr>
            </w:pPr>
            <w:r w:rsidRPr="006A1EC7">
              <w:rPr>
                <w:b w:val="0"/>
                <w:sz w:val="18"/>
                <w:szCs w:val="18"/>
              </w:rPr>
              <w:t>WHS5</w:t>
            </w:r>
          </w:p>
        </w:tc>
        <w:tc>
          <w:tcPr>
            <w:tcW w:w="0" w:type="auto"/>
          </w:tcPr>
          <w:p w14:paraId="7B1CFCBC"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Mother</w:t>
            </w:r>
          </w:p>
        </w:tc>
        <w:tc>
          <w:tcPr>
            <w:tcW w:w="0" w:type="auto"/>
          </w:tcPr>
          <w:p w14:paraId="2218C0AB"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Son (8)</w:t>
            </w:r>
          </w:p>
        </w:tc>
        <w:tc>
          <w:tcPr>
            <w:tcW w:w="0" w:type="auto"/>
          </w:tcPr>
          <w:p w14:paraId="2AA42A14"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C</w:t>
            </w:r>
          </w:p>
        </w:tc>
      </w:tr>
      <w:tr w:rsidR="00D13545" w:rsidRPr="006A1EC7" w14:paraId="7FDFC0B9"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CAFC34" w14:textId="77777777" w:rsidR="00D13545" w:rsidRPr="006A1EC7" w:rsidRDefault="00D13545" w:rsidP="00D13545">
            <w:pPr>
              <w:spacing w:line="276" w:lineRule="auto"/>
              <w:rPr>
                <w:b w:val="0"/>
                <w:sz w:val="18"/>
                <w:szCs w:val="18"/>
              </w:rPr>
            </w:pPr>
            <w:r w:rsidRPr="006A1EC7">
              <w:rPr>
                <w:b w:val="0"/>
                <w:sz w:val="18"/>
                <w:szCs w:val="18"/>
              </w:rPr>
              <w:t>WHS6A</w:t>
            </w:r>
          </w:p>
        </w:tc>
        <w:tc>
          <w:tcPr>
            <w:tcW w:w="0" w:type="auto"/>
          </w:tcPr>
          <w:p w14:paraId="0B3A227F"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Mother</w:t>
            </w:r>
          </w:p>
        </w:tc>
        <w:tc>
          <w:tcPr>
            <w:tcW w:w="0" w:type="auto"/>
          </w:tcPr>
          <w:p w14:paraId="504A202D"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Son (24)</w:t>
            </w:r>
          </w:p>
        </w:tc>
        <w:tc>
          <w:tcPr>
            <w:tcW w:w="0" w:type="auto"/>
          </w:tcPr>
          <w:p w14:paraId="46C14779"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D</w:t>
            </w:r>
          </w:p>
        </w:tc>
      </w:tr>
      <w:tr w:rsidR="00D13545" w:rsidRPr="006A1EC7" w14:paraId="1B1DF4A6"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45F17C42" w14:textId="77777777" w:rsidR="00D13545" w:rsidRPr="006A1EC7" w:rsidRDefault="00D13545" w:rsidP="00D13545">
            <w:pPr>
              <w:spacing w:line="276" w:lineRule="auto"/>
              <w:rPr>
                <w:b w:val="0"/>
                <w:sz w:val="18"/>
                <w:szCs w:val="18"/>
              </w:rPr>
            </w:pPr>
            <w:r w:rsidRPr="006A1EC7">
              <w:rPr>
                <w:b w:val="0"/>
                <w:sz w:val="18"/>
                <w:szCs w:val="18"/>
              </w:rPr>
              <w:t>WHS6B</w:t>
            </w:r>
          </w:p>
        </w:tc>
        <w:tc>
          <w:tcPr>
            <w:tcW w:w="0" w:type="auto"/>
          </w:tcPr>
          <w:p w14:paraId="5C38BDFA"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Father</w:t>
            </w:r>
          </w:p>
        </w:tc>
        <w:tc>
          <w:tcPr>
            <w:tcW w:w="0" w:type="auto"/>
          </w:tcPr>
          <w:p w14:paraId="07DCFD09"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Son (24)</w:t>
            </w:r>
          </w:p>
        </w:tc>
        <w:tc>
          <w:tcPr>
            <w:tcW w:w="0" w:type="auto"/>
          </w:tcPr>
          <w:p w14:paraId="43E3F43F"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D</w:t>
            </w:r>
          </w:p>
        </w:tc>
      </w:tr>
      <w:tr w:rsidR="00D13545" w:rsidRPr="006A1EC7" w14:paraId="475D4272"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3F3D06" w14:textId="77777777" w:rsidR="00D13545" w:rsidRPr="006A1EC7" w:rsidRDefault="00D13545" w:rsidP="00D13545">
            <w:pPr>
              <w:spacing w:line="276" w:lineRule="auto"/>
              <w:rPr>
                <w:b w:val="0"/>
                <w:sz w:val="18"/>
                <w:szCs w:val="18"/>
              </w:rPr>
            </w:pPr>
            <w:r w:rsidRPr="006A1EC7">
              <w:rPr>
                <w:b w:val="0"/>
                <w:sz w:val="18"/>
                <w:szCs w:val="18"/>
              </w:rPr>
              <w:t>WHS6C</w:t>
            </w:r>
          </w:p>
        </w:tc>
        <w:tc>
          <w:tcPr>
            <w:tcW w:w="0" w:type="auto"/>
          </w:tcPr>
          <w:p w14:paraId="0014FC48"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Sister</w:t>
            </w:r>
          </w:p>
        </w:tc>
        <w:tc>
          <w:tcPr>
            <w:tcW w:w="0" w:type="auto"/>
          </w:tcPr>
          <w:p w14:paraId="401EF540"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Brother (24)</w:t>
            </w:r>
          </w:p>
        </w:tc>
        <w:tc>
          <w:tcPr>
            <w:tcW w:w="0" w:type="auto"/>
          </w:tcPr>
          <w:p w14:paraId="7EB380B3"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w:t>
            </w:r>
          </w:p>
        </w:tc>
      </w:tr>
      <w:tr w:rsidR="00D13545" w:rsidRPr="006A1EC7" w14:paraId="3221A2F4"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5FCAED26" w14:textId="77777777" w:rsidR="00D13545" w:rsidRPr="006A1EC7" w:rsidRDefault="00D13545" w:rsidP="00D13545">
            <w:pPr>
              <w:spacing w:line="276" w:lineRule="auto"/>
              <w:rPr>
                <w:b w:val="0"/>
                <w:sz w:val="18"/>
                <w:szCs w:val="18"/>
              </w:rPr>
            </w:pPr>
            <w:r w:rsidRPr="006A1EC7">
              <w:rPr>
                <w:b w:val="0"/>
                <w:sz w:val="18"/>
                <w:szCs w:val="18"/>
              </w:rPr>
              <w:t>WHS7</w:t>
            </w:r>
          </w:p>
        </w:tc>
        <w:tc>
          <w:tcPr>
            <w:tcW w:w="0" w:type="auto"/>
          </w:tcPr>
          <w:p w14:paraId="06F8AD90"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Mother</w:t>
            </w:r>
          </w:p>
        </w:tc>
        <w:tc>
          <w:tcPr>
            <w:tcW w:w="0" w:type="auto"/>
          </w:tcPr>
          <w:p w14:paraId="0D27303A"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Daughter (55) </w:t>
            </w:r>
            <w:r w:rsidRPr="006A1EC7">
              <w:rPr>
                <w:rStyle w:val="FootnoteReference"/>
              </w:rPr>
              <w:footnoteReference w:id="9"/>
            </w:r>
          </w:p>
        </w:tc>
        <w:tc>
          <w:tcPr>
            <w:tcW w:w="0" w:type="auto"/>
          </w:tcPr>
          <w:p w14:paraId="3371DC6A"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D</w:t>
            </w:r>
          </w:p>
        </w:tc>
      </w:tr>
      <w:tr w:rsidR="00D13545" w:rsidRPr="006A1EC7" w14:paraId="26E15A23" w14:textId="77777777" w:rsidTr="00D13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753951" w14:textId="77777777" w:rsidR="00D13545" w:rsidRPr="006A1EC7" w:rsidRDefault="00D13545" w:rsidP="00D13545">
            <w:pPr>
              <w:spacing w:line="276" w:lineRule="auto"/>
              <w:rPr>
                <w:b w:val="0"/>
                <w:sz w:val="18"/>
                <w:szCs w:val="18"/>
              </w:rPr>
            </w:pPr>
            <w:r w:rsidRPr="006A1EC7">
              <w:rPr>
                <w:b w:val="0"/>
                <w:sz w:val="18"/>
                <w:szCs w:val="18"/>
              </w:rPr>
              <w:t>WHS8</w:t>
            </w:r>
          </w:p>
        </w:tc>
        <w:tc>
          <w:tcPr>
            <w:tcW w:w="0" w:type="auto"/>
          </w:tcPr>
          <w:p w14:paraId="5F24A7A0"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Mother</w:t>
            </w:r>
          </w:p>
        </w:tc>
        <w:tc>
          <w:tcPr>
            <w:tcW w:w="0" w:type="auto"/>
          </w:tcPr>
          <w:p w14:paraId="1C3F7EBE"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Son</w:t>
            </w:r>
          </w:p>
        </w:tc>
        <w:tc>
          <w:tcPr>
            <w:tcW w:w="0" w:type="auto"/>
          </w:tcPr>
          <w:p w14:paraId="4AEDFBCA"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w:t>
            </w:r>
          </w:p>
        </w:tc>
      </w:tr>
      <w:tr w:rsidR="00D13545" w:rsidRPr="006A1EC7" w14:paraId="6CA4C9E5" w14:textId="77777777" w:rsidTr="00D13545">
        <w:tc>
          <w:tcPr>
            <w:cnfStyle w:val="001000000000" w:firstRow="0" w:lastRow="0" w:firstColumn="1" w:lastColumn="0" w:oddVBand="0" w:evenVBand="0" w:oddHBand="0" w:evenHBand="0" w:firstRowFirstColumn="0" w:firstRowLastColumn="0" w:lastRowFirstColumn="0" w:lastRowLastColumn="0"/>
            <w:tcW w:w="0" w:type="auto"/>
          </w:tcPr>
          <w:p w14:paraId="2E4BBDD1" w14:textId="77777777" w:rsidR="00D13545" w:rsidRPr="006A1EC7" w:rsidRDefault="00D13545" w:rsidP="00D13545">
            <w:pPr>
              <w:spacing w:line="276" w:lineRule="auto"/>
              <w:rPr>
                <w:b w:val="0"/>
                <w:sz w:val="18"/>
                <w:szCs w:val="18"/>
              </w:rPr>
            </w:pPr>
            <w:r w:rsidRPr="006A1EC7">
              <w:rPr>
                <w:b w:val="0"/>
                <w:sz w:val="18"/>
                <w:szCs w:val="18"/>
              </w:rPr>
              <w:t>WHS9</w:t>
            </w:r>
          </w:p>
        </w:tc>
        <w:tc>
          <w:tcPr>
            <w:tcW w:w="0" w:type="auto"/>
          </w:tcPr>
          <w:p w14:paraId="2ABDD13F"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Mother</w:t>
            </w:r>
          </w:p>
        </w:tc>
        <w:tc>
          <w:tcPr>
            <w:tcW w:w="0" w:type="auto"/>
          </w:tcPr>
          <w:p w14:paraId="4F111AF4"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Daughter (31)</w:t>
            </w:r>
            <w:r w:rsidRPr="006A1EC7">
              <w:rPr>
                <w:rStyle w:val="FootnoteReference"/>
              </w:rPr>
              <w:footnoteReference w:id="10"/>
            </w:r>
          </w:p>
        </w:tc>
        <w:tc>
          <w:tcPr>
            <w:tcW w:w="0" w:type="auto"/>
          </w:tcPr>
          <w:p w14:paraId="5E43DDE7"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C</w:t>
            </w:r>
          </w:p>
        </w:tc>
      </w:tr>
      <w:tr w:rsidR="00D13545" w:rsidRPr="006A1EC7" w14:paraId="360E82EF" w14:textId="77777777" w:rsidTr="00D1354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0" w:type="auto"/>
          </w:tcPr>
          <w:p w14:paraId="08E25460" w14:textId="77777777" w:rsidR="00D13545" w:rsidRPr="006A1EC7" w:rsidRDefault="00D13545" w:rsidP="00D13545">
            <w:pPr>
              <w:spacing w:line="276" w:lineRule="auto"/>
              <w:rPr>
                <w:b w:val="0"/>
                <w:sz w:val="18"/>
                <w:szCs w:val="18"/>
              </w:rPr>
            </w:pPr>
            <w:r w:rsidRPr="006A1EC7">
              <w:rPr>
                <w:b w:val="0"/>
                <w:sz w:val="18"/>
                <w:szCs w:val="18"/>
              </w:rPr>
              <w:t>WHS10</w:t>
            </w:r>
          </w:p>
        </w:tc>
        <w:tc>
          <w:tcPr>
            <w:tcW w:w="0" w:type="auto"/>
          </w:tcPr>
          <w:p w14:paraId="6DCB95DA"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Mother</w:t>
            </w:r>
          </w:p>
        </w:tc>
        <w:tc>
          <w:tcPr>
            <w:tcW w:w="0" w:type="auto"/>
          </w:tcPr>
          <w:p w14:paraId="3640C821"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Son (6)</w:t>
            </w:r>
          </w:p>
        </w:tc>
        <w:tc>
          <w:tcPr>
            <w:tcW w:w="0" w:type="auto"/>
          </w:tcPr>
          <w:p w14:paraId="6E4A5E3F"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w:t>
            </w:r>
          </w:p>
        </w:tc>
      </w:tr>
      <w:tr w:rsidR="00D13545" w:rsidRPr="006A1EC7" w14:paraId="22421A35" w14:textId="77777777" w:rsidTr="00D13545">
        <w:trPr>
          <w:trHeight w:val="314"/>
        </w:trPr>
        <w:tc>
          <w:tcPr>
            <w:cnfStyle w:val="001000000000" w:firstRow="0" w:lastRow="0" w:firstColumn="1" w:lastColumn="0" w:oddVBand="0" w:evenVBand="0" w:oddHBand="0" w:evenHBand="0" w:firstRowFirstColumn="0" w:firstRowLastColumn="0" w:lastRowFirstColumn="0" w:lastRowLastColumn="0"/>
            <w:tcW w:w="0" w:type="auto"/>
          </w:tcPr>
          <w:p w14:paraId="65C1E1F7" w14:textId="77777777" w:rsidR="00D13545" w:rsidRPr="006A1EC7" w:rsidRDefault="00D13545" w:rsidP="00D13545">
            <w:pPr>
              <w:spacing w:line="276" w:lineRule="auto"/>
              <w:rPr>
                <w:b w:val="0"/>
                <w:sz w:val="18"/>
                <w:szCs w:val="18"/>
              </w:rPr>
            </w:pPr>
            <w:r w:rsidRPr="006A1EC7">
              <w:rPr>
                <w:b w:val="0"/>
                <w:sz w:val="18"/>
                <w:szCs w:val="18"/>
              </w:rPr>
              <w:t>WHS11A</w:t>
            </w:r>
          </w:p>
        </w:tc>
        <w:tc>
          <w:tcPr>
            <w:tcW w:w="0" w:type="auto"/>
          </w:tcPr>
          <w:p w14:paraId="5A06A416"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Sister</w:t>
            </w:r>
          </w:p>
        </w:tc>
        <w:tc>
          <w:tcPr>
            <w:tcW w:w="0" w:type="auto"/>
          </w:tcPr>
          <w:p w14:paraId="4BD1B449"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Sister (7)</w:t>
            </w:r>
          </w:p>
        </w:tc>
        <w:tc>
          <w:tcPr>
            <w:tcW w:w="0" w:type="auto"/>
          </w:tcPr>
          <w:p w14:paraId="46FE3B9F"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D</w:t>
            </w:r>
          </w:p>
        </w:tc>
      </w:tr>
      <w:tr w:rsidR="00D13545" w:rsidRPr="006A1EC7" w14:paraId="1F752A92" w14:textId="77777777" w:rsidTr="00D1354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tcPr>
          <w:p w14:paraId="5CF415C1" w14:textId="77777777" w:rsidR="00D13545" w:rsidRPr="006A1EC7" w:rsidRDefault="00D13545" w:rsidP="00D13545">
            <w:pPr>
              <w:spacing w:line="276" w:lineRule="auto"/>
              <w:rPr>
                <w:b w:val="0"/>
                <w:sz w:val="18"/>
                <w:szCs w:val="18"/>
              </w:rPr>
            </w:pPr>
            <w:r w:rsidRPr="006A1EC7">
              <w:rPr>
                <w:b w:val="0"/>
                <w:sz w:val="18"/>
                <w:szCs w:val="18"/>
              </w:rPr>
              <w:t>WHS11B</w:t>
            </w:r>
          </w:p>
        </w:tc>
        <w:tc>
          <w:tcPr>
            <w:tcW w:w="0" w:type="auto"/>
          </w:tcPr>
          <w:p w14:paraId="1AF3774A"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Mother</w:t>
            </w:r>
          </w:p>
        </w:tc>
        <w:tc>
          <w:tcPr>
            <w:tcW w:w="0" w:type="auto"/>
          </w:tcPr>
          <w:p w14:paraId="09341420"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Daughter (7)</w:t>
            </w:r>
          </w:p>
        </w:tc>
        <w:tc>
          <w:tcPr>
            <w:tcW w:w="0" w:type="auto"/>
          </w:tcPr>
          <w:p w14:paraId="2DF4B29E"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D</w:t>
            </w:r>
          </w:p>
        </w:tc>
      </w:tr>
      <w:tr w:rsidR="00D13545" w:rsidRPr="006A1EC7" w14:paraId="55EC13CE" w14:textId="77777777" w:rsidTr="00D13545">
        <w:trPr>
          <w:trHeight w:val="341"/>
        </w:trPr>
        <w:tc>
          <w:tcPr>
            <w:cnfStyle w:val="001000000000" w:firstRow="0" w:lastRow="0" w:firstColumn="1" w:lastColumn="0" w:oddVBand="0" w:evenVBand="0" w:oddHBand="0" w:evenHBand="0" w:firstRowFirstColumn="0" w:firstRowLastColumn="0" w:lastRowFirstColumn="0" w:lastRowLastColumn="0"/>
            <w:tcW w:w="0" w:type="auto"/>
          </w:tcPr>
          <w:p w14:paraId="6CEEEE57" w14:textId="77777777" w:rsidR="00D13545" w:rsidRPr="006A1EC7" w:rsidRDefault="00D13545" w:rsidP="00D13545">
            <w:pPr>
              <w:spacing w:line="276" w:lineRule="auto"/>
              <w:rPr>
                <w:b w:val="0"/>
                <w:sz w:val="18"/>
                <w:szCs w:val="18"/>
              </w:rPr>
            </w:pPr>
            <w:r w:rsidRPr="006A1EC7">
              <w:rPr>
                <w:b w:val="0"/>
                <w:sz w:val="18"/>
                <w:szCs w:val="18"/>
              </w:rPr>
              <w:t>WHS11C</w:t>
            </w:r>
          </w:p>
        </w:tc>
        <w:tc>
          <w:tcPr>
            <w:tcW w:w="0" w:type="auto"/>
          </w:tcPr>
          <w:p w14:paraId="253A6E80"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Father</w:t>
            </w:r>
          </w:p>
        </w:tc>
        <w:tc>
          <w:tcPr>
            <w:tcW w:w="0" w:type="auto"/>
          </w:tcPr>
          <w:p w14:paraId="4DADF7BF"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Daughter (7)</w:t>
            </w:r>
          </w:p>
        </w:tc>
        <w:tc>
          <w:tcPr>
            <w:tcW w:w="0" w:type="auto"/>
          </w:tcPr>
          <w:p w14:paraId="26062CA9"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D</w:t>
            </w:r>
          </w:p>
        </w:tc>
      </w:tr>
      <w:tr w:rsidR="00D13545" w:rsidRPr="006A1EC7" w14:paraId="37CF724F" w14:textId="77777777" w:rsidTr="00D1354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tcPr>
          <w:p w14:paraId="5CC09974" w14:textId="77777777" w:rsidR="00D13545" w:rsidRPr="006A1EC7" w:rsidRDefault="00D13545" w:rsidP="00D13545">
            <w:pPr>
              <w:spacing w:line="276" w:lineRule="auto"/>
              <w:rPr>
                <w:b w:val="0"/>
                <w:sz w:val="18"/>
                <w:szCs w:val="18"/>
              </w:rPr>
            </w:pPr>
            <w:r w:rsidRPr="006A1EC7">
              <w:rPr>
                <w:b w:val="0"/>
                <w:sz w:val="18"/>
                <w:szCs w:val="18"/>
              </w:rPr>
              <w:t>WHS12A</w:t>
            </w:r>
          </w:p>
        </w:tc>
        <w:tc>
          <w:tcPr>
            <w:tcW w:w="0" w:type="auto"/>
          </w:tcPr>
          <w:p w14:paraId="63CBEC40"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Mother</w:t>
            </w:r>
          </w:p>
        </w:tc>
        <w:tc>
          <w:tcPr>
            <w:tcW w:w="0" w:type="auto"/>
          </w:tcPr>
          <w:p w14:paraId="21334FC8"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Son (14)</w:t>
            </w:r>
          </w:p>
        </w:tc>
        <w:tc>
          <w:tcPr>
            <w:tcW w:w="0" w:type="auto"/>
          </w:tcPr>
          <w:p w14:paraId="48888126" w14:textId="77777777" w:rsidR="00D13545" w:rsidRPr="006A1EC7" w:rsidRDefault="00D13545" w:rsidP="00D13545">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w:t>
            </w:r>
          </w:p>
        </w:tc>
      </w:tr>
      <w:tr w:rsidR="00D13545" w:rsidRPr="006A1EC7" w14:paraId="59E6B8B0" w14:textId="77777777" w:rsidTr="00D13545">
        <w:trPr>
          <w:trHeight w:val="323"/>
        </w:trPr>
        <w:tc>
          <w:tcPr>
            <w:cnfStyle w:val="001000000000" w:firstRow="0" w:lastRow="0" w:firstColumn="1" w:lastColumn="0" w:oddVBand="0" w:evenVBand="0" w:oddHBand="0" w:evenHBand="0" w:firstRowFirstColumn="0" w:firstRowLastColumn="0" w:lastRowFirstColumn="0" w:lastRowLastColumn="0"/>
            <w:tcW w:w="0" w:type="auto"/>
          </w:tcPr>
          <w:p w14:paraId="2C6122EF" w14:textId="77777777" w:rsidR="00D13545" w:rsidRPr="006A1EC7" w:rsidRDefault="00D13545" w:rsidP="00D13545">
            <w:pPr>
              <w:spacing w:line="276" w:lineRule="auto"/>
              <w:rPr>
                <w:b w:val="0"/>
                <w:sz w:val="18"/>
                <w:szCs w:val="18"/>
              </w:rPr>
            </w:pPr>
            <w:r w:rsidRPr="006A1EC7">
              <w:rPr>
                <w:b w:val="0"/>
                <w:sz w:val="18"/>
                <w:szCs w:val="18"/>
              </w:rPr>
              <w:t>WHS12B</w:t>
            </w:r>
          </w:p>
        </w:tc>
        <w:tc>
          <w:tcPr>
            <w:tcW w:w="0" w:type="auto"/>
          </w:tcPr>
          <w:p w14:paraId="2585E352"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(Step-)Father</w:t>
            </w:r>
          </w:p>
        </w:tc>
        <w:tc>
          <w:tcPr>
            <w:tcW w:w="0" w:type="auto"/>
          </w:tcPr>
          <w:p w14:paraId="1C6E98FB"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(Step-)Son (14)</w:t>
            </w:r>
          </w:p>
        </w:tc>
        <w:tc>
          <w:tcPr>
            <w:tcW w:w="0" w:type="auto"/>
          </w:tcPr>
          <w:p w14:paraId="59EFA701" w14:textId="77777777" w:rsidR="00D13545" w:rsidRPr="006A1EC7" w:rsidRDefault="00D13545" w:rsidP="00D13545">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C</w:t>
            </w:r>
          </w:p>
        </w:tc>
      </w:tr>
    </w:tbl>
    <w:p w14:paraId="0348244A" w14:textId="77777777" w:rsidR="00D13545" w:rsidRPr="006A1EC7" w:rsidRDefault="00D13545" w:rsidP="00D13545">
      <w:pPr>
        <w:spacing w:line="276" w:lineRule="auto"/>
      </w:pPr>
    </w:p>
    <w:p w14:paraId="629F9DB9" w14:textId="3AC84AE1" w:rsidR="00D13545" w:rsidRPr="006A1EC7" w:rsidRDefault="00D13545" w:rsidP="00DB5C12">
      <w:pPr>
        <w:spacing w:line="360" w:lineRule="auto"/>
      </w:pPr>
    </w:p>
    <w:p w14:paraId="0A64771C" w14:textId="5461625D" w:rsidR="00D13545" w:rsidRPr="006A1EC7" w:rsidRDefault="00D13545" w:rsidP="00D13545">
      <w:pPr>
        <w:pStyle w:val="Heading3"/>
        <w:rPr>
          <w:rFonts w:ascii="Times New Roman" w:hAnsi="Times New Roman" w:cs="Times New Roman"/>
        </w:rPr>
      </w:pPr>
      <w:bookmarkStart w:id="129" w:name="_Toc39270366"/>
      <w:bookmarkStart w:id="130" w:name="_Toc40173065"/>
      <w:r w:rsidRPr="006A1EC7">
        <w:rPr>
          <w:rFonts w:ascii="Times New Roman" w:hAnsi="Times New Roman" w:cs="Times New Roman"/>
        </w:rPr>
        <w:lastRenderedPageBreak/>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9</w:t>
      </w:r>
      <w:r w:rsidRPr="006A1EC7">
        <w:rPr>
          <w:rFonts w:ascii="Times New Roman" w:hAnsi="Times New Roman" w:cs="Times New Roman"/>
        </w:rPr>
        <w:fldChar w:fldCharType="end"/>
      </w:r>
      <w:r w:rsidRPr="006A1EC7">
        <w:rPr>
          <w:rFonts w:ascii="Times New Roman" w:hAnsi="Times New Roman" w:cs="Times New Roman"/>
        </w:rPr>
        <w:t>: UK Map illustrating the locations of interviews</w:t>
      </w:r>
      <w:bookmarkEnd w:id="129"/>
      <w:bookmarkEnd w:id="130"/>
    </w:p>
    <w:p w14:paraId="30ED7B25" w14:textId="0974E257" w:rsidR="00D13545" w:rsidRPr="006A1EC7" w:rsidRDefault="00D13545" w:rsidP="00DB5C12">
      <w:pPr>
        <w:spacing w:line="360" w:lineRule="auto"/>
      </w:pPr>
      <w:r w:rsidRPr="006A1EC7">
        <w:rPr>
          <w:noProof/>
          <w:lang w:eastAsia="en-GB"/>
        </w:rPr>
        <w:drawing>
          <wp:inline distT="0" distB="0" distL="0" distR="0" wp14:anchorId="3D010A92" wp14:editId="6BFF614C">
            <wp:extent cx="2592501" cy="3835400"/>
            <wp:effectExtent l="0" t="0" r="0" b="0"/>
            <wp:docPr id="13" name="Picture 1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extLst>
                        <a:ext uri="{28A0092B-C50C-407E-A947-70E740481C1C}">
                          <a14:useLocalDpi xmlns:a14="http://schemas.microsoft.com/office/drawing/2010/main"/>
                        </a:ext>
                      </a:extLst>
                    </a:blip>
                    <a:srcRect/>
                    <a:stretch/>
                  </pic:blipFill>
                  <pic:spPr>
                    <a:xfrm>
                      <a:off x="0" y="0"/>
                      <a:ext cx="2619542" cy="3875406"/>
                    </a:xfrm>
                    <a:prstGeom prst="rect">
                      <a:avLst/>
                    </a:prstGeom>
                    <a:effectLst/>
                  </pic:spPr>
                </pic:pic>
              </a:graphicData>
            </a:graphic>
          </wp:inline>
        </w:drawing>
      </w:r>
    </w:p>
    <w:p w14:paraId="641BEA56" w14:textId="1B308FAD" w:rsidR="00D13545" w:rsidRPr="006A1EC7" w:rsidRDefault="00D13545" w:rsidP="00DB5C12">
      <w:pPr>
        <w:spacing w:line="360" w:lineRule="auto"/>
      </w:pPr>
    </w:p>
    <w:p w14:paraId="2627385B" w14:textId="4A268600" w:rsidR="00D13545" w:rsidRPr="006A1EC7" w:rsidRDefault="00D13545" w:rsidP="00D13545">
      <w:pPr>
        <w:pStyle w:val="Heading3"/>
        <w:rPr>
          <w:rFonts w:ascii="Times New Roman" w:hAnsi="Times New Roman" w:cs="Times New Roman"/>
        </w:rPr>
      </w:pPr>
      <w:bookmarkStart w:id="131" w:name="_Toc39270367"/>
      <w:bookmarkStart w:id="132" w:name="_Toc40173066"/>
      <w:r w:rsidRPr="006A1EC7">
        <w:rPr>
          <w:rFonts w:ascii="Times New Roman" w:hAnsi="Times New Roman" w:cs="Times New Roman"/>
        </w:rPr>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10</w:t>
      </w:r>
      <w:r w:rsidRPr="006A1EC7">
        <w:rPr>
          <w:rFonts w:ascii="Times New Roman" w:hAnsi="Times New Roman" w:cs="Times New Roman"/>
        </w:rPr>
        <w:fldChar w:fldCharType="end"/>
      </w:r>
      <w:r w:rsidRPr="006A1EC7">
        <w:rPr>
          <w:rFonts w:ascii="Times New Roman" w:hAnsi="Times New Roman" w:cs="Times New Roman"/>
        </w:rPr>
        <w:t>: Overview of Themes developed from the interviews</w:t>
      </w:r>
      <w:bookmarkEnd w:id="131"/>
      <w:bookmarkEnd w:id="132"/>
    </w:p>
    <w:p w14:paraId="44D45187" w14:textId="77777777" w:rsidR="00D13545" w:rsidRPr="006A1EC7" w:rsidRDefault="00D13545" w:rsidP="00D13545">
      <w:pPr>
        <w:spacing w:line="276" w:lineRule="auto"/>
      </w:pPr>
      <w:r w:rsidRPr="006A1EC7">
        <w:rPr>
          <w:noProof/>
          <w:lang w:eastAsia="en-GB"/>
        </w:rPr>
        <w:drawing>
          <wp:inline distT="0" distB="0" distL="0" distR="0" wp14:anchorId="795078A0" wp14:editId="1F3092EE">
            <wp:extent cx="5405778" cy="2082165"/>
            <wp:effectExtent l="0" t="0" r="444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0-04 at 14.38.57.png"/>
                    <pic:cNvPicPr/>
                  </pic:nvPicPr>
                  <pic:blipFill>
                    <a:blip r:embed="rId25">
                      <a:extLst>
                        <a:ext uri="{28A0092B-C50C-407E-A947-70E740481C1C}">
                          <a14:useLocalDpi xmlns:a14="http://schemas.microsoft.com/office/drawing/2010/main" val="0"/>
                        </a:ext>
                      </a:extLst>
                    </a:blip>
                    <a:stretch>
                      <a:fillRect/>
                    </a:stretch>
                  </pic:blipFill>
                  <pic:spPr>
                    <a:xfrm>
                      <a:off x="0" y="0"/>
                      <a:ext cx="5418444" cy="2087044"/>
                    </a:xfrm>
                    <a:prstGeom prst="rect">
                      <a:avLst/>
                    </a:prstGeom>
                  </pic:spPr>
                </pic:pic>
              </a:graphicData>
            </a:graphic>
          </wp:inline>
        </w:drawing>
      </w:r>
    </w:p>
    <w:p w14:paraId="4BD44C32" w14:textId="77777777" w:rsidR="00B95420" w:rsidRPr="006A1EC7" w:rsidRDefault="00B95420" w:rsidP="00D13545"/>
    <w:p w14:paraId="56B698CE" w14:textId="0B16E13E" w:rsidR="00D13545" w:rsidRPr="006A1EC7" w:rsidRDefault="00D13545" w:rsidP="00D13545">
      <w:pPr>
        <w:pStyle w:val="Heading3"/>
        <w:rPr>
          <w:rFonts w:ascii="Times New Roman" w:hAnsi="Times New Roman" w:cs="Times New Roman"/>
        </w:rPr>
      </w:pPr>
      <w:bookmarkStart w:id="133" w:name="_Toc40173033"/>
      <w:r w:rsidRPr="006A1EC7">
        <w:rPr>
          <w:rFonts w:ascii="Times New Roman" w:hAnsi="Times New Roman" w:cs="Times New Roman"/>
        </w:rPr>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8</w:t>
      </w:r>
      <w:r w:rsidRPr="006A1EC7">
        <w:rPr>
          <w:rFonts w:ascii="Times New Roman" w:hAnsi="Times New Roman" w:cs="Times New Roman"/>
        </w:rPr>
        <w:fldChar w:fldCharType="end"/>
      </w:r>
      <w:r w:rsidRPr="006A1EC7">
        <w:rPr>
          <w:rFonts w:ascii="Times New Roman" w:hAnsi="Times New Roman" w:cs="Times New Roman"/>
        </w:rPr>
        <w:t>: Table for Theme 1: Subthemes and data saturation table</w:t>
      </w:r>
      <w:bookmarkEnd w:id="133"/>
    </w:p>
    <w:tbl>
      <w:tblPr>
        <w:tblStyle w:val="TableGrid"/>
        <w:tblW w:w="0" w:type="auto"/>
        <w:tblLook w:val="04A0" w:firstRow="1" w:lastRow="0" w:firstColumn="1" w:lastColumn="0" w:noHBand="0" w:noVBand="1"/>
      </w:tblPr>
      <w:tblGrid>
        <w:gridCol w:w="1906"/>
        <w:gridCol w:w="1980"/>
        <w:gridCol w:w="1677"/>
        <w:gridCol w:w="1847"/>
        <w:gridCol w:w="1600"/>
      </w:tblGrid>
      <w:tr w:rsidR="00D13545" w:rsidRPr="006A1EC7" w14:paraId="1ADC0520" w14:textId="77777777" w:rsidTr="00D13545">
        <w:tc>
          <w:tcPr>
            <w:tcW w:w="0" w:type="auto"/>
            <w:shd w:val="clear" w:color="auto" w:fill="A5A5A5" w:themeFill="accent3"/>
          </w:tcPr>
          <w:p w14:paraId="5D1687BD" w14:textId="77777777" w:rsidR="00D13545" w:rsidRPr="006A1EC7" w:rsidRDefault="00D13545" w:rsidP="00D13545">
            <w:pPr>
              <w:spacing w:line="276" w:lineRule="auto"/>
              <w:rPr>
                <w:sz w:val="20"/>
                <w:szCs w:val="20"/>
              </w:rPr>
            </w:pPr>
            <w:r w:rsidRPr="006A1EC7">
              <w:rPr>
                <w:sz w:val="20"/>
                <w:szCs w:val="20"/>
              </w:rPr>
              <w:t>Subtheme</w:t>
            </w:r>
          </w:p>
        </w:tc>
        <w:tc>
          <w:tcPr>
            <w:tcW w:w="0" w:type="auto"/>
            <w:shd w:val="clear" w:color="auto" w:fill="A5A5A5" w:themeFill="accent3"/>
          </w:tcPr>
          <w:p w14:paraId="44623567" w14:textId="77777777" w:rsidR="00D13545" w:rsidRPr="006A1EC7" w:rsidRDefault="00D13545" w:rsidP="00D13545">
            <w:pPr>
              <w:spacing w:line="276" w:lineRule="auto"/>
              <w:rPr>
                <w:sz w:val="20"/>
                <w:szCs w:val="20"/>
              </w:rPr>
            </w:pPr>
            <w:r w:rsidRPr="006A1EC7">
              <w:rPr>
                <w:sz w:val="20"/>
                <w:szCs w:val="20"/>
              </w:rPr>
              <w:t>First order Subtheme</w:t>
            </w:r>
          </w:p>
        </w:tc>
        <w:tc>
          <w:tcPr>
            <w:tcW w:w="0" w:type="auto"/>
            <w:shd w:val="clear" w:color="auto" w:fill="A5A5A5" w:themeFill="accent3"/>
          </w:tcPr>
          <w:p w14:paraId="06A77ECC" w14:textId="77777777" w:rsidR="00D13545" w:rsidRPr="006A1EC7" w:rsidRDefault="00D13545" w:rsidP="00D13545">
            <w:pPr>
              <w:spacing w:line="276" w:lineRule="auto"/>
              <w:rPr>
                <w:sz w:val="20"/>
                <w:szCs w:val="20"/>
              </w:rPr>
            </w:pPr>
            <w:r w:rsidRPr="006A1EC7">
              <w:rPr>
                <w:sz w:val="20"/>
                <w:szCs w:val="20"/>
              </w:rPr>
              <w:t>Second order subthemes</w:t>
            </w:r>
          </w:p>
        </w:tc>
        <w:tc>
          <w:tcPr>
            <w:tcW w:w="0" w:type="auto"/>
            <w:shd w:val="clear" w:color="auto" w:fill="A5A5A5" w:themeFill="accent3"/>
          </w:tcPr>
          <w:p w14:paraId="62B80B6F" w14:textId="77777777" w:rsidR="00D13545" w:rsidRPr="006A1EC7" w:rsidRDefault="00D13545" w:rsidP="00D13545">
            <w:pPr>
              <w:spacing w:line="276" w:lineRule="auto"/>
              <w:rPr>
                <w:sz w:val="20"/>
                <w:szCs w:val="20"/>
              </w:rPr>
            </w:pPr>
            <w:r w:rsidRPr="006A1EC7">
              <w:rPr>
                <w:sz w:val="20"/>
                <w:szCs w:val="20"/>
              </w:rPr>
              <w:t>Data saturation grid</w:t>
            </w:r>
          </w:p>
        </w:tc>
        <w:tc>
          <w:tcPr>
            <w:tcW w:w="0" w:type="auto"/>
            <w:shd w:val="clear" w:color="auto" w:fill="A5A5A5" w:themeFill="accent3"/>
          </w:tcPr>
          <w:p w14:paraId="499B8B6C" w14:textId="77777777" w:rsidR="00D13545" w:rsidRPr="006A1EC7" w:rsidRDefault="00D13545" w:rsidP="00D13545">
            <w:pPr>
              <w:spacing w:line="276" w:lineRule="auto"/>
              <w:rPr>
                <w:sz w:val="20"/>
                <w:szCs w:val="20"/>
              </w:rPr>
            </w:pPr>
            <w:r w:rsidRPr="006A1EC7">
              <w:rPr>
                <w:sz w:val="20"/>
                <w:szCs w:val="20"/>
              </w:rPr>
              <w:t>Theme Type:</w:t>
            </w:r>
          </w:p>
          <w:p w14:paraId="6F408FDD" w14:textId="77777777" w:rsidR="00D13545" w:rsidRPr="006A1EC7" w:rsidRDefault="00D13545" w:rsidP="00D13545">
            <w:pPr>
              <w:spacing w:line="276" w:lineRule="auto"/>
              <w:rPr>
                <w:sz w:val="20"/>
                <w:szCs w:val="20"/>
              </w:rPr>
            </w:pPr>
            <w:r w:rsidRPr="006A1EC7">
              <w:rPr>
                <w:sz w:val="20"/>
                <w:szCs w:val="20"/>
              </w:rPr>
              <w:t>Semantic versus latent</w:t>
            </w:r>
          </w:p>
        </w:tc>
      </w:tr>
      <w:tr w:rsidR="00D13545" w:rsidRPr="006A1EC7" w14:paraId="07E3F9C9" w14:textId="77777777" w:rsidTr="00D13545">
        <w:tc>
          <w:tcPr>
            <w:tcW w:w="0" w:type="auto"/>
            <w:vMerge w:val="restart"/>
            <w:shd w:val="clear" w:color="auto" w:fill="4472C4" w:themeFill="accent1"/>
          </w:tcPr>
          <w:p w14:paraId="05BD6F93" w14:textId="77777777" w:rsidR="00D13545" w:rsidRPr="006A1EC7" w:rsidRDefault="00D13545" w:rsidP="00D13545">
            <w:pPr>
              <w:spacing w:line="276" w:lineRule="auto"/>
              <w:rPr>
                <w:sz w:val="20"/>
                <w:szCs w:val="20"/>
              </w:rPr>
            </w:pPr>
            <w:r w:rsidRPr="006A1EC7">
              <w:rPr>
                <w:sz w:val="20"/>
                <w:szCs w:val="20"/>
              </w:rPr>
              <w:t>1.1 Epilepsy</w:t>
            </w:r>
          </w:p>
        </w:tc>
        <w:tc>
          <w:tcPr>
            <w:tcW w:w="0" w:type="auto"/>
          </w:tcPr>
          <w:p w14:paraId="4F6E10CD" w14:textId="77777777" w:rsidR="00D13545" w:rsidRPr="006A1EC7" w:rsidRDefault="00D13545" w:rsidP="00D13545">
            <w:pPr>
              <w:spacing w:line="276" w:lineRule="auto"/>
              <w:rPr>
                <w:sz w:val="20"/>
                <w:szCs w:val="20"/>
              </w:rPr>
            </w:pPr>
            <w:r w:rsidRPr="006A1EC7">
              <w:rPr>
                <w:sz w:val="20"/>
                <w:szCs w:val="20"/>
              </w:rPr>
              <w:t>1.1.1 First seizure</w:t>
            </w:r>
          </w:p>
        </w:tc>
        <w:tc>
          <w:tcPr>
            <w:tcW w:w="0" w:type="auto"/>
          </w:tcPr>
          <w:p w14:paraId="4C875D5E" w14:textId="77777777" w:rsidR="00D13545" w:rsidRPr="006A1EC7" w:rsidRDefault="00D13545" w:rsidP="00D13545">
            <w:pPr>
              <w:spacing w:line="276" w:lineRule="auto"/>
              <w:rPr>
                <w:sz w:val="20"/>
                <w:szCs w:val="20"/>
              </w:rPr>
            </w:pPr>
          </w:p>
        </w:tc>
        <w:tc>
          <w:tcPr>
            <w:tcW w:w="0" w:type="auto"/>
          </w:tcPr>
          <w:p w14:paraId="0015B146"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1, 2A, 2B, 2C, 3A, 3B, 3C, 4A, 10, 11B, 11C, 12A.</w:t>
            </w:r>
          </w:p>
        </w:tc>
        <w:tc>
          <w:tcPr>
            <w:tcW w:w="0" w:type="auto"/>
          </w:tcPr>
          <w:p w14:paraId="5B3E80E7"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6E11AF55" w14:textId="77777777" w:rsidTr="00D13545">
        <w:trPr>
          <w:trHeight w:val="17"/>
        </w:trPr>
        <w:tc>
          <w:tcPr>
            <w:tcW w:w="0" w:type="auto"/>
            <w:vMerge/>
          </w:tcPr>
          <w:p w14:paraId="4FF2494B" w14:textId="77777777" w:rsidR="00D13545" w:rsidRPr="006A1EC7" w:rsidRDefault="00D13545" w:rsidP="00D13545">
            <w:pPr>
              <w:spacing w:line="276" w:lineRule="auto"/>
              <w:rPr>
                <w:sz w:val="20"/>
                <w:szCs w:val="20"/>
              </w:rPr>
            </w:pPr>
          </w:p>
        </w:tc>
        <w:tc>
          <w:tcPr>
            <w:tcW w:w="0" w:type="auto"/>
          </w:tcPr>
          <w:p w14:paraId="1CF2A1B5" w14:textId="77777777" w:rsidR="00D13545" w:rsidRPr="006A1EC7" w:rsidRDefault="00D13545" w:rsidP="00D13545">
            <w:pPr>
              <w:spacing w:line="276" w:lineRule="auto"/>
              <w:rPr>
                <w:sz w:val="20"/>
                <w:szCs w:val="20"/>
              </w:rPr>
            </w:pPr>
            <w:r w:rsidRPr="006A1EC7">
              <w:rPr>
                <w:sz w:val="20"/>
                <w:szCs w:val="20"/>
              </w:rPr>
              <w:t>1.1.2 Seizure Triggers</w:t>
            </w:r>
          </w:p>
        </w:tc>
        <w:tc>
          <w:tcPr>
            <w:tcW w:w="0" w:type="auto"/>
          </w:tcPr>
          <w:p w14:paraId="23325FF7" w14:textId="77777777" w:rsidR="00D13545" w:rsidRPr="006A1EC7" w:rsidRDefault="00D13545" w:rsidP="00D13545">
            <w:pPr>
              <w:spacing w:line="276" w:lineRule="auto"/>
              <w:rPr>
                <w:sz w:val="20"/>
                <w:szCs w:val="20"/>
              </w:rPr>
            </w:pPr>
          </w:p>
        </w:tc>
        <w:tc>
          <w:tcPr>
            <w:tcW w:w="0" w:type="auto"/>
          </w:tcPr>
          <w:p w14:paraId="5E985DF2"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1, 2A, 2B, 2C, 3A, 3B, 3C, 4A, 10, 11B, 11C, 12A.</w:t>
            </w:r>
          </w:p>
        </w:tc>
        <w:tc>
          <w:tcPr>
            <w:tcW w:w="0" w:type="auto"/>
          </w:tcPr>
          <w:p w14:paraId="1658F73D" w14:textId="77777777" w:rsidR="00D13545" w:rsidRPr="006A1EC7" w:rsidRDefault="00D13545" w:rsidP="00D13545">
            <w:pPr>
              <w:spacing w:line="276" w:lineRule="auto"/>
              <w:rPr>
                <w:color w:val="000000" w:themeColor="text1"/>
                <w:sz w:val="20"/>
                <w:szCs w:val="20"/>
              </w:rPr>
            </w:pPr>
            <w:r w:rsidRPr="006A1EC7">
              <w:rPr>
                <w:sz w:val="20"/>
                <w:szCs w:val="20"/>
              </w:rPr>
              <w:t>Semantic</w:t>
            </w:r>
          </w:p>
        </w:tc>
      </w:tr>
      <w:tr w:rsidR="00D13545" w:rsidRPr="006A1EC7" w14:paraId="700A1CB0" w14:textId="77777777" w:rsidTr="00D13545">
        <w:trPr>
          <w:trHeight w:val="356"/>
        </w:trPr>
        <w:tc>
          <w:tcPr>
            <w:tcW w:w="0" w:type="auto"/>
            <w:vMerge/>
          </w:tcPr>
          <w:p w14:paraId="3780375B" w14:textId="77777777" w:rsidR="00D13545" w:rsidRPr="006A1EC7" w:rsidRDefault="00D13545" w:rsidP="00D13545">
            <w:pPr>
              <w:spacing w:line="276" w:lineRule="auto"/>
              <w:rPr>
                <w:sz w:val="20"/>
                <w:szCs w:val="20"/>
              </w:rPr>
            </w:pPr>
          </w:p>
        </w:tc>
        <w:tc>
          <w:tcPr>
            <w:tcW w:w="0" w:type="auto"/>
          </w:tcPr>
          <w:p w14:paraId="4CD8720E" w14:textId="77777777" w:rsidR="00D13545" w:rsidRPr="006A1EC7" w:rsidRDefault="00D13545" w:rsidP="00D13545">
            <w:pPr>
              <w:spacing w:line="276" w:lineRule="auto"/>
              <w:rPr>
                <w:sz w:val="20"/>
                <w:szCs w:val="20"/>
              </w:rPr>
            </w:pPr>
            <w:r w:rsidRPr="006A1EC7">
              <w:rPr>
                <w:sz w:val="20"/>
                <w:szCs w:val="20"/>
              </w:rPr>
              <w:t>1.1.3 Warning signs</w:t>
            </w:r>
          </w:p>
        </w:tc>
        <w:tc>
          <w:tcPr>
            <w:tcW w:w="0" w:type="auto"/>
          </w:tcPr>
          <w:p w14:paraId="269C4E51" w14:textId="77777777" w:rsidR="00D13545" w:rsidRPr="006A1EC7" w:rsidRDefault="00D13545" w:rsidP="00D13545">
            <w:pPr>
              <w:spacing w:line="276" w:lineRule="auto"/>
              <w:rPr>
                <w:sz w:val="20"/>
                <w:szCs w:val="20"/>
              </w:rPr>
            </w:pPr>
          </w:p>
        </w:tc>
        <w:tc>
          <w:tcPr>
            <w:tcW w:w="0" w:type="auto"/>
          </w:tcPr>
          <w:p w14:paraId="55753AFD" w14:textId="77777777" w:rsidR="00D13545" w:rsidRPr="006A1EC7" w:rsidRDefault="00D13545" w:rsidP="00D13545">
            <w:pPr>
              <w:spacing w:line="276" w:lineRule="auto"/>
              <w:rPr>
                <w:sz w:val="20"/>
                <w:szCs w:val="20"/>
              </w:rPr>
            </w:pPr>
            <w:r w:rsidRPr="006A1EC7">
              <w:rPr>
                <w:sz w:val="20"/>
                <w:szCs w:val="20"/>
              </w:rPr>
              <w:t>2C, 3C, 5, 9</w:t>
            </w:r>
          </w:p>
        </w:tc>
        <w:tc>
          <w:tcPr>
            <w:tcW w:w="0" w:type="auto"/>
          </w:tcPr>
          <w:p w14:paraId="0D64D348"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0426ABB3" w14:textId="77777777" w:rsidTr="00D13545">
        <w:trPr>
          <w:trHeight w:val="356"/>
        </w:trPr>
        <w:tc>
          <w:tcPr>
            <w:tcW w:w="0" w:type="auto"/>
            <w:vMerge/>
          </w:tcPr>
          <w:p w14:paraId="4EFB7A3B" w14:textId="77777777" w:rsidR="00D13545" w:rsidRPr="006A1EC7" w:rsidRDefault="00D13545" w:rsidP="00D13545">
            <w:pPr>
              <w:spacing w:line="276" w:lineRule="auto"/>
              <w:rPr>
                <w:sz w:val="20"/>
                <w:szCs w:val="20"/>
              </w:rPr>
            </w:pPr>
          </w:p>
        </w:tc>
        <w:tc>
          <w:tcPr>
            <w:tcW w:w="0" w:type="auto"/>
            <w:vMerge w:val="restart"/>
          </w:tcPr>
          <w:p w14:paraId="208D11A9" w14:textId="77777777" w:rsidR="00D13545" w:rsidRPr="006A1EC7" w:rsidRDefault="00D13545" w:rsidP="00D13545">
            <w:pPr>
              <w:spacing w:line="276" w:lineRule="auto"/>
              <w:rPr>
                <w:sz w:val="20"/>
                <w:szCs w:val="20"/>
              </w:rPr>
            </w:pPr>
            <w:r w:rsidRPr="006A1EC7">
              <w:rPr>
                <w:sz w:val="20"/>
                <w:szCs w:val="20"/>
              </w:rPr>
              <w:t>1.1.4 Seizures: Characteristics</w:t>
            </w:r>
          </w:p>
        </w:tc>
        <w:tc>
          <w:tcPr>
            <w:tcW w:w="0" w:type="auto"/>
          </w:tcPr>
          <w:p w14:paraId="5EEB4D45" w14:textId="77777777" w:rsidR="00D13545" w:rsidRPr="006A1EC7" w:rsidRDefault="00D13545" w:rsidP="00D13545">
            <w:pPr>
              <w:spacing w:line="276" w:lineRule="auto"/>
              <w:rPr>
                <w:sz w:val="20"/>
                <w:szCs w:val="20"/>
              </w:rPr>
            </w:pPr>
            <w:r w:rsidRPr="006A1EC7">
              <w:rPr>
                <w:sz w:val="20"/>
                <w:szCs w:val="20"/>
              </w:rPr>
              <w:t>1.1.4.1 Quantity</w:t>
            </w:r>
          </w:p>
        </w:tc>
        <w:tc>
          <w:tcPr>
            <w:tcW w:w="0" w:type="auto"/>
          </w:tcPr>
          <w:p w14:paraId="040037D9" w14:textId="77777777" w:rsidR="00D13545" w:rsidRPr="006A1EC7" w:rsidRDefault="00D13545" w:rsidP="00D13545">
            <w:pPr>
              <w:spacing w:line="276" w:lineRule="auto"/>
              <w:rPr>
                <w:sz w:val="20"/>
                <w:szCs w:val="20"/>
              </w:rPr>
            </w:pPr>
            <w:r w:rsidRPr="006A1EC7">
              <w:rPr>
                <w:sz w:val="20"/>
                <w:szCs w:val="20"/>
              </w:rPr>
              <w:t>2A, 4A, 4B, 5, 6A, 10</w:t>
            </w:r>
          </w:p>
        </w:tc>
        <w:tc>
          <w:tcPr>
            <w:tcW w:w="0" w:type="auto"/>
          </w:tcPr>
          <w:p w14:paraId="176B22E7"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72A7D5B9" w14:textId="77777777" w:rsidTr="00D13545">
        <w:trPr>
          <w:trHeight w:val="1016"/>
        </w:trPr>
        <w:tc>
          <w:tcPr>
            <w:tcW w:w="0" w:type="auto"/>
            <w:vMerge/>
          </w:tcPr>
          <w:p w14:paraId="5A9592D8" w14:textId="77777777" w:rsidR="00D13545" w:rsidRPr="006A1EC7" w:rsidRDefault="00D13545" w:rsidP="00D13545">
            <w:pPr>
              <w:spacing w:line="276" w:lineRule="auto"/>
              <w:rPr>
                <w:sz w:val="20"/>
                <w:szCs w:val="20"/>
              </w:rPr>
            </w:pPr>
          </w:p>
        </w:tc>
        <w:tc>
          <w:tcPr>
            <w:tcW w:w="0" w:type="auto"/>
            <w:vMerge/>
          </w:tcPr>
          <w:p w14:paraId="372F57BD" w14:textId="77777777" w:rsidR="00D13545" w:rsidRPr="006A1EC7" w:rsidRDefault="00D13545" w:rsidP="00D13545">
            <w:pPr>
              <w:spacing w:line="276" w:lineRule="auto"/>
              <w:rPr>
                <w:sz w:val="20"/>
                <w:szCs w:val="20"/>
              </w:rPr>
            </w:pPr>
          </w:p>
        </w:tc>
        <w:tc>
          <w:tcPr>
            <w:tcW w:w="0" w:type="auto"/>
          </w:tcPr>
          <w:p w14:paraId="2E45BD63" w14:textId="77777777" w:rsidR="00D13545" w:rsidRPr="006A1EC7" w:rsidRDefault="00D13545" w:rsidP="00D13545">
            <w:pPr>
              <w:spacing w:line="276" w:lineRule="auto"/>
              <w:rPr>
                <w:sz w:val="20"/>
                <w:szCs w:val="20"/>
              </w:rPr>
            </w:pPr>
            <w:r w:rsidRPr="006A1EC7">
              <w:rPr>
                <w:sz w:val="20"/>
                <w:szCs w:val="20"/>
              </w:rPr>
              <w:t>1.1.4.2 Frequency</w:t>
            </w:r>
          </w:p>
        </w:tc>
        <w:tc>
          <w:tcPr>
            <w:tcW w:w="0" w:type="auto"/>
          </w:tcPr>
          <w:p w14:paraId="447F3CA2" w14:textId="77777777" w:rsidR="00D13545" w:rsidRPr="006A1EC7" w:rsidRDefault="00D13545" w:rsidP="00D13545">
            <w:pPr>
              <w:spacing w:line="276" w:lineRule="auto"/>
              <w:rPr>
                <w:sz w:val="20"/>
                <w:szCs w:val="20"/>
              </w:rPr>
            </w:pPr>
            <w:r w:rsidRPr="006A1EC7">
              <w:rPr>
                <w:sz w:val="20"/>
                <w:szCs w:val="20"/>
              </w:rPr>
              <w:t>10, 11A, 2A, 2C, 4B, 5, 6A, 6C, 7, 9</w:t>
            </w:r>
          </w:p>
        </w:tc>
        <w:tc>
          <w:tcPr>
            <w:tcW w:w="0" w:type="auto"/>
          </w:tcPr>
          <w:p w14:paraId="6045D922" w14:textId="77777777" w:rsidR="00D13545" w:rsidRPr="006A1EC7" w:rsidRDefault="00D13545" w:rsidP="00D13545">
            <w:pPr>
              <w:spacing w:line="276" w:lineRule="auto"/>
              <w:rPr>
                <w:sz w:val="20"/>
                <w:szCs w:val="20"/>
                <w:highlight w:val="yellow"/>
              </w:rPr>
            </w:pPr>
            <w:r w:rsidRPr="006A1EC7">
              <w:rPr>
                <w:sz w:val="20"/>
                <w:szCs w:val="20"/>
              </w:rPr>
              <w:t>Semantic</w:t>
            </w:r>
          </w:p>
        </w:tc>
      </w:tr>
      <w:tr w:rsidR="00D13545" w:rsidRPr="006A1EC7" w14:paraId="5B8CAE82" w14:textId="77777777" w:rsidTr="00D13545">
        <w:trPr>
          <w:trHeight w:val="373"/>
        </w:trPr>
        <w:tc>
          <w:tcPr>
            <w:tcW w:w="0" w:type="auto"/>
            <w:vMerge/>
          </w:tcPr>
          <w:p w14:paraId="2BBF1B63" w14:textId="77777777" w:rsidR="00D13545" w:rsidRPr="006A1EC7" w:rsidRDefault="00D13545" w:rsidP="00D13545">
            <w:pPr>
              <w:spacing w:line="276" w:lineRule="auto"/>
              <w:rPr>
                <w:sz w:val="20"/>
                <w:szCs w:val="20"/>
              </w:rPr>
            </w:pPr>
          </w:p>
        </w:tc>
        <w:tc>
          <w:tcPr>
            <w:tcW w:w="0" w:type="auto"/>
            <w:vMerge/>
          </w:tcPr>
          <w:p w14:paraId="5D8A5E22" w14:textId="77777777" w:rsidR="00D13545" w:rsidRPr="006A1EC7" w:rsidRDefault="00D13545" w:rsidP="00D13545">
            <w:pPr>
              <w:spacing w:line="276" w:lineRule="auto"/>
              <w:rPr>
                <w:sz w:val="20"/>
                <w:szCs w:val="20"/>
              </w:rPr>
            </w:pPr>
          </w:p>
        </w:tc>
        <w:tc>
          <w:tcPr>
            <w:tcW w:w="0" w:type="auto"/>
          </w:tcPr>
          <w:p w14:paraId="204A2EE5" w14:textId="77777777" w:rsidR="00D13545" w:rsidRPr="006A1EC7" w:rsidRDefault="00D13545" w:rsidP="00D13545">
            <w:pPr>
              <w:spacing w:line="276" w:lineRule="auto"/>
              <w:rPr>
                <w:sz w:val="20"/>
                <w:szCs w:val="20"/>
              </w:rPr>
            </w:pPr>
            <w:r w:rsidRPr="006A1EC7">
              <w:rPr>
                <w:sz w:val="20"/>
                <w:szCs w:val="20"/>
              </w:rPr>
              <w:t>1.1.4.3 Duration</w:t>
            </w:r>
          </w:p>
          <w:p w14:paraId="58F5DA49" w14:textId="77777777" w:rsidR="00D13545" w:rsidRPr="006A1EC7" w:rsidRDefault="00D13545" w:rsidP="00D13545">
            <w:pPr>
              <w:spacing w:line="276" w:lineRule="auto"/>
              <w:rPr>
                <w:sz w:val="20"/>
                <w:szCs w:val="20"/>
              </w:rPr>
            </w:pPr>
          </w:p>
        </w:tc>
        <w:tc>
          <w:tcPr>
            <w:tcW w:w="0" w:type="auto"/>
          </w:tcPr>
          <w:p w14:paraId="6AC40D37" w14:textId="77777777" w:rsidR="00D13545" w:rsidRPr="006A1EC7" w:rsidRDefault="00D13545" w:rsidP="00D13545">
            <w:pPr>
              <w:spacing w:line="276" w:lineRule="auto"/>
              <w:rPr>
                <w:sz w:val="20"/>
                <w:szCs w:val="20"/>
              </w:rPr>
            </w:pPr>
            <w:r w:rsidRPr="006A1EC7">
              <w:rPr>
                <w:sz w:val="20"/>
                <w:szCs w:val="20"/>
              </w:rPr>
              <w:t>2A, 3C, 7, 8, 12A. 12B</w:t>
            </w:r>
          </w:p>
        </w:tc>
        <w:tc>
          <w:tcPr>
            <w:tcW w:w="0" w:type="auto"/>
          </w:tcPr>
          <w:p w14:paraId="7E3BE9FE"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4AA8AF9C" w14:textId="77777777" w:rsidTr="00D13545">
        <w:trPr>
          <w:trHeight w:val="359"/>
        </w:trPr>
        <w:tc>
          <w:tcPr>
            <w:tcW w:w="0" w:type="auto"/>
            <w:vMerge/>
          </w:tcPr>
          <w:p w14:paraId="3F0F872B" w14:textId="77777777" w:rsidR="00D13545" w:rsidRPr="006A1EC7" w:rsidRDefault="00D13545" w:rsidP="00D13545">
            <w:pPr>
              <w:spacing w:line="276" w:lineRule="auto"/>
              <w:rPr>
                <w:sz w:val="20"/>
                <w:szCs w:val="20"/>
              </w:rPr>
            </w:pPr>
          </w:p>
        </w:tc>
        <w:tc>
          <w:tcPr>
            <w:tcW w:w="0" w:type="auto"/>
            <w:vMerge/>
          </w:tcPr>
          <w:p w14:paraId="51C16392" w14:textId="77777777" w:rsidR="00D13545" w:rsidRPr="006A1EC7" w:rsidRDefault="00D13545" w:rsidP="00D13545">
            <w:pPr>
              <w:spacing w:line="276" w:lineRule="auto"/>
              <w:rPr>
                <w:sz w:val="20"/>
                <w:szCs w:val="20"/>
              </w:rPr>
            </w:pPr>
          </w:p>
        </w:tc>
        <w:tc>
          <w:tcPr>
            <w:tcW w:w="0" w:type="auto"/>
          </w:tcPr>
          <w:p w14:paraId="0315C7E9" w14:textId="77777777" w:rsidR="00D13545" w:rsidRPr="006A1EC7" w:rsidRDefault="00D13545" w:rsidP="00D13545">
            <w:pPr>
              <w:spacing w:line="276" w:lineRule="auto"/>
              <w:rPr>
                <w:sz w:val="20"/>
                <w:szCs w:val="20"/>
              </w:rPr>
            </w:pPr>
            <w:r w:rsidRPr="006A1EC7">
              <w:rPr>
                <w:sz w:val="20"/>
                <w:szCs w:val="20"/>
              </w:rPr>
              <w:t>1.1.4.4 Types</w:t>
            </w:r>
          </w:p>
        </w:tc>
        <w:tc>
          <w:tcPr>
            <w:tcW w:w="0" w:type="auto"/>
          </w:tcPr>
          <w:p w14:paraId="75A2F063" w14:textId="77777777" w:rsidR="00D13545" w:rsidRPr="006A1EC7" w:rsidRDefault="00D13545" w:rsidP="00D13545">
            <w:pPr>
              <w:spacing w:line="276" w:lineRule="auto"/>
              <w:rPr>
                <w:sz w:val="20"/>
                <w:szCs w:val="20"/>
              </w:rPr>
            </w:pPr>
            <w:r w:rsidRPr="006A1EC7">
              <w:rPr>
                <w:sz w:val="20"/>
                <w:szCs w:val="20"/>
              </w:rPr>
              <w:t>10, 11B, 12A, 12B, 1, 2C, 3C, 6A, 7</w:t>
            </w:r>
          </w:p>
        </w:tc>
        <w:tc>
          <w:tcPr>
            <w:tcW w:w="0" w:type="auto"/>
          </w:tcPr>
          <w:p w14:paraId="06ECEF65" w14:textId="77777777" w:rsidR="00D13545" w:rsidRPr="006A1EC7" w:rsidRDefault="00D13545" w:rsidP="00D13545">
            <w:pPr>
              <w:spacing w:line="276" w:lineRule="auto"/>
              <w:rPr>
                <w:sz w:val="20"/>
                <w:szCs w:val="20"/>
                <w:highlight w:val="yellow"/>
              </w:rPr>
            </w:pPr>
            <w:r w:rsidRPr="006A1EC7">
              <w:rPr>
                <w:sz w:val="20"/>
                <w:szCs w:val="20"/>
              </w:rPr>
              <w:t>Semantic</w:t>
            </w:r>
          </w:p>
        </w:tc>
      </w:tr>
      <w:tr w:rsidR="00D13545" w:rsidRPr="006A1EC7" w14:paraId="000E0ABB" w14:textId="77777777" w:rsidTr="00D13545">
        <w:tc>
          <w:tcPr>
            <w:tcW w:w="0" w:type="auto"/>
            <w:vMerge/>
          </w:tcPr>
          <w:p w14:paraId="4465DD2C" w14:textId="77777777" w:rsidR="00D13545" w:rsidRPr="006A1EC7" w:rsidRDefault="00D13545" w:rsidP="00D13545">
            <w:pPr>
              <w:spacing w:line="276" w:lineRule="auto"/>
              <w:rPr>
                <w:sz w:val="20"/>
                <w:szCs w:val="20"/>
              </w:rPr>
            </w:pPr>
          </w:p>
        </w:tc>
        <w:tc>
          <w:tcPr>
            <w:tcW w:w="0" w:type="auto"/>
          </w:tcPr>
          <w:p w14:paraId="12E2B13C" w14:textId="77777777" w:rsidR="00D13545" w:rsidRPr="006A1EC7" w:rsidRDefault="00D13545" w:rsidP="00D13545">
            <w:pPr>
              <w:spacing w:line="276" w:lineRule="auto"/>
              <w:rPr>
                <w:sz w:val="20"/>
                <w:szCs w:val="20"/>
              </w:rPr>
            </w:pPr>
            <w:r w:rsidRPr="006A1EC7">
              <w:rPr>
                <w:sz w:val="20"/>
                <w:szCs w:val="20"/>
              </w:rPr>
              <w:t>1.1.5 Level of after-care required post seizures</w:t>
            </w:r>
          </w:p>
        </w:tc>
        <w:tc>
          <w:tcPr>
            <w:tcW w:w="0" w:type="auto"/>
          </w:tcPr>
          <w:p w14:paraId="1DB612E1" w14:textId="77777777" w:rsidR="00D13545" w:rsidRPr="006A1EC7" w:rsidRDefault="00D13545" w:rsidP="00D13545">
            <w:pPr>
              <w:spacing w:line="276" w:lineRule="auto"/>
              <w:rPr>
                <w:sz w:val="20"/>
                <w:szCs w:val="20"/>
              </w:rPr>
            </w:pPr>
          </w:p>
        </w:tc>
        <w:tc>
          <w:tcPr>
            <w:tcW w:w="0" w:type="auto"/>
          </w:tcPr>
          <w:p w14:paraId="6CFF1189" w14:textId="77777777" w:rsidR="00D13545" w:rsidRPr="006A1EC7" w:rsidRDefault="00D13545" w:rsidP="00D13545">
            <w:pPr>
              <w:spacing w:line="276" w:lineRule="auto"/>
              <w:rPr>
                <w:sz w:val="20"/>
                <w:szCs w:val="20"/>
              </w:rPr>
            </w:pPr>
            <w:r w:rsidRPr="006A1EC7">
              <w:rPr>
                <w:sz w:val="20"/>
                <w:szCs w:val="20"/>
              </w:rPr>
              <w:t xml:space="preserve"> 2A, 3C, 5, 8, 10</w:t>
            </w:r>
          </w:p>
        </w:tc>
        <w:tc>
          <w:tcPr>
            <w:tcW w:w="0" w:type="auto"/>
          </w:tcPr>
          <w:p w14:paraId="10509FC5"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22B6C165" w14:textId="77777777" w:rsidTr="00D13545">
        <w:trPr>
          <w:trHeight w:val="702"/>
        </w:trPr>
        <w:tc>
          <w:tcPr>
            <w:tcW w:w="0" w:type="auto"/>
            <w:vMerge/>
          </w:tcPr>
          <w:p w14:paraId="35BE6A52" w14:textId="77777777" w:rsidR="00D13545" w:rsidRPr="006A1EC7" w:rsidRDefault="00D13545" w:rsidP="00D13545">
            <w:pPr>
              <w:spacing w:line="276" w:lineRule="auto"/>
              <w:rPr>
                <w:sz w:val="20"/>
                <w:szCs w:val="20"/>
              </w:rPr>
            </w:pPr>
          </w:p>
        </w:tc>
        <w:tc>
          <w:tcPr>
            <w:tcW w:w="0" w:type="auto"/>
          </w:tcPr>
          <w:p w14:paraId="6501A314" w14:textId="77777777" w:rsidR="00D13545" w:rsidRPr="006A1EC7" w:rsidRDefault="00D13545" w:rsidP="00D13545">
            <w:pPr>
              <w:spacing w:line="276" w:lineRule="auto"/>
              <w:rPr>
                <w:sz w:val="20"/>
                <w:szCs w:val="20"/>
              </w:rPr>
            </w:pPr>
            <w:r w:rsidRPr="006A1EC7">
              <w:rPr>
                <w:sz w:val="20"/>
                <w:szCs w:val="20"/>
              </w:rPr>
              <w:t xml:space="preserve">1.1.6 Medication </w:t>
            </w:r>
          </w:p>
        </w:tc>
        <w:tc>
          <w:tcPr>
            <w:tcW w:w="0" w:type="auto"/>
          </w:tcPr>
          <w:p w14:paraId="0ADA3533" w14:textId="77777777" w:rsidR="00D13545" w:rsidRPr="006A1EC7" w:rsidRDefault="00D13545" w:rsidP="00D13545">
            <w:pPr>
              <w:spacing w:line="276" w:lineRule="auto"/>
              <w:rPr>
                <w:sz w:val="20"/>
                <w:szCs w:val="20"/>
              </w:rPr>
            </w:pPr>
            <w:r w:rsidRPr="006A1EC7">
              <w:rPr>
                <w:sz w:val="20"/>
                <w:szCs w:val="20"/>
              </w:rPr>
              <w:t>1. 1.6.1 Efficacy</w:t>
            </w:r>
          </w:p>
          <w:p w14:paraId="70378D76" w14:textId="77777777" w:rsidR="00D13545" w:rsidRPr="006A1EC7" w:rsidRDefault="00D13545" w:rsidP="00D13545">
            <w:pPr>
              <w:spacing w:line="276" w:lineRule="auto"/>
              <w:rPr>
                <w:sz w:val="20"/>
                <w:szCs w:val="20"/>
              </w:rPr>
            </w:pPr>
          </w:p>
        </w:tc>
        <w:tc>
          <w:tcPr>
            <w:tcW w:w="0" w:type="auto"/>
          </w:tcPr>
          <w:p w14:paraId="1E3AE0F4" w14:textId="77777777" w:rsidR="00D13545" w:rsidRPr="006A1EC7" w:rsidRDefault="00D13545" w:rsidP="00D13545">
            <w:pPr>
              <w:spacing w:line="276" w:lineRule="auto"/>
              <w:rPr>
                <w:sz w:val="20"/>
                <w:szCs w:val="20"/>
              </w:rPr>
            </w:pPr>
            <w:r w:rsidRPr="006A1EC7">
              <w:rPr>
                <w:sz w:val="20"/>
                <w:szCs w:val="20"/>
              </w:rPr>
              <w:t>1, 2A, 2B, 2C, 4A</w:t>
            </w:r>
            <w:r w:rsidRPr="006A1EC7">
              <w:rPr>
                <w:sz w:val="20"/>
                <w:szCs w:val="20"/>
              </w:rPr>
              <w:br/>
              <w:t xml:space="preserve"> 5, 8, 10</w:t>
            </w:r>
          </w:p>
        </w:tc>
        <w:tc>
          <w:tcPr>
            <w:tcW w:w="0" w:type="auto"/>
          </w:tcPr>
          <w:p w14:paraId="53D4B87F"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76AEA0F3" w14:textId="77777777" w:rsidTr="00D13545">
        <w:trPr>
          <w:trHeight w:val="684"/>
        </w:trPr>
        <w:tc>
          <w:tcPr>
            <w:tcW w:w="0" w:type="auto"/>
            <w:vMerge/>
          </w:tcPr>
          <w:p w14:paraId="582610B0" w14:textId="77777777" w:rsidR="00D13545" w:rsidRPr="006A1EC7" w:rsidRDefault="00D13545" w:rsidP="00D13545">
            <w:pPr>
              <w:spacing w:line="276" w:lineRule="auto"/>
              <w:rPr>
                <w:sz w:val="20"/>
                <w:szCs w:val="20"/>
              </w:rPr>
            </w:pPr>
          </w:p>
        </w:tc>
        <w:tc>
          <w:tcPr>
            <w:tcW w:w="0" w:type="auto"/>
          </w:tcPr>
          <w:p w14:paraId="475B1757" w14:textId="77777777" w:rsidR="00D13545" w:rsidRPr="006A1EC7" w:rsidRDefault="00D13545" w:rsidP="00D13545">
            <w:pPr>
              <w:spacing w:line="276" w:lineRule="auto"/>
              <w:rPr>
                <w:sz w:val="20"/>
                <w:szCs w:val="20"/>
              </w:rPr>
            </w:pPr>
          </w:p>
        </w:tc>
        <w:tc>
          <w:tcPr>
            <w:tcW w:w="0" w:type="auto"/>
          </w:tcPr>
          <w:p w14:paraId="0C9B318F" w14:textId="77777777" w:rsidR="00D13545" w:rsidRPr="006A1EC7" w:rsidRDefault="00D13545" w:rsidP="00D13545">
            <w:pPr>
              <w:spacing w:line="276" w:lineRule="auto"/>
              <w:rPr>
                <w:sz w:val="20"/>
                <w:szCs w:val="20"/>
              </w:rPr>
            </w:pPr>
            <w:r w:rsidRPr="006A1EC7">
              <w:rPr>
                <w:sz w:val="20"/>
                <w:szCs w:val="20"/>
              </w:rPr>
              <w:t>1.1.6.2 Parental concerns</w:t>
            </w:r>
          </w:p>
        </w:tc>
        <w:tc>
          <w:tcPr>
            <w:tcW w:w="0" w:type="auto"/>
          </w:tcPr>
          <w:p w14:paraId="38C90355" w14:textId="77777777" w:rsidR="00D13545" w:rsidRPr="006A1EC7" w:rsidRDefault="00D13545" w:rsidP="00D13545">
            <w:pPr>
              <w:spacing w:line="276" w:lineRule="auto"/>
              <w:rPr>
                <w:sz w:val="20"/>
                <w:szCs w:val="20"/>
              </w:rPr>
            </w:pPr>
            <w:r w:rsidRPr="006A1EC7">
              <w:rPr>
                <w:sz w:val="20"/>
                <w:szCs w:val="20"/>
              </w:rPr>
              <w:t>1, 8</w:t>
            </w:r>
          </w:p>
        </w:tc>
        <w:tc>
          <w:tcPr>
            <w:tcW w:w="0" w:type="auto"/>
          </w:tcPr>
          <w:p w14:paraId="12919931"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5858F7F0" w14:textId="77777777" w:rsidTr="00D13545">
        <w:trPr>
          <w:trHeight w:val="1000"/>
        </w:trPr>
        <w:tc>
          <w:tcPr>
            <w:tcW w:w="0" w:type="auto"/>
            <w:vMerge/>
          </w:tcPr>
          <w:p w14:paraId="2461744E" w14:textId="77777777" w:rsidR="00D13545" w:rsidRPr="006A1EC7" w:rsidRDefault="00D13545" w:rsidP="00D13545">
            <w:pPr>
              <w:spacing w:line="276" w:lineRule="auto"/>
              <w:rPr>
                <w:sz w:val="20"/>
                <w:szCs w:val="20"/>
              </w:rPr>
            </w:pPr>
          </w:p>
        </w:tc>
        <w:tc>
          <w:tcPr>
            <w:tcW w:w="0" w:type="auto"/>
          </w:tcPr>
          <w:p w14:paraId="49B788B6" w14:textId="77777777" w:rsidR="00D13545" w:rsidRPr="006A1EC7" w:rsidRDefault="00D13545" w:rsidP="00D13545">
            <w:pPr>
              <w:spacing w:line="276" w:lineRule="auto"/>
              <w:rPr>
                <w:sz w:val="20"/>
                <w:szCs w:val="20"/>
              </w:rPr>
            </w:pPr>
            <w:r w:rsidRPr="006A1EC7">
              <w:rPr>
                <w:sz w:val="20"/>
                <w:szCs w:val="20"/>
              </w:rPr>
              <w:t>1.1.7 Seizure impact</w:t>
            </w:r>
          </w:p>
        </w:tc>
        <w:tc>
          <w:tcPr>
            <w:tcW w:w="0" w:type="auto"/>
          </w:tcPr>
          <w:p w14:paraId="210486AF" w14:textId="77777777" w:rsidR="00D13545" w:rsidRPr="006A1EC7" w:rsidRDefault="00D13545" w:rsidP="00D13545">
            <w:pPr>
              <w:spacing w:line="276" w:lineRule="auto"/>
              <w:rPr>
                <w:sz w:val="20"/>
                <w:szCs w:val="20"/>
              </w:rPr>
            </w:pPr>
          </w:p>
        </w:tc>
        <w:tc>
          <w:tcPr>
            <w:tcW w:w="0" w:type="auto"/>
          </w:tcPr>
          <w:p w14:paraId="45AFB5E0"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 xml:space="preserve">2A, 3B, 5, 7, </w:t>
            </w:r>
            <w:r w:rsidRPr="006A1EC7">
              <w:rPr>
                <w:sz w:val="20"/>
                <w:szCs w:val="20"/>
              </w:rPr>
              <w:t>9, 1,</w:t>
            </w:r>
            <w:r w:rsidRPr="006A1EC7">
              <w:rPr>
                <w:sz w:val="20"/>
                <w:szCs w:val="20"/>
              </w:rPr>
              <w:br/>
              <w:t xml:space="preserve"> 3B</w:t>
            </w:r>
          </w:p>
        </w:tc>
        <w:tc>
          <w:tcPr>
            <w:tcW w:w="0" w:type="auto"/>
          </w:tcPr>
          <w:p w14:paraId="00E1251A" w14:textId="77777777" w:rsidR="00D13545" w:rsidRPr="006A1EC7" w:rsidRDefault="00D13545" w:rsidP="00D13545">
            <w:pPr>
              <w:spacing w:line="276" w:lineRule="auto"/>
              <w:rPr>
                <w:color w:val="000000" w:themeColor="text1"/>
                <w:sz w:val="20"/>
                <w:szCs w:val="20"/>
              </w:rPr>
            </w:pPr>
            <w:r w:rsidRPr="006A1EC7">
              <w:rPr>
                <w:sz w:val="20"/>
                <w:szCs w:val="20"/>
              </w:rPr>
              <w:t>Semantic</w:t>
            </w:r>
          </w:p>
        </w:tc>
      </w:tr>
      <w:tr w:rsidR="00D13545" w:rsidRPr="006A1EC7" w14:paraId="6EDD52AD" w14:textId="77777777" w:rsidTr="00D13545">
        <w:tc>
          <w:tcPr>
            <w:tcW w:w="0" w:type="auto"/>
            <w:vMerge w:val="restart"/>
            <w:tcBorders>
              <w:top w:val="nil"/>
            </w:tcBorders>
            <w:shd w:val="clear" w:color="auto" w:fill="4472C4" w:themeFill="accent1"/>
          </w:tcPr>
          <w:p w14:paraId="682C9372" w14:textId="77777777" w:rsidR="00D13545" w:rsidRPr="006A1EC7" w:rsidRDefault="00D13545" w:rsidP="00D13545">
            <w:pPr>
              <w:spacing w:line="276" w:lineRule="auto"/>
              <w:rPr>
                <w:sz w:val="20"/>
                <w:szCs w:val="20"/>
              </w:rPr>
            </w:pPr>
            <w:r w:rsidRPr="006A1EC7">
              <w:rPr>
                <w:sz w:val="20"/>
                <w:szCs w:val="20"/>
              </w:rPr>
              <w:t>1.2 Gastrointestinal and urological aspects of WHS</w:t>
            </w:r>
          </w:p>
        </w:tc>
        <w:tc>
          <w:tcPr>
            <w:tcW w:w="0" w:type="auto"/>
          </w:tcPr>
          <w:p w14:paraId="112158E1" w14:textId="77777777" w:rsidR="00D13545" w:rsidRPr="006A1EC7" w:rsidRDefault="00D13545" w:rsidP="00D13545">
            <w:pPr>
              <w:spacing w:line="276" w:lineRule="auto"/>
              <w:rPr>
                <w:sz w:val="20"/>
                <w:szCs w:val="20"/>
              </w:rPr>
            </w:pPr>
            <w:r w:rsidRPr="006A1EC7">
              <w:rPr>
                <w:sz w:val="20"/>
                <w:szCs w:val="20"/>
              </w:rPr>
              <w:t>1.2.1 Gastrointestinal aspects</w:t>
            </w:r>
          </w:p>
        </w:tc>
        <w:tc>
          <w:tcPr>
            <w:tcW w:w="0" w:type="auto"/>
          </w:tcPr>
          <w:p w14:paraId="475B68C2" w14:textId="77777777" w:rsidR="00D13545" w:rsidRPr="006A1EC7" w:rsidRDefault="00D13545" w:rsidP="00D13545">
            <w:pPr>
              <w:spacing w:line="276" w:lineRule="auto"/>
              <w:rPr>
                <w:sz w:val="20"/>
                <w:szCs w:val="20"/>
              </w:rPr>
            </w:pPr>
            <w:r w:rsidRPr="006A1EC7">
              <w:rPr>
                <w:sz w:val="20"/>
                <w:szCs w:val="20"/>
              </w:rPr>
              <w:t>1.1.2.1 Feeding (Diet and Fluid Intake)</w:t>
            </w:r>
          </w:p>
        </w:tc>
        <w:tc>
          <w:tcPr>
            <w:tcW w:w="0" w:type="auto"/>
          </w:tcPr>
          <w:p w14:paraId="18CEBD16"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6A, 3A, 3B, 3C, 10, 8, 1, 12A, 1, 8, 4B, 7, 9, 11B</w:t>
            </w:r>
          </w:p>
        </w:tc>
        <w:tc>
          <w:tcPr>
            <w:tcW w:w="0" w:type="auto"/>
          </w:tcPr>
          <w:p w14:paraId="4E38A9F7" w14:textId="77777777" w:rsidR="00D13545" w:rsidRPr="006A1EC7" w:rsidRDefault="00D13545" w:rsidP="00D13545">
            <w:pPr>
              <w:spacing w:line="276" w:lineRule="auto"/>
              <w:rPr>
                <w:color w:val="000000" w:themeColor="text1"/>
                <w:sz w:val="20"/>
                <w:szCs w:val="20"/>
              </w:rPr>
            </w:pPr>
            <w:r w:rsidRPr="006A1EC7">
              <w:rPr>
                <w:sz w:val="20"/>
                <w:szCs w:val="20"/>
              </w:rPr>
              <w:t>Semantic</w:t>
            </w:r>
          </w:p>
        </w:tc>
      </w:tr>
      <w:tr w:rsidR="00D13545" w:rsidRPr="006A1EC7" w14:paraId="186D613C" w14:textId="77777777" w:rsidTr="00D13545">
        <w:trPr>
          <w:trHeight w:val="17"/>
        </w:trPr>
        <w:tc>
          <w:tcPr>
            <w:tcW w:w="0" w:type="auto"/>
            <w:vMerge/>
            <w:tcBorders>
              <w:top w:val="nil"/>
            </w:tcBorders>
          </w:tcPr>
          <w:p w14:paraId="3BB9B0E8" w14:textId="77777777" w:rsidR="00D13545" w:rsidRPr="006A1EC7" w:rsidRDefault="00D13545" w:rsidP="00D13545">
            <w:pPr>
              <w:spacing w:line="276" w:lineRule="auto"/>
              <w:rPr>
                <w:sz w:val="20"/>
                <w:szCs w:val="20"/>
              </w:rPr>
            </w:pPr>
          </w:p>
        </w:tc>
        <w:tc>
          <w:tcPr>
            <w:tcW w:w="0" w:type="auto"/>
          </w:tcPr>
          <w:p w14:paraId="5DC48A13" w14:textId="77777777" w:rsidR="00D13545" w:rsidRPr="006A1EC7" w:rsidRDefault="00D13545" w:rsidP="00D13545">
            <w:pPr>
              <w:spacing w:line="276" w:lineRule="auto"/>
              <w:rPr>
                <w:sz w:val="20"/>
                <w:szCs w:val="20"/>
              </w:rPr>
            </w:pPr>
          </w:p>
        </w:tc>
        <w:tc>
          <w:tcPr>
            <w:tcW w:w="0" w:type="auto"/>
          </w:tcPr>
          <w:p w14:paraId="57F1D3EB" w14:textId="77777777" w:rsidR="00D13545" w:rsidRPr="006A1EC7" w:rsidRDefault="00D13545" w:rsidP="00D13545">
            <w:pPr>
              <w:spacing w:line="276" w:lineRule="auto"/>
              <w:rPr>
                <w:sz w:val="20"/>
                <w:szCs w:val="20"/>
              </w:rPr>
            </w:pPr>
            <w:r w:rsidRPr="006A1EC7">
              <w:rPr>
                <w:sz w:val="20"/>
                <w:szCs w:val="20"/>
              </w:rPr>
              <w:t>1.1.2.2 Feeding interventions</w:t>
            </w:r>
          </w:p>
        </w:tc>
        <w:tc>
          <w:tcPr>
            <w:tcW w:w="0" w:type="auto"/>
          </w:tcPr>
          <w:p w14:paraId="735BB01D" w14:textId="77777777" w:rsidR="00D13545" w:rsidRPr="006A1EC7" w:rsidRDefault="00D13545" w:rsidP="00D13545">
            <w:pPr>
              <w:spacing w:line="276" w:lineRule="auto"/>
              <w:rPr>
                <w:sz w:val="20"/>
                <w:szCs w:val="20"/>
              </w:rPr>
            </w:pPr>
            <w:r w:rsidRPr="006A1EC7">
              <w:rPr>
                <w:sz w:val="20"/>
                <w:szCs w:val="20"/>
              </w:rPr>
              <w:t>3A, 3C, 6A, 2A, 2C, 8</w:t>
            </w:r>
          </w:p>
        </w:tc>
        <w:tc>
          <w:tcPr>
            <w:tcW w:w="0" w:type="auto"/>
          </w:tcPr>
          <w:p w14:paraId="1F804F42"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21E5BC88" w14:textId="77777777" w:rsidTr="00D13545">
        <w:tc>
          <w:tcPr>
            <w:tcW w:w="0" w:type="auto"/>
            <w:vMerge/>
            <w:tcBorders>
              <w:top w:val="nil"/>
            </w:tcBorders>
          </w:tcPr>
          <w:p w14:paraId="3737EE80" w14:textId="77777777" w:rsidR="00D13545" w:rsidRPr="006A1EC7" w:rsidRDefault="00D13545" w:rsidP="00D13545">
            <w:pPr>
              <w:spacing w:line="276" w:lineRule="auto"/>
              <w:rPr>
                <w:sz w:val="20"/>
                <w:szCs w:val="20"/>
              </w:rPr>
            </w:pPr>
          </w:p>
        </w:tc>
        <w:tc>
          <w:tcPr>
            <w:tcW w:w="0" w:type="auto"/>
          </w:tcPr>
          <w:p w14:paraId="77C564B6" w14:textId="77777777" w:rsidR="00D13545" w:rsidRPr="006A1EC7" w:rsidRDefault="00D13545" w:rsidP="00D13545">
            <w:pPr>
              <w:spacing w:line="276" w:lineRule="auto"/>
              <w:rPr>
                <w:sz w:val="20"/>
                <w:szCs w:val="20"/>
              </w:rPr>
            </w:pPr>
          </w:p>
        </w:tc>
        <w:tc>
          <w:tcPr>
            <w:tcW w:w="0" w:type="auto"/>
          </w:tcPr>
          <w:p w14:paraId="6AB58D81" w14:textId="77777777" w:rsidR="00D13545" w:rsidRPr="006A1EC7" w:rsidRDefault="00D13545" w:rsidP="00D13545">
            <w:pPr>
              <w:spacing w:line="276" w:lineRule="auto"/>
              <w:rPr>
                <w:sz w:val="20"/>
                <w:szCs w:val="20"/>
              </w:rPr>
            </w:pPr>
            <w:r w:rsidRPr="006A1EC7">
              <w:rPr>
                <w:sz w:val="20"/>
                <w:szCs w:val="20"/>
              </w:rPr>
              <w:t>1.1.2.3 Oesophagus</w:t>
            </w:r>
          </w:p>
        </w:tc>
        <w:tc>
          <w:tcPr>
            <w:tcW w:w="0" w:type="auto"/>
          </w:tcPr>
          <w:p w14:paraId="52028393" w14:textId="77777777" w:rsidR="00D13545" w:rsidRPr="006A1EC7" w:rsidRDefault="00D13545" w:rsidP="00D13545">
            <w:pPr>
              <w:spacing w:line="276" w:lineRule="auto"/>
              <w:rPr>
                <w:color w:val="000000" w:themeColor="text1"/>
                <w:sz w:val="20"/>
                <w:szCs w:val="20"/>
              </w:rPr>
            </w:pPr>
            <w:r w:rsidRPr="006A1EC7">
              <w:rPr>
                <w:sz w:val="20"/>
                <w:szCs w:val="20"/>
              </w:rPr>
              <w:t>9, 12A</w:t>
            </w:r>
          </w:p>
        </w:tc>
        <w:tc>
          <w:tcPr>
            <w:tcW w:w="0" w:type="auto"/>
          </w:tcPr>
          <w:p w14:paraId="457E85F4"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49A2A94A" w14:textId="77777777" w:rsidTr="00D13545">
        <w:trPr>
          <w:trHeight w:val="651"/>
        </w:trPr>
        <w:tc>
          <w:tcPr>
            <w:tcW w:w="0" w:type="auto"/>
            <w:vMerge/>
            <w:tcBorders>
              <w:top w:val="nil"/>
            </w:tcBorders>
          </w:tcPr>
          <w:p w14:paraId="057E6D8C" w14:textId="77777777" w:rsidR="00D13545" w:rsidRPr="006A1EC7" w:rsidRDefault="00D13545" w:rsidP="00D13545">
            <w:pPr>
              <w:spacing w:line="276" w:lineRule="auto"/>
              <w:rPr>
                <w:sz w:val="20"/>
                <w:szCs w:val="20"/>
              </w:rPr>
            </w:pPr>
          </w:p>
        </w:tc>
        <w:tc>
          <w:tcPr>
            <w:tcW w:w="0" w:type="auto"/>
          </w:tcPr>
          <w:p w14:paraId="5E3D59EA" w14:textId="77777777" w:rsidR="00D13545" w:rsidRPr="006A1EC7" w:rsidRDefault="00D13545" w:rsidP="00D13545">
            <w:pPr>
              <w:spacing w:line="276" w:lineRule="auto"/>
              <w:rPr>
                <w:sz w:val="20"/>
                <w:szCs w:val="20"/>
              </w:rPr>
            </w:pPr>
          </w:p>
        </w:tc>
        <w:tc>
          <w:tcPr>
            <w:tcW w:w="0" w:type="auto"/>
          </w:tcPr>
          <w:p w14:paraId="72AF5FD7" w14:textId="77777777" w:rsidR="00D13545" w:rsidRPr="006A1EC7" w:rsidRDefault="00D13545" w:rsidP="00D13545">
            <w:pPr>
              <w:spacing w:line="276" w:lineRule="auto"/>
              <w:rPr>
                <w:sz w:val="20"/>
                <w:szCs w:val="20"/>
              </w:rPr>
            </w:pPr>
            <w:r w:rsidRPr="006A1EC7">
              <w:rPr>
                <w:sz w:val="20"/>
                <w:szCs w:val="20"/>
              </w:rPr>
              <w:t>1.1.2.4 Vomiting &amp; Reflux</w:t>
            </w:r>
          </w:p>
        </w:tc>
        <w:tc>
          <w:tcPr>
            <w:tcW w:w="0" w:type="auto"/>
          </w:tcPr>
          <w:p w14:paraId="4CFCA248" w14:textId="77777777" w:rsidR="00D13545" w:rsidRPr="006A1EC7" w:rsidRDefault="00D13545" w:rsidP="00D13545">
            <w:pPr>
              <w:spacing w:line="276" w:lineRule="auto"/>
              <w:rPr>
                <w:sz w:val="20"/>
                <w:szCs w:val="20"/>
              </w:rPr>
            </w:pPr>
            <w:r w:rsidRPr="006A1EC7">
              <w:rPr>
                <w:color w:val="000000" w:themeColor="text1"/>
                <w:sz w:val="20"/>
                <w:szCs w:val="20"/>
              </w:rPr>
              <w:t>3A. 3B, 3C, 8, 10</w:t>
            </w:r>
          </w:p>
        </w:tc>
        <w:tc>
          <w:tcPr>
            <w:tcW w:w="0" w:type="auto"/>
          </w:tcPr>
          <w:p w14:paraId="12EA82A5" w14:textId="77777777" w:rsidR="00D13545" w:rsidRPr="006A1EC7" w:rsidRDefault="00D13545" w:rsidP="00D13545">
            <w:pPr>
              <w:spacing w:line="276" w:lineRule="auto"/>
              <w:rPr>
                <w:color w:val="000000" w:themeColor="text1"/>
                <w:sz w:val="20"/>
                <w:szCs w:val="20"/>
              </w:rPr>
            </w:pPr>
            <w:r w:rsidRPr="006A1EC7">
              <w:rPr>
                <w:sz w:val="20"/>
                <w:szCs w:val="20"/>
              </w:rPr>
              <w:t>Semantic</w:t>
            </w:r>
          </w:p>
        </w:tc>
      </w:tr>
      <w:tr w:rsidR="00D13545" w:rsidRPr="006A1EC7" w14:paraId="6A355ADD" w14:textId="77777777" w:rsidTr="00D13545">
        <w:tc>
          <w:tcPr>
            <w:tcW w:w="0" w:type="auto"/>
            <w:vMerge/>
            <w:tcBorders>
              <w:top w:val="nil"/>
            </w:tcBorders>
          </w:tcPr>
          <w:p w14:paraId="00456250" w14:textId="77777777" w:rsidR="00D13545" w:rsidRPr="006A1EC7" w:rsidRDefault="00D13545" w:rsidP="00D13545">
            <w:pPr>
              <w:spacing w:line="276" w:lineRule="auto"/>
              <w:rPr>
                <w:sz w:val="20"/>
                <w:szCs w:val="20"/>
              </w:rPr>
            </w:pPr>
          </w:p>
        </w:tc>
        <w:tc>
          <w:tcPr>
            <w:tcW w:w="0" w:type="auto"/>
          </w:tcPr>
          <w:p w14:paraId="00D95628" w14:textId="77777777" w:rsidR="00D13545" w:rsidRPr="006A1EC7" w:rsidRDefault="00D13545" w:rsidP="00D13545">
            <w:pPr>
              <w:spacing w:line="276" w:lineRule="auto"/>
              <w:rPr>
                <w:sz w:val="20"/>
                <w:szCs w:val="20"/>
              </w:rPr>
            </w:pPr>
          </w:p>
        </w:tc>
        <w:tc>
          <w:tcPr>
            <w:tcW w:w="0" w:type="auto"/>
          </w:tcPr>
          <w:p w14:paraId="2CCAEDC3" w14:textId="77777777" w:rsidR="00D13545" w:rsidRPr="006A1EC7" w:rsidRDefault="00D13545" w:rsidP="00D13545">
            <w:pPr>
              <w:spacing w:line="276" w:lineRule="auto"/>
              <w:rPr>
                <w:sz w:val="20"/>
                <w:szCs w:val="20"/>
              </w:rPr>
            </w:pPr>
            <w:r w:rsidRPr="006A1EC7">
              <w:rPr>
                <w:sz w:val="20"/>
                <w:szCs w:val="20"/>
              </w:rPr>
              <w:t>1.1.2.5 Gallbladder*</w:t>
            </w:r>
          </w:p>
        </w:tc>
        <w:tc>
          <w:tcPr>
            <w:tcW w:w="0" w:type="auto"/>
          </w:tcPr>
          <w:p w14:paraId="001020A8"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9</w:t>
            </w:r>
          </w:p>
        </w:tc>
        <w:tc>
          <w:tcPr>
            <w:tcW w:w="0" w:type="auto"/>
          </w:tcPr>
          <w:p w14:paraId="05C1786B"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429D4F2E" w14:textId="77777777" w:rsidTr="00D13545">
        <w:tc>
          <w:tcPr>
            <w:tcW w:w="0" w:type="auto"/>
            <w:vMerge/>
            <w:tcBorders>
              <w:top w:val="nil"/>
            </w:tcBorders>
          </w:tcPr>
          <w:p w14:paraId="1BEBCE69" w14:textId="77777777" w:rsidR="00D13545" w:rsidRPr="006A1EC7" w:rsidRDefault="00D13545" w:rsidP="00D13545">
            <w:pPr>
              <w:spacing w:line="276" w:lineRule="auto"/>
              <w:rPr>
                <w:sz w:val="20"/>
                <w:szCs w:val="20"/>
              </w:rPr>
            </w:pPr>
          </w:p>
        </w:tc>
        <w:tc>
          <w:tcPr>
            <w:tcW w:w="0" w:type="auto"/>
          </w:tcPr>
          <w:p w14:paraId="405A58A7" w14:textId="77777777" w:rsidR="00D13545" w:rsidRPr="006A1EC7" w:rsidRDefault="00D13545" w:rsidP="00D13545">
            <w:pPr>
              <w:spacing w:line="276" w:lineRule="auto"/>
              <w:rPr>
                <w:sz w:val="20"/>
                <w:szCs w:val="20"/>
              </w:rPr>
            </w:pPr>
          </w:p>
        </w:tc>
        <w:tc>
          <w:tcPr>
            <w:tcW w:w="0" w:type="auto"/>
          </w:tcPr>
          <w:p w14:paraId="6507D595" w14:textId="77777777" w:rsidR="00D13545" w:rsidRPr="006A1EC7" w:rsidRDefault="00D13545" w:rsidP="00D13545">
            <w:pPr>
              <w:spacing w:line="276" w:lineRule="auto"/>
              <w:rPr>
                <w:sz w:val="20"/>
                <w:szCs w:val="20"/>
              </w:rPr>
            </w:pPr>
            <w:r w:rsidRPr="006A1EC7">
              <w:rPr>
                <w:sz w:val="20"/>
                <w:szCs w:val="20"/>
              </w:rPr>
              <w:t>1.1.2.6 Bowel movements</w:t>
            </w:r>
          </w:p>
          <w:p w14:paraId="7899A9F0" w14:textId="77777777" w:rsidR="00D13545" w:rsidRPr="006A1EC7" w:rsidRDefault="00D13545" w:rsidP="00D13545">
            <w:pPr>
              <w:spacing w:line="276" w:lineRule="auto"/>
              <w:rPr>
                <w:sz w:val="20"/>
                <w:szCs w:val="20"/>
              </w:rPr>
            </w:pPr>
          </w:p>
        </w:tc>
        <w:tc>
          <w:tcPr>
            <w:tcW w:w="0" w:type="auto"/>
          </w:tcPr>
          <w:p w14:paraId="3A196335"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1, 2A, 2C, 3B, 3C, 4A, 4B, 5, 6A, 6C, 7, 12A, 10, 9, 8,</w:t>
            </w:r>
          </w:p>
        </w:tc>
        <w:tc>
          <w:tcPr>
            <w:tcW w:w="0" w:type="auto"/>
          </w:tcPr>
          <w:p w14:paraId="7AFFCE61"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08AFAC8C" w14:textId="77777777" w:rsidTr="00D13545">
        <w:trPr>
          <w:trHeight w:val="576"/>
        </w:trPr>
        <w:tc>
          <w:tcPr>
            <w:tcW w:w="0" w:type="auto"/>
            <w:vMerge/>
            <w:tcBorders>
              <w:top w:val="nil"/>
            </w:tcBorders>
          </w:tcPr>
          <w:p w14:paraId="27F37FF0" w14:textId="77777777" w:rsidR="00D13545" w:rsidRPr="006A1EC7" w:rsidRDefault="00D13545" w:rsidP="00D13545">
            <w:pPr>
              <w:spacing w:line="276" w:lineRule="auto"/>
              <w:rPr>
                <w:sz w:val="20"/>
                <w:szCs w:val="20"/>
              </w:rPr>
            </w:pPr>
          </w:p>
        </w:tc>
        <w:tc>
          <w:tcPr>
            <w:tcW w:w="0" w:type="auto"/>
          </w:tcPr>
          <w:p w14:paraId="437FE710" w14:textId="77777777" w:rsidR="00D13545" w:rsidRPr="006A1EC7" w:rsidRDefault="00D13545" w:rsidP="00D13545">
            <w:pPr>
              <w:spacing w:line="276" w:lineRule="auto"/>
              <w:rPr>
                <w:sz w:val="20"/>
                <w:szCs w:val="20"/>
              </w:rPr>
            </w:pPr>
            <w:r w:rsidRPr="006A1EC7">
              <w:rPr>
                <w:sz w:val="20"/>
                <w:szCs w:val="20"/>
              </w:rPr>
              <w:t>1.2.2 Urological aspects</w:t>
            </w:r>
          </w:p>
        </w:tc>
        <w:tc>
          <w:tcPr>
            <w:tcW w:w="0" w:type="auto"/>
          </w:tcPr>
          <w:p w14:paraId="1CD03897" w14:textId="77777777" w:rsidR="00D13545" w:rsidRPr="006A1EC7" w:rsidRDefault="00D13545" w:rsidP="00D13545">
            <w:pPr>
              <w:spacing w:line="276" w:lineRule="auto"/>
              <w:rPr>
                <w:sz w:val="20"/>
                <w:szCs w:val="20"/>
              </w:rPr>
            </w:pPr>
            <w:r w:rsidRPr="006A1EC7">
              <w:rPr>
                <w:sz w:val="20"/>
                <w:szCs w:val="20"/>
              </w:rPr>
              <w:t>1.2.2.1 Incontinence</w:t>
            </w:r>
          </w:p>
          <w:p w14:paraId="7B17C248" w14:textId="77777777" w:rsidR="00D13545" w:rsidRPr="006A1EC7" w:rsidRDefault="00D13545" w:rsidP="00D13545">
            <w:pPr>
              <w:spacing w:line="276" w:lineRule="auto"/>
              <w:rPr>
                <w:sz w:val="20"/>
                <w:szCs w:val="20"/>
              </w:rPr>
            </w:pPr>
          </w:p>
        </w:tc>
        <w:tc>
          <w:tcPr>
            <w:tcW w:w="0" w:type="auto"/>
          </w:tcPr>
          <w:p w14:paraId="598544A8" w14:textId="77777777" w:rsidR="00D13545" w:rsidRPr="006A1EC7" w:rsidRDefault="00D13545" w:rsidP="00D13545">
            <w:pPr>
              <w:spacing w:line="276" w:lineRule="auto"/>
              <w:rPr>
                <w:sz w:val="20"/>
                <w:szCs w:val="20"/>
              </w:rPr>
            </w:pPr>
            <w:r w:rsidRPr="006A1EC7">
              <w:rPr>
                <w:color w:val="000000" w:themeColor="text1"/>
                <w:sz w:val="20"/>
                <w:szCs w:val="20"/>
              </w:rPr>
              <w:t xml:space="preserve">1, 2A, 2C, 3B, 3C, 4A, 4B, 5, 6A, 6C, 7, 12A, </w:t>
            </w:r>
            <w:r w:rsidRPr="006A1EC7">
              <w:rPr>
                <w:sz w:val="20"/>
                <w:szCs w:val="20"/>
              </w:rPr>
              <w:t>8, 9, 10</w:t>
            </w:r>
          </w:p>
        </w:tc>
        <w:tc>
          <w:tcPr>
            <w:tcW w:w="0" w:type="auto"/>
          </w:tcPr>
          <w:p w14:paraId="68A7CEA6" w14:textId="77777777" w:rsidR="00D13545" w:rsidRPr="006A1EC7" w:rsidRDefault="00D13545" w:rsidP="00D13545">
            <w:pPr>
              <w:spacing w:line="276" w:lineRule="auto"/>
              <w:rPr>
                <w:color w:val="000000" w:themeColor="text1"/>
                <w:sz w:val="20"/>
                <w:szCs w:val="20"/>
              </w:rPr>
            </w:pPr>
            <w:r w:rsidRPr="006A1EC7">
              <w:rPr>
                <w:sz w:val="20"/>
                <w:szCs w:val="20"/>
              </w:rPr>
              <w:t>Semantic</w:t>
            </w:r>
          </w:p>
        </w:tc>
      </w:tr>
      <w:tr w:rsidR="00D13545" w:rsidRPr="006A1EC7" w14:paraId="4107A666" w14:textId="77777777" w:rsidTr="00D13545">
        <w:trPr>
          <w:trHeight w:val="670"/>
        </w:trPr>
        <w:tc>
          <w:tcPr>
            <w:tcW w:w="0" w:type="auto"/>
            <w:vMerge/>
            <w:tcBorders>
              <w:top w:val="nil"/>
            </w:tcBorders>
          </w:tcPr>
          <w:p w14:paraId="567B1C19" w14:textId="77777777" w:rsidR="00D13545" w:rsidRPr="006A1EC7" w:rsidRDefault="00D13545" w:rsidP="00D13545">
            <w:pPr>
              <w:spacing w:line="276" w:lineRule="auto"/>
              <w:rPr>
                <w:sz w:val="20"/>
                <w:szCs w:val="20"/>
              </w:rPr>
            </w:pPr>
          </w:p>
        </w:tc>
        <w:tc>
          <w:tcPr>
            <w:tcW w:w="0" w:type="auto"/>
            <w:vMerge w:val="restart"/>
          </w:tcPr>
          <w:p w14:paraId="4BF1CF7C" w14:textId="77777777" w:rsidR="00D13545" w:rsidRPr="006A1EC7" w:rsidRDefault="00D13545" w:rsidP="00D13545">
            <w:pPr>
              <w:spacing w:line="276" w:lineRule="auto"/>
              <w:rPr>
                <w:sz w:val="20"/>
                <w:szCs w:val="20"/>
              </w:rPr>
            </w:pPr>
          </w:p>
        </w:tc>
        <w:tc>
          <w:tcPr>
            <w:tcW w:w="0" w:type="auto"/>
          </w:tcPr>
          <w:p w14:paraId="16B1B12D" w14:textId="77777777" w:rsidR="00D13545" w:rsidRPr="006A1EC7" w:rsidRDefault="00D13545" w:rsidP="00D13545">
            <w:pPr>
              <w:spacing w:line="276" w:lineRule="auto"/>
              <w:rPr>
                <w:sz w:val="20"/>
                <w:szCs w:val="20"/>
              </w:rPr>
            </w:pPr>
            <w:r w:rsidRPr="006A1EC7">
              <w:rPr>
                <w:sz w:val="20"/>
                <w:szCs w:val="20"/>
              </w:rPr>
              <w:t>1.2.2.2 Genitals</w:t>
            </w:r>
          </w:p>
        </w:tc>
        <w:tc>
          <w:tcPr>
            <w:tcW w:w="0" w:type="auto"/>
          </w:tcPr>
          <w:p w14:paraId="39E6B8C1" w14:textId="77777777" w:rsidR="00D13545" w:rsidRPr="006A1EC7" w:rsidRDefault="00D13545" w:rsidP="00D13545">
            <w:pPr>
              <w:spacing w:line="276" w:lineRule="auto"/>
              <w:rPr>
                <w:sz w:val="20"/>
                <w:szCs w:val="20"/>
              </w:rPr>
            </w:pPr>
            <w:r w:rsidRPr="006A1EC7">
              <w:rPr>
                <w:sz w:val="20"/>
                <w:szCs w:val="20"/>
              </w:rPr>
              <w:t>3A, 5, 6A, 8, 12A, 9</w:t>
            </w:r>
          </w:p>
        </w:tc>
        <w:tc>
          <w:tcPr>
            <w:tcW w:w="0" w:type="auto"/>
          </w:tcPr>
          <w:p w14:paraId="634AA0CC"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38211980" w14:textId="77777777" w:rsidTr="00D13545">
        <w:trPr>
          <w:trHeight w:val="561"/>
        </w:trPr>
        <w:tc>
          <w:tcPr>
            <w:tcW w:w="0" w:type="auto"/>
            <w:vMerge/>
            <w:tcBorders>
              <w:top w:val="nil"/>
            </w:tcBorders>
          </w:tcPr>
          <w:p w14:paraId="5D876D4C" w14:textId="77777777" w:rsidR="00D13545" w:rsidRPr="006A1EC7" w:rsidRDefault="00D13545" w:rsidP="00D13545">
            <w:pPr>
              <w:spacing w:line="276" w:lineRule="auto"/>
              <w:rPr>
                <w:sz w:val="20"/>
                <w:szCs w:val="20"/>
              </w:rPr>
            </w:pPr>
          </w:p>
        </w:tc>
        <w:tc>
          <w:tcPr>
            <w:tcW w:w="0" w:type="auto"/>
            <w:vMerge/>
          </w:tcPr>
          <w:p w14:paraId="2F78D912" w14:textId="77777777" w:rsidR="00D13545" w:rsidRPr="006A1EC7" w:rsidRDefault="00D13545" w:rsidP="00D13545">
            <w:pPr>
              <w:spacing w:line="276" w:lineRule="auto"/>
              <w:rPr>
                <w:sz w:val="20"/>
                <w:szCs w:val="20"/>
              </w:rPr>
            </w:pPr>
          </w:p>
        </w:tc>
        <w:tc>
          <w:tcPr>
            <w:tcW w:w="0" w:type="auto"/>
          </w:tcPr>
          <w:p w14:paraId="4A2C66EC" w14:textId="77777777" w:rsidR="00D13545" w:rsidRPr="006A1EC7" w:rsidRDefault="00D13545" w:rsidP="00D13545">
            <w:pPr>
              <w:spacing w:line="276" w:lineRule="auto"/>
              <w:rPr>
                <w:sz w:val="20"/>
                <w:szCs w:val="20"/>
              </w:rPr>
            </w:pPr>
            <w:r w:rsidRPr="006A1EC7">
              <w:rPr>
                <w:sz w:val="20"/>
                <w:szCs w:val="20"/>
              </w:rPr>
              <w:t>1.2.2.3 Kidney malformations</w:t>
            </w:r>
          </w:p>
        </w:tc>
        <w:tc>
          <w:tcPr>
            <w:tcW w:w="0" w:type="auto"/>
          </w:tcPr>
          <w:p w14:paraId="24754E58" w14:textId="77777777" w:rsidR="00D13545" w:rsidRPr="006A1EC7" w:rsidRDefault="00D13545" w:rsidP="00D13545">
            <w:pPr>
              <w:spacing w:line="276" w:lineRule="auto"/>
              <w:rPr>
                <w:sz w:val="20"/>
                <w:szCs w:val="20"/>
              </w:rPr>
            </w:pPr>
            <w:r w:rsidRPr="006A1EC7">
              <w:rPr>
                <w:sz w:val="20"/>
                <w:szCs w:val="20"/>
              </w:rPr>
              <w:t>1,4A, 4B, 6A, 6C, 12A</w:t>
            </w:r>
          </w:p>
        </w:tc>
        <w:tc>
          <w:tcPr>
            <w:tcW w:w="0" w:type="auto"/>
          </w:tcPr>
          <w:p w14:paraId="434B3AF1"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6E1553F5" w14:textId="77777777" w:rsidTr="00D13545">
        <w:trPr>
          <w:trHeight w:val="675"/>
        </w:trPr>
        <w:tc>
          <w:tcPr>
            <w:tcW w:w="0" w:type="auto"/>
            <w:vMerge/>
            <w:tcBorders>
              <w:top w:val="nil"/>
            </w:tcBorders>
          </w:tcPr>
          <w:p w14:paraId="68DC1731" w14:textId="77777777" w:rsidR="00D13545" w:rsidRPr="006A1EC7" w:rsidRDefault="00D13545" w:rsidP="00D13545">
            <w:pPr>
              <w:spacing w:line="276" w:lineRule="auto"/>
              <w:rPr>
                <w:sz w:val="20"/>
                <w:szCs w:val="20"/>
              </w:rPr>
            </w:pPr>
          </w:p>
        </w:tc>
        <w:tc>
          <w:tcPr>
            <w:tcW w:w="0" w:type="auto"/>
          </w:tcPr>
          <w:p w14:paraId="5E72AEE1" w14:textId="77777777" w:rsidR="00D13545" w:rsidRPr="006A1EC7" w:rsidRDefault="00D13545" w:rsidP="00D13545">
            <w:pPr>
              <w:spacing w:line="276" w:lineRule="auto"/>
              <w:rPr>
                <w:sz w:val="20"/>
                <w:szCs w:val="20"/>
              </w:rPr>
            </w:pPr>
          </w:p>
        </w:tc>
        <w:tc>
          <w:tcPr>
            <w:tcW w:w="0" w:type="auto"/>
            <w:shd w:val="clear" w:color="auto" w:fill="auto"/>
          </w:tcPr>
          <w:p w14:paraId="70ABE625" w14:textId="77777777" w:rsidR="00D13545" w:rsidRPr="006A1EC7" w:rsidRDefault="00D13545" w:rsidP="00D13545">
            <w:pPr>
              <w:spacing w:line="276" w:lineRule="auto"/>
              <w:rPr>
                <w:sz w:val="20"/>
                <w:szCs w:val="20"/>
              </w:rPr>
            </w:pPr>
            <w:r w:rsidRPr="006A1EC7">
              <w:rPr>
                <w:sz w:val="20"/>
                <w:szCs w:val="20"/>
              </w:rPr>
              <w:t>1.2.2.4 Urinary tract infections*</w:t>
            </w:r>
          </w:p>
        </w:tc>
        <w:tc>
          <w:tcPr>
            <w:tcW w:w="0" w:type="auto"/>
            <w:shd w:val="clear" w:color="auto" w:fill="auto"/>
          </w:tcPr>
          <w:p w14:paraId="0DA915AD" w14:textId="77777777" w:rsidR="00D13545" w:rsidRPr="006A1EC7" w:rsidRDefault="00D13545" w:rsidP="00D13545">
            <w:pPr>
              <w:spacing w:line="276" w:lineRule="auto"/>
              <w:rPr>
                <w:sz w:val="20"/>
                <w:szCs w:val="20"/>
              </w:rPr>
            </w:pPr>
            <w:r w:rsidRPr="006A1EC7">
              <w:rPr>
                <w:sz w:val="20"/>
                <w:szCs w:val="20"/>
              </w:rPr>
              <w:t xml:space="preserve">9 </w:t>
            </w:r>
            <w:r w:rsidRPr="006A1EC7">
              <w:rPr>
                <w:sz w:val="20"/>
                <w:szCs w:val="20"/>
              </w:rPr>
              <w:br/>
            </w:r>
          </w:p>
        </w:tc>
        <w:tc>
          <w:tcPr>
            <w:tcW w:w="0" w:type="auto"/>
            <w:shd w:val="clear" w:color="auto" w:fill="auto"/>
          </w:tcPr>
          <w:p w14:paraId="2AB1479E"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605F8B8C" w14:textId="77777777" w:rsidTr="00D13545">
        <w:trPr>
          <w:trHeight w:val="1896"/>
        </w:trPr>
        <w:tc>
          <w:tcPr>
            <w:tcW w:w="0" w:type="auto"/>
            <w:shd w:val="clear" w:color="auto" w:fill="4472C4" w:themeFill="accent1"/>
          </w:tcPr>
          <w:p w14:paraId="4342DCDC" w14:textId="77777777" w:rsidR="00D13545" w:rsidRPr="006A1EC7" w:rsidRDefault="00D13545" w:rsidP="00D13545">
            <w:pPr>
              <w:spacing w:line="276" w:lineRule="auto"/>
              <w:rPr>
                <w:sz w:val="20"/>
                <w:szCs w:val="20"/>
              </w:rPr>
            </w:pPr>
            <w:r w:rsidRPr="006A1EC7">
              <w:rPr>
                <w:sz w:val="20"/>
                <w:szCs w:val="20"/>
              </w:rPr>
              <w:t>1.3 Low immunity</w:t>
            </w:r>
          </w:p>
        </w:tc>
        <w:tc>
          <w:tcPr>
            <w:tcW w:w="0" w:type="auto"/>
          </w:tcPr>
          <w:p w14:paraId="771FAB53" w14:textId="77777777" w:rsidR="00D13545" w:rsidRPr="006A1EC7" w:rsidRDefault="00D13545" w:rsidP="00D13545">
            <w:pPr>
              <w:spacing w:line="276" w:lineRule="auto"/>
              <w:rPr>
                <w:sz w:val="20"/>
                <w:szCs w:val="20"/>
              </w:rPr>
            </w:pPr>
          </w:p>
        </w:tc>
        <w:tc>
          <w:tcPr>
            <w:tcW w:w="0" w:type="auto"/>
          </w:tcPr>
          <w:p w14:paraId="14FC9354" w14:textId="77777777" w:rsidR="00D13545" w:rsidRPr="006A1EC7" w:rsidRDefault="00D13545" w:rsidP="00D13545">
            <w:pPr>
              <w:spacing w:line="276" w:lineRule="auto"/>
              <w:rPr>
                <w:sz w:val="20"/>
                <w:szCs w:val="20"/>
              </w:rPr>
            </w:pPr>
          </w:p>
        </w:tc>
        <w:tc>
          <w:tcPr>
            <w:tcW w:w="0" w:type="auto"/>
          </w:tcPr>
          <w:p w14:paraId="38ACC0E0" w14:textId="77777777" w:rsidR="00D13545" w:rsidRPr="006A1EC7" w:rsidRDefault="00D13545" w:rsidP="00D13545">
            <w:pPr>
              <w:spacing w:line="276" w:lineRule="auto"/>
              <w:rPr>
                <w:sz w:val="20"/>
                <w:szCs w:val="20"/>
              </w:rPr>
            </w:pPr>
            <w:r w:rsidRPr="006A1EC7">
              <w:rPr>
                <w:color w:val="000000" w:themeColor="text1"/>
                <w:sz w:val="20"/>
                <w:szCs w:val="20"/>
              </w:rPr>
              <w:t>1, 2A, 2B, 2C, 3A, 3B, 3C, 4A, 4B, 5, 6, 8, 9, 10, 11A, 11B, 11C, 12A, 12B</w:t>
            </w:r>
          </w:p>
        </w:tc>
        <w:tc>
          <w:tcPr>
            <w:tcW w:w="0" w:type="auto"/>
          </w:tcPr>
          <w:p w14:paraId="56703687" w14:textId="77777777" w:rsidR="00D13545" w:rsidRPr="006A1EC7" w:rsidRDefault="00D13545" w:rsidP="00D13545">
            <w:pPr>
              <w:spacing w:line="276" w:lineRule="auto"/>
              <w:rPr>
                <w:color w:val="000000" w:themeColor="text1"/>
                <w:sz w:val="20"/>
                <w:szCs w:val="20"/>
              </w:rPr>
            </w:pPr>
            <w:r w:rsidRPr="006A1EC7">
              <w:rPr>
                <w:sz w:val="20"/>
                <w:szCs w:val="20"/>
              </w:rPr>
              <w:t>Semantic</w:t>
            </w:r>
          </w:p>
          <w:p w14:paraId="29E8BB20" w14:textId="77777777" w:rsidR="00D13545" w:rsidRPr="006A1EC7" w:rsidRDefault="00D13545" w:rsidP="00D13545">
            <w:pPr>
              <w:spacing w:line="276" w:lineRule="auto"/>
              <w:rPr>
                <w:color w:val="000000" w:themeColor="text1"/>
                <w:sz w:val="20"/>
                <w:szCs w:val="20"/>
              </w:rPr>
            </w:pPr>
          </w:p>
        </w:tc>
      </w:tr>
      <w:tr w:rsidR="00D13545" w:rsidRPr="006A1EC7" w14:paraId="7CF6E57C" w14:textId="77777777" w:rsidTr="00D13545">
        <w:trPr>
          <w:trHeight w:val="643"/>
        </w:trPr>
        <w:tc>
          <w:tcPr>
            <w:tcW w:w="0" w:type="auto"/>
            <w:vMerge w:val="restart"/>
            <w:shd w:val="clear" w:color="auto" w:fill="4472C4" w:themeFill="accent1"/>
          </w:tcPr>
          <w:p w14:paraId="4C795A4B" w14:textId="77777777" w:rsidR="00D13545" w:rsidRPr="006A1EC7" w:rsidRDefault="00D13545" w:rsidP="00D13545">
            <w:pPr>
              <w:spacing w:line="276" w:lineRule="auto"/>
              <w:rPr>
                <w:sz w:val="20"/>
                <w:szCs w:val="20"/>
              </w:rPr>
            </w:pPr>
            <w:r w:rsidRPr="006A1EC7">
              <w:rPr>
                <w:sz w:val="20"/>
                <w:szCs w:val="20"/>
              </w:rPr>
              <w:t>1.4 Cardiac and respiratory problems</w:t>
            </w:r>
          </w:p>
        </w:tc>
        <w:tc>
          <w:tcPr>
            <w:tcW w:w="0" w:type="auto"/>
          </w:tcPr>
          <w:p w14:paraId="6689C051" w14:textId="77777777" w:rsidR="00D13545" w:rsidRPr="006A1EC7" w:rsidRDefault="00D13545" w:rsidP="00D13545">
            <w:pPr>
              <w:spacing w:line="276" w:lineRule="auto"/>
              <w:rPr>
                <w:sz w:val="20"/>
                <w:szCs w:val="20"/>
              </w:rPr>
            </w:pPr>
            <w:r w:rsidRPr="006A1EC7">
              <w:rPr>
                <w:sz w:val="20"/>
                <w:szCs w:val="20"/>
              </w:rPr>
              <w:t>1.4.1 Cardiac defects</w:t>
            </w:r>
          </w:p>
        </w:tc>
        <w:tc>
          <w:tcPr>
            <w:tcW w:w="0" w:type="auto"/>
          </w:tcPr>
          <w:p w14:paraId="4DA3D1CB" w14:textId="77777777" w:rsidR="00D13545" w:rsidRPr="006A1EC7" w:rsidRDefault="00D13545" w:rsidP="00D13545">
            <w:pPr>
              <w:spacing w:line="276" w:lineRule="auto"/>
              <w:rPr>
                <w:sz w:val="20"/>
                <w:szCs w:val="20"/>
              </w:rPr>
            </w:pPr>
          </w:p>
        </w:tc>
        <w:tc>
          <w:tcPr>
            <w:tcW w:w="0" w:type="auto"/>
          </w:tcPr>
          <w:p w14:paraId="20B447F1"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10, 11ABC, 3A, 4A, 4B, 10, 3A, 3B, 3C, 5, 8, 9</w:t>
            </w:r>
          </w:p>
        </w:tc>
        <w:tc>
          <w:tcPr>
            <w:tcW w:w="0" w:type="auto"/>
          </w:tcPr>
          <w:p w14:paraId="3F38B14E" w14:textId="77777777" w:rsidR="00D13545" w:rsidRPr="006A1EC7" w:rsidRDefault="00D13545" w:rsidP="00D13545">
            <w:pPr>
              <w:spacing w:line="276" w:lineRule="auto"/>
              <w:rPr>
                <w:color w:val="000000" w:themeColor="text1"/>
                <w:sz w:val="20"/>
                <w:szCs w:val="20"/>
              </w:rPr>
            </w:pPr>
            <w:r w:rsidRPr="006A1EC7">
              <w:rPr>
                <w:sz w:val="20"/>
                <w:szCs w:val="20"/>
              </w:rPr>
              <w:t>Semantic</w:t>
            </w:r>
          </w:p>
        </w:tc>
      </w:tr>
      <w:tr w:rsidR="00D13545" w:rsidRPr="006A1EC7" w14:paraId="703FD082" w14:textId="77777777" w:rsidTr="00D13545">
        <w:trPr>
          <w:trHeight w:val="948"/>
        </w:trPr>
        <w:tc>
          <w:tcPr>
            <w:tcW w:w="0" w:type="auto"/>
            <w:vMerge/>
          </w:tcPr>
          <w:p w14:paraId="26CEB252" w14:textId="77777777" w:rsidR="00D13545" w:rsidRPr="006A1EC7" w:rsidRDefault="00D13545" w:rsidP="00D13545">
            <w:pPr>
              <w:spacing w:line="276" w:lineRule="auto"/>
              <w:rPr>
                <w:sz w:val="20"/>
                <w:szCs w:val="20"/>
              </w:rPr>
            </w:pPr>
          </w:p>
        </w:tc>
        <w:tc>
          <w:tcPr>
            <w:tcW w:w="0" w:type="auto"/>
            <w:vMerge w:val="restart"/>
          </w:tcPr>
          <w:p w14:paraId="629BB965" w14:textId="77777777" w:rsidR="00D13545" w:rsidRPr="006A1EC7" w:rsidRDefault="00D13545" w:rsidP="00D13545">
            <w:pPr>
              <w:spacing w:line="276" w:lineRule="auto"/>
              <w:rPr>
                <w:sz w:val="20"/>
                <w:szCs w:val="20"/>
              </w:rPr>
            </w:pPr>
            <w:r w:rsidRPr="006A1EC7">
              <w:rPr>
                <w:sz w:val="20"/>
                <w:szCs w:val="20"/>
              </w:rPr>
              <w:t>1.4.2 Respiratory system</w:t>
            </w:r>
          </w:p>
        </w:tc>
        <w:tc>
          <w:tcPr>
            <w:tcW w:w="0" w:type="auto"/>
          </w:tcPr>
          <w:p w14:paraId="0B244E15" w14:textId="77777777" w:rsidR="00D13545" w:rsidRPr="006A1EC7" w:rsidRDefault="00D13545" w:rsidP="00D13545">
            <w:pPr>
              <w:spacing w:line="276" w:lineRule="auto"/>
              <w:rPr>
                <w:sz w:val="20"/>
                <w:szCs w:val="20"/>
              </w:rPr>
            </w:pPr>
            <w:r w:rsidRPr="006A1EC7">
              <w:rPr>
                <w:sz w:val="20"/>
                <w:szCs w:val="20"/>
              </w:rPr>
              <w:t>1.4.2.1 Respiratory issues</w:t>
            </w:r>
          </w:p>
        </w:tc>
        <w:tc>
          <w:tcPr>
            <w:tcW w:w="0" w:type="auto"/>
          </w:tcPr>
          <w:p w14:paraId="0AD42ECF" w14:textId="77777777" w:rsidR="00D13545" w:rsidRPr="006A1EC7" w:rsidRDefault="00D13545" w:rsidP="00D13545">
            <w:pPr>
              <w:spacing w:line="276" w:lineRule="auto"/>
              <w:rPr>
                <w:sz w:val="20"/>
                <w:szCs w:val="20"/>
              </w:rPr>
            </w:pPr>
            <w:r w:rsidRPr="006A1EC7">
              <w:rPr>
                <w:color w:val="000000" w:themeColor="text1"/>
                <w:sz w:val="20"/>
                <w:szCs w:val="20"/>
              </w:rPr>
              <w:t>1, 2A, 2B, 2C, 3A, 3B, 3C, 4A, 4B, 5, 6A, 6C, 9, 10, 11A, 12A, 12B</w:t>
            </w:r>
          </w:p>
        </w:tc>
        <w:tc>
          <w:tcPr>
            <w:tcW w:w="0" w:type="auto"/>
          </w:tcPr>
          <w:p w14:paraId="09147100" w14:textId="77777777" w:rsidR="00D13545" w:rsidRPr="006A1EC7" w:rsidRDefault="00D13545" w:rsidP="00D13545">
            <w:pPr>
              <w:spacing w:line="276" w:lineRule="auto"/>
              <w:rPr>
                <w:color w:val="000000" w:themeColor="text1"/>
                <w:sz w:val="20"/>
                <w:szCs w:val="20"/>
              </w:rPr>
            </w:pPr>
            <w:r w:rsidRPr="006A1EC7">
              <w:rPr>
                <w:sz w:val="20"/>
                <w:szCs w:val="20"/>
              </w:rPr>
              <w:t>Semantic</w:t>
            </w:r>
          </w:p>
        </w:tc>
      </w:tr>
      <w:tr w:rsidR="00D13545" w:rsidRPr="006A1EC7" w14:paraId="092D7516" w14:textId="77777777" w:rsidTr="00D13545">
        <w:trPr>
          <w:trHeight w:val="678"/>
        </w:trPr>
        <w:tc>
          <w:tcPr>
            <w:tcW w:w="0" w:type="auto"/>
            <w:vMerge/>
          </w:tcPr>
          <w:p w14:paraId="5B2EFE51" w14:textId="77777777" w:rsidR="00D13545" w:rsidRPr="006A1EC7" w:rsidRDefault="00D13545" w:rsidP="00D13545">
            <w:pPr>
              <w:spacing w:line="276" w:lineRule="auto"/>
              <w:rPr>
                <w:sz w:val="20"/>
                <w:szCs w:val="20"/>
              </w:rPr>
            </w:pPr>
          </w:p>
        </w:tc>
        <w:tc>
          <w:tcPr>
            <w:tcW w:w="0" w:type="auto"/>
            <w:vMerge/>
          </w:tcPr>
          <w:p w14:paraId="34DF4344" w14:textId="77777777" w:rsidR="00D13545" w:rsidRPr="006A1EC7" w:rsidRDefault="00D13545" w:rsidP="00D13545">
            <w:pPr>
              <w:spacing w:line="276" w:lineRule="auto"/>
              <w:rPr>
                <w:sz w:val="20"/>
                <w:szCs w:val="20"/>
              </w:rPr>
            </w:pPr>
          </w:p>
        </w:tc>
        <w:tc>
          <w:tcPr>
            <w:tcW w:w="0" w:type="auto"/>
          </w:tcPr>
          <w:p w14:paraId="7424595F" w14:textId="77777777" w:rsidR="00D13545" w:rsidRPr="006A1EC7" w:rsidRDefault="00D13545" w:rsidP="00D13545">
            <w:pPr>
              <w:spacing w:line="276" w:lineRule="auto"/>
              <w:rPr>
                <w:sz w:val="20"/>
                <w:szCs w:val="20"/>
              </w:rPr>
            </w:pPr>
            <w:r w:rsidRPr="006A1EC7">
              <w:rPr>
                <w:sz w:val="20"/>
                <w:szCs w:val="20"/>
              </w:rPr>
              <w:t>1.4.2.2 Medical intervention</w:t>
            </w:r>
          </w:p>
        </w:tc>
        <w:tc>
          <w:tcPr>
            <w:tcW w:w="0" w:type="auto"/>
          </w:tcPr>
          <w:p w14:paraId="31859144"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2A, 6A, 10, 12A, 12B, 10</w:t>
            </w:r>
          </w:p>
        </w:tc>
        <w:tc>
          <w:tcPr>
            <w:tcW w:w="0" w:type="auto"/>
          </w:tcPr>
          <w:p w14:paraId="6C22AC00" w14:textId="77777777" w:rsidR="00D13545" w:rsidRPr="006A1EC7" w:rsidRDefault="00D13545" w:rsidP="00D13545">
            <w:pPr>
              <w:spacing w:line="276" w:lineRule="auto"/>
              <w:rPr>
                <w:color w:val="000000" w:themeColor="text1"/>
                <w:sz w:val="20"/>
                <w:szCs w:val="20"/>
              </w:rPr>
            </w:pPr>
            <w:r w:rsidRPr="006A1EC7">
              <w:rPr>
                <w:sz w:val="20"/>
                <w:szCs w:val="20"/>
              </w:rPr>
              <w:t>Semantic</w:t>
            </w:r>
          </w:p>
        </w:tc>
      </w:tr>
      <w:tr w:rsidR="00D13545" w:rsidRPr="006A1EC7" w14:paraId="507F1AB9" w14:textId="77777777" w:rsidTr="00D13545">
        <w:trPr>
          <w:trHeight w:val="344"/>
        </w:trPr>
        <w:tc>
          <w:tcPr>
            <w:tcW w:w="0" w:type="auto"/>
            <w:vMerge w:val="restart"/>
            <w:shd w:val="clear" w:color="auto" w:fill="4472C4" w:themeFill="accent1"/>
          </w:tcPr>
          <w:p w14:paraId="2FF194DA" w14:textId="77777777" w:rsidR="00D13545" w:rsidRPr="006A1EC7" w:rsidRDefault="00D13545" w:rsidP="00D13545">
            <w:pPr>
              <w:spacing w:line="276" w:lineRule="auto"/>
              <w:rPr>
                <w:sz w:val="20"/>
                <w:szCs w:val="20"/>
              </w:rPr>
            </w:pPr>
            <w:r w:rsidRPr="006A1EC7">
              <w:rPr>
                <w:sz w:val="20"/>
                <w:szCs w:val="20"/>
              </w:rPr>
              <w:t>1.5 Central Nervous System</w:t>
            </w:r>
          </w:p>
        </w:tc>
        <w:tc>
          <w:tcPr>
            <w:tcW w:w="0" w:type="auto"/>
          </w:tcPr>
          <w:p w14:paraId="61E82A16" w14:textId="77777777" w:rsidR="00D13545" w:rsidRPr="006A1EC7" w:rsidRDefault="00D13545" w:rsidP="00D13545">
            <w:pPr>
              <w:spacing w:line="276" w:lineRule="auto"/>
              <w:rPr>
                <w:sz w:val="20"/>
                <w:szCs w:val="20"/>
              </w:rPr>
            </w:pPr>
            <w:r w:rsidRPr="006A1EC7">
              <w:rPr>
                <w:sz w:val="20"/>
                <w:szCs w:val="20"/>
              </w:rPr>
              <w:t>1.5.1 Brain</w:t>
            </w:r>
          </w:p>
        </w:tc>
        <w:tc>
          <w:tcPr>
            <w:tcW w:w="0" w:type="auto"/>
          </w:tcPr>
          <w:p w14:paraId="22A3855B" w14:textId="77777777" w:rsidR="00D13545" w:rsidRPr="006A1EC7" w:rsidRDefault="00D13545" w:rsidP="00D13545">
            <w:pPr>
              <w:spacing w:line="276" w:lineRule="auto"/>
              <w:rPr>
                <w:sz w:val="20"/>
                <w:szCs w:val="20"/>
              </w:rPr>
            </w:pPr>
          </w:p>
        </w:tc>
        <w:tc>
          <w:tcPr>
            <w:tcW w:w="0" w:type="auto"/>
          </w:tcPr>
          <w:p w14:paraId="763FB518" w14:textId="77777777" w:rsidR="00D13545" w:rsidRPr="006A1EC7" w:rsidRDefault="00D13545" w:rsidP="00D13545">
            <w:pPr>
              <w:spacing w:line="276" w:lineRule="auto"/>
              <w:rPr>
                <w:sz w:val="20"/>
                <w:szCs w:val="20"/>
              </w:rPr>
            </w:pPr>
            <w:r w:rsidRPr="006A1EC7">
              <w:rPr>
                <w:sz w:val="20"/>
                <w:szCs w:val="20"/>
              </w:rPr>
              <w:t>12A, 4B</w:t>
            </w:r>
          </w:p>
        </w:tc>
        <w:tc>
          <w:tcPr>
            <w:tcW w:w="0" w:type="auto"/>
          </w:tcPr>
          <w:p w14:paraId="05134D0A"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0BD5D305" w14:textId="77777777" w:rsidTr="00D13545">
        <w:trPr>
          <w:trHeight w:val="390"/>
        </w:trPr>
        <w:tc>
          <w:tcPr>
            <w:tcW w:w="0" w:type="auto"/>
            <w:vMerge/>
            <w:shd w:val="clear" w:color="auto" w:fill="4472C4" w:themeFill="accent1"/>
          </w:tcPr>
          <w:p w14:paraId="37311DD9" w14:textId="77777777" w:rsidR="00D13545" w:rsidRPr="006A1EC7" w:rsidRDefault="00D13545" w:rsidP="00D13545">
            <w:pPr>
              <w:spacing w:line="276" w:lineRule="auto"/>
              <w:rPr>
                <w:sz w:val="20"/>
                <w:szCs w:val="20"/>
              </w:rPr>
            </w:pPr>
          </w:p>
        </w:tc>
        <w:tc>
          <w:tcPr>
            <w:tcW w:w="0" w:type="auto"/>
          </w:tcPr>
          <w:p w14:paraId="7252E439" w14:textId="77777777" w:rsidR="00D13545" w:rsidRPr="006A1EC7" w:rsidRDefault="00D13545" w:rsidP="00D13545">
            <w:pPr>
              <w:spacing w:line="276" w:lineRule="auto"/>
              <w:rPr>
                <w:sz w:val="20"/>
                <w:szCs w:val="20"/>
              </w:rPr>
            </w:pPr>
            <w:r w:rsidRPr="006A1EC7">
              <w:rPr>
                <w:sz w:val="20"/>
                <w:szCs w:val="20"/>
              </w:rPr>
              <w:t>1.5.2 Eyes &amp; sight</w:t>
            </w:r>
          </w:p>
        </w:tc>
        <w:tc>
          <w:tcPr>
            <w:tcW w:w="0" w:type="auto"/>
          </w:tcPr>
          <w:p w14:paraId="710A491A" w14:textId="77777777" w:rsidR="00D13545" w:rsidRPr="006A1EC7" w:rsidRDefault="00D13545" w:rsidP="00D13545">
            <w:pPr>
              <w:spacing w:line="276" w:lineRule="auto"/>
              <w:rPr>
                <w:sz w:val="20"/>
                <w:szCs w:val="20"/>
              </w:rPr>
            </w:pPr>
          </w:p>
        </w:tc>
        <w:tc>
          <w:tcPr>
            <w:tcW w:w="0" w:type="auto"/>
          </w:tcPr>
          <w:p w14:paraId="32A367F4" w14:textId="77777777" w:rsidR="00D13545" w:rsidRPr="006A1EC7" w:rsidRDefault="00D13545" w:rsidP="00D13545">
            <w:pPr>
              <w:spacing w:line="276" w:lineRule="auto"/>
              <w:rPr>
                <w:sz w:val="20"/>
                <w:szCs w:val="20"/>
              </w:rPr>
            </w:pPr>
            <w:r w:rsidRPr="006A1EC7">
              <w:rPr>
                <w:color w:val="000000" w:themeColor="text1"/>
                <w:sz w:val="20"/>
                <w:szCs w:val="20"/>
              </w:rPr>
              <w:t>1, 2A, 2B, 2C, 3B, 4B, 5, 6A, 6C, 7, 8, 9, 10, 11A, 11B, 11C, 12A, 12B</w:t>
            </w:r>
          </w:p>
        </w:tc>
        <w:tc>
          <w:tcPr>
            <w:tcW w:w="0" w:type="auto"/>
          </w:tcPr>
          <w:p w14:paraId="41D7B8B5" w14:textId="77777777" w:rsidR="00D13545" w:rsidRPr="006A1EC7" w:rsidRDefault="00D13545" w:rsidP="00D13545">
            <w:pPr>
              <w:spacing w:line="276" w:lineRule="auto"/>
              <w:rPr>
                <w:color w:val="000000" w:themeColor="text1"/>
                <w:sz w:val="20"/>
                <w:szCs w:val="20"/>
              </w:rPr>
            </w:pPr>
            <w:r w:rsidRPr="006A1EC7">
              <w:rPr>
                <w:sz w:val="20"/>
                <w:szCs w:val="20"/>
              </w:rPr>
              <w:t>Semantic</w:t>
            </w:r>
          </w:p>
        </w:tc>
      </w:tr>
      <w:tr w:rsidR="00D13545" w:rsidRPr="006A1EC7" w14:paraId="34824306" w14:textId="77777777" w:rsidTr="00D13545">
        <w:trPr>
          <w:trHeight w:val="356"/>
        </w:trPr>
        <w:tc>
          <w:tcPr>
            <w:tcW w:w="0" w:type="auto"/>
            <w:vMerge/>
            <w:shd w:val="clear" w:color="auto" w:fill="4472C4" w:themeFill="accent1"/>
          </w:tcPr>
          <w:p w14:paraId="250D236F" w14:textId="77777777" w:rsidR="00D13545" w:rsidRPr="006A1EC7" w:rsidRDefault="00D13545" w:rsidP="00D13545">
            <w:pPr>
              <w:spacing w:line="276" w:lineRule="auto"/>
              <w:rPr>
                <w:sz w:val="20"/>
                <w:szCs w:val="20"/>
              </w:rPr>
            </w:pPr>
          </w:p>
        </w:tc>
        <w:tc>
          <w:tcPr>
            <w:tcW w:w="0" w:type="auto"/>
          </w:tcPr>
          <w:p w14:paraId="04153125" w14:textId="77777777" w:rsidR="00D13545" w:rsidRPr="006A1EC7" w:rsidRDefault="00D13545" w:rsidP="00D13545">
            <w:pPr>
              <w:spacing w:line="276" w:lineRule="auto"/>
              <w:rPr>
                <w:sz w:val="20"/>
                <w:szCs w:val="20"/>
              </w:rPr>
            </w:pPr>
            <w:r w:rsidRPr="006A1EC7">
              <w:rPr>
                <w:sz w:val="20"/>
                <w:szCs w:val="20"/>
              </w:rPr>
              <w:t>1.5.3 ENT</w:t>
            </w:r>
          </w:p>
        </w:tc>
        <w:tc>
          <w:tcPr>
            <w:tcW w:w="0" w:type="auto"/>
          </w:tcPr>
          <w:p w14:paraId="3C0B076C" w14:textId="77777777" w:rsidR="00D13545" w:rsidRPr="006A1EC7" w:rsidRDefault="00D13545" w:rsidP="00D13545">
            <w:pPr>
              <w:spacing w:line="276" w:lineRule="auto"/>
              <w:rPr>
                <w:sz w:val="20"/>
                <w:szCs w:val="20"/>
              </w:rPr>
            </w:pPr>
            <w:r w:rsidRPr="006A1EC7">
              <w:rPr>
                <w:sz w:val="20"/>
                <w:szCs w:val="20"/>
              </w:rPr>
              <w:t>1.5.3.1 Hearing &amp; hearing assessments</w:t>
            </w:r>
          </w:p>
        </w:tc>
        <w:tc>
          <w:tcPr>
            <w:tcW w:w="0" w:type="auto"/>
          </w:tcPr>
          <w:p w14:paraId="0E288FCE" w14:textId="77777777" w:rsidR="00D13545" w:rsidRPr="006A1EC7" w:rsidRDefault="00D13545" w:rsidP="00D13545">
            <w:pPr>
              <w:spacing w:line="276" w:lineRule="auto"/>
              <w:rPr>
                <w:sz w:val="20"/>
                <w:szCs w:val="20"/>
              </w:rPr>
            </w:pPr>
            <w:r w:rsidRPr="006A1EC7">
              <w:rPr>
                <w:sz w:val="20"/>
                <w:szCs w:val="20"/>
              </w:rPr>
              <w:t xml:space="preserve">12A, 9, </w:t>
            </w:r>
            <w:r w:rsidRPr="006A1EC7">
              <w:rPr>
                <w:color w:val="000000" w:themeColor="text1"/>
                <w:sz w:val="20"/>
                <w:szCs w:val="20"/>
              </w:rPr>
              <w:t>1, 2C, 3A, 3C, 4B, 10</w:t>
            </w:r>
          </w:p>
        </w:tc>
        <w:tc>
          <w:tcPr>
            <w:tcW w:w="0" w:type="auto"/>
          </w:tcPr>
          <w:p w14:paraId="452195F2"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59FA62DA" w14:textId="77777777" w:rsidTr="00D13545">
        <w:trPr>
          <w:trHeight w:val="356"/>
        </w:trPr>
        <w:tc>
          <w:tcPr>
            <w:tcW w:w="0" w:type="auto"/>
            <w:vMerge/>
          </w:tcPr>
          <w:p w14:paraId="04521C6B" w14:textId="77777777" w:rsidR="00D13545" w:rsidRPr="006A1EC7" w:rsidRDefault="00D13545" w:rsidP="00D13545">
            <w:pPr>
              <w:spacing w:line="276" w:lineRule="auto"/>
              <w:rPr>
                <w:sz w:val="20"/>
                <w:szCs w:val="20"/>
              </w:rPr>
            </w:pPr>
          </w:p>
        </w:tc>
        <w:tc>
          <w:tcPr>
            <w:tcW w:w="0" w:type="auto"/>
          </w:tcPr>
          <w:p w14:paraId="5D18E32D" w14:textId="77777777" w:rsidR="00D13545" w:rsidRPr="006A1EC7" w:rsidRDefault="00D13545" w:rsidP="00D13545">
            <w:pPr>
              <w:spacing w:line="276" w:lineRule="auto"/>
              <w:rPr>
                <w:sz w:val="20"/>
                <w:szCs w:val="20"/>
              </w:rPr>
            </w:pPr>
          </w:p>
        </w:tc>
        <w:tc>
          <w:tcPr>
            <w:tcW w:w="0" w:type="auto"/>
          </w:tcPr>
          <w:p w14:paraId="1ED018EE" w14:textId="77777777" w:rsidR="00D13545" w:rsidRPr="006A1EC7" w:rsidRDefault="00D13545" w:rsidP="00D13545">
            <w:pPr>
              <w:spacing w:line="276" w:lineRule="auto"/>
              <w:rPr>
                <w:sz w:val="20"/>
                <w:szCs w:val="20"/>
              </w:rPr>
            </w:pPr>
            <w:r w:rsidRPr="006A1EC7">
              <w:rPr>
                <w:sz w:val="20"/>
                <w:szCs w:val="20"/>
              </w:rPr>
              <w:t>1.5.3.2 Ear infections</w:t>
            </w:r>
          </w:p>
          <w:p w14:paraId="3059254C" w14:textId="77777777" w:rsidR="00D13545" w:rsidRPr="006A1EC7" w:rsidRDefault="00D13545" w:rsidP="00D13545">
            <w:pPr>
              <w:spacing w:line="276" w:lineRule="auto"/>
              <w:rPr>
                <w:sz w:val="20"/>
                <w:szCs w:val="20"/>
              </w:rPr>
            </w:pPr>
          </w:p>
        </w:tc>
        <w:tc>
          <w:tcPr>
            <w:tcW w:w="0" w:type="auto"/>
          </w:tcPr>
          <w:p w14:paraId="66F8AF58" w14:textId="77777777" w:rsidR="00D13545" w:rsidRPr="006A1EC7" w:rsidRDefault="00D13545" w:rsidP="00D13545">
            <w:pPr>
              <w:spacing w:line="276" w:lineRule="auto"/>
              <w:rPr>
                <w:sz w:val="20"/>
                <w:szCs w:val="20"/>
              </w:rPr>
            </w:pPr>
            <w:r w:rsidRPr="006A1EC7">
              <w:rPr>
                <w:sz w:val="20"/>
                <w:szCs w:val="20"/>
              </w:rPr>
              <w:t xml:space="preserve"> 1, 2A, 2B, 2C, 3A, 3C, 4A, 4B, 10</w:t>
            </w:r>
          </w:p>
        </w:tc>
        <w:tc>
          <w:tcPr>
            <w:tcW w:w="0" w:type="auto"/>
          </w:tcPr>
          <w:p w14:paraId="6D6BC1E5"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035D8B3C" w14:textId="77777777" w:rsidTr="00D13545">
        <w:trPr>
          <w:trHeight w:val="273"/>
        </w:trPr>
        <w:tc>
          <w:tcPr>
            <w:tcW w:w="0" w:type="auto"/>
            <w:vMerge w:val="restart"/>
            <w:shd w:val="clear" w:color="auto" w:fill="4472C4" w:themeFill="accent1"/>
          </w:tcPr>
          <w:p w14:paraId="75AF3E5A" w14:textId="77777777" w:rsidR="00D13545" w:rsidRPr="006A1EC7" w:rsidRDefault="00D13545" w:rsidP="00D13545">
            <w:pPr>
              <w:spacing w:line="276" w:lineRule="auto"/>
              <w:rPr>
                <w:sz w:val="20"/>
                <w:szCs w:val="20"/>
              </w:rPr>
            </w:pPr>
            <w:r w:rsidRPr="006A1EC7">
              <w:rPr>
                <w:sz w:val="20"/>
                <w:szCs w:val="20"/>
              </w:rPr>
              <w:t>1.6 Cognitive-behavioural aspects</w:t>
            </w:r>
          </w:p>
        </w:tc>
        <w:tc>
          <w:tcPr>
            <w:tcW w:w="0" w:type="auto"/>
          </w:tcPr>
          <w:p w14:paraId="5EF7F7E2" w14:textId="77777777" w:rsidR="00D13545" w:rsidRPr="006A1EC7" w:rsidRDefault="00D13545" w:rsidP="00D13545">
            <w:pPr>
              <w:spacing w:line="276" w:lineRule="auto"/>
              <w:rPr>
                <w:sz w:val="20"/>
                <w:szCs w:val="20"/>
              </w:rPr>
            </w:pPr>
            <w:r w:rsidRPr="006A1EC7">
              <w:rPr>
                <w:sz w:val="20"/>
                <w:szCs w:val="20"/>
              </w:rPr>
              <w:t>1.6.1 Learning disability, Communication and language</w:t>
            </w:r>
          </w:p>
        </w:tc>
        <w:tc>
          <w:tcPr>
            <w:tcW w:w="0" w:type="auto"/>
          </w:tcPr>
          <w:p w14:paraId="69ED763C" w14:textId="77777777" w:rsidR="00D13545" w:rsidRPr="006A1EC7" w:rsidRDefault="00D13545" w:rsidP="00D13545">
            <w:pPr>
              <w:spacing w:line="276" w:lineRule="auto"/>
              <w:rPr>
                <w:sz w:val="20"/>
                <w:szCs w:val="20"/>
              </w:rPr>
            </w:pPr>
          </w:p>
        </w:tc>
        <w:tc>
          <w:tcPr>
            <w:tcW w:w="0" w:type="auto"/>
          </w:tcPr>
          <w:p w14:paraId="55DDD388" w14:textId="77777777" w:rsidR="00D13545" w:rsidRPr="006A1EC7" w:rsidRDefault="00D13545" w:rsidP="00D13545">
            <w:pPr>
              <w:spacing w:line="276" w:lineRule="auto"/>
              <w:rPr>
                <w:sz w:val="20"/>
                <w:szCs w:val="20"/>
              </w:rPr>
            </w:pPr>
            <w:r w:rsidRPr="006A1EC7">
              <w:rPr>
                <w:color w:val="000000" w:themeColor="text1"/>
                <w:sz w:val="20"/>
                <w:szCs w:val="20"/>
              </w:rPr>
              <w:t>1, 2A, 2B, 2C, 3A, 3B, 3C, 4A,4B, 5, 6, 7, 8, 9, 10, 11A, 11B, 11C, 12A, 12B</w:t>
            </w:r>
          </w:p>
        </w:tc>
        <w:tc>
          <w:tcPr>
            <w:tcW w:w="0" w:type="auto"/>
          </w:tcPr>
          <w:p w14:paraId="3A08EC49"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760D7EF4" w14:textId="77777777" w:rsidTr="00D13545">
        <w:trPr>
          <w:trHeight w:val="1181"/>
        </w:trPr>
        <w:tc>
          <w:tcPr>
            <w:tcW w:w="0" w:type="auto"/>
            <w:vMerge/>
          </w:tcPr>
          <w:p w14:paraId="36B320B0" w14:textId="77777777" w:rsidR="00D13545" w:rsidRPr="006A1EC7" w:rsidRDefault="00D13545" w:rsidP="00D13545">
            <w:pPr>
              <w:spacing w:line="276" w:lineRule="auto"/>
              <w:rPr>
                <w:sz w:val="20"/>
                <w:szCs w:val="20"/>
              </w:rPr>
            </w:pPr>
          </w:p>
        </w:tc>
        <w:tc>
          <w:tcPr>
            <w:tcW w:w="0" w:type="auto"/>
          </w:tcPr>
          <w:p w14:paraId="10F9DA01" w14:textId="77777777" w:rsidR="00D13545" w:rsidRPr="006A1EC7" w:rsidRDefault="00D13545" w:rsidP="00D13545">
            <w:pPr>
              <w:spacing w:line="276" w:lineRule="auto"/>
              <w:rPr>
                <w:sz w:val="20"/>
                <w:szCs w:val="20"/>
              </w:rPr>
            </w:pPr>
            <w:r w:rsidRPr="006A1EC7">
              <w:rPr>
                <w:sz w:val="20"/>
                <w:szCs w:val="20"/>
              </w:rPr>
              <w:t>1.6.2 Danger awareness &amp; safety</w:t>
            </w:r>
          </w:p>
        </w:tc>
        <w:tc>
          <w:tcPr>
            <w:tcW w:w="0" w:type="auto"/>
          </w:tcPr>
          <w:p w14:paraId="5C2D1893" w14:textId="77777777" w:rsidR="00D13545" w:rsidRPr="006A1EC7" w:rsidRDefault="00D13545" w:rsidP="00D13545">
            <w:pPr>
              <w:spacing w:line="276" w:lineRule="auto"/>
              <w:rPr>
                <w:sz w:val="20"/>
                <w:szCs w:val="20"/>
              </w:rPr>
            </w:pPr>
          </w:p>
        </w:tc>
        <w:tc>
          <w:tcPr>
            <w:tcW w:w="0" w:type="auto"/>
          </w:tcPr>
          <w:p w14:paraId="4914B2CB"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1, 2C, 11B, 11C, 7</w:t>
            </w:r>
          </w:p>
          <w:p w14:paraId="3A1BE519" w14:textId="77777777" w:rsidR="00D13545" w:rsidRPr="006A1EC7" w:rsidRDefault="00D13545" w:rsidP="00D13545">
            <w:pPr>
              <w:spacing w:line="276" w:lineRule="auto"/>
              <w:rPr>
                <w:sz w:val="20"/>
                <w:szCs w:val="20"/>
              </w:rPr>
            </w:pPr>
          </w:p>
        </w:tc>
        <w:tc>
          <w:tcPr>
            <w:tcW w:w="0" w:type="auto"/>
          </w:tcPr>
          <w:p w14:paraId="5B30B145" w14:textId="77777777" w:rsidR="00D13545" w:rsidRPr="006A1EC7" w:rsidRDefault="00D13545" w:rsidP="00D13545">
            <w:pPr>
              <w:spacing w:line="276" w:lineRule="auto"/>
              <w:rPr>
                <w:sz w:val="20"/>
                <w:szCs w:val="20"/>
              </w:rPr>
            </w:pPr>
            <w:r w:rsidRPr="006A1EC7">
              <w:rPr>
                <w:sz w:val="20"/>
                <w:szCs w:val="20"/>
              </w:rPr>
              <w:t>Semantic/latent</w:t>
            </w:r>
          </w:p>
        </w:tc>
      </w:tr>
      <w:tr w:rsidR="00D13545" w:rsidRPr="006A1EC7" w14:paraId="1FAE272A" w14:textId="77777777" w:rsidTr="00D13545">
        <w:trPr>
          <w:trHeight w:val="8"/>
        </w:trPr>
        <w:tc>
          <w:tcPr>
            <w:tcW w:w="0" w:type="auto"/>
            <w:vMerge/>
          </w:tcPr>
          <w:p w14:paraId="7ECC3D24" w14:textId="77777777" w:rsidR="00D13545" w:rsidRPr="006A1EC7" w:rsidRDefault="00D13545" w:rsidP="00D13545">
            <w:pPr>
              <w:spacing w:line="276" w:lineRule="auto"/>
              <w:rPr>
                <w:sz w:val="20"/>
                <w:szCs w:val="20"/>
              </w:rPr>
            </w:pPr>
          </w:p>
        </w:tc>
        <w:tc>
          <w:tcPr>
            <w:tcW w:w="0" w:type="auto"/>
          </w:tcPr>
          <w:p w14:paraId="7C527A7F" w14:textId="77777777" w:rsidR="00D13545" w:rsidRPr="006A1EC7" w:rsidRDefault="00D13545" w:rsidP="00D13545">
            <w:pPr>
              <w:spacing w:line="276" w:lineRule="auto"/>
              <w:rPr>
                <w:sz w:val="20"/>
                <w:szCs w:val="20"/>
              </w:rPr>
            </w:pPr>
            <w:r w:rsidRPr="006A1EC7">
              <w:rPr>
                <w:sz w:val="20"/>
                <w:szCs w:val="20"/>
              </w:rPr>
              <w:t>1.6.3 Musical affinity</w:t>
            </w:r>
          </w:p>
        </w:tc>
        <w:tc>
          <w:tcPr>
            <w:tcW w:w="0" w:type="auto"/>
          </w:tcPr>
          <w:p w14:paraId="0332540D" w14:textId="77777777" w:rsidR="00D13545" w:rsidRPr="006A1EC7" w:rsidRDefault="00D13545" w:rsidP="00D13545">
            <w:pPr>
              <w:spacing w:line="276" w:lineRule="auto"/>
              <w:rPr>
                <w:sz w:val="20"/>
                <w:szCs w:val="20"/>
              </w:rPr>
            </w:pPr>
          </w:p>
        </w:tc>
        <w:tc>
          <w:tcPr>
            <w:tcW w:w="0" w:type="auto"/>
          </w:tcPr>
          <w:p w14:paraId="3CCF1837" w14:textId="77777777" w:rsidR="00D13545" w:rsidRPr="006A1EC7" w:rsidRDefault="00D13545" w:rsidP="00D13545">
            <w:pPr>
              <w:spacing w:line="276" w:lineRule="auto"/>
              <w:rPr>
                <w:sz w:val="20"/>
                <w:szCs w:val="20"/>
              </w:rPr>
            </w:pPr>
            <w:r w:rsidRPr="006A1EC7">
              <w:rPr>
                <w:sz w:val="20"/>
                <w:szCs w:val="20"/>
              </w:rPr>
              <w:t xml:space="preserve">5, 6A, 6C, 12A, 3A, 3B, 2A, </w:t>
            </w:r>
          </w:p>
        </w:tc>
        <w:tc>
          <w:tcPr>
            <w:tcW w:w="0" w:type="auto"/>
          </w:tcPr>
          <w:p w14:paraId="6FE0D73D"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1A0E0DD9" w14:textId="77777777" w:rsidTr="00D13545">
        <w:trPr>
          <w:trHeight w:val="8"/>
        </w:trPr>
        <w:tc>
          <w:tcPr>
            <w:tcW w:w="0" w:type="auto"/>
            <w:vMerge/>
          </w:tcPr>
          <w:p w14:paraId="77212E3A" w14:textId="77777777" w:rsidR="00D13545" w:rsidRPr="006A1EC7" w:rsidRDefault="00D13545" w:rsidP="00D13545">
            <w:pPr>
              <w:spacing w:line="276" w:lineRule="auto"/>
              <w:rPr>
                <w:sz w:val="20"/>
                <w:szCs w:val="20"/>
              </w:rPr>
            </w:pPr>
          </w:p>
        </w:tc>
        <w:tc>
          <w:tcPr>
            <w:tcW w:w="0" w:type="auto"/>
          </w:tcPr>
          <w:p w14:paraId="4EF75B35" w14:textId="77777777" w:rsidR="00D13545" w:rsidRPr="006A1EC7" w:rsidRDefault="00D13545" w:rsidP="00D13545">
            <w:pPr>
              <w:spacing w:line="276" w:lineRule="auto"/>
              <w:rPr>
                <w:sz w:val="20"/>
                <w:szCs w:val="20"/>
              </w:rPr>
            </w:pPr>
            <w:r w:rsidRPr="006A1EC7">
              <w:rPr>
                <w:sz w:val="20"/>
                <w:szCs w:val="20"/>
              </w:rPr>
              <w:t>1.6.4 Challenging behaviour</w:t>
            </w:r>
          </w:p>
        </w:tc>
        <w:tc>
          <w:tcPr>
            <w:tcW w:w="0" w:type="auto"/>
          </w:tcPr>
          <w:p w14:paraId="0272EF14" w14:textId="77777777" w:rsidR="00D13545" w:rsidRPr="006A1EC7" w:rsidRDefault="00D13545" w:rsidP="00D13545">
            <w:pPr>
              <w:spacing w:line="276" w:lineRule="auto"/>
              <w:rPr>
                <w:sz w:val="20"/>
                <w:szCs w:val="20"/>
              </w:rPr>
            </w:pPr>
          </w:p>
        </w:tc>
        <w:tc>
          <w:tcPr>
            <w:tcW w:w="0" w:type="auto"/>
          </w:tcPr>
          <w:p w14:paraId="0E4A782F" w14:textId="77777777" w:rsidR="00D13545" w:rsidRPr="006A1EC7" w:rsidRDefault="00D13545" w:rsidP="00D13545">
            <w:pPr>
              <w:spacing w:line="276" w:lineRule="auto"/>
              <w:rPr>
                <w:sz w:val="20"/>
                <w:szCs w:val="20"/>
              </w:rPr>
            </w:pPr>
            <w:r w:rsidRPr="006A1EC7">
              <w:rPr>
                <w:color w:val="000000" w:themeColor="text1"/>
                <w:sz w:val="20"/>
                <w:szCs w:val="20"/>
              </w:rPr>
              <w:t>6A, 11B, 11C, 12A</w:t>
            </w:r>
          </w:p>
        </w:tc>
        <w:tc>
          <w:tcPr>
            <w:tcW w:w="0" w:type="auto"/>
          </w:tcPr>
          <w:p w14:paraId="59F1531B"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6CFEFF88" w14:textId="77777777" w:rsidTr="00D13545">
        <w:trPr>
          <w:trHeight w:val="10"/>
        </w:trPr>
        <w:tc>
          <w:tcPr>
            <w:tcW w:w="0" w:type="auto"/>
            <w:vMerge w:val="restart"/>
            <w:shd w:val="clear" w:color="auto" w:fill="4472C4" w:themeFill="accent1"/>
          </w:tcPr>
          <w:p w14:paraId="28360BE9" w14:textId="77777777" w:rsidR="00D13545" w:rsidRPr="006A1EC7" w:rsidRDefault="00D13545" w:rsidP="00D13545">
            <w:pPr>
              <w:spacing w:line="276" w:lineRule="auto"/>
              <w:rPr>
                <w:sz w:val="20"/>
                <w:szCs w:val="20"/>
              </w:rPr>
            </w:pPr>
            <w:r w:rsidRPr="006A1EC7">
              <w:rPr>
                <w:sz w:val="20"/>
                <w:szCs w:val="20"/>
              </w:rPr>
              <w:lastRenderedPageBreak/>
              <w:t>1.7 Sleep</w:t>
            </w:r>
          </w:p>
        </w:tc>
        <w:tc>
          <w:tcPr>
            <w:tcW w:w="0" w:type="auto"/>
          </w:tcPr>
          <w:p w14:paraId="3C73A776" w14:textId="77777777" w:rsidR="00D13545" w:rsidRPr="006A1EC7" w:rsidRDefault="00D13545" w:rsidP="00D13545">
            <w:pPr>
              <w:spacing w:line="276" w:lineRule="auto"/>
              <w:rPr>
                <w:sz w:val="20"/>
                <w:szCs w:val="20"/>
              </w:rPr>
            </w:pPr>
            <w:r w:rsidRPr="006A1EC7">
              <w:rPr>
                <w:sz w:val="20"/>
                <w:szCs w:val="20"/>
              </w:rPr>
              <w:t>1.7.1 Disturbed sleep &amp; potential causes</w:t>
            </w:r>
          </w:p>
        </w:tc>
        <w:tc>
          <w:tcPr>
            <w:tcW w:w="0" w:type="auto"/>
          </w:tcPr>
          <w:p w14:paraId="3BEC2E16" w14:textId="77777777" w:rsidR="00D13545" w:rsidRPr="006A1EC7" w:rsidRDefault="00D13545" w:rsidP="00D13545">
            <w:pPr>
              <w:spacing w:line="276" w:lineRule="auto"/>
              <w:rPr>
                <w:sz w:val="20"/>
                <w:szCs w:val="20"/>
              </w:rPr>
            </w:pPr>
          </w:p>
        </w:tc>
        <w:tc>
          <w:tcPr>
            <w:tcW w:w="0" w:type="auto"/>
          </w:tcPr>
          <w:p w14:paraId="6EB0E21F"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 xml:space="preserve">5, 9, 1, 10, 4A, 4B, 10, 6A, 6C, 3A, </w:t>
            </w:r>
            <w:r w:rsidRPr="006A1EC7">
              <w:rPr>
                <w:sz w:val="20"/>
                <w:szCs w:val="20"/>
              </w:rPr>
              <w:t>11C</w:t>
            </w:r>
            <w:r w:rsidRPr="006A1EC7">
              <w:rPr>
                <w:color w:val="000000" w:themeColor="text1"/>
                <w:sz w:val="20"/>
                <w:szCs w:val="20"/>
              </w:rPr>
              <w:t xml:space="preserve">, 4B, 10, </w:t>
            </w:r>
            <w:r w:rsidRPr="006A1EC7">
              <w:rPr>
                <w:sz w:val="20"/>
                <w:szCs w:val="20"/>
              </w:rPr>
              <w:t>8</w:t>
            </w:r>
          </w:p>
          <w:p w14:paraId="12DFC131" w14:textId="77777777" w:rsidR="00D13545" w:rsidRPr="006A1EC7" w:rsidRDefault="00D13545" w:rsidP="00D13545">
            <w:pPr>
              <w:spacing w:line="276" w:lineRule="auto"/>
              <w:rPr>
                <w:color w:val="000000" w:themeColor="text1"/>
                <w:sz w:val="20"/>
                <w:szCs w:val="20"/>
              </w:rPr>
            </w:pPr>
            <w:r w:rsidRPr="006A1EC7">
              <w:rPr>
                <w:sz w:val="20"/>
                <w:szCs w:val="20"/>
              </w:rPr>
              <w:t xml:space="preserve"> 2A</w:t>
            </w:r>
          </w:p>
        </w:tc>
        <w:tc>
          <w:tcPr>
            <w:tcW w:w="0" w:type="auto"/>
          </w:tcPr>
          <w:p w14:paraId="2D032714"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6282658C" w14:textId="77777777" w:rsidTr="00D13545">
        <w:trPr>
          <w:trHeight w:val="678"/>
        </w:trPr>
        <w:tc>
          <w:tcPr>
            <w:tcW w:w="0" w:type="auto"/>
            <w:vMerge/>
            <w:shd w:val="clear" w:color="auto" w:fill="4472C4" w:themeFill="accent1"/>
          </w:tcPr>
          <w:p w14:paraId="0D9DF95F" w14:textId="77777777" w:rsidR="00D13545" w:rsidRPr="006A1EC7" w:rsidRDefault="00D13545" w:rsidP="00D13545">
            <w:pPr>
              <w:spacing w:line="276" w:lineRule="auto"/>
              <w:rPr>
                <w:sz w:val="20"/>
                <w:szCs w:val="20"/>
              </w:rPr>
            </w:pPr>
          </w:p>
        </w:tc>
        <w:tc>
          <w:tcPr>
            <w:tcW w:w="0" w:type="auto"/>
          </w:tcPr>
          <w:p w14:paraId="007479D2" w14:textId="77777777" w:rsidR="00D13545" w:rsidRPr="006A1EC7" w:rsidRDefault="00D13545" w:rsidP="00D13545">
            <w:pPr>
              <w:spacing w:line="276" w:lineRule="auto"/>
              <w:rPr>
                <w:sz w:val="20"/>
                <w:szCs w:val="20"/>
              </w:rPr>
            </w:pPr>
            <w:r w:rsidRPr="006A1EC7">
              <w:rPr>
                <w:sz w:val="20"/>
                <w:szCs w:val="20"/>
              </w:rPr>
              <w:t>1.7.2 Management</w:t>
            </w:r>
          </w:p>
        </w:tc>
        <w:tc>
          <w:tcPr>
            <w:tcW w:w="0" w:type="auto"/>
          </w:tcPr>
          <w:p w14:paraId="0F722BA2" w14:textId="77777777" w:rsidR="00D13545" w:rsidRPr="006A1EC7" w:rsidRDefault="00D13545" w:rsidP="00D13545">
            <w:pPr>
              <w:spacing w:line="276" w:lineRule="auto"/>
              <w:rPr>
                <w:sz w:val="20"/>
                <w:szCs w:val="20"/>
              </w:rPr>
            </w:pPr>
          </w:p>
        </w:tc>
        <w:tc>
          <w:tcPr>
            <w:tcW w:w="0" w:type="auto"/>
          </w:tcPr>
          <w:p w14:paraId="2A009E20"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 xml:space="preserve">4A, 4B, 10, 6A, 6C, 3A, </w:t>
            </w:r>
            <w:r w:rsidRPr="006A1EC7">
              <w:rPr>
                <w:sz w:val="20"/>
                <w:szCs w:val="20"/>
              </w:rPr>
              <w:t>11C</w:t>
            </w:r>
            <w:r w:rsidRPr="006A1EC7">
              <w:rPr>
                <w:color w:val="000000" w:themeColor="text1"/>
                <w:sz w:val="20"/>
                <w:szCs w:val="20"/>
              </w:rPr>
              <w:t xml:space="preserve">, 4B, 10, </w:t>
            </w:r>
            <w:r w:rsidRPr="006A1EC7">
              <w:rPr>
                <w:sz w:val="20"/>
                <w:szCs w:val="20"/>
              </w:rPr>
              <w:t>8</w:t>
            </w:r>
          </w:p>
          <w:p w14:paraId="74BF0069" w14:textId="77777777" w:rsidR="00D13545" w:rsidRPr="006A1EC7" w:rsidRDefault="00D13545" w:rsidP="00D13545">
            <w:pPr>
              <w:spacing w:line="276" w:lineRule="auto"/>
              <w:rPr>
                <w:sz w:val="20"/>
                <w:szCs w:val="20"/>
              </w:rPr>
            </w:pPr>
            <w:r w:rsidRPr="006A1EC7">
              <w:rPr>
                <w:sz w:val="20"/>
                <w:szCs w:val="20"/>
              </w:rPr>
              <w:t xml:space="preserve"> 2A</w:t>
            </w:r>
          </w:p>
        </w:tc>
        <w:tc>
          <w:tcPr>
            <w:tcW w:w="0" w:type="auto"/>
          </w:tcPr>
          <w:p w14:paraId="5E7FA8FA"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04FE83F1" w14:textId="77777777" w:rsidTr="00D13545">
        <w:trPr>
          <w:trHeight w:val="1417"/>
        </w:trPr>
        <w:tc>
          <w:tcPr>
            <w:tcW w:w="0" w:type="auto"/>
            <w:vMerge w:val="restart"/>
            <w:shd w:val="clear" w:color="auto" w:fill="4472C4" w:themeFill="accent1"/>
          </w:tcPr>
          <w:p w14:paraId="3F7E86D3" w14:textId="77777777" w:rsidR="00D13545" w:rsidRPr="006A1EC7" w:rsidRDefault="00D13545" w:rsidP="00D13545">
            <w:pPr>
              <w:spacing w:line="276" w:lineRule="auto"/>
              <w:rPr>
                <w:sz w:val="20"/>
                <w:szCs w:val="20"/>
              </w:rPr>
            </w:pPr>
            <w:r w:rsidRPr="006A1EC7">
              <w:rPr>
                <w:sz w:val="20"/>
                <w:szCs w:val="20"/>
              </w:rPr>
              <w:t>1.8 Mobility</w:t>
            </w:r>
          </w:p>
        </w:tc>
        <w:tc>
          <w:tcPr>
            <w:tcW w:w="0" w:type="auto"/>
          </w:tcPr>
          <w:p w14:paraId="740713C2" w14:textId="77777777" w:rsidR="00D13545" w:rsidRPr="006A1EC7" w:rsidRDefault="00D13545" w:rsidP="00D13545">
            <w:pPr>
              <w:spacing w:line="276" w:lineRule="auto"/>
              <w:rPr>
                <w:sz w:val="20"/>
                <w:szCs w:val="20"/>
              </w:rPr>
            </w:pPr>
            <w:r w:rsidRPr="006A1EC7">
              <w:rPr>
                <w:sz w:val="20"/>
                <w:szCs w:val="20"/>
              </w:rPr>
              <w:t>1.8.1 Mobility-related issues</w:t>
            </w:r>
          </w:p>
          <w:p w14:paraId="4E8DE1C7" w14:textId="77777777" w:rsidR="00D13545" w:rsidRPr="006A1EC7" w:rsidRDefault="00D13545" w:rsidP="00D13545">
            <w:pPr>
              <w:spacing w:line="276" w:lineRule="auto"/>
              <w:rPr>
                <w:sz w:val="20"/>
                <w:szCs w:val="20"/>
              </w:rPr>
            </w:pPr>
          </w:p>
          <w:p w14:paraId="341B6324" w14:textId="77777777" w:rsidR="00D13545" w:rsidRPr="006A1EC7" w:rsidRDefault="00D13545" w:rsidP="00D13545">
            <w:pPr>
              <w:spacing w:line="276" w:lineRule="auto"/>
              <w:rPr>
                <w:sz w:val="20"/>
                <w:szCs w:val="20"/>
              </w:rPr>
            </w:pPr>
          </w:p>
        </w:tc>
        <w:tc>
          <w:tcPr>
            <w:tcW w:w="0" w:type="auto"/>
          </w:tcPr>
          <w:p w14:paraId="19B7195F" w14:textId="77777777" w:rsidR="00D13545" w:rsidRPr="006A1EC7" w:rsidRDefault="00D13545" w:rsidP="00D13545">
            <w:pPr>
              <w:spacing w:line="276" w:lineRule="auto"/>
              <w:rPr>
                <w:sz w:val="20"/>
                <w:szCs w:val="20"/>
              </w:rPr>
            </w:pPr>
          </w:p>
        </w:tc>
        <w:tc>
          <w:tcPr>
            <w:tcW w:w="0" w:type="auto"/>
          </w:tcPr>
          <w:p w14:paraId="20551B51" w14:textId="77777777" w:rsidR="00D13545" w:rsidRPr="006A1EC7" w:rsidRDefault="00D13545" w:rsidP="00D13545">
            <w:pPr>
              <w:spacing w:line="276" w:lineRule="auto"/>
              <w:rPr>
                <w:sz w:val="20"/>
                <w:szCs w:val="20"/>
              </w:rPr>
            </w:pPr>
            <w:r w:rsidRPr="006A1EC7">
              <w:rPr>
                <w:color w:val="000000" w:themeColor="text1"/>
                <w:sz w:val="20"/>
                <w:szCs w:val="20"/>
              </w:rPr>
              <w:t>1, 2B, 2C, 3A, 3B, 3C, 4A, 4B, 5, 6A, 6C, 7, 8, 9, 10, 11C, 12A, 12B</w:t>
            </w:r>
          </w:p>
        </w:tc>
        <w:tc>
          <w:tcPr>
            <w:tcW w:w="0" w:type="auto"/>
          </w:tcPr>
          <w:p w14:paraId="7C05C90A"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7527C209" w14:textId="77777777" w:rsidTr="00D13545">
        <w:trPr>
          <w:trHeight w:val="996"/>
        </w:trPr>
        <w:tc>
          <w:tcPr>
            <w:tcW w:w="0" w:type="auto"/>
            <w:vMerge/>
            <w:shd w:val="clear" w:color="auto" w:fill="4472C4" w:themeFill="accent1"/>
          </w:tcPr>
          <w:p w14:paraId="3318590B" w14:textId="77777777" w:rsidR="00D13545" w:rsidRPr="006A1EC7" w:rsidRDefault="00D13545" w:rsidP="00D13545">
            <w:pPr>
              <w:spacing w:line="276" w:lineRule="auto"/>
              <w:rPr>
                <w:sz w:val="20"/>
                <w:szCs w:val="20"/>
              </w:rPr>
            </w:pPr>
          </w:p>
        </w:tc>
        <w:tc>
          <w:tcPr>
            <w:tcW w:w="0" w:type="auto"/>
          </w:tcPr>
          <w:p w14:paraId="481CC014" w14:textId="77777777" w:rsidR="00D13545" w:rsidRPr="006A1EC7" w:rsidRDefault="00D13545" w:rsidP="00D13545">
            <w:pPr>
              <w:spacing w:line="276" w:lineRule="auto"/>
              <w:rPr>
                <w:sz w:val="20"/>
                <w:szCs w:val="20"/>
              </w:rPr>
            </w:pPr>
            <w:r w:rsidRPr="006A1EC7">
              <w:rPr>
                <w:sz w:val="20"/>
                <w:szCs w:val="20"/>
              </w:rPr>
              <w:t>1.8.2 Sitting, Standing and walking</w:t>
            </w:r>
          </w:p>
          <w:p w14:paraId="1201AB3E" w14:textId="77777777" w:rsidR="00D13545" w:rsidRPr="006A1EC7" w:rsidRDefault="00D13545" w:rsidP="00D13545">
            <w:pPr>
              <w:spacing w:line="276" w:lineRule="auto"/>
              <w:rPr>
                <w:sz w:val="20"/>
                <w:szCs w:val="20"/>
              </w:rPr>
            </w:pPr>
          </w:p>
        </w:tc>
        <w:tc>
          <w:tcPr>
            <w:tcW w:w="0" w:type="auto"/>
          </w:tcPr>
          <w:p w14:paraId="6513132E" w14:textId="77777777" w:rsidR="00D13545" w:rsidRPr="006A1EC7" w:rsidRDefault="00D13545" w:rsidP="00D13545">
            <w:pPr>
              <w:spacing w:line="276" w:lineRule="auto"/>
              <w:rPr>
                <w:sz w:val="20"/>
                <w:szCs w:val="20"/>
              </w:rPr>
            </w:pPr>
          </w:p>
        </w:tc>
        <w:tc>
          <w:tcPr>
            <w:tcW w:w="0" w:type="auto"/>
          </w:tcPr>
          <w:p w14:paraId="27D3CB9E" w14:textId="77777777" w:rsidR="00D13545" w:rsidRPr="006A1EC7" w:rsidRDefault="00D13545" w:rsidP="00D13545">
            <w:pPr>
              <w:spacing w:line="276" w:lineRule="auto"/>
              <w:rPr>
                <w:sz w:val="20"/>
                <w:szCs w:val="20"/>
              </w:rPr>
            </w:pPr>
            <w:r w:rsidRPr="006A1EC7">
              <w:rPr>
                <w:color w:val="000000" w:themeColor="text1"/>
                <w:sz w:val="20"/>
                <w:szCs w:val="20"/>
              </w:rPr>
              <w:t>1, 2B, 2C, 3A, 3B, 3C, 4A, 4B, 5, 6A, 6C, 7, 8, 9, 10, 11A, 11B, 11C, 12A, 12B</w:t>
            </w:r>
          </w:p>
        </w:tc>
        <w:tc>
          <w:tcPr>
            <w:tcW w:w="0" w:type="auto"/>
          </w:tcPr>
          <w:p w14:paraId="03372233"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39C32337" w14:textId="77777777" w:rsidTr="00D13545">
        <w:trPr>
          <w:trHeight w:val="1404"/>
        </w:trPr>
        <w:tc>
          <w:tcPr>
            <w:tcW w:w="0" w:type="auto"/>
            <w:vMerge/>
            <w:shd w:val="clear" w:color="auto" w:fill="4472C4" w:themeFill="accent1"/>
          </w:tcPr>
          <w:p w14:paraId="114BC65D" w14:textId="77777777" w:rsidR="00D13545" w:rsidRPr="006A1EC7" w:rsidRDefault="00D13545" w:rsidP="00D13545">
            <w:pPr>
              <w:spacing w:line="276" w:lineRule="auto"/>
              <w:rPr>
                <w:sz w:val="20"/>
                <w:szCs w:val="20"/>
              </w:rPr>
            </w:pPr>
          </w:p>
        </w:tc>
        <w:tc>
          <w:tcPr>
            <w:tcW w:w="0" w:type="auto"/>
          </w:tcPr>
          <w:p w14:paraId="2305A857" w14:textId="77777777" w:rsidR="00D13545" w:rsidRPr="006A1EC7" w:rsidRDefault="00D13545" w:rsidP="00D13545">
            <w:pPr>
              <w:spacing w:line="276" w:lineRule="auto"/>
              <w:rPr>
                <w:sz w:val="20"/>
                <w:szCs w:val="20"/>
              </w:rPr>
            </w:pPr>
            <w:r w:rsidRPr="006A1EC7">
              <w:rPr>
                <w:sz w:val="20"/>
                <w:szCs w:val="20"/>
              </w:rPr>
              <w:t>1.8.3 Use of Interventions</w:t>
            </w:r>
          </w:p>
        </w:tc>
        <w:tc>
          <w:tcPr>
            <w:tcW w:w="0" w:type="auto"/>
          </w:tcPr>
          <w:p w14:paraId="2B17E12E" w14:textId="77777777" w:rsidR="00D13545" w:rsidRPr="006A1EC7" w:rsidRDefault="00D13545" w:rsidP="00D13545">
            <w:pPr>
              <w:spacing w:line="276" w:lineRule="auto"/>
              <w:rPr>
                <w:sz w:val="20"/>
                <w:szCs w:val="20"/>
              </w:rPr>
            </w:pPr>
          </w:p>
        </w:tc>
        <w:tc>
          <w:tcPr>
            <w:tcW w:w="0" w:type="auto"/>
          </w:tcPr>
          <w:p w14:paraId="4E2677CE"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 xml:space="preserve">4A, 5, 6A, 11B, </w:t>
            </w:r>
            <w:r w:rsidRPr="006A1EC7">
              <w:rPr>
                <w:sz w:val="20"/>
                <w:szCs w:val="20"/>
              </w:rPr>
              <w:t>9</w:t>
            </w:r>
            <w:r w:rsidRPr="006A1EC7">
              <w:rPr>
                <w:color w:val="000000" w:themeColor="text1"/>
                <w:sz w:val="20"/>
                <w:szCs w:val="20"/>
              </w:rPr>
              <w:t>, 1</w:t>
            </w:r>
          </w:p>
          <w:p w14:paraId="34CEE85D" w14:textId="77777777" w:rsidR="00D13545" w:rsidRPr="006A1EC7" w:rsidRDefault="00D13545" w:rsidP="00D13545">
            <w:pPr>
              <w:spacing w:line="276" w:lineRule="auto"/>
              <w:rPr>
                <w:sz w:val="20"/>
                <w:szCs w:val="20"/>
              </w:rPr>
            </w:pPr>
            <w:r w:rsidRPr="006A1EC7">
              <w:rPr>
                <w:sz w:val="20"/>
                <w:szCs w:val="20"/>
              </w:rPr>
              <w:t xml:space="preserve"> 2A, 2B, 2C, 5, 6A, 7, 8, 9, 10, 12A, 12B</w:t>
            </w:r>
          </w:p>
        </w:tc>
        <w:tc>
          <w:tcPr>
            <w:tcW w:w="0" w:type="auto"/>
          </w:tcPr>
          <w:p w14:paraId="00B4F90D"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03462837" w14:textId="77777777" w:rsidTr="00D13545">
        <w:tc>
          <w:tcPr>
            <w:tcW w:w="0" w:type="auto"/>
            <w:shd w:val="clear" w:color="auto" w:fill="4472C4" w:themeFill="accent1"/>
          </w:tcPr>
          <w:p w14:paraId="0E2AD75E" w14:textId="77777777" w:rsidR="00D13545" w:rsidRPr="006A1EC7" w:rsidRDefault="00D13545" w:rsidP="00D13545">
            <w:pPr>
              <w:spacing w:line="276" w:lineRule="auto"/>
              <w:rPr>
                <w:sz w:val="20"/>
                <w:szCs w:val="20"/>
              </w:rPr>
            </w:pPr>
            <w:r w:rsidRPr="006A1EC7">
              <w:rPr>
                <w:sz w:val="20"/>
                <w:szCs w:val="20"/>
              </w:rPr>
              <w:t>1.9 Level of care</w:t>
            </w:r>
          </w:p>
        </w:tc>
        <w:tc>
          <w:tcPr>
            <w:tcW w:w="0" w:type="auto"/>
          </w:tcPr>
          <w:p w14:paraId="1C94DCAF" w14:textId="77777777" w:rsidR="00D13545" w:rsidRPr="006A1EC7" w:rsidRDefault="00D13545" w:rsidP="00D13545">
            <w:pPr>
              <w:spacing w:line="276" w:lineRule="auto"/>
              <w:rPr>
                <w:sz w:val="20"/>
                <w:szCs w:val="20"/>
              </w:rPr>
            </w:pPr>
          </w:p>
        </w:tc>
        <w:tc>
          <w:tcPr>
            <w:tcW w:w="0" w:type="auto"/>
          </w:tcPr>
          <w:p w14:paraId="15E2ED82" w14:textId="77777777" w:rsidR="00D13545" w:rsidRPr="006A1EC7" w:rsidRDefault="00D13545" w:rsidP="00D13545">
            <w:pPr>
              <w:spacing w:line="276" w:lineRule="auto"/>
              <w:rPr>
                <w:sz w:val="20"/>
                <w:szCs w:val="20"/>
              </w:rPr>
            </w:pPr>
          </w:p>
        </w:tc>
        <w:tc>
          <w:tcPr>
            <w:tcW w:w="0" w:type="auto"/>
          </w:tcPr>
          <w:p w14:paraId="3DBE5617"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1, 2B, 2C, 3A, 3B, 3C, 4A, 4B, 5, 6A, 6C, 7, 8, 9, 10, 11A, 11B, 11C, 12A, 12B</w:t>
            </w:r>
          </w:p>
        </w:tc>
        <w:tc>
          <w:tcPr>
            <w:tcW w:w="0" w:type="auto"/>
          </w:tcPr>
          <w:p w14:paraId="49F97D3B" w14:textId="77777777" w:rsidR="00D13545" w:rsidRPr="006A1EC7" w:rsidRDefault="00D13545" w:rsidP="00D13545">
            <w:pPr>
              <w:spacing w:line="276" w:lineRule="auto"/>
              <w:rPr>
                <w:sz w:val="20"/>
                <w:szCs w:val="20"/>
              </w:rPr>
            </w:pPr>
            <w:r w:rsidRPr="006A1EC7">
              <w:rPr>
                <w:sz w:val="20"/>
                <w:szCs w:val="20"/>
              </w:rPr>
              <w:t>Semantic/Latent</w:t>
            </w:r>
          </w:p>
        </w:tc>
      </w:tr>
      <w:tr w:rsidR="00D13545" w:rsidRPr="006A1EC7" w14:paraId="42FA5272" w14:textId="77777777" w:rsidTr="00D13545">
        <w:tc>
          <w:tcPr>
            <w:tcW w:w="0" w:type="auto"/>
            <w:vMerge w:val="restart"/>
            <w:shd w:val="clear" w:color="auto" w:fill="4472C4" w:themeFill="accent1"/>
          </w:tcPr>
          <w:p w14:paraId="3581690C" w14:textId="77777777" w:rsidR="00D13545" w:rsidRPr="006A1EC7" w:rsidRDefault="00D13545" w:rsidP="00D13545">
            <w:pPr>
              <w:spacing w:line="276" w:lineRule="auto"/>
              <w:rPr>
                <w:sz w:val="20"/>
                <w:szCs w:val="20"/>
              </w:rPr>
            </w:pPr>
            <w:r w:rsidRPr="006A1EC7">
              <w:rPr>
                <w:sz w:val="20"/>
                <w:szCs w:val="20"/>
              </w:rPr>
              <w:t>1.10 Other</w:t>
            </w:r>
          </w:p>
        </w:tc>
        <w:tc>
          <w:tcPr>
            <w:tcW w:w="0" w:type="auto"/>
          </w:tcPr>
          <w:p w14:paraId="40A7CB80" w14:textId="77777777" w:rsidR="00D13545" w:rsidRPr="006A1EC7" w:rsidRDefault="00D13545" w:rsidP="00D13545">
            <w:pPr>
              <w:spacing w:line="276" w:lineRule="auto"/>
              <w:rPr>
                <w:sz w:val="20"/>
                <w:szCs w:val="20"/>
              </w:rPr>
            </w:pPr>
            <w:r w:rsidRPr="006A1EC7">
              <w:rPr>
                <w:sz w:val="20"/>
                <w:szCs w:val="20"/>
              </w:rPr>
              <w:t>1.10.1 Growing</w:t>
            </w:r>
          </w:p>
        </w:tc>
        <w:tc>
          <w:tcPr>
            <w:tcW w:w="0" w:type="auto"/>
          </w:tcPr>
          <w:p w14:paraId="0036CBB0" w14:textId="77777777" w:rsidR="00D13545" w:rsidRPr="006A1EC7" w:rsidRDefault="00D13545" w:rsidP="00D13545">
            <w:pPr>
              <w:spacing w:line="276" w:lineRule="auto"/>
              <w:rPr>
                <w:sz w:val="20"/>
                <w:szCs w:val="20"/>
              </w:rPr>
            </w:pPr>
          </w:p>
        </w:tc>
        <w:tc>
          <w:tcPr>
            <w:tcW w:w="0" w:type="auto"/>
          </w:tcPr>
          <w:p w14:paraId="5130DEC7"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 xml:space="preserve">2A, 2B, 2C, 8, 11A, 11B, 11C, </w:t>
            </w:r>
            <w:r w:rsidRPr="006A1EC7">
              <w:rPr>
                <w:sz w:val="20"/>
                <w:szCs w:val="20"/>
              </w:rPr>
              <w:t>1</w:t>
            </w:r>
            <w:r w:rsidRPr="006A1EC7">
              <w:rPr>
                <w:color w:val="000000" w:themeColor="text1"/>
                <w:sz w:val="20"/>
                <w:szCs w:val="20"/>
              </w:rPr>
              <w:t xml:space="preserve">, </w:t>
            </w:r>
            <w:r w:rsidRPr="006A1EC7">
              <w:rPr>
                <w:sz w:val="20"/>
                <w:szCs w:val="20"/>
              </w:rPr>
              <w:t>4A, 4B, 12A, 3A, 3B, 3C</w:t>
            </w:r>
          </w:p>
        </w:tc>
        <w:tc>
          <w:tcPr>
            <w:tcW w:w="0" w:type="auto"/>
          </w:tcPr>
          <w:p w14:paraId="5ADF48D7"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1DDC0D26" w14:textId="77777777" w:rsidTr="00D13545">
        <w:trPr>
          <w:trHeight w:val="419"/>
        </w:trPr>
        <w:tc>
          <w:tcPr>
            <w:tcW w:w="0" w:type="auto"/>
            <w:vMerge/>
            <w:shd w:val="clear" w:color="auto" w:fill="4472C4" w:themeFill="accent1"/>
          </w:tcPr>
          <w:p w14:paraId="1839C04D" w14:textId="77777777" w:rsidR="00D13545" w:rsidRPr="006A1EC7" w:rsidRDefault="00D13545" w:rsidP="00D13545">
            <w:pPr>
              <w:spacing w:line="276" w:lineRule="auto"/>
              <w:rPr>
                <w:sz w:val="20"/>
                <w:szCs w:val="20"/>
              </w:rPr>
            </w:pPr>
          </w:p>
        </w:tc>
        <w:tc>
          <w:tcPr>
            <w:tcW w:w="0" w:type="auto"/>
          </w:tcPr>
          <w:p w14:paraId="7A92F820" w14:textId="77777777" w:rsidR="00D13545" w:rsidRPr="006A1EC7" w:rsidRDefault="00D13545" w:rsidP="00D13545">
            <w:pPr>
              <w:spacing w:line="276" w:lineRule="auto"/>
              <w:rPr>
                <w:sz w:val="20"/>
                <w:szCs w:val="20"/>
              </w:rPr>
            </w:pPr>
            <w:r w:rsidRPr="006A1EC7">
              <w:rPr>
                <w:sz w:val="20"/>
                <w:szCs w:val="20"/>
              </w:rPr>
              <w:t>1.10.2 Facial features</w:t>
            </w:r>
          </w:p>
        </w:tc>
        <w:tc>
          <w:tcPr>
            <w:tcW w:w="0" w:type="auto"/>
          </w:tcPr>
          <w:p w14:paraId="7345DFA1" w14:textId="77777777" w:rsidR="00D13545" w:rsidRPr="006A1EC7" w:rsidRDefault="00D13545" w:rsidP="00D13545">
            <w:pPr>
              <w:spacing w:line="276" w:lineRule="auto"/>
              <w:rPr>
                <w:sz w:val="20"/>
                <w:szCs w:val="20"/>
              </w:rPr>
            </w:pPr>
          </w:p>
        </w:tc>
        <w:tc>
          <w:tcPr>
            <w:tcW w:w="0" w:type="auto"/>
          </w:tcPr>
          <w:p w14:paraId="5AA11501" w14:textId="77777777" w:rsidR="00D13545" w:rsidRPr="006A1EC7" w:rsidRDefault="00D13545" w:rsidP="00D13545">
            <w:pPr>
              <w:spacing w:line="276" w:lineRule="auto"/>
              <w:rPr>
                <w:sz w:val="20"/>
                <w:szCs w:val="20"/>
              </w:rPr>
            </w:pPr>
            <w:r w:rsidRPr="006A1EC7">
              <w:rPr>
                <w:color w:val="000000" w:themeColor="text1"/>
                <w:sz w:val="20"/>
                <w:szCs w:val="20"/>
              </w:rPr>
              <w:t>3C, 4B, 3A, 4B, 4A, 9, 3A, 5, 6A, 8, 9, 10, 6A</w:t>
            </w:r>
          </w:p>
        </w:tc>
        <w:tc>
          <w:tcPr>
            <w:tcW w:w="0" w:type="auto"/>
          </w:tcPr>
          <w:p w14:paraId="70AFA865"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6FC4D11A" w14:textId="77777777" w:rsidTr="00D13545">
        <w:trPr>
          <w:trHeight w:val="443"/>
        </w:trPr>
        <w:tc>
          <w:tcPr>
            <w:tcW w:w="0" w:type="auto"/>
            <w:vMerge/>
          </w:tcPr>
          <w:p w14:paraId="1DF1385C" w14:textId="77777777" w:rsidR="00D13545" w:rsidRPr="006A1EC7" w:rsidRDefault="00D13545" w:rsidP="00D13545">
            <w:pPr>
              <w:spacing w:line="276" w:lineRule="auto"/>
              <w:rPr>
                <w:sz w:val="20"/>
                <w:szCs w:val="20"/>
              </w:rPr>
            </w:pPr>
          </w:p>
        </w:tc>
        <w:tc>
          <w:tcPr>
            <w:tcW w:w="0" w:type="auto"/>
          </w:tcPr>
          <w:p w14:paraId="4A0BD4D3" w14:textId="77777777" w:rsidR="00D13545" w:rsidRPr="006A1EC7" w:rsidRDefault="00D13545" w:rsidP="00D13545">
            <w:pPr>
              <w:spacing w:line="276" w:lineRule="auto"/>
              <w:rPr>
                <w:sz w:val="20"/>
                <w:szCs w:val="20"/>
              </w:rPr>
            </w:pPr>
            <w:r w:rsidRPr="006A1EC7">
              <w:rPr>
                <w:sz w:val="20"/>
                <w:szCs w:val="20"/>
              </w:rPr>
              <w:t>1.10.3 Dermatology</w:t>
            </w:r>
          </w:p>
        </w:tc>
        <w:tc>
          <w:tcPr>
            <w:tcW w:w="0" w:type="auto"/>
          </w:tcPr>
          <w:p w14:paraId="42F06D5B" w14:textId="77777777" w:rsidR="00D13545" w:rsidRPr="006A1EC7" w:rsidRDefault="00D13545" w:rsidP="00D13545">
            <w:pPr>
              <w:spacing w:line="276" w:lineRule="auto"/>
              <w:rPr>
                <w:sz w:val="20"/>
                <w:szCs w:val="20"/>
              </w:rPr>
            </w:pPr>
          </w:p>
        </w:tc>
        <w:tc>
          <w:tcPr>
            <w:tcW w:w="0" w:type="auto"/>
          </w:tcPr>
          <w:p w14:paraId="1CA01992" w14:textId="77777777" w:rsidR="00D13545" w:rsidRPr="006A1EC7" w:rsidRDefault="00D13545" w:rsidP="00D13545">
            <w:pPr>
              <w:spacing w:line="276" w:lineRule="auto"/>
              <w:rPr>
                <w:color w:val="000000" w:themeColor="text1"/>
                <w:sz w:val="20"/>
                <w:szCs w:val="20"/>
              </w:rPr>
            </w:pPr>
            <w:r w:rsidRPr="006A1EC7">
              <w:rPr>
                <w:color w:val="000000" w:themeColor="text1"/>
                <w:sz w:val="20"/>
                <w:szCs w:val="20"/>
              </w:rPr>
              <w:t>11A, 11C, 12A</w:t>
            </w:r>
          </w:p>
        </w:tc>
        <w:tc>
          <w:tcPr>
            <w:tcW w:w="0" w:type="auto"/>
          </w:tcPr>
          <w:p w14:paraId="4501C3E4"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1A2427A2" w14:textId="77777777" w:rsidTr="00D13545">
        <w:trPr>
          <w:trHeight w:val="558"/>
        </w:trPr>
        <w:tc>
          <w:tcPr>
            <w:tcW w:w="0" w:type="auto"/>
            <w:vMerge/>
          </w:tcPr>
          <w:p w14:paraId="6C96B307" w14:textId="77777777" w:rsidR="00D13545" w:rsidRPr="006A1EC7" w:rsidRDefault="00D13545" w:rsidP="00D13545">
            <w:pPr>
              <w:spacing w:line="276" w:lineRule="auto"/>
              <w:rPr>
                <w:sz w:val="20"/>
                <w:szCs w:val="20"/>
              </w:rPr>
            </w:pPr>
          </w:p>
        </w:tc>
        <w:tc>
          <w:tcPr>
            <w:tcW w:w="0" w:type="auto"/>
          </w:tcPr>
          <w:p w14:paraId="6C5EF2A0" w14:textId="77777777" w:rsidR="00D13545" w:rsidRPr="006A1EC7" w:rsidRDefault="00D13545" w:rsidP="00D13545">
            <w:pPr>
              <w:spacing w:line="276" w:lineRule="auto"/>
              <w:rPr>
                <w:sz w:val="20"/>
                <w:szCs w:val="20"/>
              </w:rPr>
            </w:pPr>
            <w:r w:rsidRPr="006A1EC7">
              <w:rPr>
                <w:sz w:val="20"/>
                <w:szCs w:val="20"/>
              </w:rPr>
              <w:t>1.10.4 Blood clotting*</w:t>
            </w:r>
          </w:p>
        </w:tc>
        <w:tc>
          <w:tcPr>
            <w:tcW w:w="0" w:type="auto"/>
          </w:tcPr>
          <w:p w14:paraId="118ED14C" w14:textId="77777777" w:rsidR="00D13545" w:rsidRPr="006A1EC7" w:rsidRDefault="00D13545" w:rsidP="00D13545">
            <w:pPr>
              <w:spacing w:line="276" w:lineRule="auto"/>
              <w:rPr>
                <w:sz w:val="20"/>
                <w:szCs w:val="20"/>
              </w:rPr>
            </w:pPr>
          </w:p>
        </w:tc>
        <w:tc>
          <w:tcPr>
            <w:tcW w:w="0" w:type="auto"/>
          </w:tcPr>
          <w:p w14:paraId="2F001D1D" w14:textId="77777777" w:rsidR="00D13545" w:rsidRPr="006A1EC7" w:rsidRDefault="00D13545" w:rsidP="00D13545">
            <w:pPr>
              <w:spacing w:line="276" w:lineRule="auto"/>
              <w:rPr>
                <w:sz w:val="20"/>
                <w:szCs w:val="20"/>
              </w:rPr>
            </w:pPr>
            <w:r w:rsidRPr="006A1EC7">
              <w:rPr>
                <w:sz w:val="20"/>
                <w:szCs w:val="20"/>
              </w:rPr>
              <w:t>2C</w:t>
            </w:r>
          </w:p>
        </w:tc>
        <w:tc>
          <w:tcPr>
            <w:tcW w:w="0" w:type="auto"/>
          </w:tcPr>
          <w:p w14:paraId="3269A678"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62A606F0" w14:textId="77777777" w:rsidTr="00D13545">
        <w:trPr>
          <w:trHeight w:val="125"/>
        </w:trPr>
        <w:tc>
          <w:tcPr>
            <w:tcW w:w="0" w:type="auto"/>
            <w:vMerge/>
          </w:tcPr>
          <w:p w14:paraId="781123C0" w14:textId="77777777" w:rsidR="00D13545" w:rsidRPr="006A1EC7" w:rsidRDefault="00D13545" w:rsidP="00D13545">
            <w:pPr>
              <w:spacing w:line="276" w:lineRule="auto"/>
              <w:rPr>
                <w:sz w:val="20"/>
                <w:szCs w:val="20"/>
              </w:rPr>
            </w:pPr>
          </w:p>
        </w:tc>
        <w:tc>
          <w:tcPr>
            <w:tcW w:w="0" w:type="auto"/>
          </w:tcPr>
          <w:p w14:paraId="44957BE7" w14:textId="77777777" w:rsidR="00D13545" w:rsidRPr="006A1EC7" w:rsidRDefault="00D13545" w:rsidP="00D13545">
            <w:pPr>
              <w:spacing w:line="276" w:lineRule="auto"/>
              <w:rPr>
                <w:sz w:val="20"/>
                <w:szCs w:val="20"/>
              </w:rPr>
            </w:pPr>
            <w:r w:rsidRPr="006A1EC7">
              <w:rPr>
                <w:sz w:val="20"/>
                <w:szCs w:val="20"/>
              </w:rPr>
              <w:t>1.10.5 Internal Malformations*</w:t>
            </w:r>
          </w:p>
        </w:tc>
        <w:tc>
          <w:tcPr>
            <w:tcW w:w="0" w:type="auto"/>
          </w:tcPr>
          <w:p w14:paraId="35BF3033" w14:textId="77777777" w:rsidR="00D13545" w:rsidRPr="006A1EC7" w:rsidRDefault="00D13545" w:rsidP="00D13545">
            <w:pPr>
              <w:spacing w:line="276" w:lineRule="auto"/>
              <w:rPr>
                <w:sz w:val="20"/>
                <w:szCs w:val="20"/>
              </w:rPr>
            </w:pPr>
          </w:p>
        </w:tc>
        <w:tc>
          <w:tcPr>
            <w:tcW w:w="0" w:type="auto"/>
          </w:tcPr>
          <w:p w14:paraId="02A8E1DB" w14:textId="77777777" w:rsidR="00D13545" w:rsidRPr="006A1EC7" w:rsidRDefault="00D13545" w:rsidP="00D13545">
            <w:pPr>
              <w:spacing w:line="276" w:lineRule="auto"/>
              <w:rPr>
                <w:sz w:val="20"/>
                <w:szCs w:val="20"/>
              </w:rPr>
            </w:pPr>
            <w:r w:rsidRPr="006A1EC7">
              <w:rPr>
                <w:sz w:val="20"/>
                <w:szCs w:val="20"/>
              </w:rPr>
              <w:t>9</w:t>
            </w:r>
          </w:p>
        </w:tc>
        <w:tc>
          <w:tcPr>
            <w:tcW w:w="0" w:type="auto"/>
          </w:tcPr>
          <w:p w14:paraId="23ED536B" w14:textId="77777777" w:rsidR="00D13545" w:rsidRPr="006A1EC7" w:rsidRDefault="00D13545" w:rsidP="00D13545">
            <w:pPr>
              <w:spacing w:line="276" w:lineRule="auto"/>
              <w:rPr>
                <w:sz w:val="20"/>
                <w:szCs w:val="20"/>
              </w:rPr>
            </w:pPr>
            <w:r w:rsidRPr="006A1EC7">
              <w:rPr>
                <w:sz w:val="20"/>
                <w:szCs w:val="20"/>
              </w:rPr>
              <w:t>Semantic</w:t>
            </w:r>
          </w:p>
        </w:tc>
      </w:tr>
      <w:tr w:rsidR="00D13545" w:rsidRPr="006A1EC7" w14:paraId="521E5195" w14:textId="77777777" w:rsidTr="00D13545">
        <w:trPr>
          <w:trHeight w:val="625"/>
        </w:trPr>
        <w:tc>
          <w:tcPr>
            <w:tcW w:w="0" w:type="auto"/>
            <w:vMerge/>
          </w:tcPr>
          <w:p w14:paraId="16651894" w14:textId="77777777" w:rsidR="00D13545" w:rsidRPr="006A1EC7" w:rsidRDefault="00D13545" w:rsidP="00D13545">
            <w:pPr>
              <w:spacing w:line="276" w:lineRule="auto"/>
              <w:rPr>
                <w:sz w:val="20"/>
                <w:szCs w:val="20"/>
              </w:rPr>
            </w:pPr>
          </w:p>
        </w:tc>
        <w:tc>
          <w:tcPr>
            <w:tcW w:w="0" w:type="auto"/>
          </w:tcPr>
          <w:p w14:paraId="3F6CB51D" w14:textId="77777777" w:rsidR="00D13545" w:rsidRPr="006A1EC7" w:rsidRDefault="00D13545" w:rsidP="00D13545">
            <w:pPr>
              <w:spacing w:line="276" w:lineRule="auto"/>
              <w:rPr>
                <w:sz w:val="20"/>
                <w:szCs w:val="20"/>
              </w:rPr>
            </w:pPr>
            <w:r w:rsidRPr="006A1EC7">
              <w:rPr>
                <w:sz w:val="20"/>
                <w:szCs w:val="20"/>
              </w:rPr>
              <w:t>1.10.6 Problems with veins*</w:t>
            </w:r>
          </w:p>
        </w:tc>
        <w:tc>
          <w:tcPr>
            <w:tcW w:w="0" w:type="auto"/>
          </w:tcPr>
          <w:p w14:paraId="486D0116" w14:textId="77777777" w:rsidR="00D13545" w:rsidRPr="006A1EC7" w:rsidRDefault="00D13545" w:rsidP="00D13545">
            <w:pPr>
              <w:spacing w:line="276" w:lineRule="auto"/>
              <w:rPr>
                <w:sz w:val="20"/>
                <w:szCs w:val="20"/>
              </w:rPr>
            </w:pPr>
          </w:p>
        </w:tc>
        <w:tc>
          <w:tcPr>
            <w:tcW w:w="0" w:type="auto"/>
          </w:tcPr>
          <w:p w14:paraId="18CF83E2" w14:textId="77777777" w:rsidR="00D13545" w:rsidRPr="006A1EC7" w:rsidRDefault="00D13545" w:rsidP="00D13545">
            <w:pPr>
              <w:spacing w:line="276" w:lineRule="auto"/>
              <w:rPr>
                <w:sz w:val="20"/>
                <w:szCs w:val="20"/>
              </w:rPr>
            </w:pPr>
            <w:r w:rsidRPr="006A1EC7">
              <w:rPr>
                <w:sz w:val="20"/>
                <w:szCs w:val="20"/>
              </w:rPr>
              <w:t>2A, 2B</w:t>
            </w:r>
          </w:p>
        </w:tc>
        <w:tc>
          <w:tcPr>
            <w:tcW w:w="0" w:type="auto"/>
          </w:tcPr>
          <w:p w14:paraId="6C03353D" w14:textId="77777777" w:rsidR="00D13545" w:rsidRPr="006A1EC7" w:rsidRDefault="00D13545" w:rsidP="00D13545">
            <w:pPr>
              <w:spacing w:line="276" w:lineRule="auto"/>
              <w:rPr>
                <w:sz w:val="20"/>
                <w:szCs w:val="20"/>
              </w:rPr>
            </w:pPr>
            <w:r w:rsidRPr="006A1EC7">
              <w:rPr>
                <w:sz w:val="20"/>
                <w:szCs w:val="20"/>
              </w:rPr>
              <w:t>Semantic</w:t>
            </w:r>
          </w:p>
        </w:tc>
      </w:tr>
    </w:tbl>
    <w:p w14:paraId="702C94AC" w14:textId="77777777" w:rsidR="00D13545" w:rsidRPr="006A1EC7" w:rsidRDefault="00D13545" w:rsidP="00D13545">
      <w:pPr>
        <w:spacing w:line="276" w:lineRule="auto"/>
      </w:pPr>
      <w:r w:rsidRPr="006A1EC7">
        <w:t xml:space="preserve">NB: *means negative theme, i.e. only reported for one patient in the sample </w:t>
      </w:r>
    </w:p>
    <w:p w14:paraId="16A142F0" w14:textId="25D71A1C" w:rsidR="00D13545" w:rsidRPr="006A1EC7" w:rsidRDefault="00D13545" w:rsidP="00DB5C12">
      <w:pPr>
        <w:spacing w:line="360" w:lineRule="auto"/>
      </w:pPr>
    </w:p>
    <w:p w14:paraId="7998F87D" w14:textId="77777777" w:rsidR="006120EE" w:rsidRPr="006A1EC7" w:rsidRDefault="006120EE" w:rsidP="006120EE">
      <w:pPr>
        <w:pStyle w:val="Heading2"/>
        <w:rPr>
          <w:rFonts w:ascii="Times New Roman" w:hAnsi="Times New Roman" w:cs="Times New Roman"/>
        </w:rPr>
      </w:pPr>
      <w:bookmarkStart w:id="134" w:name="_Toc22126831"/>
      <w:bookmarkStart w:id="135" w:name="_Toc23522720"/>
      <w:bookmarkStart w:id="136" w:name="_Toc38821436"/>
      <w:bookmarkStart w:id="137" w:name="_Toc40172992"/>
      <w:r w:rsidRPr="006A1EC7">
        <w:rPr>
          <w:rFonts w:ascii="Times New Roman" w:hAnsi="Times New Roman" w:cs="Times New Roman"/>
        </w:rPr>
        <w:t>Themes</w:t>
      </w:r>
      <w:bookmarkEnd w:id="134"/>
      <w:bookmarkEnd w:id="135"/>
      <w:bookmarkEnd w:id="136"/>
      <w:bookmarkEnd w:id="137"/>
    </w:p>
    <w:p w14:paraId="7C81C23A" w14:textId="77777777" w:rsidR="006120EE" w:rsidRPr="006A1EC7" w:rsidRDefault="006120EE" w:rsidP="006120EE">
      <w:pPr>
        <w:spacing w:line="360" w:lineRule="auto"/>
      </w:pPr>
    </w:p>
    <w:p w14:paraId="19051DCA" w14:textId="1EC5F832" w:rsidR="006120EE" w:rsidRPr="006A1EC7" w:rsidRDefault="006120EE" w:rsidP="006120EE">
      <w:pPr>
        <w:spacing w:line="360" w:lineRule="auto"/>
        <w:ind w:firstLine="720"/>
      </w:pPr>
      <w:r w:rsidRPr="006A1EC7">
        <w:lastRenderedPageBreak/>
        <w:t xml:space="preserve">A total of five themes were developed from the interviews (Graphic 9). There was one clinical theme, completely consistent of semantic themes; and four psychosocial themes which were comprised of both latent as well as semantic themes. This thesis Chapter focuses solely on the development of potential items for the Clinical Outcome Assessment for </w:t>
      </w:r>
      <w:r w:rsidR="009F0718" w:rsidRPr="006A1EC7">
        <w:t>WHS</w:t>
      </w:r>
      <w:r w:rsidRPr="006A1EC7">
        <w:t xml:space="preserve">; therefore, only the first theme (Theme 1: Clinical Features of </w:t>
      </w:r>
      <w:r w:rsidR="009F0718" w:rsidRPr="006A1EC7">
        <w:t>WHS</w:t>
      </w:r>
      <w:r w:rsidRPr="006A1EC7">
        <w:t xml:space="preserve">) is reported on and discussed in this Chapter. </w:t>
      </w:r>
    </w:p>
    <w:p w14:paraId="74548574" w14:textId="77777777" w:rsidR="006120EE" w:rsidRPr="006A1EC7" w:rsidRDefault="006120EE" w:rsidP="006120EE">
      <w:pPr>
        <w:spacing w:line="360" w:lineRule="auto"/>
        <w:ind w:firstLine="720"/>
      </w:pPr>
      <w:r w:rsidRPr="006A1EC7">
        <w:t xml:space="preserve">The next Chapter (Chapter 4) will describe and discuss the psychosocial findings of the interviews. This is particularly important as the systematic review did not reveal any literature assessing the psychosocial impact of the illness on patients and relatives. Therefore, it is essential to report the psychosocial findings obtained in the current study as they are the first step to addressing this gap in knowledge and literature. These findings, however, are not directly relevant to the content of the WHS-ClinRo, which is being developed to assess patient functioning and health status </w:t>
      </w:r>
      <w:r w:rsidRPr="006A1EC7">
        <w:fldChar w:fldCharType="begin" w:fldLock="1"/>
      </w:r>
      <w:r w:rsidRPr="006A1EC7">
        <w:instrText>ADDIN CSL_CITATION {"citationItems":[{"id":"ITEM-1","itemData":{"URL":"https://www.fda.gov/drugs/developmentapprovalprocess/drugdevelopmenttoolsqualificationprogram/ucm284077.htm","accessed":{"date-parts":[["2017","9","11"]]},"author":[{"dropping-particle":"","family":"U.S. Department of Health and Human Services: Food and Drug Administration","given":"","non-dropping-particle":"","parse-names":false,"suffix":""},{"dropping-particle":"","family":"U.S. Food and Drug Administration","given":"","non-dropping-particle":"","parse-names":false,"suffix":""}],"id":"ITEM-1","issued":{"date-parts":[["2017"]]},"title":"Clinical Outcome Assessment Qualification Program","type":"webpage"},"uris":["http://www.mendeley.com/documents/?uuid=9766beb7-1ed3-4a03-a387-dfb6c26d6b23"]}],"mendeley":{"formattedCitation":"(U.S. Department of Health and Human Services: Food and Drug Administration &amp; U.S. Food and Drug Administration, 2017)","plainTextFormattedCitation":"(U.S. Department of Health and Human Services: Food and Drug Administration &amp; U.S. Food and Drug Administration, 2017)","previouslyFormattedCitation":"(U.S. Department of Health and Human Services: Food and Drug Administration &amp; U.S. Food and Drug Administration, 2017)"},"properties":{"noteIndex":0},"schema":"https://github.com/citation-style-language/schema/raw/master/csl-citation.json"}</w:instrText>
      </w:r>
      <w:r w:rsidRPr="006A1EC7">
        <w:fldChar w:fldCharType="separate"/>
      </w:r>
      <w:r w:rsidRPr="006A1EC7">
        <w:rPr>
          <w:noProof/>
        </w:rPr>
        <w:t>(U.S. Department of Health and Human Services: Food and Drug Administration &amp; U.S. Food and Drug Administration, 2017)</w:t>
      </w:r>
      <w:r w:rsidRPr="006A1EC7">
        <w:fldChar w:fldCharType="end"/>
      </w:r>
      <w:r w:rsidRPr="006A1EC7">
        <w:t xml:space="preserve">. </w:t>
      </w:r>
    </w:p>
    <w:p w14:paraId="6990A062" w14:textId="77777777" w:rsidR="006120EE" w:rsidRPr="006A1EC7" w:rsidRDefault="006120EE" w:rsidP="006120EE">
      <w:pPr>
        <w:spacing w:line="360" w:lineRule="auto"/>
        <w:ind w:firstLine="720"/>
      </w:pPr>
      <w:r w:rsidRPr="006A1EC7">
        <w:t xml:space="preserve">Data saturation grids were developed for all themes, and are presented separately in the Chapters their results and content are discussed in. While there is some debate in the literature regarding the use and utility of data saturation grid </w:t>
      </w:r>
      <w:r w:rsidRPr="006A1EC7">
        <w:fldChar w:fldCharType="begin" w:fldLock="1"/>
      </w:r>
      <w:r w:rsidRPr="006A1EC7">
        <w:instrText>ADDIN CSL_CITATION {"citationItems":[{"id":"ITEM-1","itemData":{"ISSN":"10520147","abstract":"Failure to reach data saturation has an impact on the quality of the research conducted and hampers content validity. The aim of a study should include what determines when data saturation is achieved, for a small study will reach saturation more rapidly than a larger study. Data saturation is reached when there is enough information to replicate the study when the ability to obtain additional new information has been attained, and when further coding is no longer feasible. The following article critiques two qualitative studies for data saturation: Wolcott (2004) and Landau and Drori (2008). Failure to reach data saturation has a negative impact on the validity on one’s research. The intended audience is novice student researchers.","author":[{"dropping-particle":"","family":"Fusch","given":"Patricia I.","non-dropping-particle":"","parse-names":false,"suffix":""},{"dropping-particle":"","family":"Ness","given":"Lawrence R.","non-dropping-particle":"","parse-names":false,"suffix":""}],"container-title":"Qualitative Report","id":"ITEM-1","issue":"9","issued":{"date-parts":[["2015"]]},"page":"1408-1416","title":"Are we there yet? Data saturation in qualitative research","type":"article-journal","volume":"20"},"uris":["http://www.mendeley.com/documents/?uuid=5c7ffb3d-8f12-47d2-addc-10d6f6c49328"]}],"mendeley":{"formattedCitation":"(Fusch &amp; Ness, 2015)","plainTextFormattedCitation":"(Fusch &amp; Ness, 2015)","previouslyFormattedCitation":"(Fusch &amp; Ness, 2015)"},"properties":{"noteIndex":0},"schema":"https://github.com/citation-style-language/schema/raw/master/csl-citation.json"}</w:instrText>
      </w:r>
      <w:r w:rsidRPr="006A1EC7">
        <w:fldChar w:fldCharType="separate"/>
      </w:r>
      <w:r w:rsidRPr="006A1EC7">
        <w:rPr>
          <w:noProof/>
        </w:rPr>
        <w:t>(Fusch &amp; Ness, 2015)</w:t>
      </w:r>
      <w:r w:rsidRPr="006A1EC7">
        <w:fldChar w:fldCharType="end"/>
      </w:r>
      <w:r w:rsidRPr="006A1EC7">
        <w:t>; it was decided to include these tables/grids as it is also a method to further demonstrate prevalence and interview discourse in a graphic way and to aid understanding (Table 8).</w:t>
      </w:r>
    </w:p>
    <w:p w14:paraId="6C65C982" w14:textId="77777777" w:rsidR="006120EE" w:rsidRPr="006A1EC7" w:rsidRDefault="006120EE" w:rsidP="006120EE">
      <w:pPr>
        <w:spacing w:line="360" w:lineRule="auto"/>
        <w:ind w:firstLine="720"/>
      </w:pPr>
      <w:r w:rsidRPr="006A1EC7">
        <w:t>Some subthemes were negative themes; meaning they were only reported by one participant or related to only one individual with WHS in the sample. It was felt important to include the negative themes in this thesis due to the fact that WHS is such a complex and heterogeneous disease with a plethora of clinical features. This is also in keeping with the notion that the prevalence of a theme does not necessarily indicate its overall importance.</w:t>
      </w:r>
    </w:p>
    <w:p w14:paraId="17F06E60" w14:textId="77777777" w:rsidR="006120EE" w:rsidRPr="006A1EC7" w:rsidRDefault="006120EE" w:rsidP="006120EE"/>
    <w:p w14:paraId="4E48733E" w14:textId="49B370FA" w:rsidR="006120EE" w:rsidRPr="006A1EC7" w:rsidRDefault="006120EE" w:rsidP="006120EE">
      <w:pPr>
        <w:pStyle w:val="Heading2"/>
        <w:rPr>
          <w:rFonts w:ascii="Times New Roman" w:hAnsi="Times New Roman" w:cs="Times New Roman"/>
        </w:rPr>
      </w:pPr>
      <w:bookmarkStart w:id="138" w:name="_Toc22126833"/>
      <w:bookmarkStart w:id="139" w:name="_Toc23522721"/>
      <w:bookmarkStart w:id="140" w:name="_Toc38821437"/>
      <w:bookmarkStart w:id="141" w:name="_Toc40172993"/>
      <w:r w:rsidRPr="006A1EC7">
        <w:rPr>
          <w:rFonts w:ascii="Times New Roman" w:hAnsi="Times New Roman" w:cs="Times New Roman"/>
        </w:rPr>
        <w:t xml:space="preserve">Theme 1: Clinical Features of </w:t>
      </w:r>
      <w:r w:rsidR="009F0718" w:rsidRPr="006A1EC7">
        <w:rPr>
          <w:rFonts w:ascii="Times New Roman" w:hAnsi="Times New Roman" w:cs="Times New Roman"/>
        </w:rPr>
        <w:t>WHS</w:t>
      </w:r>
      <w:bookmarkEnd w:id="138"/>
      <w:bookmarkEnd w:id="139"/>
      <w:bookmarkEnd w:id="140"/>
      <w:bookmarkEnd w:id="141"/>
    </w:p>
    <w:p w14:paraId="4C7A01C4" w14:textId="77777777" w:rsidR="006120EE" w:rsidRPr="006A1EC7" w:rsidRDefault="006120EE" w:rsidP="006120EE">
      <w:pPr>
        <w:spacing w:line="360" w:lineRule="auto"/>
      </w:pPr>
      <w:r w:rsidRPr="006A1EC7">
        <w:tab/>
      </w:r>
    </w:p>
    <w:p w14:paraId="7FA299C9" w14:textId="254A752E" w:rsidR="006120EE" w:rsidRPr="006A1EC7" w:rsidRDefault="006120EE" w:rsidP="006120EE">
      <w:pPr>
        <w:spacing w:line="360" w:lineRule="auto"/>
      </w:pPr>
      <w:r w:rsidRPr="006A1EC7">
        <w:t xml:space="preserve">This theme reflects all discourse and narratives in relation to the clinical features of </w:t>
      </w:r>
      <w:r w:rsidR="009F0718" w:rsidRPr="006A1EC7">
        <w:t>WHS</w:t>
      </w:r>
      <w:r w:rsidRPr="006A1EC7">
        <w:t xml:space="preserve">. It has nine subthemes, reflecting the complexity and multifaceted nature of the disease. </w:t>
      </w:r>
    </w:p>
    <w:p w14:paraId="1BF2AF34" w14:textId="77777777" w:rsidR="006120EE" w:rsidRPr="006A1EC7" w:rsidRDefault="006120EE" w:rsidP="006120EE">
      <w:pPr>
        <w:spacing w:line="360" w:lineRule="auto"/>
      </w:pPr>
    </w:p>
    <w:p w14:paraId="4838290B" w14:textId="77777777" w:rsidR="006120EE" w:rsidRPr="006A1EC7" w:rsidRDefault="006120EE" w:rsidP="00744A8E">
      <w:pPr>
        <w:pStyle w:val="Heading3"/>
        <w:rPr>
          <w:rFonts w:ascii="Times New Roman" w:hAnsi="Times New Roman" w:cs="Times New Roman"/>
        </w:rPr>
      </w:pPr>
      <w:r w:rsidRPr="006A1EC7">
        <w:rPr>
          <w:rFonts w:ascii="Times New Roman" w:hAnsi="Times New Roman" w:cs="Times New Roman"/>
        </w:rPr>
        <w:t>Subheme 1.1: Epilepsy</w:t>
      </w:r>
      <w:r w:rsidRPr="006A1EC7">
        <w:rPr>
          <w:rFonts w:ascii="Times New Roman" w:hAnsi="Times New Roman" w:cs="Times New Roman"/>
        </w:rPr>
        <w:br/>
      </w:r>
    </w:p>
    <w:p w14:paraId="2D8B6BF4" w14:textId="77777777" w:rsidR="006120EE" w:rsidRPr="006A1EC7" w:rsidRDefault="006120EE" w:rsidP="006120EE">
      <w:pPr>
        <w:spacing w:line="360" w:lineRule="auto"/>
        <w:ind w:firstLine="720"/>
      </w:pPr>
      <w:r w:rsidRPr="006A1EC7">
        <w:t xml:space="preserve">Discourse around the clinical features of WHS revealed that participants were most concerned about the impact of epilepsy and seizures on their relative’s life (Subtheme 1.1). </w:t>
      </w:r>
      <w:r w:rsidRPr="006A1EC7">
        <w:lastRenderedPageBreak/>
        <w:t xml:space="preserve">The majority of patients that were reported on in the sample were affected by this clinical feature. Reports indicated that the first seizures all occurred within the first two years of life (Subtheme 1.1.1). Distress, sensory overload, aspiration, choking/hypoxia, teething, fevers and infections were described as common triggers for relatives’ seizures (Subtheme 1.1.2). Some participants were able to describe warnings signs that a seizure may be about to occur in their affected relative with WHS. These reportedly included twitching, distress and involuntary movements (Subtheme 1.1.3). </w:t>
      </w:r>
      <w:r w:rsidRPr="006A1EC7">
        <w:br/>
      </w:r>
    </w:p>
    <w:p w14:paraId="58B94B20" w14:textId="77777777" w:rsidR="006120EE" w:rsidRPr="006A1EC7" w:rsidRDefault="006120EE" w:rsidP="006120EE">
      <w:pPr>
        <w:spacing w:line="276" w:lineRule="auto"/>
        <w:ind w:left="720"/>
      </w:pPr>
      <w:r w:rsidRPr="006A1EC7">
        <w:t>“</w:t>
      </w:r>
      <w:r w:rsidRPr="006A1EC7">
        <w:rPr>
          <w:i/>
        </w:rPr>
        <w:t>She gets distressed before (…) and then, um, it’s just on because she’s right hemiplegic, you know that she’s having one because her right side goes up.”</w:t>
      </w:r>
      <w:r w:rsidRPr="006A1EC7">
        <w:t xml:space="preserve"> (WHS9)</w:t>
      </w:r>
    </w:p>
    <w:p w14:paraId="57840282" w14:textId="77777777" w:rsidR="006120EE" w:rsidRPr="006A1EC7" w:rsidRDefault="006120EE" w:rsidP="006120EE">
      <w:pPr>
        <w:spacing w:line="276" w:lineRule="auto"/>
        <w:ind w:left="720"/>
      </w:pPr>
      <w:r w:rsidRPr="006A1EC7">
        <w:t>“</w:t>
      </w:r>
      <w:r w:rsidRPr="006A1EC7">
        <w:rPr>
          <w:i/>
        </w:rPr>
        <w:t>Now bear in mind he was hypotonic so he couldn’t move, alright? So any movement he did have was unusual</w:t>
      </w:r>
      <w:r w:rsidRPr="006A1EC7">
        <w:t>.” (WHS5)</w:t>
      </w:r>
    </w:p>
    <w:p w14:paraId="7E61270A" w14:textId="77777777" w:rsidR="006120EE" w:rsidRPr="006A1EC7" w:rsidRDefault="006120EE" w:rsidP="006120EE">
      <w:pPr>
        <w:spacing w:line="360" w:lineRule="auto"/>
      </w:pPr>
    </w:p>
    <w:p w14:paraId="7023A776" w14:textId="51A2FE41" w:rsidR="006120EE" w:rsidRPr="006A1EC7" w:rsidRDefault="006120EE" w:rsidP="006120EE">
      <w:pPr>
        <w:spacing w:line="360" w:lineRule="auto"/>
      </w:pPr>
      <w:r w:rsidRPr="006A1EC7">
        <w:t xml:space="preserve">However, during the interviews, issues were raised about people’s abilities to read these warning signs correctly and respond adequately. One father, for example, </w:t>
      </w:r>
      <w:r w:rsidR="002960EA" w:rsidRPr="006A1EC7">
        <w:t xml:space="preserve">reported </w:t>
      </w:r>
      <w:r w:rsidRPr="006A1EC7">
        <w:t xml:space="preserve">that he sometimes struggled identifying involuntary movements as normal involuntary movements or those caused by seizure activity. Other participants expressed concerns about leaving their affected relative in the care of others who were perceived as unable to read the warning signs and act accordingly. </w:t>
      </w:r>
      <w:r w:rsidRPr="006A1EC7">
        <w:br/>
      </w:r>
    </w:p>
    <w:p w14:paraId="22DC4B63" w14:textId="77777777" w:rsidR="006120EE" w:rsidRPr="006A1EC7" w:rsidRDefault="006120EE" w:rsidP="006120EE">
      <w:pPr>
        <w:spacing w:line="276" w:lineRule="auto"/>
        <w:ind w:left="720"/>
      </w:pPr>
      <w:r w:rsidRPr="006A1EC7">
        <w:t>“</w:t>
      </w:r>
      <w:r w:rsidRPr="006A1EC7">
        <w:rPr>
          <w:i/>
        </w:rPr>
        <w:t xml:space="preserve">We (…) didn't identify it before because he's always had a bit of </w:t>
      </w:r>
      <m:oMath>
        <m:d>
          <m:dPr>
            <m:begChr m:val="["/>
            <m:endChr m:val="]"/>
            <m:ctrlPr>
              <w:rPr>
                <w:rFonts w:ascii="Cambria Math" w:hAnsi="Cambria Math"/>
                <w:i/>
              </w:rPr>
            </m:ctrlPr>
          </m:dPr>
          <m:e>
            <m:r>
              <w:rPr>
                <w:rFonts w:ascii="Cambria Math" w:hAnsi="Cambria Math"/>
              </w:rPr>
              <m:t>in-</m:t>
            </m:r>
          </m:e>
        </m:d>
      </m:oMath>
      <w:r w:rsidRPr="006A1EC7">
        <w:rPr>
          <w:i/>
        </w:rPr>
        <w:t>voluntary movement, and he still gets that when he gets excited or when he's tired, a little involuntary twitching arm movement, something like that. So it was hard to differentiate sometimes between that and what was a start of a seizure.” (</w:t>
      </w:r>
      <w:r w:rsidRPr="006A1EC7">
        <w:t>WHS3C)</w:t>
      </w:r>
    </w:p>
    <w:p w14:paraId="7844CFA1" w14:textId="77777777" w:rsidR="006120EE" w:rsidRPr="006A1EC7" w:rsidRDefault="006120EE" w:rsidP="006120EE">
      <w:pPr>
        <w:spacing w:line="276" w:lineRule="auto"/>
        <w:ind w:left="720"/>
      </w:pPr>
      <w:r w:rsidRPr="006A1EC7">
        <w:t>“</w:t>
      </w:r>
      <w:r w:rsidRPr="006A1EC7">
        <w:rPr>
          <w:i/>
        </w:rPr>
        <w:t>But it’s extremely difficult for people who don’t know her…to realise she’s actually having a seizure in those times, so she is actually having those all the time.”</w:t>
      </w:r>
      <w:r w:rsidRPr="006A1EC7">
        <w:t xml:space="preserve"> (WHS7)</w:t>
      </w:r>
    </w:p>
    <w:p w14:paraId="02DE5C50" w14:textId="77777777" w:rsidR="006120EE" w:rsidRPr="006A1EC7" w:rsidRDefault="006120EE" w:rsidP="006120EE">
      <w:pPr>
        <w:spacing w:line="276" w:lineRule="auto"/>
        <w:ind w:left="720"/>
        <w:rPr>
          <w:i/>
        </w:rPr>
      </w:pPr>
      <w:r w:rsidRPr="006A1EC7">
        <w:rPr>
          <w:i/>
        </w:rPr>
        <w:t>“It’s quite complicated to observe and to… it’s also (…) really complicated to train other people…because it’s so subtle, you’ve got to know the child, and you’ve literally got to know their face, their facial movements, so it’s really difficult to leave him with people, you know, so… I couldn’t leave him with old people, like grandparents, because they just weren’t in tune enough. Um, they love being with him and everything, they always have, but they just don’t pick it up…and literally I could walk into a room and go ‘ahh, he’s having a seizure’ and they hadn’t noticed, they hadn’t recognised, you know, the symptoms.”</w:t>
      </w:r>
      <w:r w:rsidRPr="006A1EC7">
        <w:t xml:space="preserve"> (WHS5)</w:t>
      </w:r>
    </w:p>
    <w:p w14:paraId="27881040" w14:textId="77777777" w:rsidR="006120EE" w:rsidRPr="006A1EC7" w:rsidRDefault="006120EE" w:rsidP="006120EE">
      <w:pPr>
        <w:spacing w:line="276" w:lineRule="auto"/>
      </w:pPr>
    </w:p>
    <w:p w14:paraId="29E44105" w14:textId="77777777" w:rsidR="006120EE" w:rsidRPr="006A1EC7" w:rsidRDefault="006120EE" w:rsidP="006120EE">
      <w:pPr>
        <w:spacing w:line="360" w:lineRule="auto"/>
      </w:pPr>
      <w:r w:rsidRPr="006A1EC7">
        <w:t xml:space="preserve">In terms of seizures: characteristics (Subtheme 1.1.4), seizure quantity (Subtheme 1.1.4.1), frequency (Subtheme 1.1.4.2), and duration (Subtheme 1.1.4.3) were determining aspects as to how significant an issue seizures/epilepsy were perceived to be. Some relatives reported </w:t>
      </w:r>
      <w:r w:rsidRPr="006A1EC7">
        <w:lastRenderedPageBreak/>
        <w:t xml:space="preserve">seizure clusters with their relatives having between thirty to hundreds of seizures a day. Seizure frequency was reported as ranging between daily, monthly, every other month to none. In terms of length and duration of seizures, there was a lot of variation in the discourse, and a full spectrum of severity of duration was present: on one hand, some patients only had shorter (and milder) absence type seizures, while on the other hand some patients experienced seizures lasting up to four hours. </w:t>
      </w:r>
    </w:p>
    <w:p w14:paraId="349F1829" w14:textId="77777777" w:rsidR="006120EE" w:rsidRPr="006A1EC7" w:rsidRDefault="006120EE" w:rsidP="006120EE">
      <w:pPr>
        <w:spacing w:line="360" w:lineRule="auto"/>
        <w:ind w:firstLine="720"/>
      </w:pPr>
      <w:r w:rsidRPr="006A1EC7">
        <w:t xml:space="preserve">In terms of seizure types, participants reported their relatives to experience absences, tonic-clonic as well as focal seizures. </w:t>
      </w:r>
    </w:p>
    <w:p w14:paraId="566EB156" w14:textId="77777777" w:rsidR="006120EE" w:rsidRPr="006A1EC7" w:rsidRDefault="006120EE" w:rsidP="006120EE">
      <w:pPr>
        <w:spacing w:line="360" w:lineRule="auto"/>
        <w:ind w:firstLine="720"/>
      </w:pPr>
      <w:r w:rsidRPr="006A1EC7">
        <w:t>Reports on the level of after-care required post seizures varied: some families reported managing the after-care themselves, others reported relying on HCPs for after-care, such as paramedics to administer rescue medication (WHS3C) or even requiring admissions to an “</w:t>
      </w:r>
      <w:r w:rsidRPr="006A1EC7">
        <w:rPr>
          <w:i/>
        </w:rPr>
        <w:t>intensive care unit</w:t>
      </w:r>
      <w:r w:rsidRPr="006A1EC7">
        <w:t>” (WHS10) for “</w:t>
      </w:r>
      <w:r w:rsidRPr="006A1EC7">
        <w:rPr>
          <w:i/>
        </w:rPr>
        <w:t>life support</w:t>
      </w:r>
      <w:r w:rsidRPr="006A1EC7">
        <w:t>” (WHS2A) or “</w:t>
      </w:r>
      <w:r w:rsidRPr="006A1EC7">
        <w:rPr>
          <w:i/>
        </w:rPr>
        <w:t>resus”</w:t>
      </w:r>
      <w:r w:rsidRPr="006A1EC7">
        <w:t xml:space="preserve"> (WHS5).</w:t>
      </w:r>
      <w:r w:rsidRPr="006A1EC7">
        <w:br/>
      </w:r>
    </w:p>
    <w:p w14:paraId="6F962547" w14:textId="77777777" w:rsidR="006120EE" w:rsidRPr="006A1EC7" w:rsidRDefault="006120EE" w:rsidP="006120EE">
      <w:pPr>
        <w:spacing w:line="276" w:lineRule="auto"/>
        <w:ind w:left="720"/>
      </w:pPr>
      <w:r w:rsidRPr="006A1EC7">
        <w:t>“</w:t>
      </w:r>
      <w:r w:rsidRPr="006A1EC7">
        <w:rPr>
          <w:i/>
        </w:rPr>
        <w:t>So sometimes it’s questionable whether it’s a seizure, and then you give him the buccal and it just stops… and he carries on playing, and you’re like…yeah, it was a seizure.”</w:t>
      </w:r>
      <w:r w:rsidRPr="006A1EC7">
        <w:t xml:space="preserve"> (WHS5)</w:t>
      </w:r>
    </w:p>
    <w:p w14:paraId="6E210A5A" w14:textId="77777777" w:rsidR="006120EE" w:rsidRPr="006A1EC7" w:rsidRDefault="006120EE" w:rsidP="006120EE">
      <w:pPr>
        <w:spacing w:line="276" w:lineRule="auto"/>
        <w:ind w:left="720"/>
      </w:pPr>
      <w:r w:rsidRPr="006A1EC7">
        <w:t>“</w:t>
      </w:r>
      <w:r w:rsidRPr="006A1EC7">
        <w:rPr>
          <w:i/>
        </w:rPr>
        <w:t>Seizure recovery medicine …  we've given him that once, pretty much stopped him breathing. Uhm he was so weak and it was so powerful</w:t>
      </w:r>
      <w:r w:rsidRPr="006A1EC7">
        <w:t>.” (WHS3C)</w:t>
      </w:r>
    </w:p>
    <w:p w14:paraId="04971EC0" w14:textId="77777777" w:rsidR="006120EE" w:rsidRPr="006A1EC7" w:rsidRDefault="006120EE" w:rsidP="006120EE">
      <w:pPr>
        <w:spacing w:line="276" w:lineRule="auto"/>
        <w:ind w:left="720"/>
      </w:pPr>
      <w:r w:rsidRPr="006A1EC7">
        <w:t>“</w:t>
      </w:r>
      <w:r w:rsidRPr="006A1EC7">
        <w:rPr>
          <w:i/>
          <w:iCs/>
        </w:rPr>
        <w:t>Then when he was 9 months old, he had a massive one where he ended up in intensive care.”</w:t>
      </w:r>
      <w:r w:rsidRPr="006A1EC7">
        <w:t xml:space="preserve"> (WHS10)</w:t>
      </w:r>
    </w:p>
    <w:p w14:paraId="34836F90" w14:textId="77777777" w:rsidR="006120EE" w:rsidRPr="006A1EC7" w:rsidRDefault="006120EE" w:rsidP="006120EE">
      <w:pPr>
        <w:spacing w:line="360" w:lineRule="auto"/>
      </w:pPr>
      <w:r w:rsidRPr="006A1EC7">
        <w:br/>
        <w:t>The majority of patients with WHS reported on in the sample were on at least one type of anti-epileptic medication (Subtheme 1.1.6), however, within this theme, narratives around the use and efficacy of epilepsy drugs varied (Subtheme 1.1.6.1)</w:t>
      </w:r>
    </w:p>
    <w:p w14:paraId="315BA98D" w14:textId="77777777" w:rsidR="006120EE" w:rsidRPr="006A1EC7" w:rsidRDefault="006120EE" w:rsidP="006120EE">
      <w:pPr>
        <w:spacing w:line="360" w:lineRule="auto"/>
        <w:ind w:firstLine="720"/>
      </w:pPr>
      <w:r w:rsidRPr="006A1EC7">
        <w:t>Some children and adults were seizure free as a result of medication, others continued to experience a number of seizures - despite being on medication, as medication did not “</w:t>
      </w:r>
      <w:r w:rsidRPr="006A1EC7">
        <w:rPr>
          <w:i/>
        </w:rPr>
        <w:t>rule them out</w:t>
      </w:r>
      <w:r w:rsidRPr="006A1EC7">
        <w:t>” (WHS1).</w:t>
      </w:r>
    </w:p>
    <w:p w14:paraId="24844F94" w14:textId="77777777" w:rsidR="006120EE" w:rsidRPr="006A1EC7" w:rsidRDefault="006120EE" w:rsidP="006120EE">
      <w:pPr>
        <w:spacing w:line="360" w:lineRule="auto"/>
        <w:ind w:firstLine="720"/>
      </w:pPr>
      <w:r w:rsidRPr="006A1EC7">
        <w:t>Participants repeatedly voiced their concerns about epilepsy and seizures in their interviews and emphasised the priority for their affected relatives to become seizure free. One parent, for example, strongly emphasised that the goal should be “</w:t>
      </w:r>
      <w:r w:rsidRPr="006A1EC7">
        <w:rPr>
          <w:i/>
          <w:iCs/>
        </w:rPr>
        <w:t>no seizures</w:t>
      </w:r>
      <w:r w:rsidRPr="006A1EC7">
        <w:t xml:space="preserve">” (WHS1), and that recurrent seizures, despite medication, were not acceptable, due to the detrimental effects on her child’s development. </w:t>
      </w:r>
    </w:p>
    <w:p w14:paraId="02EDB3F1" w14:textId="77777777" w:rsidR="006120EE" w:rsidRPr="006A1EC7" w:rsidRDefault="006120EE" w:rsidP="006120EE">
      <w:pPr>
        <w:spacing w:line="360" w:lineRule="auto"/>
        <w:ind w:firstLine="720"/>
      </w:pPr>
    </w:p>
    <w:p w14:paraId="741CC97D" w14:textId="77777777" w:rsidR="006120EE" w:rsidRPr="006A1EC7" w:rsidRDefault="006120EE" w:rsidP="006120EE">
      <w:pPr>
        <w:ind w:left="720"/>
      </w:pPr>
      <w:r w:rsidRPr="006A1EC7">
        <w:t>“</w:t>
      </w:r>
      <w:r w:rsidRPr="006A1EC7">
        <w:rPr>
          <w:i/>
        </w:rPr>
        <w:t>You want your child to be seizure free, and if the medication's not doing it, then you need to find another one.”</w:t>
      </w:r>
      <w:r w:rsidRPr="006A1EC7">
        <w:t xml:space="preserve"> (WHS1)</w:t>
      </w:r>
    </w:p>
    <w:p w14:paraId="0F6AAF4F" w14:textId="77777777" w:rsidR="006120EE" w:rsidRPr="006A1EC7" w:rsidRDefault="006120EE" w:rsidP="006120EE">
      <w:pPr>
        <w:spacing w:line="360" w:lineRule="auto"/>
      </w:pPr>
    </w:p>
    <w:p w14:paraId="0AD42DAA" w14:textId="77777777" w:rsidR="006120EE" w:rsidRPr="006A1EC7" w:rsidRDefault="006120EE" w:rsidP="006120EE">
      <w:pPr>
        <w:spacing w:line="360" w:lineRule="auto"/>
        <w:ind w:firstLine="720"/>
      </w:pPr>
      <w:r w:rsidRPr="006A1EC7">
        <w:lastRenderedPageBreak/>
        <w:t xml:space="preserve">Family members of children and adults who have previously been on a certain dose of anti-epileptic medication, and to whom a reduction in medication dosage was suggested by their HCPs, reacted strongly and reported fears of stopping the medication and a re-occurrence of the often traumatic seizures. </w:t>
      </w:r>
    </w:p>
    <w:p w14:paraId="08E87C92" w14:textId="77777777" w:rsidR="006120EE" w:rsidRPr="006A1EC7" w:rsidRDefault="006120EE" w:rsidP="006120EE">
      <w:pPr>
        <w:spacing w:line="360" w:lineRule="auto"/>
        <w:ind w:firstLine="720"/>
      </w:pPr>
    </w:p>
    <w:p w14:paraId="59FFAE27" w14:textId="77777777" w:rsidR="006120EE" w:rsidRPr="006A1EC7" w:rsidRDefault="006120EE" w:rsidP="006120EE">
      <w:pPr>
        <w:ind w:left="720"/>
      </w:pPr>
      <w:r w:rsidRPr="006A1EC7">
        <w:rPr>
          <w:i/>
        </w:rPr>
        <w:t>“I have had this recent one because he's two and a half years seizure free and his neurologist was like, he didn't, he was like erm 'we'll talk about weaning', I says 'we're not talking about weaning’'”</w:t>
      </w:r>
      <w:r w:rsidRPr="006A1EC7">
        <w:t xml:space="preserve"> (WHS1)</w:t>
      </w:r>
    </w:p>
    <w:p w14:paraId="40C8E217" w14:textId="77777777" w:rsidR="006120EE" w:rsidRPr="006A1EC7" w:rsidRDefault="006120EE" w:rsidP="006120EE">
      <w:pPr>
        <w:rPr>
          <w:i/>
        </w:rPr>
      </w:pPr>
    </w:p>
    <w:p w14:paraId="7596509D" w14:textId="77777777" w:rsidR="006120EE" w:rsidRPr="006A1EC7" w:rsidRDefault="006120EE" w:rsidP="006120EE">
      <w:pPr>
        <w:ind w:left="720"/>
      </w:pPr>
      <w:r w:rsidRPr="006A1EC7">
        <w:rPr>
          <w:i/>
        </w:rPr>
        <w:t xml:space="preserve">“His seizure consultant wanted to reduce </w:t>
      </w:r>
      <m:oMath>
        <m:r>
          <w:rPr>
            <w:rFonts w:ascii="Cambria Math" w:hAnsi="Cambria Math"/>
          </w:rPr>
          <m:t xml:space="preserve">… </m:t>
        </m:r>
      </m:oMath>
      <w:r w:rsidRPr="006A1EC7">
        <w:rPr>
          <w:i/>
        </w:rPr>
        <w:t xml:space="preserve">because he’d been 4-months seizure free. We were reluctant, naturally and two weeks into the weaning off process, </w:t>
      </w:r>
      <m:oMath>
        <m:d>
          <m:dPr>
            <m:begChr m:val="["/>
            <m:endChr m:val="]"/>
            <m:ctrlPr>
              <w:rPr>
                <w:rFonts w:ascii="Cambria Math" w:hAnsi="Cambria Math"/>
                <w:i/>
              </w:rPr>
            </m:ctrlPr>
          </m:dPr>
          <m:e>
            <m:r>
              <w:rPr>
                <w:rFonts w:ascii="Cambria Math" w:hAnsi="Cambria Math"/>
              </w:rPr>
              <m:t>so</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 name</m:t>
            </m:r>
          </m:e>
        </m:d>
      </m:oMath>
      <w:r w:rsidRPr="006A1EC7">
        <w:rPr>
          <w:i/>
        </w:rPr>
        <w:t xml:space="preserve"> had a full blown tonic-clonic </w:t>
      </w:r>
      <m:oMath>
        <m:d>
          <m:dPr>
            <m:begChr m:val="["/>
            <m:endChr m:val="]"/>
            <m:ctrlPr>
              <w:rPr>
                <w:rFonts w:ascii="Cambria Math" w:hAnsi="Cambria Math"/>
                <w:i/>
              </w:rPr>
            </m:ctrlPr>
          </m:dPr>
          <m:e>
            <m:r>
              <w:rPr>
                <w:rFonts w:ascii="Cambria Math" w:hAnsi="Cambria Math"/>
              </w:rPr>
              <m:t>seizure</m:t>
            </m:r>
          </m:e>
        </m:d>
      </m:oMath>
      <w:r w:rsidRPr="006A1EC7">
        <w:rPr>
          <w:i/>
        </w:rPr>
        <w:t>, so they stopped the reduction.”</w:t>
      </w:r>
      <w:r w:rsidRPr="006A1EC7">
        <w:t xml:space="preserve"> (WHS8)</w:t>
      </w:r>
    </w:p>
    <w:p w14:paraId="229F8315" w14:textId="77777777" w:rsidR="006120EE" w:rsidRPr="006A1EC7" w:rsidRDefault="006120EE" w:rsidP="006120EE">
      <w:pPr>
        <w:spacing w:line="276" w:lineRule="auto"/>
      </w:pPr>
    </w:p>
    <w:p w14:paraId="5C7493C5" w14:textId="77777777" w:rsidR="006120EE" w:rsidRPr="006A1EC7" w:rsidRDefault="006120EE" w:rsidP="006120EE">
      <w:pPr>
        <w:spacing w:line="360" w:lineRule="auto"/>
        <w:ind w:firstLine="720"/>
      </w:pPr>
      <w:r w:rsidRPr="006A1EC7">
        <w:t xml:space="preserve">Narratives around the impact of their relatives’ epilepsy were both in relation to the health of the patients with WHS and impact on the family members (Subtheme 1.1.7). Family members appeared very attuned to the potential life-threatening consequences of seizures, leading to great distress, anxiety and worry. One mother (WHS7) lost two of her daughters with WHS as they died during seizures, leaving her worried for her third daughter who also suffers from epilepsy. Another mother reported her daughter developed a right hemiplegia after a seizure at 15 months (WHS9). Parents seemed to have especially heightened awareness of the threat posed by seizures. Having no control over the seizures as well as their unpredictability were frequently reported as exacerbating the concern around seizures/epilepsy. Discourse around this topic was often very emotive and upsetting for the relatives. </w:t>
      </w:r>
    </w:p>
    <w:p w14:paraId="7F55CFEB" w14:textId="77777777" w:rsidR="006120EE" w:rsidRPr="006A1EC7" w:rsidRDefault="006120EE" w:rsidP="006120EE">
      <w:pPr>
        <w:spacing w:line="276" w:lineRule="auto"/>
        <w:ind w:firstLine="720"/>
      </w:pPr>
    </w:p>
    <w:p w14:paraId="1A166508" w14:textId="77777777" w:rsidR="006120EE" w:rsidRPr="006A1EC7" w:rsidRDefault="006120EE" w:rsidP="006120EE">
      <w:pPr>
        <w:spacing w:line="276" w:lineRule="auto"/>
        <w:ind w:left="720"/>
      </w:pPr>
      <w:r w:rsidRPr="006A1EC7">
        <w:t>“</w:t>
      </w:r>
      <w:r w:rsidRPr="006A1EC7">
        <w:rPr>
          <w:i/>
        </w:rPr>
        <w:t xml:space="preserve">Um, but the first one was just absolutely dreadful, because </w:t>
      </w:r>
      <m:oMath>
        <m:d>
          <m:dPr>
            <m:begChr m:val="["/>
            <m:endChr m:val="]"/>
            <m:ctrlPr>
              <w:rPr>
                <w:rFonts w:ascii="Cambria Math" w:hAnsi="Cambria Math"/>
                <w:i/>
              </w:rPr>
            </m:ctrlPr>
          </m:dPr>
          <m:e>
            <m:r>
              <w:rPr>
                <w:rFonts w:ascii="Cambria Math" w:hAnsi="Cambria Math"/>
              </w:rPr>
              <m:t>mothe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name</m:t>
            </m:r>
          </m:e>
        </m:d>
        <m:r>
          <w:rPr>
            <w:rFonts w:ascii="Cambria Math" w:hAnsi="Cambria Math"/>
          </w:rPr>
          <m:t xml:space="preserve"> </m:t>
        </m:r>
      </m:oMath>
      <w:r w:rsidRPr="006A1EC7">
        <w:rPr>
          <w:i/>
        </w:rPr>
        <w:t>thought he had died… it was just the most horrendous thing</w:t>
      </w:r>
      <w:r w:rsidRPr="006A1EC7">
        <w:t>.” (WHS3B)</w:t>
      </w:r>
    </w:p>
    <w:p w14:paraId="682EA4B8" w14:textId="77777777" w:rsidR="006120EE" w:rsidRPr="006A1EC7" w:rsidRDefault="006120EE" w:rsidP="006120EE">
      <w:pPr>
        <w:spacing w:line="276" w:lineRule="auto"/>
        <w:ind w:left="720"/>
      </w:pPr>
      <w:r w:rsidRPr="006A1EC7">
        <w:t>“</w:t>
      </w:r>
      <w:r w:rsidRPr="006A1EC7">
        <w:rPr>
          <w:i/>
        </w:rPr>
        <w:t>One night I woke up at 4 o clock in the morning, and it was just so quiet in the room. I don't know why I got up, I turned him over and he was suffocating, he- having a seizure. Now that upsets me (…)  if I wouldn't have woke up, he wouldn't be here.”</w:t>
      </w:r>
      <w:r w:rsidRPr="006A1EC7">
        <w:t xml:space="preserve"> (WHS1)</w:t>
      </w:r>
    </w:p>
    <w:p w14:paraId="60720540" w14:textId="77777777" w:rsidR="006120EE" w:rsidRPr="006A1EC7" w:rsidRDefault="006120EE" w:rsidP="006120EE">
      <w:pPr>
        <w:spacing w:line="276" w:lineRule="auto"/>
        <w:ind w:left="720"/>
      </w:pPr>
      <w:r w:rsidRPr="006A1EC7">
        <w:rPr>
          <w:i/>
        </w:rPr>
        <w:t xml:space="preserve">“And that </w:t>
      </w:r>
      <m:oMath>
        <m:d>
          <m:dPr>
            <m:begChr m:val="["/>
            <m:endChr m:val="]"/>
            <m:ctrlPr>
              <w:rPr>
                <w:rFonts w:ascii="Cambria Math" w:hAnsi="Cambria Math"/>
                <w:i/>
              </w:rPr>
            </m:ctrlPr>
          </m:dPr>
          <m:e>
            <m:r>
              <w:rPr>
                <w:rFonts w:ascii="Cambria Math" w:hAnsi="Cambria Math"/>
              </w:rPr>
              <m:t>so</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 first seizure</m:t>
            </m:r>
          </m:e>
        </m:d>
      </m:oMath>
      <w:r w:rsidRPr="006A1EC7">
        <w:rPr>
          <w:i/>
        </w:rPr>
        <w:t xml:space="preserve"> added a whole new element of fear and risk because like, uhm genuinely thought that we might lose him …”</w:t>
      </w:r>
      <w:r w:rsidRPr="006A1EC7">
        <w:t xml:space="preserve"> (WHS3C)</w:t>
      </w:r>
    </w:p>
    <w:p w14:paraId="1140635C" w14:textId="77777777" w:rsidR="006120EE" w:rsidRPr="006A1EC7" w:rsidRDefault="006120EE" w:rsidP="006120EE">
      <w:pPr>
        <w:spacing w:line="276" w:lineRule="auto"/>
      </w:pPr>
    </w:p>
    <w:p w14:paraId="6E30849B" w14:textId="77777777" w:rsidR="006120EE" w:rsidRPr="006A1EC7" w:rsidRDefault="006120EE" w:rsidP="006120EE">
      <w:pPr>
        <w:spacing w:line="360" w:lineRule="auto"/>
      </w:pPr>
      <w:r w:rsidRPr="006A1EC7">
        <w:t xml:space="preserve">An interesting difference between the perspectives of two mothers of young boys with WHS was found: while one mother suggested that her son’s epilepsy has, in a way, supported his </w:t>
      </w:r>
      <w:r w:rsidRPr="006A1EC7">
        <w:lastRenderedPageBreak/>
        <w:t>cognitive development (WHS5), the other stressed the detrimental effects of her son’s seizures (WHS1).</w:t>
      </w:r>
    </w:p>
    <w:p w14:paraId="565C1363" w14:textId="77777777" w:rsidR="006120EE" w:rsidRPr="006A1EC7" w:rsidRDefault="006120EE" w:rsidP="006120EE">
      <w:pPr>
        <w:spacing w:line="276" w:lineRule="auto"/>
      </w:pPr>
    </w:p>
    <w:p w14:paraId="25609828" w14:textId="77777777" w:rsidR="006120EE" w:rsidRPr="006A1EC7" w:rsidRDefault="006120EE" w:rsidP="006120EE">
      <w:pPr>
        <w:spacing w:line="276" w:lineRule="auto"/>
        <w:ind w:left="720"/>
      </w:pPr>
      <w:r w:rsidRPr="006A1EC7">
        <w:rPr>
          <w:i/>
        </w:rPr>
        <w:t>“Erm, so there's that; and just the total disruption to his own life, and the the cognitive, the cognitive damage it does…. I’d say before he had… the 9 seizures a day, he was cognitively more aware than he is now.“</w:t>
      </w:r>
      <w:r w:rsidRPr="006A1EC7">
        <w:t xml:space="preserve"> (WHS1) </w:t>
      </w:r>
    </w:p>
    <w:p w14:paraId="08EB7386" w14:textId="77777777" w:rsidR="006120EE" w:rsidRPr="006A1EC7" w:rsidRDefault="006120EE" w:rsidP="006120EE">
      <w:pPr>
        <w:spacing w:line="276" w:lineRule="auto"/>
      </w:pPr>
    </w:p>
    <w:p w14:paraId="4BBB8E08" w14:textId="77777777" w:rsidR="006120EE" w:rsidRPr="006A1EC7" w:rsidRDefault="006120EE" w:rsidP="006120EE">
      <w:pPr>
        <w:pStyle w:val="Heading3"/>
        <w:rPr>
          <w:rFonts w:ascii="Times New Roman" w:hAnsi="Times New Roman" w:cs="Times New Roman"/>
        </w:rPr>
      </w:pPr>
      <w:r w:rsidRPr="006A1EC7">
        <w:rPr>
          <w:rFonts w:ascii="Times New Roman" w:hAnsi="Times New Roman" w:cs="Times New Roman"/>
        </w:rPr>
        <w:t>Subtheme 1.2: Gastrointestinal and urological aspects of WHS</w:t>
      </w:r>
    </w:p>
    <w:p w14:paraId="7544A524" w14:textId="77777777" w:rsidR="006120EE" w:rsidRPr="006A1EC7" w:rsidRDefault="006120EE" w:rsidP="006120EE">
      <w:pPr>
        <w:spacing w:line="276" w:lineRule="auto"/>
      </w:pPr>
    </w:p>
    <w:p w14:paraId="052D947E" w14:textId="7500DA74" w:rsidR="006120EE" w:rsidRPr="006A1EC7" w:rsidRDefault="006120EE" w:rsidP="006120EE">
      <w:pPr>
        <w:spacing w:line="360" w:lineRule="auto"/>
        <w:ind w:firstLine="720"/>
      </w:pPr>
      <w:r w:rsidRPr="006A1EC7">
        <w:t>The gastrointestinal and urological aspects of WHS are multifaceted and diverse, which was also reflected in the narratives in the interviews (Theme 1.2). The impact of these clinical features was described as “</w:t>
      </w:r>
      <w:r w:rsidRPr="006A1EC7">
        <w:rPr>
          <w:i/>
          <w:iCs/>
        </w:rPr>
        <w:t xml:space="preserve">important” </w:t>
      </w:r>
      <w:r w:rsidRPr="006A1EC7">
        <w:t>and “</w:t>
      </w:r>
      <w:r w:rsidRPr="006A1EC7">
        <w:rPr>
          <w:i/>
          <w:iCs/>
        </w:rPr>
        <w:t>underestimated”</w:t>
      </w:r>
      <w:r w:rsidRPr="006A1EC7">
        <w:t xml:space="preserve"> (WHS12B). </w:t>
      </w:r>
    </w:p>
    <w:p w14:paraId="40A66790" w14:textId="77777777" w:rsidR="006120EE" w:rsidRPr="006A1EC7" w:rsidRDefault="006120EE" w:rsidP="00744A8E">
      <w:pPr>
        <w:spacing w:line="360" w:lineRule="auto"/>
        <w:ind w:firstLine="720"/>
      </w:pPr>
    </w:p>
    <w:p w14:paraId="4ADFC538" w14:textId="77777777" w:rsidR="006120EE" w:rsidRPr="006A1EC7" w:rsidRDefault="006120EE" w:rsidP="006120EE">
      <w:pPr>
        <w:spacing w:line="360" w:lineRule="auto"/>
      </w:pPr>
      <w:r w:rsidRPr="006A1EC7">
        <w:t>Discourse around issues in relation to feeding were prevalent (Subtheme 1.1.2.1).</w:t>
      </w:r>
      <w:r w:rsidRPr="006A1EC7">
        <w:br/>
      </w:r>
    </w:p>
    <w:p w14:paraId="059DE13F" w14:textId="77777777" w:rsidR="006120EE" w:rsidRPr="006A1EC7" w:rsidRDefault="006120EE" w:rsidP="006120EE">
      <w:pPr>
        <w:spacing w:line="276" w:lineRule="auto"/>
        <w:ind w:left="720"/>
      </w:pPr>
      <w:r w:rsidRPr="006A1EC7">
        <w:t>“</w:t>
      </w:r>
      <w:r w:rsidRPr="006A1EC7">
        <w:rPr>
          <w:i/>
        </w:rPr>
        <w:t>For the first three years, I reckon, feeding was a night- was an absolute nightmare</w:t>
      </w:r>
      <w:r w:rsidRPr="006A1EC7">
        <w:t>” (WHS3A)</w:t>
      </w:r>
    </w:p>
    <w:p w14:paraId="14D6D095" w14:textId="77777777" w:rsidR="006120EE" w:rsidRPr="006A1EC7" w:rsidRDefault="006120EE" w:rsidP="006120EE">
      <w:pPr>
        <w:spacing w:line="276" w:lineRule="auto"/>
        <w:ind w:firstLine="720"/>
      </w:pPr>
    </w:p>
    <w:p w14:paraId="100C9B6E" w14:textId="198C857A" w:rsidR="006120EE" w:rsidRPr="006A1EC7" w:rsidRDefault="006120EE" w:rsidP="006120EE">
      <w:pPr>
        <w:spacing w:line="360" w:lineRule="auto"/>
      </w:pPr>
      <w:r w:rsidRPr="006A1EC7">
        <w:t>For new-borns, it was reported that issues with sucking on breast or bottles often led to weight loss. Narratives indicated that HCPs often failed to recognise these issues were the result of a (potential) genetic syndrome. One mother, for example, was told the feeding difficulties which she was experiencing with her new-born boy were due to her being “</w:t>
      </w:r>
      <w:r w:rsidRPr="006A1EC7">
        <w:rPr>
          <w:i/>
        </w:rPr>
        <w:t xml:space="preserve">a new mum” </w:t>
      </w:r>
      <w:r w:rsidRPr="006A1EC7">
        <w:t>and that she did not know what she was doing (WHS2A).</w:t>
      </w:r>
    </w:p>
    <w:p w14:paraId="4EB38062" w14:textId="77777777" w:rsidR="006120EE" w:rsidRPr="006A1EC7" w:rsidRDefault="006120EE" w:rsidP="006120EE">
      <w:pPr>
        <w:spacing w:line="276" w:lineRule="auto"/>
        <w:ind w:left="720"/>
      </w:pPr>
      <w:r w:rsidRPr="006A1EC7">
        <w:rPr>
          <w:i/>
        </w:rPr>
        <w:t>“He was not, um, sucking the breast, he was not taking any milk…it was very difficult to breast feed him.”</w:t>
      </w:r>
      <w:r w:rsidRPr="006A1EC7">
        <w:t xml:space="preserve"> (WHS6A)</w:t>
      </w:r>
    </w:p>
    <w:p w14:paraId="57511CFF" w14:textId="77777777" w:rsidR="006120EE" w:rsidRPr="006A1EC7" w:rsidRDefault="006120EE" w:rsidP="006120EE">
      <w:pPr>
        <w:spacing w:line="276" w:lineRule="auto"/>
        <w:ind w:left="720"/>
      </w:pPr>
      <w:r w:rsidRPr="006A1EC7">
        <w:t>“</w:t>
      </w:r>
      <w:r w:rsidRPr="006A1EC7">
        <w:rPr>
          <w:i/>
        </w:rPr>
        <w:t>We came home, he wasn’t really latching properly… we ended up back in hospital the first time when he was about 4-5 days old cause he had lost quite a bit of weight.”</w:t>
      </w:r>
      <w:r w:rsidRPr="006A1EC7">
        <w:t xml:space="preserve"> (WHS3A)</w:t>
      </w:r>
    </w:p>
    <w:p w14:paraId="5DD243F8" w14:textId="77777777" w:rsidR="006120EE" w:rsidRPr="006A1EC7" w:rsidRDefault="006120EE" w:rsidP="006120EE">
      <w:pPr>
        <w:spacing w:line="276" w:lineRule="auto"/>
      </w:pPr>
    </w:p>
    <w:p w14:paraId="6686590F" w14:textId="77777777" w:rsidR="006120EE" w:rsidRPr="006A1EC7" w:rsidRDefault="006120EE" w:rsidP="006120EE">
      <w:pPr>
        <w:spacing w:line="360" w:lineRule="auto"/>
      </w:pPr>
      <w:r w:rsidRPr="006A1EC7">
        <w:t>Further feeding-related problems disclosed in the interviews were difficulties feeding, often reported to be the result of motor difficulties, such as difficulty picking up and using cutlery, moving food in the mouth due to low muscle tone, issues around swallowing, high arched palates and difficulty to self-feed using cutlery. Feeding was often reported to require persistence by family members, which was not always easy for family caregivers. One mother (WHS6A), for example, reports that she is not able to feed her son as she recognised she is not patient enough for this task.</w:t>
      </w:r>
    </w:p>
    <w:p w14:paraId="4B1377BB" w14:textId="77777777" w:rsidR="006120EE" w:rsidRPr="006A1EC7" w:rsidRDefault="006120EE" w:rsidP="006120EE">
      <w:pPr>
        <w:spacing w:line="276" w:lineRule="auto"/>
      </w:pPr>
    </w:p>
    <w:p w14:paraId="44E50E42" w14:textId="77777777" w:rsidR="006120EE" w:rsidRPr="006A1EC7" w:rsidRDefault="006120EE" w:rsidP="006120EE">
      <w:pPr>
        <w:spacing w:line="276" w:lineRule="auto"/>
        <w:ind w:left="720"/>
      </w:pPr>
      <w:r w:rsidRPr="006A1EC7">
        <w:lastRenderedPageBreak/>
        <w:t>“</w:t>
      </w:r>
      <w:r w:rsidRPr="006A1EC7">
        <w:rPr>
          <w:i/>
        </w:rPr>
        <w:t>Because, um, you know, you have to be really patient. I can’t feed him, I don’t have patience. You have to have a type of personality, um, that, um…you are focused on him when he’s eating. You cannot be distracted; if you stand up to go and open the door because somebody is coming, he will stop eating because, you know, you have to be concentrating.”</w:t>
      </w:r>
      <w:r w:rsidRPr="006A1EC7">
        <w:t xml:space="preserve"> (WHS6A).</w:t>
      </w:r>
    </w:p>
    <w:p w14:paraId="2260E533" w14:textId="77777777" w:rsidR="006120EE" w:rsidRPr="006A1EC7" w:rsidRDefault="006120EE" w:rsidP="006120EE">
      <w:pPr>
        <w:spacing w:line="276" w:lineRule="auto"/>
      </w:pPr>
    </w:p>
    <w:p w14:paraId="7A45AC97" w14:textId="3EE9667F" w:rsidR="006120EE" w:rsidRPr="006A1EC7" w:rsidRDefault="006120EE" w:rsidP="006120EE">
      <w:pPr>
        <w:spacing w:line="360" w:lineRule="auto"/>
      </w:pPr>
      <w:r w:rsidRPr="006A1EC7">
        <w:t xml:space="preserve">As well as motor-related issues with feeding, participants reported issues around sufficient nutrient and calorie consumption. Family members </w:t>
      </w:r>
      <w:r w:rsidR="002960EA" w:rsidRPr="006A1EC7">
        <w:t>discussed</w:t>
      </w:r>
      <w:r w:rsidRPr="006A1EC7">
        <w:t xml:space="preserve"> that it was difficult to ensure a sufficient amount of (oral) food intake has taken place. As a result, many patients who were reported on in this sample were reliant on supplements, such as high-calorie milks or powders. </w:t>
      </w:r>
    </w:p>
    <w:p w14:paraId="5DFB1F9B" w14:textId="77777777" w:rsidR="006120EE" w:rsidRPr="006A1EC7" w:rsidRDefault="006120EE" w:rsidP="006120EE">
      <w:pPr>
        <w:spacing w:line="276" w:lineRule="auto"/>
      </w:pPr>
    </w:p>
    <w:p w14:paraId="05F855CE" w14:textId="77777777" w:rsidR="006120EE" w:rsidRPr="006A1EC7" w:rsidRDefault="006120EE" w:rsidP="006120EE">
      <w:pPr>
        <w:spacing w:line="276" w:lineRule="auto"/>
        <w:ind w:firstLine="720"/>
      </w:pPr>
      <w:r w:rsidRPr="006A1EC7">
        <w:t>“</w:t>
      </w:r>
      <w:r w:rsidRPr="006A1EC7">
        <w:rPr>
          <w:i/>
        </w:rPr>
        <w:t>I can’t give him the volume because the length of time it takes</w:t>
      </w:r>
      <w:r w:rsidRPr="006A1EC7">
        <w:t>.” (WHS1)</w:t>
      </w:r>
    </w:p>
    <w:p w14:paraId="230060CE" w14:textId="77777777" w:rsidR="006120EE" w:rsidRPr="006A1EC7" w:rsidRDefault="006120EE" w:rsidP="006120EE">
      <w:pPr>
        <w:spacing w:line="360" w:lineRule="auto"/>
      </w:pPr>
    </w:p>
    <w:p w14:paraId="608E95AD" w14:textId="77777777" w:rsidR="006120EE" w:rsidRPr="006A1EC7" w:rsidRDefault="006120EE" w:rsidP="006120EE">
      <w:pPr>
        <w:spacing w:line="360" w:lineRule="auto"/>
        <w:ind w:firstLine="720"/>
      </w:pPr>
      <w:r w:rsidRPr="006A1EC7">
        <w:t xml:space="preserve">Discourse on the required level of food preparation varied. Children and adults who were able to eat food orally required different levels of meal preparations: some were able to eat food when cut up into pieces and others required their food to be in liquidised or mashed consistency. </w:t>
      </w:r>
    </w:p>
    <w:p w14:paraId="5910FBB1" w14:textId="77777777" w:rsidR="006120EE" w:rsidRPr="006A1EC7" w:rsidRDefault="006120EE" w:rsidP="006120EE">
      <w:pPr>
        <w:spacing w:line="276" w:lineRule="auto"/>
      </w:pPr>
    </w:p>
    <w:p w14:paraId="7B949A13" w14:textId="77777777" w:rsidR="006120EE" w:rsidRPr="006A1EC7" w:rsidRDefault="006120EE" w:rsidP="006120EE">
      <w:pPr>
        <w:spacing w:line="276" w:lineRule="auto"/>
        <w:ind w:firstLine="720"/>
      </w:pPr>
      <w:r w:rsidRPr="006A1EC7">
        <w:t>“</w:t>
      </w:r>
      <w:r w:rsidRPr="006A1EC7">
        <w:rPr>
          <w:i/>
          <w:iCs/>
        </w:rPr>
        <w:t>…everything has to be processed, blended…”</w:t>
      </w:r>
      <w:r w:rsidRPr="006A1EC7">
        <w:t xml:space="preserve"> (WHS6A)</w:t>
      </w:r>
    </w:p>
    <w:p w14:paraId="6F2AE82C" w14:textId="77777777" w:rsidR="006120EE" w:rsidRPr="006A1EC7" w:rsidRDefault="006120EE" w:rsidP="006120EE">
      <w:pPr>
        <w:spacing w:line="360" w:lineRule="auto"/>
      </w:pPr>
    </w:p>
    <w:p w14:paraId="5C19E4E8" w14:textId="77777777" w:rsidR="006120EE" w:rsidRPr="006A1EC7" w:rsidRDefault="006120EE" w:rsidP="006120EE">
      <w:pPr>
        <w:spacing w:line="360" w:lineRule="auto"/>
      </w:pPr>
      <w:r w:rsidRPr="006A1EC7">
        <w:t>For fluid intake, family members reported the use of straws, special cups and teats. Further aspects of feeding, such as “</w:t>
      </w:r>
      <w:r w:rsidRPr="006A1EC7">
        <w:rPr>
          <w:i/>
        </w:rPr>
        <w:t>messy</w:t>
      </w:r>
      <w:r w:rsidRPr="006A1EC7">
        <w:t>”-ness (“</w:t>
      </w:r>
      <w:r w:rsidRPr="006A1EC7">
        <w:rPr>
          <w:i/>
        </w:rPr>
        <w:t>No…no issues other than being very messy</w:t>
      </w:r>
      <w:r w:rsidRPr="006A1EC7">
        <w:t>”, WHS11C), “</w:t>
      </w:r>
      <w:r w:rsidRPr="006A1EC7">
        <w:rPr>
          <w:i/>
        </w:rPr>
        <w:t>fussy</w:t>
      </w:r>
      <w:r w:rsidRPr="006A1EC7">
        <w:t>”-ness and intolerances were also reported.</w:t>
      </w:r>
    </w:p>
    <w:p w14:paraId="686F7B1C" w14:textId="77777777" w:rsidR="006120EE" w:rsidRPr="006A1EC7" w:rsidRDefault="006120EE" w:rsidP="006120EE">
      <w:pPr>
        <w:spacing w:line="360" w:lineRule="auto"/>
      </w:pPr>
    </w:p>
    <w:p w14:paraId="17D2D16B" w14:textId="77777777" w:rsidR="006120EE" w:rsidRPr="006A1EC7" w:rsidRDefault="006120EE" w:rsidP="006120EE">
      <w:pPr>
        <w:spacing w:line="360" w:lineRule="auto"/>
      </w:pPr>
      <w:r w:rsidRPr="006A1EC7">
        <w:t xml:space="preserve">To aid with feeding, a number of medical feeding interventions were reported: these were nasogastric (NG) tube, percutaneous endoscopic gastrostomy (PEG) and jejunostomy. However, narratives about feeding interventions (Subtheme 1.1.2.2) varied significantly within the sample. </w:t>
      </w:r>
      <w:r w:rsidRPr="006A1EC7">
        <w:rPr>
          <w:bCs/>
        </w:rPr>
        <w:t xml:space="preserve">Some parents described a reluctance to agreeing to feeding interventions for their children, arguing that they knew the child can eat and enjoys eating and should not receive an intervention. </w:t>
      </w:r>
    </w:p>
    <w:p w14:paraId="0DB8AD19" w14:textId="77777777" w:rsidR="006120EE" w:rsidRPr="006A1EC7" w:rsidRDefault="006120EE" w:rsidP="006120EE">
      <w:pPr>
        <w:spacing w:line="360" w:lineRule="auto"/>
        <w:ind w:firstLine="720"/>
        <w:rPr>
          <w:bCs/>
        </w:rPr>
      </w:pPr>
    </w:p>
    <w:p w14:paraId="00D5468B" w14:textId="77777777" w:rsidR="006120EE" w:rsidRPr="006A1EC7" w:rsidRDefault="006120EE" w:rsidP="006120EE">
      <w:pPr>
        <w:spacing w:line="276" w:lineRule="auto"/>
        <w:ind w:left="720"/>
      </w:pPr>
      <w:r w:rsidRPr="006A1EC7">
        <w:rPr>
          <w:bCs/>
        </w:rPr>
        <w:t>“</w:t>
      </w:r>
      <w:r w:rsidRPr="006A1EC7">
        <w:rPr>
          <w:bCs/>
          <w:i/>
        </w:rPr>
        <w:t xml:space="preserve">It’s </w:t>
      </w:r>
      <w:r w:rsidRPr="006A1EC7">
        <w:rPr>
          <w:i/>
        </w:rPr>
        <w:t>been mentioned and we’ve fought it every time erm because he can, you can get the food in him (…)  so we just didn’t (…) want that extra thing; another site of infection, another thing that takes him away from it-every day life</w:t>
      </w:r>
      <w:r w:rsidRPr="006A1EC7">
        <w:t>.” (WHS3A)</w:t>
      </w:r>
    </w:p>
    <w:p w14:paraId="10FFE74A" w14:textId="77777777" w:rsidR="006120EE" w:rsidRPr="006A1EC7" w:rsidRDefault="006120EE" w:rsidP="006120EE">
      <w:pPr>
        <w:spacing w:line="276" w:lineRule="auto"/>
        <w:ind w:left="720"/>
      </w:pPr>
      <w:r w:rsidRPr="006A1EC7">
        <w:lastRenderedPageBreak/>
        <w:t>“</w:t>
      </w:r>
      <w:r w:rsidRPr="006A1EC7">
        <w:rPr>
          <w:i/>
        </w:rPr>
        <w:t>We were worried about infection, worried having it put it, worried about infection, worried about him losing the normality of him eating and us being able to eat as a family. That becomes a social aspect of eating.”</w:t>
      </w:r>
      <w:r w:rsidRPr="006A1EC7">
        <w:t xml:space="preserve"> (WHS3C)</w:t>
      </w:r>
    </w:p>
    <w:p w14:paraId="4458BC7A" w14:textId="77777777" w:rsidR="006120EE" w:rsidRPr="006A1EC7" w:rsidRDefault="006120EE" w:rsidP="006120EE">
      <w:pPr>
        <w:spacing w:line="276" w:lineRule="auto"/>
        <w:ind w:left="720"/>
      </w:pPr>
      <w:r w:rsidRPr="006A1EC7">
        <w:rPr>
          <w:i/>
        </w:rPr>
        <w:t>“If I go through the quickest way to putting him a feeding tube, I would prevent him from one of the few happy moments he has in the day, that is eating his…the food he likes</w:t>
      </w:r>
      <w:r w:rsidRPr="006A1EC7">
        <w:t>.” (WHS6A).</w:t>
      </w:r>
    </w:p>
    <w:p w14:paraId="1B437B50" w14:textId="77777777" w:rsidR="006120EE" w:rsidRPr="006A1EC7" w:rsidRDefault="006120EE" w:rsidP="006120EE">
      <w:pPr>
        <w:spacing w:line="276" w:lineRule="auto"/>
        <w:rPr>
          <w:bCs/>
        </w:rPr>
      </w:pPr>
    </w:p>
    <w:p w14:paraId="06DE65E9" w14:textId="77777777" w:rsidR="006120EE" w:rsidRPr="006A1EC7" w:rsidRDefault="006120EE" w:rsidP="006120EE">
      <w:pPr>
        <w:spacing w:line="360" w:lineRule="auto"/>
        <w:ind w:firstLine="720"/>
      </w:pPr>
      <w:r w:rsidRPr="006A1EC7">
        <w:rPr>
          <w:bCs/>
        </w:rPr>
        <w:t>The reluctance to agree to feeding intervention might also be related to stigma, and thus not necessarily evidence-based: one grandmother reports people staring at her grandchild’s feeding tube when they go out for meal and feels this is both “</w:t>
      </w:r>
      <w:r w:rsidRPr="006A1EC7">
        <w:rPr>
          <w:bCs/>
          <w:i/>
        </w:rPr>
        <w:t>embarrassing</w:t>
      </w:r>
      <w:r w:rsidRPr="006A1EC7">
        <w:rPr>
          <w:bCs/>
        </w:rPr>
        <w:t>” and “</w:t>
      </w:r>
      <w:r w:rsidRPr="006A1EC7">
        <w:rPr>
          <w:bCs/>
          <w:i/>
        </w:rPr>
        <w:t>hurtful</w:t>
      </w:r>
      <w:r w:rsidRPr="006A1EC7">
        <w:rPr>
          <w:bCs/>
        </w:rPr>
        <w:t xml:space="preserve">” (WHS2A). Some narratives implied that family members, especially parents, wanted to protect their children (and themselves) from this experience. </w:t>
      </w:r>
      <w:r w:rsidRPr="006A1EC7">
        <w:rPr>
          <w:bCs/>
        </w:rPr>
        <w:br/>
      </w:r>
      <w:r w:rsidRPr="006A1EC7">
        <w:rPr>
          <w:bCs/>
        </w:rPr>
        <w:tab/>
        <w:t xml:space="preserve">Discourse around the reasons for requiring feeding interventions varied: some patients needed these </w:t>
      </w:r>
      <w:r w:rsidRPr="006A1EC7">
        <w:t xml:space="preserve">interventions due to an inability to physically eat food orally while others had issues with aspiration, meaning food got inhaled into the lungs, rather than the gut, causing infections and blockages. </w:t>
      </w:r>
    </w:p>
    <w:p w14:paraId="1CF857D0" w14:textId="77777777" w:rsidR="006120EE" w:rsidRPr="006A1EC7" w:rsidRDefault="006120EE" w:rsidP="006120EE">
      <w:pPr>
        <w:spacing w:line="360" w:lineRule="auto"/>
        <w:ind w:firstLine="720"/>
      </w:pPr>
      <w:r w:rsidRPr="006A1EC7">
        <w:rPr>
          <w:bCs/>
        </w:rPr>
        <w:t xml:space="preserve">Some parents reported that while they were initially averse to the idea of a feeding intervention for their child, they eventually agreed to the intervention as they came to recognise both their and their children’s limits. Narratives around this were emotive and reflected the difficult decisions that needed to be made. However, once they had made the decision, participants reported feeling relieved of the pressures experienced earlier and that feeding interventions made oral feeding complementary rather than essential. </w:t>
      </w:r>
    </w:p>
    <w:p w14:paraId="7E4D9AEE" w14:textId="77777777" w:rsidR="006120EE" w:rsidRPr="006A1EC7" w:rsidRDefault="006120EE" w:rsidP="006120EE">
      <w:pPr>
        <w:spacing w:line="276" w:lineRule="auto"/>
        <w:rPr>
          <w:bCs/>
        </w:rPr>
      </w:pPr>
    </w:p>
    <w:p w14:paraId="023D8A89" w14:textId="77777777" w:rsidR="006120EE" w:rsidRPr="006A1EC7" w:rsidRDefault="006120EE" w:rsidP="006120EE">
      <w:pPr>
        <w:spacing w:line="276" w:lineRule="auto"/>
        <w:ind w:firstLine="720"/>
      </w:pPr>
      <w:r w:rsidRPr="006A1EC7">
        <w:t>“</w:t>
      </w:r>
      <w:r w:rsidRPr="006A1EC7">
        <w:rPr>
          <w:i/>
        </w:rPr>
        <w:t>It’s made life easier for us, as a family yes.”</w:t>
      </w:r>
      <w:r w:rsidRPr="006A1EC7">
        <w:t xml:space="preserve"> (WHS2B)</w:t>
      </w:r>
    </w:p>
    <w:p w14:paraId="0DF856CE" w14:textId="77777777" w:rsidR="006120EE" w:rsidRPr="006A1EC7" w:rsidRDefault="006120EE" w:rsidP="006120EE">
      <w:pPr>
        <w:spacing w:line="276" w:lineRule="auto"/>
        <w:ind w:left="720"/>
      </w:pPr>
      <w:r w:rsidRPr="006A1EC7">
        <w:t>“</w:t>
      </w:r>
      <w:r w:rsidRPr="006A1EC7">
        <w:rPr>
          <w:i/>
        </w:rPr>
        <w:t>we were absolutely reluctant to have a gastrostomy fitted … we persevered… it got to the point where we were perhaps feeding for 5/6 hours a day, and then he was getting tired… it wasn’t enjoyable for him, it wasn’t enjoyable for us… causing more stress than what it was worth … so we just woke up one morning and said “right, we need to decide now”… maybe if we made it easier for him, he could still take the oral feeds, it’ll make it easier for us and he might enjoy it a little bit more as it’s less stressful, so we, we started that process.</w:t>
      </w:r>
      <w:r w:rsidRPr="006A1EC7">
        <w:t>” (WHS8)</w:t>
      </w:r>
    </w:p>
    <w:p w14:paraId="0B26D6B0" w14:textId="77777777" w:rsidR="006120EE" w:rsidRPr="006A1EC7" w:rsidRDefault="006120EE" w:rsidP="006120EE">
      <w:pPr>
        <w:spacing w:line="276" w:lineRule="auto"/>
      </w:pPr>
    </w:p>
    <w:p w14:paraId="6C06CABE" w14:textId="77777777" w:rsidR="006120EE" w:rsidRPr="006A1EC7" w:rsidRDefault="006120EE" w:rsidP="006120EE">
      <w:pPr>
        <w:spacing w:line="360" w:lineRule="auto"/>
      </w:pPr>
      <w:r w:rsidRPr="006A1EC7">
        <w:t xml:space="preserve">In the sample, oesophageal abnormalities were reported for two male patients with WHS. Both were reported to suffer from oesophageal dysfunction, with absence of peristalsis (= absence of coordinated muscle contractions transporting food through the digestive tract) (Subtheme 1.1.2.3). The reported consequences of this issue were gut blockages, due to undigested food entering the stomach. As a result, one patient required medical intervention and had to have a PEG inserted. The other patient’s oesophageal dysfunction was initially </w:t>
      </w:r>
      <w:r w:rsidRPr="006A1EC7">
        <w:lastRenderedPageBreak/>
        <w:t>managed by strict guidelines from Speech and Language therapists regarding the food types he was able to eat and the consistency. Unfortunately, this was not adhered to at the care facility he was living in, and he died as a result of negligence. His mother reported the emotional trauma this has caused her and her family.</w:t>
      </w:r>
    </w:p>
    <w:p w14:paraId="5B9CCCB0" w14:textId="77777777" w:rsidR="006120EE" w:rsidRPr="006A1EC7" w:rsidRDefault="006120EE" w:rsidP="006120EE">
      <w:pPr>
        <w:spacing w:line="360" w:lineRule="auto"/>
        <w:ind w:firstLine="720"/>
      </w:pPr>
      <w:r w:rsidRPr="006A1EC7">
        <w:t>Reflux, food or fluid flowing back in the opposite direction to normal, and vomiting were also reported as one of the most distressing clinical features of WHS (Subtheme 1.1.2.4). Narratives around the severity of issues with reflux varied, in the most extreme cases, children and adults were described as ‘projectile’ vomiting after food (WHS12, WHS8). In relation to the consequences of reflux and vomiting, family members reported being most concerned about the lost calories/ reduced dietary intake, damage to the oesophagus and the vomiting itself.  Family members reported that they had to engage in extreme measures, such as catching and subsequently measuring their child’s sick to know how much fluid was retained after vomiting or holding their affected child upright for an hour and a half, after feeding, to avoid vomiting.</w:t>
      </w:r>
    </w:p>
    <w:p w14:paraId="29656AE8" w14:textId="77777777" w:rsidR="006120EE" w:rsidRPr="006A1EC7" w:rsidRDefault="006120EE" w:rsidP="006120EE">
      <w:pPr>
        <w:spacing w:line="276" w:lineRule="auto"/>
      </w:pPr>
    </w:p>
    <w:p w14:paraId="32C3207F" w14:textId="77777777" w:rsidR="006120EE" w:rsidRPr="006A1EC7" w:rsidRDefault="006120EE" w:rsidP="006120EE">
      <w:pPr>
        <w:spacing w:line="276" w:lineRule="auto"/>
        <w:ind w:left="720"/>
        <w:rPr>
          <w:i/>
        </w:rPr>
      </w:pPr>
      <w:r w:rsidRPr="006A1EC7">
        <w:t>“</w:t>
      </w:r>
      <m:oMath>
        <m:d>
          <m:dPr>
            <m:begChr m:val="["/>
            <m:endChr m:val="]"/>
            <m:ctrlPr>
              <w:rPr>
                <w:rFonts w:ascii="Cambria Math" w:hAnsi="Cambria Math"/>
                <w:i/>
              </w:rPr>
            </m:ctrlPr>
          </m:dPr>
          <m:e>
            <m:r>
              <w:rPr>
                <w:rFonts w:ascii="Cambria Math" w:hAnsi="Cambria Math"/>
              </w:rPr>
              <m:t>chil</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s name</m:t>
            </m:r>
          </m:e>
        </m:d>
        <m:r>
          <w:rPr>
            <w:rFonts w:ascii="Cambria Math" w:hAnsi="Cambria Math"/>
          </w:rPr>
          <m:t xml:space="preserve"> </m:t>
        </m:r>
      </m:oMath>
      <w:r w:rsidRPr="006A1EC7">
        <w:rPr>
          <w:i/>
        </w:rPr>
        <w:t>had really severe reflux, you’d fight to get something in him and then it would just all come back up and the stress around along that, cos you’re just thinking, and especially when obviously the- they’re slow to grow anyway… when he was sick … we were measuring his sick during the day to try and calculate how much was left in him…” (WHS3A)</w:t>
      </w:r>
    </w:p>
    <w:p w14:paraId="02C2764A" w14:textId="77777777" w:rsidR="006120EE" w:rsidRPr="006A1EC7" w:rsidRDefault="006120EE" w:rsidP="006120EE">
      <w:pPr>
        <w:spacing w:line="276" w:lineRule="auto"/>
        <w:ind w:left="720"/>
      </w:pPr>
      <w:r w:rsidRPr="006A1EC7">
        <w:t>“</w:t>
      </w:r>
      <w:r w:rsidRPr="006A1EC7">
        <w:rPr>
          <w:i/>
        </w:rPr>
        <w:t>You had to hold him upright, erm, for a good hour and half. You couldn’t even like pass him to somebody else (…) you’re gonna be sat in that position for a good hour and half/two hours… otherwise he’d be projectile sick, yeah - at the slightest movement, so that aff- affected us like even through the night when he was having night feeds, you were like asleep, sat up, holding him because he couldn’t lay down or - anything like that.”</w:t>
      </w:r>
      <w:r w:rsidRPr="006A1EC7">
        <w:t xml:space="preserve"> (WHS8)</w:t>
      </w:r>
    </w:p>
    <w:p w14:paraId="7940B9AA" w14:textId="77777777" w:rsidR="006120EE" w:rsidRPr="006A1EC7" w:rsidRDefault="006120EE" w:rsidP="006120EE">
      <w:pPr>
        <w:spacing w:line="276" w:lineRule="auto"/>
      </w:pPr>
    </w:p>
    <w:p w14:paraId="431FA539" w14:textId="77777777" w:rsidR="006120EE" w:rsidRPr="006A1EC7" w:rsidRDefault="006120EE" w:rsidP="006120EE">
      <w:pPr>
        <w:spacing w:line="360" w:lineRule="auto"/>
      </w:pPr>
      <w:r w:rsidRPr="006A1EC7">
        <w:t>Narratives around the efficacy of medication were positive: all family members reported that reflux significantly improved once medication was commenced. Only one female patient with WHS, whose vomiting was caused by a ‘malrotation’ of the bowels rather than by reflux, was not effectively medicated.</w:t>
      </w:r>
      <w:r w:rsidRPr="006A1EC7">
        <w:br/>
      </w:r>
    </w:p>
    <w:p w14:paraId="30124CDB" w14:textId="77777777" w:rsidR="006120EE" w:rsidRPr="006A1EC7" w:rsidRDefault="006120EE" w:rsidP="006120EE">
      <w:pPr>
        <w:spacing w:line="276" w:lineRule="auto"/>
        <w:ind w:left="720" w:firstLine="60"/>
      </w:pPr>
      <w:r w:rsidRPr="006A1EC7">
        <w:t>“</w:t>
      </w:r>
      <w:r w:rsidRPr="006A1EC7">
        <w:rPr>
          <w:i/>
        </w:rPr>
        <w:t xml:space="preserve">her symptoms… have really been very distressing because she vomits quite a lot um, because her stomach is inverted with mal-rotation of the bowels which…she wasn’t born like that but it eventually acquired (…) it’s the vomiting and the risk of, um, aspirating… and then it untwists, and then that’s when the bo-…her stomach fills up with bile and then she has to vomit it out (…) she’s been, um, vomiting like that since she was about 7 years old (…) it’s sometimes it’s projectile and it’s always, um, </w:t>
      </w:r>
      <w:r w:rsidRPr="006A1EC7">
        <w:rPr>
          <w:i/>
        </w:rPr>
        <w:lastRenderedPageBreak/>
        <w:t>bile…green bile, and very smelly.”</w:t>
      </w:r>
      <w:r w:rsidRPr="006A1EC7">
        <w:t xml:space="preserve"> (WHS9)</w:t>
      </w:r>
      <w:r w:rsidRPr="006A1EC7">
        <w:br/>
      </w:r>
    </w:p>
    <w:p w14:paraId="491B3C88" w14:textId="77777777" w:rsidR="006120EE" w:rsidRPr="006A1EC7" w:rsidRDefault="006120EE" w:rsidP="006120EE">
      <w:pPr>
        <w:spacing w:line="360" w:lineRule="auto"/>
      </w:pPr>
      <w:r w:rsidRPr="006A1EC7">
        <w:t>In this context, there was one negative subtheme (Subtheme 1.2.2.5), which was the removal of the gallbladder; this was reported by one participant for her adult daughter. The reasons for this were unclear to the participant.</w:t>
      </w:r>
    </w:p>
    <w:p w14:paraId="34EE187B" w14:textId="77777777" w:rsidR="006120EE" w:rsidRPr="006A1EC7" w:rsidRDefault="006120EE" w:rsidP="006120EE">
      <w:pPr>
        <w:spacing w:line="360" w:lineRule="auto"/>
      </w:pPr>
    </w:p>
    <w:p w14:paraId="2D2DEFD1" w14:textId="77777777" w:rsidR="006120EE" w:rsidRPr="006A1EC7" w:rsidRDefault="006120EE" w:rsidP="006120EE">
      <w:pPr>
        <w:spacing w:line="360" w:lineRule="auto"/>
        <w:ind w:firstLine="720"/>
      </w:pPr>
      <w:r w:rsidRPr="006A1EC7">
        <w:t>Discourse around bowel movements was prevalent in the interviews (Subtheme 1.1.2.6); the majority of patients were reported to suffer from regular constipation. An extreme case was reported by a mother, whose daughter was once admitted to hospital as it was believed she had a cancerous mass in her stomach, however, it turned out to be ‘</w:t>
      </w:r>
      <w:r w:rsidRPr="006A1EC7">
        <w:rPr>
          <w:iCs/>
        </w:rPr>
        <w:t>faeces</w:t>
      </w:r>
      <w:r w:rsidRPr="006A1EC7">
        <w:t>’ (WHS7). Family members appeared very attuned to the symptoms of constipation, but also to the (perceived) potential consequences, such as causing seizures. Symptoms such as straining, being in pain/discomfort, back-arching or being unable to go to the toilet were reported. Management techniques such as laxatives or appropriate dietary choices were commonly perceived as reducing the severity of constipation. In contrast, prevalence of diarrhoea was less commonly reported, and only likely to occur as a result of infection or antibiotic use.</w:t>
      </w:r>
    </w:p>
    <w:p w14:paraId="5655E331" w14:textId="77777777" w:rsidR="006120EE" w:rsidRPr="006A1EC7" w:rsidRDefault="006120EE" w:rsidP="006120EE">
      <w:pPr>
        <w:spacing w:line="360" w:lineRule="auto"/>
        <w:ind w:firstLine="720"/>
      </w:pPr>
    </w:p>
    <w:p w14:paraId="37F9A678" w14:textId="77777777" w:rsidR="006120EE" w:rsidRPr="006A1EC7" w:rsidRDefault="006120EE" w:rsidP="006120EE">
      <w:pPr>
        <w:spacing w:line="360" w:lineRule="auto"/>
        <w:ind w:firstLine="720"/>
      </w:pPr>
      <w:r w:rsidRPr="006A1EC7">
        <w:t xml:space="preserve">The majority of children in the sample, apart from one (WHS3ABC), were reported to also be urinary incontinent to some degree (1.2.2.1) and therefore were wearing pads. In general, incontinence was not discussed extensively in the interviews and, apart from by one father (WHS11C), was not perceived as a pressing issue. This may be because it is a clinical feature that requires management, rather than medical intervention. </w:t>
      </w:r>
    </w:p>
    <w:p w14:paraId="7F7410FF" w14:textId="77777777" w:rsidR="006120EE" w:rsidRPr="006A1EC7" w:rsidRDefault="006120EE" w:rsidP="006120EE">
      <w:pPr>
        <w:spacing w:line="360" w:lineRule="auto"/>
      </w:pPr>
    </w:p>
    <w:p w14:paraId="22BD0AD0" w14:textId="77777777" w:rsidR="006120EE" w:rsidRPr="006A1EC7" w:rsidRDefault="006120EE" w:rsidP="006120EE">
      <w:pPr>
        <w:spacing w:line="360" w:lineRule="auto"/>
        <w:ind w:firstLine="720"/>
      </w:pPr>
      <w:r w:rsidRPr="006A1EC7">
        <w:t xml:space="preserve">Issues with genitalia were reported for some patients (Subtheme 1.2.2.2). Reported genital malformations were hypospadias in four males, hydrocele requiring surgery and bilateral undescended testes. One adult woman was reported to suffer from bacterial vaginosis (WHS9). However, family members were not significantly concerned about these issues and appeared more concerned about acute medical challenges, such as seizure management or prevention.  </w:t>
      </w:r>
    </w:p>
    <w:p w14:paraId="495490EC" w14:textId="77777777" w:rsidR="006120EE" w:rsidRPr="006A1EC7" w:rsidRDefault="006120EE" w:rsidP="006120EE">
      <w:pPr>
        <w:spacing w:line="360" w:lineRule="auto"/>
        <w:ind w:firstLine="720"/>
      </w:pPr>
      <w:r w:rsidRPr="006A1EC7">
        <w:t xml:space="preserve">Kidney malformations (Subtheme 1.2.2.3) such as renal hypoplasia, duplex kidney and renal dysplasia were described. One teenage patient had previously experienced kidney failure, but functioning had since “recovered” (WHS12A); while another younger patient had </w:t>
      </w:r>
      <w:r w:rsidRPr="006A1EC7">
        <w:lastRenderedPageBreak/>
        <w:t>unequal kidney function (“</w:t>
      </w:r>
      <w:r w:rsidRPr="006A1EC7">
        <w:rPr>
          <w:i/>
          <w:iCs/>
        </w:rPr>
        <w:t>The right kidney was doing the most of the work, his left kidney wasn’t. Oh no… It’s his right kidney that that’s got the issue, not his left.</w:t>
      </w:r>
      <w:r w:rsidRPr="006A1EC7">
        <w:t>”, WHS1).</w:t>
      </w:r>
    </w:p>
    <w:p w14:paraId="4C4892E3" w14:textId="77777777" w:rsidR="006120EE" w:rsidRPr="006A1EC7" w:rsidRDefault="006120EE" w:rsidP="006120EE">
      <w:pPr>
        <w:spacing w:line="360" w:lineRule="auto"/>
        <w:ind w:firstLine="720"/>
      </w:pPr>
      <w:r w:rsidRPr="006A1EC7">
        <w:t xml:space="preserve">There was one negative subtheme within this theme, which was repeated urinary tract infections (Subtheme 1.2.2.4). This was reported by one participant, although she reported that both her affected son and daughter suffered with these. </w:t>
      </w:r>
    </w:p>
    <w:p w14:paraId="1737F08C" w14:textId="77777777" w:rsidR="006120EE" w:rsidRPr="006A1EC7" w:rsidRDefault="006120EE" w:rsidP="006120EE">
      <w:pPr>
        <w:spacing w:line="360" w:lineRule="auto"/>
      </w:pPr>
    </w:p>
    <w:p w14:paraId="5813FBC8" w14:textId="77777777" w:rsidR="006120EE" w:rsidRPr="006A1EC7" w:rsidRDefault="006120EE" w:rsidP="006120EE">
      <w:pPr>
        <w:pStyle w:val="Heading3"/>
        <w:rPr>
          <w:rFonts w:ascii="Times New Roman" w:hAnsi="Times New Roman" w:cs="Times New Roman"/>
        </w:rPr>
      </w:pPr>
      <w:r w:rsidRPr="006A1EC7">
        <w:rPr>
          <w:rFonts w:ascii="Times New Roman" w:hAnsi="Times New Roman" w:cs="Times New Roman"/>
        </w:rPr>
        <w:t>Subtheme 1.3: Low immunity</w:t>
      </w:r>
    </w:p>
    <w:p w14:paraId="11AF0818" w14:textId="77777777" w:rsidR="006120EE" w:rsidRPr="006A1EC7" w:rsidRDefault="006120EE" w:rsidP="00744A8E">
      <w:pPr>
        <w:spacing w:line="360" w:lineRule="auto"/>
      </w:pPr>
    </w:p>
    <w:p w14:paraId="02D62B6F" w14:textId="1B0DF36D" w:rsidR="006120EE" w:rsidRPr="006A1EC7" w:rsidRDefault="006120EE" w:rsidP="006120EE">
      <w:pPr>
        <w:spacing w:line="360" w:lineRule="auto"/>
      </w:pPr>
      <w:r w:rsidRPr="006A1EC7">
        <w:tab/>
        <w:t>Repeated infections</w:t>
      </w:r>
      <w:r w:rsidRPr="006A1EC7">
        <w:rPr>
          <w:rStyle w:val="FootnoteReference"/>
        </w:rPr>
        <w:footnoteReference w:id="11"/>
      </w:r>
      <w:r w:rsidRPr="006A1EC7">
        <w:t xml:space="preserve"> and low immunity were reported as concerns for children and adults with WHS. Patients were generally perceived as easily succumbing to illnesses, such as viruses. One mother described her daughter’s low immunity to be the “</w:t>
      </w:r>
      <w:r w:rsidRPr="006A1EC7">
        <w:rPr>
          <w:i/>
          <w:iCs/>
        </w:rPr>
        <w:t>main health problem that she’s needed hospital treatment for</w:t>
      </w:r>
      <w:r w:rsidRPr="006A1EC7">
        <w:t>”; and that hospital admissions which, especially in the middle of the night, have been “</w:t>
      </w:r>
      <w:r w:rsidRPr="006A1EC7">
        <w:rPr>
          <w:i/>
        </w:rPr>
        <w:t>traumatic</w:t>
      </w:r>
      <w:r w:rsidRPr="006A1EC7">
        <w:t>” for her and her family (WHS11B). In fact, hospital admissions as a result of even minor infections were commonly described. These hospital admissions were perceived as the result of patients’ inability to fight off infections.</w:t>
      </w:r>
    </w:p>
    <w:p w14:paraId="6D4CE2F7" w14:textId="77777777" w:rsidR="006120EE" w:rsidRPr="006A1EC7" w:rsidRDefault="006120EE" w:rsidP="006120EE">
      <w:pPr>
        <w:spacing w:line="276" w:lineRule="auto"/>
      </w:pPr>
    </w:p>
    <w:p w14:paraId="39AC0CED" w14:textId="77777777" w:rsidR="006120EE" w:rsidRPr="006A1EC7" w:rsidRDefault="006120EE" w:rsidP="006120EE">
      <w:pPr>
        <w:spacing w:line="276" w:lineRule="auto"/>
        <w:ind w:left="720" w:firstLine="60"/>
      </w:pPr>
      <w:r w:rsidRPr="006A1EC7">
        <w:rPr>
          <w:i/>
          <w:iCs/>
        </w:rPr>
        <w:t>“Yes, he can pick infections up just like that, and then it takes longer for him to get over it as well…  it’s just the amount.”</w:t>
      </w:r>
      <w:r w:rsidRPr="006A1EC7">
        <w:t xml:space="preserve"> (WHS2C)</w:t>
      </w:r>
    </w:p>
    <w:p w14:paraId="1878BFEF" w14:textId="77777777" w:rsidR="006120EE" w:rsidRPr="006A1EC7" w:rsidRDefault="006120EE" w:rsidP="006120EE">
      <w:pPr>
        <w:spacing w:line="276" w:lineRule="auto"/>
        <w:ind w:left="720" w:firstLine="60"/>
      </w:pPr>
      <w:r w:rsidRPr="006A1EC7">
        <w:rPr>
          <w:i/>
          <w:iCs/>
        </w:rPr>
        <w:t>“It’s not as simple as that. ‘They got the common cold” - no, that’s not as simple as that (laughs). They can’t just says he’s got the common cold, cause what his common colds turn into you know what I mean ear infections, chest infections, you know what I mean, we need to look at straight away rather than leaving it, which obviously that time when he got pneumonia, I'd been at the doctors on the Thursday night and by Friday morning he was vomiting, he had pneumonia.”</w:t>
      </w:r>
      <w:r w:rsidRPr="006A1EC7">
        <w:t xml:space="preserve"> (WHS1)</w:t>
      </w:r>
    </w:p>
    <w:p w14:paraId="6B67F383" w14:textId="77777777" w:rsidR="006120EE" w:rsidRPr="006A1EC7" w:rsidRDefault="006120EE" w:rsidP="006120EE">
      <w:pPr>
        <w:spacing w:line="276" w:lineRule="auto"/>
        <w:ind w:firstLine="720"/>
      </w:pPr>
      <w:r w:rsidRPr="006A1EC7">
        <w:t>“</w:t>
      </w:r>
      <w:r w:rsidRPr="006A1EC7">
        <w:rPr>
          <w:i/>
        </w:rPr>
        <w:t>Every time he gets (…) infection, he ends up in hospital.”</w:t>
      </w:r>
      <w:r w:rsidRPr="006A1EC7">
        <w:t xml:space="preserve"> (WHS2A)</w:t>
      </w:r>
    </w:p>
    <w:p w14:paraId="0DF5D191" w14:textId="77777777" w:rsidR="006120EE" w:rsidRPr="006A1EC7" w:rsidRDefault="006120EE" w:rsidP="006120EE">
      <w:pPr>
        <w:spacing w:line="276" w:lineRule="auto"/>
        <w:ind w:left="720"/>
      </w:pPr>
      <w:r w:rsidRPr="006A1EC7">
        <w:t>“</w:t>
      </w:r>
      <w:r w:rsidRPr="006A1EC7">
        <w:rPr>
          <w:i/>
        </w:rPr>
        <w:t>Every time I think it’s a virus, or a bit of … infection, anything all, he just ends up in hospital because he just can’t cope with it”</w:t>
      </w:r>
      <w:r w:rsidRPr="006A1EC7">
        <w:t xml:space="preserve"> (WHS10)</w:t>
      </w:r>
    </w:p>
    <w:p w14:paraId="2A756D96" w14:textId="77777777" w:rsidR="006120EE" w:rsidRPr="006A1EC7" w:rsidRDefault="006120EE" w:rsidP="006120EE">
      <w:pPr>
        <w:spacing w:line="276" w:lineRule="auto"/>
        <w:ind w:firstLine="720"/>
      </w:pPr>
      <w:r w:rsidRPr="006A1EC7">
        <w:rPr>
          <w:i/>
        </w:rPr>
        <w:t>“In and out of hospital with various viral infections</w:t>
      </w:r>
      <w:r w:rsidRPr="006A1EC7">
        <w:t>.” (WHS3A)</w:t>
      </w:r>
    </w:p>
    <w:p w14:paraId="75F9D906" w14:textId="77777777" w:rsidR="006120EE" w:rsidRPr="006A1EC7" w:rsidRDefault="006120EE" w:rsidP="006120EE">
      <w:pPr>
        <w:spacing w:line="276" w:lineRule="auto"/>
        <w:ind w:firstLine="720"/>
      </w:pPr>
    </w:p>
    <w:p w14:paraId="0D07AA9A" w14:textId="77777777" w:rsidR="006120EE" w:rsidRPr="006A1EC7" w:rsidRDefault="006120EE" w:rsidP="006120EE">
      <w:pPr>
        <w:spacing w:line="360" w:lineRule="auto"/>
      </w:pPr>
      <w:r w:rsidRPr="006A1EC7">
        <w:t xml:space="preserve">In terms of precautions taken and management techniques applied by family members, some parents reported that their child’s immunity got better as they grew older and some family members report that their relatives with WHS were prescribed prophylactic antibiotics, especially during winter to support the immune system. </w:t>
      </w:r>
    </w:p>
    <w:p w14:paraId="7A288D50" w14:textId="77777777" w:rsidR="006120EE" w:rsidRPr="006A1EC7" w:rsidRDefault="006120EE" w:rsidP="006120EE">
      <w:pPr>
        <w:spacing w:line="360" w:lineRule="auto"/>
      </w:pPr>
    </w:p>
    <w:p w14:paraId="00C23F2F" w14:textId="77777777" w:rsidR="006120EE" w:rsidRPr="006A1EC7" w:rsidRDefault="006120EE" w:rsidP="006120EE">
      <w:pPr>
        <w:spacing w:line="360" w:lineRule="auto"/>
      </w:pPr>
      <w:r w:rsidRPr="006A1EC7">
        <w:lastRenderedPageBreak/>
        <w:t>One adult male with WHS was reported to have displayed signs of “</w:t>
      </w:r>
      <w:r w:rsidRPr="006A1EC7">
        <w:rPr>
          <w:i/>
          <w:iCs/>
        </w:rPr>
        <w:t>temporal immunodeficiency”</w:t>
      </w:r>
      <w:r w:rsidRPr="006A1EC7">
        <w:t xml:space="preserve"> (WHS6A) due to prolonged medication with phenobarbital, which further exacerbated concerns and issues around low immunity for his family. Another boy was reported to previously have had low neutrophil counts for a prolonged period, which affected his immunity, although he had since recovered. </w:t>
      </w:r>
    </w:p>
    <w:p w14:paraId="36FEB123" w14:textId="77777777" w:rsidR="006120EE" w:rsidRPr="006A1EC7" w:rsidRDefault="006120EE" w:rsidP="006120EE"/>
    <w:p w14:paraId="63DE54FE" w14:textId="77777777" w:rsidR="006120EE" w:rsidRPr="006A1EC7" w:rsidRDefault="006120EE" w:rsidP="006120EE">
      <w:pPr>
        <w:pStyle w:val="Heading3"/>
        <w:rPr>
          <w:rFonts w:ascii="Times New Roman" w:hAnsi="Times New Roman" w:cs="Times New Roman"/>
        </w:rPr>
      </w:pPr>
      <w:r w:rsidRPr="006A1EC7">
        <w:rPr>
          <w:rFonts w:ascii="Times New Roman" w:hAnsi="Times New Roman" w:cs="Times New Roman"/>
        </w:rPr>
        <w:t>Subtheme 1.4: Cardiac &amp; respiratory problems</w:t>
      </w:r>
    </w:p>
    <w:p w14:paraId="636F924D" w14:textId="77777777" w:rsidR="006120EE" w:rsidRPr="006A1EC7" w:rsidRDefault="006120EE" w:rsidP="00744A8E">
      <w:pPr>
        <w:spacing w:line="360" w:lineRule="auto"/>
      </w:pPr>
    </w:p>
    <w:p w14:paraId="4A4C81BE" w14:textId="77777777" w:rsidR="006120EE" w:rsidRPr="006A1EC7" w:rsidRDefault="006120EE" w:rsidP="006120EE">
      <w:pPr>
        <w:spacing w:line="360" w:lineRule="auto"/>
        <w:ind w:firstLine="720"/>
      </w:pPr>
      <w:r w:rsidRPr="006A1EC7">
        <w:t xml:space="preserve">Both cardiac and respiratory problems were reported for patients with WHS in the sample. The cardiac defects (Subtheme 1.4.1) reported were heart murmurs, patent ductus arteriosus (ASD), ventricular septal defect leading to heart failure, atrial septal defect, pulmonary stenosis, cardiomegaly and issues with heart valves. Some participants reported that medication was required and later stopped, while one boy with WHS will require future surgery to repair his large ASD. Two children born with WHS had issues with their hearts, which resolved naturally without the need for medical intervention. </w:t>
      </w:r>
    </w:p>
    <w:p w14:paraId="741A33D5" w14:textId="77777777" w:rsidR="006120EE" w:rsidRPr="006A1EC7" w:rsidRDefault="006120EE" w:rsidP="006120EE">
      <w:pPr>
        <w:spacing w:line="360" w:lineRule="auto"/>
      </w:pPr>
      <w:r w:rsidRPr="006A1EC7">
        <w:t xml:space="preserve">Interestingly, discourse within one family (WHS11ABC) revealed that those family members ascribed the heart murmur to arise from their relative’s prematurity rather than as a result of WHS. </w:t>
      </w:r>
    </w:p>
    <w:p w14:paraId="2C435C1B" w14:textId="77777777" w:rsidR="006120EE" w:rsidRPr="006A1EC7" w:rsidRDefault="006120EE" w:rsidP="006120EE">
      <w:pPr>
        <w:spacing w:line="276" w:lineRule="auto"/>
        <w:ind w:firstLine="720"/>
      </w:pPr>
    </w:p>
    <w:p w14:paraId="2F3136AD" w14:textId="77777777" w:rsidR="006120EE" w:rsidRPr="006A1EC7" w:rsidRDefault="006120EE" w:rsidP="006120EE">
      <w:pPr>
        <w:spacing w:line="276" w:lineRule="auto"/>
        <w:ind w:left="720"/>
      </w:pPr>
      <w:r w:rsidRPr="006A1EC7">
        <w:t>“</w:t>
      </w:r>
      <w:r w:rsidRPr="006A1EC7">
        <w:rPr>
          <w:i/>
        </w:rPr>
        <w:t>She had a heart murmur when she was born but I don’t think it was anything serious, no</w:t>
      </w:r>
      <w:r w:rsidRPr="006A1EC7">
        <w:t>” (WHS11A)</w:t>
      </w:r>
    </w:p>
    <w:p w14:paraId="0E0B4D8A" w14:textId="77777777" w:rsidR="006120EE" w:rsidRPr="006A1EC7" w:rsidRDefault="006120EE" w:rsidP="006120EE">
      <w:pPr>
        <w:spacing w:line="276" w:lineRule="auto"/>
        <w:ind w:left="720"/>
      </w:pPr>
      <w:r w:rsidRPr="006A1EC7">
        <w:rPr>
          <w:i/>
        </w:rPr>
        <w:t>“…she’s had examinations done (…) heart’s fine</w:t>
      </w:r>
      <w:r w:rsidRPr="006A1EC7">
        <w:t xml:space="preserve"> </w:t>
      </w:r>
      <m:oMath>
        <m:d>
          <m:dPr>
            <m:begChr m:val="["/>
            <m:endChr m:val="]"/>
            <m:ctrlPr>
              <w:rPr>
                <w:rFonts w:ascii="Cambria Math" w:hAnsi="Cambria Math"/>
                <w:i/>
              </w:rPr>
            </m:ctrlPr>
          </m:dPr>
          <m:e>
            <m:r>
              <w:rPr>
                <w:rFonts w:ascii="Cambria Math" w:hAnsi="Cambria Math"/>
              </w:rPr>
              <m:t>now</m:t>
            </m:r>
          </m:e>
        </m:d>
      </m:oMath>
      <w:r w:rsidRPr="006A1EC7">
        <w:t>” (WHS11B)</w:t>
      </w:r>
    </w:p>
    <w:p w14:paraId="62AA4D92" w14:textId="77777777" w:rsidR="006120EE" w:rsidRPr="006A1EC7" w:rsidRDefault="006120EE" w:rsidP="006120EE">
      <w:pPr>
        <w:spacing w:line="276" w:lineRule="auto"/>
        <w:ind w:left="720"/>
      </w:pPr>
      <w:r w:rsidRPr="006A1EC7">
        <w:t>“</w:t>
      </w:r>
      <w:r w:rsidRPr="006A1EC7">
        <w:rPr>
          <w:i/>
        </w:rPr>
        <w:t>yeah so just seemed to be an aspect of the prematurity, the s-…very minor, um, some issue, but… very common in premature babies</w:t>
      </w:r>
      <w:r w:rsidRPr="006A1EC7">
        <w:t>” (WHS11C).</w:t>
      </w:r>
    </w:p>
    <w:p w14:paraId="3A6EBAD9" w14:textId="77777777" w:rsidR="006120EE" w:rsidRPr="006A1EC7" w:rsidRDefault="006120EE" w:rsidP="006120EE">
      <w:pPr>
        <w:spacing w:line="276" w:lineRule="auto"/>
        <w:ind w:left="720"/>
      </w:pPr>
      <w:r w:rsidRPr="006A1EC7">
        <w:t>“</w:t>
      </w:r>
      <w:r w:rsidRPr="006A1EC7">
        <w:rPr>
          <w:i/>
        </w:rPr>
        <w:t>He’s under the cardiologist, um, and he…you know, he said that we wouldn’t need to do anything until he was much older anyway, um, but it…it has just closed.”</w:t>
      </w:r>
      <w:r w:rsidRPr="006A1EC7">
        <w:t xml:space="preserve"> (WHS5)</w:t>
      </w:r>
    </w:p>
    <w:p w14:paraId="4502E462" w14:textId="77777777" w:rsidR="006120EE" w:rsidRPr="006A1EC7" w:rsidRDefault="006120EE" w:rsidP="006120EE">
      <w:pPr>
        <w:spacing w:line="276" w:lineRule="auto"/>
      </w:pPr>
    </w:p>
    <w:p w14:paraId="1B005D5E" w14:textId="77777777" w:rsidR="006120EE" w:rsidRPr="006A1EC7" w:rsidRDefault="006120EE" w:rsidP="006120EE">
      <w:pPr>
        <w:spacing w:line="360" w:lineRule="auto"/>
      </w:pPr>
      <w:r w:rsidRPr="006A1EC7">
        <w:t>WHS5, a very proactive and motivated mother, reported her perceived reasoning for the closing of her son’s ASD as a result of him seeing a “</w:t>
      </w:r>
      <w:r w:rsidRPr="006A1EC7">
        <w:rPr>
          <w:i/>
        </w:rPr>
        <w:t>Bowen technique</w:t>
      </w:r>
      <w:r w:rsidRPr="006A1EC7">
        <w:t>” therapist. Implicitly she also seems to link the closing with the fact that the heart did not develop fully in utero.</w:t>
      </w:r>
    </w:p>
    <w:p w14:paraId="780AA9D9" w14:textId="77777777" w:rsidR="006120EE" w:rsidRPr="006A1EC7" w:rsidRDefault="006120EE" w:rsidP="006120EE">
      <w:pPr>
        <w:spacing w:line="276" w:lineRule="auto"/>
        <w:ind w:firstLine="720"/>
      </w:pPr>
    </w:p>
    <w:p w14:paraId="4C22EDB5" w14:textId="77777777" w:rsidR="006120EE" w:rsidRPr="006A1EC7" w:rsidRDefault="006120EE" w:rsidP="006120EE">
      <w:pPr>
        <w:spacing w:line="276" w:lineRule="auto"/>
        <w:ind w:left="720"/>
      </w:pPr>
      <w:r w:rsidRPr="006A1EC7">
        <w:t>“</w:t>
      </w:r>
      <w:r w:rsidRPr="006A1EC7">
        <w:rPr>
          <w:i/>
        </w:rPr>
        <w:t>Because the Bowen Technique principles, what they believe, um, in their sort of line of research is about sort of reprogramming the brain to almost reboot…I think that’s how I’ve understood it…so the jaw grew more, and the teeth thing, his ears weren’t properly formed before and they are now, and, um, the people that I, you know, speak to about this sort of say well ‘yes the idea is that it’s telling the brain to go back and do what it should have done but it didn’t do when he was in vitro</w:t>
      </w:r>
      <w:r w:rsidRPr="006A1EC7">
        <w:t>” (WHS5)</w:t>
      </w:r>
    </w:p>
    <w:p w14:paraId="7306069A" w14:textId="1C1E9123" w:rsidR="006120EE" w:rsidRPr="006A1EC7" w:rsidRDefault="006120EE" w:rsidP="006120EE">
      <w:pPr>
        <w:spacing w:line="360" w:lineRule="auto"/>
        <w:ind w:firstLine="720"/>
      </w:pPr>
      <w:r w:rsidRPr="006A1EC7">
        <w:rPr>
          <w:rFonts w:eastAsiaTheme="majorEastAsia"/>
          <w:lang w:eastAsia="en-GB"/>
        </w:rPr>
        <w:lastRenderedPageBreak/>
        <w:br/>
      </w:r>
      <w:r w:rsidRPr="006A1EC7">
        <w:t xml:space="preserve">Perceived symptoms of the heart defects were increased heart rate (WHS3A), tiring easily (WHS3B), small size (WHS3A), pale complexion (WHS8), issues with circulation (WHS4B) and, possibly, increased sweating (WHS10). However, not all cardiac defects and abnormalities were reported as symptomatic: some participants, whose relatives had previously been diagnosed with murmurs or PDA, reported either no or no concerning impact of the heart defect on their relatives. Additionally, one mother (WHS5) expressed her concern about the impact of seizures on her son’s weakened heart: </w:t>
      </w:r>
    </w:p>
    <w:p w14:paraId="49383795" w14:textId="77777777" w:rsidR="006120EE" w:rsidRPr="006A1EC7" w:rsidRDefault="006120EE" w:rsidP="006120EE">
      <w:pPr>
        <w:spacing w:line="360" w:lineRule="auto"/>
        <w:ind w:firstLine="720"/>
      </w:pPr>
    </w:p>
    <w:p w14:paraId="376DF7DE" w14:textId="6F698E46" w:rsidR="006120EE" w:rsidRPr="006A1EC7" w:rsidRDefault="006120EE" w:rsidP="00744A8E">
      <w:pPr>
        <w:ind w:left="720"/>
      </w:pPr>
      <w:r w:rsidRPr="006A1EC7">
        <w:rPr>
          <w:i/>
        </w:rPr>
        <w:t>“(…) because obviously the seizures (…) and then the extra stress on the heart. Um, one of the things that frightened me was that…what I didn’t want is him to end up in a worse position than he is now.”</w:t>
      </w:r>
      <w:r w:rsidRPr="006A1EC7">
        <w:t xml:space="preserve"> (WHS5)</w:t>
      </w:r>
    </w:p>
    <w:p w14:paraId="10CADD89" w14:textId="77777777" w:rsidR="006120EE" w:rsidRPr="006A1EC7" w:rsidRDefault="006120EE" w:rsidP="006120EE">
      <w:pPr>
        <w:pStyle w:val="NormalWeb"/>
        <w:spacing w:line="360" w:lineRule="auto"/>
      </w:pPr>
      <w:r w:rsidRPr="006A1EC7">
        <w:t>Family members described always having their relatives’ heart defects at the back of their minds and worrying about the consequences and risks of future surgery to correct the heart defect. In two families, where a grandmother (WHS3C, WHS4A) and mother (WHS3A, WHS4B) were both interviewed, an interesting difference in the perceived impact of the heart defect on the child was observed: both grandmothers reported no (WHS4A) or little impact (WHS3B) of the heart defect while both mothers (WHS4A, WHS3A) attributed slightly more consequences to the heart defect.</w:t>
      </w:r>
    </w:p>
    <w:p w14:paraId="51A19B19" w14:textId="77777777" w:rsidR="006120EE" w:rsidRPr="006A1EC7" w:rsidRDefault="00BE607C" w:rsidP="006120EE">
      <w:pPr>
        <w:spacing w:line="276" w:lineRule="auto"/>
        <w:ind w:left="720" w:firstLine="80"/>
      </w:pPr>
      <m:oMath>
        <m:d>
          <m:dPr>
            <m:begChr m:val="["/>
            <m:endChr m:val="]"/>
            <m:ctrlPr>
              <w:rPr>
                <w:rFonts w:ascii="Cambria Math" w:hAnsi="Cambria Math"/>
              </w:rPr>
            </m:ctrlPr>
          </m:dPr>
          <m:e>
            <m:r>
              <w:rPr>
                <w:rFonts w:ascii="Cambria Math" w:hAnsi="Cambria Math"/>
              </w:rPr>
              <m:t>After</m:t>
            </m:r>
            <m:r>
              <m:rPr>
                <m:sty m:val="p"/>
              </m:rPr>
              <w:rPr>
                <w:rFonts w:ascii="Cambria Math" w:hAnsi="Cambria Math"/>
              </w:rPr>
              <m:t xml:space="preserve"> </m:t>
            </m:r>
            <m:r>
              <w:rPr>
                <w:rFonts w:ascii="Cambria Math" w:hAnsi="Cambria Math"/>
              </w:rPr>
              <m:t>being</m:t>
            </m:r>
            <m:r>
              <m:rPr>
                <m:sty m:val="p"/>
              </m:rPr>
              <w:rPr>
                <w:rFonts w:ascii="Cambria Math" w:hAnsi="Cambria Math"/>
              </w:rPr>
              <m:t xml:space="preserve"> </m:t>
            </m:r>
            <m:r>
              <w:rPr>
                <w:rFonts w:ascii="Cambria Math" w:hAnsi="Cambria Math"/>
              </w:rPr>
              <m:t>asked</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issues</m:t>
            </m:r>
            <m:r>
              <m:rPr>
                <m:sty m:val="p"/>
              </m:rPr>
              <w:rPr>
                <w:rFonts w:ascii="Cambria Math" w:hAnsi="Cambria Math"/>
              </w:rPr>
              <m:t xml:space="preserve"> </m:t>
            </m:r>
            <m:r>
              <w:rPr>
                <w:rFonts w:ascii="Cambria Math" w:hAnsi="Cambria Math"/>
              </w:rPr>
              <m:t>with</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heart</m:t>
            </m:r>
            <m:r>
              <m:rPr>
                <m:sty m:val="p"/>
              </m:rPr>
              <w:rPr>
                <w:rFonts w:ascii="Cambria Math" w:hAnsi="Cambria Math"/>
              </w:rPr>
              <m:t xml:space="preserve"> </m:t>
            </m:r>
            <m:r>
              <w:rPr>
                <w:rFonts w:ascii="Cambria Math" w:hAnsi="Cambria Math"/>
              </w:rPr>
              <m:t>cause</m:t>
            </m:r>
            <m:r>
              <m:rPr>
                <m:sty m:val="p"/>
              </m:rPr>
              <w:rPr>
                <w:rFonts w:ascii="Cambria Math" w:hAnsi="Cambria Math"/>
              </w:rPr>
              <m:t xml:space="preserve"> </m:t>
            </m:r>
            <m:r>
              <w:rPr>
                <w:rFonts w:ascii="Cambria Math" w:hAnsi="Cambria Math"/>
              </w:rPr>
              <m:t>her</m:t>
            </m:r>
            <m:r>
              <m:rPr>
                <m:sty m:val="p"/>
              </m:rPr>
              <w:rPr>
                <w:rFonts w:ascii="Cambria Math" w:hAnsi="Cambria Math"/>
              </w:rPr>
              <m:t xml:space="preserve"> </m:t>
            </m:r>
            <m:r>
              <w:rPr>
                <w:rFonts w:ascii="Cambria Math" w:hAnsi="Cambria Math"/>
              </w:rPr>
              <m:t>concern</m:t>
            </m:r>
          </m:e>
        </m:d>
      </m:oMath>
      <w:r w:rsidR="006120EE" w:rsidRPr="006A1EC7">
        <w:t>“</w:t>
      </w:r>
      <w:r w:rsidR="006120EE" w:rsidRPr="006A1EC7">
        <w:rPr>
          <w:i/>
        </w:rPr>
        <w:t>Her heart? No</w:t>
      </w:r>
      <w:r w:rsidR="006120EE" w:rsidRPr="006A1EC7">
        <w:t>” (WHS4A) - grandmother</w:t>
      </w:r>
    </w:p>
    <w:p w14:paraId="3FC7EF1D" w14:textId="77777777" w:rsidR="006120EE" w:rsidRPr="006A1EC7" w:rsidRDefault="006120EE" w:rsidP="006120EE">
      <w:pPr>
        <w:spacing w:line="276" w:lineRule="auto"/>
        <w:ind w:left="720"/>
      </w:pPr>
      <w:r w:rsidRPr="006A1EC7">
        <w:t>“</w:t>
      </w:r>
      <w:r w:rsidRPr="006A1EC7">
        <w:rPr>
          <w:i/>
        </w:rPr>
        <w:t>I think maybe erm circulation but I know that’s quite common… she gets quite cold hands and feet and she gets cold really easily.”</w:t>
      </w:r>
      <w:r w:rsidRPr="006A1EC7">
        <w:t xml:space="preserve"> (WHS4B) – mother </w:t>
      </w:r>
    </w:p>
    <w:p w14:paraId="742D0DFD" w14:textId="77777777" w:rsidR="006120EE" w:rsidRPr="006A1EC7" w:rsidRDefault="006120EE" w:rsidP="006120EE">
      <w:pPr>
        <w:spacing w:line="276" w:lineRule="auto"/>
        <w:ind w:left="720"/>
      </w:pPr>
      <w:r w:rsidRPr="006A1EC7">
        <w:t>“</w:t>
      </w:r>
      <w:r w:rsidRPr="006A1EC7">
        <w:rPr>
          <w:i/>
        </w:rPr>
        <w:t>No, I don’t think so, except he probably gets tired…from effort, perhaps more than a child without it</w:t>
      </w:r>
      <w:r w:rsidRPr="006A1EC7">
        <w:t>.” (WHS3B)</w:t>
      </w:r>
    </w:p>
    <w:p w14:paraId="7F7E96AC" w14:textId="77777777" w:rsidR="006120EE" w:rsidRPr="006A1EC7" w:rsidRDefault="006120EE" w:rsidP="006120EE">
      <w:pPr>
        <w:spacing w:line="276" w:lineRule="auto"/>
        <w:ind w:left="720"/>
      </w:pPr>
      <w:r w:rsidRPr="006A1EC7">
        <w:t>“</w:t>
      </w:r>
      <w:r w:rsidRPr="006A1EC7">
        <w:rPr>
          <w:i/>
        </w:rPr>
        <w:t>It’s when you pick him up, you can feel his heart racing sometime… it might be keeping him smaller the fi- if it was fixed, but then again he’d be, you know it’s the most likely be s- like- so slow to grown anyway</w:t>
      </w:r>
      <w:r w:rsidRPr="006A1EC7">
        <w:t>” (WHS3A)</w:t>
      </w:r>
    </w:p>
    <w:p w14:paraId="366736C0" w14:textId="77777777" w:rsidR="006120EE" w:rsidRPr="006A1EC7" w:rsidRDefault="006120EE" w:rsidP="006120EE">
      <w:pPr>
        <w:spacing w:line="360" w:lineRule="auto"/>
      </w:pPr>
    </w:p>
    <w:p w14:paraId="30AC3DBD" w14:textId="77777777" w:rsidR="006120EE" w:rsidRPr="006A1EC7" w:rsidRDefault="006120EE" w:rsidP="006120EE">
      <w:pPr>
        <w:spacing w:line="360" w:lineRule="auto"/>
      </w:pPr>
      <w:r w:rsidRPr="006A1EC7">
        <w:t xml:space="preserve">Some structural, respiratory issues were also reported (Subtheme 1.4.2), such as narrowed airways leading to breathing difficulties, as well as recurrent and severe respiratory infections dominated the discourse. The latter included non-specified chest infections, chronic lung disease, pneumonia, respiratory syncytial virus, bronchiolitis and bronchitis. Across the sample, recurrent respiratory tract infections were perceived as a significant issue to the health of patients with WHS. Participant WHS6A, a medical doctor herself, sums these </w:t>
      </w:r>
      <w:r w:rsidRPr="006A1EC7">
        <w:lastRenderedPageBreak/>
        <w:t>concerns up by saying “</w:t>
      </w:r>
      <w:r w:rsidRPr="006A1EC7">
        <w:rPr>
          <w:i/>
          <w:iCs/>
        </w:rPr>
        <w:t>the chest infections are a…a problem because he may lose his life or his battle through it, a chest infection</w:t>
      </w:r>
      <w:r w:rsidRPr="006A1EC7">
        <w:t xml:space="preserve">.” (WHS6A). </w:t>
      </w:r>
    </w:p>
    <w:p w14:paraId="5AC95B44" w14:textId="77777777" w:rsidR="006120EE" w:rsidRPr="006A1EC7" w:rsidRDefault="006120EE" w:rsidP="006120EE">
      <w:pPr>
        <w:spacing w:line="360" w:lineRule="auto"/>
      </w:pPr>
      <w:r w:rsidRPr="006A1EC7">
        <w:t>Family members expressed that relatives were unable to fight off these respiratory infections, leading to frequent and complicated hospital admissions as home care was often not sufficient. Across interviews, it appeared as though family members had come to accept that their relatives with WHS will always have challenges with their respiratory system.</w:t>
      </w:r>
    </w:p>
    <w:p w14:paraId="5D5C06DD" w14:textId="21F8311C" w:rsidR="006120EE" w:rsidRPr="006A1EC7" w:rsidRDefault="006120EE" w:rsidP="00E648AF">
      <w:pPr>
        <w:spacing w:line="276" w:lineRule="auto"/>
        <w:ind w:left="720"/>
        <w:rPr>
          <w:i/>
        </w:rPr>
      </w:pPr>
      <w:r w:rsidRPr="006A1EC7">
        <w:t>“</w:t>
      </w:r>
      <w:r w:rsidRPr="006A1EC7">
        <w:rPr>
          <w:i/>
        </w:rPr>
        <w:t>They said that he’s got… chronic lung disease… he’s on oxygen every night. We used to be in hospital quite a lot last year with his lungs and his asthma.. His lungs aren’t… the best and... … they’ve said it’s just gonna get worse.”</w:t>
      </w:r>
      <w:r w:rsidRPr="006A1EC7">
        <w:t xml:space="preserve"> (WHS10)</w:t>
      </w:r>
    </w:p>
    <w:p w14:paraId="2E80235A" w14:textId="77777777" w:rsidR="006120EE" w:rsidRPr="006A1EC7" w:rsidRDefault="006120EE" w:rsidP="006120EE">
      <w:pPr>
        <w:spacing w:line="276" w:lineRule="auto"/>
        <w:ind w:left="720"/>
      </w:pPr>
      <w:r w:rsidRPr="006A1EC7">
        <w:t>“</w:t>
      </w:r>
      <w:r w:rsidRPr="006A1EC7">
        <w:rPr>
          <w:i/>
        </w:rPr>
        <w:t>Her chest… she had a lot of respiratory infections, that’s main um weakness…she…any infection like a normal croup infection she um struggles to manage it at home</w:t>
      </w:r>
      <w:r w:rsidRPr="006A1EC7">
        <w:t>.” (WHS11B)</w:t>
      </w:r>
    </w:p>
    <w:p w14:paraId="04D91016" w14:textId="77777777" w:rsidR="006120EE" w:rsidRPr="006A1EC7" w:rsidRDefault="006120EE" w:rsidP="006120EE">
      <w:pPr>
        <w:spacing w:line="276" w:lineRule="auto"/>
        <w:ind w:left="720"/>
      </w:pPr>
      <w:r w:rsidRPr="006A1EC7">
        <w:t>“</w:t>
      </w:r>
      <w:r w:rsidRPr="006A1EC7">
        <w:rPr>
          <w:i/>
        </w:rPr>
        <w:t xml:space="preserve">I don’t know how many times he was in hospital, it must have been 20…20 or 30 times in the first 2 and a half years </w:t>
      </w:r>
      <m:oMath>
        <m:d>
          <m:dPr>
            <m:begChr m:val="["/>
            <m:endChr m:val="]"/>
            <m:ctrlPr>
              <w:rPr>
                <w:rFonts w:ascii="Cambria Math" w:hAnsi="Cambria Math"/>
                <w:i/>
              </w:rPr>
            </m:ctrlPr>
          </m:dPr>
          <m:e>
            <m:r>
              <w:rPr>
                <w:rFonts w:ascii="Cambria Math" w:hAnsi="Cambria Math"/>
              </w:rPr>
              <m:t>as a result of respiratory infections</m:t>
            </m:r>
          </m:e>
        </m:d>
      </m:oMath>
      <w:r w:rsidRPr="006A1EC7">
        <w:rPr>
          <w:i/>
        </w:rPr>
        <w:t xml:space="preserve">” </w:t>
      </w:r>
      <w:r w:rsidRPr="006A1EC7">
        <w:t>(WHS2B)</w:t>
      </w:r>
      <w:r w:rsidRPr="006A1EC7">
        <w:br/>
      </w:r>
    </w:p>
    <w:p w14:paraId="164ACE0C" w14:textId="77777777" w:rsidR="006120EE" w:rsidRPr="006A1EC7" w:rsidRDefault="006120EE" w:rsidP="006120EE">
      <w:pPr>
        <w:spacing w:line="360" w:lineRule="auto"/>
      </w:pPr>
      <w:r w:rsidRPr="006A1EC7">
        <w:t xml:space="preserve">Three medical interventions (Subtheme 1.4.2.2) were described for respiratory infections: daily prophylactic antibiotic use due to the severity and recurrence of respiratory infections was reported in three individuals with WHS; two boys had nebulisers and one was connected to a SATs monitor overnight, which alarmed if the oxygen saturations dropped. </w:t>
      </w:r>
    </w:p>
    <w:p w14:paraId="4ECF62B9" w14:textId="77777777" w:rsidR="006120EE" w:rsidRPr="006A1EC7" w:rsidRDefault="006120EE" w:rsidP="006120EE">
      <w:pPr>
        <w:spacing w:line="360" w:lineRule="auto"/>
      </w:pPr>
      <w:r w:rsidRPr="006A1EC7">
        <w:t>Some patients were reported to suffer from aspiration while the medical intervention of fitting a PEG alleviated this symptom for one boy (“</w:t>
      </w:r>
      <w:r w:rsidRPr="006A1EC7">
        <w:rPr>
          <w:i/>
          <w:iCs/>
        </w:rPr>
        <w:t>he aspirates as well… that’s why ‘s fully PEG fed</w:t>
      </w:r>
      <w:r w:rsidRPr="006A1EC7">
        <w:t>”, WHS2A); others were reported to continue experiencing difficulties with aspiration, despite having a jejunostomy and PEG fitted.</w:t>
      </w:r>
    </w:p>
    <w:p w14:paraId="050B2E2D" w14:textId="77777777" w:rsidR="006120EE" w:rsidRPr="006A1EC7" w:rsidRDefault="006120EE" w:rsidP="006120EE">
      <w:pPr>
        <w:spacing w:line="360" w:lineRule="auto"/>
      </w:pPr>
      <w:r w:rsidRPr="006A1EC7">
        <w:t>Additionally, two mothers reported their children also suffered from sleep apnoea.</w:t>
      </w:r>
    </w:p>
    <w:p w14:paraId="18F71518" w14:textId="77777777" w:rsidR="006120EE" w:rsidRPr="006A1EC7" w:rsidRDefault="006120EE" w:rsidP="006120EE">
      <w:pPr>
        <w:spacing w:line="276" w:lineRule="auto"/>
      </w:pPr>
    </w:p>
    <w:p w14:paraId="59F0FBA8" w14:textId="77777777" w:rsidR="006120EE" w:rsidRPr="006A1EC7" w:rsidRDefault="006120EE" w:rsidP="006120EE">
      <w:pPr>
        <w:pStyle w:val="Heading3"/>
        <w:rPr>
          <w:rFonts w:ascii="Times New Roman" w:hAnsi="Times New Roman" w:cs="Times New Roman"/>
        </w:rPr>
      </w:pPr>
      <w:r w:rsidRPr="006A1EC7">
        <w:rPr>
          <w:rFonts w:ascii="Times New Roman" w:hAnsi="Times New Roman" w:cs="Times New Roman"/>
        </w:rPr>
        <w:t>Subtheme 1.5: Central Nervous System</w:t>
      </w:r>
    </w:p>
    <w:p w14:paraId="0CF32FE1" w14:textId="77777777" w:rsidR="006120EE" w:rsidRPr="006A1EC7" w:rsidRDefault="006120EE" w:rsidP="006120EE">
      <w:pPr>
        <w:spacing w:line="276" w:lineRule="auto"/>
      </w:pPr>
    </w:p>
    <w:p w14:paraId="68808807" w14:textId="77777777" w:rsidR="006120EE" w:rsidRPr="006A1EC7" w:rsidRDefault="006120EE" w:rsidP="006120EE">
      <w:pPr>
        <w:spacing w:line="360" w:lineRule="auto"/>
        <w:ind w:firstLine="720"/>
      </w:pPr>
      <w:r w:rsidRPr="006A1EC7">
        <w:t>Issues relating to the central nervous system were reported for three main areas: brain (abnormalities) (Subtheme 1.5.1), eyes and sight (Subtheme 1.5.2) and ear-nose-throat (ENT) (Subtheme 1.5.3). Regarding brain abnormalities</w:t>
      </w:r>
      <w:r w:rsidRPr="006A1EC7">
        <w:rPr>
          <w:rStyle w:val="FootnoteReference"/>
        </w:rPr>
        <w:footnoteReference w:id="12"/>
      </w:r>
      <w:r w:rsidRPr="006A1EC7">
        <w:t xml:space="preserve">, one patient was reported to have both a type 2 Chiari malformation as well as fluid build-up in his brain; another patient was reported </w:t>
      </w:r>
      <w:r w:rsidRPr="006A1EC7">
        <w:lastRenderedPageBreak/>
        <w:t>to have a cyst on her brain. Neurological issues relating to seizures and epilepsy are discussed separately in Subtheme “Epilepsy” (Subtheme 1.1).</w:t>
      </w:r>
    </w:p>
    <w:p w14:paraId="25EF64B6" w14:textId="77777777" w:rsidR="006120EE" w:rsidRPr="006A1EC7" w:rsidRDefault="006120EE" w:rsidP="006120EE">
      <w:pPr>
        <w:spacing w:line="360" w:lineRule="auto"/>
        <w:ind w:firstLine="720"/>
      </w:pPr>
      <w:r w:rsidRPr="006A1EC7">
        <w:t>For eyes and sight, sight impairments were reported to some degree across the whole sample. Two males were registered as blind. One mother reported that, while her son has the diagnosis of visual impairment, she believes “</w:t>
      </w:r>
      <w:r w:rsidRPr="006A1EC7">
        <w:rPr>
          <w:i/>
        </w:rPr>
        <w:t>he can see what he wants to</w:t>
      </w:r>
      <w:r w:rsidRPr="006A1EC7">
        <w:t>” as he can identity diggers on the motorway and planes in the sky, and assumes this is more related to her son’s cognition rather than issues with sight (WHS12AB). His stepfather explains that “</w:t>
      </w:r>
      <w:r w:rsidRPr="006A1EC7">
        <w:rPr>
          <w:i/>
        </w:rPr>
        <w:t>his sight isn’t great</w:t>
      </w:r>
      <w:r w:rsidRPr="006A1EC7">
        <w:t xml:space="preserve">” but both do not perceive the issues around the boy’s sight to be of concern (WHS12B). Further medical conditions or structural eye impairments reported were strabismus, astigmatism, nystagmus, and chloroma.  </w:t>
      </w:r>
    </w:p>
    <w:p w14:paraId="6BF770BB" w14:textId="77777777" w:rsidR="006120EE" w:rsidRPr="006A1EC7" w:rsidRDefault="006120EE" w:rsidP="006120EE">
      <w:pPr>
        <w:spacing w:line="360" w:lineRule="auto"/>
      </w:pPr>
      <w:r w:rsidRPr="006A1EC7">
        <w:t>Prescriptions for glasses to correct sight deficits were commonly reported. Participants revealed that they perceived it as challenging to ensure glasses were worn by their relatives with WHS as they did not always tolerate the intervention well. Consequently, the success and acceptance varied across the sample.</w:t>
      </w:r>
    </w:p>
    <w:p w14:paraId="0EACB53D" w14:textId="77777777" w:rsidR="006120EE" w:rsidRPr="006A1EC7" w:rsidRDefault="006120EE" w:rsidP="006120EE">
      <w:pPr>
        <w:spacing w:line="276" w:lineRule="auto"/>
        <w:ind w:firstLine="720"/>
      </w:pPr>
      <w:r w:rsidRPr="006A1EC7">
        <w:t xml:space="preserve"> </w:t>
      </w:r>
    </w:p>
    <w:p w14:paraId="12B1B004" w14:textId="77777777" w:rsidR="006120EE" w:rsidRPr="006A1EC7" w:rsidRDefault="006120EE" w:rsidP="006120EE">
      <w:pPr>
        <w:ind w:left="720"/>
      </w:pPr>
      <w:r w:rsidRPr="006A1EC7">
        <w:t>“</w:t>
      </w:r>
      <w:r w:rsidRPr="006A1EC7">
        <w:rPr>
          <w:i/>
        </w:rPr>
        <w:t>but he just won’t wear the glasses, he doesn’t like it, he just takes them off</w:t>
      </w:r>
      <w:r w:rsidRPr="006A1EC7">
        <w:t>” (WHS2B)</w:t>
      </w:r>
    </w:p>
    <w:p w14:paraId="45BA4E89" w14:textId="77777777" w:rsidR="006120EE" w:rsidRPr="006A1EC7" w:rsidRDefault="006120EE" w:rsidP="006120EE">
      <w:pPr>
        <w:ind w:left="720"/>
      </w:pPr>
      <w:r w:rsidRPr="006A1EC7">
        <w:t>“</w:t>
      </w:r>
      <w:r w:rsidRPr="006A1EC7">
        <w:rPr>
          <w:i/>
        </w:rPr>
        <w:t>He won’t wear them glasses… he might wear them for literally seconds or five minutes… a couple of minutes and he just straight off and he won’t wear them.</w:t>
      </w:r>
      <w:r w:rsidRPr="006A1EC7">
        <w:t>” (WHS2C)</w:t>
      </w:r>
      <w:r w:rsidRPr="006A1EC7">
        <w:br/>
        <w:t>“</w:t>
      </w:r>
      <w:r w:rsidRPr="006A1EC7">
        <w:rPr>
          <w:i/>
        </w:rPr>
        <w:t>We had to force him to wear glasses because he…didn’t want…and sometimes he doesn’t want, but we, um, we keep his glasses as much as we can.”</w:t>
      </w:r>
      <w:r w:rsidRPr="006A1EC7">
        <w:t xml:space="preserve"> (WHS6A)</w:t>
      </w:r>
      <w:r w:rsidRPr="006A1EC7">
        <w:br/>
      </w:r>
    </w:p>
    <w:p w14:paraId="1763C9BE" w14:textId="77777777" w:rsidR="006120EE" w:rsidRPr="006A1EC7" w:rsidRDefault="006120EE" w:rsidP="006120EE">
      <w:pPr>
        <w:spacing w:line="360" w:lineRule="auto"/>
      </w:pPr>
      <w:r w:rsidRPr="006A1EC7">
        <w:t>Two mothers (WHS9, WHS6A) drew links between mobility and sight impairments. One mother (WHS6A) did not perceive her son’s blindness as an issue due to him being immobile. While another mother recalled that her (now deceased) son, who only had peripheral vision, was much harder to manage due to being mobile than her other child with WHS, who is immobile. Therefore, it is possible to suggest that a mobile patient with WHS with impaired sight may be more challenging to manage than an immobile patient with WHS whose sight is impaired.</w:t>
      </w:r>
    </w:p>
    <w:p w14:paraId="6A3F4E0B" w14:textId="77777777" w:rsidR="006120EE" w:rsidRPr="006A1EC7" w:rsidRDefault="006120EE" w:rsidP="006120EE">
      <w:pPr>
        <w:spacing w:line="276" w:lineRule="auto"/>
        <w:ind w:firstLine="720"/>
      </w:pPr>
    </w:p>
    <w:p w14:paraId="19A1FBE7" w14:textId="77777777" w:rsidR="006120EE" w:rsidRPr="006A1EC7" w:rsidRDefault="006120EE" w:rsidP="006120EE">
      <w:pPr>
        <w:spacing w:line="276" w:lineRule="auto"/>
        <w:ind w:left="720"/>
      </w:pPr>
      <w:r w:rsidRPr="006A1EC7">
        <w:t>“</w:t>
      </w:r>
      <w:r w:rsidRPr="006A1EC7">
        <w:rPr>
          <w:i/>
        </w:rPr>
        <w:t>Yeah, it was because, um, it was…he…he was mobile…and so because he only had peripheral vision it was very difficult to manage him…”</w:t>
      </w:r>
      <w:r w:rsidRPr="006A1EC7">
        <w:t xml:space="preserve"> (WHS9)</w:t>
      </w:r>
    </w:p>
    <w:p w14:paraId="764982B7" w14:textId="77777777" w:rsidR="006120EE" w:rsidRPr="006A1EC7" w:rsidRDefault="006120EE" w:rsidP="006120EE">
      <w:pPr>
        <w:spacing w:line="276" w:lineRule="auto"/>
      </w:pPr>
    </w:p>
    <w:p w14:paraId="7D28905A" w14:textId="77777777" w:rsidR="006120EE" w:rsidRPr="006A1EC7" w:rsidRDefault="006120EE" w:rsidP="006120EE">
      <w:pPr>
        <w:spacing w:line="360" w:lineRule="auto"/>
      </w:pPr>
      <w:r w:rsidRPr="006A1EC7">
        <w:t>ENT concerns in the sample could be divided into two further sub-themes: firstly, issues with hearing and assessments of hearing (Subtheme 1.5.3.1) and secondly, frequent ENT infections (Subtheme 1.5.3.2).</w:t>
      </w:r>
    </w:p>
    <w:p w14:paraId="1836BFDD" w14:textId="77777777" w:rsidR="006120EE" w:rsidRPr="006A1EC7" w:rsidRDefault="006120EE" w:rsidP="006120EE">
      <w:pPr>
        <w:spacing w:line="360" w:lineRule="auto"/>
      </w:pPr>
    </w:p>
    <w:p w14:paraId="076B3BCF" w14:textId="3F83F955" w:rsidR="006120EE" w:rsidRPr="006A1EC7" w:rsidRDefault="006120EE" w:rsidP="006120EE">
      <w:pPr>
        <w:spacing w:line="360" w:lineRule="auto"/>
      </w:pPr>
      <w:r w:rsidRPr="006A1EC7">
        <w:t xml:space="preserve">Two relatives with WHS were reported as deaf. As a result, one boy had hearing aids (the other had passed away). </w:t>
      </w:r>
    </w:p>
    <w:p w14:paraId="37E2225B" w14:textId="77777777" w:rsidR="006120EE" w:rsidRPr="006A1EC7" w:rsidRDefault="006120EE" w:rsidP="006120EE">
      <w:pPr>
        <w:spacing w:line="360" w:lineRule="auto"/>
      </w:pPr>
      <w:r w:rsidRPr="006A1EC7">
        <w:t>One mother suggested that her son possibly had some undiagnosed hearing deficits, which, according to her, explained why he did not use “</w:t>
      </w:r>
      <w:r w:rsidRPr="006A1EC7">
        <w:rPr>
          <w:i/>
        </w:rPr>
        <w:t>joining words</w:t>
      </w:r>
      <w:r w:rsidRPr="006A1EC7">
        <w:t xml:space="preserve">” in speech. She also felt that the undiagnosed hearing deficits were exacerbating speech delays. </w:t>
      </w:r>
    </w:p>
    <w:p w14:paraId="794CD2B3" w14:textId="77777777" w:rsidR="006120EE" w:rsidRPr="006A1EC7" w:rsidRDefault="006120EE" w:rsidP="006120EE">
      <w:pPr>
        <w:spacing w:line="360" w:lineRule="auto"/>
        <w:ind w:firstLine="720"/>
      </w:pPr>
    </w:p>
    <w:p w14:paraId="133C0E79" w14:textId="77777777" w:rsidR="006120EE" w:rsidRPr="006A1EC7" w:rsidRDefault="006120EE" w:rsidP="006120EE">
      <w:pPr>
        <w:spacing w:line="276" w:lineRule="auto"/>
        <w:ind w:left="720"/>
      </w:pPr>
      <w:r w:rsidRPr="006A1EC7">
        <w:t>“</w:t>
      </w:r>
      <w:r w:rsidRPr="006A1EC7">
        <w:rPr>
          <w:i/>
        </w:rPr>
        <w:t>He’s not saying his joining words, which could be because he doesn’t hear them, cause you don’t emphasise them as much</w:t>
      </w:r>
      <w:r w:rsidRPr="006A1EC7">
        <w:t>.” (WHS3A)</w:t>
      </w:r>
    </w:p>
    <w:p w14:paraId="0203EBBD" w14:textId="77777777" w:rsidR="006120EE" w:rsidRPr="006A1EC7" w:rsidRDefault="006120EE" w:rsidP="006120EE">
      <w:pPr>
        <w:spacing w:line="360" w:lineRule="auto"/>
      </w:pPr>
    </w:p>
    <w:p w14:paraId="6B77527A" w14:textId="77777777" w:rsidR="006120EE" w:rsidRPr="006A1EC7" w:rsidRDefault="006120EE" w:rsidP="006120EE">
      <w:pPr>
        <w:spacing w:line="360" w:lineRule="auto"/>
      </w:pPr>
      <w:r w:rsidRPr="006A1EC7">
        <w:t>Interestingly, one mother reported that her son was diagnosed as deaf as an infant, but she believes that his behaviour now and his verbal interactions mean that this is not the case. Misdiagnoses and incorrect results after hearing tests were reported across the sample, and perceived to be the result of inadequate assessment of hearing ability in children and adults with WHS. Issues included: disengagement with the testing, unsuitable assessments or requiring the individual with WHS to undergo sedation to fully assess hearing (a risk that was perceived as too high by family members). A link between inadequate hearing assessments and cognitive deficits was often drawn by participants, for example, one grandmother (WHS2A) reported that her grandchild “</w:t>
      </w:r>
      <w:r w:rsidRPr="006A1EC7">
        <w:rPr>
          <w:i/>
        </w:rPr>
        <w:t>can hear you… but … don’t understand</w:t>
      </w:r>
      <w:r w:rsidRPr="006A1EC7">
        <w:t>” and that this is not reflected in the test assessment and result.</w:t>
      </w:r>
      <w:r w:rsidRPr="006A1EC7">
        <w:br/>
      </w:r>
    </w:p>
    <w:p w14:paraId="5BA40197" w14:textId="77777777" w:rsidR="006120EE" w:rsidRPr="006A1EC7" w:rsidRDefault="006120EE" w:rsidP="006120EE">
      <w:pPr>
        <w:spacing w:line="276" w:lineRule="auto"/>
        <w:ind w:left="720"/>
      </w:pPr>
      <w:r w:rsidRPr="006A1EC7">
        <w:t>“</w:t>
      </w:r>
      <w:r w:rsidRPr="006A1EC7">
        <w:rPr>
          <w:i/>
        </w:rPr>
        <w:t>Every time she’s been for a hearing test… they haven’t been able to get like a clear response because… they do the tests where they put the pictures on the wall and she’s just really not interested</w:t>
      </w:r>
      <w:r w:rsidRPr="006A1EC7">
        <w:t>.” (WHS4B)</w:t>
      </w:r>
    </w:p>
    <w:p w14:paraId="3DDDE495" w14:textId="77777777" w:rsidR="006120EE" w:rsidRPr="006A1EC7" w:rsidRDefault="006120EE" w:rsidP="006120EE">
      <w:pPr>
        <w:spacing w:line="276" w:lineRule="auto"/>
        <w:ind w:left="720"/>
      </w:pPr>
      <w:r w:rsidRPr="006A1EC7">
        <w:rPr>
          <w:i/>
        </w:rPr>
        <w:t>“It’s never bothered us enough to do anything or… to get him sedated to have a full-on hearing check… his hearing seems okay to us.”</w:t>
      </w:r>
      <w:r w:rsidRPr="006A1EC7">
        <w:t xml:space="preserve"> (WHS3A)</w:t>
      </w:r>
    </w:p>
    <w:p w14:paraId="04970319" w14:textId="77777777" w:rsidR="006120EE" w:rsidRPr="006A1EC7" w:rsidRDefault="006120EE" w:rsidP="006120EE">
      <w:pPr>
        <w:spacing w:line="276" w:lineRule="auto"/>
        <w:ind w:left="720"/>
      </w:pPr>
      <w:r w:rsidRPr="006A1EC7">
        <w:t>“</w:t>
      </w:r>
      <w:r w:rsidRPr="006A1EC7">
        <w:rPr>
          <w:i/>
        </w:rPr>
        <w:t>When they’ve done the tests at the hospital, with like the light boxes they have to look to, he’s never scored that well but then that kind of like involves like a certain level of understanding and he obviously he’s cognitively behind, so I never really had much faith in those tests</w:t>
      </w:r>
      <w:r w:rsidRPr="006A1EC7">
        <w:t>.” (WHS3A)</w:t>
      </w:r>
    </w:p>
    <w:p w14:paraId="305E76D4" w14:textId="77777777" w:rsidR="006120EE" w:rsidRPr="006A1EC7" w:rsidRDefault="006120EE" w:rsidP="006120EE">
      <w:pPr>
        <w:spacing w:line="276" w:lineRule="auto"/>
      </w:pPr>
    </w:p>
    <w:p w14:paraId="330164F4" w14:textId="77777777" w:rsidR="006120EE" w:rsidRPr="006A1EC7" w:rsidRDefault="006120EE" w:rsidP="006120EE">
      <w:pPr>
        <w:spacing w:line="360" w:lineRule="auto"/>
      </w:pPr>
      <w:r w:rsidRPr="006A1EC7">
        <w:t>Frequent ENT infections (Subtheme 1.5.3.2), such as tonsillitis leading to tonsillectomy, ear and throat infections, can be linked to lower immunity, as reported for WHS patients. Problems including glue ear or fluid in the ears requiring the placing of grommets or tubes were reported. One grandmother also reported issues with her granddaughter’s adenoids thus requiring surgery.</w:t>
      </w:r>
    </w:p>
    <w:p w14:paraId="578AB87C" w14:textId="77777777" w:rsidR="006120EE" w:rsidRPr="006A1EC7" w:rsidRDefault="006120EE" w:rsidP="006120EE">
      <w:pPr>
        <w:tabs>
          <w:tab w:val="num" w:pos="720"/>
        </w:tabs>
        <w:spacing w:line="360" w:lineRule="auto"/>
      </w:pPr>
    </w:p>
    <w:p w14:paraId="7FD450B3" w14:textId="77777777" w:rsidR="006120EE" w:rsidRPr="006A1EC7" w:rsidRDefault="006120EE" w:rsidP="006120EE">
      <w:pPr>
        <w:pStyle w:val="Heading3"/>
        <w:rPr>
          <w:rFonts w:ascii="Times New Roman" w:hAnsi="Times New Roman" w:cs="Times New Roman"/>
        </w:rPr>
      </w:pPr>
      <w:r w:rsidRPr="006A1EC7">
        <w:rPr>
          <w:rFonts w:ascii="Times New Roman" w:hAnsi="Times New Roman" w:cs="Times New Roman"/>
        </w:rPr>
        <w:t>Subtheme 1.6: Cognitive and behavioural aspects</w:t>
      </w:r>
    </w:p>
    <w:p w14:paraId="0F28D333" w14:textId="77777777" w:rsidR="006120EE" w:rsidRPr="006A1EC7" w:rsidRDefault="006120EE" w:rsidP="006120EE">
      <w:pPr>
        <w:tabs>
          <w:tab w:val="num" w:pos="720"/>
        </w:tabs>
        <w:spacing w:line="360" w:lineRule="auto"/>
      </w:pPr>
    </w:p>
    <w:p w14:paraId="2C3AFBDC" w14:textId="68398E56" w:rsidR="006120EE" w:rsidRPr="006A1EC7" w:rsidRDefault="006120EE" w:rsidP="006120EE">
      <w:pPr>
        <w:tabs>
          <w:tab w:val="num" w:pos="720"/>
        </w:tabs>
        <w:spacing w:line="360" w:lineRule="auto"/>
      </w:pPr>
      <w:r w:rsidRPr="006A1EC7">
        <w:tab/>
        <w:t xml:space="preserve">Discussion around the cognitive-behavioural aspects (Subtheme 1.6) in patients with WHS was prevalent in the sample, with the majority of family members reporting cognitive abilities as one of the most challenging features of </w:t>
      </w:r>
      <w:r w:rsidR="009F0718" w:rsidRPr="006A1EC7">
        <w:t>WHS</w:t>
      </w:r>
      <w:r w:rsidRPr="006A1EC7">
        <w:t>. The daily impact of having a relative with a severe learning disability, along with limitations in communication, were perceived as burdensome by most patients in the sample. Nevertheless, narratives such as</w:t>
      </w:r>
      <m:oMath>
        <m:r>
          <w:rPr>
            <w:rFonts w:ascii="Cambria Math" w:hAnsi="Cambria Math"/>
          </w:rPr>
          <m:t xml:space="preserve"> "</m:t>
        </m:r>
      </m:oMath>
      <w:r w:rsidRPr="006A1EC7">
        <w:rPr>
          <w:i/>
        </w:rPr>
        <w:t>… we’ve accepted him for how he is, so we just see it like, if he talks, he talks. If he don’t, he don’t.</w:t>
      </w:r>
      <w:r w:rsidRPr="006A1EC7">
        <w:t>” (WHS2A), were also present, indicating that participants had come to a degree of understanding and acceptance of the cognitive- behavioural aspects of WHS. One mother reported that her son’s learning disability</w:t>
      </w:r>
      <w:r w:rsidRPr="006A1EC7">
        <w:rPr>
          <w:i/>
        </w:rPr>
        <w:t xml:space="preserve"> “always come secondary</w:t>
      </w:r>
      <w:r w:rsidRPr="006A1EC7">
        <w:t>” as she believes it was more important to “</w:t>
      </w:r>
      <w:r w:rsidRPr="006A1EC7">
        <w:rPr>
          <w:i/>
        </w:rPr>
        <w:t>deal with the life-threatening stuff</w:t>
      </w:r>
      <w:r w:rsidRPr="006A1EC7">
        <w:t>” first (WHS5).</w:t>
      </w:r>
    </w:p>
    <w:p w14:paraId="6DDCE077" w14:textId="77777777" w:rsidR="006120EE" w:rsidRPr="006A1EC7" w:rsidRDefault="006120EE" w:rsidP="006120EE">
      <w:pPr>
        <w:tabs>
          <w:tab w:val="num" w:pos="720"/>
        </w:tabs>
        <w:spacing w:line="360" w:lineRule="auto"/>
      </w:pPr>
    </w:p>
    <w:p w14:paraId="4D9C2240" w14:textId="77777777" w:rsidR="006120EE" w:rsidRPr="006A1EC7" w:rsidRDefault="006120EE" w:rsidP="006120EE">
      <w:pPr>
        <w:tabs>
          <w:tab w:val="num" w:pos="720"/>
        </w:tabs>
        <w:spacing w:line="360" w:lineRule="auto"/>
        <w:rPr>
          <w:i/>
        </w:rPr>
      </w:pPr>
      <w:r w:rsidRPr="006A1EC7">
        <w:rPr>
          <w:noProof/>
        </w:rPr>
        <w:t>Some</w:t>
      </w:r>
      <w:r w:rsidRPr="006A1EC7">
        <w:t xml:space="preserve"> patients were reported to be non-verbal. Some were using or learning, sign language/Makaton. Others were able to imitate or pronounce a limited number of words, although the appropriate use of these words varied. A small number of patients was able to form coherent and meaningful sentences.</w:t>
      </w:r>
    </w:p>
    <w:p w14:paraId="79DAD62D" w14:textId="77777777" w:rsidR="006120EE" w:rsidRPr="006A1EC7" w:rsidRDefault="006120EE" w:rsidP="006120EE">
      <w:pPr>
        <w:tabs>
          <w:tab w:val="num" w:pos="720"/>
        </w:tabs>
        <w:spacing w:line="360" w:lineRule="auto"/>
        <w:rPr>
          <w:noProof/>
        </w:rPr>
      </w:pPr>
    </w:p>
    <w:p w14:paraId="5B576FE3" w14:textId="77777777" w:rsidR="006120EE" w:rsidRPr="006A1EC7" w:rsidRDefault="006120EE" w:rsidP="006120EE">
      <w:pPr>
        <w:spacing w:line="276" w:lineRule="auto"/>
        <w:ind w:left="720"/>
      </w:pPr>
      <w:r w:rsidRPr="006A1EC7">
        <w:t>“</w:t>
      </w:r>
      <w:r w:rsidRPr="006A1EC7">
        <w:rPr>
          <w:i/>
        </w:rPr>
        <w:t>He does say basic words like “mummy”, “daddy”, but I don’t think he really understands it cos sometimes he’ll call anybody “mummy”. So I think he understands mummy, but just don’t that it’s for one person.”</w:t>
      </w:r>
      <w:r w:rsidRPr="006A1EC7">
        <w:t xml:space="preserve"> (WHS2B)</w:t>
      </w:r>
    </w:p>
    <w:p w14:paraId="446C34E7" w14:textId="77777777" w:rsidR="006120EE" w:rsidRPr="006A1EC7" w:rsidRDefault="006120EE" w:rsidP="006120EE">
      <w:pPr>
        <w:spacing w:line="276" w:lineRule="auto"/>
        <w:ind w:left="720"/>
      </w:pPr>
      <w:r w:rsidRPr="006A1EC7">
        <w:rPr>
          <w:i/>
        </w:rPr>
        <w:t>“You know, she can respond appropriately but sometimes if you say ‘oh, have you been to school today?’ ‘Yeah!’ ‘You been to the moon?’ ‘Yeah!’ So she’ll give inaccurate responses or just say ‘yeah’ to things that you think ‘no you…obviously she didn’t do that today’</w:t>
      </w:r>
      <w:r w:rsidRPr="006A1EC7">
        <w:t>.” (WHS11B)</w:t>
      </w:r>
    </w:p>
    <w:p w14:paraId="6B93B3DE" w14:textId="45010CEB" w:rsidR="006120EE" w:rsidRPr="006A1EC7" w:rsidRDefault="006120EE" w:rsidP="006120EE">
      <w:pPr>
        <w:spacing w:line="276" w:lineRule="auto"/>
        <w:ind w:left="720"/>
      </w:pPr>
      <w:r w:rsidRPr="006A1EC7">
        <w:t>“</w:t>
      </w:r>
      <w:r w:rsidRPr="006A1EC7">
        <w:rPr>
          <w:i/>
        </w:rPr>
        <w:t>So his reading age and understanding is sometimes not that far off his peers of his age, which is a lot better than we had to believe from the information we had to read about WHS. So that's exciting in terms of what potential is there</w:t>
      </w:r>
      <w:r w:rsidRPr="006A1EC7">
        <w:t>.” (WHS3C)</w:t>
      </w:r>
    </w:p>
    <w:p w14:paraId="1C682BDC" w14:textId="77777777" w:rsidR="006120EE" w:rsidRPr="006A1EC7" w:rsidRDefault="006120EE" w:rsidP="006120EE">
      <w:pPr>
        <w:spacing w:line="276" w:lineRule="auto"/>
        <w:ind w:left="720"/>
      </w:pPr>
      <w:r w:rsidRPr="006A1EC7">
        <w:t>“</w:t>
      </w:r>
      <w:r w:rsidRPr="006A1EC7">
        <w:rPr>
          <w:i/>
        </w:rPr>
        <w:t>Ye, now, he can say really short sentences. He knows loads of names, he always remembers people's names. He can give instructions, he can ask for things, he can say if he's happy, say if he's sad, say if he's had a nice day. All sort of things really.”</w:t>
      </w:r>
      <w:r w:rsidRPr="006A1EC7">
        <w:t xml:space="preserve"> (WHS3C)</w:t>
      </w:r>
    </w:p>
    <w:p w14:paraId="63675316" w14:textId="77777777" w:rsidR="006120EE" w:rsidRPr="006A1EC7" w:rsidRDefault="006120EE" w:rsidP="006120EE">
      <w:pPr>
        <w:spacing w:line="276" w:lineRule="auto"/>
        <w:ind w:left="720"/>
      </w:pPr>
      <w:r w:rsidRPr="006A1EC7">
        <w:t xml:space="preserve">“… </w:t>
      </w:r>
      <w:r w:rsidRPr="006A1EC7">
        <w:rPr>
          <w:i/>
        </w:rPr>
        <w:t>has been able to count to ten since he was about 8</w:t>
      </w:r>
      <w:r w:rsidRPr="006A1EC7">
        <w:t>.” (WHS12A)</w:t>
      </w:r>
    </w:p>
    <w:p w14:paraId="0DEB6DBA" w14:textId="77777777" w:rsidR="006120EE" w:rsidRPr="006A1EC7" w:rsidRDefault="006120EE" w:rsidP="006120EE">
      <w:pPr>
        <w:spacing w:line="276" w:lineRule="auto"/>
      </w:pPr>
    </w:p>
    <w:p w14:paraId="1BDD4047" w14:textId="77777777" w:rsidR="006120EE" w:rsidRPr="006A1EC7" w:rsidRDefault="006120EE" w:rsidP="006120EE">
      <w:pPr>
        <w:spacing w:line="360" w:lineRule="auto"/>
        <w:ind w:firstLine="720"/>
      </w:pPr>
      <w:r w:rsidRPr="006A1EC7">
        <w:t xml:space="preserve">Intellectual impairment and issues around communication were perceived as especially challenging in times of illness, with patients unable to communicate their pain or </w:t>
      </w:r>
      <w:r w:rsidRPr="006A1EC7">
        <w:lastRenderedPageBreak/>
        <w:t xml:space="preserve">discomfort meaningfully.  Some children with WHS were also noted to copy their siblings’ illness behaviour. Family members reported having to be very attuned to their relatives’ needs and behaviours to ascertain their health needs. </w:t>
      </w:r>
    </w:p>
    <w:p w14:paraId="11F7B71E" w14:textId="77777777" w:rsidR="006120EE" w:rsidRPr="006A1EC7" w:rsidRDefault="006120EE" w:rsidP="006120EE">
      <w:pPr>
        <w:spacing w:line="360" w:lineRule="auto"/>
        <w:ind w:firstLine="720"/>
      </w:pPr>
    </w:p>
    <w:p w14:paraId="6738ACC6" w14:textId="77777777" w:rsidR="006120EE" w:rsidRPr="006A1EC7" w:rsidRDefault="006120EE" w:rsidP="006120EE">
      <w:pPr>
        <w:spacing w:line="276" w:lineRule="auto"/>
        <w:ind w:left="720"/>
      </w:pPr>
      <w:r w:rsidRPr="006A1EC7">
        <w:rPr>
          <w:i/>
        </w:rPr>
        <w:t>“…’cause there’s no lip movement, there’s no c-…communication at all, just by sounds so…but the same sound can mean more than one thing so it…it’s a bit, um, difficult to sort of say, it…it can be she’s got wind, or it can be that she wanted the toilet, or she’s feeling a bit yucky…so it’s…it can be a number of things… so, um, communication is quite…quite difficult really.”</w:t>
      </w:r>
      <w:r w:rsidRPr="006A1EC7">
        <w:t xml:space="preserve"> (WHS7)</w:t>
      </w:r>
    </w:p>
    <w:p w14:paraId="04490E96" w14:textId="77777777" w:rsidR="006120EE" w:rsidRPr="006A1EC7" w:rsidRDefault="006120EE" w:rsidP="006120EE">
      <w:pPr>
        <w:spacing w:line="276" w:lineRule="auto"/>
        <w:ind w:left="720"/>
      </w:pPr>
      <w:r w:rsidRPr="006A1EC7">
        <w:rPr>
          <w:i/>
        </w:rPr>
        <w:t xml:space="preserve">“No, if she is… if she is poorly you can either tell, she’ll cry more she’ll become more clingy… sometimes though when you say…like if </w:t>
      </w:r>
      <m:oMath>
        <m:d>
          <m:dPr>
            <m:begChr m:val="["/>
            <m:endChr m:val="]"/>
            <m:ctrlPr>
              <w:rPr>
                <w:rFonts w:ascii="Cambria Math" w:hAnsi="Cambria Math"/>
                <w:i/>
              </w:rPr>
            </m:ctrlPr>
          </m:dPr>
          <m:e>
            <m:r>
              <w:rPr>
                <w:rFonts w:ascii="Cambria Math" w:hAnsi="Cambria Math"/>
              </w:rPr>
              <m:t>sibling without WHS</m:t>
            </m:r>
          </m:e>
        </m:d>
      </m:oMath>
      <w:r w:rsidRPr="006A1EC7">
        <w:rPr>
          <w:i/>
        </w:rPr>
        <w:t xml:space="preserve">’s got a headache or feels unwell, she can verbally tell me… </w:t>
      </w:r>
      <m:oMath>
        <m:d>
          <m:dPr>
            <m:begChr m:val="["/>
            <m:endChr m:val="]"/>
            <m:ctrlPr>
              <w:rPr>
                <w:rFonts w:ascii="Cambria Math" w:hAnsi="Cambria Math"/>
                <w:i/>
              </w:rPr>
            </m:ctrlPr>
          </m:dPr>
          <m:e>
            <m:r>
              <w:rPr>
                <w:rFonts w:ascii="Cambria Math" w:hAnsi="Cambria Math"/>
              </w:rPr>
              <m:t>chil</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s with WHS</m:t>
            </m:r>
          </m:e>
        </m:d>
        <m:r>
          <w:rPr>
            <w:rFonts w:ascii="Cambria Math" w:hAnsi="Cambria Math"/>
          </w:rPr>
          <m:t xml:space="preserve"> </m:t>
        </m:r>
      </m:oMath>
      <w:r w:rsidRPr="006A1EC7">
        <w:rPr>
          <w:i/>
        </w:rPr>
        <w:t>will watch us…she’ll watch me… and is like ‘me, me, me!’ or wanting the medicine herself… she’s tends to copy a bit you see, so…”</w:t>
      </w:r>
      <w:r w:rsidRPr="006A1EC7">
        <w:t xml:space="preserve"> (WHS11B)</w:t>
      </w:r>
    </w:p>
    <w:p w14:paraId="01C13E21" w14:textId="77777777" w:rsidR="006120EE" w:rsidRPr="006A1EC7" w:rsidRDefault="006120EE" w:rsidP="006120EE">
      <w:pPr>
        <w:spacing w:line="360" w:lineRule="auto"/>
        <w:ind w:firstLine="720"/>
      </w:pPr>
    </w:p>
    <w:p w14:paraId="6D791CDA" w14:textId="77777777" w:rsidR="006120EE" w:rsidRPr="006A1EC7" w:rsidRDefault="006120EE" w:rsidP="006120EE">
      <w:pPr>
        <w:spacing w:line="360" w:lineRule="auto"/>
      </w:pPr>
      <w:r w:rsidRPr="006A1EC7">
        <w:t>The content of the interviews revealed that the majority of participants recognised that their affected relatives had a limited capacity to develop intellectually; however, some family members put forward the idea that using the term “</w:t>
      </w:r>
      <w:r w:rsidRPr="006A1EC7">
        <w:rPr>
          <w:i/>
        </w:rPr>
        <w:t>learning disability</w:t>
      </w:r>
      <w:r w:rsidRPr="006A1EC7">
        <w:t>” for their WHS relative is incorrect as they are not unable to learn, but are instead slower to learn than their healthy peers or siblings. One mother of an adult woman with WHS reported that her daughter, now in her mid-fifties, was non-verbal but recently learnt to do “high-fives” and emphasised continued learning.</w:t>
      </w:r>
    </w:p>
    <w:p w14:paraId="5A54BF1F" w14:textId="77777777" w:rsidR="006120EE" w:rsidRPr="006A1EC7" w:rsidRDefault="006120EE" w:rsidP="006120EE">
      <w:pPr>
        <w:ind w:left="720"/>
      </w:pPr>
      <w:r w:rsidRPr="006A1EC7">
        <w:br/>
        <w:t>“</w:t>
      </w:r>
      <w:r w:rsidRPr="006A1EC7">
        <w:rPr>
          <w:i/>
        </w:rPr>
        <w:t xml:space="preserve">Obviously, it takes a lot more time, you have to go through everything a lot more before he gets it and things don't connect as quickly. And then with </w:t>
      </w:r>
      <m:oMath>
        <m:d>
          <m:dPr>
            <m:begChr m:val="["/>
            <m:endChr m:val="]"/>
            <m:ctrlPr>
              <w:rPr>
                <w:rFonts w:ascii="Cambria Math" w:hAnsi="Cambria Math"/>
                <w:i/>
              </w:rPr>
            </m:ctrlPr>
          </m:dPr>
          <m:e>
            <m:r>
              <w:rPr>
                <w:rFonts w:ascii="Cambria Math" w:hAnsi="Cambria Math"/>
              </w:rPr>
              <m:t xml:space="preserve">second, younger child </m:t>
            </m:r>
          </m:e>
        </m:d>
      </m:oMath>
      <w:r w:rsidRPr="006A1EC7">
        <w:rPr>
          <w:i/>
        </w:rPr>
        <w:t>, he just learns on his own a lot more I guess, just quicker on his own more and from others more</w:t>
      </w:r>
      <w:r w:rsidRPr="006A1EC7">
        <w:t>.” (WHS3C)</w:t>
      </w:r>
    </w:p>
    <w:p w14:paraId="0034F6A3" w14:textId="77777777" w:rsidR="006120EE" w:rsidRPr="006A1EC7" w:rsidRDefault="006120EE" w:rsidP="006120EE">
      <w:pPr>
        <w:ind w:left="720"/>
      </w:pPr>
      <w:r w:rsidRPr="006A1EC7">
        <w:t>“</w:t>
      </w:r>
      <w:r w:rsidRPr="006A1EC7">
        <w:rPr>
          <w:i/>
        </w:rPr>
        <w:t>Because I always say that my son has… followed the normal pattern of development but what takes a month for a normal child, may take 20 years for him…”</w:t>
      </w:r>
      <w:r w:rsidRPr="006A1EC7">
        <w:t xml:space="preserve"> (WHS6A)</w:t>
      </w:r>
    </w:p>
    <w:p w14:paraId="0AE66DAF" w14:textId="77777777" w:rsidR="006120EE" w:rsidRPr="006A1EC7" w:rsidRDefault="006120EE" w:rsidP="006120EE">
      <w:pPr>
        <w:ind w:left="720"/>
      </w:pPr>
      <w:r w:rsidRPr="006A1EC7">
        <w:t>“</w:t>
      </w:r>
      <w:r w:rsidRPr="006A1EC7">
        <w:rPr>
          <w:i/>
        </w:rPr>
        <w:t>So but he surprises people with.. his phonics… he’s obviously behind and he will always be behind but… he’s learning all the time.”</w:t>
      </w:r>
      <w:r w:rsidRPr="006A1EC7">
        <w:t xml:space="preserve"> (WHS3A)</w:t>
      </w:r>
    </w:p>
    <w:p w14:paraId="450A9B55" w14:textId="77777777" w:rsidR="006120EE" w:rsidRPr="006A1EC7" w:rsidRDefault="006120EE" w:rsidP="006120EE">
      <w:pPr>
        <w:spacing w:line="276" w:lineRule="auto"/>
        <w:ind w:firstLine="720"/>
      </w:pPr>
    </w:p>
    <w:p w14:paraId="42F5DC0B" w14:textId="77777777" w:rsidR="006120EE" w:rsidRPr="006A1EC7" w:rsidRDefault="006120EE" w:rsidP="006120EE">
      <w:pPr>
        <w:spacing w:line="360" w:lineRule="auto"/>
      </w:pPr>
      <w:r w:rsidRPr="006A1EC7">
        <w:t>A number of participants described fears around danger awareness and safety (Subtheme 1.6.2). They revealed that because of their relatives’ diagnosis of WHS and intellectual impairment, they needed constant vigilance and attention to ensure safety was not compromised, for example, safety in the kitchen and behaviour towards strangers. One mother expressed concern and worries about this lack of danger awareness exacerbating her daughter’s vulnerability.</w:t>
      </w:r>
    </w:p>
    <w:p w14:paraId="6D076A2F" w14:textId="77777777" w:rsidR="006120EE" w:rsidRPr="006A1EC7" w:rsidRDefault="006120EE" w:rsidP="006120EE">
      <w:pPr>
        <w:spacing w:line="360" w:lineRule="auto"/>
      </w:pPr>
    </w:p>
    <w:p w14:paraId="50818542" w14:textId="77777777" w:rsidR="006120EE" w:rsidRPr="006A1EC7" w:rsidRDefault="006120EE" w:rsidP="006120EE">
      <w:pPr>
        <w:spacing w:line="276" w:lineRule="auto"/>
        <w:ind w:left="720"/>
      </w:pPr>
      <w:r w:rsidRPr="006A1EC7">
        <w:lastRenderedPageBreak/>
        <w:t>“</w:t>
      </w:r>
      <w:r w:rsidRPr="006A1EC7">
        <w:rPr>
          <w:i/>
        </w:rPr>
        <w:t>her own safety and awareness… like a her social boundaries. You know she’ll…she’ll go up to total strangers and you’d be out with her, um, and she’d be quite familiar and quite tactile with strangers</w:t>
      </w:r>
      <w:r w:rsidRPr="006A1EC7">
        <w:t>.” (WHS11B)</w:t>
      </w:r>
    </w:p>
    <w:p w14:paraId="13E21C4E" w14:textId="77777777" w:rsidR="006120EE" w:rsidRPr="006A1EC7" w:rsidRDefault="006120EE" w:rsidP="006120EE">
      <w:pPr>
        <w:spacing w:line="276" w:lineRule="auto"/>
        <w:ind w:left="720"/>
      </w:pPr>
      <w:r w:rsidRPr="006A1EC7">
        <w:t>“</w:t>
      </w:r>
      <w:r w:rsidRPr="006A1EC7">
        <w:rPr>
          <w:i/>
        </w:rPr>
        <w:t>his danger awareness is, is a major major thing, he has no awareness of danger, you know, and he you know he’ll go in the kitchen, you know, you can see his hands will go for the draining board, so you know, if had that he's had the draining board on the floor, he's had plants off tables, you know, he’s, he’s smashed stuff round the house, so you've got to, have all this stuff and just away from his ha-hand’s length, now do you know what I mean and he’s like, you know, as he gets older, the television, is that going to be drilled on to the wall, you know what I mean…”</w:t>
      </w:r>
      <w:r w:rsidRPr="006A1EC7">
        <w:t xml:space="preserve"> (WHS1)</w:t>
      </w:r>
    </w:p>
    <w:p w14:paraId="6464A251" w14:textId="77777777" w:rsidR="006120EE" w:rsidRPr="006A1EC7" w:rsidRDefault="006120EE" w:rsidP="006120EE">
      <w:pPr>
        <w:spacing w:line="276" w:lineRule="auto"/>
      </w:pPr>
    </w:p>
    <w:p w14:paraId="03B3F04B" w14:textId="77777777" w:rsidR="006120EE" w:rsidRPr="006A1EC7" w:rsidRDefault="006120EE" w:rsidP="006120EE">
      <w:pPr>
        <w:spacing w:line="360" w:lineRule="auto"/>
      </w:pPr>
      <w:r w:rsidRPr="006A1EC7">
        <w:t>Increased musical affinity was reported for children and adults across the sample (Subtheme 1.6.3). Music and sounds were reported as motivators and joyful experiences for the individuals with WHS. Even children and adults with no verbal skills were described as being able to hum songs they have previously heard.</w:t>
      </w:r>
    </w:p>
    <w:p w14:paraId="2916322F" w14:textId="77777777" w:rsidR="006120EE" w:rsidRPr="006A1EC7" w:rsidRDefault="006120EE" w:rsidP="006120EE">
      <w:pPr>
        <w:spacing w:line="276" w:lineRule="auto"/>
        <w:ind w:firstLine="720"/>
      </w:pPr>
    </w:p>
    <w:p w14:paraId="538FECBF" w14:textId="77777777" w:rsidR="006120EE" w:rsidRPr="006A1EC7" w:rsidRDefault="006120EE" w:rsidP="006120EE">
      <w:pPr>
        <w:spacing w:line="276" w:lineRule="auto"/>
        <w:ind w:left="720"/>
      </w:pPr>
      <w:r w:rsidRPr="006A1EC7">
        <w:t>“</w:t>
      </w:r>
      <w:r w:rsidRPr="006A1EC7">
        <w:rPr>
          <w:i/>
        </w:rPr>
        <w:t>We have taken him to the opera, to see opera… in the theatre; he loves it! He screams of happiness.”</w:t>
      </w:r>
      <w:r w:rsidRPr="006A1EC7">
        <w:t xml:space="preserve"> (WHS6A)</w:t>
      </w:r>
    </w:p>
    <w:p w14:paraId="537A33A7" w14:textId="77777777" w:rsidR="006120EE" w:rsidRPr="006A1EC7" w:rsidRDefault="006120EE" w:rsidP="006120EE">
      <w:pPr>
        <w:spacing w:line="276" w:lineRule="auto"/>
        <w:ind w:left="720"/>
      </w:pPr>
      <w:r w:rsidRPr="006A1EC7">
        <w:rPr>
          <w:i/>
        </w:rPr>
        <w:t>“Music is his life, and he just listens to music, watches Scottish country bands sing…ceilidh. We went to a ceilidh the other night… he just loves music.”</w:t>
      </w:r>
      <w:r w:rsidRPr="006A1EC7">
        <w:t xml:space="preserve"> (WHS3B)</w:t>
      </w:r>
    </w:p>
    <w:p w14:paraId="121C6676" w14:textId="77777777" w:rsidR="006120EE" w:rsidRPr="006A1EC7" w:rsidRDefault="006120EE" w:rsidP="006120EE">
      <w:pPr>
        <w:spacing w:line="276" w:lineRule="auto"/>
        <w:ind w:left="720"/>
      </w:pPr>
      <w:r w:rsidRPr="006A1EC7">
        <w:rPr>
          <w:i/>
        </w:rPr>
        <w:t>“His memory is absolutely amazing…and one of the first times…I could not believe it…we were on our way to the beach, and he sang out of the blue ‘row row row your boat’…and he knew the words to ‘you are my sunshine’”.</w:t>
      </w:r>
      <w:r w:rsidRPr="006A1EC7">
        <w:t xml:space="preserve"> (WHS12A)</w:t>
      </w:r>
    </w:p>
    <w:p w14:paraId="669379B5" w14:textId="77777777" w:rsidR="006120EE" w:rsidRPr="006A1EC7" w:rsidRDefault="006120EE" w:rsidP="006120EE">
      <w:pPr>
        <w:spacing w:line="276" w:lineRule="auto"/>
        <w:ind w:left="720"/>
      </w:pPr>
      <w:r w:rsidRPr="006A1EC7">
        <w:rPr>
          <w:i/>
        </w:rPr>
        <w:t>“put a music song on after he’s heard it once, he can pick it up, he can hum the tune… he can’t say it, he can’t sing it but he can hum it and you can understand what he’s humming, the words.”</w:t>
      </w:r>
      <w:r w:rsidRPr="006A1EC7">
        <w:t xml:space="preserve"> (WHS2A)</w:t>
      </w:r>
    </w:p>
    <w:p w14:paraId="42B1017A" w14:textId="77777777" w:rsidR="006120EE" w:rsidRPr="006A1EC7" w:rsidRDefault="006120EE" w:rsidP="006120EE">
      <w:pPr>
        <w:spacing w:line="360" w:lineRule="auto"/>
      </w:pPr>
    </w:p>
    <w:p w14:paraId="1B926E4E" w14:textId="77777777" w:rsidR="006120EE" w:rsidRPr="006A1EC7" w:rsidRDefault="006120EE" w:rsidP="006120EE">
      <w:pPr>
        <w:spacing w:line="360" w:lineRule="auto"/>
        <w:ind w:firstLine="720"/>
      </w:pPr>
      <w:r w:rsidRPr="006A1EC7">
        <w:t>Family members reported utilising their relatives’ musical affinity in day-to-day life. For example, one family used a small boy’s love for music to help settle him into a sleep routine. Another mother reported using musical toys to motivate her son; moreover, his sister explained that by playing the piano she has been able to connect to her brother even more deeply.</w:t>
      </w:r>
    </w:p>
    <w:p w14:paraId="5B9E56AA" w14:textId="77777777" w:rsidR="006120EE" w:rsidRPr="006A1EC7" w:rsidRDefault="006120EE" w:rsidP="006120EE">
      <w:pPr>
        <w:spacing w:line="276" w:lineRule="auto"/>
        <w:ind w:left="720"/>
      </w:pPr>
      <w:r w:rsidRPr="006A1EC7">
        <w:t>“</w:t>
      </w:r>
      <w:r w:rsidRPr="006A1EC7">
        <w:rPr>
          <w:i/>
        </w:rPr>
        <w:t>I’ve sort of said ‘use music, that’s his biggest motivator’…you want him to do something? Make music the end result. The spinning toy there, that’s why that’s his favourite toy because, you know, he gets an immediate reward. You go round our house, all the things have a musical response. (…) Um, I say he can learn tunes, he will sing me ‘twinkle twinkle little star’, he will sing me Christmas carols, or happy birthday.”</w:t>
      </w:r>
      <w:r w:rsidRPr="006A1EC7">
        <w:t xml:space="preserve"> (WHS5)</w:t>
      </w:r>
    </w:p>
    <w:p w14:paraId="646F97AA" w14:textId="77777777" w:rsidR="006120EE" w:rsidRPr="006A1EC7" w:rsidRDefault="006120EE" w:rsidP="006120EE">
      <w:pPr>
        <w:spacing w:line="276" w:lineRule="auto"/>
        <w:ind w:left="720"/>
      </w:pPr>
      <w:r w:rsidRPr="006A1EC7">
        <w:t>“</w:t>
      </w:r>
      <w:r w:rsidRPr="006A1EC7">
        <w:rPr>
          <w:i/>
        </w:rPr>
        <w:t>but I do have…I play the piano, and he loves music. So we do have that way that we bond because I…when I play the piano, he really loves it, so if I didn’t…if I hadn’t have that…</w:t>
      </w:r>
      <w:r w:rsidRPr="006A1EC7">
        <w:t>” (WHS6C).</w:t>
      </w:r>
    </w:p>
    <w:p w14:paraId="281A41C8" w14:textId="77777777" w:rsidR="006120EE" w:rsidRPr="006A1EC7" w:rsidRDefault="006120EE" w:rsidP="006120EE">
      <w:pPr>
        <w:spacing w:line="276" w:lineRule="auto"/>
      </w:pPr>
    </w:p>
    <w:p w14:paraId="125A5426" w14:textId="77777777" w:rsidR="006120EE" w:rsidRPr="006A1EC7" w:rsidRDefault="006120EE" w:rsidP="006120EE">
      <w:pPr>
        <w:spacing w:line="360" w:lineRule="auto"/>
      </w:pPr>
      <w:r w:rsidRPr="006A1EC7">
        <w:t xml:space="preserve">Challenging behaviour (Subtheme 1.6.4) such as kicking, hitting, spitting and other physical behaviours were also described in a number of interviews. Some family members perceived the display of challenging behaviour as a response to situations that caused a lack of understanding, insight or the ability to ‘rationalize’. Examples include having to unexpectedly turn around on the walk to school mid-walk, a sibling being told off or the fire alarm going off. In an attempt to prevent these escalations, family members reported adapting strategies such as regular routines and social stories. </w:t>
      </w:r>
    </w:p>
    <w:p w14:paraId="2E5AFC04" w14:textId="77777777" w:rsidR="006120EE" w:rsidRPr="006A1EC7" w:rsidRDefault="006120EE" w:rsidP="006120EE">
      <w:pPr>
        <w:spacing w:line="276" w:lineRule="auto"/>
      </w:pPr>
    </w:p>
    <w:p w14:paraId="7382E07E" w14:textId="77777777" w:rsidR="006120EE" w:rsidRPr="006A1EC7" w:rsidRDefault="006120EE" w:rsidP="006120EE">
      <w:pPr>
        <w:spacing w:line="276" w:lineRule="auto"/>
        <w:ind w:left="720"/>
      </w:pPr>
      <w:r w:rsidRPr="006A1EC7">
        <w:t>“</w:t>
      </w:r>
      <w:r w:rsidRPr="006A1EC7">
        <w:rPr>
          <w:i/>
        </w:rPr>
        <w:t>but now behaviourally she seems to, you know, be…be difficult in terms of not being able to rationalise…she can understand most things you say to her, but in terms of being able to rationalise or process it as quick as you might need in a busy family life really…”</w:t>
      </w:r>
      <w:r w:rsidRPr="006A1EC7">
        <w:t xml:space="preserve"> (WHS11C)</w:t>
      </w:r>
    </w:p>
    <w:p w14:paraId="7EEB4711" w14:textId="77777777" w:rsidR="006120EE" w:rsidRPr="006A1EC7" w:rsidRDefault="006120EE" w:rsidP="006120EE">
      <w:pPr>
        <w:spacing w:line="276" w:lineRule="auto"/>
        <w:ind w:left="720"/>
      </w:pPr>
      <w:r w:rsidRPr="006A1EC7">
        <w:t>“</w:t>
      </w:r>
      <w:r w:rsidRPr="006A1EC7">
        <w:rPr>
          <w:i/>
        </w:rPr>
        <w:t xml:space="preserve">and then my sister took her laces out her shoes, she was changing her laces, and </w:t>
      </w:r>
      <m:oMath>
        <m:d>
          <m:dPr>
            <m:begChr m:val="["/>
            <m:endChr m:val="]"/>
            <m:ctrlPr>
              <w:rPr>
                <w:rFonts w:ascii="Cambria Math" w:hAnsi="Cambria Math"/>
                <w:i/>
              </w:rPr>
            </m:ctrlPr>
          </m:dPr>
          <m:e>
            <m:r>
              <w:rPr>
                <w:rFonts w:ascii="Cambria Math" w:hAnsi="Cambria Math"/>
              </w:rPr>
              <m:t>non affected child</m:t>
            </m:r>
          </m:e>
        </m:d>
        <m:r>
          <w:rPr>
            <w:rFonts w:ascii="Cambria Math" w:hAnsi="Cambria Math"/>
          </w:rPr>
          <m:t xml:space="preserve"> </m:t>
        </m:r>
      </m:oMath>
      <w:r w:rsidRPr="006A1EC7">
        <w:rPr>
          <w:i/>
        </w:rPr>
        <w:t>picked it up and dangled it, and oh…and suddenly… he threw her against the wardrobe.”</w:t>
      </w:r>
      <w:r w:rsidRPr="006A1EC7">
        <w:t xml:space="preserve"> (WHS12A).</w:t>
      </w:r>
    </w:p>
    <w:p w14:paraId="23125CC6" w14:textId="77777777" w:rsidR="006120EE" w:rsidRPr="006A1EC7" w:rsidRDefault="006120EE" w:rsidP="006120EE">
      <w:pPr>
        <w:spacing w:line="276" w:lineRule="auto"/>
      </w:pPr>
      <w:r w:rsidRPr="006A1EC7">
        <w:tab/>
        <w:t>“</w:t>
      </w:r>
      <w:r w:rsidRPr="006A1EC7">
        <w:rPr>
          <w:i/>
        </w:rPr>
        <w:t>he has assaulted me when he went to Opera.</w:t>
      </w:r>
      <w:r w:rsidRPr="006A1EC7">
        <w:t>” (WHS6A)</w:t>
      </w:r>
    </w:p>
    <w:p w14:paraId="127DECAD" w14:textId="77777777" w:rsidR="006120EE" w:rsidRPr="006A1EC7" w:rsidRDefault="006120EE" w:rsidP="006120EE">
      <w:pPr>
        <w:spacing w:line="276" w:lineRule="auto"/>
      </w:pPr>
    </w:p>
    <w:p w14:paraId="03ED6D09" w14:textId="77777777" w:rsidR="006120EE" w:rsidRPr="006A1EC7" w:rsidRDefault="006120EE" w:rsidP="006120EE">
      <w:pPr>
        <w:pStyle w:val="Heading3"/>
        <w:rPr>
          <w:rFonts w:ascii="Times New Roman" w:hAnsi="Times New Roman" w:cs="Times New Roman"/>
        </w:rPr>
      </w:pPr>
      <w:r w:rsidRPr="006A1EC7">
        <w:rPr>
          <w:rFonts w:ascii="Times New Roman" w:hAnsi="Times New Roman" w:cs="Times New Roman"/>
        </w:rPr>
        <w:t>Subtheme 1.7: Sleep</w:t>
      </w:r>
    </w:p>
    <w:p w14:paraId="467CB0FC" w14:textId="77777777" w:rsidR="006120EE" w:rsidRPr="006A1EC7" w:rsidRDefault="006120EE" w:rsidP="006120EE">
      <w:pPr>
        <w:spacing w:line="276" w:lineRule="auto"/>
      </w:pPr>
    </w:p>
    <w:p w14:paraId="389E8EA9" w14:textId="77777777" w:rsidR="006120EE" w:rsidRPr="006A1EC7" w:rsidRDefault="006120EE" w:rsidP="006120EE">
      <w:pPr>
        <w:spacing w:line="360" w:lineRule="auto"/>
        <w:ind w:firstLine="720"/>
      </w:pPr>
      <w:r w:rsidRPr="006A1EC7">
        <w:t>Another subtheme identified was sleep behaviour. Participants reported sleep issues as a “</w:t>
      </w:r>
      <w:r w:rsidRPr="006A1EC7">
        <w:rPr>
          <w:i/>
        </w:rPr>
        <w:t>constant question and concern</w:t>
      </w:r>
      <w:r w:rsidRPr="006A1EC7">
        <w:t>” (WHS11C) (Subtheme 1.7.1). The majority of patients with WHS were reported to frequently wake in the night. While some did not require any intervention as they were able to self-sooth, others required significant parental/caregiver input during night-time. A potential relationship between sleep problems and seizures/epilepsy was suggested by some participants, implying that seizure activity may be the underlying cause of disturbed nights: adjusting seizure medication largely solved this issue for one child. Another mother suspected that, despite her son being seizure free, his disturbed nights may relate to previously experiencing seizures at the times he now wakes up during the night.</w:t>
      </w:r>
    </w:p>
    <w:p w14:paraId="35D3BE70" w14:textId="54596172" w:rsidR="006120EE" w:rsidRPr="006A1EC7" w:rsidRDefault="006120EE" w:rsidP="006120EE">
      <w:pPr>
        <w:spacing w:line="360" w:lineRule="auto"/>
        <w:ind w:firstLine="720"/>
      </w:pPr>
      <w:r w:rsidRPr="006A1EC7">
        <w:t>Comments around management of these sleep issues (Subtheme 1.7.2) were that certain interventions had aided to establish sleeping patterns for some, while others perceived this as unachievable. This latter group of parents reported: challenges around their children sleeping through, persistently being unable to self-sooth, coming into the parents’ beds at night causing disruption to the parents and children having recurrent “</w:t>
      </w:r>
      <w:r w:rsidRPr="006A1EC7">
        <w:rPr>
          <w:i/>
          <w:iCs/>
        </w:rPr>
        <w:t>night terrors</w:t>
      </w:r>
      <w:r w:rsidRPr="006A1EC7">
        <w:t xml:space="preserve">” </w:t>
      </w:r>
      <w:r w:rsidRPr="006A1EC7">
        <w:lastRenderedPageBreak/>
        <w:t xml:space="preserve">(WHS3A) or experiencing other emotional distress. Some participants </w:t>
      </w:r>
      <w:r w:rsidR="002960EA" w:rsidRPr="006A1EC7">
        <w:t xml:space="preserve">discussed </w:t>
      </w:r>
      <w:r w:rsidRPr="006A1EC7">
        <w:t xml:space="preserve">issues accepting that their own sleeping pattern was disturbed. </w:t>
      </w:r>
    </w:p>
    <w:p w14:paraId="173DAEC0" w14:textId="77777777" w:rsidR="006120EE" w:rsidRPr="006A1EC7" w:rsidRDefault="006120EE" w:rsidP="006120EE">
      <w:pPr>
        <w:spacing w:line="360" w:lineRule="auto"/>
      </w:pPr>
      <w:r w:rsidRPr="006A1EC7">
        <w:t>Interventions applied in the sample included establishing a routine around bedtime as well as using medical intervention to help sleep. Two parents, for example, reported having tried Melatonin but discontinued it due to perceived inefficacy (WHS8, WHS12A). Some participants, particularly parents of younger children, reported having come to accept that the sleep routine was dictated by their affected children. The impact of these disturbed nights was perceived as large by the parents, both in terms of their own sleep and occupational functioning:</w:t>
      </w:r>
    </w:p>
    <w:p w14:paraId="3465A9FB" w14:textId="77777777" w:rsidR="006120EE" w:rsidRPr="006A1EC7" w:rsidRDefault="006120EE" w:rsidP="006120EE">
      <w:pPr>
        <w:spacing w:line="276" w:lineRule="auto"/>
      </w:pPr>
    </w:p>
    <w:p w14:paraId="3B36DECC" w14:textId="77777777" w:rsidR="006120EE" w:rsidRPr="006A1EC7" w:rsidRDefault="006120EE" w:rsidP="006120EE">
      <w:pPr>
        <w:spacing w:line="276" w:lineRule="auto"/>
        <w:ind w:left="720"/>
      </w:pPr>
      <w:r w:rsidRPr="006A1EC7">
        <w:rPr>
          <w:i/>
        </w:rPr>
        <w:t xml:space="preserve">“I’ve not been able to deal with the sleep thing, I’ve struggled, because I used to be really…’it’s fine’, get up, go to work…I worked full time for a while, ‘til </w:t>
      </w:r>
      <m:oMath>
        <m:d>
          <m:dPr>
            <m:begChr m:val="["/>
            <m:endChr m:val="]"/>
            <m:ctrlPr>
              <w:rPr>
                <w:rFonts w:ascii="Cambria Math" w:hAnsi="Cambria Math"/>
                <w:i/>
              </w:rPr>
            </m:ctrlPr>
          </m:dPr>
          <m:e>
            <m:r>
              <w:rPr>
                <w:rFonts w:ascii="Cambria Math" w:hAnsi="Cambria Math"/>
              </w:rPr>
              <m:t>younger, unaffected daughter</m:t>
            </m:r>
          </m:e>
        </m:d>
      </m:oMath>
      <w:r w:rsidRPr="006A1EC7">
        <w:rPr>
          <w:i/>
        </w:rPr>
        <w:t xml:space="preserve"> was born…and I just couldn’t do it, I couldn’t work full time now.”</w:t>
      </w:r>
      <w:r w:rsidRPr="006A1EC7">
        <w:t xml:space="preserve"> (WHS12A)</w:t>
      </w:r>
    </w:p>
    <w:p w14:paraId="430DFF11" w14:textId="77777777" w:rsidR="006120EE" w:rsidRPr="006A1EC7" w:rsidRDefault="006120EE" w:rsidP="006120EE">
      <w:pPr>
        <w:spacing w:line="276" w:lineRule="auto"/>
        <w:ind w:left="720"/>
      </w:pPr>
      <w:r w:rsidRPr="006A1EC7">
        <w:t>“</w:t>
      </w:r>
      <w:r w:rsidRPr="006A1EC7">
        <w:rPr>
          <w:i/>
        </w:rPr>
        <w:t>So…yes, it’s managed now but it was very very difficult, and there would be nights where they would get no sleep at all, and it was just absolutely exhausting</w:t>
      </w:r>
      <w:r w:rsidRPr="006A1EC7">
        <w:t>.” (WHS3B)</w:t>
      </w:r>
    </w:p>
    <w:p w14:paraId="0AFF098B" w14:textId="77777777" w:rsidR="006120EE" w:rsidRPr="006A1EC7" w:rsidRDefault="006120EE" w:rsidP="006120EE">
      <w:pPr>
        <w:spacing w:line="276" w:lineRule="auto"/>
        <w:ind w:left="720"/>
      </w:pPr>
      <w:r w:rsidRPr="006A1EC7">
        <w:t>“</w:t>
      </w:r>
      <w:r w:rsidRPr="006A1EC7">
        <w:rPr>
          <w:i/>
        </w:rPr>
        <w:t>but all 7 years of his life, he’s never slept a full whole night.”</w:t>
      </w:r>
      <w:r w:rsidRPr="006A1EC7">
        <w:t xml:space="preserve"> (WHS2C)</w:t>
      </w:r>
    </w:p>
    <w:p w14:paraId="751DCF37" w14:textId="77777777" w:rsidR="006120EE" w:rsidRPr="006A1EC7" w:rsidRDefault="006120EE" w:rsidP="006120EE">
      <w:pPr>
        <w:spacing w:line="276" w:lineRule="auto"/>
      </w:pPr>
    </w:p>
    <w:p w14:paraId="13A37A41" w14:textId="77777777" w:rsidR="006120EE" w:rsidRPr="006A1EC7" w:rsidRDefault="006120EE" w:rsidP="006120EE">
      <w:pPr>
        <w:spacing w:line="360" w:lineRule="auto"/>
      </w:pPr>
      <w:r w:rsidRPr="006A1EC7">
        <w:t xml:space="preserve">One mother expressed difficulties establishing a bedtime routine in relation to recurrent infections and illnesses, as well as lack of energy to deal with challenging behaviour at bedtime. </w:t>
      </w:r>
    </w:p>
    <w:p w14:paraId="0195BA1A" w14:textId="77777777" w:rsidR="006120EE" w:rsidRPr="006A1EC7" w:rsidRDefault="006120EE" w:rsidP="006120EE">
      <w:pPr>
        <w:spacing w:line="276" w:lineRule="auto"/>
      </w:pPr>
    </w:p>
    <w:p w14:paraId="68112A8B" w14:textId="77777777" w:rsidR="006120EE" w:rsidRPr="006A1EC7" w:rsidRDefault="006120EE" w:rsidP="006120EE">
      <w:pPr>
        <w:spacing w:line="276" w:lineRule="auto"/>
        <w:ind w:left="720"/>
      </w:pPr>
      <w:r w:rsidRPr="006A1EC7">
        <w:t>“</w:t>
      </w:r>
      <w:r w:rsidRPr="006A1EC7">
        <w:rPr>
          <w:i/>
        </w:rPr>
        <w:t>But yeah that’s, um…probably if I maybe tried a bit harder, you know, like any toddler really, learning to sleep on their own but it’s never…because she’s been so poorly it’s never been a good time to ever do that really, cause you’d just either be…she’ll be ill, or you getting over an ill-ness, or you even just knackered yourself…you’re just trying to get her to sleep and get some sleep yourself, so it’s never really…like with a child that’s not poorly you…you’ve got a bit more energy because you don’t have all the health issues on top all, you know, the behaviour issues at bed time.”</w:t>
      </w:r>
      <w:r w:rsidRPr="006A1EC7">
        <w:t xml:space="preserve"> (WHS11B)</w:t>
      </w:r>
    </w:p>
    <w:p w14:paraId="759A120D" w14:textId="77777777" w:rsidR="006120EE" w:rsidRPr="006A1EC7" w:rsidRDefault="006120EE" w:rsidP="006120EE">
      <w:pPr>
        <w:spacing w:line="276" w:lineRule="auto"/>
        <w:ind w:left="720"/>
      </w:pPr>
      <w:r w:rsidRPr="006A1EC7">
        <w:rPr>
          <w:i/>
        </w:rPr>
        <w:t xml:space="preserve">“I think </w:t>
      </w:r>
      <m:oMath>
        <m:d>
          <m:dPr>
            <m:begChr m:val="["/>
            <m:endChr m:val="]"/>
            <m:ctrlPr>
              <w:rPr>
                <w:rFonts w:ascii="Cambria Math" w:hAnsi="Cambria Math"/>
                <w:i/>
              </w:rPr>
            </m:ctrlPr>
          </m:dPr>
          <m:e>
            <m:r>
              <w:rPr>
                <w:rFonts w:ascii="Cambria Math" w:hAnsi="Cambria Math"/>
              </w:rPr>
              <m:t>mother</m:t>
            </m:r>
          </m:e>
        </m:d>
      </m:oMath>
      <w:r w:rsidRPr="006A1EC7">
        <w:rPr>
          <w:i/>
        </w:rPr>
        <w:t xml:space="preserve"> should be more firm really, you know, just um…she just let’s her into the bed, you know, when she comes through, you know, and she’s up maybe 2 or 3 times in the night…”</w:t>
      </w:r>
      <w:r w:rsidRPr="006A1EC7">
        <w:t xml:space="preserve"> (WHS11C)</w:t>
      </w:r>
    </w:p>
    <w:p w14:paraId="32B3762F" w14:textId="77777777" w:rsidR="006120EE" w:rsidRPr="006A1EC7" w:rsidRDefault="006120EE" w:rsidP="006120EE">
      <w:pPr>
        <w:spacing w:line="276" w:lineRule="auto"/>
      </w:pPr>
    </w:p>
    <w:p w14:paraId="29C9AD7C" w14:textId="77777777" w:rsidR="006120EE" w:rsidRPr="006A1EC7" w:rsidRDefault="006120EE" w:rsidP="006120EE">
      <w:pPr>
        <w:pStyle w:val="Heading3"/>
        <w:rPr>
          <w:rFonts w:ascii="Times New Roman" w:hAnsi="Times New Roman" w:cs="Times New Roman"/>
        </w:rPr>
      </w:pPr>
      <w:r w:rsidRPr="006A1EC7">
        <w:rPr>
          <w:rFonts w:ascii="Times New Roman" w:hAnsi="Times New Roman" w:cs="Times New Roman"/>
        </w:rPr>
        <w:t>Subtheme 1.8: Mobility</w:t>
      </w:r>
    </w:p>
    <w:p w14:paraId="391141AB" w14:textId="77777777" w:rsidR="006120EE" w:rsidRPr="006A1EC7" w:rsidRDefault="006120EE" w:rsidP="006120EE">
      <w:pPr>
        <w:spacing w:line="276" w:lineRule="auto"/>
      </w:pPr>
    </w:p>
    <w:p w14:paraId="66110BDE" w14:textId="77777777" w:rsidR="006120EE" w:rsidRPr="006A1EC7" w:rsidRDefault="006120EE" w:rsidP="006120EE">
      <w:pPr>
        <w:spacing w:line="360" w:lineRule="auto"/>
        <w:ind w:firstLine="720"/>
      </w:pPr>
      <w:r w:rsidRPr="006A1EC7">
        <w:t xml:space="preserve">Comments about mobility-related issues were also prevalent in the interviews (Subtheme 1.8). Mobility-related health issues (Subtheme 1.8.1) such as hypotonia, level of </w:t>
      </w:r>
      <w:r w:rsidRPr="006A1EC7">
        <w:lastRenderedPageBreak/>
        <w:t>mobility (i.e. walking, crawling) and the use of mobility aids (e.g. wheelchair, walker). Hypotonia was the most common clinical feature reported across the sample with nineteen family members indicating that their relative suffers from low muscle tone. Further health issues relating to bones and muscles were reported as unilateral and bilateral talipes (clubfoot), overpronation of the feet, hip dislocations post-seizures, joint hypermobility, involuntary movements, sacral dimples and spina bifida.</w:t>
      </w:r>
    </w:p>
    <w:p w14:paraId="3701402E" w14:textId="77777777" w:rsidR="006120EE" w:rsidRPr="006A1EC7" w:rsidRDefault="006120EE" w:rsidP="006120EE">
      <w:pPr>
        <w:spacing w:line="360" w:lineRule="auto"/>
      </w:pPr>
      <w:r w:rsidRPr="006A1EC7">
        <w:t>Mobility-related abilities varied significantly between participants (Subtheme 1.8.2):  one boy was able to sit up for short periods of time independently (“</w:t>
      </w:r>
      <w:r w:rsidRPr="006A1EC7">
        <w:rPr>
          <w:i/>
        </w:rPr>
        <w:t>he can’t walk or anything like that, he can sit up for short periods of time</w:t>
      </w:r>
      <w:r w:rsidRPr="006A1EC7">
        <w:t>”, WHS10), others were able to crawl, walk and even ride a bike. Some children and adults were able to walk independently; although issues around steadiness (“</w:t>
      </w:r>
      <w:r w:rsidRPr="006A1EC7">
        <w:rPr>
          <w:i/>
        </w:rPr>
        <w:t>wobbly</w:t>
      </w:r>
      <w:r w:rsidRPr="006A1EC7">
        <w:t>”, WHS2C), concerns about uneven surfaces, lack of danger awareness and problems with stairs were often reported. Some adults with WHS could walk assisted, i.e. with another adult fully bearing their weight (“</w:t>
      </w:r>
      <w:r w:rsidRPr="006A1EC7">
        <w:rPr>
          <w:i/>
        </w:rPr>
        <w:t>He can walk… but someone needs to support his weight completely</w:t>
      </w:r>
      <w:r w:rsidRPr="006A1EC7">
        <w:t>.” WHS6C). Some adults and children were unable to walk but compensated by crawling or “</w:t>
      </w:r>
      <w:r w:rsidRPr="006A1EC7">
        <w:rPr>
          <w:i/>
        </w:rPr>
        <w:t>bum shuffling</w:t>
      </w:r>
      <w:r w:rsidRPr="006A1EC7">
        <w:t xml:space="preserve">”. </w:t>
      </w:r>
    </w:p>
    <w:p w14:paraId="4607FA34" w14:textId="77777777" w:rsidR="006120EE" w:rsidRPr="006A1EC7" w:rsidRDefault="006120EE" w:rsidP="006120EE">
      <w:pPr>
        <w:spacing w:line="276" w:lineRule="auto"/>
        <w:ind w:firstLine="720"/>
      </w:pPr>
    </w:p>
    <w:p w14:paraId="3B168065" w14:textId="77777777" w:rsidR="006120EE" w:rsidRPr="006A1EC7" w:rsidRDefault="006120EE" w:rsidP="006120EE">
      <w:pPr>
        <w:spacing w:line="276" w:lineRule="auto"/>
        <w:ind w:left="720"/>
      </w:pPr>
      <w:r w:rsidRPr="006A1EC7">
        <w:t>“</w:t>
      </w:r>
      <w:r w:rsidRPr="006A1EC7">
        <w:rPr>
          <w:i/>
        </w:rPr>
        <w:t>I mean for instance she can get out of bed, she ends up on the floor and she…shunts…she doesn’t crawl, she shunts on her bottom…”</w:t>
      </w:r>
      <w:r w:rsidRPr="006A1EC7">
        <w:t xml:space="preserve"> (WHS7)</w:t>
      </w:r>
    </w:p>
    <w:p w14:paraId="694884EC" w14:textId="77777777" w:rsidR="006120EE" w:rsidRPr="006A1EC7" w:rsidRDefault="006120EE" w:rsidP="006120EE">
      <w:pPr>
        <w:spacing w:line="276" w:lineRule="auto"/>
        <w:ind w:left="720"/>
      </w:pPr>
      <w:r w:rsidRPr="006A1EC7">
        <w:rPr>
          <w:i/>
        </w:rPr>
        <w:t>“He’s such a good bum shuffler, you know, he bum shuffles, he’ll…he could do it for Britain.”</w:t>
      </w:r>
      <w:r w:rsidRPr="006A1EC7">
        <w:t xml:space="preserve"> (WHS3B)</w:t>
      </w:r>
    </w:p>
    <w:p w14:paraId="1E203099" w14:textId="77777777" w:rsidR="006120EE" w:rsidRPr="006A1EC7" w:rsidRDefault="006120EE" w:rsidP="006120EE">
      <w:pPr>
        <w:spacing w:line="276" w:lineRule="auto"/>
        <w:ind w:left="720"/>
      </w:pPr>
      <w:r w:rsidRPr="006A1EC7">
        <w:t>“</w:t>
      </w:r>
      <w:r w:rsidRPr="006A1EC7">
        <w:rPr>
          <w:i/>
        </w:rPr>
        <w:t>He's a very active child, in a sense that he's found a way to get around, he's found ways to get around, he bum-scoot around on the floor at an incredible speed. He would be a gold medallist in bum scooting</w:t>
      </w:r>
      <w:r w:rsidRPr="006A1EC7">
        <w:t>.” (WHS3C)</w:t>
      </w:r>
    </w:p>
    <w:p w14:paraId="53F50F69" w14:textId="77777777" w:rsidR="006120EE" w:rsidRPr="006A1EC7" w:rsidRDefault="006120EE" w:rsidP="006120EE">
      <w:pPr>
        <w:spacing w:line="276" w:lineRule="auto"/>
        <w:ind w:firstLine="720"/>
      </w:pPr>
    </w:p>
    <w:p w14:paraId="7B5D00F7" w14:textId="77777777" w:rsidR="006120EE" w:rsidRPr="006A1EC7" w:rsidRDefault="006120EE" w:rsidP="006120EE">
      <w:pPr>
        <w:spacing w:line="360" w:lineRule="auto"/>
        <w:ind w:firstLine="720"/>
      </w:pPr>
      <w:r w:rsidRPr="006A1EC7">
        <w:t xml:space="preserve">Children and adults who were mobile, were reported to be able to stand up by themselves; while others were able to stand with support – either with the help of a caregiver, or a standing frame. One woman was right hemiplegic, and thus was unable to learn to walk. It was also noteworthy that walking was often delayed and started around the age of 3 to 4. </w:t>
      </w:r>
    </w:p>
    <w:p w14:paraId="39FAEB0F" w14:textId="77777777" w:rsidR="006120EE" w:rsidRPr="006A1EC7" w:rsidRDefault="006120EE" w:rsidP="006120EE">
      <w:pPr>
        <w:spacing w:line="360" w:lineRule="auto"/>
        <w:ind w:firstLine="720"/>
      </w:pPr>
      <w:r w:rsidRPr="006A1EC7">
        <w:t xml:space="preserve">Wheelchair or buggy interventions were commonly required for distances (Subtheme 1.8.3), even by mobile adults and children with WHS. One adult woman uses a tricycle for her mobility. Mobility walkers were described as positive, enabling the children and adults “to get around” (WHS3C). </w:t>
      </w:r>
    </w:p>
    <w:p w14:paraId="6A186481" w14:textId="77777777" w:rsidR="006120EE" w:rsidRPr="006A1EC7" w:rsidRDefault="006120EE" w:rsidP="006120EE">
      <w:pPr>
        <w:spacing w:line="276" w:lineRule="auto"/>
      </w:pPr>
    </w:p>
    <w:p w14:paraId="44D4A2B2" w14:textId="77777777" w:rsidR="006120EE" w:rsidRPr="006A1EC7" w:rsidRDefault="006120EE" w:rsidP="006120EE">
      <w:pPr>
        <w:spacing w:line="276" w:lineRule="auto"/>
        <w:ind w:left="720"/>
      </w:pPr>
      <w:r w:rsidRPr="006A1EC7">
        <w:t>“</w:t>
      </w:r>
      <w:r w:rsidRPr="006A1EC7">
        <w:rPr>
          <w:i/>
        </w:rPr>
        <w:t xml:space="preserve">For example, things like this </w:t>
      </w:r>
      <m:oMath>
        <m:d>
          <m:dPr>
            <m:begChr m:val="["/>
            <m:endChr m:val="]"/>
            <m:ctrlPr>
              <w:rPr>
                <w:rFonts w:ascii="Cambria Math" w:hAnsi="Cambria Math"/>
                <w:i/>
              </w:rPr>
            </m:ctrlPr>
          </m:dPr>
          <m:e>
            <m:r>
              <w:rPr>
                <w:rFonts w:ascii="Cambria Math" w:hAnsi="Cambria Math"/>
              </w:rPr>
              <m:t>points at child in walker</m:t>
            </m:r>
          </m:e>
        </m:d>
      </m:oMath>
      <w:r w:rsidRPr="006A1EC7">
        <w:rPr>
          <w:i/>
        </w:rPr>
        <w:t>, I think is fantastic exercise for him, he can commando crawl, he still struggles with doing high all-fours crawling, you know, but to me this…it’s…it’s working on his core, he’s using his arms, using his head, he’s looking.”</w:t>
      </w:r>
      <w:r w:rsidRPr="006A1EC7">
        <w:t xml:space="preserve"> (WHS5)</w:t>
      </w:r>
    </w:p>
    <w:p w14:paraId="2C726DD8" w14:textId="77777777" w:rsidR="006120EE" w:rsidRPr="006A1EC7" w:rsidRDefault="006120EE" w:rsidP="006120EE">
      <w:pPr>
        <w:spacing w:line="276" w:lineRule="auto"/>
      </w:pPr>
    </w:p>
    <w:p w14:paraId="3CECAF84" w14:textId="77777777" w:rsidR="006120EE" w:rsidRPr="006A1EC7" w:rsidRDefault="006120EE" w:rsidP="006120EE">
      <w:pPr>
        <w:spacing w:line="360" w:lineRule="auto"/>
        <w:ind w:firstLine="720"/>
      </w:pPr>
      <w:r w:rsidRPr="006A1EC7">
        <w:t xml:space="preserve">Challenges with managing mobility were reported: working with the child to get them engaged in walking activity (WHS4A) as well as teaching the child the walking mechanisms, i.e. how to move his legs in order to get forward (WHS5). </w:t>
      </w:r>
    </w:p>
    <w:p w14:paraId="5F162FB2" w14:textId="77777777" w:rsidR="006120EE" w:rsidRPr="006A1EC7" w:rsidRDefault="006120EE" w:rsidP="006120EE">
      <w:pPr>
        <w:spacing w:line="360" w:lineRule="auto"/>
        <w:ind w:firstLine="720"/>
      </w:pPr>
      <w:r w:rsidRPr="006A1EC7">
        <w:t>Three participants specifically referred to the impact of mobility-related issues on family life: A grandmother (WHS2A) described getting “</w:t>
      </w:r>
      <w:r w:rsidRPr="006A1EC7">
        <w:rPr>
          <w:i/>
        </w:rPr>
        <w:t>quite a lot of looks</w:t>
      </w:r>
      <w:r w:rsidRPr="006A1EC7">
        <w:t>” which can be “</w:t>
      </w:r>
      <w:r w:rsidRPr="006A1EC7">
        <w:rPr>
          <w:i/>
        </w:rPr>
        <w:t>distressing</w:t>
      </w:r>
      <w:r w:rsidRPr="006A1EC7">
        <w:t>” when she is out with her grandson who is a wheelchair user, while a father (WHS2C) and a mother (WHS3A) describe consequences for family activities their children cannot partake in:</w:t>
      </w:r>
    </w:p>
    <w:p w14:paraId="7130AA36" w14:textId="77777777" w:rsidR="006120EE" w:rsidRPr="006A1EC7" w:rsidRDefault="006120EE" w:rsidP="006120EE">
      <w:pPr>
        <w:spacing w:line="276" w:lineRule="auto"/>
        <w:ind w:firstLine="720"/>
      </w:pPr>
    </w:p>
    <w:p w14:paraId="72FEBEB1" w14:textId="77777777" w:rsidR="006120EE" w:rsidRPr="006A1EC7" w:rsidRDefault="006120EE" w:rsidP="006120EE">
      <w:pPr>
        <w:spacing w:line="276" w:lineRule="auto"/>
        <w:ind w:left="720"/>
      </w:pPr>
      <w:r w:rsidRPr="006A1EC7">
        <w:t>“</w:t>
      </w:r>
      <w:r w:rsidRPr="006A1EC7">
        <w:rPr>
          <w:i/>
        </w:rPr>
        <w:t>He can’t… do stuff like we wanna do, such as like… wanting to go ice skating stuff… we can’t take him skating - you know we can’t take him roller skating and he can’t do normal walking… activities like we can</w:t>
      </w:r>
      <w:r w:rsidRPr="006A1EC7">
        <w:t>.” (WHS2C)</w:t>
      </w:r>
    </w:p>
    <w:p w14:paraId="31E68DDA" w14:textId="77777777" w:rsidR="006120EE" w:rsidRPr="006A1EC7" w:rsidRDefault="006120EE" w:rsidP="006120EE">
      <w:pPr>
        <w:spacing w:line="276" w:lineRule="auto"/>
        <w:ind w:left="720"/>
      </w:pPr>
      <w:r w:rsidRPr="006A1EC7">
        <w:t>“E</w:t>
      </w:r>
      <w:r w:rsidRPr="006A1EC7">
        <w:rPr>
          <w:i/>
        </w:rPr>
        <w:t xml:space="preserve">rm now, I’d say the biggest thing that affects </w:t>
      </w:r>
      <m:oMath>
        <m:d>
          <m:dPr>
            <m:begChr m:val="["/>
            <m:endChr m:val="]"/>
            <m:ctrlPr>
              <w:rPr>
                <w:rFonts w:ascii="Cambria Math" w:hAnsi="Cambria Math"/>
                <w:i/>
              </w:rPr>
            </m:ctrlPr>
          </m:dPr>
          <m:e>
            <m:r>
              <w:rPr>
                <w:rFonts w:ascii="Cambria Math" w:hAnsi="Cambria Math"/>
              </w:rPr>
              <m:t>chil</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s name</m:t>
            </m:r>
          </m:e>
        </m:d>
      </m:oMath>
      <w:r w:rsidRPr="006A1EC7">
        <w:rPr>
          <w:i/>
        </w:rPr>
        <w:t xml:space="preserve"> and then probably us as a family, because maybe it makes doing things together more difficult, is the mobility, his muscle tone, ‘cos he still doesn’t, he doesn’t walk.” </w:t>
      </w:r>
      <w:r w:rsidRPr="006A1EC7">
        <w:t>(WHS3A)</w:t>
      </w:r>
    </w:p>
    <w:p w14:paraId="74DCC047" w14:textId="77777777" w:rsidR="006120EE" w:rsidRPr="006A1EC7" w:rsidRDefault="006120EE" w:rsidP="006120EE">
      <w:pPr>
        <w:spacing w:line="276" w:lineRule="auto"/>
      </w:pPr>
    </w:p>
    <w:p w14:paraId="53C96D10" w14:textId="77777777" w:rsidR="006120EE" w:rsidRPr="006A1EC7" w:rsidRDefault="006120EE" w:rsidP="006120EE">
      <w:pPr>
        <w:pStyle w:val="Heading3"/>
        <w:rPr>
          <w:rFonts w:ascii="Times New Roman" w:hAnsi="Times New Roman" w:cs="Times New Roman"/>
        </w:rPr>
      </w:pPr>
      <w:r w:rsidRPr="006A1EC7">
        <w:rPr>
          <w:rFonts w:ascii="Times New Roman" w:hAnsi="Times New Roman" w:cs="Times New Roman"/>
        </w:rPr>
        <w:t>Subtheme 1.9: Level of care</w:t>
      </w:r>
    </w:p>
    <w:p w14:paraId="7169CFA8" w14:textId="77777777" w:rsidR="006120EE" w:rsidRPr="006A1EC7" w:rsidRDefault="006120EE" w:rsidP="006120EE">
      <w:pPr>
        <w:spacing w:line="276" w:lineRule="auto"/>
      </w:pPr>
    </w:p>
    <w:p w14:paraId="03505FDD" w14:textId="77777777" w:rsidR="006120EE" w:rsidRPr="006A1EC7" w:rsidRDefault="006120EE" w:rsidP="006120EE">
      <w:pPr>
        <w:spacing w:line="360" w:lineRule="auto"/>
        <w:ind w:firstLine="720"/>
      </w:pPr>
      <w:r w:rsidRPr="006A1EC7">
        <w:t xml:space="preserve">As a result of the complex clinical features of the syndrome and the majority of individuals requiring extensive care, all are dependent on their caregivers (Subtheme 1.9). Caring for their relative has been described as, at times, </w:t>
      </w:r>
      <w:r w:rsidRPr="006A1EC7">
        <w:rPr>
          <w:i/>
        </w:rPr>
        <w:t>“challenging” (</w:t>
      </w:r>
      <w:r w:rsidRPr="006A1EC7">
        <w:t xml:space="preserve">WHS3B) and </w:t>
      </w:r>
      <w:r w:rsidRPr="006A1EC7">
        <w:rPr>
          <w:i/>
        </w:rPr>
        <w:t>“relentless”</w:t>
      </w:r>
      <w:r w:rsidRPr="006A1EC7">
        <w:t xml:space="preserve"> (WHS5). While there are serious HRQoL implications for the caregivers within this subtheme; it is also relevant for patient health and functioning. Narratives revealed that no patient with WHS, who was reported on in the sample, lived independently; all were dependent on caregivers for basic care, such as food preparation and personal hygiene. Some patients with WHS were reported to require intensive, around the clock care and nursing for reasons such as seizures. Two adult women were reported to live in supported living facilities; however, their mothers were still heavily involved in their care, such as going to hospital appointments and administering seizure medication that care staff were not trained to. One mother reported that her son, who lived in a supported care facility, passed away as a result of care failings in the care home (WHS9).</w:t>
      </w:r>
    </w:p>
    <w:p w14:paraId="3D7A5044" w14:textId="77777777" w:rsidR="006120EE" w:rsidRPr="006A1EC7" w:rsidRDefault="006120EE" w:rsidP="006120EE">
      <w:pPr>
        <w:spacing w:line="276" w:lineRule="auto"/>
        <w:ind w:firstLine="720"/>
      </w:pPr>
    </w:p>
    <w:p w14:paraId="18661647" w14:textId="77777777" w:rsidR="006120EE" w:rsidRPr="006A1EC7" w:rsidRDefault="006120EE" w:rsidP="006120EE">
      <w:pPr>
        <w:spacing w:line="276" w:lineRule="auto"/>
        <w:ind w:left="720"/>
      </w:pPr>
      <w:r w:rsidRPr="006A1EC7">
        <w:rPr>
          <w:i/>
        </w:rPr>
        <w:t xml:space="preserve">“Eventually moved into adult services, um, when he was 19, just 19 and the placement that they placed him in…it wasn’t properly overseen by managers and they didn’t put care plans in place, and it was altered in </w:t>
      </w:r>
      <m:oMath>
        <m:d>
          <m:dPr>
            <m:begChr m:val="["/>
            <m:endChr m:val="]"/>
            <m:ctrlPr>
              <w:rPr>
                <w:rFonts w:ascii="Cambria Math" w:hAnsi="Cambria Math"/>
                <w:i/>
              </w:rPr>
            </m:ctrlPr>
          </m:dPr>
          <m:e>
            <m:r>
              <w:rPr>
                <w:rFonts w:ascii="Cambria Math" w:hAnsi="Cambria Math"/>
              </w:rPr>
              <m:t>so</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 name</m:t>
            </m:r>
          </m:e>
        </m:d>
      </m:oMath>
      <w:r w:rsidRPr="006A1EC7">
        <w:rPr>
          <w:i/>
        </w:rPr>
        <w:t xml:space="preserve"> dying of a ripped </w:t>
      </w:r>
      <w:r w:rsidRPr="006A1EC7">
        <w:rPr>
          <w:i/>
        </w:rPr>
        <w:lastRenderedPageBreak/>
        <w:t>stomach, because they fed him ordinary food and they didn’t have a blender (…) but, um, that’s how he died, basically.”</w:t>
      </w:r>
      <w:r w:rsidRPr="006A1EC7">
        <w:t xml:space="preserve"> (WHS9)</w:t>
      </w:r>
    </w:p>
    <w:p w14:paraId="1F71568B" w14:textId="77777777" w:rsidR="006120EE" w:rsidRPr="006A1EC7" w:rsidRDefault="006120EE" w:rsidP="006120EE">
      <w:pPr>
        <w:spacing w:line="276" w:lineRule="auto"/>
        <w:ind w:left="720"/>
      </w:pPr>
      <w:r w:rsidRPr="006A1EC7">
        <w:rPr>
          <w:i/>
        </w:rPr>
        <w:t>“Um, so more than 12 hours. Um, so um, so they look after him during the day”</w:t>
      </w:r>
      <w:r w:rsidRPr="006A1EC7">
        <w:t xml:space="preserve"> (WHS6C)</w:t>
      </w:r>
    </w:p>
    <w:p w14:paraId="5A11E78A" w14:textId="77777777" w:rsidR="006120EE" w:rsidRPr="006A1EC7" w:rsidRDefault="006120EE" w:rsidP="006120EE">
      <w:pPr>
        <w:spacing w:line="276" w:lineRule="auto"/>
        <w:ind w:left="720"/>
      </w:pPr>
      <w:r w:rsidRPr="006A1EC7">
        <w:rPr>
          <w:i/>
        </w:rPr>
        <w:t>“But also perhaps the lack of (…) independence that he has, I know that’s very broad but I mean it in the sense that because he always needs a carer</w:t>
      </w:r>
      <w:r w:rsidRPr="006A1EC7">
        <w:t>…“ (WHS6C)</w:t>
      </w:r>
    </w:p>
    <w:p w14:paraId="7BEC7930" w14:textId="77777777" w:rsidR="006120EE" w:rsidRPr="006A1EC7" w:rsidRDefault="006120EE" w:rsidP="006120EE">
      <w:pPr>
        <w:spacing w:line="276" w:lineRule="auto"/>
        <w:ind w:firstLine="720"/>
      </w:pPr>
      <w:r w:rsidRPr="006A1EC7">
        <w:rPr>
          <w:i/>
        </w:rPr>
        <w:t>“Well I have to administer the suppositories because staff can’t.”</w:t>
      </w:r>
      <w:r w:rsidRPr="006A1EC7">
        <w:t xml:space="preserve"> (WHS9)</w:t>
      </w:r>
    </w:p>
    <w:p w14:paraId="39F22165" w14:textId="77777777" w:rsidR="006120EE" w:rsidRPr="006A1EC7" w:rsidRDefault="006120EE" w:rsidP="006120EE">
      <w:pPr>
        <w:spacing w:line="360" w:lineRule="auto"/>
      </w:pPr>
    </w:p>
    <w:p w14:paraId="18F7FC61" w14:textId="77777777" w:rsidR="006120EE" w:rsidRPr="006A1EC7" w:rsidRDefault="006120EE" w:rsidP="006120EE">
      <w:pPr>
        <w:spacing w:line="360" w:lineRule="auto"/>
      </w:pPr>
      <w:r w:rsidRPr="006A1EC7">
        <w:t>In addition, family members reported that caregiving became increasingly difficult as their relatives grew older and heavier. Practicalities, such as hoisting and being unable to lift their relative by themselves were becoming more problematic.</w:t>
      </w:r>
    </w:p>
    <w:p w14:paraId="7C99E329" w14:textId="77777777" w:rsidR="006120EE" w:rsidRPr="006A1EC7" w:rsidRDefault="006120EE" w:rsidP="006120EE">
      <w:pPr>
        <w:spacing w:line="276" w:lineRule="auto"/>
        <w:ind w:left="720"/>
      </w:pPr>
      <w:r w:rsidRPr="006A1EC7">
        <w:rPr>
          <w:i/>
        </w:rPr>
        <w:t>“It's like having a larger baby I guess and in the long term that will be more challenging. Obviously, the larger he gets but obviously heavier and harder to manoeuvre.”</w:t>
      </w:r>
      <w:r w:rsidRPr="006A1EC7">
        <w:t xml:space="preserve"> (WHS3C)</w:t>
      </w:r>
    </w:p>
    <w:p w14:paraId="36AC9880" w14:textId="77777777" w:rsidR="006120EE" w:rsidRPr="006A1EC7" w:rsidRDefault="006120EE" w:rsidP="006120EE">
      <w:pPr>
        <w:spacing w:line="276" w:lineRule="auto"/>
        <w:ind w:left="720"/>
      </w:pPr>
      <w:r w:rsidRPr="006A1EC7">
        <w:rPr>
          <w:i/>
        </w:rPr>
        <w:t>“You know, you can’t hold him for long periods now because he is (laughs), you know, getting heavier</w:t>
      </w:r>
      <w:r w:rsidRPr="006A1EC7">
        <w:t>.” (WHS5)</w:t>
      </w:r>
    </w:p>
    <w:p w14:paraId="1663430A" w14:textId="77777777" w:rsidR="006120EE" w:rsidRPr="006A1EC7" w:rsidRDefault="006120EE" w:rsidP="006120EE">
      <w:pPr>
        <w:spacing w:line="276" w:lineRule="auto"/>
        <w:rPr>
          <w:noProof/>
          <w:u w:val="single"/>
          <w:lang w:val="it-IT"/>
        </w:rPr>
      </w:pPr>
    </w:p>
    <w:p w14:paraId="790F969E" w14:textId="77777777" w:rsidR="006120EE" w:rsidRPr="006A1EC7" w:rsidRDefault="006120EE" w:rsidP="006120EE">
      <w:pPr>
        <w:pStyle w:val="Heading3"/>
        <w:rPr>
          <w:rFonts w:ascii="Times New Roman" w:hAnsi="Times New Roman" w:cs="Times New Roman"/>
          <w:noProof/>
          <w:lang w:val="it-IT"/>
        </w:rPr>
      </w:pPr>
      <w:r w:rsidRPr="006A1EC7">
        <w:rPr>
          <w:rFonts w:ascii="Times New Roman" w:hAnsi="Times New Roman" w:cs="Times New Roman"/>
          <w:noProof/>
          <w:lang w:val="it-IT"/>
        </w:rPr>
        <w:t>Subtheme 1.10: Other</w:t>
      </w:r>
    </w:p>
    <w:p w14:paraId="6612303F" w14:textId="77777777" w:rsidR="006120EE" w:rsidRPr="006A1EC7" w:rsidRDefault="006120EE" w:rsidP="006120EE">
      <w:pPr>
        <w:spacing w:line="360" w:lineRule="auto"/>
        <w:rPr>
          <w:noProof/>
          <w:lang w:val="it-IT"/>
        </w:rPr>
      </w:pPr>
    </w:p>
    <w:p w14:paraId="62D1BCAC" w14:textId="03FC3699" w:rsidR="006120EE" w:rsidRPr="006A1EC7" w:rsidRDefault="006120EE" w:rsidP="00744A8E">
      <w:pPr>
        <w:spacing w:line="360" w:lineRule="auto"/>
        <w:ind w:firstLine="720"/>
        <w:rPr>
          <w:noProof/>
          <w:lang w:val="it-IT"/>
        </w:rPr>
      </w:pPr>
      <w:r w:rsidRPr="006A1EC7">
        <w:rPr>
          <w:noProof/>
          <w:lang w:val="it-IT"/>
        </w:rPr>
        <w:t xml:space="preserve">The final theme ‘Other’ (Subtheme 1.10) collates narratives around six subthemes, three of which are negative. Firstly, the subtheme of Growing (Subtheme 1.10.1) is comprised of </w:t>
      </w:r>
      <w:r w:rsidRPr="006A1EC7">
        <w:t xml:space="preserve">discourse around prematurity, small size, weight and growth. </w:t>
      </w:r>
    </w:p>
    <w:p w14:paraId="233FFFE2" w14:textId="77777777" w:rsidR="006120EE" w:rsidRPr="006A1EC7" w:rsidRDefault="006120EE" w:rsidP="006120EE">
      <w:pPr>
        <w:spacing w:line="276" w:lineRule="auto"/>
        <w:ind w:firstLine="720"/>
      </w:pPr>
    </w:p>
    <w:p w14:paraId="69483C11" w14:textId="77777777" w:rsidR="006120EE" w:rsidRPr="006A1EC7" w:rsidRDefault="006120EE" w:rsidP="006120EE">
      <w:pPr>
        <w:spacing w:line="276" w:lineRule="auto"/>
        <w:ind w:firstLine="720"/>
      </w:pPr>
      <w:r w:rsidRPr="006A1EC7">
        <w:t>“…</w:t>
      </w:r>
      <w:r w:rsidRPr="006A1EC7">
        <w:rPr>
          <w:i/>
        </w:rPr>
        <w:t>and he was so little…  he was such a delicate little thing</w:t>
      </w:r>
      <w:r w:rsidRPr="006A1EC7">
        <w:t>.” (WHS3C)</w:t>
      </w:r>
    </w:p>
    <w:p w14:paraId="13355682" w14:textId="77777777" w:rsidR="006120EE" w:rsidRPr="006A1EC7" w:rsidRDefault="006120EE" w:rsidP="006120EE">
      <w:pPr>
        <w:spacing w:line="276" w:lineRule="auto"/>
        <w:ind w:firstLine="720"/>
      </w:pPr>
    </w:p>
    <w:p w14:paraId="00447626" w14:textId="77777777" w:rsidR="006120EE" w:rsidRPr="006A1EC7" w:rsidRDefault="006120EE" w:rsidP="006120EE">
      <w:pPr>
        <w:spacing w:line="360" w:lineRule="auto"/>
        <w:ind w:firstLine="720"/>
      </w:pPr>
      <w:r w:rsidRPr="006A1EC7">
        <w:t xml:space="preserve">Three children with WHS in the cohort were born prematurely. One family perceived their child’s prematurity as being used as an excuse by medical professionals not to explore issues around feeding and weight gain in infancy further. Small size/weight at birth as well as continued small size/weight were reported across the sample. Many babies were noted to be small in utero, requiring further scans, and continued to struggle with weight gain and growth during infancy. </w:t>
      </w:r>
    </w:p>
    <w:p w14:paraId="5D7536C4" w14:textId="77777777" w:rsidR="006120EE" w:rsidRPr="006A1EC7" w:rsidRDefault="006120EE" w:rsidP="006120EE">
      <w:pPr>
        <w:spacing w:line="276" w:lineRule="auto"/>
      </w:pPr>
    </w:p>
    <w:p w14:paraId="74C2E86D" w14:textId="77777777" w:rsidR="006120EE" w:rsidRPr="006A1EC7" w:rsidRDefault="006120EE" w:rsidP="006120EE">
      <w:pPr>
        <w:spacing w:line="276" w:lineRule="auto"/>
        <w:ind w:left="720"/>
      </w:pPr>
      <w:r w:rsidRPr="006A1EC7">
        <w:t>“</w:t>
      </w:r>
      <w:r w:rsidRPr="006A1EC7">
        <w:rPr>
          <w:i/>
        </w:rPr>
        <w:t>So when I was pregnant, they noticed at my 20-week scan that she was quite small. So, I was having regular scans.”</w:t>
      </w:r>
      <w:r w:rsidRPr="006A1EC7">
        <w:t xml:space="preserve"> (WHS4B)</w:t>
      </w:r>
    </w:p>
    <w:p w14:paraId="745B830C" w14:textId="77777777" w:rsidR="006120EE" w:rsidRPr="006A1EC7" w:rsidRDefault="006120EE" w:rsidP="006120EE">
      <w:pPr>
        <w:spacing w:line="276" w:lineRule="auto"/>
        <w:ind w:left="720"/>
      </w:pPr>
      <w:r w:rsidRPr="006A1EC7">
        <w:t xml:space="preserve">“… </w:t>
      </w:r>
      <w:r w:rsidRPr="006A1EC7">
        <w:rPr>
          <w:i/>
        </w:rPr>
        <w:t>was born at a very low birth weight, she was fed every two hours.”</w:t>
      </w:r>
      <w:r w:rsidRPr="006A1EC7">
        <w:t xml:space="preserve"> (WHS4A)</w:t>
      </w:r>
    </w:p>
    <w:p w14:paraId="75BF6176" w14:textId="77777777" w:rsidR="006120EE" w:rsidRPr="006A1EC7" w:rsidRDefault="006120EE" w:rsidP="006120EE">
      <w:pPr>
        <w:spacing w:line="276" w:lineRule="auto"/>
        <w:ind w:left="720"/>
      </w:pPr>
      <w:r w:rsidRPr="006A1EC7">
        <w:rPr>
          <w:i/>
        </w:rPr>
        <w:t>“I felt like I was gonna watch my baby waste away, he was tiny…”</w:t>
      </w:r>
      <w:r w:rsidRPr="006A1EC7">
        <w:t xml:space="preserve"> (WHS12B)</w:t>
      </w:r>
    </w:p>
    <w:p w14:paraId="4A0AE0AE" w14:textId="77777777" w:rsidR="006120EE" w:rsidRPr="006A1EC7" w:rsidRDefault="006120EE" w:rsidP="006120EE">
      <w:pPr>
        <w:spacing w:line="276" w:lineRule="auto"/>
        <w:ind w:left="720"/>
      </w:pPr>
      <w:r w:rsidRPr="006A1EC7">
        <w:rPr>
          <w:i/>
        </w:rPr>
        <w:t>“Erm, wouldn’t latch, wouldn’t take a bottle, wouldn't thin-, lost quite a lot of weight.” (</w:t>
      </w:r>
      <w:r w:rsidRPr="006A1EC7">
        <w:t>WHS1)</w:t>
      </w:r>
    </w:p>
    <w:p w14:paraId="1E5A53F2" w14:textId="77777777" w:rsidR="006120EE" w:rsidRPr="006A1EC7" w:rsidRDefault="006120EE" w:rsidP="006120EE">
      <w:pPr>
        <w:spacing w:line="276" w:lineRule="auto"/>
        <w:ind w:left="720"/>
      </w:pPr>
      <w:r w:rsidRPr="006A1EC7">
        <w:lastRenderedPageBreak/>
        <w:t>“</w:t>
      </w:r>
      <w:r w:rsidRPr="006A1EC7">
        <w:rPr>
          <w:i/>
        </w:rPr>
        <w:t>His beginning were very difficult because he was very small, he only had 2 kilos when he was born….  But at this end of the spectrum, he was born with intrauterine growth restriction, he didn’t put on weight.”</w:t>
      </w:r>
      <w:r w:rsidRPr="006A1EC7">
        <w:t xml:space="preserve"> (WHS6A)</w:t>
      </w:r>
    </w:p>
    <w:p w14:paraId="0A533180" w14:textId="77777777" w:rsidR="006120EE" w:rsidRPr="006A1EC7" w:rsidRDefault="006120EE" w:rsidP="006120EE">
      <w:pPr>
        <w:spacing w:line="360" w:lineRule="auto"/>
      </w:pPr>
    </w:p>
    <w:p w14:paraId="349EB306" w14:textId="77777777" w:rsidR="006120EE" w:rsidRPr="006A1EC7" w:rsidRDefault="006120EE" w:rsidP="006120EE">
      <w:pPr>
        <w:spacing w:line="360" w:lineRule="auto"/>
      </w:pPr>
      <w:r w:rsidRPr="006A1EC7">
        <w:t>Difficulties in gaining and maintaining weight during infancy, childhood and adulthood for individuals with WHS were described. Participants clearly recognised that children and adults with WHS were smaller in size and lighter in weight than unaffected peers. Two boys in the sample had prescriptions for growth hormone which was described as contributing positively to their health and development.</w:t>
      </w:r>
    </w:p>
    <w:p w14:paraId="4746B782" w14:textId="77777777" w:rsidR="006120EE" w:rsidRPr="006A1EC7" w:rsidRDefault="006120EE" w:rsidP="006120EE">
      <w:pPr>
        <w:spacing w:line="276" w:lineRule="auto"/>
        <w:ind w:firstLine="720"/>
      </w:pPr>
    </w:p>
    <w:p w14:paraId="7EFAD741" w14:textId="77777777" w:rsidR="006120EE" w:rsidRPr="006A1EC7" w:rsidRDefault="006120EE" w:rsidP="006120EE">
      <w:pPr>
        <w:spacing w:line="276" w:lineRule="auto"/>
        <w:ind w:firstLine="720"/>
      </w:pPr>
      <w:r w:rsidRPr="006A1EC7">
        <w:t>“</w:t>
      </w:r>
      <w:r w:rsidRPr="006A1EC7">
        <w:rPr>
          <w:i/>
        </w:rPr>
        <w:t>She’s very low weight although she eats well.”</w:t>
      </w:r>
      <w:r w:rsidRPr="006A1EC7">
        <w:t xml:space="preserve"> (WHS11B)</w:t>
      </w:r>
    </w:p>
    <w:p w14:paraId="7820E16E" w14:textId="77777777" w:rsidR="006120EE" w:rsidRPr="006A1EC7" w:rsidRDefault="006120EE" w:rsidP="006120EE">
      <w:pPr>
        <w:spacing w:line="276" w:lineRule="auto"/>
        <w:ind w:left="720"/>
      </w:pPr>
      <w:r w:rsidRPr="006A1EC7">
        <w:t>“</w:t>
      </w:r>
      <w:r w:rsidRPr="006A1EC7">
        <w:rPr>
          <w:i/>
        </w:rPr>
        <w:t>You realise with time that he will only grow as fast as his body wants to regardless of the amount of food you put in him or he’s on growth hormone now, he will only grow so fast.”</w:t>
      </w:r>
      <w:r w:rsidRPr="006A1EC7">
        <w:t xml:space="preserve"> (WHS3A)</w:t>
      </w:r>
    </w:p>
    <w:p w14:paraId="20752CE1" w14:textId="77777777" w:rsidR="006120EE" w:rsidRPr="006A1EC7" w:rsidRDefault="006120EE" w:rsidP="006120EE">
      <w:pPr>
        <w:spacing w:line="276" w:lineRule="auto"/>
        <w:ind w:left="720"/>
      </w:pPr>
      <w:r w:rsidRPr="006A1EC7">
        <w:rPr>
          <w:i/>
        </w:rPr>
        <w:t xml:space="preserve">“I think we've definitely seen improvement in terms of his strength, in his appetite, in his concentration… his weight gain, probably his muscle. I don't know yet if we will see him high height growing above his curve or whatever, but I wouldn't be surprised, because we have been told that he is not that insufficient in his growth hormones, unlike some children with WHS. </w:t>
      </w:r>
    </w:p>
    <w:p w14:paraId="4A476737" w14:textId="77777777" w:rsidR="006120EE" w:rsidRPr="006A1EC7" w:rsidRDefault="006120EE" w:rsidP="006120EE">
      <w:pPr>
        <w:spacing w:line="276" w:lineRule="auto"/>
        <w:ind w:left="720"/>
      </w:pPr>
      <w:r w:rsidRPr="006A1EC7">
        <w:rPr>
          <w:i/>
        </w:rPr>
        <w:t>It may have an effect on or it may not, I think the expectation is that it probably won't. But yeah, since the growth hormone, we've seen a real improvement in his strength and his thighs and his ability in core strength, and around his hips.”</w:t>
      </w:r>
      <w:r w:rsidRPr="006A1EC7">
        <w:t xml:space="preserve"> (WHS3C)</w:t>
      </w:r>
    </w:p>
    <w:p w14:paraId="304F7AA7" w14:textId="77777777" w:rsidR="006120EE" w:rsidRPr="006A1EC7" w:rsidRDefault="006120EE" w:rsidP="006120EE">
      <w:pPr>
        <w:spacing w:line="276" w:lineRule="auto"/>
      </w:pPr>
    </w:p>
    <w:p w14:paraId="7421320E" w14:textId="77777777" w:rsidR="006120EE" w:rsidRPr="006A1EC7" w:rsidRDefault="006120EE" w:rsidP="006120EE">
      <w:pPr>
        <w:spacing w:line="360" w:lineRule="auto"/>
      </w:pPr>
      <w:r w:rsidRPr="006A1EC7">
        <w:tab/>
        <w:t>The second subtheme of this ‘Other’ theme was Facial Features (Subtheme 1.10.2). To avoid causing distress and upset to the family members who took part in the interviews, participants were not directly asked about the presence of dysmorphic or WHS-specific facial features. When relatives disclosed these, further questions were asked. Features that were mentioned included: wide nasal bridges, hypertelorism, small chin, cleft palate having required surgical repair and most commonly, high arched palates. Participant 6A mentioned that recognising that her son’s “</w:t>
      </w:r>
      <w:r w:rsidRPr="006A1EC7">
        <w:rPr>
          <w:i/>
        </w:rPr>
        <w:t>face was dysmorphic</w:t>
      </w:r>
      <w:r w:rsidRPr="006A1EC7">
        <w:t>” led the doctors to investigate the underlying cause; a father similarly stated “</w:t>
      </w:r>
      <w:r w:rsidRPr="006A1EC7">
        <w:rPr>
          <w:i/>
        </w:rPr>
        <w:t>I thought facially she seemed different you see</w:t>
      </w:r>
      <w:r w:rsidRPr="006A1EC7">
        <w:t xml:space="preserve">” (WHS11C) while the results of genetic testing were awaited. </w:t>
      </w:r>
    </w:p>
    <w:p w14:paraId="388A37AD" w14:textId="77777777" w:rsidR="006120EE" w:rsidRPr="006A1EC7" w:rsidRDefault="006120EE" w:rsidP="006120EE">
      <w:pPr>
        <w:spacing w:line="360" w:lineRule="auto"/>
        <w:ind w:firstLine="720"/>
      </w:pPr>
      <w:r w:rsidRPr="006A1EC7">
        <w:t>Only one mother specifically described the emotional impact of her son’s WHS-specific facial features: “</w:t>
      </w:r>
      <w:r w:rsidRPr="006A1EC7">
        <w:rPr>
          <w:i/>
        </w:rPr>
        <w:t>It’s weird that I’ve got two children that don’t look alike, that’s hard cos like I think, to people look at us and think that they’re not brothers.”</w:t>
      </w:r>
      <w:r w:rsidRPr="006A1EC7">
        <w:t xml:space="preserve"> (WHS2B)</w:t>
      </w:r>
    </w:p>
    <w:p w14:paraId="2986B39A" w14:textId="77777777" w:rsidR="006120EE" w:rsidRPr="006A1EC7" w:rsidRDefault="006120EE" w:rsidP="006120EE">
      <w:pPr>
        <w:pStyle w:val="NoSpacing"/>
        <w:spacing w:line="360" w:lineRule="auto"/>
        <w:ind w:firstLine="720"/>
      </w:pPr>
      <w:r w:rsidRPr="006A1EC7">
        <w:t xml:space="preserve">The third subtheme was very small and relates to dermatology (Subtheme 1.10.3). Three participants mentioned their relatives with WHS having some dermatological </w:t>
      </w:r>
      <w:r w:rsidRPr="006A1EC7">
        <w:lastRenderedPageBreak/>
        <w:t>abnormalities. One girl had elective surgery on an ear tag and a boy had a Mongolian blue spot.</w:t>
      </w:r>
    </w:p>
    <w:p w14:paraId="2FA4E6ED" w14:textId="77777777" w:rsidR="006120EE" w:rsidRPr="006A1EC7" w:rsidRDefault="006120EE" w:rsidP="006120EE">
      <w:pPr>
        <w:pStyle w:val="NoSpacing"/>
        <w:spacing w:line="276" w:lineRule="auto"/>
      </w:pPr>
    </w:p>
    <w:p w14:paraId="643BCC9D" w14:textId="77777777" w:rsidR="006120EE" w:rsidRPr="006A1EC7" w:rsidRDefault="006120EE" w:rsidP="006120EE">
      <w:pPr>
        <w:pStyle w:val="NoSpacing"/>
        <w:spacing w:line="276" w:lineRule="auto"/>
        <w:ind w:left="720"/>
      </w:pPr>
      <w:r w:rsidRPr="006A1EC7">
        <w:rPr>
          <w:i/>
          <w:iCs/>
        </w:rPr>
        <w:t>“ … had quite a big ear tag… she’d gone into for her ear tag operation so it was…it was elective surgery… cause it was getting quite big and it was sometimes maybe catching on things or she’d mess with it.”</w:t>
      </w:r>
      <w:r w:rsidRPr="006A1EC7">
        <w:t xml:space="preserve"> (WHS11C)</w:t>
      </w:r>
    </w:p>
    <w:p w14:paraId="65259DEA" w14:textId="77777777" w:rsidR="006120EE" w:rsidRPr="006A1EC7" w:rsidRDefault="006120EE" w:rsidP="006120EE">
      <w:pPr>
        <w:spacing w:line="360" w:lineRule="auto"/>
      </w:pPr>
    </w:p>
    <w:p w14:paraId="6F281603" w14:textId="0C2A6B09" w:rsidR="006120EE" w:rsidRPr="006A1EC7" w:rsidRDefault="006120EE" w:rsidP="006120EE">
      <w:pPr>
        <w:spacing w:line="360" w:lineRule="auto"/>
      </w:pPr>
      <w:r w:rsidRPr="006A1EC7">
        <w:t xml:space="preserve">Also contained within this theme are the negative themes: blood clotting (Subtheme 1.10.4), Internal malformations (Subtheme 1.10.5) and Problems with veins (Subtheme 1.10.6). Concerns regarding blood clotting were raised by one father who reported that he had heard of another child with </w:t>
      </w:r>
      <w:r w:rsidR="009F0718" w:rsidRPr="006A1EC7">
        <w:t>WHS</w:t>
      </w:r>
      <w:r w:rsidRPr="006A1EC7">
        <w:t xml:space="preserve"> who “</w:t>
      </w:r>
      <w:r w:rsidRPr="006A1EC7">
        <w:rPr>
          <w:i/>
          <w:iCs/>
        </w:rPr>
        <w:t xml:space="preserve">went in </w:t>
      </w:r>
      <m:oMath>
        <m:d>
          <m:dPr>
            <m:begChr m:val="["/>
            <m:endChr m:val="]"/>
            <m:ctrlPr>
              <w:rPr>
                <w:rFonts w:ascii="Cambria Math" w:hAnsi="Cambria Math"/>
                <w:i/>
                <w:iCs/>
              </w:rPr>
            </m:ctrlPr>
          </m:dPr>
          <m:e>
            <m:r>
              <w:rPr>
                <w:rFonts w:ascii="Cambria Math" w:hAnsi="Cambria Math"/>
              </w:rPr>
              <m:t>to hospital</m:t>
            </m:r>
          </m:e>
        </m:d>
      </m:oMath>
      <w:r w:rsidRPr="006A1EC7">
        <w:rPr>
          <w:i/>
          <w:iCs/>
        </w:rPr>
        <w:t xml:space="preserve"> with respiratory problems and then it ended up with blood clots on the lung</w:t>
      </w:r>
      <w:r w:rsidRPr="006A1EC7">
        <w:t>” (WHS2C). He was worried about his child developing this as a result of repeated respiratory tract infections. The second negative theme, Internal malformation (Subtheme 1.10.5), was only reported by one mother whose daughter had both a malrotation of the bowels and an inverted stomach (and already briefly reported in the gastrointestinal features). The mother reported that these malformations were causing significant issues, pain and distress and required constant monitoring. The third negative theme (1.10.6) was problems with veins, reported for one patient with WHS across two interviews. The grandmother and mother of a boy with WHS reported HCPs struggling to access veins and administer medication efficiently.</w:t>
      </w:r>
    </w:p>
    <w:p w14:paraId="6FE16287" w14:textId="77777777" w:rsidR="006120EE" w:rsidRPr="006A1EC7" w:rsidRDefault="006120EE" w:rsidP="006120EE">
      <w:pPr>
        <w:spacing w:line="360" w:lineRule="auto"/>
      </w:pPr>
    </w:p>
    <w:p w14:paraId="348DD58C" w14:textId="77777777" w:rsidR="006120EE" w:rsidRPr="006A1EC7" w:rsidRDefault="006120EE" w:rsidP="006120EE">
      <w:pPr>
        <w:ind w:left="720" w:firstLine="60"/>
      </w:pPr>
      <w:r w:rsidRPr="006A1EC7">
        <w:rPr>
          <w:i/>
        </w:rPr>
        <w:t>“I don’t know if its normal with Wolf-Hirschhorn but they can’t find veins, so they can never get drugs in to stop it.”</w:t>
      </w:r>
      <w:r w:rsidRPr="006A1EC7">
        <w:t xml:space="preserve"> (WHS2A)</w:t>
      </w:r>
      <w:r w:rsidRPr="006A1EC7">
        <w:br/>
        <w:t xml:space="preserve"> </w:t>
      </w:r>
      <w:r w:rsidRPr="006A1EC7">
        <w:rPr>
          <w:i/>
        </w:rPr>
        <w:t>“He can’t put a needle in, things like that’s are tricky</w:t>
      </w:r>
      <w:r w:rsidRPr="006A1EC7">
        <w:t>.” (WHS2B, referring to seizure medication being administered intravenously)</w:t>
      </w:r>
    </w:p>
    <w:p w14:paraId="48116163" w14:textId="2CBF84F5" w:rsidR="00D13545" w:rsidRPr="006A1EC7" w:rsidRDefault="00D13545" w:rsidP="00DB5C12">
      <w:pPr>
        <w:spacing w:line="360" w:lineRule="auto"/>
      </w:pPr>
    </w:p>
    <w:p w14:paraId="57A0E3D3" w14:textId="77777777" w:rsidR="008F4ABD" w:rsidRPr="006A1EC7" w:rsidRDefault="008F4ABD" w:rsidP="008F4ABD">
      <w:pPr>
        <w:pStyle w:val="Heading2"/>
        <w:rPr>
          <w:rFonts w:ascii="Times New Roman" w:hAnsi="Times New Roman" w:cs="Times New Roman"/>
        </w:rPr>
      </w:pPr>
      <w:bookmarkStart w:id="142" w:name="_Toc22126834"/>
      <w:bookmarkStart w:id="143" w:name="_Toc23522722"/>
      <w:bookmarkStart w:id="144" w:name="_Toc38821438"/>
      <w:bookmarkStart w:id="145" w:name="_Toc40172994"/>
      <w:r w:rsidRPr="006A1EC7">
        <w:rPr>
          <w:rFonts w:ascii="Times New Roman" w:hAnsi="Times New Roman" w:cs="Times New Roman"/>
        </w:rPr>
        <w:t>Discussion</w:t>
      </w:r>
      <w:bookmarkEnd w:id="142"/>
      <w:bookmarkEnd w:id="143"/>
      <w:r w:rsidRPr="006A1EC7">
        <w:rPr>
          <w:rFonts w:ascii="Times New Roman" w:hAnsi="Times New Roman" w:cs="Times New Roman"/>
        </w:rPr>
        <w:t xml:space="preserve"> Chapter 4 (Theme 1)</w:t>
      </w:r>
      <w:bookmarkEnd w:id="144"/>
      <w:bookmarkEnd w:id="145"/>
    </w:p>
    <w:p w14:paraId="5250FB41" w14:textId="77777777" w:rsidR="008F4ABD" w:rsidRPr="006A1EC7" w:rsidRDefault="008F4ABD" w:rsidP="008F4ABD">
      <w:pPr>
        <w:spacing w:line="276" w:lineRule="auto"/>
      </w:pPr>
    </w:p>
    <w:p w14:paraId="07C3D225" w14:textId="383F0838" w:rsidR="008F4ABD" w:rsidRPr="006A1EC7" w:rsidRDefault="008F4ABD" w:rsidP="008F4ABD">
      <w:pPr>
        <w:spacing w:line="360" w:lineRule="auto"/>
        <w:ind w:firstLine="720"/>
      </w:pPr>
      <w:r w:rsidRPr="006A1EC7">
        <w:t xml:space="preserve">This theme revealed significant insights into the multi-systemic clinical features of </w:t>
      </w:r>
      <w:r w:rsidR="009F0718" w:rsidRPr="006A1EC7">
        <w:t>WHS</w:t>
      </w:r>
      <w:r w:rsidRPr="006A1EC7">
        <w:t>, their effects on patients and challenges related to symptom management, as perceived by relatives of children and adults with the illness</w:t>
      </w:r>
      <w:r w:rsidRPr="006A1EC7">
        <w:rPr>
          <w:rStyle w:val="FootnoteReference"/>
        </w:rPr>
        <w:footnoteReference w:id="13"/>
      </w:r>
      <w:r w:rsidRPr="006A1EC7">
        <w:t xml:space="preserve">. The interviews specifically aimed to assess which clinical features family members believed constituted syndrome severity and whether these features warranted inclusion in the COA. Overall, the theme (Theme 1: Clinical Features of WHS) described in the results reflects the complexity and heterogeneity </w:t>
      </w:r>
      <w:r w:rsidRPr="006A1EC7">
        <w:lastRenderedPageBreak/>
        <w:t xml:space="preserve">of features found in adults and children with WHS. The high number of sub-themes (n = 10), all representing different systems in the human body, further reflects the fact that WHS is a multisystem and complex illness. </w:t>
      </w:r>
    </w:p>
    <w:p w14:paraId="7E618DA2" w14:textId="7D3E3D2A" w:rsidR="008F4ABD" w:rsidRPr="006A1EC7" w:rsidRDefault="008F4ABD" w:rsidP="008F4ABD">
      <w:pPr>
        <w:spacing w:line="360" w:lineRule="auto"/>
      </w:pPr>
      <w:r w:rsidRPr="006A1EC7">
        <w:tab/>
        <w:t xml:space="preserve">In the interviews, it became apparent that the majority of family members were most concerned about epilepsy, its effects on their relatives, its management and the potential life-threatening consequences of a seizure. This was closely followed by clinical features relating to the gastrointestinal tract (such as feeding/eating, vomiting or urinary tract infections) and cardiac and respiratory features (such as heart defects, respiratory infections and associated hospital attendances). Clinical features relating to the central nervous system (such as vision, hearing and mobility) were also discussed. Recurrent infections were mentioned in relation to specific body systems (such as chest, urinary or ear), but participants also felt that their relatives’ overall low immunity was a cause for concern, leading to frequent periods of ill health and hospitalisations. Additionally, issues with sleep were a large problem, with patients being awake for considerable amounts of time at night-time. While these clinical features have all been reported in the literature before </w:t>
      </w:r>
      <w:r w:rsidRPr="006A1EC7">
        <w:fldChar w:fldCharType="begin" w:fldLock="1"/>
      </w:r>
      <w:r w:rsidRPr="006A1EC7">
        <w:instrText>ADDIN CSL_CITATION {"citationItems":[{"id":"ITEM-1","itemData":{"DOI":"10.1002/ajmg.c.31449","abstract":"Since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update","type":"article-journal","volume":"169"},"uris":["http://www.mendeley.com/documents/?uuid=acb46dbc-8007-4dc4-b32c-d930a3f9d182"]},{"id":"ITEM-2","itemData":{"DOI":"10.1016/j.yebeh.2017.12.008","ISSN":"15255069","abstract":"Seizures are present in over 90% of infants and children with Wolf–Hirschhorn syndrome (WHS). When present, they significantly affect quality of life. The goal of this study was to use caregiver reports to describe the comparative efficacies of commonly used antiepileptic medications in a large population of individuals with WHS. A web-based, confidential caregiver survey was developed to capture seizure semiology and a chronologic record of seizure treatments as well as responses to each treatment. Adverse events for each drug were also cataloged. We received 141 complete survey responses (47% response rate) describing the seizures of individuals ranging in age from 4 months to 61 years (90 females: 51 males). Using the Early Childhood Epilepsy Severity Scale (E-Chess), WHS-associated seizures are demonstrably severe regardless of deletion size. The best-performing antiepileptic drugs (AEDs) for controlling seizures in this cohort were broad spectrum drugs clobazam, levetiracetam, and lamotrigine; whereas, the three commonly used carboxamide class drugs: carbamazepine, phenytoin, and oxcarbazepine, were reported to have little effect on, or even exacerbate, seizures. The carboxamide class drugs, along with phenobarbital and topiramate, were also associated with the highest rate of intolerance due to cooccurrence of adverse events. Levetiracetam, clobazam, and clonazepam demonstrated higher tolerability and comparatively less severe adverse events (Wilcoxon rank sum comparison between performance of levetiracetam and carboxamide class drugs gives a p &lt; 0.0001 after multiple comparison adjustment). This is the largest survey to date assessing WHS seizures. This study design is susceptible to possible bias, as the data are largely drawn from caregiver report and investigators had limited access to medical records. Despite this, our data suggest that the genetic etiology of seizures, together with an accurate electroclinical delineation, are important components of drug selection, even in contiguous gene syndromes which may have complex seizure etiologies.","author":[{"dropping-particle":"","family":"Ho","given":"Karen S.","non-dropping-particle":"","parse-names":false,"suffix":""},{"dropping-particle":"","family":"Markham","given":"Leah M.","non-dropping-particle":"","parse-names":false,"suffix":""},{"dropping-particle":"","family":"Twede","given":"Hope","non-dropping-particle":"","parse-names":false,"suffix":""},{"dropping-particle":"","family":"Lortz","given":"Amanda","non-dropping-particle":"","parse-names":false,"suffix":""},{"dropping-particle":"","family":"Olson","given":"Lenora M.","non-dropping-particle":"","parse-names":false,"suffix":""},{"dropping-particle":"","family":"Sheng","given":"Xiaoming","non-dropping-particle":"","parse-names":false,"suffix":""},{"dropping-particle":"","family":"Weng","given":"Cindy","non-dropping-particle":"","parse-names":false,"suffix":""},{"dropping-particle":"","family":"Wassman","given":"E. Robert","non-dropping-particle":"","parse-names":false,"suffix":""},{"dropping-particle":"","family":"Newcomb","given":"Tara","non-dropping-particle":"","parse-names":false,"suffix":""},{"dropping-particle":"","family":"Wassman","given":"E. Robert","non-dropping-particle":"","parse-names":false,"suffix":""},{"dropping-particle":"","family":"Carey","given":"John C.","non-dropping-particle":"","parse-names":false,"suffix":""},{"dropping-particle":"","family":"Battaglia","given":"Agatino","non-dropping-particle":"","parse-names":false,"suffix":""}],"container-title":"Epilepsy and Behavior","id":"ITEM-2","issued":{"date-parts":[["2018"]]},"page":"55-61","publisher":"The Authors","title":"A survey of antiepileptic drug responses identifies drugs with potential efficacy for seizure control in Wolf–Hirschhorn syndrome","type":"article-journal","volume":"81"},"uris":["http://www.mendeley.com/documents/?uuid=d7e8440a-7bba-4c95-9881-e7324c7e8951"]},{"id":"ITEM-3","itemData":{"DOI":"10.1002/ajmg.c.30189","author":[{"dropping-particle":"","family":"Battaglia","given":"A","non-dropping-particle":"","parse-names":false,"suffix":""},{"dropping-particle":"","family":"Carey","given":"J C","non-dropping-particle":"","parse-names":false,"suffix":""}],"container-title":"American Journal of Medical Genetics, Part C: Seminars in Medical Genetics","id":"ITEM-3","issue":"4","issued":{"date-parts":[["2008"]]},"language":"English","note":"Cited By :8\n\nExport Date: 5 January 2018\n\nCODEN: AMSGF\n\nCorrespondence Address: Carey, J. C.; Division of Medical Genetics, 419 Wakara Way, Salt Lake City, UT 84108, United States; email: john.carey@hsc.utah.edu","page":"241-243","publisher-place":"Department of Child Neuropsychiatry, Postgraduate Medical School, University of Pisa, Italy","title":"Wolf-Hirschhorn syndrome and the 4p-related syndromes","type":"article-journal","volume":"148"},"uris":["http://www.mendeley.com/documents/?uuid=1bf15041-29cf-4180-af1f-c00e4ebf456c"]},{"id":"ITEM-4","itemData":{"DOI":"10.1136/jmg.38.10.674","ISBN":"1468-6244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genetics","id":"ITEM-4","issue":"10","issued":{"date-parts":[["2001","10"]]},"language":"English","note":"From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mortality.","type":"article-journal","volume":"38"},"uris":["http://www.mendeley.com/documents/?uuid=01ece509-b613-40ab-ac37-fa4a5c49d71d"]}],"mendeley":{"formattedCitation":"(A Battaglia &amp; Carey, 2008; Agatino Battaglia et al., 2015b; Ho et al., 2018b; Shannon et al., 2001)","manualFormatting":"(A Battaglia &amp; Carey, 2008;  Battaglia et al., 2015b; Ho et al., 2018b; Shannon et al., 2001)","plainTextFormattedCitation":"(A Battaglia &amp; Carey, 2008; Agatino Battaglia et al., 2015b; Ho et al., 2018b; Shannon et al., 2001)","previouslyFormattedCitation":"(A Battaglia &amp; Carey, 2008; Agatino Battaglia et al., 2015b; Ho et al., 2018b; Shannon et al., 2001)"},"properties":{"noteIndex":0},"schema":"https://github.com/citation-style-language/schema/raw/master/csl-citation.json"}</w:instrText>
      </w:r>
      <w:r w:rsidRPr="006A1EC7">
        <w:fldChar w:fldCharType="separate"/>
      </w:r>
      <w:r w:rsidRPr="006A1EC7">
        <w:rPr>
          <w:noProof/>
        </w:rPr>
        <w:t>(A Battaglia &amp; Carey, 2008;  Battaglia et al., 2015</w:t>
      </w:r>
      <w:r w:rsidR="00A95372" w:rsidRPr="006A1EC7">
        <w:rPr>
          <w:noProof/>
        </w:rPr>
        <w:t>;</w:t>
      </w:r>
      <w:r w:rsidRPr="006A1EC7">
        <w:rPr>
          <w:noProof/>
        </w:rPr>
        <w:t xml:space="preserve"> Ho et al., </w:t>
      </w:r>
      <w:r w:rsidR="00421249" w:rsidRPr="006A1EC7">
        <w:rPr>
          <w:noProof/>
        </w:rPr>
        <w:t>2018</w:t>
      </w:r>
      <w:r w:rsidRPr="006A1EC7">
        <w:rPr>
          <w:noProof/>
        </w:rPr>
        <w:t>; Shannon et al., 2001)</w:t>
      </w:r>
      <w:r w:rsidRPr="006A1EC7">
        <w:fldChar w:fldCharType="end"/>
      </w:r>
      <w:r w:rsidRPr="006A1EC7">
        <w:t xml:space="preserve">, albeit on a more basic level, this study provides invaluable in-depth assessment allowing a more detailed investigation into </w:t>
      </w:r>
      <w:r w:rsidR="009F0718" w:rsidRPr="006A1EC7">
        <w:t>WHS</w:t>
      </w:r>
      <w:r w:rsidRPr="006A1EC7">
        <w:t xml:space="preserve"> and ensuring the development of the COA assesses these aspects assiduously.</w:t>
      </w:r>
    </w:p>
    <w:p w14:paraId="7F8388E4" w14:textId="36D9ABF5" w:rsidR="008F4ABD" w:rsidRPr="006A1EC7" w:rsidRDefault="008F4ABD" w:rsidP="008F4ABD">
      <w:pPr>
        <w:spacing w:line="360" w:lineRule="auto"/>
        <w:ind w:firstLine="720"/>
      </w:pPr>
      <w:r w:rsidRPr="006A1EC7">
        <w:t xml:space="preserve">As aforementioned, discourse around epilepsy and seizures was at the core of the interviews with most participants. While it is well-established that children and adults with </w:t>
      </w:r>
      <w:r w:rsidR="009F0718" w:rsidRPr="006A1EC7">
        <w:t>WHS</w:t>
      </w:r>
      <w:r w:rsidRPr="006A1EC7">
        <w:t xml:space="preserve"> suffer from seizures, epilepsy and neurological abnormalities </w:t>
      </w:r>
      <w:r w:rsidRPr="006A1EC7">
        <w:fldChar w:fldCharType="begin" w:fldLock="1"/>
      </w:r>
      <w:r w:rsidRPr="006A1EC7">
        <w:instrText>ADDIN CSL_CITATION {"citationItems":[{"id":"ITEM-1","itemData":{"DOI":"http://dx.doi.org/10.1111/j.1469-8749.2009.03282.x","ISBN":"1469-8749 (Electronic)\\n1469-8749 (Linking)","ISSN":"00121622","PMID":"19388145","abstract":"Comments on an article by A. Battaglia et al. (see record 2009-06572-009). The authors report that the epilepsy of WHS responds very positively to pharmaceutical treatment. The importance of treatment goes beyond delivering palliative care-ongoing epilepsy may interfere with cognitive development. As such, untreated epilepsy reduces the final outcome for WHS patients below that of their full potential. All this raises the inherent importance of the vigilance of the primary care providers. Early diagnosis and treatment of the epilepsy almost certainly have a positive impact upon prognosis, but the unexplained absences can go unnoticed or be misdiagnosed as benign 'eye tics'. (PsycINFO Database Record (c) 2016 APA, all rights reserved)","author":[{"dropping-particle":"","family":"Bergemann","given":"A. D.","non-dropping-particle":"","parse-names":false,"suffix":""}],"container-title":"Developmental Medicine and Child Neurology","editor":[{"dropping-particle":"","family":"Garriga-Canut  Simon  Zollino, Maas","given":"South","non-dropping-particle":"","parse-names":false,"suffix":""}],"id":"ITEM-1","issue":"5","issued":{"date-parts":[["2009","5"]]},"page":"337-338","publisher":"Mac Keith Press","publisher-place":"US","title":"Distinctive EEG patterns in patients with Wolf-Hirschhorn syndrome.","type":"article-journal","volume":"51"},"uris":["http://www.mendeley.com/documents/?uuid=2ab12bf0-99a7-4e17-8552-e871715fc524"]},{"id":"ITEM-2","itemData":{"abstract":"Wolf-Hirschhorn syndrome is a genetic entity produced by a partial deletion spanning the distal short arm of chromosome 4 (4p16.3). The most common manifestations are craniofacial anomalies, psychomotor retardation and neurological disorders. The estimated incidence is 1 in 50,000 births, although there is an underdiagnosis of this entity. The aim of this study is to describe four clinical cases of Wolf-Hirschhorn syndrome with specific description of clinical and cytogenetic findings","author":[{"dropping-particle":"","family":"Cammarata-Scalisi","given":"Francisco","non-dropping-particle":"","parse-names":false,"suffix":""},{"dropping-particle":"","family":"Callea","given":"Michele","non-dropping-particle":"","parse-names":false,"suffix":""},{"dropping-particle":"","family":"Araque","given":"Dianora","non-dropping-particle":"","parse-names":false,"suffix":""},{"dropping-particle":"","family":"Lacruz-Rengel","given":"M A","non-dropping-particle":"","parse-names":false,"suffix":""},{"dropping-particle":"","family":"Silva","given":"Gloria","non-dropping-particle":"Da","parse-names":false,"suffix":""},{"dropping-particle":"","family":"Ramirez","given":"R J","non-dropping-particle":"","parse-names":false,"suffix":""},{"dropping-particle":"","family":"Lopez","given":"Fabiola","non-dropping-particle":"","parse-names":false,"suffix":""},{"dropping-particle":"","family":"Angelina Lacruz-Rengel","given":"Maria","non-dropping-particle":"","parse-names":false,"suffix":""},{"dropping-particle":"","family":"Silva","given":"Gloria","non-dropping-particle":"Da","parse-names":false,"suffix":""},{"dropping-particle":"","family":"Josue Ramirez","given":"Rodolfo","non-dropping-particle":"","parse-names":false,"suffix":""},{"dropping-particle":"","family":"Lopez","given":"Fabiola","non-dropping-particle":"","parse-names":false,"suffix":""}],"container-title":"Avances En Biomedicina","id":"ITEM-2","issue":"2","issued":{"date-parts":[["2015"]]},"note":"From Duplicate 1 (Clinical and cytogenetic features in Wolf-Hirschhorn syndrome. Case series - Cammarata-Scalisi, Francisco; Callea, Michele; Araque, Dianora; Angelina Lacruz-Rengel, Maria; Da Silva, Gloria; Josue Ramirez, Rodolfo; Lopez, Fabiola)\n\n0\n\nFrom Duplicate 2 (Clinical and cytogenetic features in Wolf-Hirschhorn syndrome. Case series - Cammarata-Scalisi, F; Callea, M; Araque, D; Lacruz-Rengel, M A; Da Silva, G; Ramirez, R J; Lopez, F)\n\nCammarata-Scalisi, Francisco Callea, Michele Araque, Dianora Angelina Lacruz-Rengel, Maria Da Silva, Gloria Josue Ramirez, Rodolfo Lopez, Fabiola","page":"48-55","title":"Clinical and cytogenetic features in Wolf-Hirschhorn syndrome. Case series","type":"article-journal","volume":"4"},"uris":["http://www.mendeley.com/documents/?uuid=a1d322fc-6ca3-4a00-95d2-d8e227ea0f77"]},{"id":"ITEM-3","itemData":{"author":[{"dropping-particle":"","family":"Karaer","given":"K","non-dropping-particle":"","parse-names":false,"suffix":""},{"dropping-particle":"","family":"Koç","given":"A","non-dropping-particle":"","parse-names":false,"suffix":""},{"dropping-particle":"","family":"Karaoǧuz","given":"Y M","non-dropping-particle":"","parse-names":false,"suffix":""},{"dropping-particle":"","family":"Cansu","given":"A","non-dropping-particle":"","parse-names":false,"suffix":""},{"dropping-particle":"","family":"Perçin","given":"E F","non-dropping-particle":"","parse-names":false,"suffix":""}],"container-title":"Turkiye Klinikleri Pediatri","id":"ITEM-3","issue":"2","issued":{"date-parts":[["2010"]]},"language":"Turkish","note":"Export Date: 5 January 2018\n\nCorrespondence Address: Karaer, K.; Tibbi Genetik AD, Gazi Üniversitesi Tip Fakültesi, Ankara, Turkey; email: kadrikaraer@yahoo.com","page":"171-175","publisher-place":"Tibbi Genetik AD, Gazi Üniversitesi Tip Fakültesi, Ankara, Turkey","title":"A case of Wolf-Hirschhorn syndrome with a characteristic EEG pattern; clinical and molecular cytogenetic diagnosis ","type":"article-journal","volume":"19"},"uris":["http://www.mendeley.com/documents/?uuid=c95c612d-1602-494a-8f24-bed7d95dd1af"]},{"id":"ITEM-4","itemData":{"DOI":"10.1002/ajmg.c.31449","ISBN":"0000000000000","ISSN":"15524876","PMID":"26239400","abstract":"Since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Genetics","id":"ITEM-4","issue":"3","issued":{"date-parts":[["2015","9"]]},"language":"English","note":"From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 Bergemann, 2009; Cammarata-Scalisi et al., 2015; Karaer, Koç, Karaoǧuz, Cansu, &amp; Perçin, 2010)","manualFormatting":"(e.g. Battaglia et al., 2015; Bergemann, 2009; Cammarata-Scalisi et al., 2015; Karaer, Koç, Karaoǧuz, Cansu, &amp; Perçin, 2010)","plainTextFormattedCitation":"(Agatino Battaglia et al., 2015a; Bergemann, 2009; Cammarata-Scalisi et al., 2015; Karaer, Koç, Karaoǧuz, Cansu, &amp; Perçin, 2010)","previouslyFormattedCitation":"(Agatino Battaglia et al., 2015a; Bergemann, 2009; Cammarata-Scalisi et al., 2015; Karaer, Koç, Karaoǧuz, Cansu, &amp; Perçin, 2010)"},"properties":{"noteIndex":0},"schema":"https://github.com/citation-style-language/schema/raw/master/csl-citation.json"}</w:instrText>
      </w:r>
      <w:r w:rsidRPr="006A1EC7">
        <w:fldChar w:fldCharType="separate"/>
      </w:r>
      <w:r w:rsidRPr="006A1EC7">
        <w:rPr>
          <w:noProof/>
        </w:rPr>
        <w:t>(e.g. Battaglia et al., 2015; Bergemann, 2009; Cammarata-Scalisi et al., 2015; Karaer, Koç, Karaoǧuz, Cansu, &amp; Perçin, 2010)</w:t>
      </w:r>
      <w:r w:rsidRPr="006A1EC7">
        <w:fldChar w:fldCharType="end"/>
      </w:r>
      <w:r w:rsidRPr="006A1EC7">
        <w:t>, the interviews further expanded insights into this clinical feature. For example, there were narratives around the level of after-care needed post seizures and what relatives perceived as effective medicating of seizures/epilepsy.</w:t>
      </w:r>
    </w:p>
    <w:p w14:paraId="74279B92" w14:textId="2E47DF14" w:rsidR="008F4ABD" w:rsidRPr="006A1EC7" w:rsidRDefault="008F4ABD" w:rsidP="008F4ABD">
      <w:pPr>
        <w:spacing w:line="360" w:lineRule="auto"/>
        <w:ind w:firstLine="720"/>
      </w:pPr>
      <w:r w:rsidRPr="006A1EC7">
        <w:t xml:space="preserve">The gastrointestinal and urological clinical features of </w:t>
      </w:r>
      <w:r w:rsidR="009F0718" w:rsidRPr="006A1EC7">
        <w:t>WHS</w:t>
      </w:r>
      <w:r w:rsidRPr="006A1EC7">
        <w:t>, spanning subthemes such as feeding (interventions), vomiting and reflux, bowel movements, continence, and issues relating to the kidney, gallbladder and genitals, were also portrayed by many participants as concerning. Feeding difficulties are common for adults and children with genetic syndromes “</w:t>
      </w:r>
      <w:r w:rsidRPr="006A1EC7">
        <w:rPr>
          <w:i/>
        </w:rPr>
        <w:t>as a result of the complex interactions between anatomical, medical, physiological, and behavioural factors</w:t>
      </w:r>
      <w:r w:rsidRPr="006A1EC7">
        <w:t xml:space="preserve">” </w:t>
      </w:r>
      <w:r w:rsidRPr="006A1EC7">
        <w:fldChar w:fldCharType="begin" w:fldLock="1"/>
      </w:r>
      <w:r w:rsidRPr="006A1EC7">
        <w:instrText>ADDIN CSL_CITATION {"citationItems":[{"id":"ITEM-1","itemData":{"DOI":"10.1002/ddrr.19","ISSN":"19405510","author":[{"dropping-particle":"","family":"Cooper-Brown","given":"Linda","non-dropping-particle":"","parse-names":false,"suffix":""},{"dropping-particle":"","family":"Downey","given":"Debora","non-dropping-particle":"","parse-names":false,"suffix":""},{"dropping-particle":"","family":"Copeland","given":"Sara","non-dropping-particle":"","parse-names":false,"suffix":""},{"dropping-particle":"","family":"Stimson","given":"Cheryl","non-dropping-particle":"","parse-names":false,"suffix":""},{"dropping-particle":"","family":"Dyke","given":"Don C.","non-dropping-particle":"Van","parse-names":false,"suffix":""},{"dropping-particle":"","family":"Petersen","given":"Mario Cesar","non-dropping-particle":"","parse-names":false,"suffix":""},{"dropping-particle":"","family":"Dailey","given":"Scott","non-dropping-particle":"","parse-names":false,"suffix":""}],"container-title":"Developmental Disabilities Research Reviews","id":"ITEM-1","issue":"2","issued":{"date-parts":[["2008"]]},"page":"147-157","title":"Feeding and swallowing dysfunction in genetic syndromes","type":"article-journal","volume":"14"},"uris":["http://www.mendeley.com/documents/?uuid=53d67ba1-e810-431b-8fef-2dbc05a20f4d","http://www.mendeley.com/documents/?uuid=0d87e68a-7d8b-4e78-b92a-5203330977bd"]}],"mendeley":{"formattedCitation":"(Cooper-Brown et al., 2008)","plainTextFormattedCitation":"(Cooper-Brown et al., 2008)","previouslyFormattedCitation":"(Cooper-Brown et al., 2008)"},"properties":{"noteIndex":0},"schema":"https://github.com/citation-style-language/schema/raw/master/csl-citation.json"}</w:instrText>
      </w:r>
      <w:r w:rsidRPr="006A1EC7">
        <w:fldChar w:fldCharType="separate"/>
      </w:r>
      <w:r w:rsidRPr="006A1EC7">
        <w:rPr>
          <w:noProof/>
        </w:rPr>
        <w:t>(Cooper-Brown et al., 2008)</w:t>
      </w:r>
      <w:r w:rsidRPr="006A1EC7">
        <w:fldChar w:fldCharType="end"/>
      </w:r>
      <w:r w:rsidRPr="006A1EC7">
        <w:t xml:space="preserve">, which was reflected in the participant accounts. Facial clefts, low muscle tone making it challenging sucking bottles/breasts or chew, vomiting and reflux, and poor feeding associated with poor growth or weight loss were reported. This is in accordance with the literature, where it is further </w:t>
      </w:r>
      <w:r w:rsidRPr="006A1EC7">
        <w:lastRenderedPageBreak/>
        <w:t xml:space="preserve">suggested that more than 75% of patients with WHS struggle with issues around feeding </w:t>
      </w:r>
      <w:r w:rsidRPr="006A1EC7">
        <w:fldChar w:fldCharType="begin" w:fldLock="1"/>
      </w:r>
      <w:r w:rsidRPr="006A1EC7">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2015a)","manualFormatting":"(Battaglia et al., 2015)","plainTextFormattedCitation":"(Agatino Battaglia et al., 2015a)","previouslyFormattedCitation":"(Agatino Battaglia et al., 2015a)"},"properties":{"noteIndex":0},"schema":"https://github.com/citation-style-language/schema/raw/master/csl-citation.json"}</w:instrText>
      </w:r>
      <w:r w:rsidRPr="006A1EC7">
        <w:fldChar w:fldCharType="separate"/>
      </w:r>
      <w:r w:rsidRPr="006A1EC7">
        <w:rPr>
          <w:noProof/>
        </w:rPr>
        <w:t>(Battaglia et al., 2015)</w:t>
      </w:r>
      <w:r w:rsidRPr="006A1EC7">
        <w:fldChar w:fldCharType="end"/>
      </w:r>
      <w:r w:rsidRPr="006A1EC7">
        <w:t xml:space="preserve">. Techniques such as cutting up, mashing or liquidising food were applied by the family caregivers to support feeding. If these techniques were ineffective or unsafe due to aspiration, interventions such as nasogastric (NG) tubes, percutaneous endoscopic gastrostomies (PEG) and jejunostomies were used. There was significant discourse around the perception and utility of such medical feeding interventions. Family caregivers, in particular parents, were often reticent to consent to a medical feeding intervention. This was based on a perception that their child was able to eat orally without the need for intervention or due to concerns about infection risk. This reluctance is also reported in the literature, and across conditions: a retrospective study with American mothers of children with gastrostomies reported that 70% of their participants reacted negatively when the placement of such was initially suggested; leading to delays in consenting to medical feeding interventions </w:t>
      </w:r>
      <w:r w:rsidRPr="006A1EC7">
        <w:fldChar w:fldCharType="begin" w:fldLock="1"/>
      </w:r>
      <w:r w:rsidRPr="006A1EC7">
        <w:instrText>ADDIN CSL_CITATION {"citationItems":[{"id":"ITEM-1","itemData":{"DOI":"10.1017/S0012162206001538","ISSN":"00121622","abstract":"Using a semi-structured questionnaire, this descriptive study examined perceptions of feeding and adherence to feeding recommendations for caregivers (26 females; mean age 32y 7mo [SD 9.4y], range 20-59y) of children with cerebral palsy (CP) and a gastrostomy tube (GT). Children in the study (15 females, 11 males; mean age 4y 8mo [SD 3y 11mo] , range 8mo-16y) had had a GT in place for at least 1 month and been assessed at Level II (n=2), Level III (n=2), Level IV (n=5), and Level V (n=17) of the Gross Motor Function Classification System. A negative response was reported by 18 caregivers when the GT was recommended; however, 21 caregivers reported improvement in the children following placement. All children received formula through the GT that was adequate for complete nutrition, yet 14 caregivers gave other foods through the GT (e.g. juice, cereal, soup, or table food). Of the 17 children receiving oral feedings, meals were an unpleasant experience for over half. Of the remaining nine children, in spite of a strict nil by mouth recommendation by physicians, five continued to receive some oral feedings. Generally, caregivers perceived GT feeding as 'unnatural'. Understanding these perceptions will help clinicians to develop effective, family-centered, patient-appropriate intervention and adherence strategies for GT-fed children with CP. © 2006 Mac Keith Press.","author":[{"dropping-particle":"","family":"Petersen","given":"Mario C.","non-dropping-particle":"","parse-names":false,"suffix":""},{"dropping-particle":"","family":"Kedia","given":"Satish","non-dropping-particle":"","parse-names":false,"suffix":""},{"dropping-particle":"","family":"Davis","given":"Pam","non-dropping-particle":"","parse-names":false,"suffix":""},{"dropping-particle":"","family":"Newman","given":"Lisa","non-dropping-particle":"","parse-names":false,"suffix":""},{"dropping-particle":"","family":"Temple","given":"Carrie","non-dropping-particle":"","parse-names":false,"suffix":""}],"container-title":"Developmental Medicine and Child Neurology","id":"ITEM-1","issue":"9","issued":{"date-parts":[["2006"]]},"page":"713-717","title":"Eating and feeding are not the same: Caregivers' perceptions of gastrostomy feeding for children with cerebral palsy","type":"article-journal","volume":"48"},"uris":["http://www.mendeley.com/documents/?uuid=8de96dd1-1a5a-47cb-8608-2e5d2bb53815","http://www.mendeley.com/documents/?uuid=5a38b092-0f0c-4642-8a24-92ee0cd9c180"]}],"mendeley":{"formattedCitation":"(Petersen, Kedia, Davis, Newman, &amp; Temple, 2006)","plainTextFormattedCitation":"(Petersen, Kedia, Davis, Newman, &amp; Temple, 2006)","previouslyFormattedCitation":"(Petersen, Kedia, Davis, Newman, &amp; Temple, 2006)"},"properties":{"noteIndex":0},"schema":"https://github.com/citation-style-language/schema/raw/master/csl-citation.json"}</w:instrText>
      </w:r>
      <w:r w:rsidRPr="006A1EC7">
        <w:fldChar w:fldCharType="separate"/>
      </w:r>
      <w:r w:rsidRPr="006A1EC7">
        <w:rPr>
          <w:noProof/>
        </w:rPr>
        <w:t>(Petersen, Kedia, Davis, Newman, &amp; Temple, 2006)</w:t>
      </w:r>
      <w:r w:rsidRPr="006A1EC7">
        <w:fldChar w:fldCharType="end"/>
      </w:r>
      <w:r w:rsidRPr="006A1EC7">
        <w:t>. Another study, in this case with parents and caregivers of children with neurological disabilities (including Cerebral Palsy &amp; Smith-Lemli-Opitz syndrome) in Poland, also reported initial hesitation to the recommendation of placing a gastric tube, resulting in delays. On average, this delay took five months between the recommendation by HCPs and parental agreement (range 7 days – 24 months). While neither of these studies were conducted in the NHS or comparable health care systems, hesitation and worry regarding the placement of medical feeding interventions appear shared across conditions, country and health care system.</w:t>
      </w:r>
    </w:p>
    <w:p w14:paraId="2E881CE9" w14:textId="5EF35DD2" w:rsidR="008F4ABD" w:rsidRPr="006A1EC7" w:rsidRDefault="008F4ABD" w:rsidP="008F4ABD">
      <w:pPr>
        <w:spacing w:line="360" w:lineRule="auto"/>
        <w:ind w:firstLine="720"/>
      </w:pPr>
      <w:r w:rsidRPr="006A1EC7">
        <w:t xml:space="preserve">Findings in a dated, yet relevant, study by </w:t>
      </w:r>
      <w:r w:rsidRPr="006A1EC7">
        <w:fldChar w:fldCharType="begin" w:fldLock="1"/>
      </w:r>
      <w:r w:rsidRPr="006A1EC7">
        <w:instrText>ADDIN CSL_CITATION {"citationItems":[{"id":"ITEM-1","itemData":{"DOI":"10.1016/S0882-5963(97)80029-2","ISSN":"08825963","abstract":"Although the physiological implications of long-term gastrostomy for children with severe disability are well documented in the nursing literature, little is known about the psychosocial effect of this technological intervention. This study documents and interprets the perspective of expert nurses and parents to reveal conflictual social processes associated with gastrostomy decision-making and the intense moral dilemma that these processes create. The findings suggest that gastrostomy denotes multiple meanings for parents and health care providers, and that an appreciation for these meanings can have a significant positive impact on nursing care for these children and their families.","author":[{"dropping-particle":"","family":"Thorne","given":"S. E.","non-dropping-particle":"","parse-names":false,"suffix":""},{"dropping-particle":"","family":"Radford","given":"M. J.","non-dropping-particle":"","parse-names":false,"suffix":""},{"dropping-particle":"","family":"McCormick","given":"J.","non-dropping-particle":"","parse-names":false,"suffix":""}],"container-title":"Journal of pediatric nursing","id":"ITEM-1","issue":"2","issued":{"date-parts":[["1997"]]},"page":"89-99","title":"The multiple meanings of long-term gastrostomy in children with severe disability.","type":"article-journal","volume":"12"},"uris":["http://www.mendeley.com/documents/?uuid=157dbf7d-171d-403a-9fe6-bd7ecb76e11b","http://www.mendeley.com/documents/?uuid=9c6f98bd-f8e5-4f15-8776-d56083056698"]}],"mendeley":{"formattedCitation":"(Thorne, Radford, &amp; McCormick, 1997)","manualFormatting":"Thorne, Radford and McCormick (1997)","plainTextFormattedCitation":"(Thorne, Radford, &amp; McCormick, 1997)","previouslyFormattedCitation":"(Thorne, Radford, &amp; McCormick, 1997)"},"properties":{"noteIndex":0},"schema":"https://github.com/citation-style-language/schema/raw/master/csl-citation.json"}</w:instrText>
      </w:r>
      <w:r w:rsidRPr="006A1EC7">
        <w:fldChar w:fldCharType="separate"/>
      </w:r>
      <w:r w:rsidRPr="006A1EC7">
        <w:rPr>
          <w:noProof/>
        </w:rPr>
        <w:t>Thorne, Radford and McCormick (1997)</w:t>
      </w:r>
      <w:r w:rsidRPr="006A1EC7">
        <w:fldChar w:fldCharType="end"/>
      </w:r>
      <w:r w:rsidRPr="006A1EC7">
        <w:t xml:space="preserve"> suggest that this negative reaction to initial recommendations and delays in agreeing to feeding intervention may be rooted in the fact that agreeing to a feeding intervention may mean giving in to the (undeniable) existence and permanence of a child’s disability, as well as its associated problems. In the current study, one of the problems encountered as a result of the visible intervention is feelings of stigma and shame around the feeding tube being visible, i.e. in public places. Another aspect that may influence the aversion towards NG tubes and led parents to persist in oral feeding is the importance of ‘feeding’ within the parent-child, and especially mother-child, relationship; whereby the parent is primarily responsible for nourishing the child </w:t>
      </w:r>
      <w:r w:rsidRPr="006A1EC7">
        <w:fldChar w:fldCharType="begin" w:fldLock="1"/>
      </w:r>
      <w:r w:rsidRPr="006A1EC7">
        <w:instrText>ADDIN CSL_CITATION {"citationItems":[{"id":"ITEM-1","itemData":{"author":[{"dropping-particle":"","family":"Ferguson","given":"L","non-dropping-particle":"","parse-names":false,"suffix":""},{"dropping-particle":"","family":"Paul","given":"Campbell","non-dropping-particle":"","parse-names":false,"suffix":""}],"container-title":"Signal","id":"ITEM-1","issue":"June","issued":{"date-parts":[["2007"]]},"page":"10","title":"An exploration of the experience of parents caring for babies fed by naso-gastric tube","type":"article-journal","volume":"January - "},"uris":["http://www.mendeley.com/documents/?uuid=9063dbda-e537-4cf7-829c-81e79a3e22c2","http://www.mendeley.com/documents/?uuid=7d308e8b-9a50-4fd9-89dc-adeca022b29f"]}],"mendeley":{"formattedCitation":"(Ferguson &amp; Paul, 2007)","plainTextFormattedCitation":"(Ferguson &amp; Paul, 2007)","previouslyFormattedCitation":"(Ferguson &amp; Paul, 2007)"},"properties":{"noteIndex":0},"schema":"https://github.com/citation-style-language/schema/raw/master/csl-citation.json"}</w:instrText>
      </w:r>
      <w:r w:rsidRPr="006A1EC7">
        <w:fldChar w:fldCharType="separate"/>
      </w:r>
      <w:r w:rsidRPr="006A1EC7">
        <w:rPr>
          <w:noProof/>
        </w:rPr>
        <w:t>(Ferguson &amp; Paul, 2007)</w:t>
      </w:r>
      <w:r w:rsidRPr="006A1EC7">
        <w:fldChar w:fldCharType="end"/>
      </w:r>
      <w:r w:rsidRPr="006A1EC7">
        <w:t xml:space="preserve">. This may be particularly relevant for participant WHS5, who had spent a significant amount of time devising her own specialist equipment, such as straws from fish tank tubes, and recipes for her son in order to avoid feeding interventions. It is also in part relevant in other participant accounts that report experimenting with foods in order to develop a suitable diet to circumvent the need for </w:t>
      </w:r>
      <w:r w:rsidRPr="006A1EC7">
        <w:lastRenderedPageBreak/>
        <w:t xml:space="preserve">interventions. In the interviews, as well as the literature, it became obvious that reasons for non-agreement or delays in decision-making are not always evidence based. With a growing understanding of the reasoning and the thought processes involved, it is important that HCPs intervene and ensure that not placing a feeding tube is indeed in the best interest of the child. This is not to say that participants in the study did not act in the best interest of their child/relative, but that emotive reasoning may be a hindrance to making decisions. Further, the discussion of this subtheme highlights the importance of combining psychosocial literature with clinical literature. </w:t>
      </w:r>
    </w:p>
    <w:p w14:paraId="36C9EDA3" w14:textId="77777777" w:rsidR="008F4ABD" w:rsidRPr="006A1EC7" w:rsidRDefault="008F4ABD" w:rsidP="008F4ABD">
      <w:pPr>
        <w:spacing w:line="360" w:lineRule="auto"/>
        <w:ind w:firstLine="720"/>
      </w:pPr>
      <w:r w:rsidRPr="006A1EC7">
        <w:t>However, even though aversion was commonly reported as an initial or permanent emotional state towards feeding interventions, those parents who eventually agreed to an intervention reported resultant advantages and benefits, such as</w:t>
      </w:r>
      <w:r w:rsidRPr="006A1EC7">
        <w:rPr>
          <w:bCs/>
        </w:rPr>
        <w:t xml:space="preserve"> lessening the pressure on caregivers to ‘</w:t>
      </w:r>
      <w:r w:rsidRPr="006A1EC7">
        <w:rPr>
          <w:bCs/>
          <w:i/>
          <w:iCs/>
        </w:rPr>
        <w:t>make</w:t>
      </w:r>
      <w:r w:rsidRPr="006A1EC7">
        <w:rPr>
          <w:bCs/>
        </w:rPr>
        <w:t xml:space="preserve">’ the affected child/relative consume a certain number of calories, which made orally eating complementary and thus enjoyable, rather than essential. Those who reported agreeing to feeding interventions as a medical necessity (i.e. due to aspiration) described positive effects and health benefits. This reflected the positive impact that feeding interventions can bring for adults and children with WHS as well as for their caregivers; these improvements in quality of life (e.g. such as decreased stress associated with feeding) are reported across the literature </w:t>
      </w:r>
      <w:r w:rsidRPr="006A1EC7">
        <w:rPr>
          <w:bCs/>
        </w:rPr>
        <w:fldChar w:fldCharType="begin" w:fldLock="1"/>
      </w:r>
      <w:r w:rsidRPr="006A1EC7">
        <w:rPr>
          <w:bCs/>
        </w:rPr>
        <w:instrText>ADDIN CSL_CITATION {"citationItems":[{"id":"ITEM-1","itemData":{"DOI":"10.1097/NJH.0000000000000113","ISBN":"0000000000000","ISSN":"15390705","abstract":"Gastrostomy is recommended to parents and children as the most appropriate method of long-term nutritional support. The objective of this study was to describe daily functioning of both caregivers and their children with gastrostomy tube. Using a semistructured questionnaire, this descriptive study examined perceptions of feeding and adherence to feeding recommendations for caregivers of children with neurological disabilities and gastrostomy tube. The questionnaire covered various aspects of child's gastrostomy care, ranging from changing buttons, method of feeding, tolerance of diet, and problems with the gastrostomy site and device to how gastrostomy feeding has affected their lives. Parents and carers of 44 children completed a questionnaire. Children in the study (n = 44) had had a gastric tube in place for at least 1 month, and children with cerebral palsy had been assessed at level V of the Gross Motor Function Classification System. Most caregivers reported improvement in the children following placement and significant improvements in their own social functioning. Carers reported a significant reduction in feeding times, increased ease of drug administration, and reduced concern about their child's nutritional status. Most caregivers reported a beneficial effect on their children of the gastrostomy feeding tube placement Vimproved nutrition and decreased health complications. Consistent with prior research, this study found that the majority of caregivers were satisfied with the gastrostomy tube placement results and felt the improvement in the quality of their life.","author":[{"dropping-particle":"","family":"Matuszczak","given":"Ewa","non-dropping-particle":"","parse-names":false,"suffix":""},{"dropping-particle":"","family":"Hermanowicz","given":"Adam","non-dropping-particle":"","parse-names":false,"suffix":""},{"dropping-particle":"","family":"Klek","given":"Stanislaw","non-dropping-particle":"","parse-names":false,"suffix":""},{"dropping-particle":"","family":"Komarowska","given":"Marta","non-dropping-particle":"","parse-names":false,"suffix":""},{"dropping-particle":"","family":"Pawlowska","given":"Dorota","non-dropping-particle":"","parse-names":false,"suffix":""},{"dropping-particle":"","family":"Zoubek-Wojcik","given":"Agata","non-dropping-particle":"","parse-names":false,"suffix":""},{"dropping-particle":"","family":"Rysz-Bracha","given":"Agata","non-dropping-particle":"","parse-names":false,"suffix":""},{"dropping-particle":"","family":"Marcinkowska","given":"Agnieszka","non-dropping-particle":"","parse-names":false,"suffix":""},{"dropping-particle":"","family":"Milewski","given":"Robert","non-dropping-particle":"","parse-names":false,"suffix":""},{"dropping-particle":"","family":"Debek","given":"Wojciech","non-dropping-particle":"","parse-names":false,"suffix":""}],"container-title":"Journal of Hospice and Palliative Nursing","id":"ITEM-1","issue":"8","issued":{"date-parts":[["2014"]]},"page":"521-525","title":"Parents' perceptions of gastrostomy feeding for children with neurological disabilities a multicenter study","type":"article-journal","volume":"16"},"uris":["http://www.mendeley.com/documents/?uuid=c1173e2d-8511-4d5a-b173-707a4d8da514","http://www.mendeley.com/documents/?uuid=06367b52-ebc9-474e-94b7-65bad2df64f5"]}],"mendeley":{"formattedCitation":"(Matuszczak et al., 2014)","plainTextFormattedCitation":"(Matuszczak et al., 2014)","previouslyFormattedCitation":"(Matuszczak et al., 2014)"},"properties":{"noteIndex":0},"schema":"https://github.com/citation-style-language/schema/raw/master/csl-citation.json"}</w:instrText>
      </w:r>
      <w:r w:rsidRPr="006A1EC7">
        <w:rPr>
          <w:bCs/>
        </w:rPr>
        <w:fldChar w:fldCharType="separate"/>
      </w:r>
      <w:r w:rsidRPr="006A1EC7">
        <w:rPr>
          <w:bCs/>
          <w:noProof/>
        </w:rPr>
        <w:t>(Matuszczak et al., 2014)</w:t>
      </w:r>
      <w:r w:rsidRPr="006A1EC7">
        <w:rPr>
          <w:bCs/>
        </w:rPr>
        <w:fldChar w:fldCharType="end"/>
      </w:r>
      <w:r w:rsidRPr="006A1EC7">
        <w:rPr>
          <w:bCs/>
        </w:rPr>
        <w:t xml:space="preserve">. It therefore is essential that HCPs assess and review the need for medical feeding interventions in children and adult with WHS. </w:t>
      </w:r>
    </w:p>
    <w:p w14:paraId="7BAE5BA1" w14:textId="77777777" w:rsidR="008F4ABD" w:rsidRPr="006A1EC7" w:rsidRDefault="008F4ABD" w:rsidP="008F4ABD">
      <w:pPr>
        <w:spacing w:line="360" w:lineRule="auto"/>
        <w:ind w:firstLine="720"/>
      </w:pPr>
      <w:r w:rsidRPr="006A1EC7">
        <w:t xml:space="preserve">Further gastrointestinal issues, such as severe reflux and vomiting, were also discussed in the interviews. Two parents in the sample reported clinical features of disordered oesophageal peristalsis, which are problems with swallowing or pain when swallowing, heartburn and regurgitation </w:t>
      </w:r>
      <w:r w:rsidRPr="006A1EC7">
        <w:fldChar w:fldCharType="begin" w:fldLock="1"/>
      </w:r>
      <w:r w:rsidRPr="006A1EC7">
        <w:instrText>ADDIN CSL_CITATION {"citationItems":[{"id":"ITEM-1","itemData":{"ISSN":"1350-1925","abstract":"Background Weak and absent esophageal peristalsis are frequently encountered esophageal motility disorders, which may be associated with dysphagia and which may contribute to gastroesophageal reflux disease. Recently, rapid developments in the diagnostic armamentarium have taken place, in particular, in high-resolution manometry with or without concurrent intraluminal impedance monitoring. Purpose This article aims to review the current insights in the terminology, pathology, pathophysiology, clinical manifestations, diagnostic work-up,and management of weak and absent peristalsis. © 2012 Blackwell Publishing Ltd.","author":[{"dropping-particle":"","family":"Smout","given":"A","non-dropping-particle":"","parse-names":false,"suffix":""},{"dropping-particle":"","family":"Fox","given":"M","non-dropping-particle":"","parse-names":false,"suffix":""}],"container-title":"Neurogastroenterology and Motility","id":"ITEM-1","issue":"SUPPL. 1","issued":{"date-parts":[["2012"]]},"page":"40-47","title":"Weak and absent peristalsis","type":"article-journal","volume":"24"},"uris":["http://www.mendeley.com/documents/?uuid=7df2cff8-83da-4c19-bd1d-46078c40a1c2","http://www.mendeley.com/documents/?uuid=7b2ba4b4-c626-48d8-993d-40f26cd4bb05"]}],"mendeley":{"formattedCitation":"(Smout &amp; Fox, 2012)","plainTextFormattedCitation":"(Smout &amp; Fox, 2012)","previouslyFormattedCitation":"(Smout &amp; Fox, 2012)"},"properties":{"noteIndex":0},"schema":"https://github.com/citation-style-language/schema/raw/master/csl-citation.json"}</w:instrText>
      </w:r>
      <w:r w:rsidRPr="006A1EC7">
        <w:fldChar w:fldCharType="separate"/>
      </w:r>
      <w:r w:rsidRPr="006A1EC7">
        <w:rPr>
          <w:noProof/>
        </w:rPr>
        <w:t>(Smout &amp; Fox, 2012)</w:t>
      </w:r>
      <w:r w:rsidRPr="006A1EC7">
        <w:fldChar w:fldCharType="end"/>
      </w:r>
      <w:r w:rsidRPr="006A1EC7">
        <w:t>. These further align with the clinical features vomiting, discomfort when eating and reflux. Two of the twelve patients (17%)</w:t>
      </w:r>
      <w:r w:rsidRPr="006A1EC7">
        <w:rPr>
          <w:rStyle w:val="FootnoteReference"/>
        </w:rPr>
        <w:footnoteReference w:id="14"/>
      </w:r>
      <w:r w:rsidRPr="006A1EC7">
        <w:t xml:space="preserve"> in the current study who were reported on, were affected by oesophageal abnormalities; this is similar to the number of affected individuals suggested by Battaglia et al. (2015) (25%), which suggests this number is roughly stable over random samples of WHS patients.</w:t>
      </w:r>
    </w:p>
    <w:p w14:paraId="6AFE3263" w14:textId="77777777" w:rsidR="008F4ABD" w:rsidRPr="006A1EC7" w:rsidRDefault="008F4ABD" w:rsidP="008F4ABD">
      <w:pPr>
        <w:spacing w:line="360" w:lineRule="auto"/>
        <w:ind w:firstLine="720"/>
      </w:pPr>
      <w:r w:rsidRPr="006A1EC7">
        <w:t>It was reported that one patient with WHS had to have her gallbladder removed; issues with the gallbladder are less common but still associated with WHS and are thought to affect less than 25% of patients (Battaglia et al., 2015).</w:t>
      </w:r>
    </w:p>
    <w:p w14:paraId="34DFE665" w14:textId="77777777" w:rsidR="008F4ABD" w:rsidRPr="006A1EC7" w:rsidRDefault="008F4ABD" w:rsidP="008F4ABD">
      <w:pPr>
        <w:spacing w:line="360" w:lineRule="auto"/>
        <w:ind w:firstLine="720"/>
      </w:pPr>
      <w:r w:rsidRPr="006A1EC7">
        <w:t xml:space="preserve">In terms of bowel movements, constipation, rather than diarrhoea, was commonly reported for patients with WHS across the sample. Constipation is characterised by either </w:t>
      </w:r>
      <w:r w:rsidRPr="006A1EC7">
        <w:lastRenderedPageBreak/>
        <w:t xml:space="preserve">infrequent stools (&lt;3 in a 7-day period) or by painful passing of stool </w:t>
      </w:r>
      <w:r w:rsidRPr="006A1EC7">
        <w:fldChar w:fldCharType="begin" w:fldLock="1"/>
      </w:r>
      <w:r w:rsidRPr="006A1EC7">
        <w:instrText>ADDIN CSL_CITATION {"citationItems":[{"id":"ITEM-1","itemData":{"DOI":"10.1016/0016-5085(93)90166-A","ISSN":"00165085","abstract":"The evaluation of chronic constipation with or without encopresis must begin with a careful history. The intervals between bowel movements and the size and consistency of stools deposited into the toilet should be noted. Encopresis may be manifested as dirtying the underwear. The physical examination should include a rectal and neurological examination. No specific organic cause can be found in the majority of children. One or several anorectal physiological abnormalities have been found by us and others in 95% of children with idiopathic constipation. These abnormalities include impaired rectal and sigmoid sensation and decreased rectal contractility during rectal distention. The external anal sphincter and pelvic floor muscles may be abnormally contracted during straining for defecation, and the child may be unable to defecate a rectal balloon. Most patients will benefit from a program designed to clear stools, to prevent further impaction, and promote regular bowel habits. Fifty percent of patients will be cured after 1 year and 65%-70% after 2 years. © 1992.","author":[{"dropping-particle":"","family":"Loening-Baucke","given":"Vera","non-dropping-particle":"","parse-names":false,"suffix":""}],"container-title":"Gastroenterology","id":"ITEM-1","issue":"5","issued":{"date-parts":[["1993"]]},"page":"1557-1564","title":"Chronic constipation in children","type":"article-journal","volume":"105"},"uris":["http://www.mendeley.com/documents/?uuid=96ff59e5-b65f-4e1b-851d-d4ae7666796f"]}],"mendeley":{"formattedCitation":"(Loening-Baucke, 1993)","plainTextFormattedCitation":"(Loening-Baucke, 1993)","previouslyFormattedCitation":"(Loening-Baucke, 1993)"},"properties":{"noteIndex":0},"schema":"https://github.com/citation-style-language/schema/raw/master/csl-citation.json"}</w:instrText>
      </w:r>
      <w:r w:rsidRPr="006A1EC7">
        <w:fldChar w:fldCharType="separate"/>
      </w:r>
      <w:r w:rsidRPr="006A1EC7">
        <w:rPr>
          <w:noProof/>
        </w:rPr>
        <w:t>(Loening-Baucke, 1993)</w:t>
      </w:r>
      <w:r w:rsidRPr="006A1EC7">
        <w:fldChar w:fldCharType="end"/>
      </w:r>
      <w:r w:rsidRPr="006A1EC7">
        <w:t xml:space="preserve">. Therefore, the symptoms of constipation reported by family members of adults and children with WHS (straining, being in pain/discomfort, back-arching as well as being unable to go to the toilet) are in keeping with the literature. Constipation occurs frequently in patients with neurological illnesses </w:t>
      </w:r>
      <w:r w:rsidRPr="006A1EC7">
        <w:fldChar w:fldCharType="begin" w:fldLock="1"/>
      </w:r>
      <w:r w:rsidRPr="006A1EC7">
        <w:instrText>ADDIN CSL_CITATION {"citationItems":[{"id":"ITEM-1","itemData":{"DOI":"10.1136/bmj.39231.633275.AD","ISSN":"09598146","abstract":"The prevalence of faecal incontinence in adults living in the community is 1-10%, depending on the definition used.1 2 Faecal incontinence is a neglected problem that receives limited medical attention, and despite its profound negative impact most patients do not tell their doctor about it.3 4 Simple, low cost interventions will often improve or even cure symptoms. More sophisticated second line investigations and treatments are available, but referral for these is not common. This article summarises the most recent guidance from the National Institute for Health and Clinical Excellence (NICE) on managing faecal incontinence in adults.5\\n\\nNICE recommendations are based on systematic reviews of best available evidence. When minimal evidence is available, a range of consensus techniques is used to develop recommendations. In this summary, recommendations derived primarily from consensus techniques are indicated with an asterisk (*).\\n\\n### General approach\\n\\nAll staff working with people with faecal incontinence should be aware of the physical and emotional impact this condition can have on patients and their carers. Consider patients' needs and preferences when planning treatment and ensure they have the opportunity to make informed decisions in partnership.\\n\\n### Assessment\\n\\nHealthcare professionals should actively yet sensitively inquire about symptoms of faecal incontinence in high risk groups (box).\\n\\n#### Groups at high risk of faecal incontinence\\n\\nFaecal incontinence often has several contributory factors. Assumptions that it is caused by a single primary condition are therefore not appropriate.* Before …","author":[{"dropping-particle":"","family":"Norton","given":"Christine","non-dropping-particle":"","parse-names":false,"suffix":""},{"dropping-particle":"","family":"Thomas","given":"Louise","non-dropping-particle":"","parse-names":false,"suffix":""},{"dropping-particle":"","family":"Hill","given":"Jennifer","non-dropping-particle":"","parse-names":false,"suffix":""}],"container-title":"British Medical Journal","id":"ITEM-1","issue":"7608","issued":{"date-parts":[["2007"]]},"page":"1370-1371","title":"Management of faecal incontinence in adults: Summary of NICE guidance","type":"article-journal","volume":"334"},"uris":["http://www.mendeley.com/documents/?uuid=97dfc69c-1def-4bba-9f10-6ba1ad1ac0fd"]},{"id":"ITEM-2","itemData":{"DOI":"10.1136/bmj.316.7130.528","ISSN":"0959-8138","author":[{"dropping-particle":"","family":"Kamm","given":"M. A","non-dropping-particle":"","parse-names":false,"suffix":""}],"container-title":"Bmj","id":"ITEM-2","issue":"7130","issued":{"date-parts":[["2011"]]},"page":"528-532","title":"Fortnightly review : Faecal incontinence","type":"article-journal","volume":"316"},"uris":["http://www.mendeley.com/documents/?uuid=11455aee-af61-42aa-93af-944c6681bfff","http://www.mendeley.com/documents/?uuid=f8bb5e64-9e22-48b1-9e40-b8e2b870994d"]}],"mendeley":{"formattedCitation":"(Kamm, 2011; Norton, Thomas, &amp; Hill, 2007)","plainTextFormattedCitation":"(Kamm, 2011; Norton, Thomas, &amp; Hill, 2007)","previouslyFormattedCitation":"(Kamm, 2011; Norton, Thomas, &amp; Hill, 2007)"},"properties":{"noteIndex":0},"schema":"https://github.com/citation-style-language/schema/raw/master/csl-citation.json"}</w:instrText>
      </w:r>
      <w:r w:rsidRPr="006A1EC7">
        <w:fldChar w:fldCharType="separate"/>
      </w:r>
      <w:r w:rsidRPr="006A1EC7">
        <w:rPr>
          <w:noProof/>
        </w:rPr>
        <w:t>(Kamm, 2011; Norton, Thomas, &amp; Hill, 2007)</w:t>
      </w:r>
      <w:r w:rsidRPr="006A1EC7">
        <w:fldChar w:fldCharType="end"/>
      </w:r>
      <w:r w:rsidRPr="006A1EC7">
        <w:t xml:space="preserve">, and may, to a large degree, be the result of hypotonia </w:t>
      </w:r>
      <w:r w:rsidRPr="006A1EC7">
        <w:fldChar w:fldCharType="begin" w:fldLock="1"/>
      </w:r>
      <w:r w:rsidRPr="006A1EC7">
        <w:instrText>ADDIN CSL_CITATION {"citationItems":[{"id":"ITEM-1","itemData":{"DOI":"10.1016/0016-5085(93)90166-A","ISSN":"00165085","abstract":"The evaluation of chronic constipation with or without encopresis must begin with a careful history. The intervals between bowel movements and the size and consistency of stools deposited into the toilet should be noted. Encopresis may be manifested as dirtying the underwear. The physical examination should include a rectal and neurological examination. No specific organic cause can be found in the majority of children. One or several anorectal physiological abnormalities have been found by us and others in 95% of children with idiopathic constipation. These abnormalities include impaired rectal and sigmoid sensation and decreased rectal contractility during rectal distention. The external anal sphincter and pelvic floor muscles may be abnormally contracted during straining for defecation, and the child may be unable to defecate a rectal balloon. Most patients will benefit from a program designed to clear stools, to prevent further impaction, and promote regular bowel habits. Fifty percent of patients will be cured after 1 year and 65%-70% after 2 years. © 1992.","author":[{"dropping-particle":"","family":"Loening-Baucke","given":"Vera","non-dropping-particle":"","parse-names":false,"suffix":""}],"container-title":"Gastroenterology","id":"ITEM-1","issue":"5","issued":{"date-parts":[["1993"]]},"page":"1557-1564","title":"Chronic constipation in children","type":"article-journal","volume":"105"},"uris":["http://www.mendeley.com/documents/?uuid=96ff59e5-b65f-4e1b-851d-d4ae7666796f"]}],"mendeley":{"formattedCitation":"(Loening-Baucke, 1993)","plainTextFormattedCitation":"(Loening-Baucke, 1993)","previouslyFormattedCitation":"(Loening-Baucke, 1993)"},"properties":{"noteIndex":0},"schema":"https://github.com/citation-style-language/schema/raw/master/csl-citation.json"}</w:instrText>
      </w:r>
      <w:r w:rsidRPr="006A1EC7">
        <w:fldChar w:fldCharType="separate"/>
      </w:r>
      <w:r w:rsidRPr="006A1EC7">
        <w:rPr>
          <w:noProof/>
        </w:rPr>
        <w:t>(Loening-Baucke, 1993)</w:t>
      </w:r>
      <w:r w:rsidRPr="006A1EC7">
        <w:fldChar w:fldCharType="end"/>
      </w:r>
      <w:r w:rsidRPr="006A1EC7">
        <w:t xml:space="preserve">, but also contributed to by medical feeding interventions </w:t>
      </w:r>
      <w:r w:rsidRPr="006A1EC7">
        <w:fldChar w:fldCharType="begin" w:fldLock="1"/>
      </w:r>
      <w:r w:rsidRPr="006A1EC7">
        <w:instrText>ADDIN CSL_CITATION {"citationItems":[{"id":"ITEM-1","itemData":{"DOI":"10.1097/NJH.0000000000000113","ISBN":"0000000000000","ISSN":"15390705","abstract":"Gastrostomy is recommended to parents and children as the most appropriate method of long-term nutritional support. The objective of this study was to describe daily functioning of both caregivers and their children with gastrostomy tube. Using a semistructured questionnaire, this descriptive study examined perceptions of feeding and adherence to feeding recommendations for caregivers of children with neurological disabilities and gastrostomy tube. The questionnaire covered various aspects of child's gastrostomy care, ranging from changing buttons, method of feeding, tolerance of diet, and problems with the gastrostomy site and device to how gastrostomy feeding has affected their lives. Parents and carers of 44 children completed a questionnaire. Children in the study (n = 44) had had a gastric tube in place for at least 1 month, and children with cerebral palsy had been assessed at level V of the Gross Motor Function Classification System. Most caregivers reported improvement in the children following placement and significant improvements in their own social functioning. Carers reported a significant reduction in feeding times, increased ease of drug administration, and reduced concern about their child's nutritional status. Most caregivers reported a beneficial effect on their children of the gastrostomy feeding tube placement Vimproved nutrition and decreased health complications. Consistent with prior research, this study found that the majority of caregivers were satisfied with the gastrostomy tube placement results and felt the improvement in the quality of their life.","author":[{"dropping-particle":"","family":"Matuszczak","given":"Ewa","non-dropping-particle":"","parse-names":false,"suffix":""},{"dropping-particle":"","family":"Hermanowicz","given":"Adam","non-dropping-particle":"","parse-names":false,"suffix":""},{"dropping-particle":"","family":"Klek","given":"Stanislaw","non-dropping-particle":"","parse-names":false,"suffix":""},{"dropping-particle":"","family":"Komarowska","given":"Marta","non-dropping-particle":"","parse-names":false,"suffix":""},{"dropping-particle":"","family":"Pawlowska","given":"Dorota","non-dropping-particle":"","parse-names":false,"suffix":""},{"dropping-particle":"","family":"Zoubek-Wojcik","given":"Agata","non-dropping-particle":"","parse-names":false,"suffix":""},{"dropping-particle":"","family":"Rysz-Bracha","given":"Agata","non-dropping-particle":"","parse-names":false,"suffix":""},{"dropping-particle":"","family":"Marcinkowska","given":"Agnieszka","non-dropping-particle":"","parse-names":false,"suffix":""},{"dropping-particle":"","family":"Milewski","given":"Robert","non-dropping-particle":"","parse-names":false,"suffix":""},{"dropping-particle":"","family":"Debek","given":"Wojciech","non-dropping-particle":"","parse-names":false,"suffix":""}],"container-title":"Journal of Hospice and Palliative Nursing","id":"ITEM-1","issue":"8","issued":{"date-parts":[["2014"]]},"page":"521-525","title":"Parents' perceptions of gastrostomy feeding for children with neurological disabilities a multicenter study","type":"article-journal","volume":"16"},"uris":["http://www.mendeley.com/documents/?uuid=06367b52-ebc9-474e-94b7-65bad2df64f5","http://www.mendeley.com/documents/?uuid=c1173e2d-8511-4d5a-b173-707a4d8da514"]}],"mendeley":{"formattedCitation":"(Matuszczak et al., 2014)","plainTextFormattedCitation":"(Matuszczak et al., 2014)","previouslyFormattedCitation":"(Matuszczak et al., 2014)"},"properties":{"noteIndex":0},"schema":"https://github.com/citation-style-language/schema/raw/master/csl-citation.json"}</w:instrText>
      </w:r>
      <w:r w:rsidRPr="006A1EC7">
        <w:fldChar w:fldCharType="separate"/>
      </w:r>
      <w:r w:rsidRPr="006A1EC7">
        <w:rPr>
          <w:noProof/>
        </w:rPr>
        <w:t>(Matuszczak et al., 2014)</w:t>
      </w:r>
      <w:r w:rsidRPr="006A1EC7">
        <w:fldChar w:fldCharType="end"/>
      </w:r>
      <w:r w:rsidRPr="006A1EC7">
        <w:t xml:space="preserve">. Interventions such as increasing fibre intake or using laxatives were successfully applied by participants to manage constipation. </w:t>
      </w:r>
    </w:p>
    <w:p w14:paraId="0C966FDC" w14:textId="77777777" w:rsidR="008F4ABD" w:rsidRPr="006A1EC7" w:rsidRDefault="008F4ABD" w:rsidP="008F4ABD">
      <w:pPr>
        <w:spacing w:line="360" w:lineRule="auto"/>
        <w:ind w:firstLine="720"/>
      </w:pPr>
      <w:r w:rsidRPr="006A1EC7">
        <w:t xml:space="preserve">Incontinence, both urinary and faecal, represented  a significant issue for individuals with learning disabilities and their caregivers </w:t>
      </w:r>
      <w:r w:rsidRPr="006A1EC7">
        <w:fldChar w:fldCharType="begin" w:fldLock="1"/>
      </w:r>
      <w:r w:rsidRPr="006A1EC7">
        <w:instrText>ADDIN CSL_CITATION {"citationItems":[{"id":"ITEM-1","itemData":{"DOI":"10.1017/S0012162200000475","ISSN":"00121622","abstract":"Urinary and faecal incontinence present a considerable problem in people with learning disabilities, despite the general effectiveness of behavioural techniques in continence training. Children with learning disabilities and obsessional behaviour may be particularly resistant to toilet training, even where relatively cognitively able, and often despite a substantial degree of control over their eliminatory functions. Their resistance may be more appropriately regarded as a challenging behaviour and their incontinence better explained by factors other than a simple failure to learn. A 'stimulus-control' hypothesis proposes that the child's nappy (diaper)/potty/underwear has developed strong stimulus control over the elimination response. This report describes three case studies in which treatment-resistant children, aged between 8 and 12 years, with mild or moderate learning disabilities, were successfully treated for nappy-dependent nocturnal encopresis or diurnal urinary incontinence. The children were routine case referrals for whom previous attempts to train bowel or bladder control had failed. Behavioural techniques, such as 'shaping' (gradually increasing the proximity to the toilet), 'fading' (reducing the presence of the nappy), and rewards for eliminating, effected successful transfer of stimulus control over elimination from nappy to toilet. Treatment times varied, depending on the degree of the child's obsession and resistance to change.","author":[{"dropping-particle":"","family":"Smith","given":"Linda","non-dropping-particle":"","parse-names":false,"suffix":""},{"dropping-particle":"","family":"Smith","given":"Paul","non-dropping-particle":"","parse-names":false,"suffix":""},{"dropping-particle":"","family":"Lee","given":"Susan Kwok Yi","non-dropping-particle":"","parse-names":false,"suffix":""}],"container-title":"Developmental Medicine and Child Neurology","id":"ITEM-1","issue":"4","issued":{"date-parts":[["2000"]]},"page":"276-279","title":"Behavioural treatment of urinary incontinence and encopresis in children with learning disabilities: Transfer of stimulus control","type":"article-journal","volume":"42"},"uris":["http://www.mendeley.com/documents/?uuid=3b32b3e8-bb0d-4729-b7fa-c55a5e5ab370","http://www.mendeley.com/documents/?uuid=3a7d2e6f-e9b5-4c79-8ab8-fd7bb83e5059"]}],"mendeley":{"formattedCitation":"(L. Smith, Smith, &amp; Lee, 2000)","manualFormatting":"(Smith, Smith, &amp; Lee, 2000)","plainTextFormattedCitation":"(L. Smith, Smith, &amp; Lee, 2000)","previouslyFormattedCitation":"(L. Smith, Smith, &amp; Lee, 2000)"},"properties":{"noteIndex":0},"schema":"https://github.com/citation-style-language/schema/raw/master/csl-citation.json"}</w:instrText>
      </w:r>
      <w:r w:rsidRPr="006A1EC7">
        <w:fldChar w:fldCharType="separate"/>
      </w:r>
      <w:r w:rsidRPr="006A1EC7">
        <w:rPr>
          <w:noProof/>
        </w:rPr>
        <w:t>(Smith, Smith, &amp; Lee, 2000)</w:t>
      </w:r>
      <w:r w:rsidRPr="006A1EC7">
        <w:fldChar w:fldCharType="end"/>
      </w:r>
      <w:r w:rsidRPr="006A1EC7">
        <w:t xml:space="preserve">. This is also true for participants in the current sample, with only one affected relative able to go to the toilet independently. Family members experienced incontinence as challenging; one father quoted his daughter’s incontinence as one of the most challenging aspect of WHS. While there are some bladder and bowel training regimes open to adults and children with specific learning needs </w:t>
      </w:r>
      <w:r w:rsidRPr="006A1EC7">
        <w:fldChar w:fldCharType="begin" w:fldLock="1"/>
      </w:r>
      <w:r w:rsidRPr="006A1EC7">
        <w:instrText>ADDIN CSL_CITATION {"citationItems":[{"id":"ITEM-1","itemData":{"DOI":"10.1017/S0012162200000475","ISSN":"00121622","abstract":"Urinary and faecal incontinence present a considerable problem in people with learning disabilities, despite the general effectiveness of behavioural techniques in continence training. Children with learning disabilities and obsessional behaviour may be particularly resistant to toilet training, even where relatively cognitively able, and often despite a substantial degree of control over their eliminatory functions. Their resistance may be more appropriately regarded as a challenging behaviour and their incontinence better explained by factors other than a simple failure to learn. A 'stimulus-control' hypothesis proposes that the child's nappy (diaper)/potty/underwear has developed strong stimulus control over the elimination response. This report describes three case studies in which treatment-resistant children, aged between 8 and 12 years, with mild or moderate learning disabilities, were successfully treated for nappy-dependent nocturnal encopresis or diurnal urinary incontinence. The children were routine case referrals for whom previous attempts to train bowel or bladder control had failed. Behavioural techniques, such as 'shaping' (gradually increasing the proximity to the toilet), 'fading' (reducing the presence of the nappy), and rewards for eliminating, effected successful transfer of stimulus control over elimination from nappy to toilet. Treatment times varied, depending on the degree of the child's obsession and resistance to change.","author":[{"dropping-particle":"","family":"Smith","given":"Linda","non-dropping-particle":"","parse-names":false,"suffix":""},{"dropping-particle":"","family":"Smith","given":"Paul","non-dropping-particle":"","parse-names":false,"suffix":""},{"dropping-particle":"","family":"Lee","given":"Susan Kwok Yi","non-dropping-particle":"","parse-names":false,"suffix":""}],"container-title":"Developmental Medicine and Child Neurology","id":"ITEM-1","issue":"4","issued":{"date-parts":[["2000"]]},"page":"276-279","title":"Behavioural treatment of urinary incontinence and encopresis in children with learning disabilities: Transfer of stimulus control","type":"article-journal","volume":"42"},"uris":["http://www.mendeley.com/documents/?uuid=3a7d2e6f-e9b5-4c79-8ab8-fd7bb83e5059","http://www.mendeley.com/documents/?uuid=3b32b3e8-bb0d-4729-b7fa-c55a5e5ab370"]}],"mendeley":{"formattedCitation":"(L. Smith et al., 2000)","manualFormatting":"(Smith et al., 2000)","plainTextFormattedCitation":"(L. Smith et al., 2000)","previouslyFormattedCitation":"(L. Smith et al., 2000)"},"properties":{"noteIndex":0},"schema":"https://github.com/citation-style-language/schema/raw/master/csl-citation.json"}</w:instrText>
      </w:r>
      <w:r w:rsidRPr="006A1EC7">
        <w:fldChar w:fldCharType="separate"/>
      </w:r>
      <w:r w:rsidRPr="006A1EC7">
        <w:rPr>
          <w:noProof/>
        </w:rPr>
        <w:t>(Smith et al., 2000)</w:t>
      </w:r>
      <w:r w:rsidRPr="006A1EC7">
        <w:fldChar w:fldCharType="end"/>
      </w:r>
      <w:r w:rsidRPr="006A1EC7">
        <w:t xml:space="preserve">, the degree of learning disability associated with WHS may prevent individuals from acquiring complete continence. </w:t>
      </w:r>
    </w:p>
    <w:p w14:paraId="024E031F" w14:textId="77777777" w:rsidR="008F4ABD" w:rsidRPr="006A1EC7" w:rsidRDefault="008F4ABD" w:rsidP="008F4ABD">
      <w:pPr>
        <w:spacing w:line="360" w:lineRule="auto"/>
        <w:ind w:firstLine="720"/>
      </w:pPr>
      <w:r w:rsidRPr="006A1EC7">
        <w:t xml:space="preserve">Genito-urinary tract abnormalities are thought to affect between 25 and 50% of patients with WHS </w:t>
      </w:r>
      <w:r w:rsidRPr="006A1EC7">
        <w:fldChar w:fldCharType="begin" w:fldLock="1"/>
      </w:r>
      <w:r w:rsidRPr="006A1EC7">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2015a)","manualFormatting":"(Battaglia et al., 2015)","plainTextFormattedCitation":"(Agatino Battaglia et al., 2015a)","previouslyFormattedCitation":"(Agatino Battaglia et al., 2015a)"},"properties":{"noteIndex":0},"schema":"https://github.com/citation-style-language/schema/raw/master/csl-citation.json"}</w:instrText>
      </w:r>
      <w:r w:rsidRPr="006A1EC7">
        <w:fldChar w:fldCharType="separate"/>
      </w:r>
      <w:r w:rsidRPr="006A1EC7">
        <w:rPr>
          <w:noProof/>
        </w:rPr>
        <w:t>(Battaglia et al., 2015)</w:t>
      </w:r>
      <w:r w:rsidRPr="006A1EC7">
        <w:fldChar w:fldCharType="end"/>
      </w:r>
      <w:r w:rsidRPr="006A1EC7">
        <w:t xml:space="preserve">. Reported clinical features in the interviews, such as hypospadias, renal hypoplasia and duplex kidney are in keeping with the literature (Battaglia et al., 2015). </w:t>
      </w:r>
    </w:p>
    <w:p w14:paraId="05DA7895" w14:textId="39631CED" w:rsidR="008F4ABD" w:rsidRPr="006A1EC7" w:rsidRDefault="008F4ABD" w:rsidP="008F4ABD">
      <w:pPr>
        <w:spacing w:line="360" w:lineRule="auto"/>
        <w:ind w:firstLine="720"/>
      </w:pPr>
      <w:r w:rsidRPr="006A1EC7">
        <w:t xml:space="preserve">Comments around low immunity and infection were prevalent. Immune deficits are commonly reported for children and adults diagnosed with dysmorphic disorders </w:t>
      </w:r>
      <w:r w:rsidRPr="006A1EC7">
        <w:fldChar w:fldCharType="begin" w:fldLock="1"/>
      </w:r>
      <w:r w:rsidRPr="006A1EC7">
        <w:instrText>ADDIN CSL_CITATION {"citationItems":[{"id":"ITEM-1","itemData":{"DOI":"10.1016/S1081-1206(10)60516-9","author":[{"dropping-particle":"V","family":"Cruz","given":"N","non-dropping-particle":"","parse-names":false,"suffix":""},{"dropping-particle":"","family":"Mahmoud","given":"S A","non-dropping-particle":"","parse-names":false,"suffix":""},{"dropping-particle":"","family":"Chen","given":"H","non-dropping-particle":"","parse-names":false,"suffix":""},{"dropping-particle":"","family":"Lowery-Nordberg","given":"M","non-dropping-particle":"","parse-names":false,"suffix":""},{"dropping-particle":"","family":"Berlin","given":"K","non-dropping-particle":"","parse-names":false,"suffix":""},{"dropping-particle":"","family":"Bahna","given":"S L","non-dropping-particle":"","parse-names":false,"suffix":""}],"container-title":"Annals of Allergy, Asthma and Immunology","id":"ITEM-1","issue":"5","issued":{"date-parts":[["2009"]]},"note":"Cited By :7\n\nExport Date: 5 January 2018","page":"426-431","title":"Follow-up study of immune defects in patients with dysmorphic disorders","type":"article-journal","volume":"102"},"uris":["http://www.mendeley.com/documents/?uuid=f2e47b9a-1cf1-48eb-8d5e-a0601252ae53"]},{"id":"ITEM-2","itemData":{"ISBN":"1088-5412 (Print)","ISSN":"10885412","PMID":"16450572","abstract":"Patients with dysmorphic disorders seem to have frequent respiratory infections that may be attributed to associated anatomic or neurological abnormalities, but immune defects may contribute to their susceptibility to infections. We screened subjects with dysmorphic conditions for major hematologic, B-cell and T-cell defects. We studied 84 subjects with dysmorphic disorders: 29 with chromosomal disorders, 27 with single gene disorders, and 28 with unclassified dysmorphic disorders. They were evaluated by physical examination; medical history suggestive of possible immune deficiency; complete blood count; serum immunoglobulin G (IgG), IgA, and IgM levels; and lymphocyte subsets. Low laboratory values (less than fifth percentile for age) were detected in 54.8%; was highest in the chromosomal disorder group (79.3%) followed by the single gene disorder group (55.6%) and was lowest in the unclassified dysmorphic disorder group (28.6%). The most common low values were in the CD19 and CD16/56 lymphocyte subpopulations followed by IgG and IgA levels. None of the subjects had neutropenia or thrombocytopenia. History of significant recurrent infections was noted in five subjects, all of whom had abnormal laboratory values. The highest frequency of abnormal laboratory values was in Down syndrome followed by Turner syndrome and chromosome deletions. We concluded that patients with dysmorphic disorders, particularly those with chromosomal disorders, have a high frequency of various B-cell and T-cell defects that may be contributing to their susceptibility to infection. Studies are needed to further delineate the immunologic defects in that population and to investigate a possible genetic basis at the molecular level.","author":[{"dropping-particle":"","family":"Mahmoud","given":"Sanaa A.","non-dropping-particle":"","parse-names":false,"suffix":""},{"dropping-particle":"","family":"Lowery-Nordberg","given":"Mary","non-dropping-particle":"","parse-names":false,"suffix":""},{"dropping-particle":"","family":"Chen","given":"Harold","non-dropping-particle":"","parse-names":false,"suffix":""},{"dropping-particle":"","family":"Thurmon","given":"Theodore","non-dropping-particle":"","parse-names":false,"suffix":""},{"dropping-particle":"","family":"Ursin","given":"Susonne","non-dropping-particle":"","parse-names":false,"suffix":""},{"dropping-particle":"","family":"Bahna","given":"Sami L.","non-dropping-particle":"","parse-names":false,"suffix":""}],"container-title":"Allergy and Asthma Proceedings","id":"ITEM-2","issue":"5","issued":{"date-parts":[["2005"]]},"page":"373-381","title":"Immune defects in subjects with dysmorphic disorders","type":"article-journal","volume":"26"},"uris":["http://www.mendeley.com/documents/?uuid=0541b413-4a2a-47d5-bc90-afccbf6717d7"]}],"mendeley":{"formattedCitation":"(Cruz et al., 2009; Mahmoud et al., 2005)","plainTextFormattedCitation":"(Cruz et al., 2009; Mahmoud et al., 2005)","previouslyFormattedCitation":"(Cruz et al., 2009; Mahmoud et al., 2005)"},"properties":{"noteIndex":0},"schema":"https://github.com/citation-style-language/schema/raw/master/csl-citation.json"}</w:instrText>
      </w:r>
      <w:r w:rsidRPr="006A1EC7">
        <w:fldChar w:fldCharType="separate"/>
      </w:r>
      <w:r w:rsidRPr="006A1EC7">
        <w:rPr>
          <w:noProof/>
        </w:rPr>
        <w:t>(Cruz et al., 2009; Mahmoud et al., 2005)</w:t>
      </w:r>
      <w:r w:rsidRPr="006A1EC7">
        <w:fldChar w:fldCharType="end"/>
      </w:r>
      <w:r w:rsidRPr="006A1EC7">
        <w:t xml:space="preserve">, such as </w:t>
      </w:r>
      <w:r w:rsidR="009F0718" w:rsidRPr="006A1EC7">
        <w:t>WHS</w:t>
      </w:r>
      <w:r w:rsidRPr="006A1EC7">
        <w:t xml:space="preserve"> </w:t>
      </w:r>
      <w:r w:rsidRPr="006A1EC7">
        <w:fldChar w:fldCharType="begin" w:fldLock="1"/>
      </w:r>
      <w:r w:rsidRPr="006A1EC7">
        <w:instrText>ADDIN CSL_CITATION {"citationItems":[{"id":"ITEM-1","itemData":{"DOI":"10.1111/j.1440-1827.2007.02054.x","ISBN":"1320-5463 (Print)\\n1320-5463 (Linking)","ISSN":"13205463","PMID":"17199741","abstract":"A combined chromosomal abberation trisomy of the short arm of chromosome 10 associated with translocation of 10q to chromosome 4p was found in a 14-month-old boy, who died after repeated bouts of pneumonia. The translocation involved the target region 4p16.3 of Wolf-Hirschhorn syndrome and/or Pitt-Rogers-Danks syndrome. The karyotype was 46,XY,der(4)t(4;10)(p16;q11.2),i(10)(p10),ish der(4)t(4;10)(p16.3;q11.2) (D4S96+,D4Z1+),i(10) (pter ++). In addition to growth retardation and external as well as internal dysmorphism, the patient had abnormalities of the immune system, such as thymic involution, generalized lymph node enlargement, unusual distribution of T cells in lymphoid follicles, and selective IgA deficiency. The IgA-producing cells were rarely found in lymph nodes but normally in intestinal mucosa. In contrast, in the lymph nodes, the paracortical T-lymphocytes were hyperplastic, but they rarely entered the primary follicles. It is assumed that the chromosomal abnormality may lead to the dysfunction of T lymphocytes and, further, to the dysgenesis of IgA-producing cells in lymph nodes but not in intestinal mucosa. This suggests that the thymus may differentially control the subsets of IgA-producing cells in lymph nodes and intestinal mucosa.","author":[{"dropping-particle":"","family":"Saiga","given":"Tatsuyoshi","non-dropping-particle":"","parse-names":false,"suffix":""},{"dropping-particle":"","family":"Hashimoto","given":"Kazuhiro","non-dropping-particle":"","parse-names":false,"suffix":""},{"dropping-particle":"","family":"Kimura","given":"Nobusuke","non-dropping-particle":"","parse-names":false,"suffix":""},{"dropping-particle":"","family":"Ono","given":"Hisako","non-dropping-particle":"","parse-names":false,"suffix":""},{"dropping-particle":"","family":"Hiai","given":"Hiroshi","non-dropping-particle":"","parse-names":false,"suffix":""}],"container-title":"Pathology International","id":"ITEM-1","issue":"1","issued":{"date-parts":[["2007"]]},"page":"37-42","title":"Trisomy 10p and translocation of 10q to 4p associated with selective dysgenesis of IgA-producing cells in lymphoid tissue","type":"article-journal","volume":"57"},"uris":["http://www.mendeley.com/documents/?uuid=02710c5e-338a-4e60-a0c6-67065894a565"]}],"mendeley":{"formattedCitation":"(Saiga, Hashimoto, Kimura, Ono, &amp; Hiai, 2007)","plainTextFormattedCitation":"(Saiga, Hashimoto, Kimura, Ono, &amp; Hiai, 2007)","previouslyFormattedCitation":"(Saiga, Hashimoto, Kimura, Ono, &amp; Hiai, 2007)"},"properties":{"noteIndex":0},"schema":"https://github.com/citation-style-language/schema/raw/master/csl-citation.json"}</w:instrText>
      </w:r>
      <w:r w:rsidRPr="006A1EC7">
        <w:fldChar w:fldCharType="separate"/>
      </w:r>
      <w:r w:rsidRPr="006A1EC7">
        <w:rPr>
          <w:noProof/>
        </w:rPr>
        <w:t>(Saiga, Hashimoto, Kimura, Ono, &amp; Hiai, 2007)</w:t>
      </w:r>
      <w:r w:rsidRPr="006A1EC7">
        <w:fldChar w:fldCharType="end"/>
      </w:r>
      <w:r w:rsidRPr="006A1EC7">
        <w:t>, with immunodeficiencies related to the majority of “</w:t>
      </w:r>
      <w:r w:rsidRPr="006A1EC7">
        <w:rPr>
          <w:i/>
          <w:iCs/>
        </w:rPr>
        <w:t>morbidity and mortality</w:t>
      </w:r>
      <w:r w:rsidRPr="006A1EC7">
        <w:t xml:space="preserve">” cases for WHS patients </w:t>
      </w:r>
      <w:r w:rsidRPr="006A1EC7">
        <w:fldChar w:fldCharType="begin" w:fldLock="1"/>
      </w:r>
      <w:r w:rsidRPr="006A1EC7">
        <w:instrText>ADDIN CSL_CITATION {"citationItems":[{"id":"ITEM-1","itemData":{"DOI":"10.1016/j.celrep.2017.04.069","ISSN":"22111247","PMID":"28538178","abstract":"Immunodeficiency is one of the most important causes of mortality associated with Wolf-Hirschhorn syndrome (WHS), a severe rare disease originated by a deletion in chromosome 4p. The WHS candidate 1 (WHSC1) gene has been proposed as one of the main genes responsible for many of the alterations in WHS, but its mechanism of action is still unknown. Here, we present in vivo genetic evidence showing that Whsc1 plays an important role at several points of hematopoietic development. Particularly, our results demonstrate that both differentiation and function of Whsc1-deficient B cells are impaired at several key developmental stages due to profound molecular defects affecting B cell lineage specification, commitment, fitness, and proliferation, demonstrating a causal role for WHSC1 in the immunodeficiency of WHS patients.","author":[{"dropping-particle":"","family":"Campos-Sanchez","given":"Elena","non-dropping-particle":"","parse-names":false,"suffix":""},{"dropping-particle":"","family":"Deleyto-Seldas","given":"Nerea","non-dropping-particle":"","parse-names":false,"suffix":""},{"dropping-particle":"","family":"Dominguez","given":"Veronica","non-dropping-particle":"","parse-names":false,"suffix":""},{"dropping-particle":"","family":"Carrillo-de-Santa-Pau","given":"Enrique","non-dropping-particle":"","parse-names":false,"suffix":""},{"dropping-particle":"","family":"Ura","given":"Kiyoe","non-dropping-particle":"","parse-names":false,"suffix":""},{"dropping-particle":"","family":"Rocha","given":"Pedro P.","non-dropping-particle":"","parse-names":false,"suffix":""},{"dropping-particle":"","family":"Kim","given":"Jung Hyun","non-dropping-particle":"","parse-names":false,"suffix":""},{"dropping-particle":"","family":"Aljoufi","given":"Arafat","non-dropping-particle":"","parse-names":false,"suffix":""},{"dropping-particle":"","family":"Esteve-Codina","given":"Anna","non-dropping-particle":"","parse-names":false,"suffix":""},{"dropping-particle":"","family":"Dabad","given":"Marc","non-dropping-particle":"","parse-names":false,"suffix":""},{"dropping-particle":"","family":"Gut","given":"Marta","non-dropping-particle":"","parse-names":false,"suffix":""},{"dropping-particle":"","family":"Heyn","given":"Holger","non-dropping-particle":"","parse-names":false,"suffix":""},{"dropping-particle":"","family":"Kaneda","given":"Yasufumi","non-dropping-particle":"","parse-names":false,"suffix":""},{"dropping-particle":"","family":"Nimura","given":"Keisuke","non-dropping-particle":"","parse-names":false,"suffix":""},{"dropping-particle":"","family":"Skok","given":"Jane A.","non-dropping-particle":"","parse-names":false,"suffix":""},{"dropping-particle":"","family":"Martinez-Frias","given":"Maria Luisa","non-dropping-particle":"","parse-names":false,"suffix":""},{"dropping-particle":"","family":"Cobaleda","given":"Cesar","non-dropping-particle":"","parse-names":false,"suffix":""}],"container-title":"Cell Reports","id":"ITEM-1","issue":"8","issued":{"date-parts":[["2017"]]},"page":"1586-1601","publisher":"ElsevierCompany.","title":"Wolf-Hirschhorn Syndrome Candidate 1 Is Necessary for Correct Hematopoietic and B Cell Development","type":"article-journal","volume":"19"},"uris":["http://www.mendeley.com/documents/?uuid=398f66e7-4c14-4a0f-b724-529fe75151d4"]},{"id":"ITEM-2","itemData":{"DOI":"10.1016/S0022-3476(98)70194-5","author":[{"dropping-particle":"","family":"Hanley-Lopez","given":"J","non-dropping-particle":"","parse-names":false,"suffix":""},{"dropping-particle":"","family":"Estabrooks","given":"L L","non-dropping-particle":"","parse-names":false,"suffix":""},{"dropping-particle":"","family":"Stiehm","given":"E R","non-dropping-particle":"","parse-names":false,"suffix":""}],"container-title":"Journal of Pediatrics","id":"ITEM-2","issue":"1","issued":{"date-parts":[["1998"]]},"language":"English","note":"Cited By :37\n\nExport Date: 5 January 2018\n\nCODEN: JOPDA\n\nCorrespondence Address: Stiehm, E.R.; UCLA Children's Hospital, 10833 Le Conte Ave., Los Angeles, CA 90095-1752, United States","page":"141-143","publisher":"Mosby Inc.","publisher-place":"UCLA Children's Hospital, 10833 Le Conte Ave., Los Angeles, CA 90095-1752, United States","title":"Antibody deficiency in Wolf-Hirschhorn syndrome","type":"article-journal","volume":"133"},"uris":["http://www.mendeley.com/documents/?uuid=651d6b53-03e0-4bff-a400-7e23d44eab80"]}],"mendeley":{"formattedCitation":"(Campos-Sanchez et al., 2017; J Hanley-Lopez, Estabrooks, &amp; Stiehm, 1998)","manualFormatting":"(Campos-Sanchez et al., 2017; Hanley-Lopez, Estabrooks, &amp; Stiehm, 1998)","plainTextFormattedCitation":"(Campos-Sanchez et al., 2017; J Hanley-Lopez, Estabrooks, &amp; Stiehm, 1998)","previouslyFormattedCitation":"(Campos-Sanchez et al., 2017; J Hanley-Lopez, Estabrooks, &amp; Stiehm, 1998)"},"properties":{"noteIndex":0},"schema":"https://github.com/citation-style-language/schema/raw/master/csl-citation.json"}</w:instrText>
      </w:r>
      <w:r w:rsidRPr="006A1EC7">
        <w:fldChar w:fldCharType="separate"/>
      </w:r>
      <w:r w:rsidRPr="006A1EC7">
        <w:rPr>
          <w:noProof/>
        </w:rPr>
        <w:t>(Campos-Sanchez et al., 2017; Hanley-Lopez, Estabrooks, &amp; Stiehm, 1998)</w:t>
      </w:r>
      <w:r w:rsidRPr="006A1EC7">
        <w:fldChar w:fldCharType="end"/>
      </w:r>
      <w:r w:rsidRPr="006A1EC7">
        <w:t>.</w:t>
      </w:r>
      <w:r w:rsidRPr="006A1EC7">
        <w:rPr>
          <w:noProof/>
        </w:rPr>
        <w:t xml:space="preserve"> These immune deficits make individuals with WHS more prone to developing viral infections </w:t>
      </w:r>
      <w:r w:rsidRPr="006A1EC7">
        <w:rPr>
          <w:noProof/>
        </w:rPr>
        <w:fldChar w:fldCharType="begin" w:fldLock="1"/>
      </w:r>
      <w:r w:rsidRPr="006A1EC7">
        <w:rPr>
          <w:noProof/>
        </w:rPr>
        <w:instrText>ADDIN CSL_CITATION {"citationItems":[{"id":"ITEM-1","itemData":{"DOI":"10.1016/S0022-3476(98)70194-5","ISSN":"00223476","abstract":"We identified antibody deficiencies in 9 of 13 infection-prone children with the Wolf-Hirschhorn syndrome (4p-monosomy). Eight of the immunodeficient children were identified by a questionnaire sent to 190 families with an affected child. Two of the children had common variable immunodeficiency, one had IgA and IgG2 subclass deficiency, three had IgA deficiency, and three had impaired polysaccharide responsiveness. T-cell immunity was normal. The association of antibody defects with Wolf-Hirschhorn syndrome suggests a regulatory gene within the deleted chromosome region that affects the B cell system. (J Pediatr 1998;133:141-3)","author":[{"dropping-particle":"","family":"Hanley-Lopez","given":"Jean","non-dropping-particle":"","parse-names":false,"suffix":""},{"dropping-particle":"","family":"Estabrooks","given":"Laurel L.","non-dropping-particle":"","parse-names":false,"suffix":""},{"dropping-particle":"","family":"Stiehm","given":"E.Richard R","non-dropping-particle":"","parse-names":false,"suffix":""}],"container-title":"Journal of Pediatrics","id":"ITEM-1","issue":"1","issued":{"date-parts":[["1998"]]},"language":"English","note":"From Duplicate 2 (Antibody deficiency in Wolf-Hirschhorn syndrome - Hanley-Lopez, J; Estabrooks, L L; Stiehm, E R)\n\nCited By :37\n\nExport Date: 5 January 2018\n\nCODEN: JOPDA\n\nCorrespondence Address: Stiehm, E.R.; UCLA Children's Hospital, 10833 Le Conte Ave., Los Angeles, CA 90095-1752, United States","page":"141-143","publisher":"Mosby Inc.","publisher-place":"UCLA Children's Hospital, 10833 Le Conte Ave., Los Angeles, CA 90095-1752, United States","title":"Antibody deficiency in Wolf-Hirschhorn syndrome","type":"article-journal","volume":"133"},"uris":["http://www.mendeley.com/documents/?uuid=8a8e21ad-987e-4416-a2ba-e90a62fdea79"]},{"id":"ITEM-2","itemData":{"DOI":"10.1002/ajmg.c.31449","ISBN":"0000000000000","ISSN":"15524876","PMID":"26239400","abstract":"Since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Genetics","id":"ITEM-2","issue":"3","issued":{"date-parts":[["2015","9"]]},"language":"English","note":"From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 Jean Hanley-Lopez et al., 1998)","manualFormatting":"(Battaglia et al., 2015; Jean Hanley-Lopez et al., 1998)","plainTextFormattedCitation":"(Agatino Battaglia et al., 2015a; Jean Hanley-Lopez et al., 1998)","previouslyFormattedCitation":"(Agatino Battaglia et al., 2015a; Jean Hanley-Lopez et al., 1998)"},"properties":{"noteIndex":0},"schema":"https://github.com/citation-style-language/schema/raw/master/csl-citation.json"}</w:instrText>
      </w:r>
      <w:r w:rsidRPr="006A1EC7">
        <w:rPr>
          <w:noProof/>
        </w:rPr>
        <w:fldChar w:fldCharType="separate"/>
      </w:r>
      <w:r w:rsidRPr="006A1EC7">
        <w:rPr>
          <w:noProof/>
        </w:rPr>
        <w:t>(Battaglia et al., 2015; Jean Hanley-Lopez et al., 1998)</w:t>
      </w:r>
      <w:r w:rsidRPr="006A1EC7">
        <w:rPr>
          <w:noProof/>
        </w:rPr>
        <w:fldChar w:fldCharType="end"/>
      </w:r>
      <w:r w:rsidRPr="006A1EC7">
        <w:rPr>
          <w:noProof/>
        </w:rPr>
        <w:t xml:space="preserve">, often requiring hospitalisation, which has an impact on both the patients themselves and their families. </w:t>
      </w:r>
      <w:r w:rsidRPr="006A1EC7">
        <w:t xml:space="preserve">Antibody deficiencies are reported to occur in around 50 – 75% of patients with WHS (Battaglia et al., 2015). These findings and numbers help explain the high number of reported hospitalisations in the sample and substantiate the worries and concerns expressed by participants about their relatives’ low immunity. </w:t>
      </w:r>
    </w:p>
    <w:p w14:paraId="2950A813" w14:textId="77777777" w:rsidR="008F4ABD" w:rsidRPr="006A1EC7" w:rsidRDefault="008F4ABD" w:rsidP="008F4ABD">
      <w:pPr>
        <w:spacing w:line="360" w:lineRule="auto"/>
        <w:ind w:firstLine="720"/>
      </w:pPr>
      <w:r w:rsidRPr="006A1EC7">
        <w:lastRenderedPageBreak/>
        <w:t xml:space="preserve">Cardiac abnormalities and respiratory features were also heavily discussed. The cardiac abnormalities reported in the current study (heart murmurs, patent ductus arteriosus, ventricular septal defect, heart failure, atrial septal defect, pulmonary stenosis and cardiomegaly) as well as their clinical manifestations (increased heart rate, tiring easily, restricted growth, pale complexion, circulation issues, increased sweating) are consistent with the medical literature on both WHS and heart defects </w:t>
      </w:r>
      <w:r w:rsidRPr="006A1EC7">
        <w:fldChar w:fldCharType="begin" w:fldLock="1"/>
      </w:r>
      <w:r w:rsidRPr="006A1EC7">
        <w:instrText>ADDIN CSL_CITATION {"citationItems":[{"id":"ITEM-1","itemData":{"DOI":"10.1007/s12013-015-0551-6","ISBN":"1201301505","ISSN":"1085-9195","PMID":"25638345","abstract":"The congenital heart disease includes abnormalities in heart structure that occur before birth. Such defects occur in the fetus while it is developing in the uterus during pregnancy. About 500,000 adults have congenital heart disease in USA (WebMD, Congenital heart defects medications, www.WebMD.com/heart-disease/tc/congenital-heart-defects-medications , 2014). 1 in every 100 children has defects in their heart due to genetic or chromosomal abnormalities, such as Down syndrome. The excessive alcohol consumption during pregnancy and use of medications, maternal viral infection, such as Rubella virus, measles (German), in the first trimester of pregnancy, all these are risk factors for congenital heart disease in children, and the risk increases if parent or sibling has a congenital heart defect. These are heart valves defects, atrial and ventricular septa defects, stenosis, the heart muscle abnormalities, and a hole inside wall of the heart which causes defect in blood circulation, heart failure, and eventual death. There are no particular symptoms of congenital heart disease, but shortness of breath and limited ability to do exercise, fatigue, abnormal sound of heart as heart murmur, which is diagnosed by a physician while listening to the heart beats. The echocardiogram or transesophageal echocardiogram, electrocardiogram, chest X-ray, cardiac catheterization, and MRI methods are used to detect congenital heart disease. Several medications are given depending on the severity of this disease, and catheter method and surgery are required for serious cases to repair heart valves or heart transplantation as in endocarditis. For genetic study, first DNA is extracted from blood followed by DNA sequence analysis and any defect in nucleotide sequence of DNA is determined. For congenital heart disease, genes in chromosome 1 show some defects in nucleotide sequence. In this review the causes, diagnosis, symptoms, and treatments of congenital heart disease are described.","author":[{"dropping-particle":"","family":"Sun","given":"RongRong","non-dropping-particle":"","parse-names":false,"suffix":""},{"dropping-particle":"","family":"Liu","given":"Min","non-dropping-particle":"","parse-names":false,"suffix":""},{"dropping-particle":"","family":"Lu","given":"Lei","non-dropping-particle":"","parse-names":false,"suffix":""},{"dropping-particle":"","family":"Zheng","given":"Yi","non-dropping-particle":"","parse-names":false,"suffix":""},{"dropping-particle":"","family":"Zhang","given":"Peiying","non-dropping-particle":"","parse-names":false,"suffix":""}],"container-title":"Cell Biochemistry and Biophysics","id":"ITEM-1","issue":"3","issued":{"date-parts":[["2015"]]},"page":"857-860","title":"Congenital Heart Disease: Causes, Diagnosis, Symptoms, and Treatments","type":"article-journal","volume":"72"},"uris":["http://www.mendeley.com/documents/?uuid=520dc4ef-adb2-4b84-8594-e19a181f8a0e"]}],"mendeley":{"formattedCitation":"(Sun, Liu, Lu, Zheng, &amp; Zhang, 2015)","plainTextFormattedCitation":"(Sun, Liu, Lu, Zheng, &amp; Zhang, 2015)","previouslyFormattedCitation":"(Sun, Liu, Lu, Zheng, &amp; Zhang, 2015)"},"properties":{"noteIndex":0},"schema":"https://github.com/citation-style-language/schema/raw/master/csl-citation.json"}</w:instrText>
      </w:r>
      <w:r w:rsidRPr="006A1EC7">
        <w:fldChar w:fldCharType="separate"/>
      </w:r>
      <w:r w:rsidRPr="006A1EC7">
        <w:rPr>
          <w:noProof/>
        </w:rPr>
        <w:t>(Sun, Liu, Lu, Zheng, &amp; Zhang, 2015)</w:t>
      </w:r>
      <w:r w:rsidRPr="006A1EC7">
        <w:fldChar w:fldCharType="end"/>
      </w:r>
      <w:r w:rsidRPr="006A1EC7">
        <w:t xml:space="preserve">. It is thought that around 25 – 50% of patients with WHS are affected by cardiac defects. Some cardiac defects were described as innocent in the sample, i.e. with participants ascribing little or no concern to the cardiac defect </w:t>
      </w:r>
      <w:r w:rsidRPr="006A1EC7">
        <w:fldChar w:fldCharType="begin" w:fldLock="1"/>
      </w:r>
      <w:r w:rsidRPr="006A1EC7">
        <w:instrText>ADDIN CSL_CITATION {"citationItems":[{"id":"ITEM-1","itemData":{"DOI":"10.1016/B978-1-4160-2390-6.50027-1","abstract":"Innocent heart murmurs occur in about half of all children.1,2They occur in the absence of either anatomic or physiologic abnormalities of the heart and are not associated with subsequent cardiovascular disease.3–5The differentiation of innocent from organic murmurs for purposes of therapy, prognosis, and insurability is a leading cause for referral to a pediatric cardiologist (Exhibit 22-1). Discrimination of innocent from organic murmurs requires knowledge of the auscultatory findings in structural cardiac abnormalities, as well as of the characteristic findings of innocent murmurs. Innocent murmurs generally can be recognized using history, skilled physical examination including auscultation, and electrocardiography","author":[{"dropping-particle":"","family":"Newburger","given":"Jane W","non-dropping-particle":"","parse-names":false,"suffix":""},{"dropping-particle":"","family":"Alexander","given":"Mark E","non-dropping-particle":"","parse-names":false,"suffix":""},{"dropping-particle":"","family":"Fulton","given":"David R","non-dropping-particle":"","parse-names":false,"suffix":""}],"container-title":"Nadas' Pediatric Cardiology","id":"ITEM-1","issued":{"date-parts":[["2006"]]},"title":"Innocent Murmurs, Syncope, and Chest Pain","type":"book"},"uris":["http://www.mendeley.com/documents/?uuid=d6000583-e8c1-4679-9321-6da695f81493"]}],"mendeley":{"formattedCitation":"(Newburger, Alexander, &amp; Fulton, 2006)","plainTextFormattedCitation":"(Newburger, Alexander, &amp; Fulton, 2006)","previouslyFormattedCitation":"(Newburger, Alexander, &amp; Fulton, 2006)"},"properties":{"noteIndex":0},"schema":"https://github.com/citation-style-language/schema/raw/master/csl-citation.json"}</w:instrText>
      </w:r>
      <w:r w:rsidRPr="006A1EC7">
        <w:fldChar w:fldCharType="separate"/>
      </w:r>
      <w:r w:rsidRPr="006A1EC7">
        <w:rPr>
          <w:noProof/>
        </w:rPr>
        <w:t>(Newburger, Alexander, &amp; Fulton, 2006)</w:t>
      </w:r>
      <w:r w:rsidRPr="006A1EC7">
        <w:fldChar w:fldCharType="end"/>
      </w:r>
      <w:r w:rsidRPr="006A1EC7">
        <w:t>. It is not unusual or uncommon for children born with heart problems to “</w:t>
      </w:r>
      <w:r w:rsidRPr="006A1EC7">
        <w:rPr>
          <w:i/>
          <w:iCs/>
        </w:rPr>
        <w:t>grow out</w:t>
      </w:r>
      <w:r w:rsidRPr="006A1EC7">
        <w:t xml:space="preserve">” of their heart defects </w:t>
      </w:r>
      <w:r w:rsidRPr="006A1EC7">
        <w:fldChar w:fldCharType="begin" w:fldLock="1"/>
      </w:r>
      <w:r w:rsidRPr="006A1EC7">
        <w:instrText>ADDIN CSL_CITATION {"citationItems":[{"id":"ITEM-1","itemData":{"DOI":"10.1016/B978-1-4160-2390-6.50027-1","abstract":"Innocent heart murmurs occur in about half of all children.1,2They occur in the absence of either anatomic or physiologic abnormalities of the heart and are not associated with subsequent cardiovascular disease.3–5The differentiation of innocent from organic murmurs for purposes of therapy, prognosis, and insurability is a leading cause for referral to a pediatric cardiologist (Exhibit 22-1). Discrimination of innocent from organic murmurs requires knowledge of the auscultatory findings in structural cardiac abnormalities, as well as of the characteristic findings of innocent murmurs. Innocent murmurs generally can be recognized using history, skilled physical examination including auscultation, and electrocardiography","author":[{"dropping-particle":"","family":"Newburger","given":"Jane W","non-dropping-particle":"","parse-names":false,"suffix":""},{"dropping-particle":"","family":"Alexander","given":"Mark E","non-dropping-particle":"","parse-names":false,"suffix":""},{"dropping-particle":"","family":"Fulton","given":"David R","non-dropping-particle":"","parse-names":false,"suffix":""}],"container-title":"Nadas' Pediatric Cardiology","id":"ITEM-1","issued":{"date-parts":[["2006"]]},"title":"Innocent Murmurs, Syncope, and Chest Pain","type":"book"},"uris":["http://www.mendeley.com/documents/?uuid=d6000583-e8c1-4679-9321-6da695f81493"]}],"mendeley":{"formattedCitation":"(Newburger et al., 2006)","manualFormatting":"(e.g. Newburger, Alexander, &amp; Fulton, 2006)","plainTextFormattedCitation":"(Newburger et al., 2006)","previouslyFormattedCitation":"(Newburger et al., 2006)"},"properties":{"noteIndex":0},"schema":"https://github.com/citation-style-language/schema/raw/master/csl-citation.json"}</w:instrText>
      </w:r>
      <w:r w:rsidRPr="006A1EC7">
        <w:fldChar w:fldCharType="separate"/>
      </w:r>
      <w:r w:rsidRPr="006A1EC7">
        <w:rPr>
          <w:noProof/>
        </w:rPr>
        <w:t>(e.g. Newburger, Alexander, &amp; Fulton, 2006)</w:t>
      </w:r>
      <w:r w:rsidRPr="006A1EC7">
        <w:fldChar w:fldCharType="end"/>
      </w:r>
      <w:r w:rsidRPr="006A1EC7">
        <w:t xml:space="preserve"> and this was also reported in the sample, for example participants WHS11A/B/C reported that their daughter/sibling’s heart murmur disappeared by itself. </w:t>
      </w:r>
    </w:p>
    <w:p w14:paraId="164CB75D" w14:textId="77777777" w:rsidR="008F4ABD" w:rsidRPr="006A1EC7" w:rsidRDefault="008F4ABD" w:rsidP="008F4ABD">
      <w:pPr>
        <w:spacing w:line="360" w:lineRule="auto"/>
        <w:ind w:firstLine="720"/>
      </w:pPr>
      <w:r w:rsidRPr="006A1EC7">
        <w:t xml:space="preserve">The majority of heart defects in the sample however were described as symptomatic and a source of distress for patients’ families for a variety of reasons. Psychological distress as a result of children’s diagnoses of heart defects are commonly reported among family members </w:t>
      </w:r>
      <w:r w:rsidRPr="006A1EC7">
        <w:fldChar w:fldCharType="begin" w:fldLock="1"/>
      </w:r>
      <w:r w:rsidRPr="006A1EC7">
        <w:instrText>ADDIN CSL_CITATION {"citationItems":[{"id":"ITEM-1","itemData":{"DOI":"10.1161/JAHA.116.004862","ISSN":"20479980","PMID":"28151402","abstract":"Background Parents of children with critical congenital heart defects (PCCHDs) may be at high risk for mental health morbidity; however, the literature is not well characterized. Given that compromised parental mental health can lead to long‐term cognitive, health‐related, and behavioral problems in children, a systematic review of this literature could provide informed recommendations for continued research and enhance the care of families of children living with critical congenital heart defects.\nMethods and Results We conducted a systematic review using the Preferred Reporting Items for Systematic Reviews and Meta‐Analyses guidelines that resulted in 30 studies on the mental health of PCCHDs. The literature revealed that PCCHDs are at an elevated risk for psychological problems, particularly in the immediate weeks and months following cardiac surgery. Up to 30% of PCCHDs have symptoms consistent with a diagnosis of posttraumatic stress disorder, with over 80% presenting with clinically significant symptoms of trauma; 25% to 50% of PCCHDs reported clinically elevated symptoms of depression and/or anxiety, and 30% to 80% reported experiencing severe psychological distress. There was high variability in measurements used to assess study outcomes, methodological quality, and sociocultural composition of the parents included in the studies.\nConclusions There is an urgent need for additional research on the severity, course, persistence, and moderators of these mental health problems over time, and for the development and testing of screening approaches and interventions that can be feasibly delivered in the context of ongoing pediatric cardiac care.","author":[{"dropping-particle":"","family":"Woolf-King","given":"Sarah E.","non-dropping-particle":"","parse-names":false,"suffix":""},{"dropping-particle":"","family":"Anger","given":"Alexandra","non-dropping-particle":"","parse-names":false,"suffix":""},{"dropping-particle":"","family":"Arnold","given":"Emily A.","non-dropping-particle":"","parse-names":false,"suffix":""},{"dropping-particle":"","family":"Weiss","given":"Sandra J.","non-dropping-particle":"","parse-names":false,"suffix":""},{"dropping-particle":"","family":"Teitel","given":"David","non-dropping-particle":"","parse-names":false,"suffix":""}],"container-title":"Journal of the American Heart Association","id":"ITEM-1","issue":"2","issued":{"date-parts":[["2017"]]},"page":"1-15","title":"Mental health among parents of children with critical congenital heart defects: A systematic review","type":"article-journal","volume":"6"},"uris":["http://www.mendeley.com/documents/?uuid=a14d4859-93cb-46f9-b7a3-5c72a021bd2c"]},{"id":"ITEM-2","itemData":{"DOI":"10.1016/j.earlhumdev.2016.03.004","ISBN":"0378-3782","ISSN":"18726232","PMID":"27037482","abstract":"Aims: To assess the functional status and the family impact of children with congenital heart defects (CHD), using the parental Functional Status II (FS-II) and the Impact on Family (IOF) questionnaires. Methods: In this prospective observational study, parents of children who underwent surgery for CHD during the first year of life completed the FS-II and the IOF questionnaires. Genetic syndromes and prematurity &lt;. 32 weeks were exclusion criteria. The FS-II generates a total score and age specific general health (GH), activity (A) and, responsiveness (R) subscales. The IOF generates a total scale and financial and sibling subscales. Results: Our cohort (n = 100), comprised 54% males; the median (IQR) age was 32 (10-56) months. Eighteen children had age-specific scores in the 1-2 SD below mean range (n = 17) or more than 2 SD below the mean (n = 1) for \"ill children\". There were significant negative correlations between the total FS-II and total IOF (r = - 0.35, p &lt; 0.001) and financial IOF (r = - 0.35, p &lt; 0.001). RACHS-1 category of CHD 4-6 was associated with higher likelihood of lower functional status. Conclusions: More complex CHD was associated with lower functional status, which correlated with a greater impact on the families. Parental questionnaires may be useful instruments for developmental surveillance in this population.","author":[{"dropping-particle":"","family":"Garcia","given":"Richard U.","non-dropping-particle":"","parse-names":false,"suffix":""},{"dropping-particle":"","family":"Aggarwal","given":"Sanjeev","non-dropping-particle":"","parse-names":false,"suffix":""},{"dropping-particle":"","family":"Natarajan","given":"Girija","non-dropping-particle":"","parse-names":false,"suffix":""}],"container-title":"Early Human Development","id":"ITEM-2","issued":{"date-parts":[["2016"]]},"page":"45-51","publisher":"Elsevier Ireland Ltd","title":"Parental perception of functional status and impact on the family of children with congenital heart surgery","type":"article-journal","volume":"96"},"uris":["http://www.mendeley.com/documents/?uuid=7f9197dc-7476-4cf6-abaf-48fc6379d64e"]}],"mendeley":{"formattedCitation":"(Garcia, Aggarwal, &amp; Natarajan, 2016; Woolf-King, Anger, Arnold, Weiss, &amp; Teitel, 2017)","plainTextFormattedCitation":"(Garcia, Aggarwal, &amp; Natarajan, 2016; Woolf-King, Anger, Arnold, Weiss, &amp; Teitel, 2017)","previouslyFormattedCitation":"(Garcia, Aggarwal, &amp; Natarajan, 2016; Woolf-King, Anger, Arnold, Weiss, &amp; Teitel, 2017)"},"properties":{"noteIndex":0},"schema":"https://github.com/citation-style-language/schema/raw/master/csl-citation.json"}</w:instrText>
      </w:r>
      <w:r w:rsidRPr="006A1EC7">
        <w:fldChar w:fldCharType="separate"/>
      </w:r>
      <w:r w:rsidRPr="006A1EC7">
        <w:rPr>
          <w:noProof/>
        </w:rPr>
        <w:t>(Garcia, Aggarwal, &amp; Natarajan, 2016; Woolf-King, Anger, Arnold, Weiss, &amp; Teitel, 2017)</w:t>
      </w:r>
      <w:r w:rsidRPr="006A1EC7">
        <w:fldChar w:fldCharType="end"/>
      </w:r>
      <w:r w:rsidRPr="006A1EC7">
        <w:t xml:space="preserve">: a 2015 systematic review spanning 94 articles across 21 countries, for example, reported that family members, regardless of their affected children’s ages or whether surgery was needed or not, experience significant psychological distress as a result of the heart defect </w:t>
      </w:r>
      <w:r w:rsidRPr="006A1EC7">
        <w:fldChar w:fldCharType="begin" w:fldLock="1"/>
      </w:r>
      <w:r w:rsidRPr="006A1EC7">
        <w:instrText>ADDIN CSL_CITATION {"citationItems":[{"id":"ITEM-1","itemData":{"DOI":"10.1016/j.hrtlng.2015.08.005","ISSN":"15273288","abstract":"In 2000 and 2002, the National Heart, Lung, and Blood Institute launched two initiatives to encourage treatment innovations and research on children with heart disease and their families. Since then, no systematic reviews have examined the evidence regarding the impacts of having a child with congenital heart disease (CHD) on families. This review synthesized key findings regarding families of children with CHD, critiqued research methods, described what has been done, and provided recommendations for future inquiry. Databases searched included PubMed, CINAHL, Family &amp; Society Studies Worldwide, Women's Studies International, and PsycINFO. The literature search followed the PRISMA guidelines. As a result, ninety-four articles were reviewed. Four major themes were derived: parents' psychological health, family life, parenting challenges, and family-focused interventions. In conclusion, while they found parents having psychological symptoms, researchers did not explore parents' appraisals of what led to their symptoms. Research is needed to explore parents' experiences and expectations.","author":[{"dropping-particle":"","family":"Wei","given":"Holly","non-dropping-particle":"","parse-names":false,"suffix":""},{"dropping-particle":"","family":"Roscigno","given":"Cecelia I.","non-dropping-particle":"","parse-names":false,"suffix":""},{"dropping-particle":"","family":"Hanson","given":"Cherissa C.","non-dropping-particle":"","parse-names":false,"suffix":""},{"dropping-particle":"","family":"Swanson","given":"Kristen M.","non-dropping-particle":"","parse-names":false,"suffix":""}],"container-title":"Heart and Lung: Journal of Acute and Critical Care","id":"ITEM-1","issue":"6","issued":{"date-parts":[["2015"]]},"page":"494-511","publisher":"Elsevier Inc","title":"Families of children with congenital heart disease: A literature review","type":"article-journal","volume":"44"},"uris":["http://www.mendeley.com/documents/?uuid=bee5ac30-21b9-472d-b3e7-1e5e90526d07"]}],"mendeley":{"formattedCitation":"(Wei, Roscigno, Hanson, &amp; Swanson, 2015)","plainTextFormattedCitation":"(Wei, Roscigno, Hanson, &amp; Swanson, 2015)","previouslyFormattedCitation":"(Wei, Roscigno, Hanson, &amp; Swanson, 2015)"},"properties":{"noteIndex":0},"schema":"https://github.com/citation-style-language/schema/raw/master/csl-citation.json"}</w:instrText>
      </w:r>
      <w:r w:rsidRPr="006A1EC7">
        <w:fldChar w:fldCharType="separate"/>
      </w:r>
      <w:r w:rsidRPr="006A1EC7">
        <w:rPr>
          <w:noProof/>
        </w:rPr>
        <w:t>(Wei, Roscigno, Hanson, &amp; Swanson, 2015)</w:t>
      </w:r>
      <w:r w:rsidRPr="006A1EC7">
        <w:fldChar w:fldCharType="end"/>
      </w:r>
      <w:r w:rsidRPr="006A1EC7">
        <w:t>. One mother in the current study specifically expressed worries about her son potentially suffering a heart attack as a result of poor cardiac functioning and recurrent seizures.</w:t>
      </w:r>
    </w:p>
    <w:p w14:paraId="1823268B" w14:textId="77777777" w:rsidR="008F4ABD" w:rsidRPr="006A1EC7" w:rsidRDefault="008F4ABD" w:rsidP="008F4ABD">
      <w:pPr>
        <w:spacing w:line="360" w:lineRule="auto"/>
        <w:ind w:firstLine="720"/>
      </w:pPr>
      <w:r w:rsidRPr="006A1EC7">
        <w:t xml:space="preserve"> However, emotional distress as a result of cardiac abnormalities was not only reported for caregivers, but also for the WHS sufferers themselves: one father emphasised the distress caused to his child as a result of recurrent hospital appointments and procedures that ‘he hates’ as well as the potential effects of future surgery. Health-related quality of life effects for children, as a result of congenital heart defects, are well reported in the literature </w:t>
      </w:r>
      <w:r w:rsidRPr="006A1EC7">
        <w:fldChar w:fldCharType="begin" w:fldLock="1"/>
      </w:r>
      <w:r w:rsidRPr="006A1EC7">
        <w:instrText>ADDIN CSL_CITATION {"citationItems":[{"id":"ITEM-1","itemData":{"DOI":"10.1007/s00431-017-3081-y","ISSN":"0340-6199","PMID":"29327140","abstract":"We aimed to describe the experiences of children and adolescents with congenital  heart disease (CHD). Electronic databases were searched until August 2016. Qualitative studies of children's perspectives on CHD were included. Data was extracted using thematic synthesis. From 44 studies from 12 countries involving 995 children, we identified 6 themes: disrupting normality (denying the diagnosis, oscillating between sickness and health, destabilizing the family dynamic), powerlessness in deteriorating health (preoccupation with impending mortality, vulnerability to catastrophic complications, exhaustion from medical testing), enduring medical ordeals (traumatized by invasive procedures, disappointed by treatment failure, displaced by transition, valuing empathy and continuity in care, overcoming uncertainty with information), warring with the body (losing stamina, distressing inability to participate in sport, distorted body image, testing the limits), hampering potential and goals (feeling disabled, unfair judgment and exclusion, difficulties with academic achievement, limiting attainment and maintenance of life milestones), and establishing one's own pace (demarcating disease from life, determination to survive, taking limitations in their stride, embracing the positives, finding personal enrichment, relying on social or spiritual support). CONCLUSION: Children with CHD feel vulnerable and burdened by debilitating physical symptoms, unpredictable complications, and discrimination. Clinicians may support patients by sharing recognition of these profound psychosocial consequences. What is Known: * CHD is associated with difficulties in learning and attention, school absenteeism, decreased endurance, poor body image, and peer socialization * What is lesser known is how young patients cope with the symptoms, prognostic uncertainty, and treatment burden What is New: * We found that children are challenged by lifestyle restrictions, fear of invasive procedures, impaired body image, discrimination, and uncertainty about the future. Feelings of disempowerment are intensified by the unpredictability of disease progression * Thus, strategies to improve outcomes include improved patient education on disease and lifestyle management and partnership with school teachers and counselors for unique psychosocial support.","author":[{"dropping-particle":"","family":"Chong","given":"Lauren S. H.","non-dropping-particle":"","parse-names":false,"suffix":""},{"dropping-particle":"","family":"Fitzgerald","given":"Dominic A.","non-dropping-particle":"","parse-names":false,"suffix":""},{"dropping-particle":"","family":"Craig","given":"Jonathan C.","non-dropping-particle":"","parse-names":false,"suffix":""},{"dropping-particle":"","family":"Manera","given":"Karine E.","non-dropping-particle":"","parse-names":false,"suffix":""},{"dropping-particle":"","family":"Hanson","given":"Camilla S.","non-dropping-particle":"","parse-names":false,"suffix":""},{"dropping-particle":"","family":"Celermajer","given":"David","non-dropping-particle":"","parse-names":false,"suffix":""},{"dropping-particle":"","family":"Ayer","given":"Julian","non-dropping-particle":"","parse-names":false,"suffix":""},{"dropping-particle":"","family":"Kasparian","given":"Nadine A.","non-dropping-particle":"","parse-names":false,"suffix":""},{"dropping-particle":"","family":"Tong","given":"Allison","non-dropping-particle":"","parse-names":false,"suffix":""}],"container-title":"European Journal of Pediatrics","id":"ITEM-1","issue":"3","issued":{"date-parts":[["2018"]]},"page":"319-336","publisher":"European Journal of Pediatrics","title":"Children’s experiences of congenital heart disease: a systematic review of qualitative studies","type":"article-journal","volume":"177"},"uris":["http://www.mendeley.com/documents/?uuid=aeae5403-4092-4608-93fa-be0ac5753552"]}],"mendeley":{"formattedCitation":"(Chong et al., 2018)","manualFormatting":"(e.g. Chong et al., 2018)","plainTextFormattedCitation":"(Chong et al., 2018)","previouslyFormattedCitation":"(Chong et al., 2018)"},"properties":{"noteIndex":0},"schema":"https://github.com/citation-style-language/schema/raw/master/csl-citation.json"}</w:instrText>
      </w:r>
      <w:r w:rsidRPr="006A1EC7">
        <w:fldChar w:fldCharType="separate"/>
      </w:r>
      <w:r w:rsidRPr="006A1EC7">
        <w:rPr>
          <w:noProof/>
        </w:rPr>
        <w:t>(e.g. Chong et al., 2018)</w:t>
      </w:r>
      <w:r w:rsidRPr="006A1EC7">
        <w:fldChar w:fldCharType="end"/>
      </w:r>
      <w:r w:rsidRPr="006A1EC7">
        <w:t xml:space="preserve"> and it is therefore not surprising that the family members have also discussed this. However, to the author’s knowledge, this is the first time a specific HRQoL impact in regard to cardiac abnormalities in WHS has been voiced, as the majority of cardiac literature for WHS is in relation to its presentation and symptoms. </w:t>
      </w:r>
    </w:p>
    <w:p w14:paraId="178A63B9" w14:textId="2A598F8F" w:rsidR="008F4ABD" w:rsidRPr="006A1EC7" w:rsidRDefault="008F4ABD" w:rsidP="008F4ABD">
      <w:pPr>
        <w:spacing w:line="360" w:lineRule="auto"/>
        <w:ind w:firstLine="720"/>
      </w:pPr>
      <w:r w:rsidRPr="006A1EC7">
        <w:t xml:space="preserve">With reference to respiratory problems, recurrent and severe respiratory infections (such as pneumonia, RSV, bronchiolitis and bronchitis), often associated with hospital </w:t>
      </w:r>
      <w:r w:rsidRPr="006A1EC7">
        <w:lastRenderedPageBreak/>
        <w:t xml:space="preserve">admissions, were the most commonly encountered issues. Structural respiratory abnormalities were reported for one patient and aspiration for three patients. Respiratory infections have been especially strongly linked with hypotonia, aspiration and gastro-oesophageal reflux </w:t>
      </w:r>
      <w:r w:rsidRPr="006A1EC7">
        <w:fldChar w:fldCharType="begin" w:fldLock="1"/>
      </w:r>
      <w:r w:rsidRPr="006A1EC7">
        <w:instrText>ADDIN CSL_CITATION {"citationItems":[{"id":"ITEM-1","itemData":{"DOI":"10.1016/S0022-3476(98)70194-5","author":[{"dropping-particle":"","family":"Hanley-Lopez","given":"J","non-dropping-particle":"","parse-names":false,"suffix":""},{"dropping-particle":"","family":"Estabrooks","given":"L L","non-dropping-particle":"","parse-names":false,"suffix":""},{"dropping-particle":"","family":"Stiehm","given":"E R","non-dropping-particle":"","parse-names":false,"suffix":""}],"container-title":"Journal of Pediatrics","id":"ITEM-1","issue":"1","issued":{"date-parts":[["1998"]]},"language":"English","note":"Cited By :37\n\nExport Date: 5 January 2018\n\nCODEN: JOPDA\n\nCorrespondence Address: Stiehm, E.R.; UCLA Children's Hospital, 10833 Le Conte Ave., Los Angeles, CA 90095-1752, United States","page":"141-143","publisher":"Mosby Inc.","publisher-place":"UCLA Children's Hospital, 10833 Le Conte Ave., Los Angeles, CA 90095-1752, United States","title":"Antibody deficiency in Wolf-Hirschhorn syndrome","type":"article-journal","volume":"133"},"uris":["http://www.mendeley.com/documents/?uuid=651d6b53-03e0-4bff-a400-7e23d44eab80"]}],"mendeley":{"formattedCitation":"(J Hanley-Lopez et al., 1998)","manualFormatting":"(Hanley-Lopez, Estabrooks, &amp; Stiehm, 1998)","plainTextFormattedCitation":"(J Hanley-Lopez et al., 1998)","previouslyFormattedCitation":"(J Hanley-Lopez et al., 1998)"},"properties":{"noteIndex":0},"schema":"https://github.com/citation-style-language/schema/raw/master/csl-citation.json"}</w:instrText>
      </w:r>
      <w:r w:rsidRPr="006A1EC7">
        <w:fldChar w:fldCharType="separate"/>
      </w:r>
      <w:r w:rsidRPr="006A1EC7">
        <w:rPr>
          <w:noProof/>
        </w:rPr>
        <w:t>(Hanley-Lopez, Estabrooks, &amp; Stiehm, 1998)</w:t>
      </w:r>
      <w:r w:rsidRPr="006A1EC7">
        <w:fldChar w:fldCharType="end"/>
      </w:r>
      <w:r w:rsidRPr="006A1EC7">
        <w:t xml:space="preserve">, which result in associated contamination of the respiratory system. This may explain the high prevalence in the sample. Battaglia et al. (2015) estimate the occurrence of respiratory problems in patients with WHS to be &lt;25%; however, for the current sample, respiratory concerns were reported for a higher proportion of patients. Respiratory concerns were reported in ten interviews for the affected relative(s). The higher prevalence in the current study may be explained by, for example, parents reporting respiratory infections which are in fact commonly seen in all children, therefore some of these infections may not be related to the child having </w:t>
      </w:r>
      <w:r w:rsidR="009F0718" w:rsidRPr="006A1EC7">
        <w:t>WHS</w:t>
      </w:r>
      <w:r w:rsidRPr="006A1EC7">
        <w:t xml:space="preserve"> and could just be a normal aspect of childhood.</w:t>
      </w:r>
    </w:p>
    <w:p w14:paraId="33207B66" w14:textId="48E52429" w:rsidR="008F4ABD" w:rsidRPr="006A1EC7" w:rsidRDefault="008F4ABD" w:rsidP="008F4ABD">
      <w:pPr>
        <w:spacing w:line="360" w:lineRule="auto"/>
        <w:ind w:firstLine="720"/>
      </w:pPr>
      <w:r w:rsidRPr="006A1EC7">
        <w:t xml:space="preserve">The clinical features relating to the central nervous system (CNS) were also represented in the interviews; subthemes included brain abnormalities, eyes/sight and ENT-related clinical features. The reported structural brain abnormalities are in keeping with the literature </w:t>
      </w:r>
      <w:r w:rsidRPr="006A1EC7">
        <w:rPr>
          <w:noProof/>
        </w:rPr>
        <w:t xml:space="preserve">for </w:t>
      </w:r>
      <w:r w:rsidR="009F0718" w:rsidRPr="006A1EC7">
        <w:rPr>
          <w:noProof/>
        </w:rPr>
        <w:t>WHS</w:t>
      </w:r>
      <w:r w:rsidRPr="006A1EC7">
        <w:rPr>
          <w:noProof/>
        </w:rPr>
        <w:t xml:space="preserve"> </w:t>
      </w:r>
      <w:r w:rsidRPr="006A1EC7">
        <w:rPr>
          <w:noProof/>
        </w:rPr>
        <w:fldChar w:fldCharType="begin" w:fldLock="1"/>
      </w:r>
      <w:r w:rsidRPr="006A1EC7">
        <w:rPr>
          <w:noProof/>
        </w:rPr>
        <w:instrText>ADDIN CSL_CITATION {"citationItems":[{"id":"ITEM-1","itemData":{"DOI":"10.1016/j.braindev.2004.02.017","ISBN":"0387-7604 (Print)\\n0387-7604 (Linking)","ISSN":"03877604","PMID":"16023553","abstract":"Wolf-Hirschhorn syndrome (WHS) is a well-characterized chromosomal disorder that occurs due to partial deletion of the short arm of chromosome 4 (4p-). Although, about 300 cases have been reported to date, limited data are available on electroclinical findings. Information given to parents at the time of diagnosis tends to be skewed to the extreme negative. To delineate the natural history of seizures and EEG patterns in WHS, and obtain better information on diagnosis or outcome in a clinical setting, we reviewed the available literature on electroclinical findings of WHS. 4p- syndrome is characterized by distinctive seizure and EEG patterns that facilitate the early diagnosis and management of such patients.","author":[{"dropping-particle":"","family":"Battaglia","given":"Agatino","non-dropping-particle":"","parse-names":false,"suffix":""},{"dropping-particle":"","family":"Carey","given":"John C.","non-dropping-particle":"","parse-names":false,"suffix":""}],"container-title":"Brain &amp; development","id":"ITEM-1","issue":"5","issued":{"date-parts":[["2005","8"]]},"page":"362-364","title":"Seizure and EEG patterns in Wolf-Hirschhorn (4p-) syndrome.","type":"article-journal","volume":"27"},"uris":["http://www.mendeley.com/documents/?uuid=c455d523-ef27-402c-a37f-b7ad5f804512"]},{"id":"ITEM-2","itemData":{"DOI":"10.1002/ajmg.c.31449","ISBN":"0000000000000","ISSN":"15524876","PMID":"26239400","abstract":"Since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Genetics","id":"ITEM-2","issue":"3","issued":{"date-parts":[["2015","9"]]},"language":"English","note":"From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&amp; Carey, 2005; Agatino Battaglia et al., 2015a)","manualFormatting":"(Battaglia &amp; Carey, 2005; Battaglia et al., 2015)","plainTextFormattedCitation":"(Agatino Battaglia &amp; Carey, 2005; Agatino Battaglia et al., 2015a)","previouslyFormattedCitation":"(Agatino Battaglia &amp; Carey, 2005; Agatino Battaglia et al., 2015a)"},"properties":{"noteIndex":0},"schema":"https://github.com/citation-style-language/schema/raw/master/csl-citation.json"}</w:instrText>
      </w:r>
      <w:r w:rsidRPr="006A1EC7">
        <w:rPr>
          <w:noProof/>
        </w:rPr>
        <w:fldChar w:fldCharType="separate"/>
      </w:r>
      <w:r w:rsidRPr="006A1EC7">
        <w:rPr>
          <w:noProof/>
        </w:rPr>
        <w:t>(Battaglia &amp; Carey, 2005; Battaglia et al., 2015)</w:t>
      </w:r>
      <w:r w:rsidRPr="006A1EC7">
        <w:rPr>
          <w:noProof/>
        </w:rPr>
        <w:fldChar w:fldCharType="end"/>
      </w:r>
      <w:r w:rsidRPr="006A1EC7">
        <w:rPr>
          <w:noProof/>
        </w:rPr>
        <w:t xml:space="preserve">. </w:t>
      </w:r>
      <w:r w:rsidRPr="006A1EC7">
        <w:t xml:space="preserve">Sight impairments were also congruent with published research findings and seem central to the syndrome’s clinical features: elsewhere it has been suggested that around 40% of WHS patients suffer from eye disease </w:t>
      </w:r>
      <w:r w:rsidRPr="006A1EC7">
        <w:fldChar w:fldCharType="begin" w:fldLock="1"/>
      </w:r>
      <w:r w:rsidRPr="006A1EC7">
        <w:instrText>ADDIN CSL_CITATION {"citationItems":[{"id":"ITEM-1","itemData":{"DOI":"10.1002/ajmg.c.30187","ISBN":"1552-4876 (Electronic)","ISSN":"15524868","PMID":"18932224","abstract":"Wolf-Hirschhorn syndrome (WHS) is a well-known multiple congenital anomalies/mental retardation syndrome, firstly described in 1961 by Cooper and Hirschhorn. Its frequency is estimated as 1/50,000-1/20,000 births, with a female predilection of 2:1. The disorder is caused by partial loss of material from the distal portion of the short arm of chromosome 4 (4p16.3), and is considered a contiguous gene syndrome. No single gene deletions or intragenic mutations have been shown to confer the full WHS phenotype. Since the disorder was brought to the attention of geneticists, many additional cases have been published. Only in 1999, however, were the first data on the natural history brought to the attention of the medical community. The purpose of the present study is to help delineate in more detail and over a longer period of time, the natural history of WHS, in order to establish appropriate health supervision and anticipatory guidance for individuals with this disorder. We have collected information on 87 patients diagnosed with WHS (54 females and 33 males) both in USA and Italy. Age at first observation ranged between newborn and 17 years. Twenty patients have been followed from 4 months to 23 years. The deletion proximal breakpoint varied from 4p15.32 to 4p16.3, and, by FISH, was terminal and included both WHSCR. Deletion was detected by standard cytogenetics in 44/87 (50.5%) patients, whereas FISH was necessary in the other 43 (49.5%). Array-CGH analysis at 1 Mb resolution was performed in 34/87 patients, and, in 15/34 (44%), showed an unbalanced translocation leading to both a 4p monosomy and a partial trisomy for another chromosome arm. Six more patients had been previously shown to have an unbalanced translocation by karyotype analysis or FISH with a WHS-specific probe. Sixty-five of 87 patients had an apparent pure, de novo, terminal deletion; and 1/87 a tandem duplication of 4p16.1p16.3 associated with 4p16.3pter deletion. Age at diagnosis varied between 7 months gestation and 16 years. Ninety-three percent had a seizure disorder with a good outcome; 80% had prenatal onset growth deficiency followed by short stature and slow weight gain; 60% had skeletal anomalies; 50% had heart lesions; 50% had abnormal tooth development; and 40% had hearing loss. Distinctive EEG findings were seen in 90%. Structural CNS anomalies were detected in 80%. Global developmental delay of varying degrees was present in all patients. Almost 50% was able to walk either al…","author":[{"dropping-particle":"","family":"Battaglia","given":"Agatino","non-dropping-particle":"","parse-names":false,"suffix":""},{"dropping-particle":"","family":"Filippi","given":"Tiziana","non-dropping-particle":"","parse-names":false,"suffix":""},{"dropping-particle":"","family":"Carey","given":"John C.","non-dropping-particle":"","parse-names":false,"suffix":""}],"container-title":"American Journal of Medical Genetics, Part C: Seminars in Medical Genetics","id":"ITEM-1","issue":"4","issued":{"date-parts":[["2008","11"]]},"page":"246-251","title":"Update on the clinical features and natural history of Wolf-Hirschhorn (4p-) syndrome: Experience with 87 patients and recommendations for routine health supervision","type":"article-journal","volume":"148"},"uris":["http://www.mendeley.com/documents/?uuid=030e9003-7570-4ac7-b8ec-042d75d129eb"]}],"mendeley":{"formattedCitation":"(Agatino Battaglia et al., 2008)","manualFormatting":"(Battaglia et al., 2008)","plainTextFormattedCitation":"(Agatino Battaglia et al., 2008)","previouslyFormattedCitation":"(Agatino Battaglia et al., 2008)"},"properties":{"noteIndex":0},"schema":"https://github.com/citation-style-language/schema/raw/master/csl-citation.json"}</w:instrText>
      </w:r>
      <w:r w:rsidRPr="006A1EC7">
        <w:fldChar w:fldCharType="separate"/>
      </w:r>
      <w:r w:rsidRPr="006A1EC7">
        <w:rPr>
          <w:noProof/>
        </w:rPr>
        <w:t>(Battaglia et al., 2008)</w:t>
      </w:r>
      <w:r w:rsidRPr="006A1EC7">
        <w:fldChar w:fldCharType="end"/>
      </w:r>
      <w:r w:rsidRPr="006A1EC7">
        <w:t xml:space="preserve">, however the proportion in the current sample is higher than this. In fact, all participants reported that the sight of their relatives was affected. </w:t>
      </w:r>
    </w:p>
    <w:p w14:paraId="002AC952" w14:textId="05DBEC80" w:rsidR="008F4ABD" w:rsidRPr="006A1EC7" w:rsidRDefault="008F4ABD" w:rsidP="008F4ABD">
      <w:pPr>
        <w:spacing w:line="360" w:lineRule="auto"/>
        <w:ind w:firstLine="720"/>
      </w:pPr>
      <w:r w:rsidRPr="006A1EC7">
        <w:t xml:space="preserve">A 2017 study also reported a higher number of visual defects in their sample of children with WHS: 60% of their patients had visual deficits </w:t>
      </w:r>
      <w:r w:rsidRPr="006A1EC7">
        <w:fldChar w:fldCharType="begin" w:fldLock="1"/>
      </w:r>
      <w:r w:rsidRPr="006A1EC7">
        <w:instrText>ADDIN CSL_CITATION {"citationItems":[{"id":"ITEM-1","itemData":{"DOI":"10.1016/j.ejmg.2017.08.013","abstract":"The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genetics","id":"ITEM-1","issue":"11","issued":{"date-parts":[["2017","11"]]},"page":"610-617","title":"A structured assessment of motor function, behavior, and communication in patients with Wolf-Hirschhorn syndrome.","type":"article-journal","volume":"60"},"uris":["http://www.mendeley.com/documents/?uuid=290aecbf-c91b-4edf-a7e4-bf884192a1cc"]}],"mendeley":{"formattedCitation":"(Nag et al., 2017)","plainTextFormattedCitation":"(Nag et al., 2017)","previouslyFormattedCitation":"(Nag et al., 2017)"},"properties":{"noteIndex":0},"schema":"https://github.com/citation-style-language/schema/raw/master/csl-citation.json"}</w:instrText>
      </w:r>
      <w:r w:rsidRPr="006A1EC7">
        <w:fldChar w:fldCharType="separate"/>
      </w:r>
      <w:r w:rsidRPr="006A1EC7">
        <w:rPr>
          <w:noProof/>
        </w:rPr>
        <w:t>(Nag et al., 2017)</w:t>
      </w:r>
      <w:r w:rsidRPr="006A1EC7">
        <w:fldChar w:fldCharType="end"/>
      </w:r>
      <w:r w:rsidRPr="006A1EC7">
        <w:t xml:space="preserve">. However, as suggested in a large report by the charity SeeAbility, associated with the Royal School for the Blind (UK), the proportion of children with learning disabilities who also have structural eye disease, and thus require glasses, is much higher than was previously anticipated due to a lack of adequate eye testing </w:t>
      </w:r>
      <w:r w:rsidRPr="006A1EC7">
        <w:fldChar w:fldCharType="begin" w:fldLock="1"/>
      </w:r>
      <w:r w:rsidRPr="006A1EC7">
        <w:instrText>ADDIN CSL_CITATION {"citationItems":[{"id":"ITEM-1","itemData":{"DOI":"IHAL 2010-05","abstract":"Although there is considerable research evidence that visual impairments are more common among people with learning disabilities, there is no robust epidemiological data on the prevalence of visual impairments in people with learning disabilities in the UK. Consequently there has been no overall estimate of the number of people with learning disabilities in the UK with seeing difficulties. Researchers from the Centre for Disability Research (CeDR) at Lancaster University used prevalence rates from a major study of adults with learning disabilities in the Netherlands, and a study of children carried out in Denmark, to answer the following questions: How many people with learning disabilities in the UK are likely to be blind or partially sighted? How many people with learning disabilities in the UK are likely to have refractive error? How will these numbers change over the coming decades? Key findings: The findings suggest that: There are over one million adults and over 400,000 children in the UK with learning disabilities. An estimated 96,500 adults with learning disabilities (including 42, 000 known to the statutory services) are blind or partially sighted. (This means that nearly one in 10 adults with learning disabilities is blind or partially sighted). Adults with learning disabilities are 10 times more likely to be blind or partially sighted than the general population An estimated 23,000 children and young people aged 0 to 19 with learning disabilities in the UK are blind or partially sighted. An estimated 579,000 adults with learning disabilities (including 122,000 nown to the statutory services) have refractive error. (This means that nearly six out of 10 people with learning disabilities need glasses.) RNIB and SeeAbility have produced four key public health messages from the research to raise awareness about sight difficulties in the population of people with learning disabilities. RNIB is currently involved in further projects relating to sight difficulties in children with learning disabilities and it is hoped that the findings will be available by the end of 2011.","author":[{"dropping-particle":"","family":"Emerson","given":"Eric","non-dropping-particle":"","parse-names":false,"suffix":""},{"dropping-particle":"","family":"Robertson","given":"Janet","non-dropping-particle":"","parse-names":false,"suffix":""}],"container-title":"RNIB and SeeAbility","id":"ITEM-1","issued":{"date-parts":[["2011"]]},"page":"35","title":"The Estimated Prevalence of Visual Impairment among People with Learning Disabilities in the UK","type":"article-journal"},"uris":["http://www.mendeley.com/documents/?uuid=491b091a-b961-4bde-968f-f9d46860ef12"]}],"mendeley":{"formattedCitation":"(Emerson &amp; Robertson, 2011)","plainTextFormattedCitation":"(Emerson &amp; Robertson, 2011)","previouslyFormattedCitation":"(Emerson &amp; Robertson, 2011)"},"properties":{"noteIndex":0},"schema":"https://github.com/citation-style-language/schema/raw/master/csl-citation.json"}</w:instrText>
      </w:r>
      <w:r w:rsidRPr="006A1EC7">
        <w:fldChar w:fldCharType="separate"/>
      </w:r>
      <w:r w:rsidRPr="006A1EC7">
        <w:rPr>
          <w:noProof/>
        </w:rPr>
        <w:t>(Emerson &amp; Robertson, 2011)</w:t>
      </w:r>
      <w:r w:rsidRPr="006A1EC7">
        <w:fldChar w:fldCharType="end"/>
      </w:r>
      <w:r w:rsidRPr="006A1EC7">
        <w:t xml:space="preserve">. This may be an explanation for the lower prevalence of eye disease in previous research. Glasses, to correct structural eye disease, were often not tolerated by children and adults with WHS, a challenge that is recognised among ophthalmologists </w:t>
      </w:r>
      <w:r w:rsidRPr="006A1EC7">
        <w:fldChar w:fldCharType="begin" w:fldLock="1"/>
      </w:r>
      <w:r w:rsidRPr="006A1EC7">
        <w:instrText>ADDIN CSL_CITATION {"citationItems":[{"id":"ITEM-1","itemData":{"DOI":"10.1111/cxo.12304","ISBN":"1444-0938 (Electronic)\r0816-4622 (Linking)","ISSN":"14440938","PMID":"26390904","author":[{"dropping-particle":"","family":"Li","given":"Josephine Ch","non-dropping-particle":"","parse-names":false,"suffix":""},{"dropping-particle":"","family":"Wong","given":"Katrina","non-dropping-particle":"","parse-names":false,"suffix":""},{"dropping-particle":"","family":"Park","given":"Adela Sy","non-dropping-particle":"","parse-names":false,"suffix":""},{"dropping-particle":"","family":"Fricke","given":"Timothy R.","non-dropping-particle":"","parse-names":false,"suffix":""},{"dropping-particle":"","family":"Jackson","given":"A. Jonathan","non-dropping-particle":"","parse-names":false,"suffix":""}],"container-title":"Clinical and Experimental Optometry","id":"ITEM-1","issue":"5","issued":{"date-parts":[["2015"]]},"page":"420-429","title":"The challenges of providing eye care for adults with intellectual disabilities","type":"article-journal","volume":"98"},"uris":["http://www.mendeley.com/documents/?uuid=6041ef21-91d4-4588-a667-06a2b4d796a6"]}],"mendeley":{"formattedCitation":"(Li, Wong, Park, Fricke, &amp; Jackson, 2015)","plainTextFormattedCitation":"(Li, Wong, Park, Fricke, &amp; Jackson, 2015)","previouslyFormattedCitation":"(Li, Wong, Park, Fricke, &amp; Jackson, 2015)"},"properties":{"noteIndex":0},"schema":"https://github.com/citation-style-language/schema/raw/master/csl-citation.json"}</w:instrText>
      </w:r>
      <w:r w:rsidRPr="006A1EC7">
        <w:fldChar w:fldCharType="separate"/>
      </w:r>
      <w:r w:rsidRPr="006A1EC7">
        <w:rPr>
          <w:noProof/>
        </w:rPr>
        <w:t>(Li, Wong, Park, Fricke, &amp; Jackson, 2015)</w:t>
      </w:r>
      <w:r w:rsidRPr="006A1EC7">
        <w:fldChar w:fldCharType="end"/>
      </w:r>
      <w:r w:rsidRPr="006A1EC7">
        <w:t xml:space="preserve">. Structural eye defects reported in the sample are concurrent with the literature (e.g. stigmatism, strabismus, astigmatism, nystagmus, chloroma) </w:t>
      </w:r>
      <w:r w:rsidRPr="006A1EC7">
        <w:fldChar w:fldCharType="begin" w:fldLock="1"/>
      </w:r>
      <w:r w:rsidRPr="006A1EC7">
        <w:instrText>ADDIN CSL_CITATION {"citationItems":[{"id":"ITEM-1","itemData":{"DOI":"10.1016/j.jaapos.2009.02.011","author":[{"dropping-particle":"","family":"Dickmann","given":"A","non-dropping-particle":"","parse-names":false,"suffix":""},{"dropping-particle":"","family":"Parrilla","given":"R","non-dropping-particle":"","parse-names":false,"suffix":""},{"dropping-particle":"","family":"Salerni","given":"A","non-dropping-particle":"","parse-names":false,"suffix":""},{"dropping-particle":"","family":"Savino","given":"G","non-dropping-particle":"","parse-names":false,"suffix":""},{"dropping-particle":"","family":"Vasta","given":"I","non-dropping-particle":"","parse-names":false,"suffix":""},{"dropping-particle":"","family":"Zollino","given":"M","non-dropping-particle":"","parse-names":false,"suffix":""},{"dropping-particle":"","family":"Petroni","given":"S","non-dropping-particle":"","parse-names":false,"suffix":""},{"dropping-particle":"","family":"Zampino","given":"G","non-dropping-particle":"","parse-names":false,"suffix":""}],"container-title":"Journal of AAPOS","id":"ITEM-1","issue":"3","issued":{"date-parts":[["2009"]]},"language":"English","note":"Cited By :9\n\nExport Date: 5 January 2018\n\nCODEN: JAOAB\n\nCorrespondence Address: Parrilla, R.; Ophtalmology Institute, Catholic University of Rome, Rome, Italy; email: roparrilla@yahoo.it","page":"264-267","publisher-place":"Ophtalmology Institute, Catholic University of Rome, Rome, Italy","title":"Ocular manifestations in Wolf-Hirschhorn syndrome","type":"article-journal","volume":"13"},"uris":["http://www.mendeley.com/documents/?uuid=5789afb3-c150-490d-984c-185063eaed9d"]}],"mendeley":{"formattedCitation":"(A Dickmann et al., 2009)","manualFormatting":"(Dickmann et al., 2009)","plainTextFormattedCitation":"(A Dickmann et al., 2009)","previouslyFormattedCitation":"(A Dickmann et al., 2009)"},"properties":{"noteIndex":0},"schema":"https://github.com/citation-style-language/schema/raw/master/csl-citation.json"}</w:instrText>
      </w:r>
      <w:r w:rsidRPr="006A1EC7">
        <w:fldChar w:fldCharType="separate"/>
      </w:r>
      <w:r w:rsidRPr="006A1EC7">
        <w:rPr>
          <w:noProof/>
        </w:rPr>
        <w:t>(Dickmann et al., 2009)</w:t>
      </w:r>
      <w:r w:rsidRPr="006A1EC7">
        <w:fldChar w:fldCharType="end"/>
      </w:r>
      <w:r w:rsidRPr="006A1EC7">
        <w:t xml:space="preserve">. </w:t>
      </w:r>
    </w:p>
    <w:p w14:paraId="0479EEAD" w14:textId="39BDEA75" w:rsidR="008F4ABD" w:rsidRPr="006A1EC7" w:rsidRDefault="008F4ABD" w:rsidP="008F4ABD">
      <w:pPr>
        <w:spacing w:line="360" w:lineRule="auto"/>
        <w:ind w:firstLine="720"/>
      </w:pPr>
      <w:r w:rsidRPr="006A1EC7">
        <w:t xml:space="preserve">Hearing deficits are thought to occur in around 20% of WHS patients </w:t>
      </w:r>
      <w:r w:rsidRPr="006A1EC7">
        <w:fldChar w:fldCharType="begin" w:fldLock="1"/>
      </w:r>
      <w:r w:rsidRPr="006A1EC7">
        <w:instrText>ADDIN CSL_CITATION {"citationItems":[{"id":"ITEM-1","itemData":{"DOI":"10.1016/j.ejmg.2017.08.013","abstract":"The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genetics","id":"ITEM-1","issue":"11","issued":{"date-parts":[["2017","11"]]},"page":"610-617","title":"A structured assessment of motor function, behavior, and communication in patients with Wolf-Hirschhorn syndrome.","type":"article-journal","volume":"60"},"uris":["http://www.mendeley.com/documents/?uuid=290aecbf-c91b-4edf-a7e4-bf884192a1cc"]},{"id":"ITEM-2","itemData":{"DOI":"10.1002/ajmg.c.31449","ISBN":"0000000000000","ISSN":"15524876","PMID":"26239400","abstract":"Since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Genetics","id":"ITEM-2","issue":"3","issued":{"date-parts":[["2015","9"]]},"language":"English","note":"From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 Nag et al., 2017)","manualFormatting":"(Battaglia et al., 2015; Nag et al., 2017)","plainTextFormattedCitation":"(Agatino Battaglia et al., 2015a; Nag et al., 2017)","previouslyFormattedCitation":"(Agatino Battaglia et al., 2015a; Nag et al., 2017)"},"properties":{"noteIndex":0},"schema":"https://github.com/citation-style-language/schema/raw/master/csl-citation.json"}</w:instrText>
      </w:r>
      <w:r w:rsidRPr="006A1EC7">
        <w:fldChar w:fldCharType="separate"/>
      </w:r>
      <w:r w:rsidRPr="006A1EC7">
        <w:rPr>
          <w:noProof/>
        </w:rPr>
        <w:t>(Battaglia et al., 2015; Nag et al., 2017)</w:t>
      </w:r>
      <w:r w:rsidRPr="006A1EC7">
        <w:fldChar w:fldCharType="end"/>
      </w:r>
      <w:r w:rsidRPr="006A1EC7">
        <w:t xml:space="preserve"> and two diagnoses of deafness were reported for relatives of the participants. Issues around the assessments of hearing and the impact of learning disability on </w:t>
      </w:r>
      <w:r w:rsidRPr="006A1EC7">
        <w:lastRenderedPageBreak/>
        <w:t xml:space="preserve">test results were raised by relatives. In fact, it is recognised that patients who present with complex comorbidities, such as learning disability and potential hearing defects, are challenging assessing in audiology; not all centres are able to provide specially adapted hearing assessments suitable for these complex cases </w:t>
      </w:r>
      <w:r w:rsidRPr="006A1EC7">
        <w:fldChar w:fldCharType="begin" w:fldLock="1"/>
      </w:r>
      <w:r w:rsidRPr="006A1EC7">
        <w:instrText>ADDIN CSL_CITATION {"citationItems":[{"id":"ITEM-1","itemData":{"DOI":"10.1108/17530180200800014","ISBN":"2044-1282","ISSN":"1753-0180","abstract":"Prevalence of hearing impairment is quite common in people with learning disabilities (double jeopardy). However, this debilitating co-morbidity remains largely undetected by carers and professionals due to presence of additional disabilities and complex clinical presentation in this population on the one hand, and lack of specialist hearing impairment service provision and difficulty in accessing generic audiology services on the other hand. This article aims to provide practical guidance on assessment and management of hearing impairment in people with learning disabilities by offering a narrative review of available literature on gaps in service delivery.","author":[{"dropping-particle":"","family":"Miller","given":"Helen","non-dropping-particle":"","parse-names":false,"suffix":""},{"dropping-particle":"","family":"Kiani","given":"Reza","non-dropping-particle":"","parse-names":false,"suffix":""}],"container-title":"Advances in Mental Health and Learning Disabilities","id":"ITEM-1","issue":"2","issued":{"date-parts":[["2008"]]},"page":"25-30","title":"Inter‐relationships between hearing impairment, learning disability services and mental health: are learning disability services ‘deaf’ to hearing impairments?","type":"article-journal","volume":"2"},"uris":["http://www.mendeley.com/documents/?uuid=3dcf19fa-fc65-49ec-ad1a-42299afa2080"]},{"id":"ITEM-2","itemData":{"DOI":"10.1111/bld.12090","ISBN":"1354-4187","ISSN":"14683156","abstract":"Accessible summary people with learning disability tend to have more hearing problems than other people., often these hearing problems are not picked up by doctors, nurses, carers or even by the people themselves., living with undetected hearing loss means people miss out on information, social opportunities and entertainment., routine screening for hearing loss would improve the lives of many people with learning disability., Summary We undertook this project because we believed that hearing loss experienced by the target population was greater than the referral figures suggested. Therefore, we set up a trial service initiative designed to examine the efficacy of different referral routes into audiology services for adults with learning disability. This retrospective analysis focuses on the generation of data on hearing loss on a small population sample ( n = 136) gathered over a 6-month period in 2012. We suggest remedial action now to prevent more problems in the future.","author":[{"dropping-particle":"","family":"Mcclimens","given":"Alex","non-dropping-particle":"","parse-names":false,"suffix":""},{"dropping-particle":"","family":"Brennan","given":"Siobhan","non-dropping-particle":"","parse-names":false,"suffix":""},{"dropping-particle":"","family":"Hargreaves","given":"Pauline","non-dropping-particle":"","parse-names":false,"suffix":""}],"container-title":"British Journal of Learning Disabilities","id":"ITEM-2","issue":"3","issued":{"date-parts":[["2015"]]},"page":"153-160","title":"Hearing problems in the learning disability population: Is anybody listening?","type":"article-journal","volume":"43"},"uris":["http://www.mendeley.com/documents/?uuid=42026be2-bad5-4c86-817c-1cf6152177b9"]}],"mendeley":{"formattedCitation":"(Mcclimens, Brennan, &amp; Hargreaves, 2015; Miller &amp; Kiani, 2008)","plainTextFormattedCitation":"(Mcclimens, Brennan, &amp; Hargreaves, 2015; Miller &amp; Kiani, 2008)","previouslyFormattedCitation":"(Mcclimens, Brennan, &amp; Hargreaves, 2015; Miller &amp; Kiani, 2008)"},"properties":{"noteIndex":0},"schema":"https://github.com/citation-style-language/schema/raw/master/csl-citation.json"}</w:instrText>
      </w:r>
      <w:r w:rsidRPr="006A1EC7">
        <w:fldChar w:fldCharType="separate"/>
      </w:r>
      <w:r w:rsidRPr="006A1EC7">
        <w:rPr>
          <w:noProof/>
        </w:rPr>
        <w:t>(Mcclimens, Brennan, &amp; Hargreaves, 2015; Miller &amp; Kiani, 2008)</w:t>
      </w:r>
      <w:r w:rsidRPr="006A1EC7">
        <w:fldChar w:fldCharType="end"/>
      </w:r>
      <w:r w:rsidRPr="006A1EC7">
        <w:t xml:space="preserve">. The experiences reported by family members are thus not exclusive to </w:t>
      </w:r>
      <w:r w:rsidR="009F0718" w:rsidRPr="006A1EC7">
        <w:t>WHS</w:t>
      </w:r>
      <w:r w:rsidRPr="006A1EC7">
        <w:t xml:space="preserve"> but shared by the majority of conditions that are complex and associated with learning disability. Frequent infections of the tonsils were reported; these infections can be linked to lower immunity, as typically reported for WHS patients. </w:t>
      </w:r>
    </w:p>
    <w:p w14:paraId="54C60E32" w14:textId="610C944F" w:rsidR="008F4ABD" w:rsidRPr="006A1EC7" w:rsidRDefault="008F4ABD" w:rsidP="008F4ABD">
      <w:pPr>
        <w:spacing w:line="360" w:lineRule="auto"/>
        <w:ind w:firstLine="720"/>
      </w:pPr>
      <w:r w:rsidRPr="006A1EC7">
        <w:t xml:space="preserve">Cognitive-behavioural features were not included in the CNS theme, as it is a core feature of WHS and thus warranted its own theme. This theme comprised cognitive aspects of </w:t>
      </w:r>
      <w:r w:rsidR="009F0718" w:rsidRPr="006A1EC7">
        <w:t>WHS</w:t>
      </w:r>
      <w:r w:rsidRPr="006A1EC7">
        <w:t xml:space="preserve">, such as learning disability, communication and musical affinity. It is well-established that learning disability is one of the core features of WHS, and that all patients are affected </w:t>
      </w:r>
      <w:r w:rsidRPr="006A1EC7">
        <w:fldChar w:fldCharType="begin" w:fldLock="1"/>
      </w:r>
      <w:r w:rsidRPr="006A1EC7">
        <w:instrText>ADDIN CSL_CITATION {"citationItems":[{"id":"ITEM-1","itemData":{"author":[{"dropping-particle":"","family":"Battaglia","given":"Agatino","non-dropping-particle":"","parse-names":false,"suffix":""},{"dropping-particle":"","family":"Carey","given":"John C.","non-dropping-particle":"","parse-names":false,"suffix":""},{"dropping-particle":"","family":"Wright","given":"C G","non-dropping-particle":"","parse-names":false,"suffix":""}],"container-title":"Advances in Pediatrics","id":"ITEM-1","issued":{"date-parts":[["2001"]]},"page":"75–113.","title":"Wolf– Hirschhorn (4p-) syndrome.","type":"article-journal","volume":"48"},"uris":["http://www.mendeley.com/documents/?uuid=7f33f23a-bc46-4c5c-b29e-ea6cbd3aea53"]},{"id":"ITEM-2","itemData":{"DOI":"10.1002/ajmg.c.30185","author":[{"dropping-particle":"","family":"Fisch","given":"G S","non-dropping-particle":"","parse-names":false,"suffix":""},{"dropping-particle":"","family":"Battaglia","given":"A","non-dropping-particle":"","parse-names":false,"suffix":""},{"dropping-particle":"","family":"Parrini","given":"B","non-dropping-particle":"","parse-names":false,"suffix":""},{"dropping-particle":"","family":"Youngblom","given":"J","non-dropping-particle":"","parse-names":false,"suffix":""},{"dropping-particle":"","family":"Simensen","given":"R","non-dropping-particle":"","parse-names":false,"suffix":""}],"container-title":"American Journal of Medical Genetics, Part C: Seminars in Medical Genetics","id":"ITEM-2","issue":"4","issued":{"date-parts":[["2008"]]},"note":"Cited By :19\n\nExport Date: 5 January 2018","page":"252-256","title":"Cognitive-behavioral features of children with Wolf-Hirschhorn sndrome: Preliminary report of 12 cases","type":"article-journal","volume":"148"},"uris":["http://www.mendeley.com/documents/?uuid=b441228d-8524-451a-b029-26244e108074"]},{"id":"ITEM-3","itemData":{"DOI":"10.1002/ajmg.c.31449","ISBN":"0000000000000","ISSN":"15524876","PMID":"26239400","abstract":"Since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Genetics","id":"ITEM-3","issue":"3","issued":{"date-parts":[["2015","9"]]},"language":"English","note":"From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 2001; G S Fisch, Battaglia, Parrini, Youngblom, &amp; Simensen, 2008)","manualFormatting":"(e.g. Battaglia et al., 2015, 2001; Fisch, Battaglia, Parrini, Youngblom, &amp; Simensen, 2008; Sabbadini et al., 2002; Zollino et al., 2008)","plainTextFormattedCitation":"(Agatino Battaglia et al., 2015a, 2001; G S Fisch, Battaglia, Parrini, Youngblom, &amp; Simensen, 2008)","previouslyFormattedCitation":"(Agatino Battaglia et al., 2015a, 2001; G S Fisch, Battaglia, Parrini, Youngblom, &amp; Simensen, 2008)"},"properties":{"noteIndex":0},"schema":"https://github.com/citation-style-language/schema/raw/master/csl-citation.json"}</w:instrText>
      </w:r>
      <w:r w:rsidRPr="006A1EC7">
        <w:fldChar w:fldCharType="separate"/>
      </w:r>
      <w:r w:rsidRPr="006A1EC7">
        <w:rPr>
          <w:noProof/>
        </w:rPr>
        <w:t>(e.g. Battaglia et al., 2015, 2001; Fisch, Battaglia, Parrini, Youngblom, &amp; Simensen, 2008</w:t>
      </w:r>
      <w:r w:rsidRPr="006A1EC7">
        <w:rPr>
          <w:noProof/>
        </w:rPr>
        <w:fldChar w:fldCharType="begin" w:fldLock="1"/>
      </w:r>
      <w:r w:rsidRPr="006A1EC7">
        <w:rPr>
          <w:noProof/>
        </w:rPr>
        <w:instrText>ADDIN CSL_CITATION {"citationItems":[{"id":"ITEM-1","itemData":{"DOI":"10.1046/j.1365-2788.2002.00441.x","ISBN":"0964-2633 (Print)\\r0964-2633 (Linking)","ISSN":"09642633","PMID":"12354314","abstract":"BACKGROUND: Wolf-Hirschhorn syndrome (WHS) is a genetic condition characterized by many clinical disorders, learning difficulties, dysphagia, neuromotor deficits and communicative deficits. Up until now, no studies in the literature have described the development of communicative and functional abilities in subjects with WHS. METHOD: In the present study of 11 patients with WHS, a descriptive analysis was made of several abilities and three groups of patients were identified on the basis of the severity of their functional deficit. RESULTS: A non-homogeneous picture of impairment emerged in various areas of development. Overall, the neuromotor abilities of these patients were more adequate than their abilities related to autonomy in personal life, alimentary function, and cognitive and communicative-linguistic aspects. CONCLUSION: Based on the identification of specific patterns of communicative and functional impairment in subjects with WHS, rehabilitative intervention strategies can be planned to increase their communicative opportunities, and possibilities for active and autonomous participation in various life contexts (e.g. home, school and the social environment).","author":[{"dropping-particle":"","family":"Sabbadini","given":"M.","non-dropping-particle":"","parse-names":false,"suffix":""},{"dropping-particle":"","family":"Bombardi","given":"P.","non-dropping-particle":"","parse-names":false,"suffix":""},{"dropping-particle":"","family":"Carlesimo","given":"G. A.","non-dropping-particle":"","parse-names":false,"suffix":""},{"dropping-particle":"","family":"Rosato","given":"V.","non-dropping-particle":"","parse-names":false,"suffix":""},{"dropping-particle":"","family":"Pierro","given":"M. M.","non-dropping-particle":"","parse-names":false,"suffix":""}],"container-title":"Journal of Intellectual Disability Research","id":"ITEM-1","issue":"7","issued":{"date-parts":[["2002"]]},"page":"575-582","title":"Evaluation of communicative and functional abilities in Wolf-Hirshhorn syndrome","type":"article-journal","volume":"46"},"uris":["http://www.mendeley.com/documents/?uuid=0c03b625-5e35-44f5-8a79-47377293009e"]},{"id":"ITEM-2","itemData":{"DOI":"10.1002/ajmg.c.30190","ISBN":"1552-4876 (Electronic)","ISSN":"15524868","PMID":"18932124","abstract":"Based on genotype-phenotype correlation analysis of 80 Wolf-Hirschhorn syndrome (WHS) patients, as well as on review of relevant literature, we add further insights to the following aspects of WHS: (1) clinical delineation and phenotypic categories; (2) characterization of the basic genomic defect, mechanisms of origin and familiarity; (3) identification of prognostic factors for mental retardation; (4) chromosome mapping of the distinctive clinical signs, in an effort to identify pathogenic genes. Clinically, we consider that minimal diagnostic criteria for WHS, defining a \"core\" phenotype, are typical facial appearance, mental retardation, growth delay and seizures (or EEG anomalies). Three different categories of the WHS phenotype were defined, generally correlating with the extent of the 4p deletion. The first one comprises a small deletion not exceeding 3.5 Mb, that is usually associated with a mild phenotype, lacking major malformations. This category is likely under-diagnosed. The second and by far the more frequent category is identified by large deletions, averaging between 5 and 18 Mb, and causes the widely recognizable WHS phenotype. The third clinical category results from a very large deletion exceeding 22-25 Mb causing a severe phenotype, that can hardly be defined as typical WHS. Genetically, de novo chromosome abnormalities in WHS include pure deletions but also complex rearrangements, mainly unbalanced translocations. With the exception of t(4p;8p), WHS-associated chromosome abnormalities are neither mediated by segmental duplications, nor associated with a parental inversion polymorphism on 4p16.3. Factors involved in prediction of prognosis include the extent of the deletion, the occurrence of complex chromosome anomalies, and the severity of seizures. We found that the core phenotype maps within the terminal 1.9 Mb region of chromosome 4p. Therefore, WHSCR-2 should be considered the critical region for this condition. We also confirmed that the pathogenesis of WHS is multigenic. Specific and independent chromosome regions were characterized for growth delay and seizures, as well as for the additional clinical signs that characterize this condition. With the exception of parental balanced translocations, familial recurrence is uncommon.","author":[{"dropping-particle":"","family":"Zollino","given":"Marcella","non-dropping-particle":"","parse-names":false,"suffix":""},{"dropping-particle":"","family":"Murdolo","given":"Marina","non-dropping-particle":"","parse-names":false,"suffix":""},{"dropping-particle":"","family":"Marangi","given":"Giuseppe","non-dropping-particle":"","parse-names":false,"suffix":""},{"dropping-particle":"","family":"Pecile","given":"Vanna","non-dropping-particle":"","parse-names":false,"suffix":""},{"dropping-particle":"","family":"Galasso","given":"Cinzia","non-dropping-particle":"","parse-names":false,"suffix":""},{"dropping-particle":"","family":"Mazzanti","given":"Laura","non-dropping-particle":"","parse-names":false,"suffix":""},{"dropping-particle":"","family":"Neri","given":"Giovanni","non-dropping-particle":"","parse-names":false,"suffix":""}],"container-title":"American journal of medical genetics. Part C, Seminars in medical genetics","id":"ITEM-2","issue":"4","issued":{"date-parts":[["2008","11"]]},"page":"257-269","title":"On the nosology and pathogenesis of Wolf-Hirschhorn syndrome: Genotype-phenotype correlation analysis of 80 patients and literature review","type":"article-journal","volume":"148C"},"uris":["http://www.mendeley.com/documents/?uuid=70e28f91-bd88-443c-a4a0-868c7479c7f1"]}],"mendeley":{"formattedCitation":"(Sabbadini et al., 2002; Zollino et al., 2008)","manualFormatting":"; Sabbadini et al., 2002; Zollino et al., 2008)","plainTextFormattedCitation":"(Sabbadini et al., 2002; Zollino et al., 2008)","previouslyFormattedCitation":"(Sabbadini et al., 2002; Zollino et al., 2008)"},"properties":{"noteIndex":0},"schema":"https://github.com/citation-style-language/schema/raw/master/csl-citation.json"}</w:instrText>
      </w:r>
      <w:r w:rsidRPr="006A1EC7">
        <w:rPr>
          <w:noProof/>
        </w:rPr>
        <w:fldChar w:fldCharType="separate"/>
      </w:r>
      <w:r w:rsidRPr="006A1EC7">
        <w:rPr>
          <w:noProof/>
        </w:rPr>
        <w:t>; Sabbadini et al., 2002; Zollino et al., 2008)</w:t>
      </w:r>
      <w:r w:rsidRPr="006A1EC7">
        <w:rPr>
          <w:noProof/>
        </w:rPr>
        <w:fldChar w:fldCharType="end"/>
      </w:r>
      <w:r w:rsidRPr="006A1EC7">
        <w:fldChar w:fldCharType="end"/>
      </w:r>
      <w:r w:rsidRPr="006A1EC7">
        <w:t>.</w:t>
      </w:r>
      <w:r w:rsidRPr="006A1EC7">
        <w:rPr>
          <w:noProof/>
        </w:rPr>
        <w:t xml:space="preserve"> All patients whose family members took part in this study were reported to have a learning disability. However, there was a degree of variability with regard to severity of impairment in cognitive functioning in the sample. A recent study </w:t>
      </w:r>
      <w:r w:rsidRPr="006A1EC7">
        <w:fldChar w:fldCharType="begin" w:fldLock="1"/>
      </w:r>
      <w:r w:rsidRPr="006A1EC7">
        <w:instrText>ADDIN CSL_CITATION {"citationItems":[{"id":"ITEM-1","itemData":{"DOI":"10.1016/j.ejmg.2017.08.013","abstract":"The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genetics","id":"ITEM-1","issue":"11","issued":{"date-parts":[["2017","11"]]},"page":"610-617","title":"A structured assessment of motor function, behavior, and communication in patients with Wolf-Hirschhorn syndrome.","type":"article-journal","volume":"60"},"uris":["http://www.mendeley.com/documents/?uuid=290aecbf-c91b-4edf-a7e4-bf884192a1cc"]}],"mendeley":{"formattedCitation":"(Nag et al., 2017)","plainTextFormattedCitation":"(Nag et al., 2017)","previouslyFormattedCitation":"(Nag et al., 2017)"},"properties":{"noteIndex":0},"schema":"https://github.com/citation-style-language/schema/raw/master/csl-citation.json"}</w:instrText>
      </w:r>
      <w:r w:rsidRPr="006A1EC7">
        <w:fldChar w:fldCharType="separate"/>
      </w:r>
      <w:r w:rsidRPr="006A1EC7">
        <w:rPr>
          <w:noProof/>
        </w:rPr>
        <w:t>(Nag et al., 2017)</w:t>
      </w:r>
      <w:r w:rsidRPr="006A1EC7">
        <w:fldChar w:fldCharType="end"/>
      </w:r>
      <w:r w:rsidRPr="006A1EC7">
        <w:t xml:space="preserve"> suggested that the cognitive deficits in WHS were comparable to those seen in, for example, Rett syndrome. However, this comparison seems oversimplified and unwarranted, considering the fact that significant individual differences in the cognitive performance of patients with WHS exist and that the abilities of patients with WHS present on a much larger spectrum than patients with Rett syndrome. Furthermore, patients with Rett syndrome have considerably more severe deficits in their cognitive development with no expressive language or non-verbal communication </w:t>
      </w:r>
      <w:r w:rsidRPr="006A1EC7">
        <w:fldChar w:fldCharType="begin" w:fldLock="1"/>
      </w:r>
      <w:r w:rsidRPr="006A1EC7">
        <w:instrText>ADDIN CSL_CITATION {"citationItems":[{"id":"ITEM-1","itemData":{"DOI":"10.1016/j.ejpn.2017.09.010","ISSN":"15322130","abstract":"Background While many individuals with severe developmental impairments learn to communicate with augmentative and alternative communication (AAC) devices, a significant number of individuals show major difficulties in the effective use of AAC. Recent technological innovations, i.e., eye-tracking technology (ETT), aim to improve the transparency of communication and may also enable a more valid cognitive assessment. Objectives To investigate whether ETT in forced-choice tasks can enable children with very severe motor and speech impairments to respond consistently, allowing a more reliable evaluation of their language comprehension. Methods Participants were 17 girls with Rett syndrome (M = 6:06 years). Their ability to respond by eye gaze was first practiced with computer games using ETT. Afterwards, their receptive vocabulary was assessed using the Peabody Picture Vocabulary Test-4 (PPVT-4). Target words were orally presented and participants responded by focusing their eyes on the preferred picture. Results Remarkable differences between the participants in receptive vocabulary were demonstrated using ETT. The verbal comprehension abilities of 32% of the participants ranged from low-average to mild cognitive impairment, and the other 68% of the participants showed moderate to severe impairment. Young age at the time of assessment was positively correlated with higher receptive vocabulary. Conclusions The use of ETT seems to make the communicational signals of children with severe motor and communication impairments more easily understood. Early practice of ETT may improve the quality of communication and enable more reliable conclusions in learning and assessment sessions.","author":[{"dropping-particle":"","family":"Ahonniska-Assa","given":"Jaana","non-dropping-particle":"","parse-names":false,"suffix":""},{"dropping-particle":"","family":"Polack","given":"Orli","non-dropping-particle":"","parse-names":false,"suffix":""},{"dropping-particle":"","family":"Saraf","given":"Einat","non-dropping-particle":"","parse-names":false,"suffix":""},{"dropping-particle":"","family":"Wine","given":"Judy","non-dropping-particle":"","parse-names":false,"suffix":""},{"dropping-particle":"","family":"Silberg","given":"Tamar","non-dropping-particle":"","parse-names":false,"suffix":""},{"dropping-particle":"","family":"Nissenkorn","given":"Andreea","non-dropping-particle":"","parse-names":false,"suffix":""},{"dropping-particle":"","family":"Ben-Zeev","given":"Bruria","non-dropping-particle":"","parse-names":false,"suffix":""}],"container-title":"European Journal of Paediatric Neurology","id":"ITEM-1","issue":"1","issued":{"date-parts":[["2018"]]},"page":"39-45","publisher":"Elsevier Ltd","title":"Assessing cognitive functioning in females with Rett syndrome by eye-tracking methodology","type":"article-journal","volume":"22"},"uris":["http://www.mendeley.com/documents/?uuid=963533a4-e1d8-4165-92de-d606ef165294","http://www.mendeley.com/documents/?uuid=aacbf843-2faf-4221-858b-443b46e23eda"]},{"id":"ITEM-2","itemData":{"DOI":"10.1016/j.pediatrneurol.2012.01.011","ISSN":"08878994","abstract":"Children with Rett syndrome manifest profound impairments in their ability to speak and use their hands, and exhibit a very limited repertoire of abilities to express themselves, to be neuropsychologically tested, and consequently to be understood. This study examined nonverbal cognitive abilities and visual preferences by analyzing the pattern of visual fixation in 49 girls with Rett syndrome, compared with a group of typical control subjects. The girls with Rett syndrome demonstrated a tendency toward socially weighted stimuli/social preferences. They looked at people, and into people's eyes. Eye tracking represents a feasible method to assess cognition, and provide insights into the burden of isolation of these children and the mismatch between their social preferences and incompetence, caused by movement disorder and apraxia. © 2012 Elsevier Inc. All rights reserved.","author":[{"dropping-particle":"","family":"Djukic","given":"Aleksandra","non-dropping-particle":"","parse-names":false,"suffix":""},{"dropping-particle":"","family":"Valicenti McDermott","given":"Maria","non-dropping-particle":"","parse-names":false,"suffix":""}],"container-title":"Pediatric Neurology","id":"ITEM-2","issue":"4","issued":{"date-parts":[["2012"]]},"page":"240-242","publisher":"Elsevier Inc.","title":"Social preferences in Rett syndrome","type":"article-journal","volume":"46"},"uris":["http://www.mendeley.com/documents/?uuid=f588bffb-24c5-47e1-944e-737af840d0e2","http://www.mendeley.com/documents/?uuid=d7d9fe83-3608-484f-a346-fb6f2e47b38b"]}],"mendeley":{"formattedCitation":"(Ahonniska-Assa et al., 2018; Djukic &amp; Valicenti McDermott, 2012)","plainTextFormattedCitation":"(Ahonniska-Assa et al., 2018; Djukic &amp; Valicenti McDermott, 2012)","previouslyFormattedCitation":"(Ahonniska-Assa et al., 2018; Djukic &amp; Valicenti McDermott, 2012)"},"properties":{"noteIndex":0},"schema":"https://github.com/citation-style-language/schema/raw/master/csl-citation.json"}</w:instrText>
      </w:r>
      <w:r w:rsidRPr="006A1EC7">
        <w:fldChar w:fldCharType="separate"/>
      </w:r>
      <w:r w:rsidRPr="006A1EC7">
        <w:rPr>
          <w:noProof/>
        </w:rPr>
        <w:t>(Ahonniska-Assa et al., 2018; Djukic &amp; Valicenti McDermott, 2012)</w:t>
      </w:r>
      <w:r w:rsidRPr="006A1EC7">
        <w:fldChar w:fldCharType="end"/>
      </w:r>
      <w:r w:rsidRPr="006A1EC7">
        <w:t xml:space="preserve">. While some patients who are at the more severe end of WHS may show similar abilities to those with Rett syndrome, the comparison by Nag et al. (2017) neglects the fact that many patients with WHS are able to communicate and form sentences. </w:t>
      </w:r>
    </w:p>
    <w:p w14:paraId="4D1B6C3A" w14:textId="77777777" w:rsidR="008F4ABD" w:rsidRPr="006A1EC7" w:rsidRDefault="008F4ABD" w:rsidP="008F4ABD">
      <w:pPr>
        <w:spacing w:line="360" w:lineRule="auto"/>
        <w:ind w:firstLine="720"/>
      </w:pPr>
      <w:r w:rsidRPr="006A1EC7">
        <w:t xml:space="preserve">A further finding from this study, which links to cognitive functioning, is the notion that patients with WHS were reported to demonstrate continual, yet very slow, learning. This theory needs to be assessed both systematically and longitudinally, however, issues around sampling longitudinally from such a small population, taking into account likely early deaths of some patients with the syndrome </w:t>
      </w:r>
      <w:r w:rsidRPr="006A1EC7">
        <w:fldChar w:fldCharType="begin" w:fldLock="1"/>
      </w:r>
      <w:r w:rsidRPr="006A1EC7">
        <w:instrText>ADDIN CSL_CITATION {"citationItems":[{"id":"ITEM-1","itemData":{"DOI":"10.1136/jmg.38.10.674","ISBN":"1468-6244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genetics","id":"ITEM-1","issue":"10","issued":{"date-parts":[["2001","10"]]},"language":"English","note":"From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mortality.","type":"article-journal","volume":"38"},"uris":["http://www.mendeley.com/documents/?uuid=01ece509-b613-40ab-ac37-fa4a5c49d71d"]}],"mendeley":{"formattedCitation":"(Shannon et al., 2001)","plainTextFormattedCitation":"(Shannon et al., 2001)","previouslyFormattedCitation":"(Shannon et al., 2001)"},"properties":{"noteIndex":0},"schema":"https://github.com/citation-style-language/schema/raw/master/csl-citation.json"}</w:instrText>
      </w:r>
      <w:r w:rsidRPr="006A1EC7">
        <w:fldChar w:fldCharType="separate"/>
      </w:r>
      <w:r w:rsidRPr="006A1EC7">
        <w:rPr>
          <w:noProof/>
        </w:rPr>
        <w:t>(Shannon et al., 2001)</w:t>
      </w:r>
      <w:r w:rsidRPr="006A1EC7">
        <w:fldChar w:fldCharType="end"/>
      </w:r>
      <w:r w:rsidRPr="006A1EC7">
        <w:t>, may make this a challenging scientific undertaking. It would also be challenging choosing appropriate control groups, as it would not be indicative to use healthy, cognitive typical individuals.</w:t>
      </w:r>
    </w:p>
    <w:p w14:paraId="3013D718" w14:textId="77777777" w:rsidR="008F4ABD" w:rsidRPr="006A1EC7" w:rsidRDefault="008F4ABD" w:rsidP="008F4ABD">
      <w:pPr>
        <w:spacing w:line="360" w:lineRule="auto"/>
        <w:ind w:firstLine="720"/>
      </w:pPr>
      <w:r w:rsidRPr="006A1EC7">
        <w:rPr>
          <w:noProof/>
        </w:rPr>
        <w:lastRenderedPageBreak/>
        <w:t xml:space="preserve">Participants’ reports on patients’ communication and language skills also reflect a degree of variability, with some patients non-verbal, some using sign language and others able to form sentences and maintain conversation. Nonetheless, overall communication abilities were limited, which is in keeping with the literature </w:t>
      </w:r>
      <w:r w:rsidRPr="006A1EC7">
        <w:rPr>
          <w:noProof/>
        </w:rPr>
        <w:fldChar w:fldCharType="begin" w:fldLock="1"/>
      </w:r>
      <w:r w:rsidRPr="006A1EC7">
        <w:rPr>
          <w:noProof/>
        </w:rPr>
        <w:instrText>ADDIN CSL_CITATION {"citationItems":[{"id":"ITEM-1","itemData":{"DOI":"10.1002/ajmg.c.30279","ISBN":"1552-4868\\r1552-4876","ISSN":"15524868","PMID":"20981770","abstract":"Wolf-Hirschhorn syndrome (WHS) is a complex congenital malformation produced by a loss of genomic material at the locus 4p16.3. In addition to its dysmorphic features, the deletion produces a range of intellectual disability (ID). Many clinical aspects of WHS are well-characterized; however, the cognitive-behavioral characteristics have been rarely examined in a systematic fashion. The purpose of our study was to examine the cognitive-behavioral features of WHS and to compare them to children with other subtelomeric deletions that also produce ID. We recruited 45 children with subtelomeric deletions and examined their cognitive-behavioral abilities using a neuropsychological assessment battery composed of standardized instruments. Nineteen children were diagnosed with WHS and 26 children with one of three other subtelomeric deletions-11q25 (Jacobsen syndrome), deletion 2q37, and inversion duplication deletion 8p21-23. We found children with WHS to be more severely impacted cognitively than children from any of the other groups. Their overall adaptive behavior was lower as well. However, children with WHS exhibit strengths in socialization skills comparable to the levels attained by the other groups we assessed. Importantly, the proportion of children with WHS with autism or autistic-like features is significantly lower than the rates of autism found in the other subtelomeric disorders we examined.","author":[{"dropping-particle":"","family":"Fisch","given":"Gene S.","non-dropping-particle":"","parse-names":false,"suffix":""},{"dropping-particle":"","family":"Grossfeld","given":"Paul","non-dropping-particle":"","parse-names":false,"suffix":""},{"dropping-particle":"","family":"Falk","given":"Rena","non-dropping-particle":"","parse-names":false,"suffix":""},{"dropping-particle":"","family":"Battaglia","given":"Agatino","non-dropping-particle":"","parse-names":false,"suffix":""},{"dropping-particle":"","family":"Youngblom","given":"Janey","non-dropping-particle":"","parse-names":false,"suffix":""},{"dropping-particle":"","family":"Simensen","given":"Richard","non-dropping-particle":"","parse-names":false,"suffix":""}],"container-title":"American Journal of Medical Genetics, Part C: Seminars in Medical Genetics","id":"ITEM-1","issue":"4","issued":{"date-parts":[["2010","11"]]},"page":"417-426","title":"Cognitive-behavioral features of Wolf-Hirschhorn syndrome and other subtelomeric microdeletions","type":"article-journal","volume":"154"},"uris":["http://www.mendeley.com/documents/?uuid=f815fb82-5e00-4368-91c4-ec6e9a68e668"]}],"mendeley":{"formattedCitation":"(Gene S. Fisch et al., 2010)","manualFormatting":"(Fisch et al., 2010)","plainTextFormattedCitation":"(Gene S. Fisch et al., 2010)","previouslyFormattedCitation":"(Gene S. Fisch et al., 2010)"},"properties":{"noteIndex":0},"schema":"https://github.com/citation-style-language/schema/raw/master/csl-citation.json"}</w:instrText>
      </w:r>
      <w:r w:rsidRPr="006A1EC7">
        <w:rPr>
          <w:noProof/>
        </w:rPr>
        <w:fldChar w:fldCharType="separate"/>
      </w:r>
      <w:r w:rsidRPr="006A1EC7">
        <w:rPr>
          <w:noProof/>
        </w:rPr>
        <w:t>(Fisch et al., 2010)</w:t>
      </w:r>
      <w:r w:rsidRPr="006A1EC7">
        <w:rPr>
          <w:noProof/>
        </w:rPr>
        <w:fldChar w:fldCharType="end"/>
      </w:r>
      <w:r w:rsidRPr="006A1EC7">
        <w:rPr>
          <w:noProof/>
        </w:rPr>
        <w:t>.</w:t>
      </w:r>
    </w:p>
    <w:p w14:paraId="042F8E63" w14:textId="77777777" w:rsidR="008F4ABD" w:rsidRPr="006A1EC7" w:rsidRDefault="008F4ABD" w:rsidP="008F4ABD">
      <w:pPr>
        <w:spacing w:line="360" w:lineRule="auto"/>
        <w:ind w:firstLine="720"/>
      </w:pPr>
      <w:r w:rsidRPr="006A1EC7">
        <w:t xml:space="preserve">While family members were not directly asked about danger awareness or safety, four participants drew clear links between their relatives’ cognitive awareness and concerns around safety and danger awareness. Keeping their relatives with WHS safe (and healthy) to the best of participants’ ability appeared to be a key aspect of life. This is also reported for family members caring for relatives with other rare diseases, such as Tuberous Sclerosis Complex </w:t>
      </w:r>
      <w:r w:rsidRPr="006A1EC7">
        <w:fldChar w:fldCharType="begin" w:fldLock="1"/>
      </w:r>
      <w:r w:rsidRPr="006A1EC7">
        <w:instrText>ADDIN CSL_CITATION {"citationItems":[{"id":"ITEM-1","itemData":{"author":[{"dropping-particle":"","family":"Parker","given":"M","non-dropping-particle":"","parse-names":false,"suffix":""}],"container-title":"Family &amp; Community Health","id":"ITEM-1","issue":"2","issued":{"date-parts":[["1996"]]},"page":"73 - 84","title":"Families Caring for Chronically Ill children with tuberous sclerosis complex","type":"article-journal","volume":"19"},"uris":["http://www.mendeley.com/documents/?uuid=45518e83-75f1-4dd5-8451-aa549dd99cc7"]}],"mendeley":{"formattedCitation":"(Parker, 1996)","plainTextFormattedCitation":"(Parker, 1996)","previouslyFormattedCitation":"(Parker, 1996)"},"properties":{"noteIndex":0},"schema":"https://github.com/citation-style-language/schema/raw/master/csl-citation.json"}</w:instrText>
      </w:r>
      <w:r w:rsidRPr="006A1EC7">
        <w:fldChar w:fldCharType="separate"/>
      </w:r>
      <w:r w:rsidRPr="006A1EC7">
        <w:rPr>
          <w:noProof/>
        </w:rPr>
        <w:t>(Parker, 1996)</w:t>
      </w:r>
      <w:r w:rsidRPr="006A1EC7">
        <w:fldChar w:fldCharType="end"/>
      </w:r>
      <w:r w:rsidRPr="006A1EC7">
        <w:t xml:space="preserve">. </w:t>
      </w:r>
    </w:p>
    <w:p w14:paraId="2F761733" w14:textId="77777777" w:rsidR="008F4ABD" w:rsidRPr="006A1EC7" w:rsidRDefault="008F4ABD" w:rsidP="008F4ABD">
      <w:pPr>
        <w:spacing w:line="360" w:lineRule="auto"/>
        <w:ind w:firstLine="720"/>
      </w:pPr>
      <w:r w:rsidRPr="006A1EC7">
        <w:t xml:space="preserve">Some family members reported incidents of challenging behaviour for their relatives with WHS, such as hitting and attacking family members. Little is reported about the prevalence of challenging behaviour among patients with WHS in the literature, and only </w:t>
      </w:r>
      <w:r w:rsidRPr="006A1EC7">
        <w:fldChar w:fldCharType="begin" w:fldLock="1"/>
      </w:r>
      <w:r w:rsidRPr="006A1EC7">
        <w:instrText>ADDIN CSL_CITATION {"citationItems":[{"id":"ITEM-1","itemData":{"DOI":"10.1016/j.ejmg.2017.08.013","abstract":"The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genetics","id":"ITEM-1","issue":"11","issued":{"date-parts":[["2017","11"]]},"page":"610-617","title":"A structured assessment of motor function, behavior, and communication in patients with Wolf-Hirschhorn syndrome.","type":"article-journal","volume":"60"},"uris":["http://www.mendeley.com/documents/?uuid=290aecbf-c91b-4edf-a7e4-bf884192a1cc"]}],"mendeley":{"formattedCitation":"(Nag et al., 2017)","manualFormatting":"Nag et al. (2017)","plainTextFormattedCitation":"(Nag et al., 2017)","previouslyFormattedCitation":"(Nag et al., 2017)"},"properties":{"noteIndex":0},"schema":"https://github.com/citation-style-language/schema/raw/master/csl-citation.json"}</w:instrText>
      </w:r>
      <w:r w:rsidRPr="006A1EC7">
        <w:fldChar w:fldCharType="separate"/>
      </w:r>
      <w:r w:rsidRPr="006A1EC7">
        <w:rPr>
          <w:noProof/>
        </w:rPr>
        <w:t>Nag et al. (2017)</w:t>
      </w:r>
      <w:r w:rsidRPr="006A1EC7">
        <w:fldChar w:fldCharType="end"/>
      </w:r>
      <w:r w:rsidRPr="006A1EC7">
        <w:t xml:space="preserve"> report that one of their ten patients displayed regular “temper tantrums”, while two others had issues with attention deficit and hyperactivity. This area therefore requires further investigation, and it must be ensured that the relatives of affected patients are equipped with the knowledge and skill to deal with these behaviours should they arise.</w:t>
      </w:r>
    </w:p>
    <w:p w14:paraId="6064D1F2" w14:textId="3AA2822D" w:rsidR="008F4ABD" w:rsidRPr="006A1EC7" w:rsidRDefault="008F4ABD" w:rsidP="008F4ABD">
      <w:pPr>
        <w:spacing w:line="360" w:lineRule="auto"/>
        <w:ind w:firstLine="720"/>
      </w:pPr>
      <w:r w:rsidRPr="006A1EC7">
        <w:t xml:space="preserve">Another key aspect to cognitive functioning was discussed in the study: musical affinity. </w:t>
      </w:r>
      <w:r w:rsidRPr="006A1EC7">
        <w:rPr>
          <w:noProof/>
        </w:rPr>
        <w:t xml:space="preserve">Increased musical affinity has previously been reported for children and adults with WHS, and was also found in the current sample. </w:t>
      </w:r>
      <w:r w:rsidRPr="006A1EC7">
        <w:fldChar w:fldCharType="begin" w:fldLock="1"/>
      </w:r>
      <w:r w:rsidRPr="006A1EC7">
        <w:instrText>ADDIN CSL_CITATION {"citationItems":[{"id":"ITEM-1","itemData":{"DOI":"10.1016/j.pediatrneurol.2014.07.012","ISBN":"0887-8994","ISSN":"18735150","PMID":"25266617","abstract":"Background Wolf-Hirschhorn syndrome is a congenital malformation syndrome resulting from deletion of the short arm of chromosome 4. Individuals with Wolf-Hirschhorn syndrome may have a \"Greek warrior helmet\" appearance, growth retardation, developmental delay, muscular hypotonia, epilepsy, and difficulty with language including verbal communication. An affinity for music has not previously been reported in these patients.\nPatients We describe two patients with Wolf-Hirschhorn syndrome who both have a strong affinity for music. One patient is a 20-year-old woman who likes to listen to music all day and can hum many tunes. The other patient is a 9-year-old girl who is calmed by music and received music therapy, with subsequent improvement in her communication skills (eye contact, joint attention, and vocalizations to request music).\nConclusions Individuals with Wolf-Hirschhorn syndrome may have a strong affinity for music and may benefit from music therapy. Additional studies are needed to investigate the interest in music in individuals with Wolf-Hirschhorn syndrome.","author":[{"dropping-particle":"","family":"Arakawa","given":"Chikako","non-dropping-particle":"","parse-names":false,"suffix":""},{"dropping-particle":"","family":"Fujita","given":"Yukihiko","non-dropping-particle":"","parse-names":false,"suffix":""},{"dropping-particle":"","family":"Fuchigami","given":"Tatsuo","non-dropping-particle":"","parse-names":false,"suffix":""},{"dropping-particle":"","family":"Kawamura","given":"Yuki","non-dropping-particle":"","parse-names":false,"suffix":""},{"dropping-particle":"","family":"Ishii","given":"Wakako","non-dropping-particle":"","parse-names":false,"suffix":""},{"dropping-particle":"","family":"Endo","given":"Ayumi","non-dropping-particle":"","parse-names":false,"suffix":""},{"dropping-particle":"","family":"Kohira","given":"Ryutaro","non-dropping-particle":"","parse-names":false,"suffix":""},{"dropping-particle":"","family":"Takahashi","given":"Shori","non-dropping-particle":"","parse-names":false,"suffix":""}],"container-title":"Pediatric Neurology","id":"ITEM-1","issue":"4","issued":{"date-parts":[["2014"]]},"page":"550-552","publisher":"Elsevier Inc","title":"Affinity for music in wolf-hirschhorn syndrome: Two case reports","type":"article-journal","volume":"51"},"uris":["http://www.mendeley.com/documents/?uuid=1f5a7063-9731-4441-a065-492f82395036"]}],"mendeley":{"formattedCitation":"(Arakawa et al., 2014)","manualFormatting":"Arakawa et al. (2014)","plainTextFormattedCitation":"(Arakawa et al., 2014)","previouslyFormattedCitation":"(Arakawa et al., 2014)"},"properties":{"noteIndex":0},"schema":"https://github.com/citation-style-language/schema/raw/master/csl-citation.json"}</w:instrText>
      </w:r>
      <w:r w:rsidRPr="006A1EC7">
        <w:fldChar w:fldCharType="separate"/>
      </w:r>
      <w:r w:rsidRPr="006A1EC7">
        <w:rPr>
          <w:noProof/>
        </w:rPr>
        <w:t>Arakawa et al. (2014)</w:t>
      </w:r>
      <w:r w:rsidRPr="006A1EC7">
        <w:fldChar w:fldCharType="end"/>
      </w:r>
      <w:r w:rsidRPr="006A1EC7">
        <w:t xml:space="preserve">, for example, describe case studies of a 20-year old and a 9-year old with WHS, who display significant musical affinity and react positively to music (e.g. humming, calming properties, incentive for communication). Participants described utilising their relatives’ affinity for music to motivate them or connect with them; one family in particular was extremely proud that their relative, who was non-verbal, was able to hum songs he only heard once. </w:t>
      </w:r>
    </w:p>
    <w:p w14:paraId="16D729A0" w14:textId="0768CC45" w:rsidR="008F4ABD" w:rsidRPr="006A1EC7" w:rsidRDefault="008F4ABD" w:rsidP="008F4ABD">
      <w:pPr>
        <w:spacing w:line="360" w:lineRule="auto"/>
        <w:ind w:firstLine="720"/>
      </w:pPr>
      <w:r w:rsidRPr="006A1EC7">
        <w:t xml:space="preserve">Disturbed sleep in children and adults with intellectual disabilities, including </w:t>
      </w:r>
      <w:r w:rsidR="009F0718" w:rsidRPr="006A1EC7">
        <w:t>WHS</w:t>
      </w:r>
      <w:r w:rsidRPr="006A1EC7">
        <w:t xml:space="preserve">, are common </w:t>
      </w:r>
      <w:r w:rsidRPr="006A1EC7">
        <w:fldChar w:fldCharType="begin" w:fldLock="1"/>
      </w:r>
      <w:r w:rsidRPr="006A1EC7">
        <w:instrText>ADDIN CSL_CITATION {"citationItems":[{"id":"ITEM-1","itemData":{"abstract":"Sleeping problems are common among children with Wolf-Hirschhorn syndrome. Extinction may be effective if sleeping problems have been shaped and are positively reinforced by parental attention. The present study shows that extinction was effective in the treatment of severe sleeping problems in a six-year old girl with Wolf-Hirschhorn syndrome. Effects were maintained during follow-up.","author":[{"dropping-particle":"","family":"Curfs","given":"L M","non-dropping-particle":"","parse-names":false,"suffix":""},{"dropping-particle":"","family":"Didden","given":"R","non-dropping-particle":"","parse-names":false,"suffix":""},{"dropping-particle":"","family":"Sikkema","given":"S P","non-dropping-particle":"","parse-names":false,"suffix":""},{"dropping-particle":"","family":"Die-Smulders","given":"C E","non-dropping-particle":"De","parse-names":false,"suffix":""}],"container-title":"Genetic counseling (Geneva, Switzerland)","id":"ITEM-1","issue":"4","issued":{"date-parts":[["1999"]]},"page":"345-350","title":"Management of sleeping problems in Wolf-Hirschhorn syndrome: a case study.","type":"article-journal","volume":"10"},"uris":["http://www.mendeley.com/documents/?uuid=4d1ff0b1-1fc0-40a9-99f7-7b65ad72006b"]},{"id":"ITEM-2","itemData":{"ISBN":"0964-2633","abstract":"Background: Little is known about behavioural flexibility in children and adults with Angelman syndrome and whether people with this syndrome have more or less problems in being behaviourally flexible as compared with other people. Method: Behavioural flexibility scores were assessed in 129 individuals with Angelman syndrome using 11 items from the Behavioural Flexibility Rating Scale-Revised (Green et al. 2007). Level of behavioural flexibility scores in individuals with Angelman syndrome (N = 129) was compared with that of people with non-specific intellectual disability (ID) (N = 90), Down syndrome (N = 398) and Autism spectrum disorder (N = 235). Results: Comparative analyses show that individuals with Angelman syndrome were more flexible than those with non-specific ID (P &lt; 0.001) and those with Autism spectrum disorder (P &lt; 0.01). There were no differences in behavioural flexibility scores between individuals with Angelman syndrome and those with Down syndrome (P = 0.94). Conclusion: It is concluded that individuals with Angelman syndrome are comparatively flexible in their behaviour. (PsycINFO Database Record (c) 2016 APA, all rights reserved)","author":[{"dropping-particle":"","family":"Didden","given":"R","non-dropping-particle":"","parse-names":false,"suffix":""},{"dropping-particle":"","family":"Sigafoos","given":"J","non-dropping-particle":"","parse-names":false,"suffix":""},{"dropping-particle":"","family":"Green","given":"V A","non-dropping-particle":"","parse-names":false,"suffix":""},{"dropping-particle":"","family":"Korzilius","given":"H","non-dropping-particle":"","parse-names":false,"suffix":""},{"dropping-particle":"","family":"Mouws","given":"C","non-dropping-particle":"","parse-names":false,"suffix":""},{"dropping-particle":"","family":"Lancioni","given":"G E","non-dropping-particle":"","parse-names":false,"suffix":""},{"dropping-particle":"","family":"O'Reilly","given":"M F","non-dropping-particle":"","parse-names":false,"suffix":""},{"dropping-particle":"","family":"Curfs  G. E.; ORCID: http://orcid.org/0000-0002-6515-5690","given":"L M G A I - ORCID: http://orcid.org/Lancioni","non-dropping-particle":"","parse-names":false,"suffix":""}],"collection-title":"Journal of Mental Deficiency Research","container-title":"Journal of Intellectual Disability Research","editor":[{"dropping-particle":"","family":"Berry  Cohen, Didden, Didden, Green, Green, Horsler, Kraijer, Peters-Scheffer, Pituch, Steffenburg, Williams","given":"Clayton-Smith","non-dropping-particle":"","parse-names":false,"suffix":""}],"id":"ITEM-2","issue":"6","issued":{"date-parts":[["2008"]]},"page":"503-509","publisher":"Wiley-Blackwell Publishing Ltd.","publisher-place":"Didden, R.: Radboud University Nijmegen, PO Box 9104, Nijmegen, Netherlands, 6500 HE, R.Didden@pwo.ru.nl","title":"Behavioural flexibility in individuals with Angelman syndrome, Down syndrome, non-specific intellectual disability and Autism spectrum disorder.","type":"article","volume":"52"},"uris":["http://www.mendeley.com/documents/?uuid=6df7ba1e-0409-41bb-b92c-ee1f9fee53a5"]},{"id":"ITEM-3","itemData":{"DOI":"10.1097/00004703-199806000-00005","ISBN":"0196-206X","ISSN":"0196-206X","PMID":"9648043","abstract":"This study examined whether parents of children diagnosed with neurodevelopmental disorders (n = 79) report greater sleep-related problems in their offspring than do parents of normal community-based children (n = 86) on a research questionnaire developed to assess sleep and breathing problems, sleepiness, and behavioral problems. Clinical subgroups included: attention deficit/hyperactivity disorder (ADHD) (n = 43), learning disabilities (LD) (n = 11), and combined ADHD/LD (n = 25). Analyses revealed that parents of children with neurodevelopmental disorders report greater problems along all three dimensions than parents of normal control children. Sleep-related difficulties were reported at the same frequency across all three clinical subgroups. No significant difference between clinical and control groups was noted, however, in the reported length of sleep on weeknights. These preliminary findings suggest that sleep-related problems need to be routinely reviewed as part of the clinical evaluation of neurodevelopmental problems, because they may contribute to and/or exacerbate the behavioral manifestation of these disorders.;","author":[{"dropping-particle":"","family":"Marcotte","given":"A C","non-dropping-particle":"","parse-names":false,"suffix":""},{"dropping-particle":"V","family":"Thacher","given":"P","non-dropping-particle":"","parse-names":false,"suffix":""},{"dropping-particle":"","family":"Butters","given":"M","non-dropping-particle":"","parse-names":false,"suffix":""},{"dropping-particle":"","family":"Bortz","given":"J","non-dropping-particle":"","parse-names":false,"suffix":""},{"dropping-particle":"","family":"Acebo","given":"C","non-dropping-particle":"","parse-names":false,"suffix":""},{"dropping-particle":"","family":"Carskadon","given":"M A","non-dropping-particle":"","parse-names":false,"suffix":""}],"container-title":"Journal Of Developmental And Behavioral Pediatrics: JDBP","id":"ITEM-3","issue":"3","issued":{"date-parts":[["1998"]]},"page":"178-186","title":"Parental report of sleep problems in children with attentional and learning disorders","type":"article-journal","volume":"19"},"uris":["http://www.mendeley.com/documents/?uuid=294f2bd8-c76c-40f8-8ccf-f592612ffca9"]},{"id":"ITEM-4","itemData":{"author":[{"dropping-particle":"","family":"Battaglia","given":"Agatino","non-dropping-particle":"","parse-names":false,"suffix":""},{"dropping-particle":"","family":"Carey","given":"John C.","non-dropping-particle":"","parse-names":false,"suffix":""},{"dropping-particle":"","family":"Wright","given":"C G","non-dropping-particle":"","parse-names":false,"suffix":""}],"container-title":"Advances in Pediatrics","id":"ITEM-4","issued":{"date-parts":[["2001"]]},"page":"75–113.","title":"Wolf– Hirschhorn (4p-) syndrome.","type":"article-journal","volume":"48"},"uris":["http://www.mendeley.com/documents/?uuid=7f33f23a-bc46-4c5c-b29e-ea6cbd3aea53"]},{"id":"ITEM-5","itemData":{"DOI":"10.1177/0009922810384260.Parental","ISBN":"0009922810384","author":[{"dropping-particle":"","family":"Rosen","given":"Dennis","non-dropping-particle":"","parse-names":false,"suffix":""},{"dropping-particle":"","family":"Lombardo","given":"Angela","non-dropping-particle":"","parse-names":false,"suffix":""},{"dropping-particle":"","family":"Sc","given":"B","non-dropping-particle":"","parse-names":false,"suffix":""},{"dropping-particle":"","family":"Skotko","given":"Brian","non-dropping-particle":"","parse-names":false,"suffix":""},{"dropping-particle":"","family":"Jean","given":"Emily","non-dropping-particle":"","parse-names":false,"suffix":""}],"container-title":"Clin. Pediatr (Phila)","id":"ITEM-5","issue":"2","issued":{"date-parts":[["2011"]]},"page":"121-125","title":"Parental perceptions of sleep disturbances and seep disordered breathing in children with Down syndrome","type":"article-journal","volume":"50"},"uris":["http://www.mendeley.com/documents/?uuid=7e698055-8790-41a3-9c2f-e986c21706c1"]},{"id":"ITEM-6","itemData":{"DOI":"10.1016/j.ejmg.2017.08.013","abstract":"The present study aimed to increase the knowledge about Wolf-Hirschhorn syndrome (WHS), especially concerning motor function, autism spectrum disorders (ASD), and adapted behavior, but also regarding clinical symptoms in general. Motor function was evaluated via systematic observation. Standardized assessments such as the Vineland Adapted Behavior Scales II (VABS II), the Social Communication Questionnaire (SCQ), and the Child Behavior Checklist (CBCL) or Adult Behavior Checklist (ABCL) were used for the behavioral assessment. In total, two males and eight females between one and 48 years of age with a genetically confirmed diagnosis of WHS and their parents participated in this study. Deletion sizes were known for seven of the ten patients and varied between 55 Kb and 20 Mb. The chromosome coordinates were known for six of them, and none of those had the same break points in their deletion. The main finding in this study was that patients with WHS may have a better outcome regarding motor skills and expressive communication than previously described. We could confirm the main medical findings described earlier, but found also a population with a less severe dysmorphology, fewer congenital malformations, and fewer medical challenges than expected. Sleep problems may persist into adulthood and need a more thorough investigation. Research on possible indications of ASD is strongly needed for targeted interventions. In conclusion, a more thorough assessment of communication, possible ASD, and sleep in larger groups of patients with WHS are needed to confirm and further investigate the findings from this study and to provide more targeted interventions for WHS patients.","author":[{"dropping-particle":"","family":"Nag","given":"Heidi E","non-dropping-particle":"","parse-names":false,"suffix":""},{"dropping-particle":"","family":"Bergsaker","given":"David K","non-dropping-particle":"","parse-names":false,"suffix":""},{"dropping-particle":"","family":"Hunn","given":"Bente S","non-dropping-particle":"","parse-names":false,"suffix":""},{"dropping-particle":"","family":"Schmidt","given":"Susanne","non-dropping-particle":"","parse-names":false,"suffix":""},{"dropping-particle":"","family":"Hoxmark","given":"Lise B","non-dropping-particle":"","parse-names":false,"suffix":""}],"container-title":"European journal of medical genetics","id":"ITEM-6","issue":"11","issued":{"date-parts":[["2017","11"]]},"page":"610-617","title":"A structured assessment of motor function, behavior, and communication in patients with Wolf-Hirschhorn syndrome.","type":"article-journal","volume":"60"},"uris":["http://www.mendeley.com/documents/?uuid=290aecbf-c91b-4edf-a7e4-bf884192a1cc"]}],"mendeley":{"formattedCitation":"(Agatino Battaglia et al., 2001; Curfs, Didden, Sikkema, &amp; De Die-Smulders, 1999; Didden et al., 2008; Marcotte et al., 1998; Nag et al., 2017; Rosen, Lombardo, Sc, Skotko, &amp; Jean, 2011)","manualFormatting":"(Battaglia et al., 2001; Curfs, Didden, Sikkema, &amp; De Die-Smulders, 1999; Didden et al., 2008; Marcotte et al., 1998; Nag et al., 2017; Rosen, Lombardo, Sc, Skotko, &amp; Jean, 2011)","plainTextFormattedCitation":"(Agatino Battaglia et al., 2001; Curfs, Didden, Sikkema, &amp; De Die-Smulders, 1999; Didden et al., 2008; Marcotte et al., 1998; Nag et al., 2017; Rosen, Lombardo, Sc, Skotko, &amp; Jean, 2011)","previouslyFormattedCitation":"(Agatino Battaglia et al., 2001; Curfs, Didden, Sikkema, &amp; De Die-Smulders, 1999; Didden et al., 2008; Marcotte et al., 1998; Nag et al., 2017; Rosen, Lombardo, Sc, Skotko, &amp; Jean, 2011)"},"properties":{"noteIndex":0},"schema":"https://github.com/citation-style-language/schema/raw/master/csl-citation.json"}</w:instrText>
      </w:r>
      <w:r w:rsidRPr="006A1EC7">
        <w:fldChar w:fldCharType="separate"/>
      </w:r>
      <w:r w:rsidRPr="006A1EC7">
        <w:rPr>
          <w:noProof/>
        </w:rPr>
        <w:t>(Battaglia et al., 2001; Curfs, Didden, Sikkema, &amp; De Die-Smulders, 1999; Didden et al., 2008; Marcotte et al., 1998; Nag et al., 2017; Rosen, Lombardo, Sc, Skotko, &amp; Jean, 2011)</w:t>
      </w:r>
      <w:r w:rsidRPr="006A1EC7">
        <w:fldChar w:fldCharType="end"/>
      </w:r>
      <w:r w:rsidRPr="006A1EC7">
        <w:t xml:space="preserve">. Reports of disturbed sleep across the majority of interviews (15/21, 71%) was therefore expected. In concordance with the literature </w:t>
      </w:r>
      <w:r w:rsidRPr="006A1EC7">
        <w:fldChar w:fldCharType="begin" w:fldLock="1"/>
      </w:r>
      <w:r w:rsidRPr="006A1EC7">
        <w:instrText>ADDIN CSL_CITATION {"citationItems":[{"id":"ITEM-1","itemData":{"DOI":"10.1016/j.pcl.2011.03.010.Sleep","author":[{"dropping-particle":"","family":"Meltzer","given":"L","non-dropping-particle":"","parse-names":false,"suffix":""},{"dropping-particle":"","family":"Montgomery-Downs","given":"H.","non-dropping-particle":"","parse-names":false,"suffix":""}],"container-title":"Pediatr Clin North Am","id":"ITEM-1","issue":"3","issued":{"date-parts":[["2011"]]},"page":"765-774","title":"Sleep in the family","type":"article-journal","volume":"58"},"uris":["http://www.mendeley.com/documents/?uuid=54fe87c8-8f8d-4114-93be-5374b799d5c0"]}],"mendeley":{"formattedCitation":"(Meltzer &amp; Montgomery-Downs, 2011)","plainTextFormattedCitation":"(Meltzer &amp; Montgomery-Downs, 2011)","previouslyFormattedCitation":"(Meltzer &amp; Montgomery-Downs, 2011)"},"properties":{"noteIndex":0},"schema":"https://github.com/citation-style-language/schema/raw/master/csl-citation.json"}</w:instrText>
      </w:r>
      <w:r w:rsidRPr="006A1EC7">
        <w:fldChar w:fldCharType="separate"/>
      </w:r>
      <w:r w:rsidRPr="006A1EC7">
        <w:rPr>
          <w:noProof/>
        </w:rPr>
        <w:t>(Meltzer &amp; Montgomery-Downs, 2011)</w:t>
      </w:r>
      <w:r w:rsidRPr="006A1EC7">
        <w:fldChar w:fldCharType="end"/>
      </w:r>
      <w:r w:rsidRPr="006A1EC7">
        <w:t xml:space="preserve">,  the impact of disturbed nights appeared significant on both patients and family members. While there is some literature suggesting that children with </w:t>
      </w:r>
      <w:r w:rsidR="009F0718" w:rsidRPr="006A1EC7">
        <w:t>WHS</w:t>
      </w:r>
      <w:r w:rsidRPr="006A1EC7">
        <w:t xml:space="preserve"> may be able to develop more normal sleeping patterns over time using positive reinforcement </w:t>
      </w:r>
      <w:r w:rsidRPr="006A1EC7">
        <w:fldChar w:fldCharType="begin" w:fldLock="1"/>
      </w:r>
      <w:r w:rsidRPr="006A1EC7">
        <w:instrText>ADDIN CSL_CITATION {"citationItems":[{"id":"ITEM-1","itemData":{"abstract":"Sleeping problems are common among children with Wolf-Hirschhorn syndrome. Extinction may be effective if sleeping problems have been shaped and are positively reinforced by parental attention. The present study shows that extinction was effective in the treatment of severe sleeping problems in a six-year old girl with Wolf-Hirschhorn syndrome. Effects were maintained during follow-up.","author":[{"dropping-particle":"","family":"Curfs","given":"L M","non-dropping-particle":"","parse-names":false,"suffix":""},{"dropping-particle":"","family":"Didden","given":"R","non-dropping-particle":"","parse-names":false,"suffix":""},{"dropping-particle":"","family":"Sikkema","given":"S P","non-dropping-particle":"","parse-names":false,"suffix":""},{"dropping-particle":"","family":"Die-Smulders","given":"C E","non-dropping-particle":"De","parse-names":false,"suffix":""}],"container-title":"Genetic counseling (Geneva, Switzerland)","id":"ITEM-1","issue":"4","issued":{"date-parts":[["1999"]]},"page":"345-350","title":"Management of sleeping problems in Wolf-Hirschhorn syndrome: a case study.","type":"article-journal","volume":"10"},"uris":["http://www.mendeley.com/documents/?uuid=4d1ff0b1-1fc0-40a9-99f7-7b65ad72006b"]},{"id":"ITEM-2","itemData":{"author":[{"dropping-particle":"","family":"Battaglia","given":"Agatino","non-dropping-particle":"","parse-names":false,"suffix":""},{"dropping-particle":"","family":"Carey","given":"John C.","non-dropping-particle":"","parse-names":false,"suffix":""},{"dropping-particle":"","family":"Wright","given":"C G","non-dropping-particle":"","parse-names":false,"suffix":""}],"container-title":"Advances in Pediatrics","id":"ITEM-2","issued":{"date-parts":[["2001"]]},"page":"75–113.","title":"Wolf– Hirschhorn (4p-) syndrome.","type":"article-journal","volume":"48"},"uris":["http://www.mendeley.com/documents/?uuid=7f33f23a-bc46-4c5c-b29e-ea6cbd3aea53"]}],"mendeley":{"formattedCitation":"(Agatino Battaglia et al., 2001; Curfs et al., 1999)","manualFormatting":"(Battaglia et al., 2001; Curfs et al., 1999)","plainTextFormattedCitation":"(Agatino Battaglia et al., 2001; Curfs et al., 1999)","previouslyFormattedCitation":"(Agatino Battaglia et al., 2001; Curfs et al., 1999)"},"properties":{"noteIndex":0},"schema":"https://github.com/citation-style-language/schema/raw/master/csl-citation.json"}</w:instrText>
      </w:r>
      <w:r w:rsidRPr="006A1EC7">
        <w:fldChar w:fldCharType="separate"/>
      </w:r>
      <w:r w:rsidRPr="006A1EC7">
        <w:rPr>
          <w:noProof/>
        </w:rPr>
        <w:t>(Battaglia et al., 2001; Curfs et al., 1999)</w:t>
      </w:r>
      <w:r w:rsidRPr="006A1EC7">
        <w:fldChar w:fldCharType="end"/>
      </w:r>
      <w:r w:rsidRPr="006A1EC7">
        <w:t xml:space="preserve">; the current study recognises that it is not possible to establish </w:t>
      </w:r>
      <w:r w:rsidRPr="006A1EC7">
        <w:lastRenderedPageBreak/>
        <w:t xml:space="preserve">improved sleeping patterns for all children and adults with WHS due to a variety of contributing factors. For example, the hypothesised relationship between epilepsy and sleep problems by participants in the current study is supported by the literature suggesting a relationship, and possible correlation, between these factors </w:t>
      </w:r>
      <w:r w:rsidRPr="006A1EC7">
        <w:fldChar w:fldCharType="begin" w:fldLock="1"/>
      </w:r>
      <w:r w:rsidRPr="006A1EC7">
        <w:instrText>ADDIN CSL_CITATION {"citationItems":[{"id":"ITEM-1","itemData":{"author":[{"dropping-particle":"","family":"Didden","given":"R.","non-dropping-particle":"","parse-names":false,"suffix":""},{"dropping-particle":"","family":"Sigafoos","given":"J","non-dropping-particle":"","parse-names":false,"suffix":""},{"dropping-particle":"","family":"Curfs","given":"L.","non-dropping-particle":"","parse-names":false,"suffix":""}],"id":"ITEM-1","issued":{"date-parts":[["2000"]]},"title":"Slaapstoornissen bij kinderen met ontwikkelingsstoornissen: een overzicht.","type":"report"},"uris":["http://www.mendeley.com/documents/?uuid=2e44eb73-333d-44cc-8c86-3eff39a6e19c"]},{"id":"ITEM-2","itemData":{"author":[{"dropping-particle":"","family":"Didden","given":"R.","non-dropping-particle":"","parse-names":false,"suffix":""},{"dropping-particle":"","family":"Curfs","given":"L.","non-dropping-particle":"","parse-names":false,"suffix":""}],"id":"ITEM-2","issued":{"date-parts":[["2000"]]},"number-of-pages":"44-47","title":"Sleep problems in children with developmental disabilities who live at home : prevalence , correlates and treatment","type":"report"},"uris":["http://www.mendeley.com/documents/?uuid=990e4743-f53e-428c-983e-690a55258043"]}],"mendeley":{"formattedCitation":"(Didden &amp; Curfs, 2000; Didden, Sigafoos, &amp; Curfs, 2000)","plainTextFormattedCitation":"(Didden &amp; Curfs, 2000; Didden, Sigafoos, &amp; Curfs, 2000)","previouslyFormattedCitation":"(Didden &amp; Curfs, 2000; Didden, Sigafoos, &amp; Curfs, 2000)"},"properties":{"noteIndex":0},"schema":"https://github.com/citation-style-language/schema/raw/master/csl-citation.json"}</w:instrText>
      </w:r>
      <w:r w:rsidRPr="006A1EC7">
        <w:fldChar w:fldCharType="separate"/>
      </w:r>
      <w:r w:rsidRPr="006A1EC7">
        <w:rPr>
          <w:noProof/>
        </w:rPr>
        <w:t>(Didden &amp; Curfs, 2000; Didden, Sigafoos, &amp; Curfs, 2000)</w:t>
      </w:r>
      <w:r w:rsidRPr="006A1EC7">
        <w:fldChar w:fldCharType="end"/>
      </w:r>
      <w:r w:rsidRPr="006A1EC7">
        <w:t xml:space="preserve">. Due to the high prevalence of disordered sleep and its significant impact, for example the potential link with seizure activity, sleep behaviour should be assessed in the clinical outcome assessment. Objective assessment using the clinical outcome assessment may help inform whether patients may be eligible to try sleep medication, such as Melatonin, or whether underlying seizure activity may cause issues. Assessing sleep during consultations may also help highlight related issues, such as bedtime routines and start a conversation around sleep hygiene, which could improve sleeping patterns. </w:t>
      </w:r>
    </w:p>
    <w:p w14:paraId="5764AA80" w14:textId="5A713753" w:rsidR="008F4ABD" w:rsidRPr="006A1EC7" w:rsidRDefault="008F4ABD" w:rsidP="008F4ABD">
      <w:pPr>
        <w:spacing w:line="360" w:lineRule="auto"/>
        <w:ind w:firstLine="720"/>
        <w:rPr>
          <w:noProof/>
        </w:rPr>
      </w:pPr>
      <w:r w:rsidRPr="006A1EC7">
        <w:rPr>
          <w:noProof/>
          <w:lang w:val="it-IT"/>
        </w:rPr>
        <w:t xml:space="preserve">Skeletal abnormalities and mobility-related issues </w:t>
      </w:r>
      <w:r w:rsidRPr="006A1EC7">
        <w:rPr>
          <w:noProof/>
          <w:lang w:val="it-IT"/>
        </w:rPr>
        <w:fldChar w:fldCharType="begin" w:fldLock="1"/>
      </w:r>
      <w:r w:rsidRPr="006A1EC7">
        <w:rPr>
          <w:noProof/>
          <w:lang w:val="it-IT"/>
        </w:rPr>
        <w:instrText>ADDIN CSL_CITATION {"citationItems":[{"id":"ITEM-1","itemData":{"author":[{"dropping-particle":"","family":"Centerwall","given":"W.","non-dropping-particle":"","parse-names":false,"suffix":""},{"dropping-particle":"","family":"Thompson","given":"W.","non-dropping-particle":"","parse-names":false,"suffix":""},{"dropping-particle":"","family":"Irving","given":"A.","non-dropping-particle":"","parse-names":false,"suffix":""},{"dropping-particle":"","family":"Fobes","given":"C.","non-dropping-particle":"","parse-names":false,"suffix":""}],"container-title":"American Journal of Disease of Children","id":"ITEM-1","issued":{"date-parts":[["1975"]]},"title":"Translocation 4p- Syndrome: A general review","type":"article-journal","volume":"129"},"uris":["http://www.mendeley.com/documents/?uuid=f0608f1e-822f-4a72-ae90-cdc64016ad0f"]},{"id":"ITEM-2","itemData":{"DOI":"10.1002/ajmg.c.31449","ISBN":"0000000000000","ISSN":"15524876","PMID":"26239400","abstract":"Since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Genetics","id":"ITEM-2","issue":"3","issued":{"date-parts":[["2015","9"]]},"language":"English","note":"From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 Centerwall et al., 1975)","manualFormatting":"(Battaglia et al., 2015; Centerwall et al., 1975)","plainTextFormattedCitation":"(Agatino Battaglia et al., 2015a; Centerwall et al., 1975)","previouslyFormattedCitation":"(Agatino Battaglia et al., 2015a; Centerwall et al., 1975)"},"properties":{"noteIndex":0},"schema":"https://github.com/citation-style-language/schema/raw/master/csl-citation.json"}</w:instrText>
      </w:r>
      <w:r w:rsidRPr="006A1EC7">
        <w:rPr>
          <w:noProof/>
          <w:lang w:val="it-IT"/>
        </w:rPr>
        <w:fldChar w:fldCharType="separate"/>
      </w:r>
      <w:r w:rsidRPr="006A1EC7">
        <w:rPr>
          <w:noProof/>
          <w:lang w:val="it-IT"/>
        </w:rPr>
        <w:t>(Battaglia et al., 2015; Centerwall et al., 1975)</w:t>
      </w:r>
      <w:r w:rsidRPr="006A1EC7">
        <w:rPr>
          <w:noProof/>
          <w:lang w:val="it-IT"/>
        </w:rPr>
        <w:fldChar w:fldCharType="end"/>
      </w:r>
      <w:r w:rsidRPr="006A1EC7">
        <w:rPr>
          <w:noProof/>
          <w:lang w:val="it-IT"/>
        </w:rPr>
        <w:t xml:space="preserve"> were reported for patients with WHS: for the current sample these include spina bifida and sacral dimples. Hypotonia, especially of the lower legs, was the most commonly reported clinical feature across the sample, which is in keeping with the literature </w:t>
      </w:r>
      <w:r w:rsidRPr="006A1EC7">
        <w:rPr>
          <w:noProof/>
        </w:rPr>
        <w:fldChar w:fldCharType="begin" w:fldLock="1"/>
      </w:r>
      <w:r w:rsidRPr="006A1EC7">
        <w:rPr>
          <w:noProof/>
        </w:rPr>
        <w:instrText>ADDIN CSL_CITATION {"citationItems":[{"id":"ITEM-1","itemData":{"DOI":"10.1002/ajmg.c.31449","ISBN":"0000000000000","ISSN":"15524876","PMID":"26239400","abstract":"Since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Genetics","id":"ITEM-1","issue":"3","issued":{"date-parts":[["2015","9"]]},"language":"English","note":"From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2015a)","manualFormatting":"(Battaglia et al., 2015)","plainTextFormattedCitation":"(Agatino Battaglia et al., 2015a)","previouslyFormattedCitation":"(Agatino Battaglia et al., 2015a)"},"properties":{"noteIndex":0},"schema":"https://github.com/citation-style-language/schema/raw/master/csl-citation.json"}</w:instrText>
      </w:r>
      <w:r w:rsidRPr="006A1EC7">
        <w:rPr>
          <w:noProof/>
        </w:rPr>
        <w:fldChar w:fldCharType="separate"/>
      </w:r>
      <w:r w:rsidRPr="006A1EC7">
        <w:rPr>
          <w:noProof/>
        </w:rPr>
        <w:t>(Battaglia et al., 2015)</w:t>
      </w:r>
      <w:r w:rsidRPr="006A1EC7">
        <w:rPr>
          <w:noProof/>
        </w:rPr>
        <w:fldChar w:fldCharType="end"/>
      </w:r>
      <w:r w:rsidRPr="006A1EC7">
        <w:rPr>
          <w:noProof/>
        </w:rPr>
        <w:t xml:space="preserve">. Delays or difficulties in walking are the combined result of hypotonia, skeletal abnormalities and cognitive impairments. Five participants reported that their relatives with WHS were able to walk independently. This number corresponds with the figure reported in the literature: it is reported that roughly 45% of children and adults with WHS are able to walk independently or with support (Battaglia et al., 2015). </w:t>
      </w:r>
      <w:r w:rsidRPr="006A1EC7">
        <w:rPr>
          <w:noProof/>
          <w:lang w:val="it-IT"/>
        </w:rPr>
        <w:t xml:space="preserve">There were no reports of extremity malformations in the sample; some individuals with WHS are affected with </w:t>
      </w:r>
      <w:r w:rsidRPr="006A1EC7">
        <w:rPr>
          <w:noProof/>
        </w:rPr>
        <w:t xml:space="preserve">ectrodactyly, polydactyly and syndactyly </w:t>
      </w:r>
      <w:r w:rsidRPr="006A1EC7">
        <w:rPr>
          <w:noProof/>
        </w:rPr>
        <w:fldChar w:fldCharType="begin" w:fldLock="1"/>
      </w:r>
      <w:r w:rsidRPr="006A1EC7">
        <w:rPr>
          <w:noProof/>
        </w:rPr>
        <w:instrText>ADDIN CSL_CITATION {"citationItems":[{"id":"ITEM-1","itemData":{"DOI":"10.3126/jnps.v34i3.10289","ISSN":"19907982","abstract":"Wolf-Hirschhorn syndrome (WHS) is caused by a chromosomal deletion of the band 4p16.3 with characteristic craniofacial features -&amp;rsquo;Greek warrior helmet&amp;rsquo;5 facies (prominent glabella, hypertelorism, broad beaked nose and frontal bossing), high-arched eyebrows, protruding eyes, epicanthal folds, short philtrum, distinct mouth with downturned corners, micrognathia, dysplastic ears, preauricular tags. Till date there are very few case reports of Wolf-Hirschhorn syndrome.Here we report a case that had characteristic dysmorphic facies (Figure 1) &amp;lsquo;Greek warrior helmet&amp;rsquo; and was diagnosed as a case of WHS. But presence of Meningo-encephalocele and lissencephaly is rarely reported in literature in association with Wolf-hirschhorn syndrome till date.   J Nepal Paediatr Soc 2014;34(3):239-243   DOI:  http://dx.doi.org/10.3126/jnps.v34i3.10289","author":[{"dropping-particle":"","family":"Biswas","given":"Prativa","non-dropping-particle":"","parse-names":false,"suffix":""},{"dropping-particle":"","family":"Choudhury","given":"Rupam","non-dropping-particle":"","parse-names":false,"suffix":""},{"dropping-particle":"","family":"Gayen","given":"Sibnath","non-dropping-particle":"","parse-names":false,"suffix":""},{"dropping-particle":"","family":"Guha","given":"Debashree","non-dropping-particle":"","parse-names":false,"suffix":""},{"dropping-particle":"","family":"Roy","given":"Sutirtha","non-dropping-particle":"","parse-names":false,"suffix":""},{"dropping-particle":"","family":"Dasgupta","given":"Malay Kumar","non-dropping-particle":"","parse-names":false,"suffix":""}],"container-title":"Journal of Nepal Paediatric Society","id":"ITEM-1","issue":"3","issued":{"date-parts":[["2014"]]},"language":"English","note":"From Duplicate 1 (Greek warrior helmet facies (Wolf-hirschhorn syndrome) - Biswas, P; Choudhury, R; Gayen, S; Guha, D; Roy, S; Dasgupta, M K)\n\nExport Date: 5 January 2018\n\nCorrespondence Address: Biswas, P.; Department of Paediatrics, Midnapur Medical College and HospitalIndia","page":"239-243","publisher":"Nepal Paediatric Society (NEPAS)","publisher-place":"Department of Paediatrics, Midnapur Medical College and Hospital, Paschim Midnapur, India","title":"Greek warrior helmet facies (Wolf-hirschhorn syndrome)","type":"article-journal","volume":"34"},"uris":["http://www.mendeley.com/documents/?uuid=c143061e-8592-43ec-8ddd-9586baf739a7"]},{"id":"ITEM-2","itemData":{"DOI":"10.1002/ajmg.a.33159","ISBN":"1552-4833 (Electronic)","ISSN":"15524825","PMID":"20034099","author":[{"dropping-particle":"","family":"Shanske","given":"Alan L.","non-dropping-particle":"","parse-names":false,"suffix":""},{"dropping-particle":"","family":"Yachelevich","given":"Naomi","non-dropping-particle":"","parse-names":false,"suffix":""},{"dropping-particle":"","family":"Ala-Kokko","given":"Leena","non-dropping-particle":"","parse-names":false,"suffix":""},{"dropping-particle":"","family":"Leonard","given":"Jay","non-dropping-particle":"","parse-names":false,"suffix":""},{"dropping-particle":"","family":"Levy","given":"Brynn","non-dropping-particle":"","parse-names":false,"suffix":""}],"container-title":"American Journal of Medical Genetics, Part A","id":"ITEM-2","issue":"1","issued":{"date-parts":[["2010"]]},"language":"English","note":"From Duplicate 2 (Wolf-Hirschhorn syndrome and ectrodactyly: New findings and a review of the literature - Shanske, A L; Yachelevich, N; Ala-Kokko, L; Leonard, J; Levy, B)\n\nCited By :5\n\nExport Date: 5 January 2018\n\nCODEN: AJMGD\n\nCorrespondence Address: Shanske, A. L.; Center for Craniofacial Disorders, Children's Hospital at Montefiore, Albert Einstein College of Medicine, Bronx, NY, United States; email: ashanske@aol.com","page":"203-208","publisher-place":"Center for Craniofacial Disorders, Children's Hospital at Montefiore, Albert Einstein College of Medicine, Bronx, NY, United States","title":"Wolf-Hirschhorn syndrome and ectrodactyly: New findings and a review of the literature","type":"article-journal","volume":"152"},"uris":["http://www.mendeley.com/documents/?uuid=f2ec0bff-4966-49f3-b78b-29aa47b69398"]},{"id":"ITEM-3","itemData":{"DOI":"10.1016/j.ejmg.2010.02.004","ISBN":"1769-7212","ISSN":"17697212","PMID":"20197130","abstract":"Wolf-Hirschhorn Syndrome (WHS) is caused by deletions on chromosome 4p and is clinically well defined. Genotype-phenotype correlations of patients with WHS point to a critical locus to be responsible for the main characteristics of this disorder. Submicroscopic duplications of this region, however, are not known. Here we report a patient with an interstitial 560??kb duplication overlapping this critical locus. The present case shows that not only deletions but also duplications of the Wolf-Hirshhorn critical region cause mental retardation and multiple congenital anomalies. Interestingly, the duplication phenotype overlaps partially with the deletion phenotype. However, his facial phenotype differs from the typical WHS gestalt. ?? 2010 Elsevier Masson SAS. All rights reserved.","author":[{"dropping-particle":"","family":"Hannes","given":"Femke","non-dropping-particle":"","parse-names":false,"suffix":""},{"dropping-particle":"","family":"Drozniewska","given":"Malgorzata","non-dropping-particle":"","parse-names":false,"suffix":""},{"dropping-particle":"","family":"Vermeesch","given":"Joris R.","non-dropping-particle":"","parse-names":false,"suffix":""},{"dropping-particle":"","family":"Haus","given":"Olga","non-dropping-particle":"","parse-names":false,"suffix":""}],"container-title":"European Journal of Medical Genetics","id":"ITEM-3","issue":"3","issued":{"date-parts":[["2010"]]},"page":"136-140","publisher":"Elsevier Masson SAS","title":"Duplication of the Wolf-Hirschhorn syndrome critical region causes neurodevelopmental delay","type":"article-journal","volume":"53"},"uris":["http://www.mendeley.com/documents/?uuid=04fbcb1f-7eed-4889-bd30-10ee412ee509"]},{"id":"ITEM-4","itemData":{"DOI":"10.1002/ajmg.c.31449","abstract":"Since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Genetics","id":"ITEM-4","issue":"3","issued":{"date-parts":[["2015","9"]]},"language":"English","note":"From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update","type":"article-journal","volume":"169"},"uris":["http://www.mendeley.com/documents/?uuid=acb46dbc-8007-4dc4-b32c-d930a3f9d182"]}],"mendeley":{"formattedCitation":"(Agatino Battaglia et al., 2015b; Biswas et al., 2014; Hannes et al., 2010; Shanske et al., 2010)","manualFormatting":"(Battaglia et al., 2015; Biswas et al., 2014; Hannes, Drozniewska, Vermeesch, &amp; Haus, 2010; Shanske, Yachelevich, Ala-Kokko, Leonard, &amp; Levy, 2010)","plainTextFormattedCitation":"(Agatino Battaglia et al., 2015b; Biswas et al., 2014; Hannes et al., 2010; Shanske et al., 2010)","previouslyFormattedCitation":"(Agatino Battaglia et al., 2015b; Biswas et al., 2014; Hannes et al., 2010; Shanske et al., 2010)"},"properties":{"noteIndex":0},"schema":"https://github.com/citation-style-language/schema/raw/master/csl-citation.json"}</w:instrText>
      </w:r>
      <w:r w:rsidRPr="006A1EC7">
        <w:rPr>
          <w:noProof/>
        </w:rPr>
        <w:fldChar w:fldCharType="separate"/>
      </w:r>
      <w:r w:rsidRPr="006A1EC7">
        <w:rPr>
          <w:noProof/>
        </w:rPr>
        <w:t>(Battaglia et al., 2015; Biswas et al., 2014; Hannes, Drozniewska, Vermeesch, &amp; Haus, 2010; Shanske, Yachelevich, Ala-Kokko, Leonard, &amp; Levy, 2010)</w:t>
      </w:r>
      <w:r w:rsidRPr="006A1EC7">
        <w:rPr>
          <w:noProof/>
        </w:rPr>
        <w:fldChar w:fldCharType="end"/>
      </w:r>
      <w:r w:rsidRPr="006A1EC7">
        <w:rPr>
          <w:noProof/>
        </w:rPr>
        <w:t xml:space="preserve">. </w:t>
      </w:r>
    </w:p>
    <w:p w14:paraId="4BEDE65D" w14:textId="33115D49" w:rsidR="008F4ABD" w:rsidRPr="006A1EC7" w:rsidRDefault="008F4ABD" w:rsidP="008F4ABD">
      <w:pPr>
        <w:spacing w:line="360" w:lineRule="auto"/>
        <w:rPr>
          <w:noProof/>
        </w:rPr>
      </w:pPr>
      <w:r w:rsidRPr="006A1EC7">
        <w:rPr>
          <w:noProof/>
        </w:rPr>
        <w:tab/>
        <w:t xml:space="preserve">Next, the ‘Other’ subtheme collated narratives around growing, facial features, dermatology and the negative themes (blood clots, internal malformations and problems with veins). In the subtheme of ‘Growing’, participant accounts reflect low birth weights, slow growth, continued small stature as well as prematurity. Both pre- and postnatal growth deficiencies with low birth weights are common for individuals diagnosed with </w:t>
      </w:r>
      <w:r w:rsidR="009F0718" w:rsidRPr="006A1EC7">
        <w:rPr>
          <w:noProof/>
        </w:rPr>
        <w:t>WHS</w:t>
      </w:r>
      <w:r w:rsidRPr="006A1EC7">
        <w:rPr>
          <w:noProof/>
        </w:rPr>
        <w:t xml:space="preserve"> and are well-reported in the literature </w:t>
      </w:r>
      <w:r w:rsidRPr="006A1EC7">
        <w:rPr>
          <w:noProof/>
        </w:rPr>
        <w:fldChar w:fldCharType="begin" w:fldLock="1"/>
      </w:r>
      <w:r w:rsidRPr="006A1EC7">
        <w:rPr>
          <w:noProof/>
        </w:rPr>
        <w:instrText>ADDIN CSL_CITATION {"citationItems":[{"id":"ITEM-1","itemData":{"DOI":"10.1007/s00431-007-0595-8","ISBN":"1432-1076","ISSN":"03406199","PMID":"17874131","abstract":"Wolf-Hirschhorn syndrome is characterized by severe growth and mental retardation, microcephaly, seizures and 'Greek helmet' facies, caused by partial deletion of the short arm of chromosome 4. Growth charts are given from 0-4 years of age, based on the study of 101 individuals. Use of these specific growth charts is recommended, because standard growth charts are inapplicable for patients with WHS.","author":[{"dropping-particle":"","family":"Antonius","given":"T.","non-dropping-particle":"","parse-names":false,"suffix":""},{"dropping-particle":"","family":"Draaisma","given":"J.","non-dropping-particle":"","parse-names":false,"suffix":""},{"dropping-particle":"","family":"Levtchenko","given":"E.","non-dropping-particle":"","parse-names":false,"suffix":""},{"dropping-particle":"","family":"Knoers","given":"N.","non-dropping-particle":"","parse-names":false,"suffix":""},{"dropping-particle":"","family":"Renier","given":"W.","non-dropping-particle":"","parse-names":false,"suffix":""},{"dropping-particle":"","family":"Ravenswaaij","given":"C.","non-dropping-particle":"Van","parse-names":false,"suffix":""}],"container-title":"European Journal of Pediatrics","id":"ITEM-1","issue":"7","issued":{"date-parts":[["2008"]]},"language":"English","note":"From Duplicate 2 (Growth charts for Wolf-Hirschhorn syndrome (0-4 years of age) - Antonius, T; Draaisma, J; Levtchenko, E; Knoers, N; Renier, W; Van Ravenswaaij, C)\n\nCited By :12\n\nExport Date: 5 January 2018\n\nCODEN: EJPED\n\nCorrespondence Address: Antonius, T.; Department of Paediatrics, Radboud University Medical Center Nijmegen, Geert Grooteplein 10, Nijmegen 6500 HB, Netherlands; email: t.antonius@cukz.umcn.nl","page":"807-810","publisher-place":"Department of Paediatrics, Radboud University Medical Center Nijmegen, Geert Grooteplein 10, Nijmegen 6500 HB, Netherlands","title":"Growth charts for Wolf-Hirschhorn syndrome (0-4 years of age)","type":"article-journal","volume":"167"},"uris":["http://www.mendeley.com/documents/?uuid=39e6f6c8-790f-41a1-b3a8-fe1faef0a948"]},{"id":"ITEM-2","itemData":{"DOI":"10.1093/omcr/omv008","ISSN":"2053-8855","PMID":"25988083","abstract":"Wolf-Hirschhorn syndrome (WHS) is a rare congenital disorder occurring in approximately 1/50 000 births, with marked pre- and postnatal growth failure. WHS results from the hemizygous deletion encompassing the 4p16.3 region. This report of two children with WHS shows that growth hormone treatment in selected children with WHS and severe short stature may have a substantial effect on long-term growth.","author":[{"dropping-particle":"","family":"Austin","given":"Devon E","non-dropping-particle":"","parse-names":false,"suffix":""},{"dropping-particle":"","family":"Gunn","given":"Alistair J","non-dropping-particle":"","parse-names":false,"suffix":""},{"dropping-particle":"","family":"Jefferies","given":"Craig A","non-dropping-particle":"","parse-names":false,"suffix":""}],"container-title":"Oxford medical case reports","id":"ITEM-2","issue":"2","issued":{"date-parts":[["2015"]]},"page":"211-4","title":"Severe short stature and Wolf-Hirschhorn syndrome: response to growth hormone in two cases without growth hormone deficiency.","type":"article-journal","volume":"2015"},"uris":["http://www.mendeley.com/documents/?uuid=a3ad77ec-daf3-4d3b-8f28-569e85e8dc45"]},{"id":"ITEM-3","itemData":{"author":[{"dropping-particle":"","family":"Centerwall","given":"W.","non-dropping-particle":"","parse-names":false,"suffix":""},{"dropping-particle":"","family":"Thompson","given":"W.","non-dropping-particle":"","parse-names":false,"suffix":""},{"dropping-particle":"","family":"Irving","given":"A.","non-dropping-particle":"","parse-names":false,"suffix":""},{"dropping-particle":"","family":"Fobes","given":"C.","non-dropping-particle":"","parse-names":false,"suffix":""}],"container-title":"American Journal of Disease of Children","id":"ITEM-3","issued":{"date-parts":[["1975"]]},"title":"Translocation 4p- Syndrome: A general review","type":"article-journal","volume":"129"},"uris":["http://www.mendeley.com/documents/?uuid=f0608f1e-822f-4a72-ae90-cdc64016ad0f"]},{"id":"ITEM-4","itemData":{"DOI":"10.1016/j.jaapos.2009.02.011","ISBN":"1528-3933 (Electronic)\\n1528-3933 (Linking)","ISSN":"10918531","PMID":"19541266","abstract":"Introduction: Wolf-Hirschhorn syndrome (WHS) multiple congenital anomalies/mental retardation is caused by partial deletion of the short arm of chromosome 4 and can be considered a contiguous gene syndrome, characterized by typical facial appearance, mental retardation, growth delay, and seizures. Methods: We investigated the ocular defects in a population of 10 patients with WHS and analyzed the relationship between ocular findings and the extent of deletion on chromosome 4. Results: The ocular abnormalities found included hypertelorism, strabismus, refractive errors, epicanthal folds, proptosis, downslanting palpebral fissures, microphthalmos, microcornea, iris coloboma, optic nerve coloboma, ocular cyst, ptosis, glaucoma, and nystagmus. Different breakpoints of the chromosomal rearrangement were observed in individual patients, ranging from 4p15.1 to 4p16.3, and the size of chromosomal deletion ranged from 2.6 to 26 million base pairs. Conclusions: Congenital glaucoma and colobomatous ocular cysts have rarely been described in WHS patients that were previously reported. In all cases exhibiting strabismus, an exodeviation was present. Comparing genotype with ocular phenotype, a relationship between the size of deletion and the severity of the ocular involvement was observed in all cases but one.{A figure is presented}. ?? 2009 American Association for Pediatric Ophthalmology and Strabismus.","author":[{"dropping-particle":"","family":"Dickmann","given":"Anna","non-dropping-particle":"","parse-names":false,"suffix":""},{"dropping-particle":"","family":"Parrilla","given":"Rosa","non-dropping-particle":"","parse-names":false,"suffix":""},{"dropping-particle":"","family":"Salerni","given":"Annabella","non-dropping-particle":"","parse-names":false,"suffix":""},{"dropping-particle":"","family":"Savino","given":"Gustavo","non-dropping-particle":"","parse-names":false,"suffix":""},{"dropping-particle":"","family":"Vasta","given":"Isabella","non-dropping-particle":"","parse-names":false,"suffix":""},{"dropping-particle":"","family":"Zollino","given":"Marcella","non-dropping-particle":"","parse-names":false,"suffix":""},{"dropping-particle":"","family":"Petroni","given":"Sergio","non-dropping-particle":"","parse-names":false,"suffix":""},{"dropping-particle":"","family":"Zampino","given":"Giuseppe","non-dropping-particle":"","parse-names":false,"suffix":""}],"container-title":"Journal of AAPOS","id":"ITEM-4","issue":"3","issued":{"date-parts":[["2009"]]},"language":"English","note":"From Duplicate 1 (Ocular manifestations in Wolf-Hirschhorn syndrome - Dickmann, A; Parrilla, R; Salerni, A; Savino, G; Vasta, I; Zollino, M; Petroni, S; Zampino, G)\n\nCited By :9\n\nExport Date: 5 January 2018\n\nCODEN: JAOAB\n\nCorrespondence Address: Parrilla, R.; Ophtalmology Institute, Catholic University of Rome, Rome, Italy; email: roparrilla@yahoo.it","page":"264-267","publisher":"American Association for Pediatric Ophthalmology and Strabismus","publisher-place":"Ophtalmology Institute, Catholic University of Rome, Rome, Italy","title":"Ocular manifestations in Wolf-Hirschhorn syndrome","type":"article-journal","volume":"13"},"uris":["http://www.mendeley.com/documents/?uuid=c118a99f-0455-44c1-9c89-0965cfca7051"]},{"id":"ITEM-5","itemData":{"DOI":"10.1002/ajmg.c.31449","ISBN":"0000000000000","ISSN":"15524876","PMID":"26239400","abstract":"Since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Genetics","id":"ITEM-5","issue":"3","issued":{"date-parts":[["2015","9"]]},"language":"English","note":"From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update","type":"article-journal","volume":"169"},"uris":["http://www.mendeley.com/documents/?uuid=24c81fdd-ba44-4a54-bde3-6fe1c64d9570"]},{"id":"ITEM-6","itemData":{"DOI":"10.1136/jmg.38.10.674","ISBN":"1468-6244 (Electronic)\\n1468-6244 (Linking)","ISSN":"1468-6244","PMID":"11584045","abstract":"OBJECTIVE: Early research into Wolf-Hirschhorn syndrome (WHS) described a high mortality and no relationship between deletion size and phenotype. This may need to be revised in the light of improved cytogenetic resolution and medical care. We have collected epidemiological data to allow the calculation of birth incidence and mortality figures. In addition, we have investigated the possibility of a relationship between deletion size and mortality.\\n\\nMETHOD: Information relating to past and present cases diagnosed in the UK was collected by multiple ascertainment.\\n\\nRESULTS: A total of 159 cases were collected. The status (alive or dead) was determined for 146, of whom 96 are alive, 37 had died, and 13 were detected on prenatal diagnostic tests. A minimum birth incidence of 1 in 95 896 was calculated. The crude infant mortality rate was 17% (23/132) and in the first two years of life the mortality rate was 21% (28/132). Cases with large de novo deletions (proximal to and including p15.2) were more likely to have died than those with smaller deletions (odds ratio=5.7, 95% CI=1.7-19.9) after adjusting for age. A comparison of survival curves for de novo deletions and translocations did not show a statistically significant difference (p=0.11). The median survival time for de novo deletions was 34+ years while for translocation cases it was 18+ years.\\n\\nCONCLUSIONS: The mortality rate is lower than previously reported. There is a statistically significant relationship between deletion size and overall risk of death in de novo deletion cases. The difference in survival curves between de novo deletions and translocations is not statistically significant.","author":[{"dropping-particle":"","family":"Shannon","given":"N L","non-dropping-particle":"","parse-names":false,"suffix":""},{"dropping-particle":"","family":"Maltby","given":"E L","non-dropping-particle":"","parse-names":false,"suffix":""},{"dropping-particle":"","family":"Rigby","given":"A S","non-dropping-particle":"","parse-names":false,"suffix":""},{"dropping-particle":"","family":"Quarrell","given":"O W J","non-dropping-particle":"","parse-names":false,"suffix":""}],"container-title":"Journal of medical genetics","id":"ITEM-6","issue":"10","issued":{"date-parts":[["2001","10"]]},"language":"English","note":"From Duplicate 1 (An epidemiological study of Wolf-Hirschhorn syndrome: Life expectancy and cause of mortality - Shannon, N L; Maltby, E L; Rigby, A S; Quarrell, O W J)\n\nFrom Duplicate 1 (An epidemiological study of Wolf-Hirschhorn syndrome: Life expectancy and cause of mortality - Shannon, N L; Maltby, E L; Rigby, A S; Quarrell, O W J)\n\nCited By :58\n\nExport Date: 5 January 2018\n\nCODEN: JMDGA\n\nCorrespondence Address: Shannon, N.L.; Clinical Genetics Unit, Birmingham Women's Hospital, Birmingham B15 2TG, United Kingdom; email: nora_shannon@postmaster.co.uk","page":"674-679","publisher-place":"North Trent Genetics Service, Sheffield Children's Hospital, Western Bank, Sheffield S10 2TH, United Kingdom","title":"An epidemiological study of Wolf-Hirschhorn syndrome: life expectancy and cause of mortality.","type":"article-journal","volume":"38"},"uris":["http://www.mendeley.com/documents/?uuid=01ece509-b613-40ab-ac37-fa4a5c49d71d"]},{"id":"ITEM-7","itemData":{"DOI":"10.1002/ajmg.c.30190","ISBN":"1552-4876 (Electronic)","ISSN":"15524868","PMID":"18932124","abstract":"Based on genotype-phenotype correlation analysis of 80 Wolf-Hirschhorn syndrome (WHS) patients, as well as on review of relevant literature, we add further insights to the following aspects of WHS: (1) clinical delineation and phenotypic categories; (2) characterization of the basic genomic defect, mechanisms of origin and familiarity; (3) identification of prognostic factors for mental retardation; (4) chromosome mapping of the distinctive clinical signs, in an effort to identify pathogenic genes. Clinically, we consider that minimal diagnostic criteria for WHS, defining a \"core\" phenotype, are typical facial appearance, mental retardation, growth delay and seizures (or EEG anomalies). Three different categories of the WHS phenotype were defined, generally correlating with the extent of the 4p deletion. The first one comprises a small deletion not exceeding 3.5 Mb, that is usually associated with a mild phenotype, lacking major malformations. This category is likely under-diagnosed. The second and by far the more frequent category is identified by large deletions, averaging between 5 and 18 Mb, and causes the widely recognizable WHS phenotype. The third clinical category results from a very large deletion exceeding 22-25 Mb causing a severe phenotype, that can hardly be defined as typical WHS. Genetically, de novo chromosome abnormalities in WHS include pure deletions but also complex rearrangements, mainly unbalanced translocations. With the exception of t(4p;8p), WHS-associated chromosome abnormalities are neither mediated by segmental duplications, nor associated with a parental inversion polymorphism on 4p16.3. Factors involved in prediction of prognosis include the extent of the deletion, the occurrence of complex chromosome anomalies, and the severity of seizures. We found that the core phenotype maps within the terminal 1.9 Mb region of chromosome 4p. Therefore, WHSCR-2 should be considered the critical region for this condition. We also confirmed that the pathogenesis of WHS is multigenic. Specific and independent chromosome regions were characterized for growth delay and seizures, as well as for the additional clinical signs that characterize this condition. With the exception of parental balanced translocations, familial recurrence is uncommon.","author":[{"dropping-particle":"","family":"Zollino","given":"Marcella","non-dropping-particle":"","parse-names":false,"suffix":""},{"dropping-particle":"","family":"Murdolo","given":"Marina","non-dropping-particle":"","parse-names":false,"suffix":""},{"dropping-particle":"","family":"Marangi","given":"Giuseppe","non-dropping-particle":"","parse-names":false,"suffix":""},{"dropping-particle":"","family":"Pecile","given":"Vanna","non-dropping-particle":"","parse-names":false,"suffix":""},{"dropping-particle":"","family":"Galasso","given":"Cinzia","non-dropping-particle":"","parse-names":false,"suffix":""},{"dropping-particle":"","family":"Mazzanti","given":"Laura","non-dropping-particle":"","parse-names":false,"suffix":""},{"dropping-particle":"","family":"Neri","given":"Giovanni","non-dropping-particle":"","parse-names":false,"suffix":""}],"container-title":"American journal of medical genetics. Part C, Seminars in medical genetics","id":"ITEM-7","issue":"4","issued":{"date-parts":[["2008","11"]]},"page":"257-269","title":"On the nosology and pathogenesis of Wolf-Hirschhorn syndrome: Genotype-phenotype correlation analysis of 80 patients and literature review","type":"article-journal","volume":"148C"},"uris":["http://www.mendeley.com/documents/?uuid=70e28f91-bd88-443c-a4a0-868c7479c7f1"]}],"mendeley":{"formattedCitation":"(Antonius et al., 2008; D. E. Austin et al., 2015; Agatino Battaglia et al., 2015a; Centerwall et al., 1975; Anna Dickmann et al., 2009; Shannon et al., 2001; Zollino et al., 2008)","manualFormatting":"(Antonius et al., 2008; Austin et al., 2015; Battaglia et al., 2015; Centerwall et al., 1975; Dickmann et al., 2009; Shannon et al., 2001; Zollino et al., 2008)","plainTextFormattedCitation":"(Antonius et al., 2008; D. E. Austin et al., 2015; Agatino Battaglia et al., 2015a; Centerwall et al., 1975; Anna Dickmann et al., 2009; Shannon et al., 2001; Zollino et al., 2008)","previouslyFormattedCitation":"(Antonius et al., 2008; D. E. Austin et al., 2015; Agatino Battaglia et al., 2015a; Centerwall et al., 1975; Anna Dickmann et al., 2009; Shannon et al., 2001; Zollino et al., 2008)"},"properties":{"noteIndex":0},"schema":"https://github.com/citation-style-language/schema/raw/master/csl-citation.json"}</w:instrText>
      </w:r>
      <w:r w:rsidRPr="006A1EC7">
        <w:rPr>
          <w:noProof/>
        </w:rPr>
        <w:fldChar w:fldCharType="separate"/>
      </w:r>
      <w:r w:rsidRPr="006A1EC7">
        <w:rPr>
          <w:noProof/>
        </w:rPr>
        <w:t>(Antonius et al., 2008; Austin et al., 2015; Battaglia et al., 2015; Centerwall et al., 1975; Dickmann et al., 2009; Shannon et al., 2001; Zollino et al., 2008)</w:t>
      </w:r>
      <w:r w:rsidRPr="006A1EC7">
        <w:rPr>
          <w:noProof/>
        </w:rPr>
        <w:fldChar w:fldCharType="end"/>
      </w:r>
      <w:r w:rsidRPr="006A1EC7">
        <w:rPr>
          <w:noProof/>
        </w:rPr>
        <w:t xml:space="preserve">. Likely reasons for this are orofacial defects, continued poor feeding as a result of difficulties in sucking and swallowing, genetic factors, gastro-oesophageal reflux and repeated infections </w:t>
      </w:r>
      <w:r w:rsidRPr="006A1EC7">
        <w:rPr>
          <w:noProof/>
        </w:rPr>
        <w:fldChar w:fldCharType="begin" w:fldLock="1"/>
      </w:r>
      <w:r w:rsidRPr="006A1EC7">
        <w:rPr>
          <w:noProof/>
        </w:rPr>
        <w:instrText>ADDIN CSL_CITATION {"citationItems":[{"id":"ITEM-1","itemData":{"DOI":"10.1007/s00431-007-0595-8","ISBN":"1432-1076","ISSN":"03406199","PMID":"17874131","abstract":"Wolf-Hirschhorn syndrome is characterized by severe growth and mental retardation, microcephaly, seizures and 'Greek helmet' facies, caused by partial deletion of the short arm of chromosome 4. Growth charts are given from 0-4 years of age, based on the study of 101 individuals. Use of these specific growth charts is recommended, because standard growth charts are inapplicable for patients with WHS.","author":[{"dropping-particle":"","family":"Antonius","given":"T.","non-dropping-particle":"","parse-names":false,"suffix":""},{"dropping-particle":"","family":"Draaisma","given":"J.","non-dropping-particle":"","parse-names":false,"suffix":""},{"dropping-particle":"","family":"Levtchenko","given":"E.","non-dropping-particle":"","parse-names":false,"suffix":""},{"dropping-particle":"","family":"Knoers","given":"N.","non-dropping-particle":"","parse-names":false,"suffix":""},{"dropping-particle":"","family":"Renier","given":"W.","non-dropping-particle":"","parse-names":false,"suffix":""},{"dropping-particle":"","family":"Ravenswaaij","given":"C.","non-dropping-particle":"Van","parse-names":false,"suffix":""}],"container-title":"European Journal of Pediatrics","id":"ITEM-1","issue":"7","issued":{"date-parts":[["2008"]]},"language":"English","note":"From Duplicate 2 (Growth charts for Wolf-Hirschhorn syndrome (0-4 years of age) - Antonius, T; Draaisma, J; Levtchenko, E; Knoers, N; Renier, W; Van Ravenswaaij, C)\n\nCited By :12\n\nExport Date: 5 January 2018\n\nCODEN: EJPED\n\nCorrespondence Address: Antonius, T.; Department of Paediatrics, Radboud University Medical Center Nijmegen, Geert Grooteplein 10, Nijmegen 6500 HB, Netherlands; email: t.antonius@cukz.umcn.nl","page":"807-810","publisher-place":"Department of Paediatrics, Radboud University Medical Center Nijmegen, Geert Grooteplein 10, Nijmegen 6500 HB, Netherlands","title":"Growth charts for Wolf-Hirschhorn syndrome (0-4 years of age)","type":"article-journal","volume":"167"},"uris":["http://www.mendeley.com/documents/?uuid=39e6f6c8-790f-41a1-b3a8-fe1faef0a948"]},{"id":"ITEM-2","itemData":{"DOI":"10.1002/ajmg.c.31449","ISBN":"0000000000000","ISSN":"15524876","PMID":"26239400","abstract":"Since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Genetics","id":"ITEM-2","issue":"3","issued":{"date-parts":[["2015","9"]]},"language":"English","note":"From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update","type":"article-journal","volume":"169"},"uris":["http://www.mendeley.com/documents/?uuid=24c81fdd-ba44-4a54-bde3-6fe1c64d9570"]}],"mendeley":{"formattedCitation":"(Antonius et al., 2008; Agatino Battaglia et al., 2015a)","manualFormatting":"(Antonius et al., 2008; Battaglia et al., 2015)","plainTextFormattedCitation":"(Antonius et al., 2008; Agatino Battaglia et al., 2015a)","previouslyFormattedCitation":"(Antonius et al., 2008; Agatino Battaglia et al., 2015a)"},"properties":{"noteIndex":0},"schema":"https://github.com/citation-style-language/schema/raw/master/csl-citation.json"}</w:instrText>
      </w:r>
      <w:r w:rsidRPr="006A1EC7">
        <w:rPr>
          <w:noProof/>
        </w:rPr>
        <w:fldChar w:fldCharType="separate"/>
      </w:r>
      <w:r w:rsidRPr="006A1EC7">
        <w:rPr>
          <w:noProof/>
        </w:rPr>
        <w:t>(Antonius et al., 2008; Battaglia et al., 2015)</w:t>
      </w:r>
      <w:r w:rsidRPr="006A1EC7">
        <w:rPr>
          <w:noProof/>
        </w:rPr>
        <w:fldChar w:fldCharType="end"/>
      </w:r>
      <w:r w:rsidRPr="006A1EC7">
        <w:rPr>
          <w:noProof/>
        </w:rPr>
        <w:t xml:space="preserve">. The efficacy of growth </w:t>
      </w:r>
      <w:r w:rsidRPr="006A1EC7">
        <w:rPr>
          <w:noProof/>
        </w:rPr>
        <w:lastRenderedPageBreak/>
        <w:t xml:space="preserve">hormone for children with </w:t>
      </w:r>
      <w:r w:rsidR="009F0718" w:rsidRPr="006A1EC7">
        <w:rPr>
          <w:noProof/>
        </w:rPr>
        <w:t>WHS</w:t>
      </w:r>
      <w:r w:rsidRPr="006A1EC7">
        <w:rPr>
          <w:noProof/>
        </w:rPr>
        <w:t xml:space="preserve"> is yet to be established, but participants in the sample reported positive effects.</w:t>
      </w:r>
    </w:p>
    <w:p w14:paraId="00AB4CEA" w14:textId="77777777" w:rsidR="008F4ABD" w:rsidRPr="006A1EC7" w:rsidRDefault="008F4ABD" w:rsidP="008F4ABD">
      <w:pPr>
        <w:spacing w:line="360" w:lineRule="auto"/>
        <w:ind w:firstLine="720"/>
      </w:pPr>
      <w:r w:rsidRPr="006A1EC7">
        <w:t xml:space="preserve">While not specifically asked about distinct facial features of their relatives, due to the potential negative emotional impact talking about their relatives’ ‘different’ appearance, participants offered insight into this area, to some extent, without being prompted. Participants did describe a number of facial features, however, no in-depth questions were asked. This is a limitation of the current study, but facial features in WHS are already described extensively in the literature. While (cosmetic) facial features may not be important in terms of assessment of functioning, it is important that the Clinical Outcome Assessment does assess the facial dysmorphism of patients, in order to be applicable for both research and clinical practice, as expected for a COA). One reason for this is the conflicting evidence for the hypothesis that the degree of facial dysmorphism in WHS may correlate with the deletion size, and/or syndrome severity, the COA offers a way to capture salient aspects to these three variables and may shed light on their relationship. </w:t>
      </w:r>
    </w:p>
    <w:p w14:paraId="46B2594A" w14:textId="6C8FDE6A" w:rsidR="008F4ABD" w:rsidRPr="006A1EC7" w:rsidRDefault="008F4ABD" w:rsidP="008F4ABD">
      <w:pPr>
        <w:spacing w:line="360" w:lineRule="auto"/>
        <w:ind w:firstLine="720"/>
      </w:pPr>
      <w:r w:rsidRPr="006A1EC7">
        <w:t xml:space="preserve">Next, the subtheme of Dermatology was another very small theme consisting of reports of an ear tag and Mongolian blue spot. Preauricular skin tags and Mongolian blue spots were previously reported for WHS </w:t>
      </w:r>
      <w:r w:rsidRPr="006A1EC7">
        <w:fldChar w:fldCharType="begin" w:fldLock="1"/>
      </w:r>
      <w:r w:rsidRPr="006A1EC7">
        <w:instrText>ADDIN CSL_CITATION {"citationItems":[{"id":"ITEM-1","itemData":{"abstract":"Wolf-Hirschhorn syndrome (WHS) is a congenital disorder associated with 4 chromosome microdeletion. The patients suffer from various deformities. Among them, mental and growth retardation, even in the fetus, are observed. Most of the characteristics concern facial features. The \"Greek warrior helmet appearance\" is the most characteristic feature and refers to the facial view with prominent glabella, high arched eyebrow, broad nasal bridge and hypertelorism. Another characteristic feature is microcephalia with micrognathia. The features are more pronounced in infants. Clefts of lip and/or palate are observed in almost half of the cases. The characteristic thing is that the more genetic material is missing, the more pronounced are the dimorphic features of the syndrome. Mostly, the dental status does not differ much from that of the healthy individuals. It had been proven though that WHS-patients are more prone to anomalies in dental structures. Cone-shaped and taurodontic teeth were observed. Multiple tooth agenesis (mainly at premolars and molars) with over-retained deciduous dentition might be associated with MSX1-gene impairment.","author":[{"dropping-particle":"","family":"Paradowska-Stolarz","given":"Anna M","non-dropping-particle":"","parse-names":false,"suffix":""}],"container-title":"Advances in Clinical and Experimental Medicine","id":"ITEM-1","issue":"3","issued":{"date-parts":[["2014"]]},"language":"English","note":"From Duplicate 1 (Wolf-Hirschhorn Syndrome (WHS) - Literature review on the features of the syndrome - Paradowska-Stolarz, A M)\n\nCited By :12\n\nExport Date: 5 January 2018\n\nCorrespondence Address: Paradowska-Stolarz, A.M.; Department of Dentofacial Anomalies, Department of Orthodontics, Wroclaw Medical University, Krakowska 26, 50-425 Wrocław, Poland; email: anna.paradowska-stolarz@umed.wroc.pl","page":"485-489","publisher":"Wroclaw University of Medicine","publisher-place":"Department of Dentofacial Anomalies, Department of Orthodontics, Wroclaw Medical University, Krakowska 26, 50-425 Wrocław, Poland","title":"Wolf-Hirschhorn Syndrome (WHS) - Literature review on the features of the syndrome","type":"article-journal","volume":"23"},"uris":["http://www.mendeley.com/documents/?uuid=1efc7f4f-e6c8-4190-b78f-734c8a45496d"]},{"id":"ITEM-2","itemData":{"DOI":"10.1002/ajmg.c.31449","ISBN":"0000000000000","ISSN":"15524876","PMID":"26239400","abstract":"Since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Genetics","id":"ITEM-2","issue":"3","issued":{"date-parts":[["2015","9"]]},"language":"English","note":"From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update","type":"article-journal","volume":"169"},"uris":["http://www.mendeley.com/documents/?uuid=24c81fdd-ba44-4a54-bde3-6fe1c64d9570"]},{"id":"ITEM-3","itemData":{"DOI":"10.1002/ajmg.a.33159","ISBN":"1552-4833 (Electronic)","ISSN":"15524825","PMID":"20034099","author":[{"dropping-particle":"","family":"Shanske","given":"Alan L.","non-dropping-particle":"","parse-names":false,"suffix":""},{"dropping-particle":"","family":"Yachelevich","given":"Naomi","non-dropping-particle":"","parse-names":false,"suffix":""},{"dropping-particle":"","family":"Ala-Kokko","given":"Leena","non-dropping-particle":"","parse-names":false,"suffix":""},{"dropping-particle":"","family":"Leonard","given":"Jay","non-dropping-particle":"","parse-names":false,"suffix":""},{"dropping-particle":"","family":"Levy","given":"Brynn","non-dropping-particle":"","parse-names":false,"suffix":""}],"container-title":"American Journal of Medical Genetics, Part A","id":"ITEM-3","issue":"1","issued":{"date-parts":[["2010"]]},"language":"English","note":"From Duplicate 2 (Wolf-Hirschhorn syndrome and ectrodactyly: New findings and a review of the literature - Shanske, A L; Yachelevich, N; Ala-Kokko, L; Leonard, J; Levy, B)\n\nCited By :5\n\nExport Date: 5 January 2018\n\nCODEN: AJMGD\n\nCorrespondence Address: Shanske, A. L.; Center for Craniofacial Disorders, Children's Hospital at Montefiore, Albert Einstein College of Medicine, Bronx, NY, United States; email: ashanske@aol.com","page":"203-208","publisher-place":"Center for Craniofacial Disorders, Children's Hospital at Montefiore, Albert Einstein College of Medicine, Bronx, NY, United States","title":"Wolf-Hirschhorn syndrome and ectrodactyly: New findings and a review of the literature","type":"article-journal","volume":"152"},"uris":["http://www.mendeley.com/documents/?uuid=f2ec0bff-4966-49f3-b78b-29aa47b69398"]}],"mendeley":{"formattedCitation":"(Agatino Battaglia et al., 2015a; Paradowska-Stolarz, 2014; Shanske et al., 2010)","manualFormatting":"(Battaglia et al., 2015; Paradowska-Stolarz, 2014; Shanske et al., 2010)","plainTextFormattedCitation":"(Agatino Battaglia et al., 2015a; Paradowska-Stolarz, 2014; Shanske et al., 2010)","previouslyFormattedCitation":"(Agatino Battaglia et al., 2015a; Paradowska-Stolarz, 2014; Shanske et al., 2010)"},"properties":{"noteIndex":0},"schema":"https://github.com/citation-style-language/schema/raw/master/csl-citation.json"}</w:instrText>
      </w:r>
      <w:r w:rsidRPr="006A1EC7">
        <w:fldChar w:fldCharType="separate"/>
      </w:r>
      <w:r w:rsidRPr="006A1EC7">
        <w:rPr>
          <w:noProof/>
        </w:rPr>
        <w:t>(Battaglia et al., 2015; Paradowska-Stolarz, 2014; Shanske et al., 2010)</w:t>
      </w:r>
      <w:r w:rsidRPr="006A1EC7">
        <w:fldChar w:fldCharType="end"/>
      </w:r>
      <w:r w:rsidRPr="006A1EC7">
        <w:t xml:space="preserve">. Firstly, the clinical significance of this to the patient is debatable as ear tags have few consequences and can be removed with simple elective surgery, as described by the parent in the sample.  Secondly, it is important to note that the presence of these dermatological abnormalities may be a coincidence, and not the result of WHS. Mongolian blue spots are relatively common, especially in mixed-race or darker skinned individuals; and are thought to have no or little medical consequences </w:t>
      </w:r>
      <w:r w:rsidRPr="006A1EC7">
        <w:fldChar w:fldCharType="begin" w:fldLock="1"/>
      </w:r>
      <w:r w:rsidRPr="006A1EC7">
        <w:instrText>ADDIN CSL_CITATION {"citationItems":[{"id":"ITEM-1","itemData":{"DOI":"10.1177/000992288102001105","ISSN":"19382707","abstract":"Four hundred thirty-seven consecutively born full-term neonates, delivered at Jackson Memorial Hospital, were examined for the presence of mongolian spots (MS). The spots were found in 96% of the Negro children, 46% of the Hispanic children, 9.5% of the Caucasian children, and in both of the Asian children in the series. The sacro-gluteal region was the most frequent site of pigmentation, with the shoulders next in frequency. Almost all the spots on the extremities were located on the extensor surfaces. The color was most fre quently blue-green, but was also commonly greenish-blue, blue-gray, or brown. In a concurrent review of 124 newborn records, MS was not described by house officers in any, although the probability of its occurrence would have been approximately 90 cases, based on the results of the study. A comprehen sive review of the history of the description of MS and theories of its develop ment, as well as a review of the clinical aspects, is presented. © 1981, Sage Publications. All rights reserved.","author":[{"dropping-particle":"","family":"Cordova","given":"Alberto","non-dropping-particle":"","parse-names":false,"suffix":""}],"container-title":"Clinical Pediatrics","id":"ITEM-1","issued":{"date-parts":[["1981"]]},"title":"The Mongolian Spot: A Study of Ethnic Differences and a Literature Review","type":"article-journal"},"uris":["http://www.mendeley.com/documents/?uuid=9f3db018-32d4-4475-a915-4ff3050ecf55"]},{"id":"ITEM-2","itemData":{"DOI":"10.12998/wjcc.v1.i8.230","ISSN":"2307-8960","abstract":"Mongolian spots (MS) are congenital birthmarks seen most commonly over the lumbosacral area. They are bluish-green to black in color and oval to irregular in shape. They are most commonly found in individuals of African or Asian ethnic background. Although these lesions resolve by one to two years of age, widespread, extrasacral and dark colored MS sometimes persist into adulthood. Aberrant MS over occiput, temple, mandibular area, shoulders and limbs may be confused with other dermal melanocytoses and bruises secondary to child abuse, thus necessitating documentation at birth. Although traditionally believed to be benign in nature, they have now been shown to co-exist with inborn errors of metabolism, most commonly GM1 gangliosidosis and mucopolysaccharidosis type I (Hurler's disease), followed by mucopolysaccharidosis type II (Hunter's syndrome), mucolipidosis, Niemann-Pick disease and mannosidosis. They have also been seen to co-exist with various vascular or other pigmented birthmarks like café-au-lait macules. Co-existing Mongolian spots and vascular birthmarks like nevus flammeus, nevus anemicus or nevus spilus is termed as phakomatosis pigmentovascularis. This review focuses on the important associations of Mongolian spots and stresses upon the importance of screening babies with extensive MS.","author":[{"dropping-particle":"","family":"Gupta","given":"Divya","non-dropping-particle":"","parse-names":false,"suffix":""}],"container-title":"World Journal of Clinical Cases","id":"ITEM-2","issue":"8","issued":{"date-parts":[["2013"]]},"page":"230","title":"Mongolian spots: How important are they?","type":"article-journal","volume":"1"},"uris":["http://www.mendeley.com/documents/?uuid=7763c39f-b493-43af-9ebd-aec85103c0f4"]}],"mendeley":{"formattedCitation":"(Cordova, 1981; Gupta, 2013)","plainTextFormattedCitation":"(Cordova, 1981; Gupta, 2013)","previouslyFormattedCitation":"(Cordova, 1981; Gupta, 2013)"},"properties":{"noteIndex":0},"schema":"https://github.com/citation-style-language/schema/raw/master/csl-citation.json"}</w:instrText>
      </w:r>
      <w:r w:rsidRPr="006A1EC7">
        <w:fldChar w:fldCharType="separate"/>
      </w:r>
      <w:r w:rsidRPr="006A1EC7">
        <w:rPr>
          <w:noProof/>
        </w:rPr>
        <w:t>(Cordova, 1981; Gupta, 2013)</w:t>
      </w:r>
      <w:r w:rsidRPr="006A1EC7">
        <w:fldChar w:fldCharType="end"/>
      </w:r>
      <w:r w:rsidRPr="006A1EC7">
        <w:t xml:space="preserve">. </w:t>
      </w:r>
    </w:p>
    <w:p w14:paraId="43185323" w14:textId="77777777" w:rsidR="008F4ABD" w:rsidRPr="006A1EC7" w:rsidRDefault="008F4ABD" w:rsidP="008F4ABD">
      <w:pPr>
        <w:spacing w:line="360" w:lineRule="auto"/>
        <w:ind w:firstLine="720"/>
        <w:rPr>
          <w:noProof/>
        </w:rPr>
      </w:pPr>
      <w:r w:rsidRPr="006A1EC7">
        <w:t xml:space="preserve">Furthermore, due to WHS being a multisystem and heterogeneous disease, </w:t>
      </w:r>
      <w:r w:rsidRPr="006A1EC7">
        <w:rPr>
          <w:noProof/>
          <w:lang w:val="it-IT"/>
        </w:rPr>
        <w:t xml:space="preserve">it was expected that there would be some negative themes for the theme of Clinical features. </w:t>
      </w:r>
      <w:r w:rsidRPr="006A1EC7">
        <w:t xml:space="preserve">The first negative theme was blood: </w:t>
      </w:r>
      <w:r w:rsidRPr="006A1EC7">
        <w:rPr>
          <w:noProof/>
          <w:lang w:val="it-IT"/>
        </w:rPr>
        <w:t>in the literature, there are s</w:t>
      </w:r>
      <w:r w:rsidRPr="006A1EC7">
        <w:rPr>
          <w:noProof/>
        </w:rPr>
        <w:t xml:space="preserve">ome haematological abnormalities, such as myelodysplastic syndrome, anaemia and neutropenia </w:t>
      </w:r>
      <w:r w:rsidRPr="006A1EC7">
        <w:rPr>
          <w:noProof/>
        </w:rPr>
        <w:fldChar w:fldCharType="begin" w:fldLock="1"/>
      </w:r>
      <w:r w:rsidRPr="006A1EC7">
        <w:rPr>
          <w:noProof/>
        </w:rPr>
        <w:instrText>ADDIN CSL_CITATION {"citationItems":[{"id":"ITEM-1","itemData":{"DOI":"10.1002/ajmg.a.20080","ISBN":"1552-4825 (Print)","ISSN":"15524825","PMID":"12749063","abstract":"Wolf-Hirschhorn syndrome (WHS) is a rare chromosomal disorder attributable to a deletion at the short arm of chromosome 4. This syndrome is associated with characteristic facial appearance, multiple congenital abnormalities, mental retardation, feeding difficulties and failure to thrive. We report two girls with WHS who developed myelodysplastic syndrome (MDS). According to the \"Category-Cytology-Cytogenetics (CCC)\"-classification of childhood MDS, patient 1 had refractory cytopenia with ring sideroblasts at the age of 6 years, while patient 2 had refractory cytopenia with dysplasia at the age of 51/2 years. Patient 1 progressed to refractory cytopenia with excess blasts within a year, while patient 2 progressed to acute lymphoblastic leukemia within 1 month of presentation. It is possible that allelic loss of a tumor suppressor gene such as WHSC1 and/or FGFR3 from the deleted segment 4p16.3 plays a critical role in the process of malignant transformation. To our knowledge, this is the first report of severe hematological complications like MDS and leukemia in children with WHS and may be an important genetic model for understanding malignant hematological transformation. This report also underscores the importance of evaluating children with WHS for hematopoietic dysfunction. (C) 2003 Wiley-Liss, Inc.","author":[{"dropping-particle":"","family":"Sharathkumar","given":"Anjali","non-dropping-particle":"","parse-names":false,"suffix":""},{"dropping-particle":"","family":"Kirby","given":"Melanie","non-dropping-particle":"","parse-names":false,"suffix":""},{"dropping-particle":"","family":"Freedman","given":"Melvin","non-dropping-particle":"","parse-names":false,"suffix":""},{"dropping-particle":"","family":"Abdelhaleem","given":"Mohamed","non-dropping-particle":"","parse-names":false,"suffix":""},{"dropping-particle":"","family":"Chitayat","given":"David","non-dropping-particle":"","parse-names":false,"suffix":""},{"dropping-particle":"","family":"Teshima","given":"Ikuko E","non-dropping-particle":"","parse-names":false,"suffix":""},{"dropping-particle":"","family":"Dror","given":"Yigal","non-dropping-particle":"","parse-names":false,"suffix":""}],"container-title":"American journal of medical genetics. Part A","id":"ITEM-1","issue":"2","issued":{"date-parts":[["2003"]]},"note":"From Duplicate 2 (Malignant hematological disorders in children with Wolf-Hirschhorn syndrome - Sharathkumar, A; Kirby, M; Freedman, M; Abdelhaleem, M; Chitayat, D; Teshima, I E; Dror, Y)\n\n12","page":"194-199","title":"Malignant hematological disorders in children with Wolf-Hirschhorn syndrome.","type":"article-journal","volume":"119A"},"uris":["http://www.mendeley.com/documents/?uuid=a5bc2c3c-e82e-4627-bfde-1287a57926f4"]}],"mendeley":{"formattedCitation":"(Sharathkumar et al., 2003)","plainTextFormattedCitation":"(Sharathkumar et al., 2003)","previouslyFormattedCitation":"(Sharathkumar et al., 2003)"},"properties":{"noteIndex":0},"schema":"https://github.com/citation-style-language/schema/raw/master/csl-citation.json"}</w:instrText>
      </w:r>
      <w:r w:rsidRPr="006A1EC7">
        <w:rPr>
          <w:noProof/>
        </w:rPr>
        <w:fldChar w:fldCharType="separate"/>
      </w:r>
      <w:r w:rsidRPr="006A1EC7">
        <w:rPr>
          <w:noProof/>
        </w:rPr>
        <w:t>(Sharathkumar et al., 2003)</w:t>
      </w:r>
      <w:r w:rsidRPr="006A1EC7">
        <w:rPr>
          <w:noProof/>
        </w:rPr>
        <w:fldChar w:fldCharType="end"/>
      </w:r>
      <w:r w:rsidRPr="006A1EC7">
        <w:rPr>
          <w:noProof/>
        </w:rPr>
        <w:t>, reported for children and adults with WHS. However, the issue raised by the father in the study was not related to these abnormalities, but about blood clots. It is not clear from the literature whether having WHS increased a patient’s chance of developing blood clots, as was the father’s worry. Further investigation is required for this negative theme.</w:t>
      </w:r>
    </w:p>
    <w:p w14:paraId="173A3032" w14:textId="6917EC39" w:rsidR="008F4ABD" w:rsidRPr="006A1EC7" w:rsidRDefault="008F4ABD" w:rsidP="008F4ABD">
      <w:pPr>
        <w:spacing w:line="360" w:lineRule="auto"/>
        <w:ind w:firstLine="720"/>
        <w:rPr>
          <w:noProof/>
        </w:rPr>
      </w:pPr>
      <w:r w:rsidRPr="006A1EC7">
        <w:rPr>
          <w:noProof/>
        </w:rPr>
        <w:t xml:space="preserve">Internal malformations was the second negative subtheme. </w:t>
      </w:r>
      <w:r w:rsidRPr="006A1EC7">
        <w:t xml:space="preserve">Intestinal malrotations are “rare congenital” conditions “caused by the absence of or incomplete rotation of the small bowel during the embryonic period and is defined as any deviation from the normal 270 </w:t>
      </w:r>
      <w:r w:rsidRPr="006A1EC7">
        <w:lastRenderedPageBreak/>
        <w:t xml:space="preserve">degree counter-clockwise rotation of the midgut” </w:t>
      </w:r>
      <w:r w:rsidRPr="006A1EC7">
        <w:fldChar w:fldCharType="begin" w:fldLock="1"/>
      </w:r>
      <w:r w:rsidRPr="006A1EC7">
        <w:instrText>ADDIN CSL_CITATION {"citationItems":[{"id":"ITEM-1","itemData":{"DOI":"10.1007/s12262-015-1230-y","ISSN":"09739793","abstract":"Gut malrotation is a congenital anomaly characterized by either lack of rotation or incomplete rotation of gut around axis of superior mesenteric artery. Most patients present within first year of life. Presentation during adult life is considered rare. Diagnosis of intestinal malrotation during adult life is most often by chance rather than by clinical acumen. Once diagnosed, treatment is based on the general principles of management of intestinal obstruction. We are presenting one such case in which CECT abdomen done to look for the diagnosis of acute pancreatitis leads us to the identification of intestinal malrotation.","author":[{"dropping-particle":"","family":"Jadhav","given":"Ravikumar R.","non-dropping-particle":"","parse-names":false,"suffix":""},{"dropping-particle":"","family":"Pai","given":"Vishwas D.","non-dropping-particle":"","parse-names":false,"suffix":""}],"container-title":"Indian Journal of Surgery","id":"ITEM-1","issue":"January","issued":{"date-parts":[["2015"]]},"page":"162-163","title":"Adult Intestinal Malrotation Presenting as Recurrent Vomiting: a Case Report","type":"article-journal","volume":"77"},"uris":["http://www.mendeley.com/documents/?uuid=443098a6-2798-4fc1-81df-8834af92939d","http://www.mendeley.com/documents/?uuid=bddc6800-5fa9-43c1-9923-87cc067ec28b"]}],"mendeley":{"formattedCitation":"(Jadhav &amp; Pai, 2015)","manualFormatting":"(Sahu; Raghuvanshi; Sinha &amp;Kumar Sachan, 2016, p. 162)","plainTextFormattedCitation":"(Jadhav &amp; Pai, 2015)","previouslyFormattedCitation":"(Jadhav &amp; Pai, 2015)"},"properties":{"noteIndex":0},"schema":"https://github.com/citation-style-language/schema/raw/master/csl-citation.json"}</w:instrText>
      </w:r>
      <w:r w:rsidRPr="006A1EC7">
        <w:fldChar w:fldCharType="separate"/>
      </w:r>
      <w:r w:rsidRPr="006A1EC7">
        <w:rPr>
          <w:noProof/>
        </w:rPr>
        <w:t>(Sahu; Raghuvanshi; Sinha &amp;Kumar Sachan, 2016, p. 162)</w:t>
      </w:r>
      <w:r w:rsidRPr="006A1EC7">
        <w:fldChar w:fldCharType="end"/>
      </w:r>
      <w:r w:rsidRPr="006A1EC7">
        <w:t xml:space="preserve">. Symptoms reported by participants, such as ‘bilious vomiting’, are in keeping with the literature </w:t>
      </w:r>
      <w:r w:rsidRPr="006A1EC7">
        <w:fldChar w:fldCharType="begin" w:fldLock="1"/>
      </w:r>
      <w:r w:rsidRPr="006A1EC7">
        <w:instrText>ADDIN CSL_CITATION {"citationItems":[{"id":"ITEM-1","itemData":{"DOI":"10.7759/cureus.2313","abstract":"Malrotation of the gut is a common paediatric condition that usually presents in the first month of life. However, presentation in adults is rare, and as a diagnostic dilemma quite often surprises the surgeon intraoperatively. If this condition is not timely recognized, it may result in disastrous consequences, such as gangrene of the small gut. We present the case of a 21- year-old male who presented to the emergency room with recurrent episodes of colicky abdominal pain and bilious vomiting. Contrast-enhanced computerized tomography (CT) revealed malrotation of the gut. The patient was planned for Ladd’s procedure. Malrotation in adults may present in an acute way due to midgut volvulus or may have a chronic indolent course with recurrent vomiting and abdominal pain. In patients with acute obstruction, this differential should be kept in mind, especially if the patient has no previous abdominal surgery or evidence of tuberculosis. Contrast-enhanced CT is the investigation of choice and reveals typical findings, like whirlpool sign, corkscrew sign, or reversed relation of superior mesenteric artery and vein. The treatment is surgical as failure to do so may result in intestinal gangrene. The procedure of choice is Ladd’s procedure. Every patient, even if asymptomatic, warrants this procedure as it is impossible to predict the timing of catastrophic complications. Categories:","author":[{"dropping-particle":"","family":"Bhatia","given":"Sushant","non-dropping-particle":"","parse-names":false,"suffix":""},{"dropping-particle":"","family":"Jain","given":"Sudhir","non-dropping-particle":"","parse-names":false,"suffix":""},{"dropping-particle":"","family":"Singh","given":"Chandra B","non-dropping-particle":"","parse-names":false,"suffix":""},{"dropping-particle":"","family":"Bains","given":"Lovenish","non-dropping-particle":"","parse-names":false,"suffix":""},{"dropping-particle":"","family":"Kaushik","given":"Rohit","non-dropping-particle":"","parse-names":false,"suffix":""},{"dropping-particle":"","family":"Gowda","given":"Nishant S","non-dropping-particle":"","parse-names":false,"suffix":""}],"container-title":"Cureus","id":"ITEM-1","issue":"3","issued":{"date-parts":[["2018"]]},"title":"Malrotation of the Gut in Adults: An Often Forgotten Entity","type":"article-journal","volume":"10"},"uris":["http://www.mendeley.com/documents/?uuid=158ea146-b570-4389-bfba-123a140333d3","http://www.mendeley.com/documents/?uuid=bafddc10-e889-4eea-804f-bf7e3bb302b0"]}],"mendeley":{"formattedCitation":"(Bhatia et al., 2018)","plainTextFormattedCitation":"(Bhatia et al., 2018)","previouslyFormattedCitation":"(Bhatia et al., 2018)"},"properties":{"noteIndex":0},"schema":"https://github.com/citation-style-language/schema/raw/master/csl-citation.json"}</w:instrText>
      </w:r>
      <w:r w:rsidRPr="006A1EC7">
        <w:fldChar w:fldCharType="separate"/>
      </w:r>
      <w:r w:rsidRPr="006A1EC7">
        <w:rPr>
          <w:noProof/>
        </w:rPr>
        <w:t>(Bhatia et al., 2018)</w:t>
      </w:r>
      <w:r w:rsidRPr="006A1EC7">
        <w:fldChar w:fldCharType="end"/>
      </w:r>
      <w:r w:rsidRPr="006A1EC7">
        <w:t xml:space="preserve">. Usually, surgery is recommended to correct this and to improve outcomes (mortality, morbidity) </w:t>
      </w:r>
      <w:r w:rsidRPr="006A1EC7">
        <w:fldChar w:fldCharType="begin" w:fldLock="1"/>
      </w:r>
      <w:r w:rsidRPr="006A1EC7">
        <w:instrText>ADDIN CSL_CITATION {"citationItems":[{"id":"ITEM-1","itemData":{"DOI":"10.1016/j.ijscr.2016.03.018","ISSN":"22102612","abstract":"Introduction Intestinal malrotation refers to the partial or complete failure of rotation of midgut around the superior mesenteric vessels in embryonic life. Arrested midgut rotation results due to narrow-based mesentery and increases the risk of twisting midgut and subsequent obstruction and necrosis. Presentation of case 40 years old female patient admitted to emergency service with acute abdomen and computerized tomography scan showed dilated large and small intestine segments with air-fluid levels and twisted mesentery around superior mesenteric artery and vein indicating \"whirpool sign\". Discussion Malrotation in adults is a rare cause of midgut volvulus as though it should be considered in differential diagnosis in patients presented with acute abdomen and intestinal ischemia. Even though clinical symptoms are obscure, adult patients usually present with vomiting and recurrent abdominal pain due to chronic partial obstruction. Contrast enhanced radiograph has been shown to be the most accurate method. Typical radiological signs are corkscrew sign, which is caused by the dilatation of various duodenal segments at different levels and the relocation of duodenojejunal junction due to jejunum folding. As malrotation commonly causes intestinal obstruction, patients deserve an elective laparotomy. Conclusion Malrotation should be considered in differential diagnosis in patients presented with acute abdomen and intestinal ischemia. Surgical intervention should be prompt to limit morbidity and mortality.","author":[{"dropping-particle":"","family":"Zengin","given":"Akile","non-dropping-particle":"","parse-names":false,"suffix":""},{"dropping-particle":"","family":"Uçar","given":"Bercis Imge","non-dropping-particle":"","parse-names":false,"suffix":""},{"dropping-particle":"","family":"Düzgün","given":"Şükrü Aydin","non-dropping-particle":"","parse-names":false,"suffix":""},{"dropping-particle":"","family":"Bayhan","given":"Zülfü","non-dropping-particle":"","parse-names":false,"suffix":""},{"dropping-particle":"","family":"Zeren","given":"Sezgin","non-dropping-particle":"","parse-names":false,"suffix":""},{"dropping-particle":"","family":"Yaylak","given":"Faik","non-dropping-particle":"","parse-names":false,"suffix":""},{"dropping-particle":"","family":"Şanal","given":"Bekir","non-dropping-particle":"","parse-names":false,"suffix":""},{"dropping-particle":"","family":"Bayhan","given":"Nilüfer Araz","non-dropping-particle":"","parse-names":false,"suffix":""}],"container-title":"International Journal of Surgery Case Reports","id":"ITEM-1","issued":{"date-parts":[["2016"]]},"page":"5-7","title":"Adult midgut malrotation presented with acute bowel obstruction and ischemia","type":"article-journal","volume":"22"},"uris":["http://www.mendeley.com/documents/?uuid=4d359f83-8953-4b19-9f72-0ba7b5a4f5c7","http://www.mendeley.com/documents/?uuid=7b38c2b9-8d3e-4f09-9d5c-3a4285550d3a"]},{"id":"ITEM-2","itemData":{"author":[{"dropping-particle":"","family":"Shantanu Sahu; Shailendra Raghuvanshi; Arvind Sinha; Praveendra Kumar Sachan","given":"","non-dropping-particle":"","parse-names":false,"suffix":""}],"container-title":"Journal of Surgical Arts","id":"ITEM-2","issue":"January","issued":{"date-parts":[["2016"]]},"page":"64-67","title":"Adult Intestinal Malrotation Presenting as Migut Volvulus, Case Report","type":"article-journal"},"uris":["http://www.mendeley.com/documents/?uuid=bddc6800-5fa9-43c1-9923-87cc067ec28b","http://www.mendeley.com/documents/?uuid=443098a6-2798-4fc1-81df-8834af92939d"]}],"mendeley":{"formattedCitation":"(Shantanu Sahu; Shailendra Raghuvanshi; Arvind Sinha; Praveendra Kumar Sachan, 2016; Zengin et al., 2016)","manualFormatting":"(Sahu; Raghuvanshi; Sinha; Kumar Sachan, 2016; Zengin et al., 2016)","plainTextFormattedCitation":"(Shantanu Sahu; Shailendra Raghuvanshi; Arvind Sinha; Praveendra Kumar Sachan, 2016; Zengin et al., 2016)","previouslyFormattedCitation":"(Shantanu Sahu; Shailendra Raghuvanshi; Arvind Sinha; Praveendra Kumar Sachan, 2016; Zengin et al., 2016)"},"properties":{"noteIndex":0},"schema":"https://github.com/citation-style-language/schema/raw/master/csl-citation.json"}</w:instrText>
      </w:r>
      <w:r w:rsidRPr="006A1EC7">
        <w:fldChar w:fldCharType="separate"/>
      </w:r>
      <w:r w:rsidRPr="006A1EC7">
        <w:rPr>
          <w:noProof/>
        </w:rPr>
        <w:t>(Sahu; Raghuvanshi; Sinha; Kumar Sachan, 2016; Zengin et al., 2016)</w:t>
      </w:r>
      <w:r w:rsidRPr="006A1EC7">
        <w:fldChar w:fldCharType="end"/>
      </w:r>
      <w:r w:rsidRPr="006A1EC7">
        <w:t xml:space="preserve">; although it was unclear in the interview why surgery had not taken place for this particular patient. The third negative theme was ‘Problems with veins’. Drawing blood from paediatric patients is a recognised challenge; with the WHO recommending separate, specialised guidelines for the safe and effective drawing of blood in neonates and paediatric patients </w:t>
      </w:r>
      <w:r w:rsidRPr="006A1EC7">
        <w:fldChar w:fldCharType="begin" w:fldLock="1"/>
      </w:r>
      <w:r w:rsidRPr="006A1EC7">
        <w:instrText>ADDIN CSL_CITATION {"citationItems":[{"id":"ITEM-1","itemData":{"author":[{"dropping-particle":"","family":"World Health Organization","given":"","non-dropping-particle":"","parse-names":false,"suffix":""}],"id":"ITEM-1","issued":{"date-parts":[["2010"]]},"publisher-place":"Geneva","title":"WHO Guidelines on Drawing Blood: Best Practices in Phlebotomy","type":"report"},"uris":["http://www.mendeley.com/documents/?uuid=2b7c188c-0994-49da-880d-8b2707a3b074","http://www.mendeley.com/documents/?uuid=5494b9e0-49bc-41a5-8656-9ec16550e11e"]},{"id":"ITEM-2","itemData":{"DOI":"10.1136/bmjquality.u202230.w1115","abstract":"Context A Children's Hospital offers a twice daily phlebotomy service on the General Paediatric ward. At the start of this project, if the phlebotomists were unsuccessful in obtaining a blood sample, for any reason, there was no system of letting the medical team know that a sample had not been successfully taken. This led to delays in decision making and discharges, reduced patient satisfaction, frustration of junior doctors and poor implementation of service provision. Problem The aim of this project was to improve the use of the Paediatric Phlebotomy service by General Paediatrics. The main problem identified was the lack of a system to notify medical teams of unsuccessful blood requests. Design and intervention A phlebotomy process map was constructed to help analyse reasons why \"failure to notify\" occurred. Pre and post intervention audits were conducted using the number of unsuccessful blood requests notified as the baseline measurement. Measurement of improvement The initial intervention was modified based on feedback during the process. An 44% improvement in the number of unsuccessful blood request notfications and therefore a potential cost savings of 6240 was estimated based on the post-intervention audit.","author":[{"dropping-particle":"","family":"Pitchforth","given":"Jacqueline","non-dropping-particle":"","parse-names":false,"suffix":""},{"dropping-particle":"","family":"Lemer","given":"Claire","non-dropping-particle":"","parse-names":false,"suffix":""}],"container-title":"BMJ Quality Improvement Reports","id":"ITEM-2","issue":"2","issued":{"date-parts":[["2014"]]},"page":"u202230.w1115","title":"Improving the use of phlebotomy services in a paediatric inpatient setting","type":"article-journal","volume":"2"},"uris":["http://www.mendeley.com/documents/?uuid=dc8e9923-17e8-4aac-bcca-435a431f5df8","http://www.mendeley.com/documents/?uuid=e9812d60-c742-4313-af5d-131025827db1"]}],"mendeley":{"formattedCitation":"(Pitchforth &amp; Lemer, 2014; World Health Organization, 2010)","plainTextFormattedCitation":"(Pitchforth &amp; Lemer, 2014; World Health Organization, 2010)","previouslyFormattedCitation":"(Pitchforth &amp; Lemer, 2014; World Health Organization, 2010)"},"properties":{"noteIndex":0},"schema":"https://github.com/citation-style-language/schema/raw/master/csl-citation.json"}</w:instrText>
      </w:r>
      <w:r w:rsidRPr="006A1EC7">
        <w:fldChar w:fldCharType="separate"/>
      </w:r>
      <w:r w:rsidRPr="006A1EC7">
        <w:rPr>
          <w:noProof/>
        </w:rPr>
        <w:t>(Pitchforth &amp; Lemer, 2014; World Health Organization, 2010)</w:t>
      </w:r>
      <w:r w:rsidRPr="006A1EC7">
        <w:fldChar w:fldCharType="end"/>
      </w:r>
      <w:r w:rsidRPr="006A1EC7">
        <w:t>. This theme is therefore not unique to WHS and potentially a result of the age of the patient (aged 7).</w:t>
      </w:r>
    </w:p>
    <w:p w14:paraId="2E57B6C5" w14:textId="77777777" w:rsidR="008F4ABD" w:rsidRPr="006A1EC7" w:rsidRDefault="008F4ABD" w:rsidP="008F4ABD">
      <w:pPr>
        <w:spacing w:line="276" w:lineRule="auto"/>
      </w:pPr>
    </w:p>
    <w:p w14:paraId="760B7DC7" w14:textId="77777777" w:rsidR="008F4ABD" w:rsidRPr="006A1EC7" w:rsidRDefault="008F4ABD" w:rsidP="008F4ABD">
      <w:pPr>
        <w:spacing w:line="276" w:lineRule="auto"/>
      </w:pPr>
    </w:p>
    <w:p w14:paraId="31E52FCF" w14:textId="77777777" w:rsidR="008F4ABD" w:rsidRPr="006A1EC7" w:rsidRDefault="008F4ABD" w:rsidP="008F4ABD">
      <w:pPr>
        <w:pStyle w:val="Heading2"/>
        <w:rPr>
          <w:rFonts w:ascii="Times New Roman" w:hAnsi="Times New Roman" w:cs="Times New Roman"/>
        </w:rPr>
      </w:pPr>
      <w:bookmarkStart w:id="146" w:name="_Toc22126835"/>
      <w:bookmarkStart w:id="147" w:name="_Toc23522723"/>
      <w:bookmarkStart w:id="148" w:name="_Toc38821439"/>
      <w:bookmarkStart w:id="149" w:name="_Toc40172995"/>
      <w:r w:rsidRPr="006A1EC7">
        <w:rPr>
          <w:rFonts w:ascii="Times New Roman" w:hAnsi="Times New Roman" w:cs="Times New Roman"/>
        </w:rPr>
        <w:t>Conclusion for Theme 1</w:t>
      </w:r>
      <w:bookmarkEnd w:id="146"/>
      <w:bookmarkEnd w:id="147"/>
      <w:bookmarkEnd w:id="148"/>
      <w:bookmarkEnd w:id="149"/>
    </w:p>
    <w:p w14:paraId="4067DD0F" w14:textId="77777777" w:rsidR="008F4ABD" w:rsidRPr="006A1EC7" w:rsidRDefault="008F4ABD" w:rsidP="008F4ABD">
      <w:pPr>
        <w:spacing w:line="360" w:lineRule="auto"/>
      </w:pPr>
    </w:p>
    <w:p w14:paraId="6B985F83" w14:textId="4606591D" w:rsidR="008F4ABD" w:rsidRPr="006A1EC7" w:rsidRDefault="009F0718" w:rsidP="008F4ABD">
      <w:pPr>
        <w:spacing w:line="360" w:lineRule="auto"/>
      </w:pPr>
      <w:r w:rsidRPr="006A1EC7">
        <w:t>WHS</w:t>
      </w:r>
      <w:r w:rsidR="008F4ABD" w:rsidRPr="006A1EC7">
        <w:t xml:space="preserve"> is a complex and heterogeneous illness that significantly impacts patient and caregiver quality of life. Both clinically relevant and psychosocial themes were identified across the interviews to aid the Development of the Clinical Outcome Assessment. The clinical themes were, to some extent, already reported in the literature, however, this was the first in-depth, qualitative investigation into the extent of these clinical features, their effects on the patient and management of these features. New insights into these clinical features were therefore achieved. </w:t>
      </w:r>
    </w:p>
    <w:p w14:paraId="4F952757" w14:textId="77777777" w:rsidR="008F4ABD" w:rsidRPr="006A1EC7" w:rsidRDefault="008F4ABD" w:rsidP="008F4ABD">
      <w:pPr>
        <w:spacing w:line="360" w:lineRule="auto"/>
        <w:ind w:firstLine="720"/>
      </w:pPr>
      <w:r w:rsidRPr="006A1EC7">
        <w:t xml:space="preserve">In terms of psychosocial themes, this was the first study to report on psychosocial aspects of WHS. In this study, many parallels to other chronic conditions, particularly those featuring learning disability, could be drawn. This may suggest that “many chronic conditions are more alike than different” </w:t>
      </w:r>
      <w:r w:rsidRPr="006A1EC7">
        <w:fldChar w:fldCharType="begin" w:fldLock="1"/>
      </w:r>
      <w:r w:rsidRPr="006A1EC7">
        <w:instrText>ADDIN CSL_CITATION {"citationItems":[{"id":"ITEM-1","itemData":{"author":[{"dropping-particle":"","family":"Parker","given":"M","non-dropping-particle":"","parse-names":false,"suffix":""}],"container-title":"Family &amp; Community Health","id":"ITEM-1","issue":"2","issued":{"date-parts":[["1996"]]},"page":"73 - 84","title":"Families Caring for Chronically Ill children with tuberous sclerosis complex","type":"article-journal","volume":"19"},"uris":["http://www.mendeley.com/documents/?uuid=45518e83-75f1-4dd5-8451-aa549dd99cc7"]}],"mendeley":{"formattedCitation":"(Parker, 1996)","plainTextFormattedCitation":"(Parker, 1996)","previouslyFormattedCitation":"(Parker, 1996)"},"properties":{"noteIndex":0},"schema":"https://github.com/citation-style-language/schema/raw/master/csl-citation.json"}</w:instrText>
      </w:r>
      <w:r w:rsidRPr="006A1EC7">
        <w:fldChar w:fldCharType="separate"/>
      </w:r>
      <w:r w:rsidRPr="006A1EC7">
        <w:rPr>
          <w:noProof/>
        </w:rPr>
        <w:t>(Parker, 1996)</w:t>
      </w:r>
      <w:r w:rsidRPr="006A1EC7">
        <w:fldChar w:fldCharType="end"/>
      </w:r>
      <w:r w:rsidRPr="006A1EC7">
        <w:t xml:space="preserve">, and that symptom-specific experiences may be shared across conditions. However, due to the heterogeneity and complexity of WHS, there may be effects that are specific to WHS. </w:t>
      </w:r>
    </w:p>
    <w:p w14:paraId="28130D19" w14:textId="77777777" w:rsidR="008F4ABD" w:rsidRPr="006A1EC7" w:rsidRDefault="008F4ABD" w:rsidP="00744A8E">
      <w:pPr>
        <w:spacing w:line="360" w:lineRule="auto"/>
      </w:pPr>
    </w:p>
    <w:p w14:paraId="7DEA3F69" w14:textId="77777777" w:rsidR="008F4ABD" w:rsidRPr="006A1EC7" w:rsidRDefault="008F4ABD" w:rsidP="008F4ABD">
      <w:pPr>
        <w:pStyle w:val="Heading2"/>
        <w:rPr>
          <w:rFonts w:ascii="Times New Roman" w:hAnsi="Times New Roman" w:cs="Times New Roman"/>
        </w:rPr>
      </w:pPr>
      <w:bookmarkStart w:id="150" w:name="_Toc38821440"/>
      <w:bookmarkStart w:id="151" w:name="_Toc40172996"/>
      <w:r w:rsidRPr="006A1EC7">
        <w:rPr>
          <w:rFonts w:ascii="Times New Roman" w:hAnsi="Times New Roman" w:cs="Times New Roman"/>
        </w:rPr>
        <w:t>Implications for the COA</w:t>
      </w:r>
      <w:bookmarkEnd w:id="150"/>
      <w:bookmarkEnd w:id="151"/>
    </w:p>
    <w:p w14:paraId="1E8F9C5A" w14:textId="77777777" w:rsidR="008F4ABD" w:rsidRPr="006A1EC7" w:rsidRDefault="008F4ABD" w:rsidP="00744A8E">
      <w:pPr>
        <w:spacing w:line="360" w:lineRule="auto"/>
      </w:pPr>
    </w:p>
    <w:p w14:paraId="066DF041" w14:textId="77777777" w:rsidR="008F4ABD" w:rsidRPr="006A1EC7" w:rsidRDefault="008F4ABD" w:rsidP="008F4ABD">
      <w:pPr>
        <w:spacing w:line="360" w:lineRule="auto"/>
        <w:ind w:firstLine="720"/>
      </w:pPr>
      <w:r w:rsidRPr="006A1EC7">
        <w:t xml:space="preserve">The reason for the conduction of this interview study with family caregivers of adults and children with WHS was to gain by-proxy reports investigating aspects, such as what life with WHS entails, what clinical features are the most challenging (and should thus warrant </w:t>
      </w:r>
      <w:r w:rsidRPr="006A1EC7">
        <w:lastRenderedPageBreak/>
        <w:t xml:space="preserve">inclusion in the COA), what challenges caregiver/ patients face and what the perceptions of problems are. The subthemes of Theme 1 will inform the content for the content of the COA. </w:t>
      </w:r>
    </w:p>
    <w:p w14:paraId="42A6B2FF" w14:textId="77777777" w:rsidR="008F4ABD" w:rsidRPr="006A1EC7" w:rsidRDefault="008F4ABD" w:rsidP="008F4ABD"/>
    <w:p w14:paraId="4DCC1BEE" w14:textId="77777777" w:rsidR="00652313" w:rsidRPr="006A1EC7" w:rsidRDefault="00652313" w:rsidP="00DB5C12">
      <w:pPr>
        <w:spacing w:line="360" w:lineRule="auto"/>
        <w:sectPr w:rsidR="00652313" w:rsidRPr="006A1EC7" w:rsidSect="006C7209">
          <w:pgSz w:w="11900" w:h="16840"/>
          <w:pgMar w:top="1440" w:right="1440" w:bottom="1440" w:left="1440" w:header="720" w:footer="720" w:gutter="0"/>
          <w:cols w:space="720"/>
          <w:docGrid w:linePitch="360"/>
        </w:sectPr>
      </w:pPr>
    </w:p>
    <w:p w14:paraId="6727788B" w14:textId="1018384F" w:rsidR="008B1FBF" w:rsidRPr="006A1EC7" w:rsidRDefault="008B1FBF" w:rsidP="008B1FBF">
      <w:pPr>
        <w:pStyle w:val="Heading1"/>
        <w:rPr>
          <w:rFonts w:ascii="Times New Roman" w:hAnsi="Times New Roman" w:cs="Times New Roman"/>
        </w:rPr>
      </w:pPr>
      <w:bookmarkStart w:id="152" w:name="_Toc23522724"/>
      <w:bookmarkStart w:id="153" w:name="_Toc38821441"/>
      <w:bookmarkStart w:id="154" w:name="_Toc40172997"/>
      <w:r w:rsidRPr="006A1EC7">
        <w:rPr>
          <w:rFonts w:ascii="Times New Roman" w:hAnsi="Times New Roman" w:cs="Times New Roman"/>
        </w:rPr>
        <w:lastRenderedPageBreak/>
        <w:t xml:space="preserve">Chapter 5: The psychosocial impact of living with and caring for adults and children with </w:t>
      </w:r>
      <w:r w:rsidR="009F0718" w:rsidRPr="006A1EC7">
        <w:rPr>
          <w:rFonts w:ascii="Times New Roman" w:hAnsi="Times New Roman" w:cs="Times New Roman"/>
        </w:rPr>
        <w:t>WHS</w:t>
      </w:r>
      <w:bookmarkEnd w:id="152"/>
      <w:bookmarkEnd w:id="153"/>
      <w:bookmarkEnd w:id="154"/>
    </w:p>
    <w:p w14:paraId="70486C9F" w14:textId="77777777" w:rsidR="008B1FBF" w:rsidRPr="006A1EC7" w:rsidRDefault="008B1FBF" w:rsidP="008B1FBF">
      <w:pPr>
        <w:spacing w:line="360" w:lineRule="auto"/>
      </w:pPr>
    </w:p>
    <w:p w14:paraId="257C00D5" w14:textId="47B9D262" w:rsidR="008B1FBF" w:rsidRPr="006A1EC7" w:rsidRDefault="008B1FBF" w:rsidP="008B1FBF">
      <w:pPr>
        <w:spacing w:line="360" w:lineRule="auto"/>
        <w:ind w:firstLine="720"/>
      </w:pPr>
      <w:r w:rsidRPr="006A1EC7">
        <w:rPr>
          <w:i/>
          <w:iCs/>
        </w:rPr>
        <w:t>Continued Results:</w:t>
      </w:r>
      <w:r w:rsidRPr="006A1EC7">
        <w:t xml:space="preserve"> The four psychosocial themes remain to be reported and discussed. These are Experiences with the NHS (2), Family adaptation (3), Quality of life of patients and relatives (4) and Support needs of relatives (5); reflected in yellow in the Graphic 10. A thematic table with data saturation grid is presented in Table 9.</w:t>
      </w:r>
      <w:r w:rsidRPr="006A1EC7">
        <w:br/>
      </w:r>
    </w:p>
    <w:p w14:paraId="7A911683" w14:textId="471FB187" w:rsidR="008B1FBF" w:rsidRPr="006A1EC7" w:rsidRDefault="008B1FBF" w:rsidP="008B1FBF">
      <w:pPr>
        <w:pStyle w:val="Heading3"/>
        <w:rPr>
          <w:rFonts w:ascii="Times New Roman" w:hAnsi="Times New Roman" w:cs="Times New Roman"/>
        </w:rPr>
      </w:pPr>
      <w:bookmarkStart w:id="155" w:name="_Toc39270368"/>
      <w:bookmarkStart w:id="156" w:name="_Toc40173067"/>
      <w:r w:rsidRPr="006A1EC7">
        <w:rPr>
          <w:rFonts w:ascii="Times New Roman" w:hAnsi="Times New Roman" w:cs="Times New Roman"/>
        </w:rPr>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11</w:t>
      </w:r>
      <w:r w:rsidRPr="006A1EC7">
        <w:rPr>
          <w:rFonts w:ascii="Times New Roman" w:hAnsi="Times New Roman" w:cs="Times New Roman"/>
        </w:rPr>
        <w:fldChar w:fldCharType="end"/>
      </w:r>
      <w:r w:rsidRPr="006A1EC7">
        <w:rPr>
          <w:rFonts w:ascii="Times New Roman" w:hAnsi="Times New Roman" w:cs="Times New Roman"/>
        </w:rPr>
        <w:t>: Graphic representation of the Themes developed in the Qualitative Interview Study</w:t>
      </w:r>
      <w:bookmarkEnd w:id="155"/>
      <w:bookmarkEnd w:id="156"/>
    </w:p>
    <w:p w14:paraId="4D9E5BEA" w14:textId="41C9CFB3" w:rsidR="008B1FBF" w:rsidRPr="006A1EC7" w:rsidRDefault="008B1FBF" w:rsidP="008B1FBF">
      <w:pPr>
        <w:spacing w:line="276" w:lineRule="auto"/>
      </w:pPr>
      <w:r w:rsidRPr="006A1EC7">
        <w:rPr>
          <w:noProof/>
          <w:lang w:eastAsia="en-GB"/>
        </w:rPr>
        <w:drawing>
          <wp:inline distT="0" distB="0" distL="0" distR="0" wp14:anchorId="0FCC1805" wp14:editId="23C22CF1">
            <wp:extent cx="5405778" cy="2082165"/>
            <wp:effectExtent l="0" t="0" r="444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0-04 at 14.38.57.png"/>
                    <pic:cNvPicPr/>
                  </pic:nvPicPr>
                  <pic:blipFill>
                    <a:blip r:embed="rId25">
                      <a:extLst>
                        <a:ext uri="{28A0092B-C50C-407E-A947-70E740481C1C}">
                          <a14:useLocalDpi xmlns:a14="http://schemas.microsoft.com/office/drawing/2010/main" val="0"/>
                        </a:ext>
                      </a:extLst>
                    </a:blip>
                    <a:stretch>
                      <a:fillRect/>
                    </a:stretch>
                  </pic:blipFill>
                  <pic:spPr>
                    <a:xfrm>
                      <a:off x="0" y="0"/>
                      <a:ext cx="5418444" cy="2087044"/>
                    </a:xfrm>
                    <a:prstGeom prst="rect">
                      <a:avLst/>
                    </a:prstGeom>
                  </pic:spPr>
                </pic:pic>
              </a:graphicData>
            </a:graphic>
          </wp:inline>
        </w:drawing>
      </w:r>
    </w:p>
    <w:p w14:paraId="7631E495" w14:textId="77777777" w:rsidR="008B1FBF" w:rsidRPr="006A1EC7" w:rsidRDefault="008B1FBF" w:rsidP="008B1FBF">
      <w:pPr>
        <w:spacing w:line="276" w:lineRule="auto"/>
      </w:pPr>
    </w:p>
    <w:p w14:paraId="31009387" w14:textId="0F631E96" w:rsidR="008B1FBF" w:rsidRPr="006A1EC7" w:rsidRDefault="008B1FBF" w:rsidP="008B1FBF">
      <w:pPr>
        <w:pStyle w:val="Heading3"/>
        <w:rPr>
          <w:rFonts w:ascii="Times New Roman" w:hAnsi="Times New Roman" w:cs="Times New Roman"/>
        </w:rPr>
      </w:pPr>
      <w:bookmarkStart w:id="157" w:name="_Toc40173034"/>
      <w:r w:rsidRPr="006A1EC7">
        <w:rPr>
          <w:rFonts w:ascii="Times New Roman" w:hAnsi="Times New Roman" w:cs="Times New Roman"/>
        </w:rPr>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9</w:t>
      </w:r>
      <w:r w:rsidRPr="006A1EC7">
        <w:rPr>
          <w:rFonts w:ascii="Times New Roman" w:hAnsi="Times New Roman" w:cs="Times New Roman"/>
        </w:rPr>
        <w:fldChar w:fldCharType="end"/>
      </w:r>
      <w:r w:rsidRPr="006A1EC7">
        <w:rPr>
          <w:rFonts w:ascii="Times New Roman" w:hAnsi="Times New Roman" w:cs="Times New Roman"/>
        </w:rPr>
        <w:t>: Overview of themes, subthemes and data saturation grid for Themes 2-5</w:t>
      </w:r>
      <w:bookmarkEnd w:id="157"/>
    </w:p>
    <w:tbl>
      <w:tblPr>
        <w:tblStyle w:val="TableGrid"/>
        <w:tblW w:w="0" w:type="auto"/>
        <w:tblLook w:val="04A0" w:firstRow="1" w:lastRow="0" w:firstColumn="1" w:lastColumn="0" w:noHBand="0" w:noVBand="1"/>
      </w:tblPr>
      <w:tblGrid>
        <w:gridCol w:w="1518"/>
        <w:gridCol w:w="1986"/>
        <w:gridCol w:w="1630"/>
        <w:gridCol w:w="2240"/>
        <w:gridCol w:w="1552"/>
      </w:tblGrid>
      <w:tr w:rsidR="008B1FBF" w:rsidRPr="006A1EC7" w14:paraId="09F96817" w14:textId="77777777" w:rsidTr="008128D6">
        <w:trPr>
          <w:trHeight w:val="1038"/>
        </w:trPr>
        <w:tc>
          <w:tcPr>
            <w:tcW w:w="1518" w:type="dxa"/>
            <w:shd w:val="clear" w:color="auto" w:fill="70AD47" w:themeFill="accent6"/>
          </w:tcPr>
          <w:p w14:paraId="4F38ECE2" w14:textId="77777777" w:rsidR="008B1FBF" w:rsidRPr="006A1EC7" w:rsidRDefault="008B1FBF" w:rsidP="008128D6">
            <w:pPr>
              <w:spacing w:line="276" w:lineRule="auto"/>
              <w:rPr>
                <w:sz w:val="20"/>
                <w:szCs w:val="20"/>
              </w:rPr>
            </w:pPr>
            <w:r w:rsidRPr="006A1EC7">
              <w:rPr>
                <w:sz w:val="20"/>
                <w:szCs w:val="20"/>
              </w:rPr>
              <w:t>First order subthemes</w:t>
            </w:r>
          </w:p>
        </w:tc>
        <w:tc>
          <w:tcPr>
            <w:tcW w:w="1986" w:type="dxa"/>
            <w:shd w:val="clear" w:color="auto" w:fill="70AD47" w:themeFill="accent6"/>
          </w:tcPr>
          <w:p w14:paraId="55E481E0" w14:textId="77777777" w:rsidR="008B1FBF" w:rsidRPr="006A1EC7" w:rsidRDefault="008B1FBF" w:rsidP="008128D6">
            <w:pPr>
              <w:spacing w:line="276" w:lineRule="auto"/>
              <w:rPr>
                <w:sz w:val="20"/>
                <w:szCs w:val="20"/>
              </w:rPr>
            </w:pPr>
            <w:r w:rsidRPr="006A1EC7">
              <w:rPr>
                <w:sz w:val="20"/>
                <w:szCs w:val="20"/>
              </w:rPr>
              <w:t>Second oorder subthemes</w:t>
            </w:r>
          </w:p>
        </w:tc>
        <w:tc>
          <w:tcPr>
            <w:tcW w:w="1630" w:type="dxa"/>
            <w:shd w:val="clear" w:color="auto" w:fill="70AD47" w:themeFill="accent6"/>
          </w:tcPr>
          <w:p w14:paraId="3A575E2B" w14:textId="77777777" w:rsidR="008B1FBF" w:rsidRPr="006A1EC7" w:rsidRDefault="008B1FBF" w:rsidP="008128D6">
            <w:pPr>
              <w:spacing w:line="276" w:lineRule="auto"/>
              <w:rPr>
                <w:sz w:val="20"/>
                <w:szCs w:val="20"/>
              </w:rPr>
            </w:pPr>
            <w:r w:rsidRPr="006A1EC7">
              <w:rPr>
                <w:sz w:val="20"/>
                <w:szCs w:val="20"/>
              </w:rPr>
              <w:t>Third order Subthemes</w:t>
            </w:r>
          </w:p>
        </w:tc>
        <w:tc>
          <w:tcPr>
            <w:tcW w:w="2240" w:type="dxa"/>
            <w:shd w:val="clear" w:color="auto" w:fill="70AD47" w:themeFill="accent6"/>
          </w:tcPr>
          <w:p w14:paraId="44C471C3" w14:textId="77777777" w:rsidR="008B1FBF" w:rsidRPr="006A1EC7" w:rsidRDefault="008B1FBF" w:rsidP="008128D6">
            <w:pPr>
              <w:spacing w:line="276" w:lineRule="auto"/>
              <w:rPr>
                <w:sz w:val="20"/>
                <w:szCs w:val="20"/>
              </w:rPr>
            </w:pPr>
            <w:r w:rsidRPr="006A1EC7">
              <w:rPr>
                <w:sz w:val="20"/>
                <w:szCs w:val="20"/>
              </w:rPr>
              <w:t>Data saturation</w:t>
            </w:r>
          </w:p>
        </w:tc>
        <w:tc>
          <w:tcPr>
            <w:tcW w:w="1552" w:type="dxa"/>
            <w:shd w:val="clear" w:color="auto" w:fill="70AD47" w:themeFill="accent6"/>
          </w:tcPr>
          <w:p w14:paraId="3F4D0D06" w14:textId="77777777" w:rsidR="008B1FBF" w:rsidRPr="006A1EC7" w:rsidRDefault="008B1FBF" w:rsidP="008128D6">
            <w:pPr>
              <w:spacing w:line="276" w:lineRule="auto"/>
              <w:rPr>
                <w:sz w:val="20"/>
                <w:szCs w:val="20"/>
              </w:rPr>
            </w:pPr>
            <w:r w:rsidRPr="006A1EC7">
              <w:rPr>
                <w:sz w:val="20"/>
                <w:szCs w:val="20"/>
              </w:rPr>
              <w:t>Theme type</w:t>
            </w:r>
          </w:p>
        </w:tc>
      </w:tr>
      <w:tr w:rsidR="008B1FBF" w:rsidRPr="006A1EC7" w14:paraId="629EC782" w14:textId="77777777" w:rsidTr="008128D6">
        <w:trPr>
          <w:trHeight w:val="360"/>
        </w:trPr>
        <w:tc>
          <w:tcPr>
            <w:tcW w:w="8926" w:type="dxa"/>
            <w:gridSpan w:val="5"/>
            <w:shd w:val="clear" w:color="auto" w:fill="FFC000" w:themeFill="accent4"/>
          </w:tcPr>
          <w:p w14:paraId="401AE3B7" w14:textId="77777777" w:rsidR="008B1FBF" w:rsidRPr="006A1EC7" w:rsidRDefault="008B1FBF" w:rsidP="008128D6">
            <w:pPr>
              <w:spacing w:line="276" w:lineRule="auto"/>
              <w:rPr>
                <w:sz w:val="20"/>
                <w:szCs w:val="20"/>
              </w:rPr>
            </w:pPr>
            <w:r w:rsidRPr="006A1EC7">
              <w:rPr>
                <w:sz w:val="20"/>
                <w:szCs w:val="20"/>
              </w:rPr>
              <w:t>Theme 2: Experience with the NHS</w:t>
            </w:r>
          </w:p>
        </w:tc>
      </w:tr>
      <w:tr w:rsidR="008B1FBF" w:rsidRPr="006A1EC7" w14:paraId="0D1AA05A" w14:textId="77777777" w:rsidTr="008128D6">
        <w:trPr>
          <w:trHeight w:val="416"/>
        </w:trPr>
        <w:tc>
          <w:tcPr>
            <w:tcW w:w="1518" w:type="dxa"/>
          </w:tcPr>
          <w:p w14:paraId="0058B2E0" w14:textId="77777777" w:rsidR="008B1FBF" w:rsidRPr="006A1EC7" w:rsidRDefault="008B1FBF" w:rsidP="008128D6">
            <w:pPr>
              <w:spacing w:line="276" w:lineRule="auto"/>
              <w:rPr>
                <w:sz w:val="20"/>
                <w:szCs w:val="20"/>
              </w:rPr>
            </w:pPr>
            <w:r w:rsidRPr="006A1EC7">
              <w:rPr>
                <w:sz w:val="20"/>
                <w:szCs w:val="20"/>
              </w:rPr>
              <w:t>2. 1 Diagnosis</w:t>
            </w:r>
          </w:p>
        </w:tc>
        <w:tc>
          <w:tcPr>
            <w:tcW w:w="1986" w:type="dxa"/>
          </w:tcPr>
          <w:p w14:paraId="65D2FD63" w14:textId="77777777" w:rsidR="008B1FBF" w:rsidRPr="006A1EC7" w:rsidRDefault="008B1FBF" w:rsidP="008128D6">
            <w:pPr>
              <w:spacing w:line="276" w:lineRule="auto"/>
              <w:rPr>
                <w:sz w:val="20"/>
                <w:szCs w:val="20"/>
              </w:rPr>
            </w:pPr>
            <w:r w:rsidRPr="006A1EC7">
              <w:rPr>
                <w:sz w:val="20"/>
                <w:szCs w:val="20"/>
              </w:rPr>
              <w:t>2.1.1 Before diagnosis</w:t>
            </w:r>
          </w:p>
        </w:tc>
        <w:tc>
          <w:tcPr>
            <w:tcW w:w="1630" w:type="dxa"/>
          </w:tcPr>
          <w:p w14:paraId="6A4F99C7" w14:textId="77777777" w:rsidR="008B1FBF" w:rsidRPr="006A1EC7" w:rsidRDefault="008B1FBF" w:rsidP="008128D6">
            <w:pPr>
              <w:spacing w:line="276" w:lineRule="auto"/>
              <w:rPr>
                <w:sz w:val="20"/>
                <w:szCs w:val="20"/>
              </w:rPr>
            </w:pPr>
          </w:p>
        </w:tc>
        <w:tc>
          <w:tcPr>
            <w:tcW w:w="2240" w:type="dxa"/>
          </w:tcPr>
          <w:p w14:paraId="0ACB5537" w14:textId="77777777" w:rsidR="008B1FBF" w:rsidRPr="006A1EC7" w:rsidRDefault="008B1FBF" w:rsidP="008128D6">
            <w:pPr>
              <w:spacing w:line="276" w:lineRule="auto"/>
              <w:rPr>
                <w:sz w:val="20"/>
                <w:szCs w:val="20"/>
              </w:rPr>
            </w:pPr>
            <w:r w:rsidRPr="006A1EC7">
              <w:rPr>
                <w:sz w:val="20"/>
                <w:szCs w:val="20"/>
              </w:rPr>
              <w:t>11B, 3A</w:t>
            </w:r>
          </w:p>
          <w:p w14:paraId="3590E45D" w14:textId="77777777" w:rsidR="008B1FBF" w:rsidRPr="006A1EC7" w:rsidRDefault="008B1FBF" w:rsidP="008128D6">
            <w:pPr>
              <w:spacing w:line="276" w:lineRule="auto"/>
              <w:rPr>
                <w:sz w:val="20"/>
                <w:szCs w:val="20"/>
              </w:rPr>
            </w:pPr>
          </w:p>
          <w:p w14:paraId="1295A545" w14:textId="77777777" w:rsidR="008B1FBF" w:rsidRPr="006A1EC7" w:rsidRDefault="008B1FBF" w:rsidP="008128D6">
            <w:pPr>
              <w:spacing w:line="276" w:lineRule="auto"/>
              <w:rPr>
                <w:sz w:val="20"/>
                <w:szCs w:val="20"/>
              </w:rPr>
            </w:pPr>
            <w:r w:rsidRPr="006A1EC7">
              <w:rPr>
                <w:sz w:val="20"/>
                <w:szCs w:val="20"/>
              </w:rPr>
              <w:t>Check, should be more</w:t>
            </w:r>
          </w:p>
        </w:tc>
        <w:tc>
          <w:tcPr>
            <w:tcW w:w="1552" w:type="dxa"/>
          </w:tcPr>
          <w:p w14:paraId="11F2079C"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3CC57594" w14:textId="77777777" w:rsidTr="008128D6">
        <w:trPr>
          <w:trHeight w:val="725"/>
        </w:trPr>
        <w:tc>
          <w:tcPr>
            <w:tcW w:w="1518" w:type="dxa"/>
            <w:vMerge w:val="restart"/>
          </w:tcPr>
          <w:p w14:paraId="51864468" w14:textId="77777777" w:rsidR="008B1FBF" w:rsidRPr="006A1EC7" w:rsidRDefault="008B1FBF" w:rsidP="008128D6">
            <w:pPr>
              <w:spacing w:line="276" w:lineRule="auto"/>
              <w:rPr>
                <w:sz w:val="20"/>
                <w:szCs w:val="20"/>
              </w:rPr>
            </w:pPr>
          </w:p>
        </w:tc>
        <w:tc>
          <w:tcPr>
            <w:tcW w:w="1986" w:type="dxa"/>
          </w:tcPr>
          <w:p w14:paraId="26FB2DF6" w14:textId="77777777" w:rsidR="008B1FBF" w:rsidRPr="006A1EC7" w:rsidRDefault="008B1FBF" w:rsidP="008128D6">
            <w:pPr>
              <w:spacing w:line="276" w:lineRule="auto"/>
              <w:rPr>
                <w:sz w:val="20"/>
                <w:szCs w:val="20"/>
              </w:rPr>
            </w:pPr>
            <w:r w:rsidRPr="006A1EC7">
              <w:rPr>
                <w:sz w:val="20"/>
                <w:szCs w:val="20"/>
              </w:rPr>
              <w:t>2.2.2 Time of diagnosis</w:t>
            </w:r>
          </w:p>
        </w:tc>
        <w:tc>
          <w:tcPr>
            <w:tcW w:w="1630" w:type="dxa"/>
          </w:tcPr>
          <w:p w14:paraId="0D1F0A97" w14:textId="77777777" w:rsidR="008B1FBF" w:rsidRPr="006A1EC7" w:rsidRDefault="008B1FBF" w:rsidP="008128D6">
            <w:pPr>
              <w:spacing w:line="276" w:lineRule="auto"/>
              <w:rPr>
                <w:color w:val="000000" w:themeColor="text1"/>
                <w:sz w:val="20"/>
                <w:szCs w:val="20"/>
              </w:rPr>
            </w:pPr>
          </w:p>
        </w:tc>
        <w:tc>
          <w:tcPr>
            <w:tcW w:w="2240" w:type="dxa"/>
          </w:tcPr>
          <w:p w14:paraId="7AE5FC9F" w14:textId="77777777" w:rsidR="008B1FBF" w:rsidRPr="006A1EC7" w:rsidRDefault="008B1FBF" w:rsidP="008128D6">
            <w:pPr>
              <w:spacing w:line="276" w:lineRule="auto"/>
              <w:rPr>
                <w:sz w:val="20"/>
                <w:szCs w:val="20"/>
              </w:rPr>
            </w:pPr>
            <w:r w:rsidRPr="006A1EC7">
              <w:rPr>
                <w:color w:val="000000" w:themeColor="text1"/>
                <w:sz w:val="20"/>
                <w:szCs w:val="20"/>
              </w:rPr>
              <w:t>3BC, 8, 11B, 12A, 2A, 2B, 2C, 3C, 4B, 5, 6A, 10, 11A, 11B, 12A, 2A, 3B, 4B, 11A, 12B, 1, 3A, 11B, 2B, 9, 10</w:t>
            </w:r>
          </w:p>
        </w:tc>
        <w:tc>
          <w:tcPr>
            <w:tcW w:w="1552" w:type="dxa"/>
          </w:tcPr>
          <w:p w14:paraId="641961AF" w14:textId="77777777" w:rsidR="008B1FBF" w:rsidRPr="006A1EC7" w:rsidRDefault="008B1FBF" w:rsidP="008128D6">
            <w:pPr>
              <w:spacing w:line="276" w:lineRule="auto"/>
              <w:rPr>
                <w:sz w:val="20"/>
                <w:szCs w:val="20"/>
              </w:rPr>
            </w:pPr>
            <w:r w:rsidRPr="006A1EC7">
              <w:rPr>
                <w:sz w:val="20"/>
                <w:szCs w:val="20"/>
              </w:rPr>
              <w:t>Semantic</w:t>
            </w:r>
          </w:p>
        </w:tc>
      </w:tr>
      <w:tr w:rsidR="008B1FBF" w:rsidRPr="006A1EC7" w14:paraId="613CAD88" w14:textId="77777777" w:rsidTr="008128D6">
        <w:trPr>
          <w:trHeight w:val="422"/>
        </w:trPr>
        <w:tc>
          <w:tcPr>
            <w:tcW w:w="1518" w:type="dxa"/>
            <w:vMerge/>
          </w:tcPr>
          <w:p w14:paraId="7E3C8408" w14:textId="77777777" w:rsidR="008B1FBF" w:rsidRPr="006A1EC7" w:rsidRDefault="008B1FBF" w:rsidP="008128D6">
            <w:pPr>
              <w:spacing w:line="276" w:lineRule="auto"/>
              <w:rPr>
                <w:sz w:val="20"/>
                <w:szCs w:val="20"/>
              </w:rPr>
            </w:pPr>
          </w:p>
        </w:tc>
        <w:tc>
          <w:tcPr>
            <w:tcW w:w="1986" w:type="dxa"/>
          </w:tcPr>
          <w:p w14:paraId="72A21BDE" w14:textId="77777777" w:rsidR="008B1FBF" w:rsidRPr="006A1EC7" w:rsidRDefault="008B1FBF" w:rsidP="008128D6">
            <w:pPr>
              <w:spacing w:line="276" w:lineRule="auto"/>
              <w:rPr>
                <w:sz w:val="20"/>
                <w:szCs w:val="20"/>
              </w:rPr>
            </w:pPr>
            <w:r w:rsidRPr="006A1EC7">
              <w:rPr>
                <w:sz w:val="20"/>
                <w:szCs w:val="20"/>
              </w:rPr>
              <w:t>2.2.3 Emotional reactions to diagnosis</w:t>
            </w:r>
          </w:p>
        </w:tc>
        <w:tc>
          <w:tcPr>
            <w:tcW w:w="1630" w:type="dxa"/>
          </w:tcPr>
          <w:p w14:paraId="50140251" w14:textId="77777777" w:rsidR="008B1FBF" w:rsidRPr="006A1EC7" w:rsidRDefault="008B1FBF" w:rsidP="008128D6">
            <w:pPr>
              <w:spacing w:line="276" w:lineRule="auto"/>
              <w:rPr>
                <w:color w:val="000000" w:themeColor="text1"/>
                <w:sz w:val="20"/>
                <w:szCs w:val="20"/>
              </w:rPr>
            </w:pPr>
          </w:p>
        </w:tc>
        <w:tc>
          <w:tcPr>
            <w:tcW w:w="2240" w:type="dxa"/>
          </w:tcPr>
          <w:p w14:paraId="2AA9C235" w14:textId="77777777" w:rsidR="008B1FBF" w:rsidRPr="006A1EC7" w:rsidRDefault="008B1FBF" w:rsidP="008128D6">
            <w:pPr>
              <w:spacing w:line="276" w:lineRule="auto"/>
              <w:rPr>
                <w:sz w:val="20"/>
                <w:szCs w:val="20"/>
              </w:rPr>
            </w:pPr>
            <w:r w:rsidRPr="006A1EC7">
              <w:rPr>
                <w:color w:val="000000" w:themeColor="text1"/>
                <w:sz w:val="20"/>
                <w:szCs w:val="20"/>
              </w:rPr>
              <w:t>3B, 3C, 4B, 8, 11B, 12A, 2A, 2B, 2C, 3C, 5, 6A, 10,11A, 11B, 12A, 2A,3B, 12B, 1, 3A, 11B, 2B, 9, 10</w:t>
            </w:r>
          </w:p>
        </w:tc>
        <w:tc>
          <w:tcPr>
            <w:tcW w:w="1552" w:type="dxa"/>
          </w:tcPr>
          <w:p w14:paraId="4D8C2A7E" w14:textId="77777777" w:rsidR="008B1FBF" w:rsidRPr="006A1EC7" w:rsidRDefault="008B1FBF" w:rsidP="008128D6">
            <w:pPr>
              <w:spacing w:line="276" w:lineRule="auto"/>
              <w:rPr>
                <w:sz w:val="20"/>
                <w:szCs w:val="20"/>
              </w:rPr>
            </w:pPr>
            <w:r w:rsidRPr="006A1EC7">
              <w:rPr>
                <w:sz w:val="20"/>
                <w:szCs w:val="20"/>
              </w:rPr>
              <w:t>Latent</w:t>
            </w:r>
          </w:p>
          <w:p w14:paraId="1547094E" w14:textId="77777777" w:rsidR="008B1FBF" w:rsidRPr="006A1EC7" w:rsidRDefault="008B1FBF" w:rsidP="008128D6">
            <w:pPr>
              <w:spacing w:line="276" w:lineRule="auto"/>
              <w:rPr>
                <w:sz w:val="20"/>
                <w:szCs w:val="20"/>
              </w:rPr>
            </w:pPr>
          </w:p>
        </w:tc>
      </w:tr>
      <w:tr w:rsidR="008B1FBF" w:rsidRPr="006A1EC7" w14:paraId="3213CE4A" w14:textId="77777777" w:rsidTr="008128D6">
        <w:trPr>
          <w:trHeight w:val="813"/>
        </w:trPr>
        <w:tc>
          <w:tcPr>
            <w:tcW w:w="1518" w:type="dxa"/>
            <w:vMerge/>
          </w:tcPr>
          <w:p w14:paraId="6FDA1D16" w14:textId="77777777" w:rsidR="008B1FBF" w:rsidRPr="006A1EC7" w:rsidRDefault="008B1FBF" w:rsidP="008128D6">
            <w:pPr>
              <w:spacing w:line="276" w:lineRule="auto"/>
              <w:rPr>
                <w:sz w:val="20"/>
                <w:szCs w:val="20"/>
              </w:rPr>
            </w:pPr>
          </w:p>
        </w:tc>
        <w:tc>
          <w:tcPr>
            <w:tcW w:w="1986" w:type="dxa"/>
            <w:vMerge w:val="restart"/>
          </w:tcPr>
          <w:p w14:paraId="1D9AB74D" w14:textId="77777777" w:rsidR="008B1FBF" w:rsidRPr="006A1EC7" w:rsidRDefault="008B1FBF" w:rsidP="008128D6">
            <w:pPr>
              <w:spacing w:line="276" w:lineRule="auto"/>
              <w:rPr>
                <w:sz w:val="20"/>
                <w:szCs w:val="20"/>
              </w:rPr>
            </w:pPr>
            <w:r w:rsidRPr="006A1EC7">
              <w:rPr>
                <w:sz w:val="20"/>
                <w:szCs w:val="20"/>
              </w:rPr>
              <w:t>2.2.4 Care inadequacies at diagnosis and beyond</w:t>
            </w:r>
          </w:p>
        </w:tc>
        <w:tc>
          <w:tcPr>
            <w:tcW w:w="1630" w:type="dxa"/>
          </w:tcPr>
          <w:p w14:paraId="5376C470" w14:textId="77777777" w:rsidR="008B1FBF" w:rsidRPr="006A1EC7" w:rsidRDefault="008B1FBF" w:rsidP="008128D6">
            <w:pPr>
              <w:spacing w:line="276" w:lineRule="auto"/>
              <w:rPr>
                <w:sz w:val="20"/>
                <w:szCs w:val="20"/>
              </w:rPr>
            </w:pPr>
            <w:r w:rsidRPr="006A1EC7">
              <w:rPr>
                <w:sz w:val="20"/>
                <w:szCs w:val="20"/>
              </w:rPr>
              <w:t>2.2.4.1 Continued lack of knowledge</w:t>
            </w:r>
          </w:p>
        </w:tc>
        <w:tc>
          <w:tcPr>
            <w:tcW w:w="2240" w:type="dxa"/>
          </w:tcPr>
          <w:p w14:paraId="0E5AD0C3" w14:textId="77777777" w:rsidR="008B1FBF" w:rsidRPr="006A1EC7" w:rsidRDefault="008B1FBF" w:rsidP="008128D6">
            <w:pPr>
              <w:spacing w:line="276" w:lineRule="auto"/>
              <w:rPr>
                <w:sz w:val="20"/>
                <w:szCs w:val="20"/>
              </w:rPr>
            </w:pPr>
            <w:r w:rsidRPr="006A1EC7">
              <w:rPr>
                <w:sz w:val="20"/>
                <w:szCs w:val="20"/>
              </w:rPr>
              <w:t>3A, 10, 11B, 3a8, 1. 2C, 4b, 8, 3B, 1</w:t>
            </w:r>
          </w:p>
        </w:tc>
        <w:tc>
          <w:tcPr>
            <w:tcW w:w="1552" w:type="dxa"/>
          </w:tcPr>
          <w:p w14:paraId="4D0774AC"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02C9BBFE" w14:textId="77777777" w:rsidTr="008128D6">
        <w:trPr>
          <w:trHeight w:val="794"/>
        </w:trPr>
        <w:tc>
          <w:tcPr>
            <w:tcW w:w="1518" w:type="dxa"/>
            <w:vMerge/>
          </w:tcPr>
          <w:p w14:paraId="3CDDC4A0" w14:textId="77777777" w:rsidR="008B1FBF" w:rsidRPr="006A1EC7" w:rsidRDefault="008B1FBF" w:rsidP="008128D6">
            <w:pPr>
              <w:spacing w:line="276" w:lineRule="auto"/>
              <w:rPr>
                <w:sz w:val="20"/>
                <w:szCs w:val="20"/>
              </w:rPr>
            </w:pPr>
          </w:p>
        </w:tc>
        <w:tc>
          <w:tcPr>
            <w:tcW w:w="1986" w:type="dxa"/>
            <w:vMerge/>
          </w:tcPr>
          <w:p w14:paraId="22CCFC81" w14:textId="77777777" w:rsidR="008B1FBF" w:rsidRPr="006A1EC7" w:rsidRDefault="008B1FBF" w:rsidP="008128D6">
            <w:pPr>
              <w:spacing w:line="276" w:lineRule="auto"/>
              <w:rPr>
                <w:sz w:val="20"/>
                <w:szCs w:val="20"/>
              </w:rPr>
            </w:pPr>
          </w:p>
        </w:tc>
        <w:tc>
          <w:tcPr>
            <w:tcW w:w="1630" w:type="dxa"/>
          </w:tcPr>
          <w:p w14:paraId="2CFF9431" w14:textId="77777777" w:rsidR="008B1FBF" w:rsidRPr="006A1EC7" w:rsidRDefault="008B1FBF" w:rsidP="008128D6">
            <w:pPr>
              <w:spacing w:line="276" w:lineRule="auto"/>
              <w:rPr>
                <w:sz w:val="20"/>
                <w:szCs w:val="20"/>
              </w:rPr>
            </w:pPr>
            <w:r w:rsidRPr="006A1EC7">
              <w:rPr>
                <w:sz w:val="20"/>
                <w:szCs w:val="20"/>
              </w:rPr>
              <w:t>2.2.4.2 Care inadequacies</w:t>
            </w:r>
          </w:p>
        </w:tc>
        <w:tc>
          <w:tcPr>
            <w:tcW w:w="2240" w:type="dxa"/>
          </w:tcPr>
          <w:p w14:paraId="63E4DF89" w14:textId="77777777" w:rsidR="008B1FBF" w:rsidRPr="006A1EC7" w:rsidRDefault="008B1FBF" w:rsidP="008128D6">
            <w:pPr>
              <w:spacing w:line="276" w:lineRule="auto"/>
              <w:rPr>
                <w:sz w:val="20"/>
                <w:szCs w:val="20"/>
              </w:rPr>
            </w:pPr>
            <w:r w:rsidRPr="006A1EC7">
              <w:rPr>
                <w:sz w:val="20"/>
                <w:szCs w:val="20"/>
              </w:rPr>
              <w:t>4B, 8, 11C, 11B, 9, 7, 6A, 6C</w:t>
            </w:r>
          </w:p>
          <w:p w14:paraId="5E606C66" w14:textId="77777777" w:rsidR="008B1FBF" w:rsidRPr="006A1EC7" w:rsidRDefault="008B1FBF" w:rsidP="008128D6">
            <w:pPr>
              <w:spacing w:line="276" w:lineRule="auto"/>
              <w:rPr>
                <w:sz w:val="20"/>
                <w:szCs w:val="20"/>
              </w:rPr>
            </w:pPr>
          </w:p>
        </w:tc>
        <w:tc>
          <w:tcPr>
            <w:tcW w:w="1552" w:type="dxa"/>
          </w:tcPr>
          <w:p w14:paraId="342B78E5"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06CD6C93" w14:textId="77777777" w:rsidTr="008128D6">
        <w:trPr>
          <w:trHeight w:val="477"/>
        </w:trPr>
        <w:tc>
          <w:tcPr>
            <w:tcW w:w="1518" w:type="dxa"/>
            <w:vMerge w:val="restart"/>
          </w:tcPr>
          <w:p w14:paraId="103DA7BD" w14:textId="77777777" w:rsidR="008B1FBF" w:rsidRPr="006A1EC7" w:rsidRDefault="008B1FBF" w:rsidP="008128D6">
            <w:pPr>
              <w:spacing w:line="276" w:lineRule="auto"/>
              <w:rPr>
                <w:sz w:val="20"/>
                <w:szCs w:val="20"/>
              </w:rPr>
            </w:pPr>
            <w:r w:rsidRPr="006A1EC7">
              <w:rPr>
                <w:sz w:val="20"/>
                <w:szCs w:val="20"/>
              </w:rPr>
              <w:t>2.2 Experiences Navigating the NHS</w:t>
            </w:r>
          </w:p>
        </w:tc>
        <w:tc>
          <w:tcPr>
            <w:tcW w:w="1986" w:type="dxa"/>
          </w:tcPr>
          <w:p w14:paraId="2858B470" w14:textId="77777777" w:rsidR="008B1FBF" w:rsidRPr="006A1EC7" w:rsidRDefault="008B1FBF" w:rsidP="008128D6">
            <w:pPr>
              <w:spacing w:line="276" w:lineRule="auto"/>
              <w:rPr>
                <w:sz w:val="20"/>
                <w:szCs w:val="20"/>
              </w:rPr>
            </w:pPr>
            <w:r w:rsidRPr="006A1EC7">
              <w:rPr>
                <w:sz w:val="20"/>
                <w:szCs w:val="20"/>
              </w:rPr>
              <w:t>2.2.1 Negative Experiences with medical professionals</w:t>
            </w:r>
          </w:p>
        </w:tc>
        <w:tc>
          <w:tcPr>
            <w:tcW w:w="1630" w:type="dxa"/>
          </w:tcPr>
          <w:p w14:paraId="6E0EEEB2" w14:textId="77777777" w:rsidR="008B1FBF" w:rsidRPr="006A1EC7" w:rsidRDefault="008B1FBF" w:rsidP="008128D6">
            <w:pPr>
              <w:spacing w:line="276" w:lineRule="auto"/>
              <w:rPr>
                <w:sz w:val="20"/>
                <w:szCs w:val="20"/>
              </w:rPr>
            </w:pPr>
          </w:p>
        </w:tc>
        <w:tc>
          <w:tcPr>
            <w:tcW w:w="2240" w:type="dxa"/>
          </w:tcPr>
          <w:p w14:paraId="4DE823D7" w14:textId="77777777" w:rsidR="008B1FBF" w:rsidRPr="006A1EC7" w:rsidRDefault="008B1FBF" w:rsidP="008128D6">
            <w:pPr>
              <w:spacing w:line="276" w:lineRule="auto"/>
              <w:rPr>
                <w:sz w:val="20"/>
                <w:szCs w:val="20"/>
              </w:rPr>
            </w:pPr>
            <w:r w:rsidRPr="006A1EC7">
              <w:rPr>
                <w:sz w:val="20"/>
                <w:szCs w:val="20"/>
              </w:rPr>
              <w:t>4b, 8, 11c, 11b, 9, 7, 6A, 6c</w:t>
            </w:r>
          </w:p>
          <w:p w14:paraId="5DB3CEA3" w14:textId="77777777" w:rsidR="008B1FBF" w:rsidRPr="006A1EC7" w:rsidRDefault="008B1FBF" w:rsidP="008128D6">
            <w:pPr>
              <w:spacing w:line="276" w:lineRule="auto"/>
              <w:rPr>
                <w:sz w:val="20"/>
                <w:szCs w:val="20"/>
              </w:rPr>
            </w:pPr>
          </w:p>
        </w:tc>
        <w:tc>
          <w:tcPr>
            <w:tcW w:w="1552" w:type="dxa"/>
          </w:tcPr>
          <w:p w14:paraId="560B33C2"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735E8D40" w14:textId="77777777" w:rsidTr="008128D6">
        <w:trPr>
          <w:trHeight w:val="632"/>
        </w:trPr>
        <w:tc>
          <w:tcPr>
            <w:tcW w:w="1518" w:type="dxa"/>
            <w:vMerge/>
          </w:tcPr>
          <w:p w14:paraId="11CB07BD" w14:textId="77777777" w:rsidR="008B1FBF" w:rsidRPr="006A1EC7" w:rsidRDefault="008B1FBF" w:rsidP="008128D6">
            <w:pPr>
              <w:spacing w:line="276" w:lineRule="auto"/>
              <w:rPr>
                <w:sz w:val="20"/>
                <w:szCs w:val="20"/>
              </w:rPr>
            </w:pPr>
          </w:p>
        </w:tc>
        <w:tc>
          <w:tcPr>
            <w:tcW w:w="1986" w:type="dxa"/>
          </w:tcPr>
          <w:p w14:paraId="34F4AA50" w14:textId="77777777" w:rsidR="008B1FBF" w:rsidRPr="006A1EC7" w:rsidRDefault="008B1FBF" w:rsidP="008128D6">
            <w:pPr>
              <w:spacing w:line="276" w:lineRule="auto"/>
              <w:rPr>
                <w:sz w:val="20"/>
                <w:szCs w:val="20"/>
              </w:rPr>
            </w:pPr>
            <w:r w:rsidRPr="006A1EC7">
              <w:rPr>
                <w:sz w:val="20"/>
                <w:szCs w:val="20"/>
              </w:rPr>
              <w:t>2.2.2 Positive Experiences medical professionals</w:t>
            </w:r>
          </w:p>
        </w:tc>
        <w:tc>
          <w:tcPr>
            <w:tcW w:w="1630" w:type="dxa"/>
          </w:tcPr>
          <w:p w14:paraId="293691EF" w14:textId="77777777" w:rsidR="008B1FBF" w:rsidRPr="006A1EC7" w:rsidRDefault="008B1FBF" w:rsidP="008128D6">
            <w:pPr>
              <w:spacing w:line="276" w:lineRule="auto"/>
              <w:rPr>
                <w:sz w:val="20"/>
                <w:szCs w:val="20"/>
              </w:rPr>
            </w:pPr>
          </w:p>
        </w:tc>
        <w:tc>
          <w:tcPr>
            <w:tcW w:w="2240" w:type="dxa"/>
          </w:tcPr>
          <w:p w14:paraId="2D89539E" w14:textId="77777777" w:rsidR="008B1FBF" w:rsidRPr="006A1EC7" w:rsidRDefault="008B1FBF" w:rsidP="008128D6">
            <w:pPr>
              <w:spacing w:line="276" w:lineRule="auto"/>
              <w:rPr>
                <w:sz w:val="20"/>
                <w:szCs w:val="20"/>
              </w:rPr>
            </w:pPr>
            <w:r w:rsidRPr="006A1EC7">
              <w:rPr>
                <w:sz w:val="20"/>
                <w:szCs w:val="20"/>
              </w:rPr>
              <w:t>2C, 3A, 5, 3A</w:t>
            </w:r>
          </w:p>
        </w:tc>
        <w:tc>
          <w:tcPr>
            <w:tcW w:w="1552" w:type="dxa"/>
          </w:tcPr>
          <w:p w14:paraId="0859AD6B"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6D258BFE" w14:textId="77777777" w:rsidTr="008128D6">
        <w:trPr>
          <w:trHeight w:val="335"/>
        </w:trPr>
        <w:tc>
          <w:tcPr>
            <w:tcW w:w="1518" w:type="dxa"/>
            <w:vMerge/>
          </w:tcPr>
          <w:p w14:paraId="0D5DD6F9" w14:textId="77777777" w:rsidR="008B1FBF" w:rsidRPr="006A1EC7" w:rsidRDefault="008B1FBF" w:rsidP="008128D6">
            <w:pPr>
              <w:spacing w:line="276" w:lineRule="auto"/>
              <w:rPr>
                <w:sz w:val="20"/>
                <w:szCs w:val="20"/>
              </w:rPr>
            </w:pPr>
          </w:p>
        </w:tc>
        <w:tc>
          <w:tcPr>
            <w:tcW w:w="1986" w:type="dxa"/>
          </w:tcPr>
          <w:p w14:paraId="640CD8B6" w14:textId="77777777" w:rsidR="008B1FBF" w:rsidRPr="006A1EC7" w:rsidRDefault="008B1FBF" w:rsidP="008128D6">
            <w:pPr>
              <w:spacing w:line="276" w:lineRule="auto"/>
              <w:rPr>
                <w:sz w:val="20"/>
                <w:szCs w:val="20"/>
              </w:rPr>
            </w:pPr>
            <w:r w:rsidRPr="006A1EC7">
              <w:rPr>
                <w:sz w:val="20"/>
                <w:szCs w:val="20"/>
              </w:rPr>
              <w:t>2.2.3 Recommendations</w:t>
            </w:r>
          </w:p>
        </w:tc>
        <w:tc>
          <w:tcPr>
            <w:tcW w:w="1630" w:type="dxa"/>
          </w:tcPr>
          <w:p w14:paraId="5BE2982E" w14:textId="77777777" w:rsidR="008B1FBF" w:rsidRPr="006A1EC7" w:rsidRDefault="008B1FBF" w:rsidP="008128D6">
            <w:pPr>
              <w:spacing w:line="276" w:lineRule="auto"/>
              <w:rPr>
                <w:sz w:val="20"/>
                <w:szCs w:val="20"/>
              </w:rPr>
            </w:pPr>
          </w:p>
        </w:tc>
        <w:tc>
          <w:tcPr>
            <w:tcW w:w="2240" w:type="dxa"/>
            <w:tcBorders>
              <w:bottom w:val="nil"/>
            </w:tcBorders>
          </w:tcPr>
          <w:p w14:paraId="1EF5034A" w14:textId="77777777" w:rsidR="008B1FBF" w:rsidRPr="006A1EC7" w:rsidRDefault="008B1FBF" w:rsidP="008128D6">
            <w:pPr>
              <w:spacing w:line="276" w:lineRule="auto"/>
              <w:rPr>
                <w:sz w:val="20"/>
                <w:szCs w:val="20"/>
              </w:rPr>
            </w:pPr>
            <w:r w:rsidRPr="006A1EC7">
              <w:rPr>
                <w:sz w:val="20"/>
                <w:szCs w:val="20"/>
              </w:rPr>
              <w:t>1, 2A, 3AC, 4B, 5, 6A, 7, 8, 10, 11CB, 12AB (Appendix 5.1)</w:t>
            </w:r>
          </w:p>
        </w:tc>
        <w:tc>
          <w:tcPr>
            <w:tcW w:w="1552" w:type="dxa"/>
          </w:tcPr>
          <w:p w14:paraId="388BFAE9" w14:textId="77777777" w:rsidR="008B1FBF" w:rsidRPr="006A1EC7" w:rsidRDefault="008B1FBF" w:rsidP="008128D6">
            <w:pPr>
              <w:spacing w:line="276" w:lineRule="auto"/>
              <w:rPr>
                <w:sz w:val="20"/>
                <w:szCs w:val="20"/>
              </w:rPr>
            </w:pPr>
            <w:r w:rsidRPr="006A1EC7">
              <w:rPr>
                <w:sz w:val="20"/>
                <w:szCs w:val="20"/>
              </w:rPr>
              <w:t>Semantic</w:t>
            </w:r>
          </w:p>
        </w:tc>
      </w:tr>
      <w:tr w:rsidR="008B1FBF" w:rsidRPr="006A1EC7" w14:paraId="2C7357B1" w14:textId="77777777" w:rsidTr="008128D6">
        <w:trPr>
          <w:trHeight w:val="647"/>
        </w:trPr>
        <w:tc>
          <w:tcPr>
            <w:tcW w:w="8926" w:type="dxa"/>
            <w:gridSpan w:val="5"/>
            <w:tcBorders>
              <w:top w:val="nil"/>
              <w:bottom w:val="nil"/>
            </w:tcBorders>
            <w:shd w:val="clear" w:color="auto" w:fill="00B0F0"/>
          </w:tcPr>
          <w:p w14:paraId="547876D3" w14:textId="77777777" w:rsidR="008B1FBF" w:rsidRPr="006A1EC7" w:rsidRDefault="008B1FBF" w:rsidP="008128D6">
            <w:pPr>
              <w:spacing w:line="276" w:lineRule="auto"/>
              <w:rPr>
                <w:sz w:val="20"/>
                <w:szCs w:val="20"/>
              </w:rPr>
            </w:pPr>
            <w:r w:rsidRPr="006A1EC7">
              <w:rPr>
                <w:sz w:val="20"/>
                <w:szCs w:val="20"/>
              </w:rPr>
              <w:t>Theme 3: Family adaptation</w:t>
            </w:r>
          </w:p>
        </w:tc>
      </w:tr>
      <w:tr w:rsidR="008B1FBF" w:rsidRPr="006A1EC7" w14:paraId="3511F683" w14:textId="77777777" w:rsidTr="008128D6">
        <w:trPr>
          <w:trHeight w:val="533"/>
        </w:trPr>
        <w:tc>
          <w:tcPr>
            <w:tcW w:w="1518" w:type="dxa"/>
            <w:vMerge w:val="restart"/>
            <w:tcBorders>
              <w:top w:val="single" w:sz="4" w:space="0" w:color="auto"/>
            </w:tcBorders>
            <w:shd w:val="clear" w:color="auto" w:fill="auto"/>
          </w:tcPr>
          <w:p w14:paraId="5FF7EF60" w14:textId="77777777" w:rsidR="008B1FBF" w:rsidRPr="006A1EC7" w:rsidRDefault="008B1FBF" w:rsidP="008128D6">
            <w:pPr>
              <w:spacing w:line="276" w:lineRule="auto"/>
              <w:rPr>
                <w:sz w:val="20"/>
                <w:szCs w:val="20"/>
              </w:rPr>
            </w:pPr>
            <w:r w:rsidRPr="006A1EC7">
              <w:rPr>
                <w:sz w:val="20"/>
                <w:szCs w:val="20"/>
              </w:rPr>
              <w:t>3. 1 Cognitive adjustment</w:t>
            </w:r>
          </w:p>
        </w:tc>
        <w:tc>
          <w:tcPr>
            <w:tcW w:w="1986" w:type="dxa"/>
            <w:shd w:val="clear" w:color="auto" w:fill="auto"/>
          </w:tcPr>
          <w:p w14:paraId="45A71A0E" w14:textId="77777777" w:rsidR="008B1FBF" w:rsidRPr="006A1EC7" w:rsidRDefault="008B1FBF" w:rsidP="008128D6">
            <w:pPr>
              <w:spacing w:line="276" w:lineRule="auto"/>
              <w:rPr>
                <w:sz w:val="20"/>
                <w:szCs w:val="20"/>
              </w:rPr>
            </w:pPr>
            <w:r w:rsidRPr="006A1EC7">
              <w:rPr>
                <w:sz w:val="20"/>
                <w:szCs w:val="20"/>
              </w:rPr>
              <w:t xml:space="preserve">3.1.1 ‘Expert Parents’ </w:t>
            </w:r>
          </w:p>
        </w:tc>
        <w:tc>
          <w:tcPr>
            <w:tcW w:w="1630" w:type="dxa"/>
          </w:tcPr>
          <w:p w14:paraId="369F5F4E" w14:textId="77777777" w:rsidR="008B1FBF" w:rsidRPr="006A1EC7" w:rsidRDefault="008B1FBF" w:rsidP="008128D6">
            <w:pPr>
              <w:spacing w:line="276" w:lineRule="auto"/>
              <w:rPr>
                <w:sz w:val="20"/>
                <w:szCs w:val="20"/>
              </w:rPr>
            </w:pPr>
          </w:p>
        </w:tc>
        <w:tc>
          <w:tcPr>
            <w:tcW w:w="2240" w:type="dxa"/>
            <w:shd w:val="clear" w:color="auto" w:fill="auto"/>
          </w:tcPr>
          <w:p w14:paraId="1B181379" w14:textId="77777777" w:rsidR="008B1FBF" w:rsidRPr="006A1EC7" w:rsidRDefault="008B1FBF" w:rsidP="008128D6">
            <w:pPr>
              <w:spacing w:line="276" w:lineRule="auto"/>
              <w:rPr>
                <w:sz w:val="20"/>
                <w:szCs w:val="20"/>
              </w:rPr>
            </w:pPr>
            <w:r w:rsidRPr="006A1EC7">
              <w:rPr>
                <w:sz w:val="20"/>
                <w:szCs w:val="20"/>
              </w:rPr>
              <w:t>10, 3c, 4b, 1, 5, 4B,8, 10, 11B, 11C, 12B, 2C</w:t>
            </w:r>
          </w:p>
          <w:p w14:paraId="05AFBE29" w14:textId="77777777" w:rsidR="008B1FBF" w:rsidRPr="006A1EC7" w:rsidRDefault="008B1FBF" w:rsidP="008128D6">
            <w:pPr>
              <w:spacing w:line="276" w:lineRule="auto"/>
              <w:rPr>
                <w:sz w:val="20"/>
                <w:szCs w:val="20"/>
              </w:rPr>
            </w:pPr>
          </w:p>
        </w:tc>
        <w:tc>
          <w:tcPr>
            <w:tcW w:w="1552" w:type="dxa"/>
          </w:tcPr>
          <w:p w14:paraId="421EDD06"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28967DAF" w14:textId="77777777" w:rsidTr="008128D6">
        <w:trPr>
          <w:trHeight w:val="614"/>
        </w:trPr>
        <w:tc>
          <w:tcPr>
            <w:tcW w:w="1518" w:type="dxa"/>
            <w:vMerge/>
            <w:shd w:val="clear" w:color="auto" w:fill="auto"/>
          </w:tcPr>
          <w:p w14:paraId="0D2AD66F" w14:textId="77777777" w:rsidR="008B1FBF" w:rsidRPr="006A1EC7" w:rsidRDefault="008B1FBF" w:rsidP="008128D6">
            <w:pPr>
              <w:spacing w:line="276" w:lineRule="auto"/>
              <w:rPr>
                <w:sz w:val="20"/>
                <w:szCs w:val="20"/>
              </w:rPr>
            </w:pPr>
          </w:p>
        </w:tc>
        <w:tc>
          <w:tcPr>
            <w:tcW w:w="1986" w:type="dxa"/>
            <w:shd w:val="clear" w:color="auto" w:fill="auto"/>
          </w:tcPr>
          <w:p w14:paraId="3F7127CE" w14:textId="77777777" w:rsidR="008B1FBF" w:rsidRPr="006A1EC7" w:rsidRDefault="008B1FBF" w:rsidP="008128D6">
            <w:pPr>
              <w:spacing w:line="276" w:lineRule="auto"/>
              <w:rPr>
                <w:sz w:val="20"/>
                <w:szCs w:val="20"/>
              </w:rPr>
            </w:pPr>
            <w:r w:rsidRPr="006A1EC7">
              <w:rPr>
                <w:sz w:val="20"/>
                <w:szCs w:val="20"/>
              </w:rPr>
              <w:t>3.1.2 Learning curve</w:t>
            </w:r>
          </w:p>
        </w:tc>
        <w:tc>
          <w:tcPr>
            <w:tcW w:w="1630" w:type="dxa"/>
          </w:tcPr>
          <w:p w14:paraId="7310EE9D" w14:textId="77777777" w:rsidR="008B1FBF" w:rsidRPr="006A1EC7" w:rsidRDefault="008B1FBF" w:rsidP="008128D6">
            <w:pPr>
              <w:spacing w:line="276" w:lineRule="auto"/>
              <w:rPr>
                <w:sz w:val="20"/>
                <w:szCs w:val="20"/>
              </w:rPr>
            </w:pPr>
          </w:p>
        </w:tc>
        <w:tc>
          <w:tcPr>
            <w:tcW w:w="2240" w:type="dxa"/>
            <w:shd w:val="clear" w:color="auto" w:fill="auto"/>
          </w:tcPr>
          <w:p w14:paraId="6B9EE2A3" w14:textId="77777777" w:rsidR="008B1FBF" w:rsidRPr="006A1EC7" w:rsidRDefault="008B1FBF" w:rsidP="008128D6">
            <w:pPr>
              <w:tabs>
                <w:tab w:val="right" w:pos="2024"/>
              </w:tabs>
              <w:spacing w:line="276" w:lineRule="auto"/>
              <w:rPr>
                <w:sz w:val="20"/>
                <w:szCs w:val="20"/>
              </w:rPr>
            </w:pPr>
            <w:r w:rsidRPr="006A1EC7">
              <w:rPr>
                <w:sz w:val="20"/>
                <w:szCs w:val="20"/>
              </w:rPr>
              <w:t xml:space="preserve">11B, 11A, 5, 8, 10, </w:t>
            </w:r>
          </w:p>
          <w:p w14:paraId="49696CBE" w14:textId="77777777" w:rsidR="008B1FBF" w:rsidRPr="006A1EC7" w:rsidRDefault="008B1FBF" w:rsidP="008128D6">
            <w:pPr>
              <w:tabs>
                <w:tab w:val="right" w:pos="2024"/>
              </w:tabs>
              <w:spacing w:line="276" w:lineRule="auto"/>
              <w:rPr>
                <w:sz w:val="20"/>
                <w:szCs w:val="20"/>
              </w:rPr>
            </w:pPr>
            <w:r w:rsidRPr="006A1EC7">
              <w:rPr>
                <w:sz w:val="20"/>
                <w:szCs w:val="20"/>
              </w:rPr>
              <w:t>2A, 3B, W7, 11C</w:t>
            </w:r>
          </w:p>
        </w:tc>
        <w:tc>
          <w:tcPr>
            <w:tcW w:w="1552" w:type="dxa"/>
          </w:tcPr>
          <w:p w14:paraId="6C7D93A8"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15D14352" w14:textId="77777777" w:rsidTr="008128D6">
        <w:trPr>
          <w:trHeight w:val="305"/>
        </w:trPr>
        <w:tc>
          <w:tcPr>
            <w:tcW w:w="1518" w:type="dxa"/>
            <w:vMerge w:val="restart"/>
          </w:tcPr>
          <w:p w14:paraId="30605A8C" w14:textId="77777777" w:rsidR="008B1FBF" w:rsidRPr="006A1EC7" w:rsidRDefault="008B1FBF" w:rsidP="008128D6">
            <w:pPr>
              <w:spacing w:line="276" w:lineRule="auto"/>
              <w:rPr>
                <w:sz w:val="20"/>
                <w:szCs w:val="20"/>
              </w:rPr>
            </w:pPr>
            <w:r w:rsidRPr="006A1EC7">
              <w:rPr>
                <w:sz w:val="20"/>
                <w:szCs w:val="20"/>
              </w:rPr>
              <w:t>3.2 Acceptance and coping</w:t>
            </w:r>
          </w:p>
        </w:tc>
        <w:tc>
          <w:tcPr>
            <w:tcW w:w="1986" w:type="dxa"/>
          </w:tcPr>
          <w:p w14:paraId="7B7E7AA2" w14:textId="77777777" w:rsidR="008B1FBF" w:rsidRPr="006A1EC7" w:rsidRDefault="008B1FBF" w:rsidP="008128D6">
            <w:pPr>
              <w:spacing w:line="276" w:lineRule="auto"/>
              <w:rPr>
                <w:sz w:val="20"/>
                <w:szCs w:val="20"/>
              </w:rPr>
            </w:pPr>
            <w:r w:rsidRPr="006A1EC7">
              <w:rPr>
                <w:sz w:val="20"/>
                <w:szCs w:val="20"/>
              </w:rPr>
              <w:t>3.2.1 Acceptance</w:t>
            </w:r>
          </w:p>
        </w:tc>
        <w:tc>
          <w:tcPr>
            <w:tcW w:w="1630" w:type="dxa"/>
          </w:tcPr>
          <w:p w14:paraId="3E338785" w14:textId="77777777" w:rsidR="008B1FBF" w:rsidRPr="006A1EC7" w:rsidRDefault="008B1FBF" w:rsidP="008128D6">
            <w:pPr>
              <w:spacing w:line="276" w:lineRule="auto"/>
              <w:rPr>
                <w:sz w:val="20"/>
                <w:szCs w:val="20"/>
              </w:rPr>
            </w:pPr>
          </w:p>
        </w:tc>
        <w:tc>
          <w:tcPr>
            <w:tcW w:w="2240" w:type="dxa"/>
          </w:tcPr>
          <w:p w14:paraId="59E2DE18" w14:textId="77777777" w:rsidR="008B1FBF" w:rsidRPr="006A1EC7" w:rsidRDefault="008B1FBF" w:rsidP="008128D6">
            <w:pPr>
              <w:spacing w:line="276" w:lineRule="auto"/>
              <w:rPr>
                <w:sz w:val="20"/>
                <w:szCs w:val="20"/>
              </w:rPr>
            </w:pPr>
            <w:r w:rsidRPr="006A1EC7">
              <w:rPr>
                <w:sz w:val="20"/>
                <w:szCs w:val="20"/>
              </w:rPr>
              <w:t xml:space="preserve">4B, 8, 2A, 2C, 5, </w:t>
            </w:r>
          </w:p>
        </w:tc>
        <w:tc>
          <w:tcPr>
            <w:tcW w:w="1552" w:type="dxa"/>
          </w:tcPr>
          <w:p w14:paraId="6F6F2452"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4624A1F8" w14:textId="77777777" w:rsidTr="008128D6">
        <w:trPr>
          <w:trHeight w:val="443"/>
        </w:trPr>
        <w:tc>
          <w:tcPr>
            <w:tcW w:w="1518" w:type="dxa"/>
            <w:vMerge/>
          </w:tcPr>
          <w:p w14:paraId="18105910" w14:textId="77777777" w:rsidR="008B1FBF" w:rsidRPr="006A1EC7" w:rsidRDefault="008B1FBF" w:rsidP="008128D6">
            <w:pPr>
              <w:spacing w:line="276" w:lineRule="auto"/>
              <w:rPr>
                <w:sz w:val="20"/>
                <w:szCs w:val="20"/>
              </w:rPr>
            </w:pPr>
          </w:p>
        </w:tc>
        <w:tc>
          <w:tcPr>
            <w:tcW w:w="1986" w:type="dxa"/>
          </w:tcPr>
          <w:p w14:paraId="46357E19" w14:textId="77777777" w:rsidR="008B1FBF" w:rsidRPr="006A1EC7" w:rsidRDefault="008B1FBF" w:rsidP="008128D6">
            <w:pPr>
              <w:spacing w:line="276" w:lineRule="auto"/>
              <w:rPr>
                <w:sz w:val="20"/>
                <w:szCs w:val="20"/>
              </w:rPr>
            </w:pPr>
            <w:r w:rsidRPr="006A1EC7">
              <w:rPr>
                <w:sz w:val="20"/>
                <w:szCs w:val="20"/>
              </w:rPr>
              <w:t>3.2.2 Coping</w:t>
            </w:r>
          </w:p>
        </w:tc>
        <w:tc>
          <w:tcPr>
            <w:tcW w:w="1630" w:type="dxa"/>
          </w:tcPr>
          <w:p w14:paraId="0D336345" w14:textId="77777777" w:rsidR="008B1FBF" w:rsidRPr="006A1EC7" w:rsidRDefault="008B1FBF" w:rsidP="008128D6">
            <w:pPr>
              <w:spacing w:line="276" w:lineRule="auto"/>
              <w:rPr>
                <w:sz w:val="20"/>
                <w:szCs w:val="20"/>
              </w:rPr>
            </w:pPr>
          </w:p>
        </w:tc>
        <w:tc>
          <w:tcPr>
            <w:tcW w:w="2240" w:type="dxa"/>
          </w:tcPr>
          <w:p w14:paraId="07740DE9" w14:textId="77777777" w:rsidR="008B1FBF" w:rsidRPr="006A1EC7" w:rsidRDefault="008B1FBF" w:rsidP="008128D6">
            <w:pPr>
              <w:spacing w:line="276" w:lineRule="auto"/>
              <w:rPr>
                <w:sz w:val="20"/>
                <w:szCs w:val="20"/>
              </w:rPr>
            </w:pPr>
            <w:r w:rsidRPr="006A1EC7">
              <w:rPr>
                <w:sz w:val="20"/>
                <w:szCs w:val="20"/>
              </w:rPr>
              <w:t>1, 3C, 11A, 3A, 5</w:t>
            </w:r>
          </w:p>
        </w:tc>
        <w:tc>
          <w:tcPr>
            <w:tcW w:w="1552" w:type="dxa"/>
          </w:tcPr>
          <w:p w14:paraId="0A464DD5"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1185E13A" w14:textId="77777777" w:rsidTr="008128D6">
        <w:trPr>
          <w:trHeight w:val="480"/>
        </w:trPr>
        <w:tc>
          <w:tcPr>
            <w:tcW w:w="1518" w:type="dxa"/>
            <w:vMerge w:val="restart"/>
          </w:tcPr>
          <w:p w14:paraId="06668CC6" w14:textId="77777777" w:rsidR="008B1FBF" w:rsidRPr="006A1EC7" w:rsidRDefault="008B1FBF" w:rsidP="008128D6">
            <w:pPr>
              <w:spacing w:line="276" w:lineRule="auto"/>
              <w:rPr>
                <w:sz w:val="20"/>
                <w:szCs w:val="20"/>
              </w:rPr>
            </w:pPr>
            <w:r w:rsidRPr="006A1EC7">
              <w:rPr>
                <w:sz w:val="20"/>
                <w:szCs w:val="20"/>
              </w:rPr>
              <w:t>3.3 Physical adaptation</w:t>
            </w:r>
          </w:p>
        </w:tc>
        <w:tc>
          <w:tcPr>
            <w:tcW w:w="1986" w:type="dxa"/>
          </w:tcPr>
          <w:p w14:paraId="27334E10" w14:textId="77777777" w:rsidR="008B1FBF" w:rsidRPr="006A1EC7" w:rsidRDefault="008B1FBF" w:rsidP="008128D6">
            <w:pPr>
              <w:spacing w:line="276" w:lineRule="auto"/>
              <w:rPr>
                <w:sz w:val="20"/>
                <w:szCs w:val="20"/>
              </w:rPr>
            </w:pPr>
            <w:r w:rsidRPr="006A1EC7">
              <w:rPr>
                <w:sz w:val="20"/>
                <w:szCs w:val="20"/>
              </w:rPr>
              <w:t>3.3.1 Adapting existing living space</w:t>
            </w:r>
          </w:p>
        </w:tc>
        <w:tc>
          <w:tcPr>
            <w:tcW w:w="1630" w:type="dxa"/>
          </w:tcPr>
          <w:p w14:paraId="7646963F" w14:textId="77777777" w:rsidR="008B1FBF" w:rsidRPr="006A1EC7" w:rsidRDefault="008B1FBF" w:rsidP="008128D6">
            <w:pPr>
              <w:spacing w:line="276" w:lineRule="auto"/>
              <w:rPr>
                <w:sz w:val="20"/>
                <w:szCs w:val="20"/>
              </w:rPr>
            </w:pPr>
          </w:p>
        </w:tc>
        <w:tc>
          <w:tcPr>
            <w:tcW w:w="2240" w:type="dxa"/>
          </w:tcPr>
          <w:p w14:paraId="0CFEF84F" w14:textId="77777777" w:rsidR="008B1FBF" w:rsidRPr="006A1EC7" w:rsidRDefault="008B1FBF" w:rsidP="008128D6">
            <w:pPr>
              <w:spacing w:line="276" w:lineRule="auto"/>
              <w:rPr>
                <w:sz w:val="20"/>
                <w:szCs w:val="20"/>
              </w:rPr>
            </w:pPr>
            <w:r w:rsidRPr="006A1EC7">
              <w:rPr>
                <w:sz w:val="20"/>
                <w:szCs w:val="20"/>
              </w:rPr>
              <w:t>1, 3C, 5, 6A, 6C,.10, 4A, 4B</w:t>
            </w:r>
          </w:p>
        </w:tc>
        <w:tc>
          <w:tcPr>
            <w:tcW w:w="1552" w:type="dxa"/>
          </w:tcPr>
          <w:p w14:paraId="2C88A746" w14:textId="77777777" w:rsidR="008B1FBF" w:rsidRPr="006A1EC7" w:rsidRDefault="008B1FBF" w:rsidP="008128D6">
            <w:pPr>
              <w:spacing w:line="276" w:lineRule="auto"/>
              <w:rPr>
                <w:sz w:val="20"/>
                <w:szCs w:val="20"/>
              </w:rPr>
            </w:pPr>
            <w:r w:rsidRPr="006A1EC7">
              <w:rPr>
                <w:sz w:val="20"/>
                <w:szCs w:val="20"/>
              </w:rPr>
              <w:t>Semantic</w:t>
            </w:r>
          </w:p>
        </w:tc>
      </w:tr>
      <w:tr w:rsidR="008B1FBF" w:rsidRPr="006A1EC7" w14:paraId="66DB4CDE" w14:textId="77777777" w:rsidTr="008128D6">
        <w:trPr>
          <w:trHeight w:val="585"/>
        </w:trPr>
        <w:tc>
          <w:tcPr>
            <w:tcW w:w="1518" w:type="dxa"/>
            <w:vMerge/>
          </w:tcPr>
          <w:p w14:paraId="581E3BC5" w14:textId="77777777" w:rsidR="008B1FBF" w:rsidRPr="006A1EC7" w:rsidRDefault="008B1FBF" w:rsidP="008128D6">
            <w:pPr>
              <w:spacing w:line="276" w:lineRule="auto"/>
              <w:rPr>
                <w:sz w:val="20"/>
                <w:szCs w:val="20"/>
              </w:rPr>
            </w:pPr>
          </w:p>
        </w:tc>
        <w:tc>
          <w:tcPr>
            <w:tcW w:w="1986" w:type="dxa"/>
          </w:tcPr>
          <w:p w14:paraId="1AE7DC45" w14:textId="77777777" w:rsidR="008B1FBF" w:rsidRPr="006A1EC7" w:rsidRDefault="008B1FBF" w:rsidP="008128D6">
            <w:pPr>
              <w:spacing w:line="276" w:lineRule="auto"/>
              <w:rPr>
                <w:sz w:val="20"/>
                <w:szCs w:val="20"/>
              </w:rPr>
            </w:pPr>
            <w:r w:rsidRPr="006A1EC7">
              <w:rPr>
                <w:sz w:val="20"/>
                <w:szCs w:val="20"/>
              </w:rPr>
              <w:t>3.3.2 Relocation and property purchases</w:t>
            </w:r>
          </w:p>
        </w:tc>
        <w:tc>
          <w:tcPr>
            <w:tcW w:w="1630" w:type="dxa"/>
          </w:tcPr>
          <w:p w14:paraId="4BFA0587" w14:textId="77777777" w:rsidR="008B1FBF" w:rsidRPr="006A1EC7" w:rsidRDefault="008B1FBF" w:rsidP="008128D6">
            <w:pPr>
              <w:spacing w:line="276" w:lineRule="auto"/>
              <w:rPr>
                <w:sz w:val="20"/>
                <w:szCs w:val="20"/>
              </w:rPr>
            </w:pPr>
          </w:p>
        </w:tc>
        <w:tc>
          <w:tcPr>
            <w:tcW w:w="2240" w:type="dxa"/>
          </w:tcPr>
          <w:p w14:paraId="51B2EA4D" w14:textId="77777777" w:rsidR="008B1FBF" w:rsidRPr="006A1EC7" w:rsidRDefault="008B1FBF" w:rsidP="008128D6">
            <w:pPr>
              <w:spacing w:line="276" w:lineRule="auto"/>
              <w:rPr>
                <w:sz w:val="20"/>
                <w:szCs w:val="20"/>
              </w:rPr>
            </w:pPr>
            <w:r w:rsidRPr="006A1EC7">
              <w:rPr>
                <w:sz w:val="20"/>
                <w:szCs w:val="20"/>
              </w:rPr>
              <w:t>7, 3C, 11B, 11C</w:t>
            </w:r>
          </w:p>
        </w:tc>
        <w:tc>
          <w:tcPr>
            <w:tcW w:w="1552" w:type="dxa"/>
          </w:tcPr>
          <w:p w14:paraId="57D37924" w14:textId="77777777" w:rsidR="008B1FBF" w:rsidRPr="006A1EC7" w:rsidRDefault="008B1FBF" w:rsidP="008128D6">
            <w:pPr>
              <w:spacing w:line="276" w:lineRule="auto"/>
              <w:rPr>
                <w:sz w:val="20"/>
                <w:szCs w:val="20"/>
              </w:rPr>
            </w:pPr>
            <w:r w:rsidRPr="006A1EC7">
              <w:rPr>
                <w:sz w:val="20"/>
                <w:szCs w:val="20"/>
              </w:rPr>
              <w:t>Semantic</w:t>
            </w:r>
          </w:p>
        </w:tc>
      </w:tr>
      <w:tr w:rsidR="008B1FBF" w:rsidRPr="006A1EC7" w14:paraId="32318CFA" w14:textId="77777777" w:rsidTr="008128D6">
        <w:trPr>
          <w:trHeight w:val="335"/>
        </w:trPr>
        <w:tc>
          <w:tcPr>
            <w:tcW w:w="8926" w:type="dxa"/>
            <w:gridSpan w:val="5"/>
            <w:shd w:val="clear" w:color="auto" w:fill="E555DC"/>
          </w:tcPr>
          <w:p w14:paraId="0620C4FB" w14:textId="77777777" w:rsidR="008B1FBF" w:rsidRPr="006A1EC7" w:rsidRDefault="008B1FBF" w:rsidP="008128D6">
            <w:pPr>
              <w:spacing w:line="276" w:lineRule="auto"/>
              <w:rPr>
                <w:sz w:val="20"/>
                <w:szCs w:val="20"/>
              </w:rPr>
            </w:pPr>
            <w:r w:rsidRPr="006A1EC7">
              <w:rPr>
                <w:sz w:val="20"/>
                <w:szCs w:val="20"/>
              </w:rPr>
              <w:t>Theme 4: Quality of Life</w:t>
            </w:r>
          </w:p>
        </w:tc>
      </w:tr>
      <w:tr w:rsidR="008B1FBF" w:rsidRPr="006A1EC7" w14:paraId="443E9DE5" w14:textId="77777777" w:rsidTr="008128D6">
        <w:trPr>
          <w:trHeight w:val="255"/>
        </w:trPr>
        <w:tc>
          <w:tcPr>
            <w:tcW w:w="1518" w:type="dxa"/>
            <w:vMerge w:val="restart"/>
          </w:tcPr>
          <w:p w14:paraId="31FA2AB6" w14:textId="77777777" w:rsidR="008B1FBF" w:rsidRPr="006A1EC7" w:rsidRDefault="008B1FBF" w:rsidP="008128D6">
            <w:pPr>
              <w:spacing w:line="276" w:lineRule="auto"/>
              <w:rPr>
                <w:sz w:val="20"/>
                <w:szCs w:val="20"/>
              </w:rPr>
            </w:pPr>
            <w:r w:rsidRPr="006A1EC7">
              <w:rPr>
                <w:sz w:val="20"/>
                <w:szCs w:val="20"/>
              </w:rPr>
              <w:t>4.1 Impact on different family members</w:t>
            </w:r>
          </w:p>
        </w:tc>
        <w:tc>
          <w:tcPr>
            <w:tcW w:w="1986" w:type="dxa"/>
          </w:tcPr>
          <w:p w14:paraId="6545646D" w14:textId="77777777" w:rsidR="008B1FBF" w:rsidRPr="006A1EC7" w:rsidRDefault="008B1FBF" w:rsidP="008128D6">
            <w:pPr>
              <w:spacing w:line="276" w:lineRule="auto"/>
              <w:rPr>
                <w:sz w:val="20"/>
                <w:szCs w:val="20"/>
              </w:rPr>
            </w:pPr>
            <w:r w:rsidRPr="006A1EC7">
              <w:rPr>
                <w:sz w:val="20"/>
                <w:szCs w:val="20"/>
              </w:rPr>
              <w:t>4.1.1 Caregivers</w:t>
            </w:r>
          </w:p>
        </w:tc>
        <w:tc>
          <w:tcPr>
            <w:tcW w:w="1630" w:type="dxa"/>
          </w:tcPr>
          <w:p w14:paraId="322AA169" w14:textId="77777777" w:rsidR="008B1FBF" w:rsidRPr="006A1EC7" w:rsidRDefault="008B1FBF" w:rsidP="008128D6">
            <w:pPr>
              <w:spacing w:line="276" w:lineRule="auto"/>
              <w:rPr>
                <w:sz w:val="20"/>
                <w:szCs w:val="20"/>
              </w:rPr>
            </w:pPr>
          </w:p>
        </w:tc>
        <w:tc>
          <w:tcPr>
            <w:tcW w:w="2240" w:type="dxa"/>
          </w:tcPr>
          <w:p w14:paraId="287EFDA1" w14:textId="77777777" w:rsidR="008B1FBF" w:rsidRPr="006A1EC7" w:rsidRDefault="008B1FBF" w:rsidP="008128D6">
            <w:pPr>
              <w:spacing w:line="276" w:lineRule="auto"/>
              <w:rPr>
                <w:color w:val="000000" w:themeColor="text1"/>
                <w:sz w:val="20"/>
                <w:szCs w:val="20"/>
              </w:rPr>
            </w:pPr>
            <w:r w:rsidRPr="006A1EC7">
              <w:rPr>
                <w:sz w:val="20"/>
                <w:szCs w:val="20"/>
              </w:rPr>
              <w:t xml:space="preserve">10, 6A, 8, 5, 11B, 12A, 5, 8, </w:t>
            </w:r>
            <w:r w:rsidRPr="006A1EC7">
              <w:rPr>
                <w:color w:val="000000" w:themeColor="text1"/>
                <w:sz w:val="20"/>
                <w:szCs w:val="20"/>
              </w:rPr>
              <w:t xml:space="preserve">2A, 2B, 4B, 8, 3A, 4b, </w:t>
            </w:r>
          </w:p>
        </w:tc>
        <w:tc>
          <w:tcPr>
            <w:tcW w:w="1552" w:type="dxa"/>
          </w:tcPr>
          <w:p w14:paraId="2AD4E414"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0A73CA4B" w14:textId="77777777" w:rsidTr="008128D6">
        <w:trPr>
          <w:trHeight w:val="240"/>
        </w:trPr>
        <w:tc>
          <w:tcPr>
            <w:tcW w:w="1518" w:type="dxa"/>
            <w:vMerge/>
          </w:tcPr>
          <w:p w14:paraId="313C30BC" w14:textId="77777777" w:rsidR="008B1FBF" w:rsidRPr="006A1EC7" w:rsidRDefault="008B1FBF" w:rsidP="008128D6">
            <w:pPr>
              <w:spacing w:line="276" w:lineRule="auto"/>
              <w:rPr>
                <w:sz w:val="20"/>
                <w:szCs w:val="20"/>
              </w:rPr>
            </w:pPr>
          </w:p>
        </w:tc>
        <w:tc>
          <w:tcPr>
            <w:tcW w:w="1986" w:type="dxa"/>
          </w:tcPr>
          <w:p w14:paraId="6D266E44" w14:textId="77777777" w:rsidR="008B1FBF" w:rsidRPr="006A1EC7" w:rsidRDefault="008B1FBF" w:rsidP="008128D6">
            <w:pPr>
              <w:spacing w:line="276" w:lineRule="auto"/>
              <w:rPr>
                <w:sz w:val="20"/>
                <w:szCs w:val="20"/>
              </w:rPr>
            </w:pPr>
            <w:r w:rsidRPr="006A1EC7">
              <w:rPr>
                <w:sz w:val="20"/>
                <w:szCs w:val="20"/>
              </w:rPr>
              <w:t>4.1.2 Siblings</w:t>
            </w:r>
          </w:p>
        </w:tc>
        <w:tc>
          <w:tcPr>
            <w:tcW w:w="1630" w:type="dxa"/>
          </w:tcPr>
          <w:p w14:paraId="76611BF7" w14:textId="77777777" w:rsidR="008B1FBF" w:rsidRPr="006A1EC7" w:rsidRDefault="008B1FBF" w:rsidP="008128D6">
            <w:pPr>
              <w:spacing w:line="276" w:lineRule="auto"/>
              <w:rPr>
                <w:sz w:val="20"/>
                <w:szCs w:val="20"/>
              </w:rPr>
            </w:pPr>
          </w:p>
        </w:tc>
        <w:tc>
          <w:tcPr>
            <w:tcW w:w="2240" w:type="dxa"/>
          </w:tcPr>
          <w:p w14:paraId="067AB6EA" w14:textId="77777777" w:rsidR="008B1FBF" w:rsidRPr="006A1EC7" w:rsidRDefault="008B1FBF" w:rsidP="008128D6">
            <w:pPr>
              <w:spacing w:line="276" w:lineRule="auto"/>
              <w:rPr>
                <w:sz w:val="20"/>
                <w:szCs w:val="20"/>
              </w:rPr>
            </w:pPr>
            <w:r w:rsidRPr="006A1EC7">
              <w:rPr>
                <w:sz w:val="20"/>
                <w:szCs w:val="20"/>
              </w:rPr>
              <w:t>1, 12A, 11B, 2, 9, 6C</w:t>
            </w:r>
          </w:p>
        </w:tc>
        <w:tc>
          <w:tcPr>
            <w:tcW w:w="1552" w:type="dxa"/>
          </w:tcPr>
          <w:p w14:paraId="2CC7DCF1"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1CB20945" w14:textId="77777777" w:rsidTr="008128D6">
        <w:trPr>
          <w:trHeight w:val="330"/>
        </w:trPr>
        <w:tc>
          <w:tcPr>
            <w:tcW w:w="1518" w:type="dxa"/>
            <w:vMerge/>
          </w:tcPr>
          <w:p w14:paraId="17245054" w14:textId="77777777" w:rsidR="008B1FBF" w:rsidRPr="006A1EC7" w:rsidRDefault="008B1FBF" w:rsidP="008128D6">
            <w:pPr>
              <w:spacing w:line="276" w:lineRule="auto"/>
              <w:rPr>
                <w:sz w:val="20"/>
                <w:szCs w:val="20"/>
              </w:rPr>
            </w:pPr>
          </w:p>
        </w:tc>
        <w:tc>
          <w:tcPr>
            <w:tcW w:w="1986" w:type="dxa"/>
          </w:tcPr>
          <w:p w14:paraId="672A5904" w14:textId="77777777" w:rsidR="008B1FBF" w:rsidRPr="006A1EC7" w:rsidRDefault="008B1FBF" w:rsidP="008128D6">
            <w:pPr>
              <w:spacing w:line="276" w:lineRule="auto"/>
              <w:rPr>
                <w:sz w:val="20"/>
                <w:szCs w:val="20"/>
              </w:rPr>
            </w:pPr>
            <w:r w:rsidRPr="006A1EC7">
              <w:rPr>
                <w:sz w:val="20"/>
                <w:szCs w:val="20"/>
              </w:rPr>
              <w:t xml:space="preserve">4.1.3 Patients </w:t>
            </w:r>
          </w:p>
        </w:tc>
        <w:tc>
          <w:tcPr>
            <w:tcW w:w="1630" w:type="dxa"/>
          </w:tcPr>
          <w:p w14:paraId="5EA5D8A0" w14:textId="77777777" w:rsidR="008B1FBF" w:rsidRPr="006A1EC7" w:rsidRDefault="008B1FBF" w:rsidP="008128D6">
            <w:pPr>
              <w:spacing w:line="276" w:lineRule="auto"/>
              <w:rPr>
                <w:sz w:val="20"/>
                <w:szCs w:val="20"/>
              </w:rPr>
            </w:pPr>
          </w:p>
        </w:tc>
        <w:tc>
          <w:tcPr>
            <w:tcW w:w="2240" w:type="dxa"/>
          </w:tcPr>
          <w:p w14:paraId="1B745ABA" w14:textId="77777777" w:rsidR="008B1FBF" w:rsidRPr="006A1EC7" w:rsidRDefault="008B1FBF" w:rsidP="008128D6">
            <w:pPr>
              <w:spacing w:line="276" w:lineRule="auto"/>
              <w:rPr>
                <w:sz w:val="20"/>
                <w:szCs w:val="20"/>
              </w:rPr>
            </w:pPr>
            <w:r w:rsidRPr="006A1EC7">
              <w:rPr>
                <w:sz w:val="20"/>
                <w:szCs w:val="20"/>
              </w:rPr>
              <w:t xml:space="preserve">11A, 3B, 11B, 6A, 6C, 12A, 1, 3A, 3C, 1, </w:t>
            </w:r>
            <w:r w:rsidRPr="006A1EC7">
              <w:rPr>
                <w:color w:val="000000" w:themeColor="text1"/>
                <w:sz w:val="20"/>
                <w:szCs w:val="20"/>
              </w:rPr>
              <w:t>2C, 5, 8</w:t>
            </w:r>
          </w:p>
        </w:tc>
        <w:tc>
          <w:tcPr>
            <w:tcW w:w="1552" w:type="dxa"/>
          </w:tcPr>
          <w:p w14:paraId="59C95AED"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77036DEF" w14:textId="77777777" w:rsidTr="008128D6">
        <w:trPr>
          <w:trHeight w:val="830"/>
        </w:trPr>
        <w:tc>
          <w:tcPr>
            <w:tcW w:w="1518" w:type="dxa"/>
          </w:tcPr>
          <w:p w14:paraId="751A675E" w14:textId="77777777" w:rsidR="008B1FBF" w:rsidRPr="006A1EC7" w:rsidRDefault="008B1FBF" w:rsidP="008128D6">
            <w:pPr>
              <w:spacing w:line="276" w:lineRule="auto"/>
              <w:rPr>
                <w:sz w:val="20"/>
                <w:szCs w:val="20"/>
              </w:rPr>
            </w:pPr>
            <w:r w:rsidRPr="006A1EC7">
              <w:rPr>
                <w:sz w:val="20"/>
                <w:szCs w:val="20"/>
              </w:rPr>
              <w:t>4.2 Impact on day-to-day family life</w:t>
            </w:r>
          </w:p>
        </w:tc>
        <w:tc>
          <w:tcPr>
            <w:tcW w:w="1986" w:type="dxa"/>
          </w:tcPr>
          <w:p w14:paraId="10FC700C" w14:textId="77777777" w:rsidR="008B1FBF" w:rsidRPr="006A1EC7" w:rsidRDefault="008B1FBF" w:rsidP="008128D6">
            <w:pPr>
              <w:spacing w:line="276" w:lineRule="auto"/>
              <w:rPr>
                <w:sz w:val="20"/>
                <w:szCs w:val="20"/>
              </w:rPr>
            </w:pPr>
          </w:p>
        </w:tc>
        <w:tc>
          <w:tcPr>
            <w:tcW w:w="1630" w:type="dxa"/>
          </w:tcPr>
          <w:p w14:paraId="3F63293E" w14:textId="77777777" w:rsidR="008B1FBF" w:rsidRPr="006A1EC7" w:rsidRDefault="008B1FBF" w:rsidP="008128D6">
            <w:pPr>
              <w:spacing w:line="276" w:lineRule="auto"/>
              <w:rPr>
                <w:sz w:val="20"/>
                <w:szCs w:val="20"/>
              </w:rPr>
            </w:pPr>
          </w:p>
        </w:tc>
        <w:tc>
          <w:tcPr>
            <w:tcW w:w="2240" w:type="dxa"/>
          </w:tcPr>
          <w:p w14:paraId="5A3201CB" w14:textId="77777777" w:rsidR="008B1FBF" w:rsidRPr="006A1EC7" w:rsidRDefault="008B1FBF" w:rsidP="008128D6">
            <w:pPr>
              <w:spacing w:line="276" w:lineRule="auto"/>
              <w:rPr>
                <w:sz w:val="20"/>
                <w:szCs w:val="20"/>
              </w:rPr>
            </w:pPr>
            <w:r w:rsidRPr="006A1EC7">
              <w:rPr>
                <w:sz w:val="20"/>
                <w:szCs w:val="20"/>
              </w:rPr>
              <w:t>9, 3C, 6A, 5, 10, 3A, 3C</w:t>
            </w:r>
          </w:p>
          <w:p w14:paraId="4B7BB385" w14:textId="77777777" w:rsidR="008B1FBF" w:rsidRPr="006A1EC7" w:rsidRDefault="008B1FBF" w:rsidP="008128D6">
            <w:pPr>
              <w:spacing w:line="276" w:lineRule="auto"/>
              <w:rPr>
                <w:sz w:val="20"/>
                <w:szCs w:val="20"/>
              </w:rPr>
            </w:pPr>
            <w:r w:rsidRPr="006A1EC7">
              <w:rPr>
                <w:sz w:val="20"/>
                <w:szCs w:val="20"/>
              </w:rPr>
              <w:t xml:space="preserve">12A, 11B, 7 </w:t>
            </w:r>
          </w:p>
        </w:tc>
        <w:tc>
          <w:tcPr>
            <w:tcW w:w="1552" w:type="dxa"/>
          </w:tcPr>
          <w:p w14:paraId="63A2C8EF"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776521CE" w14:textId="77777777" w:rsidTr="008128D6">
        <w:trPr>
          <w:trHeight w:val="335"/>
        </w:trPr>
        <w:tc>
          <w:tcPr>
            <w:tcW w:w="1518" w:type="dxa"/>
          </w:tcPr>
          <w:p w14:paraId="599D665B" w14:textId="77777777" w:rsidR="008B1FBF" w:rsidRPr="006A1EC7" w:rsidRDefault="008B1FBF" w:rsidP="008128D6">
            <w:pPr>
              <w:spacing w:line="276" w:lineRule="auto"/>
              <w:rPr>
                <w:sz w:val="20"/>
                <w:szCs w:val="20"/>
              </w:rPr>
            </w:pPr>
            <w:r w:rsidRPr="006A1EC7">
              <w:rPr>
                <w:sz w:val="20"/>
                <w:szCs w:val="20"/>
              </w:rPr>
              <w:t xml:space="preserve">4.3 Hospital admission </w:t>
            </w:r>
          </w:p>
        </w:tc>
        <w:tc>
          <w:tcPr>
            <w:tcW w:w="1986" w:type="dxa"/>
          </w:tcPr>
          <w:p w14:paraId="066C86B5" w14:textId="77777777" w:rsidR="008B1FBF" w:rsidRPr="006A1EC7" w:rsidRDefault="008B1FBF" w:rsidP="008128D6">
            <w:pPr>
              <w:spacing w:line="276" w:lineRule="auto"/>
              <w:rPr>
                <w:sz w:val="20"/>
                <w:szCs w:val="20"/>
              </w:rPr>
            </w:pPr>
          </w:p>
        </w:tc>
        <w:tc>
          <w:tcPr>
            <w:tcW w:w="1630" w:type="dxa"/>
          </w:tcPr>
          <w:p w14:paraId="0C787279" w14:textId="77777777" w:rsidR="008B1FBF" w:rsidRPr="006A1EC7" w:rsidRDefault="008B1FBF" w:rsidP="008128D6">
            <w:pPr>
              <w:spacing w:line="276" w:lineRule="auto"/>
              <w:rPr>
                <w:sz w:val="20"/>
                <w:szCs w:val="20"/>
              </w:rPr>
            </w:pPr>
          </w:p>
        </w:tc>
        <w:tc>
          <w:tcPr>
            <w:tcW w:w="2240" w:type="dxa"/>
          </w:tcPr>
          <w:p w14:paraId="03CC3F96" w14:textId="77777777" w:rsidR="008B1FBF" w:rsidRPr="006A1EC7" w:rsidRDefault="008B1FBF" w:rsidP="008128D6">
            <w:pPr>
              <w:spacing w:line="276" w:lineRule="auto"/>
              <w:rPr>
                <w:sz w:val="20"/>
                <w:szCs w:val="20"/>
              </w:rPr>
            </w:pPr>
            <w:r w:rsidRPr="006A1EC7">
              <w:rPr>
                <w:sz w:val="20"/>
                <w:szCs w:val="20"/>
              </w:rPr>
              <w:t>10, 11B, 11C, 2A, 2B, 3C, 9</w:t>
            </w:r>
          </w:p>
        </w:tc>
        <w:tc>
          <w:tcPr>
            <w:tcW w:w="1552" w:type="dxa"/>
          </w:tcPr>
          <w:p w14:paraId="4DB016BD"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023B7036" w14:textId="77777777" w:rsidTr="008128D6">
        <w:trPr>
          <w:trHeight w:val="335"/>
        </w:trPr>
        <w:tc>
          <w:tcPr>
            <w:tcW w:w="8926" w:type="dxa"/>
            <w:gridSpan w:val="5"/>
            <w:shd w:val="clear" w:color="auto" w:fill="FFFF00"/>
          </w:tcPr>
          <w:p w14:paraId="7DCED12C" w14:textId="77777777" w:rsidR="008B1FBF" w:rsidRPr="006A1EC7" w:rsidRDefault="008B1FBF" w:rsidP="008128D6">
            <w:pPr>
              <w:spacing w:line="276" w:lineRule="auto"/>
              <w:rPr>
                <w:sz w:val="20"/>
                <w:szCs w:val="20"/>
              </w:rPr>
            </w:pPr>
            <w:r w:rsidRPr="006A1EC7">
              <w:rPr>
                <w:sz w:val="20"/>
                <w:szCs w:val="20"/>
              </w:rPr>
              <w:t>Theme 5: Support experience and needs</w:t>
            </w:r>
          </w:p>
        </w:tc>
      </w:tr>
      <w:tr w:rsidR="008B1FBF" w:rsidRPr="006A1EC7" w14:paraId="50024FD7" w14:textId="77777777" w:rsidTr="008128D6">
        <w:trPr>
          <w:trHeight w:val="335"/>
        </w:trPr>
        <w:tc>
          <w:tcPr>
            <w:tcW w:w="1518" w:type="dxa"/>
          </w:tcPr>
          <w:p w14:paraId="3D4C7865" w14:textId="77777777" w:rsidR="008B1FBF" w:rsidRPr="006A1EC7" w:rsidRDefault="008B1FBF" w:rsidP="008128D6">
            <w:pPr>
              <w:spacing w:line="276" w:lineRule="auto"/>
              <w:rPr>
                <w:sz w:val="20"/>
                <w:szCs w:val="20"/>
              </w:rPr>
            </w:pPr>
            <w:r w:rsidRPr="006A1EC7">
              <w:rPr>
                <w:sz w:val="20"/>
                <w:szCs w:val="20"/>
              </w:rPr>
              <w:t>5.1 Support experience</w:t>
            </w:r>
          </w:p>
        </w:tc>
        <w:tc>
          <w:tcPr>
            <w:tcW w:w="1986" w:type="dxa"/>
          </w:tcPr>
          <w:p w14:paraId="39B39E0D" w14:textId="77777777" w:rsidR="008B1FBF" w:rsidRPr="006A1EC7" w:rsidRDefault="008B1FBF" w:rsidP="008128D6">
            <w:pPr>
              <w:spacing w:line="276" w:lineRule="auto"/>
              <w:rPr>
                <w:sz w:val="20"/>
                <w:szCs w:val="20"/>
              </w:rPr>
            </w:pPr>
          </w:p>
        </w:tc>
        <w:tc>
          <w:tcPr>
            <w:tcW w:w="1630" w:type="dxa"/>
          </w:tcPr>
          <w:p w14:paraId="3AC31DA8" w14:textId="77777777" w:rsidR="008B1FBF" w:rsidRPr="006A1EC7" w:rsidRDefault="008B1FBF" w:rsidP="008128D6">
            <w:pPr>
              <w:spacing w:line="276" w:lineRule="auto"/>
              <w:rPr>
                <w:sz w:val="20"/>
                <w:szCs w:val="20"/>
              </w:rPr>
            </w:pPr>
          </w:p>
        </w:tc>
        <w:tc>
          <w:tcPr>
            <w:tcW w:w="2240" w:type="dxa"/>
          </w:tcPr>
          <w:p w14:paraId="6A559410" w14:textId="77777777" w:rsidR="008B1FBF" w:rsidRPr="006A1EC7" w:rsidRDefault="008B1FBF" w:rsidP="008128D6">
            <w:pPr>
              <w:spacing w:line="276" w:lineRule="auto"/>
              <w:rPr>
                <w:sz w:val="20"/>
                <w:szCs w:val="20"/>
              </w:rPr>
            </w:pPr>
            <w:r w:rsidRPr="006A1EC7">
              <w:rPr>
                <w:sz w:val="20"/>
                <w:szCs w:val="20"/>
              </w:rPr>
              <w:t>10</w:t>
            </w:r>
          </w:p>
        </w:tc>
        <w:tc>
          <w:tcPr>
            <w:tcW w:w="1552" w:type="dxa"/>
          </w:tcPr>
          <w:p w14:paraId="701E2870" w14:textId="77777777" w:rsidR="008B1FBF" w:rsidRPr="006A1EC7" w:rsidRDefault="008B1FBF" w:rsidP="008128D6">
            <w:pPr>
              <w:spacing w:line="276" w:lineRule="auto"/>
              <w:rPr>
                <w:sz w:val="20"/>
                <w:szCs w:val="20"/>
              </w:rPr>
            </w:pPr>
            <w:r w:rsidRPr="006A1EC7">
              <w:rPr>
                <w:sz w:val="20"/>
                <w:szCs w:val="20"/>
              </w:rPr>
              <w:t>Semantic</w:t>
            </w:r>
          </w:p>
        </w:tc>
      </w:tr>
      <w:tr w:rsidR="008B1FBF" w:rsidRPr="006A1EC7" w14:paraId="217DEF55" w14:textId="77777777" w:rsidTr="008128D6">
        <w:trPr>
          <w:trHeight w:val="340"/>
        </w:trPr>
        <w:tc>
          <w:tcPr>
            <w:tcW w:w="1518" w:type="dxa"/>
            <w:vMerge w:val="restart"/>
          </w:tcPr>
          <w:p w14:paraId="03BDCE64" w14:textId="77777777" w:rsidR="008B1FBF" w:rsidRPr="006A1EC7" w:rsidRDefault="008B1FBF" w:rsidP="008128D6">
            <w:pPr>
              <w:spacing w:line="276" w:lineRule="auto"/>
              <w:rPr>
                <w:sz w:val="20"/>
                <w:szCs w:val="20"/>
              </w:rPr>
            </w:pPr>
            <w:r w:rsidRPr="006A1EC7">
              <w:rPr>
                <w:sz w:val="20"/>
                <w:szCs w:val="20"/>
              </w:rPr>
              <w:lastRenderedPageBreak/>
              <w:t>5.2 Support needs</w:t>
            </w:r>
          </w:p>
        </w:tc>
        <w:tc>
          <w:tcPr>
            <w:tcW w:w="1986" w:type="dxa"/>
          </w:tcPr>
          <w:p w14:paraId="23A3794B" w14:textId="77777777" w:rsidR="008B1FBF" w:rsidRPr="006A1EC7" w:rsidRDefault="008B1FBF" w:rsidP="008128D6">
            <w:pPr>
              <w:spacing w:line="276" w:lineRule="auto"/>
              <w:rPr>
                <w:sz w:val="20"/>
                <w:szCs w:val="20"/>
              </w:rPr>
            </w:pPr>
            <w:r w:rsidRPr="006A1EC7">
              <w:rPr>
                <w:sz w:val="20"/>
                <w:szCs w:val="20"/>
              </w:rPr>
              <w:t xml:space="preserve">5.2.1 Informational needs </w:t>
            </w:r>
          </w:p>
        </w:tc>
        <w:tc>
          <w:tcPr>
            <w:tcW w:w="1630" w:type="dxa"/>
          </w:tcPr>
          <w:p w14:paraId="5170F71B" w14:textId="77777777" w:rsidR="008B1FBF" w:rsidRPr="006A1EC7" w:rsidRDefault="008B1FBF" w:rsidP="008128D6">
            <w:pPr>
              <w:spacing w:line="276" w:lineRule="auto"/>
              <w:rPr>
                <w:sz w:val="20"/>
                <w:szCs w:val="20"/>
              </w:rPr>
            </w:pPr>
          </w:p>
        </w:tc>
        <w:tc>
          <w:tcPr>
            <w:tcW w:w="2240" w:type="dxa"/>
          </w:tcPr>
          <w:p w14:paraId="75C49DDF" w14:textId="77777777" w:rsidR="008B1FBF" w:rsidRPr="006A1EC7" w:rsidRDefault="008B1FBF" w:rsidP="008128D6">
            <w:pPr>
              <w:spacing w:line="276" w:lineRule="auto"/>
              <w:rPr>
                <w:sz w:val="20"/>
                <w:szCs w:val="20"/>
              </w:rPr>
            </w:pPr>
            <w:r w:rsidRPr="006A1EC7">
              <w:rPr>
                <w:sz w:val="20"/>
                <w:szCs w:val="20"/>
              </w:rPr>
              <w:t>10, 3c, 4b, 1, 5, 4B, 8, 10, 11B, 11C, 12B, 2C</w:t>
            </w:r>
          </w:p>
        </w:tc>
        <w:tc>
          <w:tcPr>
            <w:tcW w:w="1552" w:type="dxa"/>
          </w:tcPr>
          <w:p w14:paraId="12E976C4"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52E9B6A9" w14:textId="77777777" w:rsidTr="008128D6">
        <w:trPr>
          <w:trHeight w:val="585"/>
        </w:trPr>
        <w:tc>
          <w:tcPr>
            <w:tcW w:w="1518" w:type="dxa"/>
            <w:vMerge/>
          </w:tcPr>
          <w:p w14:paraId="77535735" w14:textId="77777777" w:rsidR="008B1FBF" w:rsidRPr="006A1EC7" w:rsidRDefault="008B1FBF" w:rsidP="008128D6">
            <w:pPr>
              <w:spacing w:line="276" w:lineRule="auto"/>
              <w:rPr>
                <w:sz w:val="20"/>
                <w:szCs w:val="20"/>
              </w:rPr>
            </w:pPr>
          </w:p>
        </w:tc>
        <w:tc>
          <w:tcPr>
            <w:tcW w:w="1986" w:type="dxa"/>
          </w:tcPr>
          <w:p w14:paraId="53458975" w14:textId="77777777" w:rsidR="008B1FBF" w:rsidRPr="006A1EC7" w:rsidRDefault="008B1FBF" w:rsidP="008128D6">
            <w:pPr>
              <w:spacing w:line="276" w:lineRule="auto"/>
              <w:rPr>
                <w:sz w:val="20"/>
                <w:szCs w:val="20"/>
              </w:rPr>
            </w:pPr>
            <w:r w:rsidRPr="006A1EC7">
              <w:rPr>
                <w:sz w:val="20"/>
                <w:szCs w:val="20"/>
              </w:rPr>
              <w:t>5.2.2 Emotional needs</w:t>
            </w:r>
          </w:p>
        </w:tc>
        <w:tc>
          <w:tcPr>
            <w:tcW w:w="1630" w:type="dxa"/>
          </w:tcPr>
          <w:p w14:paraId="2DB73B6D" w14:textId="77777777" w:rsidR="008B1FBF" w:rsidRPr="006A1EC7" w:rsidRDefault="008B1FBF" w:rsidP="008128D6">
            <w:pPr>
              <w:spacing w:line="276" w:lineRule="auto"/>
              <w:rPr>
                <w:sz w:val="20"/>
                <w:szCs w:val="20"/>
              </w:rPr>
            </w:pPr>
          </w:p>
        </w:tc>
        <w:tc>
          <w:tcPr>
            <w:tcW w:w="2240" w:type="dxa"/>
          </w:tcPr>
          <w:p w14:paraId="696F89FB" w14:textId="77777777" w:rsidR="008B1FBF" w:rsidRPr="006A1EC7" w:rsidRDefault="008B1FBF" w:rsidP="008128D6">
            <w:pPr>
              <w:spacing w:line="276" w:lineRule="auto"/>
              <w:rPr>
                <w:sz w:val="20"/>
                <w:szCs w:val="20"/>
              </w:rPr>
            </w:pPr>
            <w:r w:rsidRPr="006A1EC7">
              <w:rPr>
                <w:sz w:val="20"/>
                <w:szCs w:val="20"/>
              </w:rPr>
              <w:t>1, 3A, 3C, 11A, 10, 5</w:t>
            </w:r>
          </w:p>
        </w:tc>
        <w:tc>
          <w:tcPr>
            <w:tcW w:w="1552" w:type="dxa"/>
          </w:tcPr>
          <w:p w14:paraId="770D43AA" w14:textId="77777777" w:rsidR="008B1FBF" w:rsidRPr="006A1EC7" w:rsidRDefault="008B1FBF" w:rsidP="008128D6">
            <w:pPr>
              <w:spacing w:line="276" w:lineRule="auto"/>
              <w:rPr>
                <w:sz w:val="20"/>
                <w:szCs w:val="20"/>
              </w:rPr>
            </w:pPr>
            <w:r w:rsidRPr="006A1EC7">
              <w:rPr>
                <w:sz w:val="20"/>
                <w:szCs w:val="20"/>
              </w:rPr>
              <w:t>Latent</w:t>
            </w:r>
          </w:p>
        </w:tc>
      </w:tr>
      <w:tr w:rsidR="008B1FBF" w:rsidRPr="006A1EC7" w14:paraId="1B637A8A" w14:textId="77777777" w:rsidTr="008128D6">
        <w:trPr>
          <w:trHeight w:val="600"/>
        </w:trPr>
        <w:tc>
          <w:tcPr>
            <w:tcW w:w="1518" w:type="dxa"/>
            <w:vMerge/>
          </w:tcPr>
          <w:p w14:paraId="6B114C6E" w14:textId="77777777" w:rsidR="008B1FBF" w:rsidRPr="006A1EC7" w:rsidRDefault="008B1FBF" w:rsidP="008128D6">
            <w:pPr>
              <w:spacing w:line="276" w:lineRule="auto"/>
              <w:rPr>
                <w:sz w:val="20"/>
                <w:szCs w:val="20"/>
              </w:rPr>
            </w:pPr>
          </w:p>
        </w:tc>
        <w:tc>
          <w:tcPr>
            <w:tcW w:w="1986" w:type="dxa"/>
          </w:tcPr>
          <w:p w14:paraId="11AE0C67" w14:textId="77777777" w:rsidR="008B1FBF" w:rsidRPr="006A1EC7" w:rsidRDefault="008B1FBF" w:rsidP="008128D6">
            <w:pPr>
              <w:spacing w:line="276" w:lineRule="auto"/>
              <w:rPr>
                <w:sz w:val="20"/>
                <w:szCs w:val="20"/>
              </w:rPr>
            </w:pPr>
            <w:r w:rsidRPr="006A1EC7">
              <w:rPr>
                <w:sz w:val="20"/>
                <w:szCs w:val="20"/>
              </w:rPr>
              <w:t>5.2.3 Peer support needs</w:t>
            </w:r>
          </w:p>
        </w:tc>
        <w:tc>
          <w:tcPr>
            <w:tcW w:w="1630" w:type="dxa"/>
          </w:tcPr>
          <w:p w14:paraId="5D1E8962" w14:textId="77777777" w:rsidR="008B1FBF" w:rsidRPr="006A1EC7" w:rsidRDefault="008B1FBF" w:rsidP="008128D6">
            <w:pPr>
              <w:spacing w:line="276" w:lineRule="auto"/>
              <w:rPr>
                <w:sz w:val="20"/>
                <w:szCs w:val="20"/>
              </w:rPr>
            </w:pPr>
          </w:p>
        </w:tc>
        <w:tc>
          <w:tcPr>
            <w:tcW w:w="2240" w:type="dxa"/>
          </w:tcPr>
          <w:p w14:paraId="778956C1" w14:textId="77777777" w:rsidR="008B1FBF" w:rsidRPr="006A1EC7" w:rsidRDefault="008B1FBF" w:rsidP="008128D6">
            <w:pPr>
              <w:spacing w:line="276" w:lineRule="auto"/>
              <w:rPr>
                <w:sz w:val="20"/>
                <w:szCs w:val="20"/>
              </w:rPr>
            </w:pPr>
            <w:r w:rsidRPr="006A1EC7">
              <w:rPr>
                <w:sz w:val="20"/>
                <w:szCs w:val="20"/>
              </w:rPr>
              <w:t>1, 8, 6A, 6C, 3A, 3B, 3C, 4B, 10, 5, 2A, 2B, 2C, 12B, 12A, 9, 7, 8</w:t>
            </w:r>
          </w:p>
        </w:tc>
        <w:tc>
          <w:tcPr>
            <w:tcW w:w="1552" w:type="dxa"/>
          </w:tcPr>
          <w:p w14:paraId="6AD2285D" w14:textId="77777777" w:rsidR="008B1FBF" w:rsidRPr="006A1EC7" w:rsidRDefault="008B1FBF" w:rsidP="008128D6">
            <w:pPr>
              <w:spacing w:line="276" w:lineRule="auto"/>
              <w:rPr>
                <w:sz w:val="20"/>
                <w:szCs w:val="20"/>
              </w:rPr>
            </w:pPr>
            <w:r w:rsidRPr="006A1EC7">
              <w:rPr>
                <w:sz w:val="20"/>
                <w:szCs w:val="20"/>
              </w:rPr>
              <w:t>Latent</w:t>
            </w:r>
          </w:p>
        </w:tc>
      </w:tr>
    </w:tbl>
    <w:p w14:paraId="33C2A771" w14:textId="1D061FBA" w:rsidR="008B1FBF" w:rsidRPr="006A1EC7" w:rsidRDefault="008B1FBF" w:rsidP="008B1FBF">
      <w:pPr>
        <w:spacing w:line="276" w:lineRule="auto"/>
      </w:pPr>
    </w:p>
    <w:p w14:paraId="42CAC7A6" w14:textId="77777777" w:rsidR="008B1FBF" w:rsidRPr="006A1EC7" w:rsidRDefault="008B1FBF" w:rsidP="008B1FBF">
      <w:pPr>
        <w:pStyle w:val="Heading2"/>
        <w:rPr>
          <w:rFonts w:ascii="Times New Roman" w:hAnsi="Times New Roman" w:cs="Times New Roman"/>
        </w:rPr>
      </w:pPr>
      <w:bookmarkStart w:id="158" w:name="_Toc38821442"/>
      <w:bookmarkStart w:id="159" w:name="_Toc40172998"/>
      <w:r w:rsidRPr="006A1EC7">
        <w:rPr>
          <w:rStyle w:val="Heading2Char"/>
          <w:rFonts w:ascii="Times New Roman" w:hAnsi="Times New Roman" w:cs="Times New Roman"/>
        </w:rPr>
        <w:t>Theme 2: Experiences with the NHS</w:t>
      </w:r>
      <w:bookmarkEnd w:id="158"/>
      <w:bookmarkEnd w:id="159"/>
    </w:p>
    <w:p w14:paraId="32E2B2D4" w14:textId="77777777" w:rsidR="008B1FBF" w:rsidRPr="006A1EC7" w:rsidRDefault="008B1FBF" w:rsidP="008B1FBF">
      <w:pPr>
        <w:spacing w:line="360" w:lineRule="auto"/>
        <w:ind w:firstLine="720"/>
      </w:pPr>
    </w:p>
    <w:p w14:paraId="53E5A435" w14:textId="785A14F3" w:rsidR="008B1FBF" w:rsidRPr="006A1EC7" w:rsidRDefault="008B1FBF" w:rsidP="008B1FBF">
      <w:pPr>
        <w:spacing w:line="360" w:lineRule="auto"/>
        <w:ind w:firstLine="720"/>
      </w:pPr>
      <w:r w:rsidRPr="006A1EC7">
        <w:t xml:space="preserve">The first psychosocial theme (Theme 2: Experiences with the NHS) has two subthemes: Diagnosis and Experience navigating the NHS. </w:t>
      </w:r>
    </w:p>
    <w:p w14:paraId="49939A4F" w14:textId="77777777" w:rsidR="008B1FBF" w:rsidRPr="006A1EC7" w:rsidRDefault="008B1FBF" w:rsidP="008B1FBF">
      <w:pPr>
        <w:spacing w:line="360" w:lineRule="auto"/>
      </w:pPr>
    </w:p>
    <w:p w14:paraId="2BD971E7" w14:textId="77777777"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2.1: Cognitive adjustment</w:t>
      </w:r>
    </w:p>
    <w:p w14:paraId="4FF36CEE" w14:textId="77777777" w:rsidR="008B1FBF" w:rsidRPr="006A1EC7" w:rsidRDefault="008B1FBF" w:rsidP="008B1FBF">
      <w:pPr>
        <w:spacing w:line="360" w:lineRule="auto"/>
      </w:pPr>
    </w:p>
    <w:p w14:paraId="48A6C146" w14:textId="559438EF" w:rsidR="008B1FBF" w:rsidRPr="006A1EC7" w:rsidRDefault="008B1FBF" w:rsidP="008B1FBF">
      <w:pPr>
        <w:spacing w:line="360" w:lineRule="auto"/>
      </w:pPr>
      <w:r w:rsidRPr="006A1EC7">
        <w:t>This first sub-theme collates narratives surrounding how and when diagnosis was made, what may have precipitated the suspicion that something was ‘</w:t>
      </w:r>
      <w:r w:rsidRPr="006A1EC7">
        <w:rPr>
          <w:i/>
        </w:rPr>
        <w:t>atypical’</w:t>
      </w:r>
      <w:r w:rsidRPr="006A1EC7">
        <w:t xml:space="preserve"> in their relative’s development requiring medical investigation. It also highlights the emotional turmoil and impact of diagnosis on family members, as well as the impact of inadequately informed health care professionals. Some family members report that after birth of their relatives, they were not informed of suspicions by medical professionals that something may be wrong with their new-born family member (Subtheme 2.1.2). HCPs recorded the presence of abnormal features without discussing these with parents or family members; and often ordered genetic tests without informing parents or giving parents the chance to consent to these.</w:t>
      </w:r>
    </w:p>
    <w:p w14:paraId="405179F7" w14:textId="77777777" w:rsidR="008B1FBF" w:rsidRPr="006A1EC7" w:rsidRDefault="008B1FBF" w:rsidP="008B1FBF">
      <w:pPr>
        <w:spacing w:line="276" w:lineRule="auto"/>
        <w:ind w:firstLine="720"/>
      </w:pPr>
    </w:p>
    <w:p w14:paraId="10C0C2EA" w14:textId="77777777" w:rsidR="008B1FBF" w:rsidRPr="006A1EC7" w:rsidRDefault="008B1FBF" w:rsidP="008B1FBF">
      <w:pPr>
        <w:spacing w:line="276" w:lineRule="auto"/>
        <w:ind w:left="720"/>
      </w:pPr>
      <w:r w:rsidRPr="006A1EC7">
        <w:rPr>
          <w:i/>
        </w:rPr>
        <w:t>“I think we weren’t that involved in the beginning the doctors must have decided there was something different… they must have a discussion between themselves and decided they were going to send something off, and then kind of tell us after really or maybe, you know, I don’t know whether we would have even agreed to have done it.”</w:t>
      </w:r>
      <w:r w:rsidRPr="006A1EC7">
        <w:t xml:space="preserve"> (WHS11B)</w:t>
      </w:r>
    </w:p>
    <w:p w14:paraId="4E0237BD" w14:textId="1F76DB03" w:rsidR="008B1FBF" w:rsidRPr="006A1EC7" w:rsidRDefault="008B1FBF" w:rsidP="008B1FBF">
      <w:pPr>
        <w:spacing w:line="276" w:lineRule="auto"/>
        <w:ind w:left="720"/>
      </w:pPr>
      <w:r w:rsidRPr="006A1EC7">
        <w:rPr>
          <w:i/>
        </w:rPr>
        <w:t>“… when he was born, he was small, he had bilateral talipes, had a… high arched palate… hypertelorism... they weren’t told to me… they were written in his red book and we found them when we got home, obviously. I knew about his feet cos it was pretty obvious but the severity of it was not, wasn’t really thought about until late.”</w:t>
      </w:r>
      <w:r w:rsidRPr="006A1EC7">
        <w:t xml:space="preserve"> (WHS3A)</w:t>
      </w:r>
    </w:p>
    <w:p w14:paraId="4621385C" w14:textId="77777777" w:rsidR="008B1FBF" w:rsidRPr="006A1EC7" w:rsidRDefault="008B1FBF" w:rsidP="008B1FBF">
      <w:pPr>
        <w:spacing w:line="276" w:lineRule="auto"/>
      </w:pPr>
    </w:p>
    <w:p w14:paraId="037BEE14" w14:textId="77777777" w:rsidR="008B1FBF" w:rsidRPr="006A1EC7" w:rsidRDefault="008B1FBF" w:rsidP="008B1FBF">
      <w:pPr>
        <w:spacing w:line="360" w:lineRule="auto"/>
      </w:pPr>
      <w:r w:rsidRPr="006A1EC7">
        <w:t xml:space="preserve">The majority of participants reported receiving a diagnosis for their relatives with WHS within the first six months after birth (Subtheme 2.2.2). One young boy was around two years </w:t>
      </w:r>
      <w:r w:rsidRPr="006A1EC7">
        <w:lastRenderedPageBreak/>
        <w:t>old (WHS2ABC). WHS7, who had/has three children with the syndrome, all born around 1960 explains that her children were given the diagnosis of WHS 12-14 years ago; and that they were labelled with “</w:t>
      </w:r>
      <w:r w:rsidRPr="006A1EC7">
        <w:rPr>
          <w:i/>
        </w:rPr>
        <w:t>Smith Lemli Opitz</w:t>
      </w:r>
      <w:r w:rsidRPr="006A1EC7">
        <w:t xml:space="preserve">” syndrome before (WHS7). WHS9 reports that her son, born in 1975, did also not receive a diagnosis until her daughter was born, 10 years later, which prompted the clinical team to examine his genetic make-up. </w:t>
      </w:r>
    </w:p>
    <w:p w14:paraId="446921C6" w14:textId="2DBCD27D" w:rsidR="008B1FBF" w:rsidRPr="006A1EC7" w:rsidRDefault="008B1FBF" w:rsidP="008B1FBF">
      <w:pPr>
        <w:spacing w:line="360" w:lineRule="auto"/>
      </w:pPr>
      <w:r w:rsidRPr="006A1EC7">
        <w:t xml:space="preserve">Five emotions (Subtheme 2.2.3) were generally reported in response to the question, how participants felt when they received the diagnosis; these were shock, upset, fear and relief. </w:t>
      </w:r>
    </w:p>
    <w:p w14:paraId="10417EBA" w14:textId="77777777" w:rsidR="008B1FBF" w:rsidRPr="006A1EC7" w:rsidRDefault="008B1FBF" w:rsidP="008B1FBF">
      <w:pPr>
        <w:spacing w:line="276" w:lineRule="auto"/>
        <w:ind w:firstLine="720"/>
      </w:pPr>
    </w:p>
    <w:p w14:paraId="3BA75839" w14:textId="77777777" w:rsidR="008B1FBF" w:rsidRPr="006A1EC7" w:rsidRDefault="008B1FBF" w:rsidP="008B1FBF">
      <w:pPr>
        <w:spacing w:line="276" w:lineRule="auto"/>
        <w:ind w:left="720"/>
      </w:pPr>
      <w:r w:rsidRPr="006A1EC7">
        <w:rPr>
          <w:i/>
        </w:rPr>
        <w:t>“Definitely completely shocked because (…) looking back at pictures  (…) she did look different to other children but (…) I really couldn’t see it at the time (…) when people would say, you know she looks different, I’d look at her and think “she just looks completely normal”</w:t>
      </w:r>
      <w:r w:rsidRPr="006A1EC7">
        <w:t xml:space="preserve"> (WHS4B)</w:t>
      </w:r>
    </w:p>
    <w:p w14:paraId="1DF05475" w14:textId="246CECFD" w:rsidR="008B1FBF" w:rsidRPr="006A1EC7" w:rsidRDefault="008B1FBF" w:rsidP="008B1FBF">
      <w:pPr>
        <w:spacing w:line="276" w:lineRule="auto"/>
        <w:ind w:left="720"/>
      </w:pPr>
      <w:r w:rsidRPr="006A1EC7">
        <w:rPr>
          <w:i/>
        </w:rPr>
        <w:t>“To be given a sheet of paper that said ‘</w:t>
      </w:r>
      <w:r w:rsidR="009F0718" w:rsidRPr="006A1EC7">
        <w:rPr>
          <w:i/>
        </w:rPr>
        <w:t>WHS</w:t>
      </w:r>
      <w:r w:rsidRPr="006A1EC7">
        <w:rPr>
          <w:i/>
        </w:rPr>
        <w:t>’ which you’d never heard of before, at the time you couldn’t even pronounce all the h-s, the i-s, the r-s, the s-s… you just gobsmacked.”</w:t>
      </w:r>
      <w:r w:rsidRPr="006A1EC7">
        <w:t xml:space="preserve"> (WHS8)</w:t>
      </w:r>
    </w:p>
    <w:p w14:paraId="27E4C680" w14:textId="77777777" w:rsidR="008B1FBF" w:rsidRPr="006A1EC7" w:rsidRDefault="008B1FBF" w:rsidP="008B1FBF">
      <w:pPr>
        <w:spacing w:line="276" w:lineRule="auto"/>
        <w:ind w:firstLine="720"/>
      </w:pPr>
      <w:r w:rsidRPr="006A1EC7">
        <w:rPr>
          <w:i/>
        </w:rPr>
        <w:t>“My husband was (…) absolutely heartbroken.”</w:t>
      </w:r>
      <w:r w:rsidRPr="006A1EC7">
        <w:t xml:space="preserve"> (WHS5)</w:t>
      </w:r>
    </w:p>
    <w:p w14:paraId="0E9FE69C" w14:textId="77777777" w:rsidR="008B1FBF" w:rsidRPr="006A1EC7" w:rsidRDefault="008B1FBF" w:rsidP="008B1FBF">
      <w:pPr>
        <w:spacing w:line="276" w:lineRule="auto"/>
        <w:ind w:left="720"/>
      </w:pPr>
      <w:r w:rsidRPr="006A1EC7">
        <w:rPr>
          <w:i/>
        </w:rPr>
        <w:t>“Coming to terms with it, I think, we cried (…) pretty much every day. Every time someone said something, we’d cry. Every time we’d took her out, and like someone would look at her, I’d get home and I’d cry.”</w:t>
      </w:r>
      <w:r w:rsidRPr="006A1EC7">
        <w:t xml:space="preserve"> (WHS4B)</w:t>
      </w:r>
    </w:p>
    <w:p w14:paraId="275E9470" w14:textId="77777777" w:rsidR="008B1FBF" w:rsidRPr="006A1EC7" w:rsidRDefault="008B1FBF" w:rsidP="008B1FBF">
      <w:pPr>
        <w:spacing w:line="276" w:lineRule="auto"/>
        <w:ind w:firstLine="720"/>
      </w:pPr>
      <w:r w:rsidRPr="006A1EC7">
        <w:rPr>
          <w:i/>
        </w:rPr>
        <w:t>“It was, it was quite devastating</w:t>
      </w:r>
      <w:r w:rsidRPr="006A1EC7">
        <w:t>.” (WHS6A)</w:t>
      </w:r>
    </w:p>
    <w:p w14:paraId="72715524" w14:textId="77777777" w:rsidR="008B1FBF" w:rsidRPr="006A1EC7" w:rsidRDefault="008B1FBF" w:rsidP="008B1FBF">
      <w:pPr>
        <w:spacing w:line="276" w:lineRule="auto"/>
        <w:ind w:left="720"/>
        <w:rPr>
          <w:i/>
        </w:rPr>
      </w:pPr>
      <w:r w:rsidRPr="006A1EC7">
        <w:rPr>
          <w:i/>
        </w:rPr>
        <w:t xml:space="preserve">“I remember actually in the hospital (…) one of the doctors, “oh you know, she can feed, that’s a really good sign that she can feed”. And that’s when I thought, kind of like ‘how disabled are we talking here?’ The fact that she can feed obviously means that it’s quite severe, so that kind of gave me the indication in the beginning that f- what you know we might have to be dealing with but yeah, the beginning was really really hard.” </w:t>
      </w:r>
      <w:r w:rsidRPr="006A1EC7">
        <w:t>(WHS4B)</w:t>
      </w:r>
    </w:p>
    <w:p w14:paraId="00DC38B9" w14:textId="77777777" w:rsidR="008B1FBF" w:rsidRPr="006A1EC7" w:rsidRDefault="008B1FBF" w:rsidP="008B1FBF">
      <w:pPr>
        <w:spacing w:line="276" w:lineRule="auto"/>
        <w:ind w:firstLine="720"/>
        <w:rPr>
          <w:i/>
        </w:rPr>
      </w:pPr>
      <w:r w:rsidRPr="006A1EC7">
        <w:rPr>
          <w:i/>
        </w:rPr>
        <w:t xml:space="preserve">“I think the initial diagnosis is so scary because it’s so unknown” </w:t>
      </w:r>
      <w:r w:rsidRPr="006A1EC7">
        <w:t>(WHS1)</w:t>
      </w:r>
    </w:p>
    <w:p w14:paraId="1B78C163" w14:textId="77777777" w:rsidR="008B1FBF" w:rsidRPr="006A1EC7" w:rsidRDefault="008B1FBF" w:rsidP="008B1FBF">
      <w:pPr>
        <w:spacing w:line="276" w:lineRule="auto"/>
        <w:ind w:left="720"/>
        <w:rPr>
          <w:i/>
        </w:rPr>
      </w:pPr>
      <w:r w:rsidRPr="006A1EC7">
        <w:rPr>
          <w:i/>
        </w:rPr>
        <w:t xml:space="preserve">“but just kind of the realisation that a genetic issue meant that no grandchildren. I think that really hit us. … also the potential that one of us, both of us might have been a carrier of that mutation, and we started to think...oh you know...are we in some way, is this our fault?” </w:t>
      </w:r>
      <w:r w:rsidRPr="006A1EC7">
        <w:t>(WHS3C)</w:t>
      </w:r>
    </w:p>
    <w:p w14:paraId="029FC4F1" w14:textId="77777777" w:rsidR="008B1FBF" w:rsidRPr="006A1EC7" w:rsidRDefault="008B1FBF" w:rsidP="008B1FBF">
      <w:pPr>
        <w:spacing w:line="360" w:lineRule="auto"/>
      </w:pPr>
    </w:p>
    <w:p w14:paraId="46530597" w14:textId="77777777" w:rsidR="008B1FBF" w:rsidRPr="006A1EC7" w:rsidRDefault="008B1FBF" w:rsidP="008B1FBF">
      <w:pPr>
        <w:spacing w:line="360" w:lineRule="auto"/>
      </w:pPr>
      <w:r w:rsidRPr="006A1EC7">
        <w:t>Relief was particularly reported in the context of having an explanation for poor feeding and other medical issues that had been obvious for a period of time before receiving the diagnosis of WHS.</w:t>
      </w:r>
    </w:p>
    <w:p w14:paraId="7A0A3E3E" w14:textId="77777777" w:rsidR="008B1FBF" w:rsidRPr="006A1EC7" w:rsidRDefault="008B1FBF" w:rsidP="008B1FBF">
      <w:pPr>
        <w:spacing w:line="276" w:lineRule="auto"/>
        <w:ind w:firstLine="720"/>
      </w:pPr>
    </w:p>
    <w:p w14:paraId="7602DB83" w14:textId="77777777" w:rsidR="008B1FBF" w:rsidRPr="006A1EC7" w:rsidRDefault="008B1FBF" w:rsidP="008B1FBF">
      <w:pPr>
        <w:spacing w:line="276" w:lineRule="auto"/>
        <w:ind w:left="720"/>
      </w:pPr>
      <w:r w:rsidRPr="006A1EC7">
        <w:rPr>
          <w:i/>
        </w:rPr>
        <w:t xml:space="preserve">“When we got the diagnosis, it was mixed feelings really… I was really upset because we’d obviously found out that there was something wrong with him, but another part of us was relieved cos we had an answer for everything, cos it was, cos every </w:t>
      </w:r>
      <w:r w:rsidRPr="006A1EC7">
        <w:rPr>
          <w:i/>
        </w:rPr>
        <w:lastRenderedPageBreak/>
        <w:t>appointment that we went to… see somebody, they were telling us there was something wrong with him.”</w:t>
      </w:r>
      <w:r w:rsidRPr="006A1EC7">
        <w:t xml:space="preserve"> (WHS10)</w:t>
      </w:r>
    </w:p>
    <w:p w14:paraId="66AC2EB1" w14:textId="77777777" w:rsidR="008B1FBF" w:rsidRPr="006A1EC7" w:rsidRDefault="008B1FBF" w:rsidP="008B1FBF">
      <w:pPr>
        <w:spacing w:line="276" w:lineRule="auto"/>
        <w:ind w:left="720"/>
      </w:pPr>
      <w:r w:rsidRPr="006A1EC7">
        <w:rPr>
          <w:i/>
        </w:rPr>
        <w:t xml:space="preserve">“I think I was relieved… um, because at last </w:t>
      </w:r>
      <m:oMath>
        <m:d>
          <m:dPr>
            <m:begChr m:val="["/>
            <m:endChr m:val="]"/>
            <m:ctrlPr>
              <w:rPr>
                <w:rFonts w:ascii="Cambria Math" w:hAnsi="Cambria Math"/>
                <w:i/>
              </w:rPr>
            </m:ctrlPr>
          </m:dPr>
          <m:e>
            <m:r>
              <w:rPr>
                <w:rFonts w:ascii="Cambria Math" w:hAnsi="Cambria Math"/>
              </w:rPr>
              <m:t>so</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 name</m:t>
            </m:r>
          </m:e>
        </m:d>
      </m:oMath>
      <w:r w:rsidRPr="006A1EC7">
        <w:rPr>
          <w:i/>
        </w:rPr>
        <w:t>had had a diagnosis… whereas before then it was, um, you know…he was like an oddity or unknown, because of his features, um, and the health problem</w:t>
      </w:r>
      <w:r w:rsidRPr="006A1EC7">
        <w:t>s.”(WHS9)</w:t>
      </w:r>
    </w:p>
    <w:p w14:paraId="7688311C" w14:textId="77777777" w:rsidR="008B1FBF" w:rsidRPr="006A1EC7" w:rsidRDefault="008B1FBF" w:rsidP="008B1FBF">
      <w:pPr>
        <w:spacing w:line="276" w:lineRule="auto"/>
        <w:ind w:left="720"/>
      </w:pPr>
      <w:r w:rsidRPr="006A1EC7">
        <w:rPr>
          <w:i/>
        </w:rPr>
        <w:t>“but once once we he it was a relief really that there was something why he wouldn’t eat, why he weren’t doing things, why he wouldn’t even sitting up and things like that, you know</w:t>
      </w:r>
      <w:r w:rsidRPr="006A1EC7">
        <w:t>.” (WHS2A)</w:t>
      </w:r>
    </w:p>
    <w:p w14:paraId="61D10631" w14:textId="77777777" w:rsidR="008B1FBF" w:rsidRPr="006A1EC7" w:rsidRDefault="008B1FBF" w:rsidP="008B1FBF">
      <w:pPr>
        <w:spacing w:line="276" w:lineRule="auto"/>
      </w:pPr>
    </w:p>
    <w:p w14:paraId="2AE76BEE" w14:textId="3FE3DB6E" w:rsidR="008B1FBF" w:rsidRPr="006A1EC7" w:rsidRDefault="008B1FBF" w:rsidP="008B1FBF">
      <w:pPr>
        <w:spacing w:line="360" w:lineRule="auto"/>
      </w:pPr>
      <w:r w:rsidRPr="006A1EC7">
        <w:t xml:space="preserve">Initial concerns, post-diagnosis, were prematurity, small size and delayed growth, feeding issues, assessment of (what was perceived as) the most worrying clinical features, such as heart disease, and survival. In the interviews, clear links between the level of knowledge/expertise exhibited by the medical professionals responsible for patients with (suspected) </w:t>
      </w:r>
      <w:r w:rsidR="009F0718" w:rsidRPr="006A1EC7">
        <w:t>WHS</w:t>
      </w:r>
      <w:r w:rsidRPr="006A1EC7">
        <w:t>, how the news were relayed to relatives and relatives’ emotional reactions to diagnosis were apparent. The majority of participants expressed concerns over how little the medical professionals knew about the syndrome at the time of diagnosis (Subtheme 2.2.4). At point of diagnosis, many parents reported being handed a printed sheet with information or being told to “</w:t>
      </w:r>
      <w:r w:rsidRPr="006A1EC7">
        <w:rPr>
          <w:i/>
        </w:rPr>
        <w:t>go home and google</w:t>
      </w:r>
      <w:r w:rsidRPr="006A1EC7">
        <w:t>” (WHS3A) by their paediatrician or geneticist following an admission that the medical professionals had not heard of the illness themselves.</w:t>
      </w:r>
    </w:p>
    <w:p w14:paraId="0B24530B" w14:textId="77777777" w:rsidR="008B1FBF" w:rsidRPr="006A1EC7" w:rsidRDefault="008B1FBF" w:rsidP="008B1FBF">
      <w:pPr>
        <w:spacing w:line="360" w:lineRule="auto"/>
      </w:pPr>
    </w:p>
    <w:p w14:paraId="0B928EB6" w14:textId="77777777" w:rsidR="008B1FBF" w:rsidRPr="006A1EC7" w:rsidRDefault="008B1FBF" w:rsidP="008B1FBF">
      <w:pPr>
        <w:spacing w:line="276" w:lineRule="auto"/>
        <w:ind w:left="720"/>
      </w:pPr>
      <w:r w:rsidRPr="006A1EC7">
        <w:rPr>
          <w:i/>
        </w:rPr>
        <w:t>“…the doctor came to us with the sheet of paper that basically said you know they didn’t know a lot about it… the doctor had never of it before… it was everything that we got.”</w:t>
      </w:r>
      <w:r w:rsidRPr="006A1EC7">
        <w:t xml:space="preserve"> (WHS10)</w:t>
      </w:r>
    </w:p>
    <w:p w14:paraId="10799B0F" w14:textId="77777777" w:rsidR="008B1FBF" w:rsidRPr="006A1EC7" w:rsidRDefault="008B1FBF" w:rsidP="008B1FBF">
      <w:pPr>
        <w:spacing w:line="276" w:lineRule="auto"/>
        <w:ind w:left="720"/>
      </w:pPr>
      <w:r w:rsidRPr="006A1EC7">
        <w:t>“</w:t>
      </w:r>
      <w:r w:rsidRPr="006A1EC7">
        <w:rPr>
          <w:i/>
        </w:rPr>
        <w:t>but the doctor that told us the results, didn’t know anything about the syndrome. She just said ‘this is what’s come back, I don’t know much about it but, um, I believe it’s quite bad’ and basically that’s all she said… It was just like…what…it’s just…and then she just walked off and left us.”</w:t>
      </w:r>
      <w:r w:rsidRPr="006A1EC7">
        <w:t xml:space="preserve"> (WHS11B)</w:t>
      </w:r>
    </w:p>
    <w:p w14:paraId="243E581B" w14:textId="77777777" w:rsidR="008B1FBF" w:rsidRPr="006A1EC7" w:rsidRDefault="008B1FBF" w:rsidP="008B1FBF">
      <w:pPr>
        <w:spacing w:line="276" w:lineRule="auto"/>
      </w:pPr>
    </w:p>
    <w:p w14:paraId="06C6CC7E" w14:textId="77777777" w:rsidR="008B1FBF" w:rsidRPr="006A1EC7" w:rsidRDefault="008B1FBF" w:rsidP="008B1FBF">
      <w:pPr>
        <w:spacing w:line="360" w:lineRule="auto"/>
      </w:pPr>
      <w:r w:rsidRPr="006A1EC7">
        <w:t>Contrary to the majority experiences, one mother reports the opposite experience: during her son’s diagnostic consultation she was told “</w:t>
      </w:r>
      <w:r w:rsidRPr="006A1EC7">
        <w:rPr>
          <w:i/>
        </w:rPr>
        <w:t>not to google it, not to research it, not to look at anybody else with the same syndrome because they’re all so different”</w:t>
      </w:r>
      <w:r w:rsidRPr="006A1EC7">
        <w:t xml:space="preserve"> (WHS1), which she perceived as unhelpful and irresponsible.</w:t>
      </w:r>
    </w:p>
    <w:p w14:paraId="139FB898" w14:textId="77777777" w:rsidR="008B1FBF" w:rsidRPr="006A1EC7" w:rsidRDefault="008B1FBF" w:rsidP="008B1FBF">
      <w:pPr>
        <w:spacing w:line="360" w:lineRule="auto"/>
      </w:pPr>
    </w:p>
    <w:p w14:paraId="7179693F" w14:textId="77777777" w:rsidR="008B1FBF" w:rsidRPr="006A1EC7" w:rsidRDefault="008B1FBF" w:rsidP="008B1FBF">
      <w:pPr>
        <w:spacing w:line="276" w:lineRule="auto"/>
        <w:ind w:left="720"/>
      </w:pPr>
      <w:r w:rsidRPr="006A1EC7">
        <w:rPr>
          <w:i/>
        </w:rPr>
        <w:t>“The doom and gloom that's portrayed obviously if somebody says to you, don't google it, don't thingy-thing it, and, by the way, highlighted this bit here “erm expected age… don't live beyond two”… my son's 16 months old, do you know what I mean?”</w:t>
      </w:r>
      <w:r w:rsidRPr="006A1EC7">
        <w:t xml:space="preserve"> (WHS1)</w:t>
      </w:r>
    </w:p>
    <w:p w14:paraId="59C78168" w14:textId="77777777" w:rsidR="008B1FBF" w:rsidRPr="006A1EC7" w:rsidRDefault="008B1FBF" w:rsidP="008B1FBF">
      <w:pPr>
        <w:spacing w:line="276" w:lineRule="auto"/>
      </w:pPr>
    </w:p>
    <w:p w14:paraId="55BC65CC" w14:textId="77777777" w:rsidR="008B1FBF" w:rsidRPr="006A1EC7" w:rsidRDefault="008B1FBF" w:rsidP="008B1FBF">
      <w:pPr>
        <w:spacing w:line="360" w:lineRule="auto"/>
        <w:rPr>
          <w:i/>
        </w:rPr>
      </w:pPr>
      <w:r w:rsidRPr="006A1EC7">
        <w:t>As a result of lack of knowledge and uncertainty surrounding the diagnosis, family members reported feeling the detrimental effects of diagnostic consultations like the above, such as ‘</w:t>
      </w:r>
      <w:r w:rsidRPr="006A1EC7">
        <w:rPr>
          <w:i/>
        </w:rPr>
        <w:t>feeling haunted’</w:t>
      </w:r>
      <w:r w:rsidRPr="006A1EC7">
        <w:t xml:space="preserve"> (WHS8) or left in the dark about the future</w:t>
      </w:r>
      <w:r w:rsidRPr="006A1EC7">
        <w:rPr>
          <w:i/>
        </w:rPr>
        <w:t xml:space="preserve"> </w:t>
      </w:r>
      <w:r w:rsidRPr="006A1EC7">
        <w:t>of their WHS offspring. Family members also expressed encountering over-generalisation (“</w:t>
      </w:r>
      <w:r w:rsidRPr="006A1EC7">
        <w:rPr>
          <w:i/>
        </w:rPr>
        <w:t>reducing child to symptoms</w:t>
      </w:r>
      <w:r w:rsidRPr="006A1EC7">
        <w:t>”, WHS3A) and the use of outdated statistics. Two parents acknowledge (WHS1, WHS2C) that the health care professionals “</w:t>
      </w:r>
      <w:r w:rsidRPr="006A1EC7">
        <w:rPr>
          <w:i/>
        </w:rPr>
        <w:t>can’t know every syndrome and every-thing of medicine</w:t>
      </w:r>
      <w:r w:rsidRPr="006A1EC7">
        <w:t>” (WHS1) but that relatives “</w:t>
      </w:r>
      <w:r w:rsidRPr="006A1EC7">
        <w:rPr>
          <w:i/>
        </w:rPr>
        <w:t>want them to know about it</w:t>
      </w:r>
      <w:r w:rsidRPr="006A1EC7">
        <w:t>” (WHS2C).</w:t>
      </w:r>
    </w:p>
    <w:p w14:paraId="379A15FB" w14:textId="77777777" w:rsidR="008B1FBF" w:rsidRPr="006A1EC7" w:rsidRDefault="008B1FBF" w:rsidP="008B1FBF">
      <w:pPr>
        <w:spacing w:line="276" w:lineRule="auto"/>
      </w:pPr>
    </w:p>
    <w:p w14:paraId="2D4A13FA" w14:textId="77777777" w:rsidR="008B1FBF" w:rsidRPr="006A1EC7" w:rsidRDefault="008B1FBF" w:rsidP="008B1FBF">
      <w:pPr>
        <w:spacing w:line="276" w:lineRule="auto"/>
        <w:ind w:left="720"/>
      </w:pPr>
      <w:r w:rsidRPr="006A1EC7">
        <w:rPr>
          <w:i/>
        </w:rPr>
        <w:t xml:space="preserve">“This lady </w:t>
      </w:r>
      <m:oMath>
        <m:d>
          <m:dPr>
            <m:begChr m:val="⌈"/>
            <m:endChr m:val="⌉"/>
            <m:ctrlPr>
              <w:rPr>
                <w:rFonts w:ascii="Cambria Math" w:hAnsi="Cambria Math"/>
                <w:i/>
              </w:rPr>
            </m:ctrlPr>
          </m:dPr>
          <m:e>
            <m:r>
              <w:rPr>
                <w:rFonts w:ascii="Cambria Math" w:hAnsi="Cambria Math"/>
              </w:rPr>
              <m:t>referring to doctor</m:t>
            </m:r>
          </m:e>
        </m:d>
      </m:oMath>
      <w:r w:rsidRPr="006A1EC7">
        <w:rPr>
          <w:i/>
        </w:rPr>
        <w:t xml:space="preserve"> had not had any experience evidently, and she printed out a sheet of paper, the first sheet off google, ‘worst case scenario: your child is not gonna live to this age, gonna do this, not gonna do this’ and gave us that print out really in the dreaded room at the end of the corridor and told us just to take each day as it comes. Well, that was like the most horrendous time ever... I can’t stress enough the importance of that sh- sheet of paper. That first sheet of paper has just haunted us, absolutely haunted us.”</w:t>
      </w:r>
      <w:r w:rsidRPr="006A1EC7">
        <w:t xml:space="preserve"> (WHS8)</w:t>
      </w:r>
    </w:p>
    <w:p w14:paraId="0DED36D7" w14:textId="77777777" w:rsidR="008B1FBF" w:rsidRPr="006A1EC7" w:rsidRDefault="008B1FBF" w:rsidP="008B1FBF">
      <w:pPr>
        <w:spacing w:line="276" w:lineRule="auto"/>
        <w:ind w:left="720"/>
      </w:pPr>
      <w:r w:rsidRPr="006A1EC7">
        <w:rPr>
          <w:i/>
          <w:iCs/>
        </w:rPr>
        <w:t>“We weren’t given any information about the condition, we weren’t given any websites… she just kind of said ‘we can’t really say’</w:t>
      </w:r>
      <w:r w:rsidRPr="006A1EC7">
        <w:t>” (WHS4B)</w:t>
      </w:r>
    </w:p>
    <w:p w14:paraId="605D817D" w14:textId="77777777" w:rsidR="008B1FBF" w:rsidRPr="006A1EC7" w:rsidRDefault="008B1FBF" w:rsidP="008B1FBF">
      <w:pPr>
        <w:spacing w:line="276" w:lineRule="auto"/>
      </w:pPr>
    </w:p>
    <w:p w14:paraId="7E3D78C4" w14:textId="77777777" w:rsidR="008B1FBF" w:rsidRPr="006A1EC7" w:rsidRDefault="008B1FBF" w:rsidP="008B1FBF">
      <w:pPr>
        <w:spacing w:line="360" w:lineRule="auto"/>
      </w:pPr>
      <w:r w:rsidRPr="006A1EC7">
        <w:t xml:space="preserve">Following diagnosis, many families report feeling unsupported and </w:t>
      </w:r>
      <w:r w:rsidRPr="006A1EC7">
        <w:rPr>
          <w:i/>
        </w:rPr>
        <w:t>“abandoned</w:t>
      </w:r>
      <w:r w:rsidRPr="006A1EC7">
        <w:t xml:space="preserve">” (WHS3B) by clinicians and health care teams. Parents express the need for better communication about their point of contact for medical questions and concerns. </w:t>
      </w:r>
    </w:p>
    <w:p w14:paraId="174EE7AC" w14:textId="77777777" w:rsidR="008B1FBF" w:rsidRPr="006A1EC7" w:rsidRDefault="008B1FBF" w:rsidP="008B1FBF">
      <w:pPr>
        <w:spacing w:line="276" w:lineRule="auto"/>
      </w:pPr>
    </w:p>
    <w:p w14:paraId="491A7DB0" w14:textId="77777777" w:rsidR="008B1FBF" w:rsidRPr="006A1EC7" w:rsidRDefault="008B1FBF" w:rsidP="008B1FBF">
      <w:pPr>
        <w:spacing w:line="276" w:lineRule="auto"/>
        <w:ind w:left="720"/>
      </w:pPr>
      <w:r w:rsidRPr="006A1EC7">
        <w:rPr>
          <w:i/>
        </w:rPr>
        <w:t>“we didn’t have anybody actually, (inaudible) who am I meant to speak to about this? I am struggling with that, that was my biggest thing. When we had issues with him, I knew if it was medical, which we’d go to the doctor or whatever and speak to them, but even then you don’t know whether you’re supposed to go to your own GP, supposed to take them into hospital? are you supposed to go and see your paediatrician? who do you speak to about what and I think that side of things was quite hard, that’s what what I did find that really hard cos I would have asked all the questions, but it’s who do you ask them to and you do end up struggling, you do.”</w:t>
      </w:r>
      <w:r w:rsidRPr="006A1EC7">
        <w:t xml:space="preserve"> (WHS10)</w:t>
      </w:r>
    </w:p>
    <w:p w14:paraId="1854985D" w14:textId="77777777" w:rsidR="008B1FBF" w:rsidRPr="006A1EC7" w:rsidRDefault="008B1FBF" w:rsidP="008B1FBF">
      <w:pPr>
        <w:spacing w:line="276" w:lineRule="auto"/>
        <w:ind w:left="720"/>
      </w:pPr>
      <w:r w:rsidRPr="006A1EC7">
        <w:t>“</w:t>
      </w:r>
      <w:r w:rsidRPr="006A1EC7">
        <w:rPr>
          <w:i/>
        </w:rPr>
        <w:t>Other people I’ve been aware of who had a serious diagnosis of a child…there was always a nurse or somebody they would go through as soon as they had the diagnosis and they would get some information, some practical information… a contact, really. Somebody they can speak to when they felt ready to speak to. That was…that was so missing</w:t>
      </w:r>
      <w:r w:rsidRPr="006A1EC7">
        <w:t>.” (WHS3B)</w:t>
      </w:r>
    </w:p>
    <w:p w14:paraId="0065EFF2" w14:textId="77777777" w:rsidR="008B1FBF" w:rsidRPr="006A1EC7" w:rsidRDefault="008B1FBF" w:rsidP="008B1FBF">
      <w:pPr>
        <w:spacing w:line="276" w:lineRule="auto"/>
      </w:pPr>
    </w:p>
    <w:p w14:paraId="61B2C751" w14:textId="77777777" w:rsidR="008B1FBF" w:rsidRPr="006A1EC7" w:rsidRDefault="008B1FBF" w:rsidP="008B1FBF">
      <w:pPr>
        <w:spacing w:line="360" w:lineRule="auto"/>
      </w:pPr>
      <w:r w:rsidRPr="006A1EC7">
        <w:t xml:space="preserve">Arising from these inadequacies experienced, family members described having to become experts themselves, both via sources, such as the internet, personal experiences with their </w:t>
      </w:r>
      <w:r w:rsidRPr="006A1EC7">
        <w:lastRenderedPageBreak/>
        <w:t xml:space="preserve">children and exchange with other families. However, it was strongly expressed in the interviews that they did not feel heard by medical professionals despite their expertise. </w:t>
      </w:r>
    </w:p>
    <w:p w14:paraId="2295554E" w14:textId="77777777" w:rsidR="008B1FBF" w:rsidRPr="006A1EC7" w:rsidRDefault="008B1FBF" w:rsidP="008B1FBF">
      <w:pPr>
        <w:spacing w:line="276" w:lineRule="auto"/>
      </w:pPr>
    </w:p>
    <w:p w14:paraId="55F66242" w14:textId="77777777" w:rsidR="008B1FBF" w:rsidRPr="006A1EC7" w:rsidRDefault="008B1FBF" w:rsidP="008B1FBF">
      <w:pPr>
        <w:spacing w:line="276" w:lineRule="auto"/>
        <w:ind w:left="720"/>
      </w:pPr>
      <w:r w:rsidRPr="006A1EC7">
        <w:rPr>
          <w:i/>
        </w:rPr>
        <w:t>“I think it’s, it’s really hard is that because they don’t understand the syndrome, but the trouble is you get a lot of them that won’t listen to you when you telling them what your child is like and how you know they’re poorly. I think cos they’re really poorliness, every child poorly is a different category, ini’t. It’s different ways I think with this kind of illness, there is it’s actually there is like I say there is deaths with it, and you’ve just got to be more careful and listen to what you’re telling them rather than just think it’s another child that’s poorly”</w:t>
      </w:r>
      <w:r w:rsidRPr="006A1EC7">
        <w:t xml:space="preserve"> (WHS2A)</w:t>
      </w:r>
    </w:p>
    <w:p w14:paraId="68245E68" w14:textId="77777777" w:rsidR="008B1FBF" w:rsidRPr="006A1EC7" w:rsidRDefault="008B1FBF" w:rsidP="008B1FBF">
      <w:pPr>
        <w:spacing w:line="276" w:lineRule="auto"/>
        <w:ind w:left="720"/>
      </w:pPr>
      <w:r w:rsidRPr="006A1EC7">
        <w:rPr>
          <w:i/>
        </w:rPr>
        <w:t>“The concern is obviously that he’s he he you know when you go to the doctors and they say, there’s nothing wrong with him and you’re like I think there is… I think there is and that’s where the issue lies because even when he had the bad bout of pneumonia, erm, in the hospital they didn’t think he had pneumonia”</w:t>
      </w:r>
      <w:r w:rsidRPr="006A1EC7">
        <w:t xml:space="preserve"> (WHS1)</w:t>
      </w:r>
    </w:p>
    <w:p w14:paraId="5646B337" w14:textId="77777777" w:rsidR="008B1FBF" w:rsidRPr="006A1EC7" w:rsidRDefault="008B1FBF" w:rsidP="008B1FBF">
      <w:pPr>
        <w:spacing w:line="276" w:lineRule="auto"/>
      </w:pPr>
    </w:p>
    <w:p w14:paraId="71563359" w14:textId="77777777"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2.2: Experiences Navigating the NHS</w:t>
      </w:r>
    </w:p>
    <w:p w14:paraId="12FCCC87" w14:textId="77777777" w:rsidR="008B1FBF" w:rsidRPr="006A1EC7" w:rsidRDefault="008B1FBF" w:rsidP="008B1FBF">
      <w:pPr>
        <w:spacing w:line="360" w:lineRule="auto"/>
      </w:pPr>
    </w:p>
    <w:p w14:paraId="5970793F" w14:textId="2C736E76" w:rsidR="008B1FBF" w:rsidRPr="006A1EC7" w:rsidRDefault="008B1FBF" w:rsidP="008B1FBF">
      <w:pPr>
        <w:spacing w:line="360" w:lineRule="auto"/>
      </w:pPr>
      <w:r w:rsidRPr="006A1EC7">
        <w:t>In the second subtheme, discourse around both negative (Subtheme 2.2.1) and positive experiences (Subtheme 2.2.2) with the NHS and NHS staff</w:t>
      </w:r>
      <w:r w:rsidRPr="006A1EC7">
        <w:rPr>
          <w:rStyle w:val="FootnoteReference"/>
          <w:rFonts w:eastAsiaTheme="majorEastAsia"/>
        </w:rPr>
        <w:footnoteReference w:id="15"/>
      </w:r>
      <w:r w:rsidRPr="006A1EC7">
        <w:t xml:space="preserve"> are collated. In these discussions, narratives around lack of HCP knowledge regarding WHS was most prevalent (Subtheme 2.2.4.1). Participants also perceived this was an issue they were continually encountering, and thus not an issue exclusive to diagnosis, Furthermore, this was perceived to exist across specialities, and most NHS settings. Due to their complexity, patients with  WHS require management by multidisciplinary teams; these teams and their members were also described as equally uneducated about the syndrome. These include doctors and nurses from a variety of specialities, therapists and paramedics. </w:t>
      </w:r>
    </w:p>
    <w:p w14:paraId="4AE851C8" w14:textId="77777777" w:rsidR="008B1FBF" w:rsidRPr="006A1EC7" w:rsidRDefault="008B1FBF" w:rsidP="008B1FBF">
      <w:pPr>
        <w:spacing w:line="360" w:lineRule="auto"/>
      </w:pPr>
    </w:p>
    <w:p w14:paraId="4D965513" w14:textId="77777777" w:rsidR="008B1FBF" w:rsidRPr="006A1EC7" w:rsidRDefault="008B1FBF" w:rsidP="008B1FBF">
      <w:pPr>
        <w:ind w:left="720"/>
      </w:pPr>
      <w:r w:rsidRPr="006A1EC7">
        <w:rPr>
          <w:i/>
        </w:rPr>
        <w:t>“The the paramedics, they write on their gloves “I’m gonna google that” - you know and I’m gonna (incomprehensible) on that because its a a syndrome that they’ve never ever never ever heard of you know er and you can see in the, you know some of the nurses and some of the consulates when they come round and they have ward round, and they’re like ah right you know I’m gonna I’m gonna read up on that.”</w:t>
      </w:r>
      <w:r w:rsidRPr="006A1EC7">
        <w:t xml:space="preserve"> (WHS2C)</w:t>
      </w:r>
    </w:p>
    <w:p w14:paraId="1B4A9791" w14:textId="77777777" w:rsidR="008B1FBF" w:rsidRPr="006A1EC7" w:rsidRDefault="008B1FBF" w:rsidP="008B1FBF">
      <w:pPr>
        <w:ind w:left="720"/>
      </w:pPr>
      <w:r w:rsidRPr="006A1EC7">
        <w:rPr>
          <w:i/>
        </w:rPr>
        <w:t>“They’re still learning, cos even now, and he’s nearly 8. They’re still like, now they’ve only just learnt at our hospital that- they’re talking about low immune systems, so for him to go to nearly eight years and they’ve only just learnt that; that’s a big thing yeah”</w:t>
      </w:r>
      <w:r w:rsidRPr="006A1EC7">
        <w:t xml:space="preserve"> (WHS2B)</w:t>
      </w:r>
    </w:p>
    <w:p w14:paraId="17A54B1A" w14:textId="77777777" w:rsidR="008B1FBF" w:rsidRPr="006A1EC7" w:rsidRDefault="008B1FBF" w:rsidP="008B1FBF">
      <w:pPr>
        <w:spacing w:line="360" w:lineRule="auto"/>
      </w:pPr>
    </w:p>
    <w:p w14:paraId="3B3EEB7A" w14:textId="77777777" w:rsidR="008B1FBF" w:rsidRPr="006A1EC7" w:rsidRDefault="008B1FBF" w:rsidP="008B1FBF">
      <w:pPr>
        <w:spacing w:line="360" w:lineRule="auto"/>
      </w:pPr>
      <w:r w:rsidRPr="006A1EC7">
        <w:lastRenderedPageBreak/>
        <w:t xml:space="preserve">In addition, the family members expressed concerns about the care their children, grandchildren and siblings with WHS received due to the lack of knowledge and perceived ignorance by medical professionals (Subtheme 2.2.4.2). </w:t>
      </w:r>
    </w:p>
    <w:p w14:paraId="77DC88A6" w14:textId="77777777" w:rsidR="008B1FBF" w:rsidRPr="006A1EC7" w:rsidRDefault="008B1FBF" w:rsidP="008B1FBF">
      <w:pPr>
        <w:spacing w:line="360" w:lineRule="auto"/>
        <w:ind w:firstLine="720"/>
      </w:pPr>
    </w:p>
    <w:p w14:paraId="627346A2" w14:textId="77777777" w:rsidR="008B1FBF" w:rsidRPr="006A1EC7" w:rsidRDefault="008B1FBF" w:rsidP="008B1FBF">
      <w:pPr>
        <w:ind w:left="720"/>
      </w:pPr>
      <w:r w:rsidRPr="006A1EC7">
        <w:rPr>
          <w:i/>
        </w:rPr>
        <w:t>“For example, they booked her in to have an MRI under sedation, which is very dangerous for (child’s name) because she’s got compromised airway, and so if I hadn’t intervened, then that could have been quite a serious you know… The other day her paediatrician described, prescribed a medication which was could increase ep-, seizures in people with epilepsy, and if I hadn’t read the instructions then you know she could have even having more seizures”</w:t>
      </w:r>
      <w:r w:rsidRPr="006A1EC7">
        <w:t xml:space="preserve"> (WHS4B)</w:t>
      </w:r>
    </w:p>
    <w:p w14:paraId="7B699847" w14:textId="77777777" w:rsidR="008B1FBF" w:rsidRPr="006A1EC7" w:rsidRDefault="008B1FBF" w:rsidP="008B1FBF">
      <w:pPr>
        <w:spacing w:line="276" w:lineRule="auto"/>
      </w:pPr>
    </w:p>
    <w:p w14:paraId="1D03DD6C" w14:textId="6361812D" w:rsidR="008B1FBF" w:rsidRPr="006A1EC7" w:rsidRDefault="008B1FBF" w:rsidP="008B1FBF">
      <w:pPr>
        <w:spacing w:line="360" w:lineRule="auto"/>
      </w:pPr>
      <w:r w:rsidRPr="006A1EC7">
        <w:t>The language use of medical professionals has also come under scrutiny in the interviews. Parents describe anger and frustration with language used to describe their children, which include “</w:t>
      </w:r>
      <w:r w:rsidRPr="006A1EC7">
        <w:rPr>
          <w:i/>
        </w:rPr>
        <w:t>dopey</w:t>
      </w:r>
      <w:r w:rsidRPr="006A1EC7">
        <w:t>” (WHS8) and “</w:t>
      </w:r>
      <w:r w:rsidRPr="006A1EC7">
        <w:rPr>
          <w:i/>
        </w:rPr>
        <w:t>malnourished</w:t>
      </w:r>
      <w:r w:rsidRPr="006A1EC7">
        <w:t xml:space="preserve">” (WHS11C). A father of a girl describes an incident in the hospital, where his daughter was called </w:t>
      </w:r>
      <w:r w:rsidRPr="006A1EC7">
        <w:rPr>
          <w:i/>
        </w:rPr>
        <w:t>“malnourished</w:t>
      </w:r>
      <w:r w:rsidRPr="006A1EC7">
        <w:t>” by a professional who he thinks knew nothing about his daughter’s medical background and WHS diagnosis. The following quotes illustrates the interplay of lack of knowledge of medical professionals, inadequate hospital equipment and its effect on parents – especially in the context of already stressful situations, such as hospital admissions and stays; from both a father’s and mother’s perspective.</w:t>
      </w:r>
    </w:p>
    <w:p w14:paraId="38523501" w14:textId="77777777" w:rsidR="008B1FBF" w:rsidRPr="006A1EC7" w:rsidRDefault="008B1FBF" w:rsidP="008B1FBF">
      <w:pPr>
        <w:spacing w:line="276" w:lineRule="auto"/>
      </w:pPr>
    </w:p>
    <w:p w14:paraId="44C826C1" w14:textId="77777777" w:rsidR="008B1FBF" w:rsidRPr="006A1EC7" w:rsidRDefault="008B1FBF" w:rsidP="008B1FBF">
      <w:pPr>
        <w:spacing w:line="276" w:lineRule="auto"/>
        <w:ind w:left="720"/>
      </w:pPr>
      <w:r w:rsidRPr="006A1EC7">
        <w:rPr>
          <w:i/>
        </w:rPr>
        <w:t>“But if she’s on hospital wards, for a respiratory infection, if somebody sees her, you know, they might not know anything about her, they might just be sort of quick… one doctor in particular said ‘oh she looks malnourished’ … I nearly…you know, went to town on that doctor, just nearly, you know…nearly…she…I could have sworn at her really, but I thought it was quite offensive really.”</w:t>
      </w:r>
      <w:r w:rsidRPr="006A1EC7">
        <w:t xml:space="preserve"> (WHS11C)</w:t>
      </w:r>
    </w:p>
    <w:p w14:paraId="4D838737" w14:textId="77777777" w:rsidR="008B1FBF" w:rsidRPr="006A1EC7" w:rsidRDefault="008B1FBF" w:rsidP="008B1FBF">
      <w:pPr>
        <w:spacing w:line="276" w:lineRule="auto"/>
        <w:ind w:left="720" w:firstLine="60"/>
      </w:pPr>
      <w:r w:rsidRPr="006A1EC7">
        <w:rPr>
          <w:i/>
        </w:rPr>
        <w:t xml:space="preserve">“I think, sometime-…I think there was one time where I think one doctor made a comment about her being under weight and…and </w:t>
      </w:r>
      <m:oMath>
        <m:d>
          <m:dPr>
            <m:begChr m:val="["/>
            <m:endChr m:val="]"/>
            <m:ctrlPr>
              <w:rPr>
                <w:rFonts w:ascii="Cambria Math" w:hAnsi="Cambria Math"/>
                <w:i/>
              </w:rPr>
            </m:ctrlPr>
          </m:dPr>
          <m:e>
            <m:r>
              <w:rPr>
                <w:rFonts w:ascii="Cambria Math" w:hAnsi="Cambria Math"/>
              </w:rPr>
              <m:t>fathe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name</m:t>
            </m:r>
          </m:e>
        </m:d>
      </m:oMath>
      <w:r w:rsidRPr="006A1EC7">
        <w:rPr>
          <w:i/>
        </w:rPr>
        <w:t xml:space="preserve"> said ‘well yeah, but she was premature’ but if you look at WH</w:t>
      </w:r>
      <m:oMath>
        <m:d>
          <m:dPr>
            <m:begChr m:val="["/>
            <m:endChr m:val="]"/>
            <m:ctrlPr>
              <w:rPr>
                <w:rFonts w:ascii="Cambria Math" w:hAnsi="Cambria Math"/>
                <w:i/>
              </w:rPr>
            </m:ctrlPr>
          </m:dPr>
          <m:e>
            <m:r>
              <w:rPr>
                <w:rFonts w:ascii="Cambria Math" w:hAnsi="Cambria Math"/>
              </w:rPr>
              <m:t>S</m:t>
            </m:r>
          </m:e>
        </m:d>
      </m:oMath>
      <w:r w:rsidRPr="006A1EC7">
        <w:rPr>
          <w:i/>
        </w:rPr>
        <w:t xml:space="preserve"> and the other symptoms are they are…they do tend to be underweight but, we kinda felt like she was saying it quite as if we weren’t feeding her enough you know…”</w:t>
      </w:r>
      <w:r w:rsidRPr="006A1EC7">
        <w:t xml:space="preserve"> (WHS11B)</w:t>
      </w:r>
    </w:p>
    <w:p w14:paraId="49E71F4C" w14:textId="77777777" w:rsidR="008B1FBF" w:rsidRPr="006A1EC7" w:rsidRDefault="008B1FBF" w:rsidP="008B1FBF">
      <w:pPr>
        <w:spacing w:line="360" w:lineRule="auto"/>
      </w:pPr>
    </w:p>
    <w:p w14:paraId="42A88A0A" w14:textId="77777777" w:rsidR="008B1FBF" w:rsidRPr="006A1EC7" w:rsidRDefault="008B1FBF" w:rsidP="008B1FBF">
      <w:pPr>
        <w:spacing w:line="360" w:lineRule="auto"/>
      </w:pPr>
      <w:r w:rsidRPr="006A1EC7">
        <w:t>Family members also expressed concerns about insufficiently trained staff, inadequate hospital procedures and equipment in the interviews. One participant reported that her son died as a result of care plans not being followed in a supported care home he was living in (WHS9).</w:t>
      </w:r>
    </w:p>
    <w:p w14:paraId="56C47CE5" w14:textId="77777777" w:rsidR="008B1FBF" w:rsidRPr="006A1EC7" w:rsidRDefault="008B1FBF" w:rsidP="008B1FBF">
      <w:pPr>
        <w:spacing w:line="276" w:lineRule="auto"/>
      </w:pPr>
    </w:p>
    <w:p w14:paraId="4AF8402C" w14:textId="77777777" w:rsidR="008B1FBF" w:rsidRPr="006A1EC7" w:rsidRDefault="008B1FBF" w:rsidP="008B1FBF">
      <w:pPr>
        <w:spacing w:line="276" w:lineRule="auto"/>
        <w:ind w:left="720"/>
        <w:rPr>
          <w:i/>
        </w:rPr>
      </w:pPr>
      <w:r w:rsidRPr="006A1EC7">
        <w:rPr>
          <w:i/>
        </w:rPr>
        <w:t xml:space="preserve">“he can’t go in one of the beds in the hospital because they never have a suitable cot, they never have a suitable bed that’s safe, so I have to have him with me on his bed </w:t>
      </w:r>
      <w:r w:rsidRPr="006A1EC7">
        <w:rPr>
          <w:i/>
        </w:rPr>
        <w:lastRenderedPageBreak/>
        <w:t>the whole time, plus I have to deal with all of his feeding, I have to deal with his toileting needs, his washing, um, monitoring him for epilepsy…I have gone 24 hours without drink or food because I cannot leave his side, and in the end they offered me an auxiliary nurse to sit with him and I said ‘have you been epilepsy trained?’ and she was like ‘no’…and my only choice was to leave her sitting at his bedside, um, to just go and get a drink and something to eat before I pass out, because I hadn’t eaten, you know, lunch or something and it was around tea time when he had a seizure so I missed tea, I was in with him all night, they don’t offer parents food. (WHS5)</w:t>
      </w:r>
    </w:p>
    <w:p w14:paraId="30C2AFCD" w14:textId="77777777" w:rsidR="008B1FBF" w:rsidRPr="006A1EC7" w:rsidRDefault="008B1FBF" w:rsidP="008B1FBF">
      <w:pPr>
        <w:spacing w:line="276" w:lineRule="auto"/>
        <w:ind w:left="720"/>
      </w:pPr>
      <w:r w:rsidRPr="006A1EC7">
        <w:rPr>
          <w:i/>
        </w:rPr>
        <w:t>“I felt at times that they’d not really picked up on the fact that it’s the middle of the night…I’ve been…  looking after a poorly child, and I just want the meds for her, I just want the nebulizer. I don’t want to be saying what my address is, what my job is, what all them things are…aren’t really, you know, I just need to get her settled with the coughing and then we can um…so there have been times where I have found that initial bit when you arrive at the hospital quite um, stressful.”</w:t>
      </w:r>
      <w:r w:rsidRPr="006A1EC7">
        <w:t xml:space="preserve"> (WHS11B)</w:t>
      </w:r>
    </w:p>
    <w:p w14:paraId="37DF20D1" w14:textId="77777777" w:rsidR="008B1FBF" w:rsidRPr="006A1EC7" w:rsidRDefault="008B1FBF" w:rsidP="008B1FBF">
      <w:pPr>
        <w:spacing w:line="360" w:lineRule="auto"/>
      </w:pPr>
    </w:p>
    <w:p w14:paraId="05FAC77F" w14:textId="2EA59329" w:rsidR="008B1FBF" w:rsidRPr="006A1EC7" w:rsidRDefault="008B1FBF" w:rsidP="008B1FBF">
      <w:pPr>
        <w:spacing w:line="360" w:lineRule="auto"/>
      </w:pPr>
      <w:r w:rsidRPr="006A1EC7">
        <w:t xml:space="preserve">However, the failings in care do not only present in hospital settings. Primary care providers, such as GPs, as well as outpatient specialist medical professionals are also reported to be un-equipped to deal with individuals with additional needs leading to failings in care and missed illnesses. Furthermore, issues were seen to arise when the care of children was “compartmentalised” rather than viewed and managed holistically. One participant stated that the family is lucky that she is a doctor herself, as she can therefore be her son’s main doctor as this is missing in the general care (WHS6A). </w:t>
      </w:r>
    </w:p>
    <w:p w14:paraId="00C41740" w14:textId="77777777" w:rsidR="008B1FBF" w:rsidRPr="006A1EC7" w:rsidRDefault="008B1FBF" w:rsidP="008B1FBF">
      <w:pPr>
        <w:spacing w:line="276" w:lineRule="auto"/>
        <w:ind w:left="720"/>
      </w:pPr>
    </w:p>
    <w:p w14:paraId="7DBCA9FE" w14:textId="77777777" w:rsidR="008B1FBF" w:rsidRPr="006A1EC7" w:rsidRDefault="008B1FBF" w:rsidP="008B1FBF">
      <w:pPr>
        <w:spacing w:line="276" w:lineRule="auto"/>
        <w:ind w:left="720"/>
      </w:pPr>
      <w:r w:rsidRPr="006A1EC7">
        <w:t>“</w:t>
      </w:r>
      <w:r w:rsidRPr="006A1EC7">
        <w:rPr>
          <w:i/>
        </w:rPr>
        <w:t>Because what I think is that they manage these patients as, um, separate containers or compartments… But nobody knows the patient, so each of them will manage one aspect…what I think it is important, is that this holistic approach to a patient is totally lacking</w:t>
      </w:r>
      <w:r w:rsidRPr="006A1EC7">
        <w:t>.” (WHS6A)</w:t>
      </w:r>
    </w:p>
    <w:p w14:paraId="49D27ADF" w14:textId="77777777" w:rsidR="008B1FBF" w:rsidRPr="006A1EC7" w:rsidRDefault="008B1FBF" w:rsidP="008B1FBF">
      <w:pPr>
        <w:spacing w:line="276" w:lineRule="auto"/>
        <w:ind w:left="720"/>
      </w:pPr>
      <w:r w:rsidRPr="006A1EC7">
        <w:rPr>
          <w:i/>
        </w:rPr>
        <w:t>“I do, I think, I think specialists’ understanding of it is very poor as well and I do find that m-my paediatrician, who's who I love and he's a great guy, takes my, if I say something, he'll go 'yeah' and that I think, that's scary as well that I am having to say, no I think, he should be tested for this, or this needs to be looked at or I'm not happy with this…and I know they can’t know every syndrome and every-thing of medicine (….) even doctors surgeries, I mean, the doctors surgeries are a nightmare. You go in, and they go ‘they’ve got a common cold’. It's not, it’s not as simple as that. (…) I'd been at the doctors on the Thursday night and by Friday morning he was vomiting, he had pneumonia.”</w:t>
      </w:r>
      <w:r w:rsidRPr="006A1EC7">
        <w:t xml:space="preserve"> (WHS1)</w:t>
      </w:r>
    </w:p>
    <w:p w14:paraId="2AC09D4C" w14:textId="77777777" w:rsidR="008B1FBF" w:rsidRPr="006A1EC7" w:rsidRDefault="008B1FBF" w:rsidP="008B1FBF">
      <w:pPr>
        <w:spacing w:line="276" w:lineRule="auto"/>
      </w:pPr>
    </w:p>
    <w:p w14:paraId="3A5F2FBF" w14:textId="77777777" w:rsidR="008B1FBF" w:rsidRPr="006A1EC7" w:rsidRDefault="008B1FBF" w:rsidP="008B1FBF">
      <w:pPr>
        <w:spacing w:line="360" w:lineRule="auto"/>
      </w:pPr>
      <w:r w:rsidRPr="006A1EC7">
        <w:t xml:space="preserve">Participants emphasised the importance of having a good rapport with their family member’s clinicians and exchange with the medical professionals. There were also a number of positive experiences reported across the interviews (Subtheme 2.2.2). A father, for example, praised </w:t>
      </w:r>
      <w:r w:rsidRPr="006A1EC7">
        <w:lastRenderedPageBreak/>
        <w:t>the hard work of NHS staff; and the adapted ENT assessments for his son’s hearing. Parents especially seemed to valued clinicians, who they see regularly (“</w:t>
      </w:r>
      <w:r w:rsidRPr="006A1EC7">
        <w:rPr>
          <w:i/>
        </w:rPr>
        <w:t>we know them quite well</w:t>
      </w:r>
      <w:r w:rsidRPr="006A1EC7">
        <w:t>”, WHS3A), who coordinate their family member’s care, who “understand</w:t>
      </w:r>
      <m:oMath>
        <m:d>
          <m:dPr>
            <m:begChr m:val="["/>
            <m:endChr m:val="]"/>
            <m:ctrlPr>
              <w:rPr>
                <w:rFonts w:ascii="Cambria Math" w:hAnsi="Cambria Math"/>
              </w:rPr>
            </m:ctrlPr>
          </m:dPr>
          <m:e>
            <m:r>
              <w:rPr>
                <w:rFonts w:ascii="Cambria Math" w:hAnsi="Cambria Math"/>
              </w:rPr>
              <m:t>s</m:t>
            </m:r>
          </m:e>
        </m:d>
      </m:oMath>
      <w:r w:rsidRPr="006A1EC7">
        <w:t xml:space="preserve"> my way of looking at things” (WHS5) and who look beyond diagnosis and prognosis of WHS. </w:t>
      </w:r>
    </w:p>
    <w:p w14:paraId="70B782A2" w14:textId="77777777" w:rsidR="008B1FBF" w:rsidRPr="006A1EC7" w:rsidRDefault="008B1FBF" w:rsidP="008B1FBF">
      <w:pPr>
        <w:spacing w:line="360" w:lineRule="auto"/>
      </w:pPr>
      <w:r w:rsidRPr="006A1EC7">
        <w:t>During the interviews, recommendations were made for how NHS staff can ensure better and safer treatment of patients with WHS (Subtheme 2.3), and how to ease the burden on family caregivers. These are outlined in Appendix 5.1, as these recommendations were arising from the above experiences</w:t>
      </w:r>
      <w:r w:rsidRPr="006A1EC7">
        <w:rPr>
          <w:rStyle w:val="FootnoteReference"/>
        </w:rPr>
        <w:footnoteReference w:id="16"/>
      </w:r>
      <w:r w:rsidRPr="006A1EC7">
        <w:t xml:space="preserve">. </w:t>
      </w:r>
    </w:p>
    <w:p w14:paraId="4B1B6F4C" w14:textId="77777777" w:rsidR="008B1FBF" w:rsidRPr="006A1EC7" w:rsidRDefault="008B1FBF" w:rsidP="008B1FBF">
      <w:pPr>
        <w:spacing w:line="360" w:lineRule="auto"/>
      </w:pPr>
    </w:p>
    <w:p w14:paraId="7689868E" w14:textId="77777777" w:rsidR="008B1FBF" w:rsidRPr="006A1EC7" w:rsidRDefault="008B1FBF" w:rsidP="008B1FBF">
      <w:pPr>
        <w:pStyle w:val="Heading2"/>
        <w:rPr>
          <w:rFonts w:ascii="Times New Roman" w:hAnsi="Times New Roman" w:cs="Times New Roman"/>
        </w:rPr>
      </w:pPr>
      <w:bookmarkStart w:id="160" w:name="_Toc38821443"/>
      <w:bookmarkStart w:id="161" w:name="_Toc40172999"/>
      <w:r w:rsidRPr="006A1EC7">
        <w:rPr>
          <w:rFonts w:ascii="Times New Roman" w:hAnsi="Times New Roman" w:cs="Times New Roman"/>
        </w:rPr>
        <w:t>Theme 3: Family adaptation</w:t>
      </w:r>
      <w:bookmarkEnd w:id="160"/>
      <w:bookmarkEnd w:id="161"/>
    </w:p>
    <w:p w14:paraId="14FBEE86" w14:textId="77777777" w:rsidR="008B1FBF" w:rsidRPr="006A1EC7" w:rsidRDefault="008B1FBF" w:rsidP="00744A8E">
      <w:pPr>
        <w:spacing w:line="360" w:lineRule="auto"/>
      </w:pPr>
    </w:p>
    <w:p w14:paraId="1FFA44C0" w14:textId="77777777" w:rsidR="008B1FBF" w:rsidRPr="006A1EC7" w:rsidRDefault="008B1FBF" w:rsidP="008B1FBF">
      <w:pPr>
        <w:spacing w:line="360" w:lineRule="auto"/>
        <w:ind w:firstLine="720"/>
      </w:pPr>
      <w:r w:rsidRPr="006A1EC7">
        <w:t xml:space="preserve">The next theme, ‘Family adaptation’ (Theme 3) collated discourse on how families and participants adjusted to having a relative with WHS or, indeed, a relative with multiple complex disabilities. </w:t>
      </w:r>
    </w:p>
    <w:p w14:paraId="5F2C4AD2" w14:textId="77777777" w:rsidR="008B1FBF" w:rsidRPr="006A1EC7" w:rsidRDefault="008B1FBF" w:rsidP="008B1FBF">
      <w:pPr>
        <w:spacing w:line="360" w:lineRule="auto"/>
      </w:pPr>
    </w:p>
    <w:p w14:paraId="413F48A9" w14:textId="2DDC51A8"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3.1: Cognitive adjustment</w:t>
      </w:r>
    </w:p>
    <w:p w14:paraId="33D3443A" w14:textId="6A2FF9A4" w:rsidR="008B1FBF" w:rsidRPr="006A1EC7" w:rsidRDefault="008B1FBF" w:rsidP="008B1FBF">
      <w:pPr>
        <w:spacing w:line="360" w:lineRule="auto"/>
        <w:ind w:firstLine="720"/>
      </w:pPr>
      <w:r w:rsidRPr="006A1EC7">
        <w:t>Narratives of cognitive adjustment were prevalent across the sample (Subtheme 3.1). Firstly, in order to cope with the uncertainty surrounding their relatives’ diagnosis (as described in theme 2), family members, especially parents, found themselves in a position where they were forced to become experts on WHS (Subtheme 3.1.1). To achieve this, (online) information was almost always sought immediately upon diagnosis, especially in younger patients and their families, due to the increased availability of online resources. However, engaging in research was described as an activity that was continual, rather than just at one time point or sporadically engaged in. It was evident that participants in the sample had increased health literacy, as a result of intensive research; one mother even explained that she had analysed her son’s gene cards to further her understanding of the illness while another father reported having bought a book on seizures.</w:t>
      </w:r>
    </w:p>
    <w:p w14:paraId="4AED2DD3" w14:textId="77777777" w:rsidR="008B1FBF" w:rsidRPr="006A1EC7" w:rsidRDefault="008B1FBF" w:rsidP="008B1FBF">
      <w:pPr>
        <w:spacing w:line="360" w:lineRule="auto"/>
      </w:pPr>
      <w:r w:rsidRPr="006A1EC7">
        <w:t>However, it was also elaborated that online information must be assessed with care as there are some – in the participants’ eyes – incorrect information about children with WHS dying before the age of 3.</w:t>
      </w:r>
    </w:p>
    <w:p w14:paraId="0803DFCE" w14:textId="77777777" w:rsidR="008B1FBF" w:rsidRPr="006A1EC7" w:rsidRDefault="008B1FBF" w:rsidP="008B1FBF">
      <w:pPr>
        <w:spacing w:line="276" w:lineRule="auto"/>
        <w:ind w:firstLine="720"/>
      </w:pPr>
    </w:p>
    <w:p w14:paraId="17ADA7BF" w14:textId="77777777" w:rsidR="008B1FBF" w:rsidRPr="006A1EC7" w:rsidRDefault="008B1FBF" w:rsidP="008B1FBF">
      <w:pPr>
        <w:spacing w:line="276" w:lineRule="auto"/>
        <w:ind w:left="720"/>
      </w:pPr>
      <w:r w:rsidRPr="006A1EC7">
        <w:rPr>
          <w:i/>
        </w:rPr>
        <w:lastRenderedPageBreak/>
        <w:t>“But obviously we started the research then… cos we wanted to know that (child's name) was gonna be like and what he was gonna be capable of… one of the first things that was… the chance that he won’t live past the age of two… that was a massive blow really erm but yeah, at least we had an answer for for what you know what was wrong with him really</w:t>
      </w:r>
      <w:r w:rsidRPr="006A1EC7">
        <w:t>” (WHS10)</w:t>
      </w:r>
      <w:r w:rsidRPr="006A1EC7">
        <w:br/>
        <w:t>“</w:t>
      </w:r>
      <w:r w:rsidRPr="006A1EC7">
        <w:rPr>
          <w:i/>
        </w:rPr>
        <w:t>I mean, Dr Google was brilliant but he wasn’t if you see what I mean - it was errr, you google everything and it was like ‘oh no!’</w:t>
      </w:r>
      <w:r w:rsidRPr="006A1EC7">
        <w:t>” (WHS2C)</w:t>
      </w:r>
    </w:p>
    <w:p w14:paraId="7C090FEB" w14:textId="77777777" w:rsidR="008B1FBF" w:rsidRPr="006A1EC7" w:rsidRDefault="008B1FBF" w:rsidP="008B1FBF">
      <w:pPr>
        <w:spacing w:line="276" w:lineRule="auto"/>
        <w:ind w:left="720"/>
      </w:pPr>
      <w:r w:rsidRPr="006A1EC7">
        <w:rPr>
          <w:i/>
        </w:rPr>
        <w:t>“you know, what they’re gonna do. Um, and obviously at first we were all ‘doom and gloom’ because, you know, you tend to…when you read about it you…you take on the worst case scenarios. Um, so I think, I think the thing really is not to put them in a box that they’ve got this condition... …but to, um, be aware that they’re always so different. It’s the same with all syndromes…or whatever they call it these days…’additional needs’”</w:t>
      </w:r>
      <w:r w:rsidRPr="006A1EC7">
        <w:t xml:space="preserve"> (WHS3B)</w:t>
      </w:r>
    </w:p>
    <w:p w14:paraId="02B499CB" w14:textId="77777777" w:rsidR="008B1FBF" w:rsidRPr="006A1EC7" w:rsidRDefault="008B1FBF" w:rsidP="008B1FBF">
      <w:pPr>
        <w:spacing w:line="276" w:lineRule="auto"/>
      </w:pPr>
    </w:p>
    <w:p w14:paraId="657CB81E" w14:textId="77777777" w:rsidR="008B1FBF" w:rsidRPr="006A1EC7" w:rsidRDefault="008B1FBF" w:rsidP="008B1FBF">
      <w:pPr>
        <w:spacing w:line="360" w:lineRule="auto"/>
      </w:pPr>
      <w:r w:rsidRPr="006A1EC7">
        <w:t>Engaging in research was perceived as a method to both cope with the diagnosis, and to enable caregivers to make informed treatment decisions, or to ensure that planned medical interventions were suitable for their relatives with WHS and would not cause potential harm. This put further pressure on caregivers and, in turn, had increased adverse emotional effect.</w:t>
      </w:r>
    </w:p>
    <w:p w14:paraId="7CB039A7" w14:textId="77777777" w:rsidR="008B1FBF" w:rsidRPr="006A1EC7" w:rsidRDefault="008B1FBF" w:rsidP="008B1FBF">
      <w:pPr>
        <w:spacing w:line="276" w:lineRule="auto"/>
        <w:ind w:firstLine="720"/>
      </w:pPr>
    </w:p>
    <w:p w14:paraId="0FA0BBF3" w14:textId="77777777" w:rsidR="008B1FBF" w:rsidRPr="006A1EC7" w:rsidRDefault="008B1FBF" w:rsidP="008B1FBF">
      <w:pPr>
        <w:spacing w:line="276" w:lineRule="auto"/>
        <w:ind w:left="720"/>
      </w:pPr>
      <w:r w:rsidRPr="006A1EC7">
        <w:rPr>
          <w:i/>
        </w:rPr>
        <w:t xml:space="preserve">“you have to be on the ball all the time and question sort of everything that people say. Or read up about it and research yourself to make sure that actually they’re not gonna make the situation worse” </w:t>
      </w:r>
      <w:r w:rsidRPr="006A1EC7">
        <w:t>(WHS4B)</w:t>
      </w:r>
    </w:p>
    <w:p w14:paraId="24570B8E" w14:textId="77777777" w:rsidR="008B1FBF" w:rsidRPr="006A1EC7" w:rsidRDefault="008B1FBF" w:rsidP="008B1FBF">
      <w:pPr>
        <w:spacing w:line="360" w:lineRule="auto"/>
      </w:pPr>
    </w:p>
    <w:p w14:paraId="3A631BDB" w14:textId="77777777" w:rsidR="008B1FBF" w:rsidRPr="006A1EC7" w:rsidRDefault="008B1FBF" w:rsidP="008B1FBF">
      <w:pPr>
        <w:spacing w:line="360" w:lineRule="auto"/>
      </w:pPr>
      <w:r w:rsidRPr="006A1EC7">
        <w:t>Aside from the factual information sought on WHS, its symptoms and management, family members also reported the importance of positive blogs which helped some families cope with the diagnosis and look ahead:</w:t>
      </w:r>
    </w:p>
    <w:p w14:paraId="07306F2A" w14:textId="77777777" w:rsidR="008B1FBF" w:rsidRPr="006A1EC7" w:rsidRDefault="008B1FBF" w:rsidP="008B1FBF">
      <w:pPr>
        <w:spacing w:line="276" w:lineRule="auto"/>
      </w:pPr>
    </w:p>
    <w:p w14:paraId="68254020" w14:textId="77777777" w:rsidR="008B1FBF" w:rsidRPr="006A1EC7" w:rsidRDefault="008B1FBF" w:rsidP="008B1FBF">
      <w:pPr>
        <w:spacing w:line="276" w:lineRule="auto"/>
        <w:ind w:left="720"/>
      </w:pPr>
      <w:r w:rsidRPr="006A1EC7">
        <w:rPr>
          <w:i/>
        </w:rPr>
        <w:t>“I think, to what really helped us and… me and at the beginning was to find the positive blogs …  there’s a lot of children out there that are doing quite well, it’s not all doom and gloom, although that’s largely what you’d find.”</w:t>
      </w:r>
      <w:r w:rsidRPr="006A1EC7">
        <w:t xml:space="preserve"> (WHS3A)</w:t>
      </w:r>
    </w:p>
    <w:p w14:paraId="7819E95B" w14:textId="77777777" w:rsidR="008B1FBF" w:rsidRPr="006A1EC7" w:rsidRDefault="008B1FBF" w:rsidP="008B1FBF">
      <w:pPr>
        <w:spacing w:line="276" w:lineRule="auto"/>
        <w:ind w:left="720"/>
      </w:pPr>
      <w:r w:rsidRPr="006A1EC7">
        <w:rPr>
          <w:i/>
        </w:rPr>
        <w:t xml:space="preserve">I was aware of a blog that my Mum and </w:t>
      </w:r>
      <m:oMath>
        <m:d>
          <m:dPr>
            <m:begChr m:val="["/>
            <m:endChr m:val="]"/>
            <m:ctrlPr>
              <w:rPr>
                <w:rFonts w:ascii="Cambria Math" w:hAnsi="Cambria Math"/>
                <w:i/>
              </w:rPr>
            </m:ctrlPr>
          </m:dPr>
          <m:e>
            <m:r>
              <w:rPr>
                <w:rFonts w:ascii="Cambria Math" w:hAnsi="Cambria Math"/>
              </w:rPr>
              <m:t>stepfather</m:t>
            </m:r>
          </m:e>
        </m:d>
      </m:oMath>
      <w:r w:rsidRPr="006A1EC7">
        <w:rPr>
          <w:i/>
        </w:rPr>
        <w:t xml:space="preserve"> used to go on… I remember there was one girl… she was from America…and seeing pictures of her really helped because I think she was walking and, obviously the health problems were shown on there as well to give a real picture of it, um, but that was helpful.”</w:t>
      </w:r>
      <w:r w:rsidRPr="006A1EC7">
        <w:t xml:space="preserve"> (WHS11A)</w:t>
      </w:r>
    </w:p>
    <w:p w14:paraId="151A512E" w14:textId="77777777" w:rsidR="008B1FBF" w:rsidRPr="006A1EC7" w:rsidRDefault="008B1FBF" w:rsidP="008B1FBF">
      <w:pPr>
        <w:spacing w:line="276" w:lineRule="auto"/>
        <w:ind w:left="720"/>
      </w:pPr>
      <w:r w:rsidRPr="006A1EC7">
        <w:rPr>
          <w:i/>
        </w:rPr>
        <w:t xml:space="preserve">“But then I found a website called Wolfhirschhorn.org. Erm, and that was just amazing. I used to go on it like every day, and just look at all the children and think, I just really hope that that’s what happens to </w:t>
      </w:r>
      <m:oMath>
        <m:d>
          <m:dPr>
            <m:begChr m:val="["/>
            <m:endChr m:val="]"/>
            <m:ctrlPr>
              <w:rPr>
                <w:rFonts w:ascii="Cambria Math" w:hAnsi="Cambria Math"/>
                <w:i/>
              </w:rPr>
            </m:ctrlPr>
          </m:dPr>
          <m:e>
            <m:r>
              <w:rPr>
                <w:rFonts w:ascii="Cambria Math" w:hAnsi="Cambria Math"/>
              </w:rPr>
              <m:t>chil</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s name</m:t>
            </m:r>
          </m:e>
        </m:d>
      </m:oMath>
      <w:r w:rsidRPr="006A1EC7">
        <w:rPr>
          <w:i/>
        </w:rPr>
        <w:t xml:space="preserve"> I hope that’s how she is and there was a little girl called  </w:t>
      </w:r>
      <m:oMath>
        <m:d>
          <m:dPr>
            <m:begChr m:val="["/>
            <m:endChr m:val="]"/>
            <m:ctrlPr>
              <w:rPr>
                <w:rFonts w:ascii="Cambria Math" w:hAnsi="Cambria Math"/>
                <w:i/>
              </w:rPr>
            </m:ctrlPr>
          </m:dPr>
          <m:e>
            <m:r>
              <w:rPr>
                <w:rFonts w:ascii="Cambria Math" w:hAnsi="Cambria Math"/>
              </w:rPr>
              <m:t>chil</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s name</m:t>
            </m:r>
          </m:e>
        </m:d>
        <m:r>
          <w:rPr>
            <w:rFonts w:ascii="Cambria Math" w:hAnsi="Cambria Math"/>
          </w:rPr>
          <m:t xml:space="preserve"> </m:t>
        </m:r>
      </m:oMath>
      <w:r w:rsidRPr="006A1EC7">
        <w:rPr>
          <w:i/>
        </w:rPr>
        <w:t xml:space="preserve">and I remember like watching videos of her and she was doing so well, and I just thought “Oh if (child’s name) could be like that, I’d be really happy because (crying) because she’s happy, she’s loving life you know.” And I just wanted that for (child’s name). So, erm, so when I </w:t>
      </w:r>
      <w:r w:rsidRPr="006A1EC7">
        <w:rPr>
          <w:i/>
        </w:rPr>
        <w:lastRenderedPageBreak/>
        <w:t>found that website it just gave me so much hope and I was just so grateful that I had found it, that they’d put it together and erm yes, so I used to go on it all the time.”</w:t>
      </w:r>
      <w:r w:rsidRPr="006A1EC7">
        <w:t xml:space="preserve">  (WHS4B)</w:t>
      </w:r>
    </w:p>
    <w:p w14:paraId="2DA914C6" w14:textId="77777777" w:rsidR="008B1FBF" w:rsidRPr="006A1EC7" w:rsidRDefault="008B1FBF" w:rsidP="008B1FBF">
      <w:pPr>
        <w:spacing w:line="276" w:lineRule="auto"/>
        <w:ind w:firstLine="720"/>
      </w:pPr>
    </w:p>
    <w:p w14:paraId="4A8EB936" w14:textId="77777777" w:rsidR="008B1FBF" w:rsidRPr="006A1EC7" w:rsidRDefault="008B1FBF" w:rsidP="008B1FBF">
      <w:pPr>
        <w:spacing w:line="276" w:lineRule="auto"/>
      </w:pPr>
    </w:p>
    <w:p w14:paraId="606418D1" w14:textId="2B598ECF" w:rsidR="008B1FBF" w:rsidRPr="006A1EC7" w:rsidRDefault="008B1FBF" w:rsidP="008B1FBF">
      <w:pPr>
        <w:spacing w:line="360" w:lineRule="auto"/>
      </w:pPr>
      <w:r w:rsidRPr="006A1EC7">
        <w:t>However, the learning family members reported was not just in relation to knowledge and expertise on the syndrome and its causes. Participants described embarking on a “</w:t>
      </w:r>
      <w:r w:rsidRPr="006A1EC7">
        <w:rPr>
          <w:i/>
        </w:rPr>
        <w:t>learning curve</w:t>
      </w:r>
      <w:r w:rsidRPr="006A1EC7">
        <w:t xml:space="preserve">” (WHS11B) on the more practical aspects of having a relative with a disability or complex health needs (Subtheme 3.1.2). A number of participants stated that having a relative with WHS opened their eyes to a new world and how many families were affected by ill or disabled relatives. In addition to never having heard of </w:t>
      </w:r>
      <w:r w:rsidR="009F0718" w:rsidRPr="006A1EC7">
        <w:t>WHS</w:t>
      </w:r>
      <w:r w:rsidRPr="006A1EC7">
        <w:t>, many participants had had no or little contact with children or adults with disabilities. As a result, participants reported on embarking on a learning curve about practical aspects having a relative with a complex health condition and learning disability entailed.</w:t>
      </w:r>
    </w:p>
    <w:p w14:paraId="7B18FFB6" w14:textId="77777777" w:rsidR="008B1FBF" w:rsidRPr="006A1EC7" w:rsidRDefault="008B1FBF" w:rsidP="008B1FBF">
      <w:pPr>
        <w:spacing w:line="360" w:lineRule="auto"/>
        <w:ind w:firstLine="720"/>
      </w:pPr>
    </w:p>
    <w:p w14:paraId="0916D7A4" w14:textId="77777777" w:rsidR="008B1FBF" w:rsidRPr="006A1EC7" w:rsidRDefault="008B1FBF" w:rsidP="008B1FBF">
      <w:pPr>
        <w:spacing w:line="276" w:lineRule="auto"/>
        <w:ind w:left="720"/>
      </w:pPr>
      <w:r w:rsidRPr="006A1EC7">
        <w:rPr>
          <w:i/>
        </w:rPr>
        <w:t>“You never plan to have a child with a disability, so you never ever put yourself in that situation or look out for those kind of things.”</w:t>
      </w:r>
      <w:r w:rsidRPr="006A1EC7">
        <w:t xml:space="preserve"> (WHS8)</w:t>
      </w:r>
    </w:p>
    <w:p w14:paraId="4C5B5F0E" w14:textId="77777777" w:rsidR="008B1FBF" w:rsidRPr="006A1EC7" w:rsidRDefault="008B1FBF" w:rsidP="008B1FBF">
      <w:pPr>
        <w:spacing w:line="276" w:lineRule="auto"/>
        <w:ind w:left="720"/>
      </w:pPr>
      <w:r w:rsidRPr="006A1EC7">
        <w:rPr>
          <w:i/>
        </w:rPr>
        <w:t xml:space="preserve">“I don’t know, I thought…cause I don’t know much about, um, children disabilities; I know a lot more now but… I…I remember thinking…kids are either…they’ve either got down syndrome or they’re, um…they’re born disabled because of, um , I don’t know, cerebral palsy or, um, starved of oxygen at birth or something…I just thought…I didn’t realize there were so many syndromes and so many things that can go wrong with so many different types of disabilities. Um, so it’s been a massive learning curve for us.” </w:t>
      </w:r>
      <w:r w:rsidRPr="006A1EC7">
        <w:t>(WHS11B)</w:t>
      </w:r>
    </w:p>
    <w:p w14:paraId="685A89EE" w14:textId="77777777" w:rsidR="008B1FBF" w:rsidRPr="006A1EC7" w:rsidRDefault="008B1FBF" w:rsidP="008B1FBF">
      <w:pPr>
        <w:spacing w:line="276" w:lineRule="auto"/>
        <w:ind w:left="720"/>
      </w:pPr>
      <w:r w:rsidRPr="006A1EC7">
        <w:rPr>
          <w:i/>
        </w:rPr>
        <w:t>“Um, it’s, it’s really for my part just eye opening because I’d never really come into contact with any disability before that.”</w:t>
      </w:r>
      <w:r w:rsidRPr="006A1EC7">
        <w:t xml:space="preserve"> (WHS11A)</w:t>
      </w:r>
    </w:p>
    <w:p w14:paraId="746A543D" w14:textId="77777777" w:rsidR="008B1FBF" w:rsidRPr="006A1EC7" w:rsidRDefault="008B1FBF" w:rsidP="008B1FBF">
      <w:pPr>
        <w:spacing w:line="276" w:lineRule="auto"/>
        <w:ind w:left="720"/>
      </w:pPr>
      <w:r w:rsidRPr="006A1EC7">
        <w:rPr>
          <w:i/>
        </w:rPr>
        <w:t>“I was giving him toys, and giving him different things erm and he wasn’t doing anything, I didn’t really know what toys to give - to be using with him, what sort of things I should be doing with him.”</w:t>
      </w:r>
      <w:r w:rsidRPr="006A1EC7">
        <w:t xml:space="preserve"> (WHS5)</w:t>
      </w:r>
    </w:p>
    <w:p w14:paraId="2E2E8DC4" w14:textId="77777777" w:rsidR="008B1FBF" w:rsidRPr="006A1EC7" w:rsidRDefault="008B1FBF" w:rsidP="008B1FBF">
      <w:pPr>
        <w:spacing w:line="360" w:lineRule="auto"/>
      </w:pPr>
    </w:p>
    <w:p w14:paraId="4B01575E" w14:textId="16501188" w:rsidR="008B1FBF" w:rsidRPr="006A1EC7" w:rsidRDefault="008B1FBF" w:rsidP="008B1FBF">
      <w:pPr>
        <w:spacing w:line="360" w:lineRule="auto"/>
      </w:pPr>
      <w:r w:rsidRPr="006A1EC7">
        <w:t xml:space="preserve">Family members reported that, as a result of learning more about </w:t>
      </w:r>
      <w:r w:rsidR="009F0718" w:rsidRPr="006A1EC7">
        <w:t>WHS</w:t>
      </w:r>
      <w:r w:rsidRPr="006A1EC7">
        <w:t xml:space="preserve"> and having increased contact with other patients with WHS or other developmental disabilities, they became aware of the differences found in terms of severity, character and medical problems – both within the Wolf-Hirschhorn patient population but also within the patients with learning disabilities. </w:t>
      </w:r>
      <w:r w:rsidRPr="006A1EC7">
        <w:br/>
      </w:r>
    </w:p>
    <w:p w14:paraId="0D818FB6" w14:textId="77777777" w:rsidR="008B1FBF" w:rsidRPr="006A1EC7" w:rsidRDefault="008B1FBF" w:rsidP="008B1FBF">
      <w:pPr>
        <w:spacing w:line="276" w:lineRule="auto"/>
        <w:ind w:left="720"/>
      </w:pPr>
      <w:r w:rsidRPr="006A1EC7">
        <w:t>“</w:t>
      </w:r>
      <w:r w:rsidRPr="006A1EC7">
        <w:rPr>
          <w:i/>
        </w:rPr>
        <w:t>they’re all different, they’re all different and they all have their own identity… because there’s so many different parts of it and some are a lot worse than others”</w:t>
      </w:r>
      <w:r w:rsidRPr="006A1EC7">
        <w:t xml:space="preserve"> (WHS2A)</w:t>
      </w:r>
    </w:p>
    <w:p w14:paraId="3E72F56F" w14:textId="77777777" w:rsidR="008B1FBF" w:rsidRPr="006A1EC7" w:rsidRDefault="008B1FBF" w:rsidP="008B1FBF">
      <w:pPr>
        <w:spacing w:line="276" w:lineRule="auto"/>
        <w:ind w:left="720"/>
      </w:pPr>
      <w:r w:rsidRPr="006A1EC7">
        <w:rPr>
          <w:i/>
        </w:rPr>
        <w:lastRenderedPageBreak/>
        <w:t>“… that that’s the sort of thing that would be important…would be for everybody to be aware that they’re all different.”</w:t>
      </w:r>
      <w:r w:rsidRPr="006A1EC7">
        <w:t xml:space="preserve"> (WHS3B)</w:t>
      </w:r>
    </w:p>
    <w:p w14:paraId="5B3E85A1" w14:textId="77777777" w:rsidR="008B1FBF" w:rsidRPr="006A1EC7" w:rsidRDefault="008B1FBF" w:rsidP="008B1FBF">
      <w:pPr>
        <w:spacing w:line="360" w:lineRule="auto"/>
      </w:pPr>
      <w:r w:rsidRPr="006A1EC7">
        <w:t>Discourse around the impact of realisation on parents was split: while one father, whose daughter had a relatively small deletion size and less severe clinical manifestation of WHS, reported he felt as though he had ‘dodged a bullet’ (WHS11C) with his daughter being less severely affected (WHS11C), one mother explained that she found the fact that her children were at the ‘</w:t>
      </w:r>
      <w:r w:rsidRPr="006A1EC7">
        <w:rPr>
          <w:i/>
        </w:rPr>
        <w:t>bottom end of the scale’</w:t>
      </w:r>
      <w:r w:rsidRPr="006A1EC7">
        <w:t xml:space="preserve"> (WHS9) as distressing due to her children not being as able as other children who also had WHS. </w:t>
      </w:r>
    </w:p>
    <w:p w14:paraId="08995752" w14:textId="77777777" w:rsidR="008B1FBF" w:rsidRPr="006A1EC7" w:rsidRDefault="008B1FBF" w:rsidP="008B1FBF">
      <w:pPr>
        <w:spacing w:line="360" w:lineRule="auto"/>
      </w:pPr>
    </w:p>
    <w:p w14:paraId="7DB7927E" w14:textId="77777777" w:rsidR="008B1FBF" w:rsidRPr="006A1EC7" w:rsidRDefault="008B1FBF" w:rsidP="008B1FBF">
      <w:pPr>
        <w:spacing w:line="276" w:lineRule="auto"/>
        <w:ind w:left="720"/>
      </w:pPr>
      <w:r w:rsidRPr="006A1EC7">
        <w:t>“</w:t>
      </w:r>
      <w:r w:rsidRPr="006A1EC7">
        <w:rPr>
          <w:i/>
          <w:iCs/>
        </w:rPr>
        <w:t>Well I think my two children are of the bottom end of the scale really, because I did go to WHS group, um, when (girls name) was first born and I found it really distressing because there was other children there that, um, could walk and talk, um, even make a cup of tea…whereas, um, the two children I had were very severely disabled.”</w:t>
      </w:r>
      <w:r w:rsidRPr="006A1EC7">
        <w:t xml:space="preserve"> (WHS9)</w:t>
      </w:r>
    </w:p>
    <w:p w14:paraId="067BE456" w14:textId="77777777" w:rsidR="008B1FBF" w:rsidRPr="006A1EC7" w:rsidRDefault="008B1FBF" w:rsidP="008B1FBF">
      <w:pPr>
        <w:spacing w:line="360" w:lineRule="auto"/>
      </w:pPr>
    </w:p>
    <w:p w14:paraId="59F374C2" w14:textId="77777777"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3.2: Acceptance and coping</w:t>
      </w:r>
    </w:p>
    <w:p w14:paraId="6BD3152F" w14:textId="77777777" w:rsidR="008B1FBF" w:rsidRPr="006A1EC7" w:rsidRDefault="008B1FBF" w:rsidP="008B1FBF">
      <w:pPr>
        <w:spacing w:line="360" w:lineRule="auto"/>
        <w:ind w:firstLine="720"/>
      </w:pPr>
      <w:r w:rsidRPr="006A1EC7">
        <w:t xml:space="preserve">Discourse around severity and the emotions attached to having a disabled child or relative link with the next subtheme, Acceptance and Coping (Subtheme 3.2). Acceptance and coping were key concepts in the narratives found in the interviews. </w:t>
      </w:r>
    </w:p>
    <w:p w14:paraId="1BE09CB2" w14:textId="77777777" w:rsidR="008B1FBF" w:rsidRPr="006A1EC7" w:rsidRDefault="008B1FBF" w:rsidP="008B1FBF">
      <w:pPr>
        <w:spacing w:line="360" w:lineRule="auto"/>
      </w:pPr>
      <w:r w:rsidRPr="006A1EC7">
        <w:t>Family members described embarking on a journey towards acceptance that their child or relative was different. In the initial time period around diagnosis, the majority of participants reported struggling with having a relative who looked ‘different’ or not ‘normal’. Some describe having experienced social isolation as a result of their relatives’ diagnoses, not wanting to see other parents with their children and keeping to the ‘safety’ of their houses.</w:t>
      </w:r>
    </w:p>
    <w:p w14:paraId="12E80C71" w14:textId="77777777" w:rsidR="008B1FBF" w:rsidRPr="006A1EC7" w:rsidRDefault="008B1FBF" w:rsidP="008B1FBF">
      <w:pPr>
        <w:spacing w:line="276" w:lineRule="auto"/>
        <w:ind w:left="720" w:firstLine="720"/>
      </w:pPr>
    </w:p>
    <w:p w14:paraId="6B32123B" w14:textId="77777777" w:rsidR="008B1FBF" w:rsidRPr="006A1EC7" w:rsidRDefault="008B1FBF" w:rsidP="008B1FBF">
      <w:pPr>
        <w:spacing w:line="276" w:lineRule="auto"/>
        <w:ind w:left="720"/>
        <w:rPr>
          <w:i/>
        </w:rPr>
      </w:pPr>
      <w:r w:rsidRPr="006A1EC7">
        <w:rPr>
          <w:i/>
        </w:rPr>
        <w:t>“In the beginning … I kind of just… shut away really, didn’t really want to speak to other parents and we found it quite hard to… I think you just feel safe at home don’t you really, just want… so, you know, we just sort of stayed here a lot really and didn’t really want to talk much to the outside world I think.”</w:t>
      </w:r>
      <w:r w:rsidRPr="006A1EC7">
        <w:t xml:space="preserve"> (WHS11B).</w:t>
      </w:r>
    </w:p>
    <w:p w14:paraId="7AF250B3" w14:textId="77777777" w:rsidR="008B1FBF" w:rsidRPr="006A1EC7" w:rsidRDefault="008B1FBF" w:rsidP="008B1FBF">
      <w:pPr>
        <w:spacing w:line="360" w:lineRule="auto"/>
        <w:rPr>
          <w:i/>
        </w:rPr>
      </w:pPr>
    </w:p>
    <w:p w14:paraId="3D0ED931" w14:textId="77777777" w:rsidR="008B1FBF" w:rsidRPr="006A1EC7" w:rsidRDefault="008B1FBF" w:rsidP="008B1FBF">
      <w:pPr>
        <w:spacing w:line="360" w:lineRule="auto"/>
      </w:pPr>
      <w:r w:rsidRPr="006A1EC7">
        <w:t>In contrast, one mother explained that, at the time of her daughter’s diagnosis, she couldn’t see what, perhaps, other people could see: that her daughter looked different from other children due to her chromosomal abnormality.</w:t>
      </w:r>
    </w:p>
    <w:p w14:paraId="7DAEF182" w14:textId="1B4867AB" w:rsidR="008B1FBF" w:rsidRPr="006A1EC7" w:rsidRDefault="008B1FBF" w:rsidP="008B1FBF">
      <w:pPr>
        <w:spacing w:line="360" w:lineRule="auto"/>
      </w:pPr>
      <w:r w:rsidRPr="006A1EC7">
        <w:t xml:space="preserve">Visible differences, such as not looking like a sibling, or simply looking obviously ‘different’ were perceived as difficult to cope with, and as having a big emotional impact. Participants reported instances where they felt upset by the fact that their (grand-) child was different </w:t>
      </w:r>
      <w:r w:rsidRPr="006A1EC7">
        <w:lastRenderedPageBreak/>
        <w:t>from others and had difficulties coping with looks and comments from strangers, especially in public places. Instances, such as standing out in places like a playgroup or people staring at their relative’s feeding tube, however, were described as continual reminders that their relatives had ‘special needs’.</w:t>
      </w:r>
    </w:p>
    <w:p w14:paraId="3B73F7B8" w14:textId="77777777" w:rsidR="008B1FBF" w:rsidRPr="006A1EC7" w:rsidRDefault="008B1FBF" w:rsidP="008B1FBF">
      <w:pPr>
        <w:spacing w:line="276" w:lineRule="auto"/>
      </w:pPr>
    </w:p>
    <w:p w14:paraId="6AF33278" w14:textId="77777777" w:rsidR="008B1FBF" w:rsidRPr="006A1EC7" w:rsidRDefault="008B1FBF" w:rsidP="008B1FBF">
      <w:pPr>
        <w:spacing w:line="276" w:lineRule="auto"/>
        <w:ind w:left="720"/>
      </w:pPr>
      <w:r w:rsidRPr="006A1EC7">
        <w:t>“</w:t>
      </w:r>
      <w:r w:rsidRPr="006A1EC7">
        <w:rPr>
          <w:i/>
        </w:rPr>
        <w:t>Every time we’d took her out, and like someone would look at her, I’d get home and I’d cry. And like, I didn’t know how to handle it in the beginning because people would be saying ‘why is she so small?’ and they’d stare at her and I didn’t feel ready to say, ‘oh she’s got a chromosome disorder’ or so, I kind of just, sometimes I’d lie and I’d say, ‘oh she’s only like three weeks old’ … that would explain why she’s so small, or … I’d… push the pram really quickly, so they didn’t get a chance to ask me anything.”</w:t>
      </w:r>
      <w:r w:rsidRPr="006A1EC7">
        <w:t xml:space="preserve"> (WHS4B)</w:t>
      </w:r>
    </w:p>
    <w:p w14:paraId="0EE423A0" w14:textId="77777777" w:rsidR="008B1FBF" w:rsidRPr="006A1EC7" w:rsidRDefault="008B1FBF" w:rsidP="008B1FBF">
      <w:pPr>
        <w:spacing w:line="276" w:lineRule="auto"/>
        <w:ind w:left="720"/>
      </w:pPr>
      <w:r w:rsidRPr="006A1EC7">
        <w:rPr>
          <w:i/>
        </w:rPr>
        <w:t>“people literally would come up to me in the supermarket and go ‘oh, what’s wrong with him?’…  I had no idea people were that…that direct!”</w:t>
      </w:r>
      <w:r w:rsidRPr="006A1EC7">
        <w:t xml:space="preserve"> (WHS5)</w:t>
      </w:r>
    </w:p>
    <w:p w14:paraId="613778AE" w14:textId="77777777" w:rsidR="008B1FBF" w:rsidRPr="006A1EC7" w:rsidRDefault="008B1FBF" w:rsidP="008B1FBF">
      <w:pPr>
        <w:spacing w:line="276" w:lineRule="auto"/>
      </w:pPr>
    </w:p>
    <w:p w14:paraId="281D96F6" w14:textId="77777777" w:rsidR="008B1FBF" w:rsidRPr="006A1EC7" w:rsidRDefault="008B1FBF" w:rsidP="008B1FBF">
      <w:pPr>
        <w:spacing w:line="360" w:lineRule="auto"/>
      </w:pPr>
      <w:r w:rsidRPr="006A1EC7">
        <w:t xml:space="preserve">However, participants reported that their acceptance of their relatives’ diagnoses became easier over time. Grieving, upset and personal growth were key aspects for participants on their journey towards acceptance. </w:t>
      </w:r>
    </w:p>
    <w:p w14:paraId="1235167D" w14:textId="77777777" w:rsidR="008B1FBF" w:rsidRPr="006A1EC7" w:rsidRDefault="008B1FBF" w:rsidP="008B1FBF">
      <w:pPr>
        <w:spacing w:line="276" w:lineRule="auto"/>
        <w:ind w:left="720"/>
      </w:pPr>
    </w:p>
    <w:p w14:paraId="19AC78F4" w14:textId="77777777" w:rsidR="008B1FBF" w:rsidRPr="006A1EC7" w:rsidRDefault="008B1FBF" w:rsidP="008B1FBF">
      <w:pPr>
        <w:spacing w:line="276" w:lineRule="auto"/>
        <w:ind w:left="720"/>
      </w:pPr>
      <w:r w:rsidRPr="006A1EC7">
        <w:rPr>
          <w:i/>
        </w:rPr>
        <w:t>“Because you grow to- you know love the child and accept them for who they are and even the things that sound really bad in the beginning, turn out to not be so bad.”</w:t>
      </w:r>
      <w:r w:rsidRPr="006A1EC7">
        <w:t xml:space="preserve"> (WHS4B)</w:t>
      </w:r>
    </w:p>
    <w:p w14:paraId="08A8DD52" w14:textId="77777777" w:rsidR="008B1FBF" w:rsidRPr="006A1EC7" w:rsidRDefault="008B1FBF" w:rsidP="008B1FBF">
      <w:pPr>
        <w:spacing w:line="276" w:lineRule="auto"/>
        <w:ind w:left="720"/>
        <w:rPr>
          <w:i/>
        </w:rPr>
      </w:pPr>
      <w:r w:rsidRPr="006A1EC7">
        <w:t>“</w:t>
      </w:r>
      <w:r w:rsidRPr="006A1EC7">
        <w:rPr>
          <w:i/>
        </w:rPr>
        <w:t>You do grieve for the child that you planned, and wanted and hoped for but actually - you soon learn that he child that you’ve been given is way more than the child that you first thought you wanted… It is a different journey but it’s a special journey and you can’t begin to comprehend it until you’ve experienced it…” (WHS8)</w:t>
      </w:r>
    </w:p>
    <w:p w14:paraId="513F3A80" w14:textId="77777777" w:rsidR="008B1FBF" w:rsidRPr="006A1EC7" w:rsidRDefault="008B1FBF" w:rsidP="008B1FBF">
      <w:pPr>
        <w:spacing w:line="276" w:lineRule="auto"/>
      </w:pPr>
    </w:p>
    <w:p w14:paraId="01B424AF" w14:textId="77777777" w:rsidR="008B1FBF" w:rsidRPr="006A1EC7" w:rsidRDefault="008B1FBF" w:rsidP="008B1FBF">
      <w:pPr>
        <w:spacing w:line="360" w:lineRule="auto"/>
      </w:pPr>
      <w:r w:rsidRPr="006A1EC7">
        <w:t>Although not directly asked in the interviews, participants were keen to share how they coped with having a relative with WHS and how they have adapted their lives around their relative/s (Subtheme3.2.2). Narratives, such as ‘</w:t>
      </w:r>
      <w:r w:rsidRPr="006A1EC7">
        <w:rPr>
          <w:i/>
        </w:rPr>
        <w:t>taking one day at a time’</w:t>
      </w:r>
      <w:r w:rsidRPr="006A1EC7">
        <w:t xml:space="preserve"> (WHS3C, WHS11A), ‘</w:t>
      </w:r>
      <w:r w:rsidRPr="006A1EC7">
        <w:rPr>
          <w:i/>
        </w:rPr>
        <w:t>trying not to worry too much’</w:t>
      </w:r>
      <w:r w:rsidRPr="006A1EC7">
        <w:t xml:space="preserve"> (WHS11A), focusing on ‘</w:t>
      </w:r>
      <w:r w:rsidRPr="006A1EC7">
        <w:rPr>
          <w:i/>
        </w:rPr>
        <w:t>the positives’</w:t>
      </w:r>
      <w:r w:rsidRPr="006A1EC7">
        <w:t xml:space="preserve"> (WHS3A) and ‘</w:t>
      </w:r>
      <w:r w:rsidRPr="006A1EC7">
        <w:rPr>
          <w:i/>
        </w:rPr>
        <w:t>the joy their relatives</w:t>
      </w:r>
      <w:r w:rsidRPr="006A1EC7">
        <w:t xml:space="preserve"> bring’ (WHS5) were prevalent.</w:t>
      </w:r>
    </w:p>
    <w:p w14:paraId="76EFFB6D" w14:textId="77777777" w:rsidR="008B1FBF" w:rsidRPr="006A1EC7" w:rsidRDefault="008B1FBF" w:rsidP="008B1FBF">
      <w:pPr>
        <w:spacing w:line="276" w:lineRule="auto"/>
        <w:rPr>
          <w:highlight w:val="green"/>
        </w:rPr>
      </w:pPr>
    </w:p>
    <w:p w14:paraId="6F8D8B18" w14:textId="77777777" w:rsidR="008B1FBF" w:rsidRPr="006A1EC7" w:rsidRDefault="008B1FBF" w:rsidP="008B1FBF">
      <w:pPr>
        <w:spacing w:line="276" w:lineRule="auto"/>
        <w:ind w:left="720"/>
      </w:pPr>
      <w:r w:rsidRPr="006A1EC7">
        <w:rPr>
          <w:i/>
        </w:rPr>
        <w:t>“… just take each day as it comes and just praise the good things that are happening rather than just focusing on the bad things that are happening.”</w:t>
      </w:r>
      <w:r w:rsidRPr="006A1EC7">
        <w:t xml:space="preserve"> (WHS11A)</w:t>
      </w:r>
    </w:p>
    <w:p w14:paraId="241E0A49" w14:textId="77777777" w:rsidR="008B1FBF" w:rsidRPr="006A1EC7" w:rsidRDefault="008B1FBF" w:rsidP="008B1FBF">
      <w:pPr>
        <w:spacing w:line="276" w:lineRule="auto"/>
      </w:pPr>
    </w:p>
    <w:p w14:paraId="2F7D6205" w14:textId="77777777" w:rsidR="008B1FBF" w:rsidRPr="006A1EC7" w:rsidRDefault="008B1FBF" w:rsidP="008B1FBF">
      <w:pPr>
        <w:spacing w:line="360" w:lineRule="auto"/>
      </w:pPr>
      <w:r w:rsidRPr="006A1EC7">
        <w:t>One mother (WHS1), whose son with WHS was a dizygotic twin, reported that her coping strategy is trying to “</w:t>
      </w:r>
      <w:r w:rsidRPr="006A1EC7">
        <w:rPr>
          <w:i/>
        </w:rPr>
        <w:t>detach</w:t>
      </w:r>
      <w:r w:rsidRPr="006A1EC7">
        <w:t>” herself from the fact that her two sons are twins and “</w:t>
      </w:r>
      <w:r w:rsidRPr="006A1EC7">
        <w:rPr>
          <w:i/>
        </w:rPr>
        <w:t xml:space="preserve">supposed to be together at school… supposed to be doing things together but </w:t>
      </w:r>
      <m:oMath>
        <m:d>
          <m:dPr>
            <m:begChr m:val="["/>
            <m:endChr m:val="]"/>
            <m:ctrlPr>
              <w:rPr>
                <w:rFonts w:ascii="Cambria Math" w:hAnsi="Cambria Math"/>
                <w:i/>
              </w:rPr>
            </m:ctrlPr>
          </m:dPr>
          <m:e>
            <m:r>
              <w:rPr>
                <w:rFonts w:ascii="Cambria Math" w:hAnsi="Cambria Math"/>
              </w:rPr>
              <m:t>are</m:t>
            </m:r>
          </m:e>
        </m:d>
      </m:oMath>
      <w:r w:rsidRPr="006A1EC7">
        <w:rPr>
          <w:i/>
        </w:rPr>
        <w:t xml:space="preserve"> not.” </w:t>
      </w:r>
      <w:r w:rsidRPr="006A1EC7">
        <w:t xml:space="preserve">She reported </w:t>
      </w:r>
      <w:r w:rsidRPr="006A1EC7">
        <w:lastRenderedPageBreak/>
        <w:t>having to detach herself, in order to cope better with her situation.  Another mother (WHS5) explains that her coping strategy is to be continually hopeful that her son will learn a new skill and has a happy life.</w:t>
      </w:r>
      <w:r w:rsidRPr="006A1EC7">
        <w:br/>
      </w:r>
    </w:p>
    <w:p w14:paraId="782628F0" w14:textId="77777777" w:rsidR="008B1FBF" w:rsidRPr="006A1EC7" w:rsidRDefault="008B1FBF" w:rsidP="008B1FBF">
      <w:pPr>
        <w:spacing w:line="276" w:lineRule="auto"/>
        <w:ind w:left="720"/>
      </w:pPr>
      <w:r w:rsidRPr="006A1EC7">
        <w:rPr>
          <w:i/>
        </w:rPr>
        <w:t>“Our hope is what gets us through the next day when we’re exhausted and we’ve been frightened, and it’s hard work, and it’s boring…you know, and we’ve got this constant threat of… mortality at any time … and yes we’ve got learning difficulties, and yes we’ve got global developmental delay but even hopefully while you’ve been here today you’ve seen a very happy boy, that’s very interested, he can occupy himself, …he’s not got challenging behaviour.”</w:t>
      </w:r>
      <w:r w:rsidRPr="006A1EC7">
        <w:t xml:space="preserve"> (WHS5)</w:t>
      </w:r>
    </w:p>
    <w:p w14:paraId="6AFD7832" w14:textId="77777777" w:rsidR="008B1FBF" w:rsidRPr="006A1EC7" w:rsidRDefault="008B1FBF" w:rsidP="008B1FBF">
      <w:pPr>
        <w:spacing w:line="276" w:lineRule="auto"/>
      </w:pPr>
    </w:p>
    <w:p w14:paraId="18F8FD7E" w14:textId="77777777" w:rsidR="008B1FBF" w:rsidRPr="006A1EC7" w:rsidRDefault="008B1FBF" w:rsidP="008B1FBF">
      <w:pPr>
        <w:spacing w:line="360" w:lineRule="auto"/>
      </w:pPr>
      <w:r w:rsidRPr="006A1EC7">
        <w:t>The majority of participants described that, in order to cope with having a relative with WHS, their routines were fitted around the affected relative’s need and that this was essential to managing day-to-day life in their circumstances. However, within the sample, not all participants shared this belief: WHS6A, for example, described that her family’s way of coping was to keep family life as ‘normal’ as possible as their way of coping.</w:t>
      </w:r>
    </w:p>
    <w:p w14:paraId="232190D5" w14:textId="77777777" w:rsidR="008B1FBF" w:rsidRPr="006A1EC7" w:rsidRDefault="008B1FBF" w:rsidP="008B1FBF">
      <w:pPr>
        <w:spacing w:line="276" w:lineRule="auto"/>
        <w:ind w:left="720"/>
      </w:pPr>
    </w:p>
    <w:p w14:paraId="59BE0ED9" w14:textId="77777777" w:rsidR="008B1FBF" w:rsidRPr="006A1EC7" w:rsidRDefault="008B1FBF" w:rsidP="008B1FBF">
      <w:pPr>
        <w:spacing w:line="276" w:lineRule="auto"/>
        <w:ind w:left="720"/>
      </w:pPr>
      <w:r w:rsidRPr="006A1EC7">
        <w:rPr>
          <w:i/>
        </w:rPr>
        <w:t>“You don’t really think anything of it, everything that you do is just because that’s what she needs”</w:t>
      </w:r>
      <w:r w:rsidRPr="006A1EC7">
        <w:t xml:space="preserve"> (WHS11B)</w:t>
      </w:r>
    </w:p>
    <w:p w14:paraId="6B4C8202" w14:textId="77777777" w:rsidR="008B1FBF" w:rsidRPr="006A1EC7" w:rsidRDefault="008B1FBF" w:rsidP="008B1FBF">
      <w:pPr>
        <w:spacing w:line="276" w:lineRule="auto"/>
        <w:ind w:left="720"/>
      </w:pPr>
      <w:r w:rsidRPr="006A1EC7">
        <w:t>“</w:t>
      </w:r>
      <w:r w:rsidRPr="006A1EC7">
        <w:rPr>
          <w:i/>
        </w:rPr>
        <w:t>We tried to keep life as normal as possible and we are a family, with an abnormal son, and not an abnormal family.”</w:t>
      </w:r>
      <w:r w:rsidRPr="006A1EC7">
        <w:t xml:space="preserve"> (WHS6A)</w:t>
      </w:r>
    </w:p>
    <w:p w14:paraId="71246522" w14:textId="77777777" w:rsidR="008B1FBF" w:rsidRPr="006A1EC7" w:rsidRDefault="008B1FBF" w:rsidP="008B1FBF">
      <w:pPr>
        <w:spacing w:line="276" w:lineRule="auto"/>
        <w:ind w:left="720"/>
      </w:pPr>
    </w:p>
    <w:p w14:paraId="1C48C476" w14:textId="77777777" w:rsidR="008B1FBF" w:rsidRPr="006A1EC7" w:rsidRDefault="008B1FBF" w:rsidP="008B1FBF">
      <w:pPr>
        <w:spacing w:line="360" w:lineRule="auto"/>
      </w:pPr>
    </w:p>
    <w:p w14:paraId="2EA5A721" w14:textId="77777777"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3.3: Physical adapation</w:t>
      </w:r>
    </w:p>
    <w:p w14:paraId="240962AC" w14:textId="77777777" w:rsidR="008B1FBF" w:rsidRPr="006A1EC7" w:rsidRDefault="008B1FBF" w:rsidP="008B1FBF">
      <w:pPr>
        <w:spacing w:line="360" w:lineRule="auto"/>
        <w:ind w:firstLine="720"/>
      </w:pPr>
      <w:r w:rsidRPr="006A1EC7">
        <w:t>In addition to cognitive and emotional adaptation, family members also described undertaking physical adaptations of both existing spaces (Subtheme 3.3.1) and relocation and property purchases (Subtheme 3.3.2.)</w:t>
      </w:r>
    </w:p>
    <w:p w14:paraId="171B377B" w14:textId="77777777" w:rsidR="008B1FBF" w:rsidRPr="006A1EC7" w:rsidRDefault="008B1FBF" w:rsidP="008B1FBF">
      <w:pPr>
        <w:spacing w:line="276" w:lineRule="auto"/>
      </w:pPr>
    </w:p>
    <w:p w14:paraId="0A2C18BE" w14:textId="77777777" w:rsidR="008B1FBF" w:rsidRPr="006A1EC7" w:rsidRDefault="008B1FBF" w:rsidP="008B1FBF">
      <w:pPr>
        <w:spacing w:line="276" w:lineRule="auto"/>
        <w:ind w:firstLine="720"/>
      </w:pPr>
      <w:r w:rsidRPr="006A1EC7">
        <w:rPr>
          <w:i/>
        </w:rPr>
        <w:t>“We have lots of…adapted…things”</w:t>
      </w:r>
      <w:r w:rsidRPr="006A1EC7">
        <w:t xml:space="preserve"> (WHS5)</w:t>
      </w:r>
    </w:p>
    <w:p w14:paraId="58BDE732" w14:textId="77777777" w:rsidR="008B1FBF" w:rsidRPr="006A1EC7" w:rsidRDefault="008B1FBF" w:rsidP="008B1FBF">
      <w:pPr>
        <w:spacing w:line="276" w:lineRule="auto"/>
        <w:ind w:firstLine="720"/>
      </w:pPr>
    </w:p>
    <w:p w14:paraId="085B4F85" w14:textId="77777777" w:rsidR="008B1FBF" w:rsidRPr="006A1EC7" w:rsidRDefault="008B1FBF" w:rsidP="008B1FBF">
      <w:pPr>
        <w:spacing w:line="360" w:lineRule="auto"/>
      </w:pPr>
      <w:r w:rsidRPr="006A1EC7">
        <w:t xml:space="preserve">The ways living spaces were adapted included minimal house décor, having a room for a live-in carer, fitting stair and bath lifts, hoists or having a downstairs extension built with wet room and bedroom. Beyond the immediate living space, this also included having mirrors fitted to cars, to be able to monitor for potential seizure activity while driving or purchasing a car that can transport the wheelchair as well as passengers. </w:t>
      </w:r>
    </w:p>
    <w:p w14:paraId="32065970" w14:textId="77777777" w:rsidR="008B1FBF" w:rsidRPr="006A1EC7" w:rsidRDefault="008B1FBF" w:rsidP="008B1FBF">
      <w:pPr>
        <w:spacing w:line="276" w:lineRule="auto"/>
      </w:pPr>
    </w:p>
    <w:p w14:paraId="38A1F967" w14:textId="77777777" w:rsidR="008B1FBF" w:rsidRPr="006A1EC7" w:rsidRDefault="008B1FBF" w:rsidP="008B1FBF">
      <w:pPr>
        <w:spacing w:line="276" w:lineRule="auto"/>
        <w:ind w:left="720"/>
      </w:pPr>
      <w:r w:rsidRPr="006A1EC7">
        <w:rPr>
          <w:i/>
        </w:rPr>
        <w:t xml:space="preserve">“you know, my house is quite minimal, you know what I mean, permanently because of </w:t>
      </w:r>
      <m:oMath>
        <m:d>
          <m:dPr>
            <m:begChr m:val="["/>
            <m:endChr m:val="]"/>
            <m:ctrlPr>
              <w:rPr>
                <w:rFonts w:ascii="Cambria Math" w:hAnsi="Cambria Math"/>
                <w:i/>
              </w:rPr>
            </m:ctrlPr>
          </m:dPr>
          <m:e>
            <m:r>
              <w:rPr>
                <w:rFonts w:ascii="Cambria Math" w:hAnsi="Cambria Math"/>
              </w:rPr>
              <m:t>affected child</m:t>
            </m:r>
          </m:e>
        </m:d>
        <m:r>
          <w:rPr>
            <w:rFonts w:ascii="Cambria Math" w:hAnsi="Cambria Math"/>
          </w:rPr>
          <m:t xml:space="preserve">. </m:t>
        </m:r>
      </m:oMath>
      <w:r w:rsidRPr="006A1EC7">
        <w:rPr>
          <w:i/>
        </w:rPr>
        <w:t xml:space="preserve">Erm, and then obviously it’s got full walk through, I've had all </w:t>
      </w:r>
      <w:r w:rsidRPr="006A1EC7">
        <w:rPr>
          <w:i/>
        </w:rPr>
        <w:lastRenderedPageBreak/>
        <w:t xml:space="preserve">the flooring put in, so it’s a full walk through for </w:t>
      </w:r>
      <m:oMath>
        <m:d>
          <m:dPr>
            <m:begChr m:val="["/>
            <m:endChr m:val="]"/>
            <m:ctrlPr>
              <w:rPr>
                <w:rFonts w:ascii="Cambria Math" w:hAnsi="Cambria Math"/>
                <w:i/>
              </w:rPr>
            </m:ctrlPr>
          </m:dPr>
          <m:e>
            <m:r>
              <w:rPr>
                <w:rFonts w:ascii="Cambria Math" w:hAnsi="Cambria Math"/>
              </w:rPr>
              <m:t>affected child</m:t>
            </m:r>
          </m:e>
        </m:d>
      </m:oMath>
      <w:r w:rsidRPr="006A1EC7">
        <w:rPr>
          <w:i/>
        </w:rPr>
        <w:t xml:space="preserve"> and it’s straight out to the decking in the garden, so it’s all safe...”</w:t>
      </w:r>
      <w:r w:rsidRPr="006A1EC7">
        <w:t xml:space="preserve"> (WHS1)</w:t>
      </w:r>
    </w:p>
    <w:p w14:paraId="38E9A47B" w14:textId="77777777" w:rsidR="008B1FBF" w:rsidRPr="006A1EC7" w:rsidRDefault="008B1FBF" w:rsidP="008B1FBF">
      <w:pPr>
        <w:spacing w:line="276" w:lineRule="auto"/>
      </w:pPr>
    </w:p>
    <w:p w14:paraId="7657E822" w14:textId="43BDD9F2" w:rsidR="008B1FBF" w:rsidRPr="006A1EC7" w:rsidRDefault="008B1FBF" w:rsidP="008B1FBF">
      <w:pPr>
        <w:spacing w:line="360" w:lineRule="auto"/>
      </w:pPr>
      <w:r w:rsidRPr="006A1EC7">
        <w:t>When physical adaptation of spaces was not possible, and circumstances allowed, some participants described moving house or relocating (Subtheme 3.3.2) in order to accommodate their relative’ needs better; these needs included open-plan living to allow crawling (and thus enable mobility), moving to a house with a bigger, more secluded and private garden to allow for more space and privacy. Furthermore, one family reported having bought an apartment in Portugal where the family travelled to every January to avoid her affected sister with WHS getting infections and strengthen her immunity.</w:t>
      </w:r>
    </w:p>
    <w:p w14:paraId="25715E4F" w14:textId="77777777" w:rsidR="008B1FBF" w:rsidRPr="006A1EC7" w:rsidRDefault="008B1FBF" w:rsidP="008B1FBF">
      <w:pPr>
        <w:spacing w:line="276" w:lineRule="auto"/>
      </w:pPr>
    </w:p>
    <w:p w14:paraId="093BBD37" w14:textId="77777777" w:rsidR="008B1FBF" w:rsidRPr="006A1EC7" w:rsidRDefault="008B1FBF" w:rsidP="008B1FBF">
      <w:pPr>
        <w:spacing w:line="276" w:lineRule="auto"/>
        <w:ind w:left="720"/>
      </w:pPr>
      <w:r w:rsidRPr="006A1EC7">
        <w:rPr>
          <w:i/>
        </w:rPr>
        <w:t>“It's one of the reasons why we moved to a house that's more open-planned so he is able to get around.”</w:t>
      </w:r>
      <w:r w:rsidRPr="006A1EC7">
        <w:t xml:space="preserve"> (WHS3C)</w:t>
      </w:r>
    </w:p>
    <w:p w14:paraId="53D6A984" w14:textId="77777777" w:rsidR="008B1FBF" w:rsidRPr="006A1EC7" w:rsidRDefault="008B1FBF" w:rsidP="008B1FBF">
      <w:pPr>
        <w:spacing w:line="276" w:lineRule="auto"/>
        <w:ind w:left="720"/>
      </w:pPr>
      <w:r w:rsidRPr="006A1EC7">
        <w:t xml:space="preserve"> “the </w:t>
      </w:r>
      <w:r w:rsidRPr="006A1EC7">
        <w:rPr>
          <w:i/>
        </w:rPr>
        <w:t>layout of the house… I will probably improve all our quality of lives really</w:t>
      </w:r>
      <w:r w:rsidRPr="006A1EC7">
        <w:t>…” (WHS11B).</w:t>
      </w:r>
    </w:p>
    <w:p w14:paraId="6D32122E" w14:textId="77777777" w:rsidR="008B1FBF" w:rsidRPr="006A1EC7" w:rsidRDefault="008B1FBF" w:rsidP="008B1FBF">
      <w:pPr>
        <w:spacing w:line="276" w:lineRule="auto"/>
        <w:ind w:left="720"/>
      </w:pPr>
      <w:r w:rsidRPr="006A1EC7">
        <w:rPr>
          <w:i/>
        </w:rPr>
        <w:t xml:space="preserve"> “Because we noticed like over winter, she was quite vulnerable, she used to take her…they’ve  </w:t>
      </w:r>
      <m:oMath>
        <m:d>
          <m:dPr>
            <m:begChr m:val="["/>
            <m:endChr m:val="]"/>
            <m:ctrlPr>
              <w:rPr>
                <w:rFonts w:ascii="Cambria Math" w:hAnsi="Cambria Math"/>
                <w:i/>
              </w:rPr>
            </m:ctrlPr>
          </m:dPr>
          <m:e>
            <m:r>
              <w:rPr>
                <w:rFonts w:ascii="Cambria Math" w:hAnsi="Cambria Math"/>
              </w:rPr>
              <m:t>her mother and stepdaughter</m:t>
            </m:r>
          </m:e>
        </m:d>
      </m:oMath>
      <w:r w:rsidRPr="006A1EC7">
        <w:rPr>
          <w:i/>
        </w:rPr>
        <w:t xml:space="preserve"> got an apartment in Portugal, she </w:t>
      </w:r>
      <m:oMath>
        <m:d>
          <m:dPr>
            <m:begChr m:val="["/>
            <m:endChr m:val="]"/>
            <m:ctrlPr>
              <w:rPr>
                <w:rFonts w:ascii="Cambria Math" w:hAnsi="Cambria Math"/>
                <w:i/>
              </w:rPr>
            </m:ctrlPr>
          </m:dPr>
          <m:e>
            <m:r>
              <w:rPr>
                <w:rFonts w:ascii="Cambria Math" w:hAnsi="Cambria Math"/>
              </w:rPr>
              <m:t>mother</m:t>
            </m:r>
          </m:e>
        </m:d>
      </m:oMath>
      <w:r w:rsidRPr="006A1EC7">
        <w:rPr>
          <w:i/>
        </w:rPr>
        <w:t xml:space="preserve"> used to take her there for about 3 - 4 weeks in January because that’s when, you know, the bugs are around, which seemed to help a bit, but she did still get quite a few infections after that.”</w:t>
      </w:r>
      <w:r w:rsidRPr="006A1EC7">
        <w:t xml:space="preserve"> (WHS11A).</w:t>
      </w:r>
      <w:bookmarkStart w:id="162" w:name="_Toc17977902"/>
    </w:p>
    <w:p w14:paraId="34F057C3" w14:textId="77777777" w:rsidR="008B1FBF" w:rsidRPr="006A1EC7" w:rsidRDefault="008B1FBF" w:rsidP="008B1FBF">
      <w:pPr>
        <w:spacing w:line="276" w:lineRule="auto"/>
      </w:pPr>
    </w:p>
    <w:p w14:paraId="0363A0CC" w14:textId="77777777" w:rsidR="008B1FBF" w:rsidRPr="006A1EC7" w:rsidRDefault="008B1FBF" w:rsidP="008B1FBF">
      <w:pPr>
        <w:pStyle w:val="Heading2"/>
        <w:rPr>
          <w:rFonts w:ascii="Times New Roman" w:hAnsi="Times New Roman" w:cs="Times New Roman"/>
        </w:rPr>
      </w:pPr>
      <w:bookmarkStart w:id="163" w:name="_Toc38821444"/>
      <w:bookmarkStart w:id="164" w:name="_Toc40173000"/>
      <w:r w:rsidRPr="006A1EC7">
        <w:rPr>
          <w:rFonts w:ascii="Times New Roman" w:hAnsi="Times New Roman" w:cs="Times New Roman"/>
        </w:rPr>
        <w:t>Theme 4: Quality of life</w:t>
      </w:r>
      <w:bookmarkEnd w:id="163"/>
      <w:bookmarkEnd w:id="164"/>
    </w:p>
    <w:p w14:paraId="201C5421" w14:textId="77777777" w:rsidR="008B1FBF" w:rsidRPr="006A1EC7" w:rsidRDefault="008B1FBF" w:rsidP="008B1FBF">
      <w:pPr>
        <w:spacing w:line="276" w:lineRule="auto"/>
      </w:pPr>
    </w:p>
    <w:p w14:paraId="79D43B4B" w14:textId="571538B3" w:rsidR="008B1FBF" w:rsidRPr="006A1EC7" w:rsidRDefault="008B1FBF" w:rsidP="008B1FBF">
      <w:pPr>
        <w:spacing w:line="360" w:lineRule="auto"/>
        <w:ind w:firstLine="720"/>
      </w:pPr>
      <w:r w:rsidRPr="006A1EC7">
        <w:t xml:space="preserve">While this study was predominantly aimed at investigating the HRQoL of patients with </w:t>
      </w:r>
      <w:r w:rsidR="009F0718" w:rsidRPr="006A1EC7">
        <w:t>WHS</w:t>
      </w:r>
      <w:r w:rsidRPr="006A1EC7">
        <w:t xml:space="preserve">, discourse in the interviews involved HRQoL impacts on both the patients themselves as well as their relatives. Discourse in the interviews often focused on the Quality of life impacts that having a relative with </w:t>
      </w:r>
      <w:r w:rsidR="009F0718" w:rsidRPr="006A1EC7">
        <w:t>WHS</w:t>
      </w:r>
      <w:r w:rsidRPr="006A1EC7">
        <w:t xml:space="preserve"> has on both the patient</w:t>
      </w:r>
      <w:bookmarkEnd w:id="162"/>
      <w:r w:rsidRPr="006A1EC7">
        <w:t xml:space="preserve"> and their relatives (Theme 4: Quality of life Impacts). </w:t>
      </w:r>
    </w:p>
    <w:p w14:paraId="5DF3AD1F" w14:textId="77777777" w:rsidR="008B1FBF" w:rsidRPr="006A1EC7" w:rsidRDefault="008B1FBF" w:rsidP="008B1FBF">
      <w:pPr>
        <w:spacing w:line="360" w:lineRule="auto"/>
      </w:pPr>
    </w:p>
    <w:p w14:paraId="68456848" w14:textId="77777777"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4.1: Impact on different family members</w:t>
      </w:r>
    </w:p>
    <w:p w14:paraId="49BE932F" w14:textId="77777777" w:rsidR="008B1FBF" w:rsidRPr="006A1EC7" w:rsidRDefault="008B1FBF" w:rsidP="008B1FBF">
      <w:pPr>
        <w:spacing w:line="360" w:lineRule="auto"/>
        <w:ind w:firstLine="720"/>
      </w:pPr>
      <w:r w:rsidRPr="006A1EC7">
        <w:t xml:space="preserve">For caregivers (Subtheme 4.1.1), which were parents and grandparents, the impact on their quality of life was perceived as grave. Coping with the initial diagnosis, fears and worries about their children’s wellbeing, and coping with having a disabled child significantly impacted family members’ coping and wellbeing. </w:t>
      </w:r>
    </w:p>
    <w:p w14:paraId="2F2143AC" w14:textId="77777777" w:rsidR="008B1FBF" w:rsidRPr="006A1EC7" w:rsidRDefault="008B1FBF" w:rsidP="008B1FBF">
      <w:pPr>
        <w:spacing w:line="276" w:lineRule="auto"/>
        <w:ind w:left="720" w:firstLine="720"/>
      </w:pPr>
    </w:p>
    <w:p w14:paraId="2A2DEFE8" w14:textId="77777777" w:rsidR="008B1FBF" w:rsidRPr="006A1EC7" w:rsidRDefault="008B1FBF" w:rsidP="008B1FBF">
      <w:pPr>
        <w:spacing w:line="276" w:lineRule="auto"/>
        <w:ind w:left="720"/>
      </w:pPr>
      <w:r w:rsidRPr="006A1EC7">
        <w:rPr>
          <w:i/>
        </w:rPr>
        <w:t xml:space="preserve">“all them kind of things that was a struggle, it was a real and it’s hard it’s it’s heartbreaking do you know when (…) when you’ve got a child like that and and </w:t>
      </w:r>
      <w:r w:rsidRPr="006A1EC7">
        <w:rPr>
          <w:i/>
        </w:rPr>
        <w:lastRenderedPageBreak/>
        <w:t>they’re not doing things, and it’s (…) hard erm as a parent cos they can’t do these things do you know what I mean.”</w:t>
      </w:r>
      <w:r w:rsidRPr="006A1EC7">
        <w:t xml:space="preserve"> (WHS10)</w:t>
      </w:r>
    </w:p>
    <w:p w14:paraId="3F5969A1" w14:textId="77777777" w:rsidR="008B1FBF" w:rsidRPr="006A1EC7" w:rsidRDefault="008B1FBF" w:rsidP="008B1FBF">
      <w:pPr>
        <w:spacing w:line="360" w:lineRule="auto"/>
        <w:ind w:left="720"/>
      </w:pPr>
      <w:r w:rsidRPr="006A1EC7">
        <w:rPr>
          <w:i/>
        </w:rPr>
        <w:t>“I mean, as a parent you don’t get any comfort, you don’t get any reward.”</w:t>
      </w:r>
      <w:r w:rsidRPr="006A1EC7">
        <w:t xml:space="preserve"> (WHS6A)</w:t>
      </w:r>
    </w:p>
    <w:p w14:paraId="643610DD" w14:textId="77777777" w:rsidR="008B1FBF" w:rsidRPr="006A1EC7" w:rsidRDefault="008B1FBF" w:rsidP="008B1FBF">
      <w:pPr>
        <w:spacing w:line="360" w:lineRule="auto"/>
      </w:pPr>
    </w:p>
    <w:p w14:paraId="0931E427" w14:textId="07122219" w:rsidR="008B1FBF" w:rsidRPr="006A1EC7" w:rsidRDefault="008B1FBF" w:rsidP="008B1FBF">
      <w:pPr>
        <w:spacing w:line="360" w:lineRule="auto"/>
      </w:pPr>
      <w:r w:rsidRPr="006A1EC7">
        <w:t xml:space="preserve">Some relative described the emotional toll that having to consistently fight for their children’s medical care had taken on them. One mother described that </w:t>
      </w:r>
      <w:r w:rsidRPr="006A1EC7">
        <w:rPr>
          <w:i/>
        </w:rPr>
        <w:t>“having to fight”</w:t>
      </w:r>
      <w:r w:rsidRPr="006A1EC7">
        <w:t xml:space="preserve"> for her son is the “</w:t>
      </w:r>
      <w:r w:rsidRPr="006A1EC7">
        <w:rPr>
          <w:i/>
        </w:rPr>
        <w:t>hardest part, because</w:t>
      </w:r>
      <w:r w:rsidRPr="006A1EC7">
        <w:t>” she “</w:t>
      </w:r>
      <w:r w:rsidRPr="006A1EC7">
        <w:rPr>
          <w:i/>
        </w:rPr>
        <w:t>shouldn’t need to fight for him, he’s a little boy”</w:t>
      </w:r>
      <w:r w:rsidRPr="006A1EC7">
        <w:t xml:space="preserve"> (WHS12A). A sentiment, which is echoed by other relatives who also reported having to continually ‘fight’ for funding, for understanding among HCPs or for adequate medical treatment of their children. </w:t>
      </w:r>
    </w:p>
    <w:p w14:paraId="5A0A54ED" w14:textId="77777777" w:rsidR="008B1FBF" w:rsidRPr="006A1EC7" w:rsidRDefault="008B1FBF" w:rsidP="008B1FBF">
      <w:pPr>
        <w:spacing w:line="276" w:lineRule="auto"/>
      </w:pPr>
    </w:p>
    <w:p w14:paraId="5969011B" w14:textId="77777777" w:rsidR="008B1FBF" w:rsidRPr="006A1EC7" w:rsidRDefault="008B1FBF" w:rsidP="008B1FBF">
      <w:pPr>
        <w:spacing w:line="276" w:lineRule="auto"/>
        <w:ind w:left="720"/>
      </w:pPr>
      <w:r w:rsidRPr="006A1EC7">
        <w:t>“</w:t>
      </w:r>
      <w:r w:rsidRPr="006A1EC7">
        <w:rPr>
          <w:i/>
        </w:rPr>
        <w:t>on the medical side where the issu- where the issues are, it’s the fighting with them</w:t>
      </w:r>
      <w:r w:rsidRPr="006A1EC7">
        <w:t>” (WHS1)</w:t>
      </w:r>
    </w:p>
    <w:p w14:paraId="2C5C5010" w14:textId="77777777" w:rsidR="008B1FBF" w:rsidRPr="006A1EC7" w:rsidRDefault="008B1FBF" w:rsidP="008B1FBF">
      <w:pPr>
        <w:spacing w:line="276" w:lineRule="auto"/>
        <w:ind w:left="720"/>
      </w:pPr>
      <w:r w:rsidRPr="006A1EC7">
        <w:rPr>
          <w:i/>
        </w:rPr>
        <w:t>“and I also got discouraged a lot along the way by physio, OT, people telling me he’ll never connect with the world, I was in denial, um, he would not move, he would not sit, he would never walk, he would never talk…and all of these things, and I just had to keep fighting and saying ‘you don’t know that. If I leave him on the floor in the corner, yes, you’re right, he never will do those things, but I’m gonna invest everything I have in this child and see what</w:t>
      </w:r>
      <w:r w:rsidRPr="006A1EC7">
        <w:t>…” (WHS5)</w:t>
      </w:r>
    </w:p>
    <w:p w14:paraId="6C7834D3" w14:textId="77777777" w:rsidR="008B1FBF" w:rsidRPr="006A1EC7" w:rsidRDefault="008B1FBF" w:rsidP="008B1FBF">
      <w:pPr>
        <w:spacing w:line="276" w:lineRule="auto"/>
      </w:pPr>
    </w:p>
    <w:p w14:paraId="5A8F79A3" w14:textId="77777777" w:rsidR="008B1FBF" w:rsidRPr="006A1EC7" w:rsidRDefault="008B1FBF" w:rsidP="008B1FBF">
      <w:pPr>
        <w:spacing w:line="360" w:lineRule="auto"/>
      </w:pPr>
      <w:r w:rsidRPr="006A1EC7">
        <w:t xml:space="preserve">Being required to care for their relative/s with WHS at all times, as aforementioned, was described as </w:t>
      </w:r>
      <w:r w:rsidRPr="006A1EC7">
        <w:rPr>
          <w:i/>
        </w:rPr>
        <w:t>“challenging” (</w:t>
      </w:r>
      <w:r w:rsidRPr="006A1EC7">
        <w:t xml:space="preserve">WHS3B) and </w:t>
      </w:r>
      <w:r w:rsidRPr="006A1EC7">
        <w:rPr>
          <w:i/>
        </w:rPr>
        <w:t>“relentless”</w:t>
      </w:r>
      <w:r w:rsidRPr="006A1EC7">
        <w:t xml:space="preserve"> (WHS5); thus, epitomised significant impact burden on caregivers for children and adults with WHS.</w:t>
      </w:r>
    </w:p>
    <w:p w14:paraId="4D3A4D23" w14:textId="77777777" w:rsidR="008B1FBF" w:rsidRPr="006A1EC7" w:rsidRDefault="008B1FBF" w:rsidP="008B1FBF">
      <w:pPr>
        <w:spacing w:line="276" w:lineRule="auto"/>
      </w:pPr>
    </w:p>
    <w:p w14:paraId="50AE1945" w14:textId="77777777" w:rsidR="008B1FBF" w:rsidRPr="006A1EC7" w:rsidRDefault="008B1FBF" w:rsidP="008B1FBF">
      <w:pPr>
        <w:spacing w:line="276" w:lineRule="auto"/>
        <w:ind w:left="720" w:firstLine="60"/>
      </w:pPr>
      <w:r w:rsidRPr="006A1EC7">
        <w:t>“</w:t>
      </w:r>
      <w:r w:rsidRPr="006A1EC7">
        <w:rPr>
          <w:i/>
        </w:rPr>
        <w:t>It’s relentless…and that is…that is my favourite word to describe it. It’s not a shift, you don’t go…go home at the end of the shift, you don’t get to switch off, you’d doing it again the next day and the next day and the next day, you’re not just managing that child you’re sacrificing, um, not only your hopes for that child, you’re sacrificing your own hopes because my career sort of went on hold because I couldn’t maintain that level of care and sleep deprivation and continue to progress in my career. I managed to keep my job, but…um, I couldn’t do a lot of the things I would have done.”</w:t>
      </w:r>
      <w:r w:rsidRPr="006A1EC7">
        <w:t xml:space="preserve"> (WHS5)</w:t>
      </w:r>
    </w:p>
    <w:p w14:paraId="420C58F0" w14:textId="77777777" w:rsidR="008B1FBF" w:rsidRPr="006A1EC7" w:rsidRDefault="008B1FBF" w:rsidP="008B1FBF">
      <w:pPr>
        <w:spacing w:line="276" w:lineRule="auto"/>
      </w:pPr>
    </w:p>
    <w:p w14:paraId="6EBCC61A" w14:textId="77777777" w:rsidR="008B1FBF" w:rsidRPr="006A1EC7" w:rsidRDefault="008B1FBF" w:rsidP="008B1FBF">
      <w:pPr>
        <w:spacing w:line="360" w:lineRule="auto"/>
      </w:pPr>
      <w:r w:rsidRPr="006A1EC7">
        <w:t xml:space="preserve">Arising mental health problems, such as depression, anxiety and insomnia were reported; one mother reports that the presence of depression made it more difficult for her to bond with her daughter. Participants WHS7, who had three children with the syndrome, two of which have passed away; reports having previously experienced suicidal ideation when she felt the responsibility of caring became overwhelming. </w:t>
      </w:r>
    </w:p>
    <w:p w14:paraId="5B08C842" w14:textId="77777777" w:rsidR="008B1FBF" w:rsidRPr="006A1EC7" w:rsidRDefault="008B1FBF" w:rsidP="008B1FBF">
      <w:pPr>
        <w:spacing w:line="276" w:lineRule="auto"/>
      </w:pPr>
    </w:p>
    <w:p w14:paraId="7AF76CB5" w14:textId="77777777" w:rsidR="008B1FBF" w:rsidRPr="006A1EC7" w:rsidRDefault="008B1FBF" w:rsidP="008B1FBF">
      <w:pPr>
        <w:spacing w:line="276" w:lineRule="auto"/>
        <w:ind w:left="720"/>
      </w:pPr>
      <w:r w:rsidRPr="006A1EC7">
        <w:rPr>
          <w:i/>
        </w:rPr>
        <w:t>“think obviously the shock and the, you know, the depression it just, um…it didn’t help with us bonding with her for a…not…not for very long “</w:t>
      </w:r>
      <w:r w:rsidRPr="006A1EC7">
        <w:t xml:space="preserve"> (WHS11B)</w:t>
      </w:r>
    </w:p>
    <w:p w14:paraId="011248B4" w14:textId="77777777" w:rsidR="008B1FBF" w:rsidRPr="006A1EC7" w:rsidRDefault="008B1FBF" w:rsidP="008B1FBF">
      <w:pPr>
        <w:spacing w:line="276" w:lineRule="auto"/>
        <w:ind w:left="720"/>
      </w:pPr>
      <w:r w:rsidRPr="006A1EC7">
        <w:rPr>
          <w:i/>
        </w:rPr>
        <w:t>“the fact that, y-you don't sleep, you don’t sleep. You, I am a wreck.”</w:t>
      </w:r>
      <w:r w:rsidRPr="006A1EC7">
        <w:t xml:space="preserve"> (WHS1)</w:t>
      </w:r>
    </w:p>
    <w:p w14:paraId="357BD910" w14:textId="77777777" w:rsidR="008B1FBF" w:rsidRPr="006A1EC7" w:rsidRDefault="008B1FBF" w:rsidP="008B1FBF">
      <w:pPr>
        <w:spacing w:line="276" w:lineRule="auto"/>
        <w:ind w:left="720"/>
      </w:pPr>
      <w:r w:rsidRPr="006A1EC7">
        <w:rPr>
          <w:i/>
        </w:rPr>
        <w:t>“I’m on medication and I’m feeling it’s it’s like not knowing what’s gonna be round the corner”</w:t>
      </w:r>
      <w:r w:rsidRPr="006A1EC7">
        <w:t xml:space="preserve"> (WHS2C)</w:t>
      </w:r>
    </w:p>
    <w:p w14:paraId="6B431314" w14:textId="77777777" w:rsidR="008B1FBF" w:rsidRPr="006A1EC7" w:rsidRDefault="008B1FBF" w:rsidP="008B1FBF">
      <w:pPr>
        <w:spacing w:line="276" w:lineRule="auto"/>
        <w:ind w:left="720"/>
      </w:pPr>
      <w:r w:rsidRPr="006A1EC7">
        <w:rPr>
          <w:i/>
        </w:rPr>
        <w:t>“I had no idea about that toll then…because then obviously the medicating, you’re doing all of these other details, high concentration tasks…and you haven’t slept properly for years. You know, so I was in quite a bad way, um, I think and I’m sure I’m not alone in that.”</w:t>
      </w:r>
      <w:r w:rsidRPr="006A1EC7">
        <w:t xml:space="preserve"> (WHS5)</w:t>
      </w:r>
    </w:p>
    <w:p w14:paraId="073FCA86" w14:textId="77777777" w:rsidR="008B1FBF" w:rsidRPr="006A1EC7" w:rsidRDefault="008B1FBF" w:rsidP="008B1FBF">
      <w:pPr>
        <w:spacing w:line="276" w:lineRule="auto"/>
        <w:ind w:left="720"/>
      </w:pPr>
      <w:r w:rsidRPr="006A1EC7">
        <w:rPr>
          <w:i/>
        </w:rPr>
        <w:t>“I got to the stage where I felt that I was having, um, all the responsibility got…got to me and, um, I was getting very…I was b-…bursting into tears and all sorts of things, and eventually I thought well maybe I should see the doctor…so I did go to see the doctor, and he said ‘oh, I’m surprised you’ve lasted as long as this’…um, and prescribed something or other, um, which I had, um, for depression.”</w:t>
      </w:r>
      <w:r w:rsidRPr="006A1EC7">
        <w:t xml:space="preserve"> (WHS7)</w:t>
      </w:r>
    </w:p>
    <w:p w14:paraId="35492BA8" w14:textId="77777777" w:rsidR="008B1FBF" w:rsidRPr="006A1EC7" w:rsidRDefault="008B1FBF" w:rsidP="008B1FBF">
      <w:pPr>
        <w:spacing w:line="276" w:lineRule="auto"/>
      </w:pPr>
    </w:p>
    <w:p w14:paraId="531C8F9E" w14:textId="77777777" w:rsidR="008B1FBF" w:rsidRPr="006A1EC7" w:rsidRDefault="008B1FBF" w:rsidP="008B1FBF">
      <w:pPr>
        <w:spacing w:line="360" w:lineRule="auto"/>
      </w:pPr>
      <w:r w:rsidRPr="006A1EC7">
        <w:t>In order to cope with these emotional burdens, some parents sought counselling; and one mother reported being able to cope better as time progresses. Two mothers emphasised the importance of keeping a focus on their career development as a coping mechanism in the context of having a child with a potentially life-limiting, severe illness and intense care needs. However, adjustments in occupational functioning, such as reducing hours and days, were commonly reported.</w:t>
      </w:r>
    </w:p>
    <w:p w14:paraId="09BE7419" w14:textId="77777777" w:rsidR="008B1FBF" w:rsidRPr="006A1EC7" w:rsidRDefault="008B1FBF" w:rsidP="008B1FBF">
      <w:pPr>
        <w:spacing w:line="276" w:lineRule="auto"/>
      </w:pPr>
    </w:p>
    <w:p w14:paraId="6A78926F" w14:textId="77777777" w:rsidR="008B1FBF" w:rsidRPr="006A1EC7" w:rsidRDefault="008B1FBF" w:rsidP="008B1FBF">
      <w:pPr>
        <w:spacing w:line="276" w:lineRule="auto"/>
        <w:ind w:left="720" w:firstLine="60"/>
      </w:pPr>
      <w:r w:rsidRPr="006A1EC7">
        <w:rPr>
          <w:i/>
        </w:rPr>
        <w:t>“Plus it wasn’t just financial, I was so convinced because of everything I’d been told and read, that he was not going to be with me for long. I… in my head it was always a short-term thing. Yeah, so you always just go ‘well I’m gonna make the best of it …”</w:t>
      </w:r>
      <w:r w:rsidRPr="006A1EC7">
        <w:t xml:space="preserve"> (WHS5)</w:t>
      </w:r>
    </w:p>
    <w:p w14:paraId="2E96A4BC" w14:textId="77777777" w:rsidR="008B1FBF" w:rsidRPr="006A1EC7" w:rsidRDefault="008B1FBF" w:rsidP="008B1FBF">
      <w:pPr>
        <w:spacing w:line="276" w:lineRule="auto"/>
        <w:ind w:left="720"/>
      </w:pPr>
      <w:r w:rsidRPr="006A1EC7">
        <w:rPr>
          <w:i/>
        </w:rPr>
        <w:t>“Um, but since, after working…after looking after him for almost two years, and being devastated, I said ‘I study, I enjoy life, I love my work and he’s my son, but I have to live my life’. Because this is why I came to this world, to live my life. So I always have help, and I say even if I have to pay my salary for somebody to look after him, I will have Um, help.”</w:t>
      </w:r>
      <w:r w:rsidRPr="006A1EC7">
        <w:t xml:space="preserve"> (WHS6A) </w:t>
      </w:r>
    </w:p>
    <w:p w14:paraId="643A962A" w14:textId="77777777" w:rsidR="008B1FBF" w:rsidRPr="006A1EC7" w:rsidRDefault="008B1FBF" w:rsidP="008B1FBF">
      <w:pPr>
        <w:spacing w:line="276" w:lineRule="auto"/>
        <w:ind w:left="720"/>
      </w:pPr>
      <w:r w:rsidRPr="006A1EC7">
        <w:rPr>
          <w:i/>
        </w:rPr>
        <w:t>“I’ve not been able to deal with the sleep thing, I’ve struggled, because I used to be really…’it’s fine’, get up, go to work…I worked full time for a while, til (daughters name) was born… and I just couldn’t do it, I couldn’t work full time now.”</w:t>
      </w:r>
      <w:r w:rsidRPr="006A1EC7">
        <w:t xml:space="preserve"> (WHS12A)</w:t>
      </w:r>
    </w:p>
    <w:p w14:paraId="369FA93E" w14:textId="77777777" w:rsidR="008B1FBF" w:rsidRPr="006A1EC7" w:rsidRDefault="008B1FBF" w:rsidP="008B1FBF">
      <w:pPr>
        <w:spacing w:line="276" w:lineRule="auto"/>
      </w:pPr>
    </w:p>
    <w:p w14:paraId="262C7D27" w14:textId="77777777" w:rsidR="008B1FBF" w:rsidRPr="006A1EC7" w:rsidRDefault="008B1FBF" w:rsidP="008B1FBF">
      <w:pPr>
        <w:spacing w:line="360" w:lineRule="auto"/>
      </w:pPr>
      <w:r w:rsidRPr="006A1EC7">
        <w:t xml:space="preserve">In addition to seeking medical or psychological treatment and help, some participants reported that the process of admitting the need for outside help, and accepting this help, was often emotionally complex and challenging. </w:t>
      </w:r>
    </w:p>
    <w:p w14:paraId="13C9FB8A" w14:textId="77777777" w:rsidR="008B1FBF" w:rsidRPr="006A1EC7" w:rsidRDefault="008B1FBF" w:rsidP="008B1FBF">
      <w:pPr>
        <w:spacing w:line="276" w:lineRule="auto"/>
      </w:pPr>
    </w:p>
    <w:p w14:paraId="46C3A3B7" w14:textId="77777777" w:rsidR="008B1FBF" w:rsidRPr="006A1EC7" w:rsidRDefault="008B1FBF" w:rsidP="008B1FBF">
      <w:pPr>
        <w:spacing w:line="276" w:lineRule="auto"/>
        <w:ind w:left="720"/>
      </w:pPr>
      <w:r w:rsidRPr="006A1EC7">
        <w:rPr>
          <w:i/>
        </w:rPr>
        <w:lastRenderedPageBreak/>
        <w:t>“I went along with it and I…’this isn’t for families, what are we doing here? You know, this is a hospice, this is where children come for end of life care’…and we did end up having a stay there where I didn’t let the staff do anything without me being there, um, and it took probably 3 visits before I actually didn’t do all of his care or wasn’t present for everything. Um, but I realised then I was…that the whole time I was building up trust and then eventually I did start letting them, I did start having a break and, um, it was just so important, and although at the time you don’t realise it was important, if you’ve gotta keep going with this level of care for years…”</w:t>
      </w:r>
      <w:r w:rsidRPr="006A1EC7">
        <w:t xml:space="preserve"> (WHS5)</w:t>
      </w:r>
    </w:p>
    <w:p w14:paraId="5A6C815D" w14:textId="77777777" w:rsidR="008B1FBF" w:rsidRPr="006A1EC7" w:rsidRDefault="008B1FBF" w:rsidP="008B1FBF">
      <w:pPr>
        <w:spacing w:line="276" w:lineRule="auto"/>
        <w:ind w:left="720"/>
      </w:pPr>
    </w:p>
    <w:p w14:paraId="0FABBD7B" w14:textId="77777777" w:rsidR="008B1FBF" w:rsidRPr="006A1EC7" w:rsidRDefault="008B1FBF" w:rsidP="008B1FBF">
      <w:pPr>
        <w:spacing w:line="276" w:lineRule="auto"/>
      </w:pPr>
    </w:p>
    <w:p w14:paraId="4A90D25A" w14:textId="77777777" w:rsidR="008B1FBF" w:rsidRPr="006A1EC7" w:rsidRDefault="008B1FBF" w:rsidP="008B1FBF">
      <w:pPr>
        <w:spacing w:line="360" w:lineRule="auto"/>
      </w:pPr>
      <w:r w:rsidRPr="006A1EC7">
        <w:t>Discourse also revealed insight into the emotional difficulties experienced in response to visible differences of children and adults with WHS, as experienced by their relatives, were also re-iterated in this context. Parents reported repeatedly experiencing situations whereby they were faced with the fact that their child is, for example, smaller than other children their age or when their child looks or plays differently to non-affected children.</w:t>
      </w:r>
    </w:p>
    <w:p w14:paraId="30E2A927" w14:textId="77777777" w:rsidR="008B1FBF" w:rsidRPr="006A1EC7" w:rsidRDefault="008B1FBF" w:rsidP="008B1FBF">
      <w:pPr>
        <w:spacing w:line="276" w:lineRule="auto"/>
        <w:ind w:firstLine="720"/>
      </w:pPr>
    </w:p>
    <w:p w14:paraId="02800A93" w14:textId="77777777" w:rsidR="008B1FBF" w:rsidRPr="006A1EC7" w:rsidRDefault="008B1FBF" w:rsidP="008B1FBF">
      <w:pPr>
        <w:spacing w:line="276" w:lineRule="auto"/>
        <w:ind w:left="720"/>
      </w:pPr>
      <w:r w:rsidRPr="006A1EC7">
        <w:rPr>
          <w:i/>
        </w:rPr>
        <w:t>“it is hard, cos like to look when he’s, when we go to church, and there’s a boy the same age as him, to see what he’s like to (child's name) is yeah it’s quite upsetting that”</w:t>
      </w:r>
      <w:r w:rsidRPr="006A1EC7">
        <w:t xml:space="preserve"> (WHS2B)</w:t>
      </w:r>
    </w:p>
    <w:p w14:paraId="05224EDF" w14:textId="77777777" w:rsidR="008B1FBF" w:rsidRPr="006A1EC7" w:rsidRDefault="008B1FBF" w:rsidP="008B1FBF">
      <w:pPr>
        <w:spacing w:line="276" w:lineRule="auto"/>
        <w:ind w:left="720"/>
      </w:pPr>
      <w:r w:rsidRPr="006A1EC7">
        <w:rPr>
          <w:i/>
        </w:rPr>
        <w:t>“One thing that regularly, not upsets me, but makes me sort of think “ugh” you know when you just want to shake your head, erm, “oh look, your baby friend is here” - “well, he’s not a baby actually, he’s older than your child, he’s 3” but, if I was to say, and do say it because I can be quite outspoken, but that’s one thing that probably is a regular reminder that you’ve got a child with additional needs.”</w:t>
      </w:r>
      <w:r w:rsidRPr="006A1EC7">
        <w:t xml:space="preserve"> (WHS8)</w:t>
      </w:r>
    </w:p>
    <w:p w14:paraId="10386D9A" w14:textId="77777777" w:rsidR="008B1FBF" w:rsidRPr="006A1EC7" w:rsidRDefault="008B1FBF" w:rsidP="008B1FBF">
      <w:pPr>
        <w:spacing w:line="276" w:lineRule="auto"/>
        <w:ind w:left="720"/>
      </w:pPr>
      <w:r w:rsidRPr="006A1EC7">
        <w:rPr>
          <w:i/>
        </w:rPr>
        <w:t>“I didn’t know how to handle it in the beginning because people would be saying “why is she so small?” and they’d stare at her and I didn’t feel ready to say, “oh she’s got a chromosome disorder” or so, I kind of just, sometimes I’d lie and I’d say, “oh she’s only like three weeks old” or you know, that would explain why she’s so small, or sometimes I’d just like keep, if I saw people looking, I’d just push the pram really quickly, so they didn’t get a chance to ask me anything.”</w:t>
      </w:r>
      <w:r w:rsidRPr="006A1EC7">
        <w:t xml:space="preserve"> (WHS4B)</w:t>
      </w:r>
    </w:p>
    <w:p w14:paraId="5FD153F9" w14:textId="77777777" w:rsidR="008B1FBF" w:rsidRPr="006A1EC7" w:rsidRDefault="008B1FBF" w:rsidP="008B1FBF">
      <w:pPr>
        <w:spacing w:line="276" w:lineRule="auto"/>
        <w:ind w:left="720"/>
      </w:pPr>
    </w:p>
    <w:p w14:paraId="7C8F5A65" w14:textId="77777777" w:rsidR="008B1FBF" w:rsidRPr="006A1EC7" w:rsidRDefault="008B1FBF" w:rsidP="008B1FBF">
      <w:pPr>
        <w:spacing w:line="276" w:lineRule="auto"/>
      </w:pPr>
    </w:p>
    <w:p w14:paraId="228BE29C" w14:textId="30DF8A4B" w:rsidR="008B1FBF" w:rsidRPr="006A1EC7" w:rsidRDefault="008B1FBF" w:rsidP="008B1FBF">
      <w:pPr>
        <w:spacing w:line="360" w:lineRule="auto"/>
      </w:pPr>
      <w:r w:rsidRPr="006A1EC7">
        <w:t xml:space="preserve">In the interviews, participants did not just describe an impact on their affected relative’s quality of life, but also on unaffected (especially younger) siblings (Subtheme 4.1.2). Parents especially reported feeling guilty and worried about the siblings of children and adults with WHS. Worries about the effects of prolonged hospital stays, often far away from their unaffected children, and emergency hospital admission were raised. </w:t>
      </w:r>
    </w:p>
    <w:p w14:paraId="6B812F58" w14:textId="77777777" w:rsidR="008B1FBF" w:rsidRPr="006A1EC7" w:rsidRDefault="008B1FBF" w:rsidP="008B1FBF">
      <w:pPr>
        <w:spacing w:line="276" w:lineRule="auto"/>
      </w:pPr>
    </w:p>
    <w:p w14:paraId="56023768" w14:textId="77777777" w:rsidR="008B1FBF" w:rsidRPr="006A1EC7" w:rsidRDefault="008B1FBF" w:rsidP="008B1FBF">
      <w:pPr>
        <w:spacing w:line="276" w:lineRule="auto"/>
        <w:ind w:left="720"/>
      </w:pPr>
      <w:r w:rsidRPr="006A1EC7">
        <w:t>“</w:t>
      </w:r>
      <w:r w:rsidRPr="006A1EC7">
        <w:rPr>
          <w:i/>
        </w:rPr>
        <w:t>that’s the hardest part, it’s the kids - me and (partner's name) are coping, everybody else copes but it’s just the kids</w:t>
      </w:r>
      <w:r w:rsidRPr="006A1EC7">
        <w:t>” (WHS10)</w:t>
      </w:r>
    </w:p>
    <w:p w14:paraId="2E14751D" w14:textId="0AC92981" w:rsidR="008B1FBF" w:rsidRPr="006A1EC7" w:rsidRDefault="008B1FBF" w:rsidP="008B1FBF">
      <w:pPr>
        <w:spacing w:line="276" w:lineRule="auto"/>
        <w:ind w:left="720"/>
      </w:pPr>
      <w:r w:rsidRPr="006A1EC7">
        <w:rPr>
          <w:i/>
        </w:rPr>
        <w:lastRenderedPageBreak/>
        <w:t>“started having quite a few through the night so my son didn’t know who he was waking up to in the morning - whether I was gonna be there or it was gonna be his grandmother that was there in the morning”</w:t>
      </w:r>
      <w:r w:rsidRPr="006A1EC7">
        <w:t xml:space="preserve"> (WHS1)</w:t>
      </w:r>
      <w:r w:rsidRPr="006A1EC7">
        <w:br/>
      </w:r>
      <w:r w:rsidRPr="006A1EC7">
        <w:rPr>
          <w:i/>
        </w:rPr>
        <w:t>“You don't sleep and the kids, they are a wreck you know, you know you- they get up in the morning, mum's in hospital with their brother, you know what I mean…”</w:t>
      </w:r>
      <w:r w:rsidRPr="006A1EC7">
        <w:t xml:space="preserve"> (WHS1)</w:t>
      </w:r>
    </w:p>
    <w:p w14:paraId="61DD9554" w14:textId="77777777" w:rsidR="008B1FBF" w:rsidRPr="006A1EC7" w:rsidRDefault="008B1FBF" w:rsidP="008B1FBF">
      <w:pPr>
        <w:spacing w:line="276" w:lineRule="auto"/>
        <w:ind w:left="720"/>
      </w:pPr>
      <w:r w:rsidRPr="006A1EC7">
        <w:rPr>
          <w:i/>
        </w:rPr>
        <w:t>“when we were in the hospital and he was badly sick and they’re like ‘oh my god, my god…’, I went ‘don’t…because my four year old can deal with that, do you want me to get her to do it?’, I said ‘because my four year old…that is her…that’s norm, and that shouldn’t be her norm’.”</w:t>
      </w:r>
      <w:r w:rsidRPr="006A1EC7">
        <w:t xml:space="preserve"> (WHS12A)</w:t>
      </w:r>
    </w:p>
    <w:p w14:paraId="0CB68F69" w14:textId="77777777" w:rsidR="008B1FBF" w:rsidRPr="006A1EC7" w:rsidRDefault="008B1FBF" w:rsidP="008B1FBF">
      <w:pPr>
        <w:spacing w:line="276" w:lineRule="auto"/>
      </w:pPr>
    </w:p>
    <w:p w14:paraId="738E051A" w14:textId="590BB9BF" w:rsidR="008B1FBF" w:rsidRPr="006A1EC7" w:rsidRDefault="008B1FBF" w:rsidP="00744A8E">
      <w:pPr>
        <w:spacing w:line="360" w:lineRule="auto"/>
      </w:pPr>
      <w:r w:rsidRPr="006A1EC7">
        <w:t>Family members also frequently reported an emotional impact on the unaffected siblings - particularly if they were younger - such as not knowing who they will wake up to in the morning in case of a seizure in the night (WHS1) or at school pick-up (WHS10). Supportive family members were particularly important at this time, to step in for unaffected siblings when parents were unable to due to having to care for their child with WHS.</w:t>
      </w:r>
    </w:p>
    <w:p w14:paraId="2A66B766" w14:textId="77777777" w:rsidR="008B1FBF" w:rsidRPr="006A1EC7" w:rsidRDefault="008B1FBF" w:rsidP="008B1FBF">
      <w:pPr>
        <w:spacing w:line="276" w:lineRule="auto"/>
        <w:ind w:left="720"/>
      </w:pPr>
    </w:p>
    <w:p w14:paraId="41968EC2" w14:textId="77777777" w:rsidR="008B1FBF" w:rsidRPr="006A1EC7" w:rsidRDefault="008B1FBF" w:rsidP="00744A8E">
      <w:pPr>
        <w:spacing w:line="360" w:lineRule="auto"/>
        <w:ind w:firstLine="720"/>
      </w:pPr>
      <w:r w:rsidRPr="006A1EC7">
        <w:t xml:space="preserve">The two sibling-participants in the study did share some insight into the experience of having a relative with WHS; however, their perspectives were somewhat limited as neither had direct care involvement for their sibling. The rest of reports about siblings were obtained by parents who frequently described effects on younger siblings, such as having to deal with the illness of their affected sibling. The interviewed siblings (6C, 11A) were both studying for their undergraduate degrees, one had a younger sibling (female) and one had an older sibling (male).  WHS6C reports other children looked at her brother with </w:t>
      </w:r>
      <w:r w:rsidRPr="006A1EC7">
        <w:rPr>
          <w:i/>
        </w:rPr>
        <w:t>“a bit of fear”</w:t>
      </w:r>
      <w:r w:rsidRPr="006A1EC7">
        <w:t xml:space="preserve"> growing up, and having to cope with people’s reactions when she disclosed having a disabled brother.</w:t>
      </w:r>
    </w:p>
    <w:p w14:paraId="47EF85FD" w14:textId="77777777" w:rsidR="008B1FBF" w:rsidRPr="006A1EC7" w:rsidRDefault="008B1FBF" w:rsidP="008B1FBF">
      <w:pPr>
        <w:spacing w:line="276" w:lineRule="auto"/>
        <w:ind w:left="720"/>
      </w:pPr>
      <w:r w:rsidRPr="006A1EC7">
        <w:rPr>
          <w:i/>
        </w:rPr>
        <w:t xml:space="preserve">“Well a lot of people when I tell them that my brother is disabled, um, the instant response is pity, which is fine, I understand it, but they’re sort of like ‘oh I’m so sorry, it must be so difficult’…and I think people don’t realise that for me because I’m a sibling and not a parent, it’s always been like this… so it’s not like…I can’t see it as difficult because it’s just the way it’s always been.” </w:t>
      </w:r>
      <w:r w:rsidRPr="006A1EC7">
        <w:t>(WHS6C)</w:t>
      </w:r>
    </w:p>
    <w:p w14:paraId="4AF408C3" w14:textId="77777777" w:rsidR="008B1FBF" w:rsidRPr="006A1EC7" w:rsidRDefault="008B1FBF" w:rsidP="008B1FBF">
      <w:pPr>
        <w:spacing w:line="276" w:lineRule="auto"/>
        <w:ind w:firstLine="720"/>
      </w:pPr>
    </w:p>
    <w:p w14:paraId="0F00F01E" w14:textId="77777777" w:rsidR="008B1FBF" w:rsidRPr="006A1EC7" w:rsidRDefault="008B1FBF" w:rsidP="008B1FBF">
      <w:pPr>
        <w:spacing w:line="360" w:lineRule="auto"/>
      </w:pPr>
      <w:r w:rsidRPr="006A1EC7">
        <w:t>WHS11A described being asked questions about her sister’s condition as challenging and hard, especially when she herself was unsure of explanations and details of the condition. WHS6C she reports that the emotional impact of having a sibling with WHS was limited due to her parents adopting a very ‘matter of fact’ approach having “</w:t>
      </w:r>
      <w:r w:rsidRPr="006A1EC7">
        <w:rPr>
          <w:i/>
        </w:rPr>
        <w:t>really tried to, um, make it…my brother not impact my life</w:t>
      </w:r>
      <w:r w:rsidRPr="006A1EC7">
        <w:t xml:space="preserve">…”, which was helped by her mother being a medical doctor (WHS6A). The most impacting factor about her brother’s condition, in her opinion, is </w:t>
      </w:r>
      <w:r w:rsidRPr="006A1EC7">
        <w:lastRenderedPageBreak/>
        <w:t xml:space="preserve">the following: </w:t>
      </w:r>
      <w:r w:rsidRPr="006A1EC7">
        <w:br/>
      </w:r>
    </w:p>
    <w:p w14:paraId="3208691E" w14:textId="77777777" w:rsidR="008B1FBF" w:rsidRPr="006A1EC7" w:rsidRDefault="008B1FBF" w:rsidP="008B1FBF">
      <w:pPr>
        <w:spacing w:line="276" w:lineRule="auto"/>
        <w:ind w:left="720"/>
      </w:pPr>
      <w:r w:rsidRPr="006A1EC7">
        <w:rPr>
          <w:i/>
        </w:rPr>
        <w:t>“always had strangers in my house, not strangers, but there’s always been someone there like…especially recently, in the past few years, when we’ve, um, had personal assistants for my brother. There’s always someone in the house and I think… constantly having people like they’re really nice people but it’s not like that but it’s difficult.”</w:t>
      </w:r>
      <w:r w:rsidRPr="006A1EC7">
        <w:t xml:space="preserve"> (WHS6C)</w:t>
      </w:r>
    </w:p>
    <w:p w14:paraId="07B582E9" w14:textId="77777777" w:rsidR="008B1FBF" w:rsidRPr="006A1EC7" w:rsidRDefault="008B1FBF" w:rsidP="008B1FBF">
      <w:pPr>
        <w:spacing w:line="276" w:lineRule="auto"/>
        <w:ind w:left="720"/>
      </w:pPr>
    </w:p>
    <w:p w14:paraId="596BE468" w14:textId="77777777" w:rsidR="008B1FBF" w:rsidRPr="006A1EC7" w:rsidRDefault="008B1FBF" w:rsidP="008B1FBF">
      <w:pPr>
        <w:spacing w:line="360" w:lineRule="auto"/>
      </w:pPr>
      <w:r w:rsidRPr="006A1EC7">
        <w:t>Other emotional issues, such as feeling as though she had missed out on an older brother, relationship difficulties with their mother as a result of prolonged hospital stays and mental health difficulties; were also reported.</w:t>
      </w:r>
    </w:p>
    <w:p w14:paraId="1B2659BA" w14:textId="77777777" w:rsidR="008B1FBF" w:rsidRPr="006A1EC7" w:rsidRDefault="008B1FBF" w:rsidP="008B1FBF">
      <w:pPr>
        <w:spacing w:line="276" w:lineRule="auto"/>
        <w:ind w:left="720"/>
      </w:pPr>
      <w:r w:rsidRPr="006A1EC7">
        <w:t xml:space="preserve"> </w:t>
      </w:r>
    </w:p>
    <w:p w14:paraId="294CF649" w14:textId="77777777" w:rsidR="008B1FBF" w:rsidRPr="006A1EC7" w:rsidRDefault="008B1FBF" w:rsidP="008B1FBF">
      <w:pPr>
        <w:spacing w:line="276" w:lineRule="auto"/>
        <w:ind w:left="720"/>
      </w:pPr>
      <w:r w:rsidRPr="006A1EC7">
        <w:rPr>
          <w:i/>
        </w:rPr>
        <w:t>“When I was younger I really struggled with the fact that I didn’t have an older brother because I really wanted one, and I think it was sort of difficult for me to accept that I didn’t…it would never…we would never have that relationship of an older brother.”</w:t>
      </w:r>
      <w:r w:rsidRPr="006A1EC7">
        <w:t xml:space="preserve"> (WHS6C)</w:t>
      </w:r>
    </w:p>
    <w:p w14:paraId="08910D77" w14:textId="77777777" w:rsidR="008B1FBF" w:rsidRPr="006A1EC7" w:rsidRDefault="008B1FBF" w:rsidP="008B1FBF">
      <w:pPr>
        <w:spacing w:line="276" w:lineRule="auto"/>
        <w:ind w:left="720"/>
      </w:pPr>
      <w:r w:rsidRPr="006A1EC7">
        <w:rPr>
          <w:i/>
        </w:rPr>
        <w:t xml:space="preserve"> “I remember it being quite hard… but the relationship between me and my Mum… When (child’s name) was born and she got diagnosed … Mum would be in the hospital a lot, um, obviously it made her a bit depressed about everything, and um that put a strain on us. (…)- Yeah. So there was…there has also been a strain between like me and my Step-dad, and me and my Mum because of it. I’m not saying it’s her fault, it… It’s just…that’s just what happens.”</w:t>
      </w:r>
      <w:r w:rsidRPr="006A1EC7">
        <w:t xml:space="preserve"> (WHS11A)</w:t>
      </w:r>
    </w:p>
    <w:p w14:paraId="3FBE3186" w14:textId="77777777" w:rsidR="008B1FBF" w:rsidRPr="006A1EC7" w:rsidRDefault="008B1FBF" w:rsidP="008B1FBF">
      <w:pPr>
        <w:spacing w:line="276" w:lineRule="auto"/>
        <w:ind w:left="720"/>
      </w:pPr>
    </w:p>
    <w:p w14:paraId="7E7EAA5B" w14:textId="31E1BAD1" w:rsidR="008B1FBF" w:rsidRPr="006A1EC7" w:rsidRDefault="008B1FBF" w:rsidP="008B1FBF">
      <w:pPr>
        <w:spacing w:line="360" w:lineRule="auto"/>
      </w:pPr>
      <w:r w:rsidRPr="006A1EC7">
        <w:t>Being a sibling was described as challenging by both sisters, but both perceived this for different reasons. WHS6C reported struggling to bond with her brother for a prolonged period of time, while WHS11A reported her sister’s behavioural issues as challenging. Nonetheless, both siblings were positive about their siblings with WHS, describing that it had made them better, more aware and less judgemental people.</w:t>
      </w:r>
    </w:p>
    <w:p w14:paraId="5C5A6C9A" w14:textId="77777777" w:rsidR="008B1FBF" w:rsidRPr="006A1EC7" w:rsidRDefault="008B1FBF" w:rsidP="008B1FBF">
      <w:pPr>
        <w:spacing w:line="276" w:lineRule="auto"/>
      </w:pPr>
    </w:p>
    <w:p w14:paraId="1405406A" w14:textId="77777777" w:rsidR="008B1FBF" w:rsidRPr="006A1EC7" w:rsidRDefault="008B1FBF" w:rsidP="008B1FBF">
      <w:pPr>
        <w:spacing w:line="276" w:lineRule="auto"/>
        <w:ind w:left="720" w:firstLine="60"/>
      </w:pPr>
      <w:r w:rsidRPr="006A1EC7">
        <w:rPr>
          <w:i/>
        </w:rPr>
        <w:t>“Um, but I think it can be quite difficult out in public sometimes if…cause she doesn’t really…she doesn’t understand like the meaning of ‘no’ that well really. If, you know, she’s doing something inappropriate in public, she looks younger so it doesn’t seem as alarming to other people.”</w:t>
      </w:r>
      <w:r w:rsidRPr="006A1EC7">
        <w:t xml:space="preserve"> (WHS11A)</w:t>
      </w:r>
    </w:p>
    <w:p w14:paraId="2884EEA3" w14:textId="77777777" w:rsidR="008B1FBF" w:rsidRPr="006A1EC7" w:rsidRDefault="008B1FBF" w:rsidP="008B1FBF">
      <w:pPr>
        <w:spacing w:line="276" w:lineRule="auto"/>
        <w:ind w:left="720"/>
      </w:pPr>
    </w:p>
    <w:p w14:paraId="0EC3ABAD" w14:textId="77777777" w:rsidR="008B1FBF" w:rsidRPr="006A1EC7" w:rsidRDefault="008B1FBF" w:rsidP="008B1FBF">
      <w:pPr>
        <w:spacing w:line="360" w:lineRule="auto"/>
      </w:pPr>
      <w:r w:rsidRPr="006A1EC7">
        <w:t>One mother offered an additional insight into the ‘sibling’ perspective:  The participant herself is a carrier of the deletion, had two affected children with WHS and two un-affected sons with WHS, one of whom is a carrier also. This participant, in particular, described a psychological impact on her son who is a carrier:</w:t>
      </w:r>
    </w:p>
    <w:p w14:paraId="039DB1C4" w14:textId="77777777" w:rsidR="008B1FBF" w:rsidRPr="006A1EC7" w:rsidRDefault="008B1FBF" w:rsidP="008B1FBF">
      <w:pPr>
        <w:spacing w:line="276" w:lineRule="auto"/>
      </w:pPr>
    </w:p>
    <w:p w14:paraId="53B95C3B" w14:textId="77777777" w:rsidR="008B1FBF" w:rsidRPr="006A1EC7" w:rsidRDefault="008B1FBF" w:rsidP="008B1FBF">
      <w:pPr>
        <w:spacing w:line="276" w:lineRule="auto"/>
        <w:ind w:left="720"/>
      </w:pPr>
      <w:r w:rsidRPr="006A1EC7">
        <w:rPr>
          <w:i/>
        </w:rPr>
        <w:lastRenderedPageBreak/>
        <w:t>“ One of them is a carrier yes. One isn’t. (..)I think he…it…it affected him psychologically… the other boy has got five children… but (sibling’s name) is in his 40’s now  (…)- they have gone through IVF, um, but unfortunately, um, the IVF…the eggs that you produce from the male…it was Wolf Syndrome, so it couldn’t be planted into, um, his wife. So I think it’s…he feels as if he’s got the short straw… basically</w:t>
      </w:r>
      <w:r w:rsidRPr="006A1EC7">
        <w:t>” (WHS9)</w:t>
      </w:r>
    </w:p>
    <w:p w14:paraId="09142DD6" w14:textId="77777777" w:rsidR="008B1FBF" w:rsidRPr="006A1EC7" w:rsidRDefault="008B1FBF" w:rsidP="008B1FBF">
      <w:pPr>
        <w:spacing w:line="276" w:lineRule="auto"/>
      </w:pPr>
    </w:p>
    <w:p w14:paraId="662F1B85" w14:textId="77777777" w:rsidR="008B1FBF" w:rsidRPr="006A1EC7" w:rsidRDefault="008B1FBF" w:rsidP="008B1FBF">
      <w:pPr>
        <w:spacing w:line="360" w:lineRule="auto"/>
        <w:rPr>
          <w:lang w:eastAsia="en-GB"/>
        </w:rPr>
      </w:pPr>
      <w:r w:rsidRPr="006A1EC7">
        <w:rPr>
          <w:lang w:eastAsia="en-GB"/>
        </w:rPr>
        <w:t>In addition to the parent and sibling perspective on QoL impacts, participants also offered insight into the QoL of affected patients with WHS. Discourse across the interviews revealed that children and adults were generally perceived as living happy, fulfilled lives with a good quality of life. Further emphasis was placed on their (grand) children’s resilience of coping with negative life events, traumas and medical procedures, such as having to have bloods taken regularly, medication adherence and hospital admissions.</w:t>
      </w:r>
    </w:p>
    <w:p w14:paraId="383FA0AC" w14:textId="77777777" w:rsidR="008B1FBF" w:rsidRPr="006A1EC7" w:rsidRDefault="008B1FBF" w:rsidP="008B1FBF">
      <w:pPr>
        <w:spacing w:line="276" w:lineRule="auto"/>
        <w:rPr>
          <w:lang w:eastAsia="en-GB"/>
        </w:rPr>
      </w:pPr>
    </w:p>
    <w:p w14:paraId="7C03BAC6" w14:textId="77777777" w:rsidR="008B1FBF" w:rsidRPr="006A1EC7" w:rsidRDefault="008B1FBF" w:rsidP="008B1FBF">
      <w:pPr>
        <w:spacing w:line="276" w:lineRule="auto"/>
        <w:ind w:left="720"/>
      </w:pPr>
      <w:r w:rsidRPr="006A1EC7">
        <w:rPr>
          <w:i/>
        </w:rPr>
        <w:t>“I know it’s really, really difficult, but see the more positive sides to it because (child's name) is just such a happy child, and she doesn't know any different. So, to me, it’s well…if she didn’t have it, she wouldn't be who she is…”</w:t>
      </w:r>
      <w:r w:rsidRPr="006A1EC7">
        <w:t xml:space="preserve"> (WHS11A)</w:t>
      </w:r>
    </w:p>
    <w:p w14:paraId="36214B65" w14:textId="77777777" w:rsidR="008B1FBF" w:rsidRPr="006A1EC7" w:rsidRDefault="008B1FBF" w:rsidP="008B1FBF">
      <w:pPr>
        <w:spacing w:line="276" w:lineRule="auto"/>
        <w:ind w:firstLine="720"/>
      </w:pPr>
      <w:r w:rsidRPr="006A1EC7">
        <w:rPr>
          <w:i/>
        </w:rPr>
        <w:t>“He’s a very happy little boy.”</w:t>
      </w:r>
      <w:r w:rsidRPr="006A1EC7">
        <w:t xml:space="preserve"> (WHS3B)</w:t>
      </w:r>
    </w:p>
    <w:p w14:paraId="36563922" w14:textId="77777777" w:rsidR="008B1FBF" w:rsidRPr="006A1EC7" w:rsidRDefault="008B1FBF" w:rsidP="008B1FBF">
      <w:pPr>
        <w:spacing w:line="276" w:lineRule="auto"/>
        <w:ind w:firstLine="720"/>
      </w:pPr>
      <w:r w:rsidRPr="006A1EC7">
        <w:rPr>
          <w:i/>
          <w:lang w:eastAsia="en-GB"/>
        </w:rPr>
        <w:t>“She’s really happy.“</w:t>
      </w:r>
      <w:r w:rsidRPr="006A1EC7">
        <w:rPr>
          <w:lang w:eastAsia="en-GB"/>
        </w:rPr>
        <w:t xml:space="preserve"> (WHS11B)</w:t>
      </w:r>
    </w:p>
    <w:p w14:paraId="24DAA638" w14:textId="77777777" w:rsidR="008B1FBF" w:rsidRPr="006A1EC7" w:rsidRDefault="008B1FBF" w:rsidP="008B1FBF">
      <w:pPr>
        <w:spacing w:line="276" w:lineRule="auto"/>
        <w:ind w:left="720"/>
      </w:pPr>
      <w:r w:rsidRPr="006A1EC7">
        <w:rPr>
          <w:i/>
        </w:rPr>
        <w:t>“</w:t>
      </w:r>
      <m:oMath>
        <m:d>
          <m:dPr>
            <m:begChr m:val="["/>
            <m:endChr m:val="]"/>
            <m:ctrlPr>
              <w:rPr>
                <w:rFonts w:ascii="Cambria Math" w:hAnsi="Cambria Math"/>
                <w:i/>
              </w:rPr>
            </m:ctrlPr>
          </m:dPr>
          <m:e>
            <m:r>
              <w:rPr>
                <w:rFonts w:ascii="Cambria Math" w:hAnsi="Cambria Math"/>
              </w:rPr>
              <m:t>So</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 name</m:t>
            </m:r>
          </m:e>
        </m:d>
      </m:oMath>
      <w:r w:rsidRPr="006A1EC7">
        <w:rPr>
          <w:i/>
        </w:rPr>
        <w:t>has got a really good quality of life. He bre- he lights up a room, he’s loved by everyone and he brightens up people’s days, yeah he has his troubles with his feeding and his seizures and everything else, but he’s actually really happy boy. Erm, so he’s got a really good quality of life. He enjoys living. He enjoys life.”</w:t>
      </w:r>
      <w:r w:rsidRPr="006A1EC7">
        <w:t xml:space="preserve"> (WHS8)</w:t>
      </w:r>
      <w:r w:rsidRPr="006A1EC7">
        <w:br/>
      </w:r>
      <w:r w:rsidRPr="006A1EC7">
        <w:rPr>
          <w:i/>
        </w:rPr>
        <w:t>“he's generally very happy, very happy, smiley, very very rare you would think he's in pain to be honest. He really doesn't cry very often.”</w:t>
      </w:r>
      <w:r w:rsidRPr="006A1EC7">
        <w:t xml:space="preserve"> (WHS3C)</w:t>
      </w:r>
    </w:p>
    <w:p w14:paraId="73277627" w14:textId="77777777" w:rsidR="008B1FBF" w:rsidRPr="006A1EC7" w:rsidRDefault="008B1FBF" w:rsidP="008B1FBF">
      <w:pPr>
        <w:spacing w:line="276" w:lineRule="auto"/>
        <w:ind w:left="720"/>
      </w:pPr>
      <w:r w:rsidRPr="006A1EC7">
        <w:rPr>
          <w:i/>
        </w:rPr>
        <w:t>“She’s had an awful lot of, um, traumas that should have killed her and haven’t done… she’s got more of a fighting spirit.”</w:t>
      </w:r>
      <w:r w:rsidRPr="006A1EC7">
        <w:t xml:space="preserve"> (WHS7)</w:t>
      </w:r>
    </w:p>
    <w:p w14:paraId="4BEC9EC4" w14:textId="77777777" w:rsidR="008B1FBF" w:rsidRPr="006A1EC7" w:rsidRDefault="008B1FBF" w:rsidP="008B1FBF">
      <w:pPr>
        <w:spacing w:line="276" w:lineRule="auto"/>
        <w:ind w:left="720"/>
      </w:pPr>
      <w:r w:rsidRPr="006A1EC7">
        <w:rPr>
          <w:i/>
        </w:rPr>
        <w:t xml:space="preserve">“Uh, he went through various test. I think what we found from </w:t>
      </w:r>
      <m:oMath>
        <m:d>
          <m:dPr>
            <m:begChr m:val="["/>
            <m:endChr m:val="]"/>
            <m:ctrlPr>
              <w:rPr>
                <w:rFonts w:ascii="Cambria Math" w:hAnsi="Cambria Math"/>
                <w:i/>
              </w:rPr>
            </m:ctrlPr>
          </m:dPr>
          <m:e>
            <m:r>
              <w:rPr>
                <w:rFonts w:ascii="Cambria Math" w:hAnsi="Cambria Math"/>
              </w:rPr>
              <m:t>so</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 name</m:t>
            </m:r>
          </m:e>
        </m:d>
      </m:oMath>
      <w:r w:rsidRPr="006A1EC7">
        <w:rPr>
          <w:i/>
        </w:rPr>
        <w:t>is that he's very resilient with all the things he's been through, the number of times in the hospital, so many drips, hands and feet, and scans and monitors on him, and boots and bars and now he has his growth hormone injections every night, and he's been so tolerant, he's cope a lot better than we had.”</w:t>
      </w:r>
      <w:r w:rsidRPr="006A1EC7">
        <w:t xml:space="preserve"> (WHS3C)</w:t>
      </w:r>
    </w:p>
    <w:p w14:paraId="4F93B4EC" w14:textId="77777777" w:rsidR="008B1FBF" w:rsidRPr="006A1EC7" w:rsidRDefault="008B1FBF" w:rsidP="008B1FBF">
      <w:pPr>
        <w:spacing w:line="276" w:lineRule="auto"/>
        <w:ind w:left="720"/>
        <w:rPr>
          <w:lang w:eastAsia="en-GB"/>
        </w:rPr>
      </w:pPr>
    </w:p>
    <w:p w14:paraId="709094E7" w14:textId="77777777" w:rsidR="008B1FBF" w:rsidRPr="006A1EC7" w:rsidRDefault="008B1FBF" w:rsidP="008B1FBF">
      <w:pPr>
        <w:spacing w:line="360" w:lineRule="auto"/>
        <w:rPr>
          <w:lang w:eastAsia="en-GB"/>
        </w:rPr>
      </w:pPr>
      <w:r w:rsidRPr="006A1EC7">
        <w:rPr>
          <w:lang w:eastAsia="en-GB"/>
        </w:rPr>
        <w:t xml:space="preserve">In terms of negative QoL impacts reported, one mother reported that her daughter frequently got frustrated due to being unable to communicate with her family, and then became upset. Other experiences that were reported as frustrating and challenging for children and adults with WHS were (unexpected) changes in routine. </w:t>
      </w:r>
    </w:p>
    <w:p w14:paraId="75AD5395" w14:textId="77777777" w:rsidR="008B1FBF" w:rsidRPr="006A1EC7" w:rsidRDefault="008B1FBF" w:rsidP="008B1FBF">
      <w:pPr>
        <w:spacing w:line="276" w:lineRule="auto"/>
        <w:rPr>
          <w:lang w:eastAsia="en-GB"/>
        </w:rPr>
      </w:pPr>
    </w:p>
    <w:p w14:paraId="156C6A1A" w14:textId="77777777" w:rsidR="008B1FBF" w:rsidRPr="006A1EC7" w:rsidRDefault="008B1FBF" w:rsidP="008B1FBF">
      <w:pPr>
        <w:spacing w:line="276" w:lineRule="auto"/>
        <w:ind w:left="720"/>
      </w:pPr>
      <w:r w:rsidRPr="006A1EC7">
        <w:rPr>
          <w:i/>
        </w:rPr>
        <w:t xml:space="preserve">“She cries quite a lot, but I think that that’s more frust-, it’s not, it doesn’t look like she’s crying in pain, I think it’s frustration that she can’t communicate, so then when </w:t>
      </w:r>
      <w:r w:rsidRPr="006A1EC7">
        <w:rPr>
          <w:i/>
        </w:rPr>
        <w:lastRenderedPageBreak/>
        <w:t>she wants things often she cries, but I don’t think it’s because she’s in pain, I think it’s you know her way of trying to communicate with us.”</w:t>
      </w:r>
      <w:r w:rsidRPr="006A1EC7">
        <w:t xml:space="preserve"> (WHS4B)</w:t>
      </w:r>
    </w:p>
    <w:p w14:paraId="7B2F1B5E" w14:textId="77777777" w:rsidR="008B1FBF" w:rsidRPr="006A1EC7" w:rsidRDefault="008B1FBF" w:rsidP="008B1FBF">
      <w:pPr>
        <w:spacing w:line="276" w:lineRule="auto"/>
        <w:rPr>
          <w:i/>
        </w:rPr>
      </w:pPr>
    </w:p>
    <w:p w14:paraId="5939E0A1" w14:textId="77777777" w:rsidR="008B1FBF" w:rsidRPr="006A1EC7" w:rsidRDefault="008B1FBF" w:rsidP="008B1FBF">
      <w:pPr>
        <w:spacing w:line="276" w:lineRule="auto"/>
      </w:pPr>
      <w:r w:rsidRPr="006A1EC7">
        <w:t>One father reported the impact of the frequent, unpleasant hospital appointments on his child’s quality of life:</w:t>
      </w:r>
    </w:p>
    <w:p w14:paraId="1C6B6784" w14:textId="77777777" w:rsidR="008B1FBF" w:rsidRPr="006A1EC7" w:rsidRDefault="008B1FBF" w:rsidP="008B1FBF">
      <w:pPr>
        <w:spacing w:line="276" w:lineRule="auto"/>
        <w:ind w:firstLine="720"/>
      </w:pPr>
    </w:p>
    <w:p w14:paraId="5F6F036D" w14:textId="77777777" w:rsidR="008B1FBF" w:rsidRPr="006A1EC7" w:rsidRDefault="008B1FBF" w:rsidP="008B1FBF">
      <w:pPr>
        <w:spacing w:line="276" w:lineRule="auto"/>
        <w:ind w:left="720"/>
      </w:pPr>
      <w:r w:rsidRPr="006A1EC7">
        <w:t>“</w:t>
      </w:r>
      <w:r w:rsidRPr="006A1EC7">
        <w:rPr>
          <w:i/>
        </w:rPr>
        <w:t>And yes because he has to have a lot of check ups and scans and he doesn't like the ultrasound gel and the ultrasound thing, he hates that. So ye, it does impact his life, if he's going to have major surgery, that's going to significantly affect his life</w:t>
      </w:r>
      <w:r w:rsidRPr="006A1EC7">
        <w:t>.” (WHS3B)</w:t>
      </w:r>
    </w:p>
    <w:p w14:paraId="40E34995" w14:textId="77777777" w:rsidR="008B1FBF" w:rsidRPr="006A1EC7" w:rsidRDefault="008B1FBF" w:rsidP="008B1FBF">
      <w:pPr>
        <w:spacing w:line="276" w:lineRule="auto"/>
      </w:pPr>
    </w:p>
    <w:p w14:paraId="6A8AC2ED" w14:textId="77777777" w:rsidR="008B1FBF" w:rsidRPr="006A1EC7" w:rsidRDefault="008B1FBF" w:rsidP="008B1FBF">
      <w:pPr>
        <w:spacing w:line="360" w:lineRule="auto"/>
      </w:pPr>
      <w:r w:rsidRPr="006A1EC7">
        <w:t>Children and adults were reported to be able to attend special educational needs schools, mainstream schools and day centres. Discourse revealed that the quality of a school, nursery or day-care centre was perceived as making a big difference to the quality of life of patients with WHS.</w:t>
      </w:r>
    </w:p>
    <w:p w14:paraId="6864EA38" w14:textId="77777777" w:rsidR="008B1FBF" w:rsidRPr="006A1EC7" w:rsidRDefault="008B1FBF" w:rsidP="008B1FBF">
      <w:pPr>
        <w:spacing w:line="360" w:lineRule="auto"/>
      </w:pPr>
    </w:p>
    <w:p w14:paraId="027A444F" w14:textId="77777777" w:rsidR="008B1FBF" w:rsidRPr="006A1EC7" w:rsidRDefault="008B1FBF" w:rsidP="008B1FBF">
      <w:pPr>
        <w:spacing w:line="276" w:lineRule="auto"/>
        <w:ind w:left="720"/>
      </w:pPr>
      <w:r w:rsidRPr="006A1EC7">
        <w:rPr>
          <w:i/>
        </w:rPr>
        <w:t>“Yes, it made a huge difference…the school is just amazing. Absolutely amazing. Their positive attitude…the atmosphere is…is so full of vitality. Full off positive vibes. Um, you know, everything we go to there are children, you know, rushing about and a lot of…a lot of noise and stuff, and they just calmly go on. We had a lovely carol concert the other night....”</w:t>
      </w:r>
      <w:r w:rsidRPr="006A1EC7">
        <w:t xml:space="preserve"> (WHS3B)</w:t>
      </w:r>
    </w:p>
    <w:p w14:paraId="279B35A3" w14:textId="77777777" w:rsidR="008B1FBF" w:rsidRPr="006A1EC7" w:rsidRDefault="008B1FBF" w:rsidP="008B1FBF">
      <w:pPr>
        <w:spacing w:line="276" w:lineRule="auto"/>
      </w:pPr>
    </w:p>
    <w:p w14:paraId="086564C5" w14:textId="3BC8A304" w:rsidR="008B1FBF" w:rsidRPr="006A1EC7" w:rsidRDefault="008B1FBF" w:rsidP="008B1FBF">
      <w:pPr>
        <w:spacing w:line="360" w:lineRule="auto"/>
        <w:rPr>
          <w:lang w:eastAsia="en-GB"/>
        </w:rPr>
      </w:pPr>
      <w:r w:rsidRPr="006A1EC7">
        <w:t>While the majority of participants were positive about their relatives’ schooling experiences, some were more critical of the SEN schooling, suggesting that an alternative to the current model is needed as it is not suited to the children’s needs.</w:t>
      </w:r>
      <w:r w:rsidRPr="006A1EC7">
        <w:rPr>
          <w:lang w:eastAsia="en-GB"/>
        </w:rPr>
        <w:t xml:space="preserve"> A grandmother also emphasised that her grandchild’s schooling is currently being compromised due to his small stature and low muscle tone. She reports that currently her grandchild is not being “</w:t>
      </w:r>
      <w:r w:rsidRPr="006A1EC7">
        <w:rPr>
          <w:i/>
          <w:iCs/>
          <w:lang w:eastAsia="en-GB"/>
        </w:rPr>
        <w:t>stimulated enough</w:t>
      </w:r>
      <w:r w:rsidRPr="006A1EC7">
        <w:rPr>
          <w:lang w:eastAsia="en-GB"/>
        </w:rPr>
        <w:t>” (WHS3B) by teaching at the school for children with special needs as he is much more able than the rest of his class who are seen as “</w:t>
      </w:r>
      <w:r w:rsidRPr="006A1EC7">
        <w:rPr>
          <w:i/>
          <w:lang w:eastAsia="en-GB"/>
        </w:rPr>
        <w:t>holding him back</w:t>
      </w:r>
      <w:r w:rsidRPr="006A1EC7">
        <w:rPr>
          <w:lang w:eastAsia="en-GB"/>
        </w:rPr>
        <w:t xml:space="preserve">” (WHS 3B). However, due to his vulnerabilities, he is unable to attend mainstream school to potentially attain a better education. </w:t>
      </w:r>
    </w:p>
    <w:p w14:paraId="34D786AD" w14:textId="77777777" w:rsidR="008B1FBF" w:rsidRPr="006A1EC7" w:rsidRDefault="008B1FBF" w:rsidP="008B1FBF">
      <w:pPr>
        <w:spacing w:line="276" w:lineRule="auto"/>
      </w:pPr>
    </w:p>
    <w:p w14:paraId="4B565BA9" w14:textId="77777777" w:rsidR="008B1FBF" w:rsidRPr="006A1EC7" w:rsidRDefault="008B1FBF" w:rsidP="008B1FBF">
      <w:pPr>
        <w:spacing w:line="276" w:lineRule="auto"/>
        <w:ind w:left="720"/>
      </w:pPr>
      <w:r w:rsidRPr="006A1EC7">
        <w:rPr>
          <w:i/>
        </w:rPr>
        <w:t>“So, from the schools, or from the, um, education…what I think is that they create for them, schools…and some of these children don’t need a school, they need something more special…tailored to their needs, and they are not offering that. Because they think that they will, um, they will, um…violate their human rights if they make different for them…but actually they are different. I want the society to recognise that my son is different.”</w:t>
      </w:r>
      <w:r w:rsidRPr="006A1EC7">
        <w:t xml:space="preserve"> (WHS6A)</w:t>
      </w:r>
    </w:p>
    <w:p w14:paraId="4B0740CE" w14:textId="77777777" w:rsidR="008B1FBF" w:rsidRPr="006A1EC7" w:rsidRDefault="008B1FBF" w:rsidP="008B1FBF">
      <w:pPr>
        <w:spacing w:line="276" w:lineRule="auto"/>
        <w:ind w:left="720"/>
      </w:pPr>
      <w:r w:rsidRPr="006A1EC7">
        <w:rPr>
          <w:i/>
        </w:rPr>
        <w:lastRenderedPageBreak/>
        <w:t>“It’s the same thing with education…like, my brother…it’s ridiculous, but my brother had sex ed classes…and religious studies…and it…it’s actually quite amusing how ridiculous it is because it’s…it’s I think it’s UK law that all children need to be educated, um, about sex and religion, but you look at my brother and you think…he cannot understand a word you’re saying, it’s just silly because instead of wasting time doing that they could be offering him something which he actually does need and which would be a benefit to him. So it’s just…that’s a bit silly.”</w:t>
      </w:r>
      <w:r w:rsidRPr="006A1EC7">
        <w:t xml:space="preserve"> (WHS6C)</w:t>
      </w:r>
    </w:p>
    <w:p w14:paraId="704DF394" w14:textId="77777777" w:rsidR="008B1FBF" w:rsidRPr="006A1EC7" w:rsidRDefault="008B1FBF" w:rsidP="008B1FBF">
      <w:pPr>
        <w:spacing w:line="276" w:lineRule="auto"/>
      </w:pPr>
    </w:p>
    <w:p w14:paraId="79865F4F" w14:textId="77777777" w:rsidR="008B1FBF" w:rsidRPr="006A1EC7" w:rsidRDefault="008B1FBF" w:rsidP="008B1FBF">
      <w:pPr>
        <w:spacing w:line="360" w:lineRule="auto"/>
      </w:pPr>
      <w:r w:rsidRPr="006A1EC7">
        <w:t>Missing school due to repeated infections and associated hospital admissions, and thus missing out on education, also came up as a direct consequence of repeated infections for the patient with WHS:</w:t>
      </w:r>
    </w:p>
    <w:p w14:paraId="3303654B" w14:textId="77777777" w:rsidR="008B1FBF" w:rsidRPr="006A1EC7" w:rsidRDefault="008B1FBF" w:rsidP="008B1FBF">
      <w:pPr>
        <w:spacing w:line="276" w:lineRule="auto"/>
      </w:pPr>
    </w:p>
    <w:p w14:paraId="2451B102" w14:textId="77777777" w:rsidR="008B1FBF" w:rsidRPr="006A1EC7" w:rsidRDefault="008B1FBF" w:rsidP="008B1FBF">
      <w:pPr>
        <w:spacing w:line="276" w:lineRule="auto"/>
      </w:pPr>
      <w:r w:rsidRPr="006A1EC7">
        <w:rPr>
          <w:i/>
        </w:rPr>
        <w:t>“he’s in hospital more than he is at school, he’s at home or at hospital more than he is at school.”</w:t>
      </w:r>
      <w:r w:rsidRPr="006A1EC7">
        <w:t xml:space="preserve"> (WHS2A)</w:t>
      </w:r>
    </w:p>
    <w:p w14:paraId="6D006D7E" w14:textId="77777777" w:rsidR="008B1FBF" w:rsidRPr="006A1EC7" w:rsidRDefault="008B1FBF" w:rsidP="008B1FBF">
      <w:pPr>
        <w:spacing w:line="360" w:lineRule="auto"/>
      </w:pPr>
    </w:p>
    <w:p w14:paraId="44757DD3" w14:textId="77777777"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4.2: Impact on day-to-day family life</w:t>
      </w:r>
    </w:p>
    <w:p w14:paraId="6A68D5A7" w14:textId="1B22A80C" w:rsidR="008B1FBF" w:rsidRPr="006A1EC7" w:rsidRDefault="008B1FBF" w:rsidP="008B1FBF">
      <w:pPr>
        <w:spacing w:line="360" w:lineRule="auto"/>
        <w:ind w:firstLine="720"/>
      </w:pPr>
      <w:r w:rsidRPr="006A1EC7">
        <w:t xml:space="preserve">Narratives around family life revealed that participants perceived having a family member with WHS as impacting significantly on their families’ day to day life, dictating routines and sometimes being a barrier to family activities (Subtheme 4.2). Participants emphasised that their relatives with WHS demanded a significant amount of attention, due to medical needs and a lack of cognitive awareness; and that the management of family life was very challenging at times. </w:t>
      </w:r>
    </w:p>
    <w:p w14:paraId="52D944E1" w14:textId="77777777" w:rsidR="008B1FBF" w:rsidRPr="006A1EC7" w:rsidRDefault="008B1FBF" w:rsidP="008B1FBF">
      <w:pPr>
        <w:spacing w:line="276" w:lineRule="auto"/>
      </w:pPr>
    </w:p>
    <w:p w14:paraId="74344413" w14:textId="77777777" w:rsidR="008B1FBF" w:rsidRPr="006A1EC7" w:rsidRDefault="008B1FBF" w:rsidP="008B1FBF">
      <w:pPr>
        <w:spacing w:line="276" w:lineRule="auto"/>
        <w:ind w:left="720"/>
      </w:pPr>
      <w:r w:rsidRPr="006A1EC7">
        <w:rPr>
          <w:i/>
        </w:rPr>
        <w:t>“It’s like if…if we have to go out, or if we have to have dinner, we have to plan who is going to be at home; when is he going to eat?, what is he going to eat?, when is he going to bed?, who is going to look after him?…everything.”</w:t>
      </w:r>
      <w:r w:rsidRPr="006A1EC7">
        <w:t xml:space="preserve"> (WHS6A)</w:t>
      </w:r>
    </w:p>
    <w:p w14:paraId="14249307" w14:textId="77777777" w:rsidR="008B1FBF" w:rsidRPr="006A1EC7" w:rsidRDefault="008B1FBF" w:rsidP="008B1FBF">
      <w:pPr>
        <w:spacing w:line="276" w:lineRule="auto"/>
        <w:ind w:left="720"/>
      </w:pPr>
    </w:p>
    <w:p w14:paraId="5A292C6A" w14:textId="6FC4C0FB" w:rsidR="008B1FBF" w:rsidRPr="006A1EC7" w:rsidRDefault="008B1FBF" w:rsidP="008B1FBF">
      <w:pPr>
        <w:spacing w:line="276" w:lineRule="auto"/>
        <w:ind w:left="720"/>
      </w:pPr>
    </w:p>
    <w:p w14:paraId="3B7BA8EE" w14:textId="300387DD" w:rsidR="008B1FBF" w:rsidRPr="006A1EC7" w:rsidRDefault="008B1FBF" w:rsidP="008B1FBF">
      <w:pPr>
        <w:spacing w:line="276" w:lineRule="auto"/>
        <w:ind w:left="720"/>
      </w:pPr>
      <w:r w:rsidRPr="006A1EC7">
        <w:rPr>
          <w:i/>
        </w:rPr>
        <w:t>“Although we try to have a normal life… So that’s some holidays with him, some holidays without him, but obviously you have to, you know, make everything adjust…adjust around him. It’s like if…if we have to go out, or if we have to have dinner, we have to plan who is going to be at home; when is he going to eat?, what is he going to eat?, when is he going to bed?, who is going to look after him?…everything.”</w:t>
      </w:r>
      <w:r w:rsidRPr="006A1EC7">
        <w:t xml:space="preserve"> (WHS6A)</w:t>
      </w:r>
    </w:p>
    <w:p w14:paraId="238BFBCA" w14:textId="7D41A568" w:rsidR="008B1FBF" w:rsidRPr="006A1EC7" w:rsidRDefault="008B1FBF" w:rsidP="008B1FBF">
      <w:pPr>
        <w:spacing w:line="276" w:lineRule="auto"/>
        <w:ind w:left="720"/>
      </w:pPr>
      <w:r w:rsidRPr="006A1EC7">
        <w:rPr>
          <w:i/>
        </w:rPr>
        <w:t>“because it means if we’re ever planning a day out, you know, we have to plan how he’s going to be able to get around if he’s going. So, do we have space in the car for the wheelchair, um, will the wheelchair…how do we fit people in the car cause seats have to be folded down… That has had a big impact</w:t>
      </w:r>
      <w:r w:rsidRPr="006A1EC7">
        <w:t>.” (WHS6C)</w:t>
      </w:r>
    </w:p>
    <w:p w14:paraId="64E47CA6" w14:textId="77777777" w:rsidR="008B1FBF" w:rsidRPr="006A1EC7" w:rsidRDefault="008B1FBF" w:rsidP="008B1FBF">
      <w:pPr>
        <w:spacing w:line="276" w:lineRule="auto"/>
      </w:pPr>
    </w:p>
    <w:p w14:paraId="2C8EE338" w14:textId="77777777" w:rsidR="008B1FBF" w:rsidRPr="006A1EC7" w:rsidRDefault="008B1FBF" w:rsidP="008B1FBF">
      <w:pPr>
        <w:spacing w:line="360" w:lineRule="auto"/>
      </w:pPr>
      <w:r w:rsidRPr="006A1EC7">
        <w:lastRenderedPageBreak/>
        <w:t xml:space="preserve">Aspects, such as trips, meal planning and ensuring relatives would be able to cope emotionally and cognitively with (new) environments, were often described. The latter was especially in relation to preventing and managing challenging behaviour, which was described as occurring more frequently in those situations. Family activities, such as going to the cinema or going for a meal, were described as situations that were often challenging. </w:t>
      </w:r>
    </w:p>
    <w:p w14:paraId="00AF98F0" w14:textId="77777777" w:rsidR="008B1FBF" w:rsidRPr="006A1EC7" w:rsidRDefault="008B1FBF" w:rsidP="008B1FBF">
      <w:pPr>
        <w:spacing w:line="276" w:lineRule="auto"/>
        <w:ind w:firstLine="720"/>
      </w:pPr>
    </w:p>
    <w:p w14:paraId="6B8AEE80" w14:textId="77777777" w:rsidR="008B1FBF" w:rsidRPr="006A1EC7" w:rsidRDefault="008B1FBF" w:rsidP="008B1FBF">
      <w:pPr>
        <w:spacing w:line="276" w:lineRule="auto"/>
        <w:ind w:left="720"/>
      </w:pPr>
      <w:r w:rsidRPr="006A1EC7">
        <w:rPr>
          <w:i/>
        </w:rPr>
        <w:t>“I’ve taken to play centre and they’ve had lights on or the noise has just been too much for him and he just can’t cope with it and he just doesn’t like it erm so i’ve had to bring them all home and for the other kids that’s a bit, that’s a bit unfair really, but sometimes he just doesn’t cope the same.”</w:t>
      </w:r>
      <w:r w:rsidRPr="006A1EC7">
        <w:t xml:space="preserve"> (WHS10)</w:t>
      </w:r>
    </w:p>
    <w:p w14:paraId="4BEC90FF" w14:textId="77777777" w:rsidR="008B1FBF" w:rsidRPr="006A1EC7" w:rsidRDefault="008B1FBF" w:rsidP="008B1FBF">
      <w:pPr>
        <w:spacing w:line="276" w:lineRule="auto"/>
        <w:ind w:left="720"/>
      </w:pPr>
      <w:r w:rsidRPr="006A1EC7">
        <w:rPr>
          <w:i/>
        </w:rPr>
        <w:t>“Yeah, I think, um…cause you have to maybe risk assess things more don’t you, or you have to plan things better or you have to think “Oh I can’t do that cause (..) just like going to cinema for example (…) because I know she won’t sit for that long.”</w:t>
      </w:r>
      <w:r w:rsidRPr="006A1EC7">
        <w:t xml:space="preserve"> (WHS11B)</w:t>
      </w:r>
    </w:p>
    <w:p w14:paraId="4D836C9D" w14:textId="77777777" w:rsidR="008B1FBF" w:rsidRPr="006A1EC7" w:rsidRDefault="008B1FBF" w:rsidP="008B1FBF">
      <w:pPr>
        <w:spacing w:line="276" w:lineRule="auto"/>
        <w:ind w:left="720"/>
      </w:pPr>
    </w:p>
    <w:p w14:paraId="45EAA50B" w14:textId="77777777" w:rsidR="008B1FBF" w:rsidRPr="006A1EC7" w:rsidRDefault="008B1FBF" w:rsidP="008B1FBF">
      <w:pPr>
        <w:spacing w:line="276" w:lineRule="auto"/>
        <w:ind w:left="720"/>
      </w:pPr>
    </w:p>
    <w:p w14:paraId="4FF62ED5" w14:textId="77777777" w:rsidR="008B1FBF" w:rsidRPr="006A1EC7" w:rsidRDefault="008B1FBF" w:rsidP="008B1FBF">
      <w:pPr>
        <w:spacing w:line="360" w:lineRule="auto"/>
      </w:pPr>
      <w:r w:rsidRPr="006A1EC7">
        <w:t xml:space="preserve">Controversially, some patients with WHS were reported as being social and friendly, embracing social situations well (link to Subtheme 1.6.2 in Clinical Features: Danger Awareness &amp; Safety). </w:t>
      </w:r>
    </w:p>
    <w:p w14:paraId="326F7214" w14:textId="77777777" w:rsidR="008B1FBF" w:rsidRPr="006A1EC7" w:rsidRDefault="008B1FBF" w:rsidP="008B1FBF">
      <w:pPr>
        <w:spacing w:line="276" w:lineRule="auto"/>
        <w:ind w:left="720"/>
      </w:pPr>
    </w:p>
    <w:p w14:paraId="787834CA" w14:textId="77777777" w:rsidR="008B1FBF" w:rsidRPr="006A1EC7" w:rsidRDefault="008B1FBF" w:rsidP="008B1FBF">
      <w:pPr>
        <w:spacing w:line="276" w:lineRule="auto"/>
        <w:ind w:left="720"/>
      </w:pPr>
      <w:r w:rsidRPr="006A1EC7">
        <w:rPr>
          <w:i/>
        </w:rPr>
        <w:t>“she likes going out to cafes, restaurants, she likes the social side, she loves to…you know, going up to people and talking to them. She can be quite, um…hard work as well in a restaurant because she’ll want to run around a lot and…you know, obviously the waiting staff, she’ll be getting in the way of it or she’ll be quite loud and noisy so it can be a bit …not …not embarrassed just a bit….oh, you know, people trying to have a nice meal and so we have to think…”</w:t>
      </w:r>
      <w:r w:rsidRPr="006A1EC7">
        <w:t xml:space="preserve"> (WHS11B)</w:t>
      </w:r>
    </w:p>
    <w:p w14:paraId="368E2D2F" w14:textId="77777777" w:rsidR="008B1FBF" w:rsidRPr="006A1EC7" w:rsidRDefault="008B1FBF" w:rsidP="008B1FBF">
      <w:pPr>
        <w:spacing w:line="276" w:lineRule="auto"/>
        <w:ind w:left="720"/>
      </w:pPr>
      <w:r w:rsidRPr="006A1EC7">
        <w:rPr>
          <w:i/>
        </w:rPr>
        <w:t>“</w:t>
      </w:r>
      <m:oMath>
        <m:d>
          <m:dPr>
            <m:begChr m:val="["/>
            <m:endChr m:val="]"/>
            <m:ctrlPr>
              <w:rPr>
                <w:rFonts w:ascii="Cambria Math" w:hAnsi="Cambria Math"/>
                <w:i/>
              </w:rPr>
            </m:ctrlPr>
          </m:dPr>
          <m:e>
            <m:r>
              <w:rPr>
                <w:rFonts w:ascii="Cambria Math" w:hAnsi="Cambria Math"/>
              </w:rPr>
              <m:t>daughter with WHS</m:t>
            </m:r>
          </m:e>
        </m:d>
      </m:oMath>
      <w:r w:rsidRPr="006A1EC7">
        <w:rPr>
          <w:i/>
        </w:rPr>
        <w:t xml:space="preserve"> turned round and spotted this lady so she put her hand out to her, so the lady naturally…took her hand, </w:t>
      </w:r>
      <m:oMath>
        <m:d>
          <m:dPr>
            <m:begChr m:val="["/>
            <m:endChr m:val="]"/>
            <m:ctrlPr>
              <w:rPr>
                <w:rFonts w:ascii="Cambria Math" w:hAnsi="Cambria Math"/>
                <w:i/>
              </w:rPr>
            </m:ctrlPr>
          </m:dPr>
          <m:e>
            <m:r>
              <w:rPr>
                <w:rFonts w:ascii="Cambria Math" w:hAnsi="Cambria Math"/>
              </w:rPr>
              <m:t>daughter with WHS</m:t>
            </m:r>
          </m:e>
        </m:d>
      </m:oMath>
      <w:r w:rsidRPr="006A1EC7">
        <w:rPr>
          <w:i/>
        </w:rPr>
        <w:t xml:space="preserve">  got up off my knee and went and sat on her knee and then wrapped her arms round her neck, so…she was absolutely thrilled to bits… she just does that to… she’s quite happy…to pass on her love to everybody else.”</w:t>
      </w:r>
      <w:r w:rsidRPr="006A1EC7">
        <w:t xml:space="preserve"> (WHS7)</w:t>
      </w:r>
    </w:p>
    <w:p w14:paraId="07682B09" w14:textId="77777777" w:rsidR="008B1FBF" w:rsidRPr="006A1EC7" w:rsidRDefault="008B1FBF" w:rsidP="008B1FBF">
      <w:pPr>
        <w:spacing w:line="276" w:lineRule="auto"/>
        <w:ind w:left="720"/>
        <w:rPr>
          <w:i/>
        </w:rPr>
      </w:pPr>
      <w:r w:rsidRPr="006A1EC7">
        <w:rPr>
          <w:i/>
        </w:rPr>
        <w:t>“He’s been…he’s very sociable so I’ve always sort of bravely just taken him out into society if you like… because he loves being around people so much.”</w:t>
      </w:r>
      <w:r w:rsidRPr="006A1EC7">
        <w:t xml:space="preserve"> (WHS5)</w:t>
      </w:r>
    </w:p>
    <w:p w14:paraId="4247AC45" w14:textId="77777777" w:rsidR="008B1FBF" w:rsidRPr="006A1EC7" w:rsidRDefault="008B1FBF" w:rsidP="008B1FBF">
      <w:pPr>
        <w:spacing w:line="276" w:lineRule="auto"/>
      </w:pPr>
    </w:p>
    <w:p w14:paraId="52A8AF27" w14:textId="77777777" w:rsidR="008B1FBF" w:rsidRPr="006A1EC7" w:rsidRDefault="008B1FBF" w:rsidP="008B1FBF">
      <w:pPr>
        <w:spacing w:line="360" w:lineRule="auto"/>
      </w:pPr>
      <w:r w:rsidRPr="006A1EC7">
        <w:t>Having to cancel plans with friends due to their children being unwell or having to cancel seeing friends and family due to them being unwell and fear of infection for their relative with WHS, were reported.</w:t>
      </w:r>
    </w:p>
    <w:p w14:paraId="2C544E13" w14:textId="77777777" w:rsidR="008B1FBF" w:rsidRPr="006A1EC7" w:rsidRDefault="008B1FBF" w:rsidP="008B1FBF">
      <w:pPr>
        <w:spacing w:line="276" w:lineRule="auto"/>
      </w:pPr>
    </w:p>
    <w:p w14:paraId="3943FFC0" w14:textId="77777777" w:rsidR="008B1FBF" w:rsidRPr="006A1EC7" w:rsidRDefault="008B1FBF" w:rsidP="008B1FBF">
      <w:pPr>
        <w:spacing w:line="276" w:lineRule="auto"/>
        <w:ind w:left="720"/>
      </w:pPr>
      <w:r w:rsidRPr="006A1EC7">
        <w:rPr>
          <w:i/>
        </w:rPr>
        <w:t>“Friends will tell us if they’re poorly and then we’re like, well maybe we shouldn’t come, or family will.”</w:t>
      </w:r>
      <w:r w:rsidRPr="006A1EC7">
        <w:t xml:space="preserve"> (WHS3A)</w:t>
      </w:r>
    </w:p>
    <w:p w14:paraId="00B74238" w14:textId="77777777" w:rsidR="008B1FBF" w:rsidRPr="006A1EC7" w:rsidRDefault="008B1FBF" w:rsidP="008B1FBF">
      <w:pPr>
        <w:spacing w:line="276" w:lineRule="auto"/>
        <w:ind w:left="720"/>
      </w:pPr>
      <w:r w:rsidRPr="006A1EC7">
        <w:rPr>
          <w:i/>
        </w:rPr>
        <w:lastRenderedPageBreak/>
        <w:t xml:space="preserve">“my biggest thing is I’ve been meeting up with friends, and obviously I can’t meet them today because </w:t>
      </w:r>
      <m:oMath>
        <m:d>
          <m:dPr>
            <m:begChr m:val="["/>
            <m:endChr m:val="]"/>
            <m:ctrlPr>
              <w:rPr>
                <w:rFonts w:ascii="Cambria Math" w:hAnsi="Cambria Math"/>
                <w:i/>
              </w:rPr>
            </m:ctrlPr>
          </m:dPr>
          <m:e>
            <m:r>
              <w:rPr>
                <w:rFonts w:ascii="Cambria Math" w:hAnsi="Cambria Math"/>
              </w:rPr>
              <m:t>chil</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s name</m:t>
            </m:r>
          </m:e>
        </m:d>
      </m:oMath>
      <w:r w:rsidRPr="006A1EC7">
        <w:rPr>
          <w:i/>
        </w:rPr>
        <w:t xml:space="preserve"> is not well, or </w:t>
      </w:r>
      <m:oMath>
        <m:d>
          <m:dPr>
            <m:ctrlPr>
              <w:rPr>
                <w:rFonts w:ascii="Cambria Math" w:hAnsi="Cambria Math"/>
                <w:i/>
              </w:rPr>
            </m:ctrlPr>
          </m:dPr>
          <m:e>
            <m:r>
              <w:rPr>
                <w:rFonts w:ascii="Cambria Math" w:hAnsi="Cambria Math"/>
              </w:rPr>
              <m:t>…</m:t>
            </m:r>
          </m:e>
        </m:d>
        <m:r>
          <w:rPr>
            <w:rFonts w:ascii="Cambria Math" w:hAnsi="Cambria Math"/>
          </w:rPr>
          <m:t xml:space="preserve"> </m:t>
        </m:r>
      </m:oMath>
      <w:r w:rsidRPr="006A1EC7">
        <w:rPr>
          <w:i/>
        </w:rPr>
        <w:t xml:space="preserve">off school. (…) Like one of my friends for the last 6 months, I’ve been trying to have lunch with her and then we managed to have lunch last week and as soon as I put the last bit of food in my mouth, I got a phone call form </w:t>
      </w:r>
      <m:oMath>
        <m:d>
          <m:dPr>
            <m:begChr m:val="["/>
            <m:endChr m:val="]"/>
            <m:ctrlPr>
              <w:rPr>
                <w:rFonts w:ascii="Cambria Math" w:hAnsi="Cambria Math"/>
                <w:i/>
              </w:rPr>
            </m:ctrlPr>
          </m:dPr>
          <m:e>
            <m:r>
              <w:rPr>
                <w:rFonts w:ascii="Cambria Math" w:hAnsi="Cambria Math"/>
              </w:rPr>
              <m:t>chil</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s school</m:t>
            </m:r>
          </m:e>
        </m:d>
      </m:oMath>
      <w:r w:rsidRPr="006A1EC7">
        <w:rPr>
          <w:i/>
        </w:rPr>
        <w:t xml:space="preserve"> cos he wasn’t well and I had to go and get him.”</w:t>
      </w:r>
      <w:r w:rsidRPr="006A1EC7">
        <w:t xml:space="preserve"> (WHS10)</w:t>
      </w:r>
    </w:p>
    <w:p w14:paraId="11740D2D" w14:textId="77777777" w:rsidR="008B1FBF" w:rsidRPr="006A1EC7" w:rsidRDefault="008B1FBF" w:rsidP="008B1FBF">
      <w:pPr>
        <w:spacing w:line="276" w:lineRule="auto"/>
      </w:pPr>
    </w:p>
    <w:p w14:paraId="2C2A3EFB" w14:textId="77777777" w:rsidR="008B1FBF" w:rsidRPr="006A1EC7" w:rsidRDefault="008B1FBF" w:rsidP="008B1FBF">
      <w:pPr>
        <w:spacing w:line="360" w:lineRule="auto"/>
      </w:pPr>
      <w:r w:rsidRPr="006A1EC7">
        <w:t>Mothers, who had more than one affected child (WHS7, WHS9), report relying on respite and residential school/care as it was not possible for them to have all affected children at home at the same time due to the care required. The mothers outline routines and explain that their lives revolved around this routine, what was not always perceived as easy.</w:t>
      </w:r>
    </w:p>
    <w:p w14:paraId="6BBEFB09" w14:textId="77777777" w:rsidR="008B1FBF" w:rsidRPr="006A1EC7" w:rsidRDefault="008B1FBF" w:rsidP="008B1FBF">
      <w:pPr>
        <w:spacing w:line="276" w:lineRule="auto"/>
        <w:ind w:firstLine="720"/>
      </w:pPr>
    </w:p>
    <w:p w14:paraId="18B17448" w14:textId="77777777" w:rsidR="008B1FBF" w:rsidRPr="006A1EC7" w:rsidRDefault="008B1FBF" w:rsidP="008B1FBF">
      <w:pPr>
        <w:spacing w:line="276" w:lineRule="auto"/>
        <w:ind w:left="720"/>
      </w:pPr>
      <w:r w:rsidRPr="006A1EC7">
        <w:rPr>
          <w:i/>
        </w:rPr>
        <w:t>“</w:t>
      </w:r>
      <m:oMath>
        <m:d>
          <m:dPr>
            <m:begChr m:val="["/>
            <m:endChr m:val="]"/>
            <m:ctrlPr>
              <w:rPr>
                <w:rFonts w:ascii="Cambria Math" w:hAnsi="Cambria Math"/>
                <w:i/>
              </w:rPr>
            </m:ctrlPr>
          </m:dPr>
          <m:e>
            <m:r>
              <w:rPr>
                <w:rFonts w:ascii="Cambria Math" w:hAnsi="Cambria Math"/>
              </w:rPr>
              <m:t>Gir</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s name</m:t>
            </m:r>
          </m:e>
        </m:d>
      </m:oMath>
      <w:r w:rsidRPr="006A1EC7">
        <w:rPr>
          <w:i/>
        </w:rPr>
        <w:t xml:space="preserve">went to residential school while…while we had </w:t>
      </w:r>
      <m:oMath>
        <m:d>
          <m:dPr>
            <m:begChr m:val="["/>
            <m:endChr m:val="]"/>
            <m:ctrlPr>
              <w:rPr>
                <w:rFonts w:ascii="Cambria Math" w:hAnsi="Cambria Math"/>
                <w:i/>
              </w:rPr>
            </m:ctrlPr>
          </m:dPr>
          <m:e>
            <m:r>
              <w:rPr>
                <w:rFonts w:ascii="Cambria Math" w:hAnsi="Cambria Math"/>
              </w:rPr>
              <m:t>Boy's name</m:t>
            </m:r>
          </m:e>
        </m:d>
      </m:oMath>
      <w:r w:rsidRPr="006A1EC7">
        <w:rPr>
          <w:i/>
        </w:rPr>
        <w:t>…and we used to swap them over. (…) That’s how we managed but it was hard work.”</w:t>
      </w:r>
      <w:r w:rsidRPr="006A1EC7">
        <w:t xml:space="preserve"> (WHS9). </w:t>
      </w:r>
    </w:p>
    <w:p w14:paraId="6AC6AE84" w14:textId="77777777" w:rsidR="008B1FBF" w:rsidRPr="006A1EC7" w:rsidRDefault="008B1FBF" w:rsidP="008B1FBF">
      <w:pPr>
        <w:spacing w:line="276" w:lineRule="auto"/>
        <w:ind w:left="720"/>
      </w:pPr>
      <w:r w:rsidRPr="006A1EC7">
        <w:rPr>
          <w:i/>
        </w:rPr>
        <w:t>“We only ever had one home and a time, so that two would be in, one at home, and we’d swap them around. Um, and that worked for a very long time.”</w:t>
      </w:r>
      <w:r w:rsidRPr="006A1EC7">
        <w:t xml:space="preserve"> (WHS7)</w:t>
      </w:r>
    </w:p>
    <w:p w14:paraId="6321FF47" w14:textId="77777777" w:rsidR="008B1FBF" w:rsidRPr="006A1EC7" w:rsidRDefault="008B1FBF" w:rsidP="008B1FBF">
      <w:pPr>
        <w:spacing w:line="360" w:lineRule="auto"/>
      </w:pPr>
    </w:p>
    <w:p w14:paraId="2A4B346A" w14:textId="77777777"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4.3: Hospital admissions</w:t>
      </w:r>
    </w:p>
    <w:p w14:paraId="22269662" w14:textId="77777777" w:rsidR="008B1FBF" w:rsidRPr="006A1EC7" w:rsidRDefault="008B1FBF" w:rsidP="008B1FBF">
      <w:pPr>
        <w:spacing w:line="360" w:lineRule="auto"/>
        <w:ind w:firstLine="720"/>
      </w:pPr>
      <w:r w:rsidRPr="006A1EC7">
        <w:t xml:space="preserve">In the interviews, family members expressed the impact of repeated, and often frequent, hospital admission on themselves and on the family. Discourse around this was significant and prevalent and thus, warranted its own subtheme.  Participants described constantly preparing themselves for eventual hospital admissions, for example, one mother reported always having a </w:t>
      </w:r>
      <w:r w:rsidRPr="006A1EC7">
        <w:rPr>
          <w:i/>
        </w:rPr>
        <w:t>“hospital bag”</w:t>
      </w:r>
      <w:r w:rsidRPr="006A1EC7">
        <w:t xml:space="preserve"> ready in case of an emergency admission, and after previously having had </w:t>
      </w:r>
      <w:r w:rsidRPr="006A1EC7">
        <w:rPr>
          <w:i/>
        </w:rPr>
        <w:t>“traumatic</w:t>
      </w:r>
      <w:r w:rsidRPr="006A1EC7">
        <w:t>” admission in the middle of the night (WHS11A). Participants emphasised the stress of having to care for a sick child with a potentially life-threatening infection or illness; and reported having to worry about their other young(er) children and to coordinate their care. Occupational fears in relation to financial stability and job security due to absences, further exacerbated the emotional impact of hospital admissions:</w:t>
      </w:r>
    </w:p>
    <w:p w14:paraId="3D63F934" w14:textId="77777777" w:rsidR="008B1FBF" w:rsidRPr="006A1EC7" w:rsidRDefault="008B1FBF" w:rsidP="008B1FBF">
      <w:pPr>
        <w:spacing w:line="276" w:lineRule="auto"/>
      </w:pPr>
    </w:p>
    <w:p w14:paraId="3F5C244B" w14:textId="77777777" w:rsidR="008B1FBF" w:rsidRPr="006A1EC7" w:rsidRDefault="008B1FBF" w:rsidP="008B1FBF">
      <w:pPr>
        <w:spacing w:line="276" w:lineRule="auto"/>
        <w:ind w:left="720"/>
      </w:pPr>
      <w:r w:rsidRPr="006A1EC7">
        <w:rPr>
          <w:i/>
        </w:rPr>
        <w:t>“I think it’s just the - like when he was in hospital the last time with it, he was in hospital for over two weeks, he was then in intensive care of a week and a half, erm you’re kinda torn.”</w:t>
      </w:r>
      <w:r w:rsidRPr="006A1EC7">
        <w:t xml:space="preserve"> (WHS10)</w:t>
      </w:r>
    </w:p>
    <w:p w14:paraId="4CE93A5F" w14:textId="77777777" w:rsidR="008B1FBF" w:rsidRPr="006A1EC7" w:rsidRDefault="008B1FBF" w:rsidP="008B1FBF">
      <w:pPr>
        <w:spacing w:line="276" w:lineRule="auto"/>
        <w:ind w:left="720"/>
      </w:pPr>
      <w:r w:rsidRPr="006A1EC7">
        <w:rPr>
          <w:i/>
        </w:rPr>
        <w:t xml:space="preserve">“Yeah…um, it’s just hard really, you know, in terms of, um, managing hospitalisation; you know, in terms of work and you always fear about how, you know, relaxed work will be, so…so it…individual to (name), no problem really, it’s </w:t>
      </w:r>
      <w:r w:rsidRPr="006A1EC7">
        <w:rPr>
          <w:i/>
        </w:rPr>
        <w:lastRenderedPageBreak/>
        <w:t>just, you know, managing the external, you know, stresses, yeah in terms of work and mortgage and stuff like that.”</w:t>
      </w:r>
      <w:r w:rsidRPr="006A1EC7">
        <w:t xml:space="preserve"> (WHS11C)</w:t>
      </w:r>
    </w:p>
    <w:p w14:paraId="2A712248" w14:textId="77777777" w:rsidR="008B1FBF" w:rsidRPr="006A1EC7" w:rsidRDefault="008B1FBF" w:rsidP="008B1FBF">
      <w:pPr>
        <w:spacing w:line="276" w:lineRule="auto"/>
        <w:ind w:left="720"/>
      </w:pPr>
      <w:r w:rsidRPr="006A1EC7">
        <w:rPr>
          <w:i/>
        </w:rPr>
        <w:t>“You're trying to deal with that in an emergency, but also arrange your other kid...hold down, you know, work. (Fathers name) works full time, I do part-time, so both trying to hold down jobs and, um, juggle that…that’s…that was hard.”</w:t>
      </w:r>
      <w:r w:rsidRPr="006A1EC7">
        <w:t xml:space="preserve"> (WHS11A)</w:t>
      </w:r>
    </w:p>
    <w:p w14:paraId="513D00D8" w14:textId="77777777" w:rsidR="008B1FBF" w:rsidRPr="006A1EC7" w:rsidRDefault="008B1FBF" w:rsidP="008B1FBF">
      <w:pPr>
        <w:spacing w:line="360" w:lineRule="auto"/>
        <w:ind w:firstLine="720"/>
      </w:pPr>
    </w:p>
    <w:p w14:paraId="2C562C65" w14:textId="77777777" w:rsidR="008B1FBF" w:rsidRPr="006A1EC7" w:rsidRDefault="008B1FBF" w:rsidP="008B1FBF">
      <w:pPr>
        <w:spacing w:line="360" w:lineRule="auto"/>
      </w:pPr>
      <w:r w:rsidRPr="006A1EC7">
        <w:t>Stressful hospital experiences are further exacerbated by medical professionals’ lack of knowledge regarding WHS and their unpreparedness to read notes pre-consultations, previously also explored.</w:t>
      </w:r>
    </w:p>
    <w:p w14:paraId="00F1F4F0" w14:textId="77777777" w:rsidR="008B1FBF" w:rsidRPr="006A1EC7" w:rsidRDefault="008B1FBF" w:rsidP="008B1FBF">
      <w:pPr>
        <w:spacing w:line="276" w:lineRule="auto"/>
        <w:ind w:left="720"/>
      </w:pPr>
    </w:p>
    <w:p w14:paraId="5D4E5149" w14:textId="77777777" w:rsidR="008B1FBF" w:rsidRPr="006A1EC7" w:rsidRDefault="008B1FBF" w:rsidP="008B1FBF">
      <w:pPr>
        <w:spacing w:line="276" w:lineRule="auto"/>
        <w:ind w:left="720"/>
      </w:pPr>
      <w:r w:rsidRPr="006A1EC7">
        <w:t>“</w:t>
      </w:r>
      <w:r w:rsidRPr="006A1EC7">
        <w:rPr>
          <w:i/>
        </w:rPr>
        <w:t>Every time they change when you’re in a hospital, you have to go through the whole story right from the pregnancy, so that that’s quite frustrat- that was the frustrating thing for with doctors, erm and you’re educating them every time when you’re like actually “I’m really stressed, I’m trying to look after my sick child and I’ve got to constantly try and educate him you on his position, his half (?) postion anyway”, so that was the most frustrating thing that we’ve had with doctors I think and also with GPs”</w:t>
      </w:r>
      <w:r w:rsidRPr="006A1EC7">
        <w:t xml:space="preserve"> (WHS3A)</w:t>
      </w:r>
    </w:p>
    <w:p w14:paraId="20913CE8" w14:textId="77777777" w:rsidR="008B1FBF" w:rsidRPr="006A1EC7" w:rsidRDefault="008B1FBF" w:rsidP="008B1FBF">
      <w:pPr>
        <w:spacing w:line="360" w:lineRule="auto"/>
      </w:pPr>
      <w:bookmarkStart w:id="165" w:name="_Toc17977907"/>
    </w:p>
    <w:p w14:paraId="7EDA57FC" w14:textId="77777777" w:rsidR="008B1FBF" w:rsidRPr="006A1EC7" w:rsidRDefault="008B1FBF" w:rsidP="008B1FBF">
      <w:pPr>
        <w:pStyle w:val="Heading2"/>
        <w:rPr>
          <w:rFonts w:ascii="Times New Roman" w:hAnsi="Times New Roman" w:cs="Times New Roman"/>
        </w:rPr>
      </w:pPr>
      <w:bookmarkStart w:id="166" w:name="_Toc38821445"/>
      <w:bookmarkStart w:id="167" w:name="_Toc40173001"/>
      <w:r w:rsidRPr="006A1EC7">
        <w:rPr>
          <w:rFonts w:ascii="Times New Roman" w:hAnsi="Times New Roman" w:cs="Times New Roman"/>
        </w:rPr>
        <w:t>Theme 5: Support experience</w:t>
      </w:r>
      <w:bookmarkEnd w:id="166"/>
      <w:bookmarkEnd w:id="167"/>
    </w:p>
    <w:p w14:paraId="196E583C" w14:textId="77777777" w:rsidR="008B1FBF" w:rsidRPr="006A1EC7" w:rsidRDefault="008B1FBF" w:rsidP="008B1FBF">
      <w:pPr>
        <w:spacing w:line="360" w:lineRule="auto"/>
        <w:ind w:firstLine="720"/>
      </w:pPr>
    </w:p>
    <w:p w14:paraId="393BA8AD" w14:textId="77777777" w:rsidR="008B1FBF" w:rsidRPr="006A1EC7" w:rsidRDefault="008B1FBF" w:rsidP="008B1FBF">
      <w:pPr>
        <w:spacing w:line="360" w:lineRule="auto"/>
        <w:ind w:firstLine="720"/>
      </w:pPr>
      <w:r w:rsidRPr="006A1EC7">
        <w:t>Aside from HRQoL/QoL impacts, participants described their support experience (Theme 5), which was often inadequate (Subtheme 5.1) with many unmet support needs (Subtheme 5.2)</w:t>
      </w:r>
      <w:bookmarkEnd w:id="165"/>
      <w:r w:rsidRPr="006A1EC7">
        <w:t>.</w:t>
      </w:r>
    </w:p>
    <w:p w14:paraId="40C2B523" w14:textId="77777777" w:rsidR="008B1FBF" w:rsidRPr="006A1EC7" w:rsidRDefault="008B1FBF" w:rsidP="008B1FBF">
      <w:pPr>
        <w:spacing w:line="360" w:lineRule="auto"/>
      </w:pPr>
    </w:p>
    <w:p w14:paraId="08ABD3B7" w14:textId="77777777"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5.1: Support experience</w:t>
      </w:r>
    </w:p>
    <w:p w14:paraId="42E5B858" w14:textId="77777777" w:rsidR="008B1FBF" w:rsidRPr="006A1EC7" w:rsidRDefault="008B1FBF" w:rsidP="008B1FBF">
      <w:pPr>
        <w:spacing w:line="360" w:lineRule="auto"/>
        <w:ind w:firstLine="720"/>
      </w:pPr>
      <w:r w:rsidRPr="006A1EC7">
        <w:t>In terms of general support with managing life with an affected relative with WHS, family support networks were described as essential in managing daily life. The involvements of grandparents was especially emphasised across the participant accounts. Facilitators for grandparents to be able to be this involved included being retired and thus having the time to help as well as living close by. Grandparents were described as looking after the family and stepping in to look after unaffected children when parents had to go to hospital or appointments. The involvement of grandparents in the care of children and adults with WHS is likely also reflected in a high number of grandmothers volunteering for this current study. Interestingly, only one participant mentioned friends as a source of support for her life with a child with WHS.</w:t>
      </w:r>
    </w:p>
    <w:p w14:paraId="01DDEFE6" w14:textId="77777777" w:rsidR="008B1FBF" w:rsidRPr="006A1EC7" w:rsidRDefault="008B1FBF" w:rsidP="008B1FBF">
      <w:pPr>
        <w:spacing w:line="360" w:lineRule="auto"/>
        <w:ind w:firstLine="720"/>
      </w:pPr>
    </w:p>
    <w:p w14:paraId="3A48FB8F" w14:textId="77777777" w:rsidR="008B1FBF" w:rsidRPr="006A1EC7" w:rsidRDefault="008B1FBF" w:rsidP="008B1FBF">
      <w:pPr>
        <w:spacing w:line="360" w:lineRule="auto"/>
        <w:ind w:firstLine="720"/>
      </w:pPr>
      <w:r w:rsidRPr="006A1EC7">
        <w:lastRenderedPageBreak/>
        <w:t>“</w:t>
      </w:r>
      <w:r w:rsidRPr="006A1EC7">
        <w:rPr>
          <w:i/>
        </w:rPr>
        <w:t>we’ve got a good family support network</w:t>
      </w:r>
      <w:r w:rsidRPr="006A1EC7">
        <w:t>” (WHS8)</w:t>
      </w:r>
    </w:p>
    <w:p w14:paraId="1CE76EDA" w14:textId="77777777" w:rsidR="008B1FBF" w:rsidRPr="006A1EC7" w:rsidRDefault="008B1FBF" w:rsidP="008B1FBF">
      <w:pPr>
        <w:spacing w:line="360" w:lineRule="auto"/>
        <w:ind w:left="720"/>
      </w:pPr>
      <w:r w:rsidRPr="006A1EC7">
        <w:rPr>
          <w:i/>
        </w:rPr>
        <w:t>“I was here a lot because I was able to be, when they needed me the most”</w:t>
      </w:r>
      <w:r w:rsidRPr="006A1EC7">
        <w:t xml:space="preserve"> </w:t>
      </w:r>
      <m:oMath>
        <m:d>
          <m:dPr>
            <m:begChr m:val="["/>
            <m:endChr m:val="]"/>
            <m:ctrlPr>
              <w:rPr>
                <w:rFonts w:ascii="Cambria Math" w:hAnsi="Cambria Math"/>
                <w:i/>
              </w:rPr>
            </m:ctrlPr>
          </m:dPr>
          <m:e>
            <m:r>
              <w:rPr>
                <w:rFonts w:ascii="Cambria Math" w:hAnsi="Cambria Math"/>
              </w:rPr>
              <m:t>recalling time of initial diagnosis and infancy</m:t>
            </m:r>
          </m:e>
        </m:d>
      </m:oMath>
      <w:r w:rsidRPr="006A1EC7">
        <w:t xml:space="preserve"> (WHS3B)</w:t>
      </w:r>
      <w:r w:rsidRPr="006A1EC7">
        <w:br/>
      </w:r>
      <w:r w:rsidRPr="006A1EC7">
        <w:rPr>
          <w:i/>
        </w:rPr>
        <w:t>“obviously grandma and grandad look after the family</w:t>
      </w:r>
      <w:r w:rsidRPr="006A1EC7">
        <w:t>” (WHS2C)</w:t>
      </w:r>
    </w:p>
    <w:p w14:paraId="759459C3" w14:textId="77777777" w:rsidR="008B1FBF" w:rsidRPr="006A1EC7" w:rsidRDefault="008B1FBF" w:rsidP="008B1FBF">
      <w:pPr>
        <w:spacing w:line="276" w:lineRule="auto"/>
        <w:ind w:left="720"/>
      </w:pPr>
      <w:r w:rsidRPr="006A1EC7">
        <w:rPr>
          <w:i/>
        </w:rPr>
        <w:t>“I’m really lucky because I’ve got a good support network… my mother in law just lives down the street next to us…</w:t>
      </w:r>
      <w:r w:rsidRPr="006A1EC7">
        <w:t xml:space="preserve"> ” (WHS10)</w:t>
      </w:r>
    </w:p>
    <w:p w14:paraId="5744935C" w14:textId="77777777" w:rsidR="008B1FBF" w:rsidRPr="006A1EC7" w:rsidRDefault="008B1FBF" w:rsidP="008B1FBF">
      <w:pPr>
        <w:spacing w:line="276" w:lineRule="auto"/>
        <w:ind w:left="720"/>
      </w:pPr>
      <w:r w:rsidRPr="006A1EC7">
        <w:rPr>
          <w:i/>
        </w:rPr>
        <w:t xml:space="preserve">“I was lucky cos my mum… literally moved down in my house to look after them </w:t>
      </w:r>
      <m:oMath>
        <m:d>
          <m:dPr>
            <m:begChr m:val="["/>
            <m:endChr m:val="]"/>
            <m:ctrlPr>
              <w:rPr>
                <w:rFonts w:ascii="Cambria Math" w:hAnsi="Cambria Math"/>
                <w:i/>
              </w:rPr>
            </m:ctrlPr>
          </m:dPr>
          <m:e>
            <m:r>
              <w:rPr>
                <w:rFonts w:ascii="Cambria Math" w:hAnsi="Cambria Math"/>
              </w:rPr>
              <m:t>other children</m:t>
            </m:r>
          </m:e>
        </m:d>
      </m:oMath>
      <w:r w:rsidRPr="006A1EC7">
        <w:rPr>
          <w:i/>
        </w:rPr>
        <w:t xml:space="preserve"> and my in-laws, they helped taking them </w:t>
      </w:r>
      <m:oMath>
        <m:d>
          <m:dPr>
            <m:begChr m:val="["/>
            <m:endChr m:val="]"/>
            <m:ctrlPr>
              <w:rPr>
                <w:rFonts w:ascii="Cambria Math" w:hAnsi="Cambria Math"/>
                <w:i/>
              </w:rPr>
            </m:ctrlPr>
          </m:dPr>
          <m:e>
            <m:r>
              <w:rPr>
                <w:rFonts w:ascii="Cambria Math" w:hAnsi="Cambria Math"/>
              </w:rPr>
              <m:t>other children</m:t>
            </m:r>
          </m:e>
        </m:d>
      </m:oMath>
      <w:r w:rsidRPr="006A1EC7">
        <w:rPr>
          <w:i/>
        </w:rPr>
        <w:t xml:space="preserve"> back and forward to school - but they wanted to see their parents, don’t they and they wanted to see </w:t>
      </w:r>
      <m:oMath>
        <m:d>
          <m:dPr>
            <m:begChr m:val="["/>
            <m:endChr m:val="]"/>
            <m:ctrlPr>
              <w:rPr>
                <w:rFonts w:ascii="Cambria Math" w:hAnsi="Cambria Math"/>
                <w:i/>
              </w:rPr>
            </m:ctrlPr>
          </m:dPr>
          <m:e>
            <m:r>
              <w:rPr>
                <w:rFonts w:ascii="Cambria Math" w:hAnsi="Cambria Math"/>
              </w:rPr>
              <m:t xml:space="preserve">child with WHS, who was in hospital&gt;2 </m:t>
            </m:r>
            <m:r>
              <w:rPr>
                <w:rFonts w:ascii="Cambria Math" w:hAnsi="Cambria Math"/>
              </w:rPr>
              <m:t>hours away</m:t>
            </m:r>
          </m:e>
        </m:d>
      </m:oMath>
      <w:r w:rsidRPr="006A1EC7">
        <w:t>.” (WHS10).</w:t>
      </w:r>
    </w:p>
    <w:p w14:paraId="7CD624A2" w14:textId="77777777" w:rsidR="008B1FBF" w:rsidRPr="006A1EC7" w:rsidRDefault="008B1FBF" w:rsidP="008B1FBF">
      <w:pPr>
        <w:spacing w:line="276" w:lineRule="auto"/>
      </w:pPr>
    </w:p>
    <w:p w14:paraId="3E48507D" w14:textId="77777777" w:rsidR="008B1FBF" w:rsidRPr="006A1EC7" w:rsidRDefault="008B1FBF" w:rsidP="008B1FBF">
      <w:pPr>
        <w:spacing w:line="360" w:lineRule="auto"/>
      </w:pPr>
      <w:r w:rsidRPr="006A1EC7">
        <w:t>Overall, individual differences were found in terms of which relatives sought support, what type of support was sought and when the time points at which support was sought. For the majority of participants in the study, seeking and finding sources of (professional or peer) support were priorities. This is also reflected in the fact that many participants would give the advice of seeking support early on for raising a child with WHS:</w:t>
      </w:r>
    </w:p>
    <w:p w14:paraId="7744AC24" w14:textId="77777777" w:rsidR="008B1FBF" w:rsidRPr="006A1EC7" w:rsidRDefault="008B1FBF" w:rsidP="008B1FBF">
      <w:pPr>
        <w:spacing w:line="276" w:lineRule="auto"/>
      </w:pPr>
    </w:p>
    <w:p w14:paraId="208CCE07" w14:textId="77777777" w:rsidR="008B1FBF" w:rsidRPr="006A1EC7" w:rsidRDefault="008B1FBF" w:rsidP="008B1FBF">
      <w:pPr>
        <w:spacing w:line="276" w:lineRule="auto"/>
        <w:ind w:left="720"/>
        <w:rPr>
          <w:i/>
        </w:rPr>
      </w:pPr>
      <w:r w:rsidRPr="006A1EC7">
        <w:t>“</w:t>
      </w:r>
      <w:r w:rsidRPr="006A1EC7">
        <w:rPr>
          <w:i/>
        </w:rPr>
        <w:t>hammer away until you get some support… Parents with a child with anything like this need a lot of support.”</w:t>
      </w:r>
      <w:r w:rsidRPr="006A1EC7">
        <w:t xml:space="preserve"> (WHS3B)</w:t>
      </w:r>
    </w:p>
    <w:p w14:paraId="54C89A37" w14:textId="77777777" w:rsidR="008B1FBF" w:rsidRPr="006A1EC7" w:rsidRDefault="008B1FBF" w:rsidP="008B1FBF">
      <w:pPr>
        <w:spacing w:line="360" w:lineRule="auto"/>
      </w:pPr>
    </w:p>
    <w:p w14:paraId="2ED1083F" w14:textId="77777777" w:rsidR="008B1FBF" w:rsidRPr="006A1EC7" w:rsidRDefault="008B1FBF" w:rsidP="008B1FBF">
      <w:pPr>
        <w:pStyle w:val="Heading3"/>
        <w:rPr>
          <w:rFonts w:ascii="Times New Roman" w:hAnsi="Times New Roman" w:cs="Times New Roman"/>
        </w:rPr>
      </w:pPr>
      <w:r w:rsidRPr="006A1EC7">
        <w:rPr>
          <w:rFonts w:ascii="Times New Roman" w:hAnsi="Times New Roman" w:cs="Times New Roman"/>
        </w:rPr>
        <w:t>Subtheme 5.2: Support needs</w:t>
      </w:r>
    </w:p>
    <w:p w14:paraId="243631AE" w14:textId="77777777" w:rsidR="008B1FBF" w:rsidRPr="006A1EC7" w:rsidRDefault="008B1FBF" w:rsidP="008B1FBF">
      <w:pPr>
        <w:spacing w:line="360" w:lineRule="auto"/>
        <w:ind w:firstLine="720"/>
      </w:pPr>
      <w:r w:rsidRPr="006A1EC7">
        <w:rPr>
          <w:rFonts w:eastAsiaTheme="majorEastAsia"/>
        </w:rPr>
        <w:t xml:space="preserve">In terms of support needs (Subtheme 5.2), three distinct needs </w:t>
      </w:r>
      <w:r w:rsidRPr="006A1EC7">
        <w:t>were identified from the interviews: Informational needs (Subtheme 5.2.1), Emotional needs (Subtheme 5.2.2) and Peer support needs (5.2.3).  Many of these needs were not fulfilled by health professionals (link to Theme 2) so families looked elsewhere for this support, which was predominantly online.</w:t>
      </w:r>
    </w:p>
    <w:p w14:paraId="4E1C9D0D" w14:textId="0511FF51" w:rsidR="008B1FBF" w:rsidRPr="006A1EC7" w:rsidRDefault="008B1FBF" w:rsidP="008B1FBF">
      <w:pPr>
        <w:spacing w:line="360" w:lineRule="auto"/>
      </w:pPr>
      <w:r w:rsidRPr="006A1EC7">
        <w:t>Relatives described having unmet informational support needs (Subtheme 5.2.1). Finding out as much as information about the syndrome, its clinical features and challenges was described as a priority. However, due to lack of information available from health care professionals, relatives had to seek out information and fulfil this need, to some degree, themselves (further elaborated in Subtheme 3.1). In terms of emotional support needs (Subtheme 5.2.2), relatives emphasised the need for better emotional support – especially for those relatives (parents, grandparents) who were engaged in caregiving roles as the impact on their mental health was perceived as most serious.</w:t>
      </w:r>
    </w:p>
    <w:p w14:paraId="3AC1E872" w14:textId="77777777" w:rsidR="008B1FBF" w:rsidRPr="006A1EC7" w:rsidRDefault="008B1FBF" w:rsidP="008B1FBF">
      <w:pPr>
        <w:spacing w:line="276" w:lineRule="auto"/>
      </w:pPr>
    </w:p>
    <w:p w14:paraId="3BFF2665" w14:textId="77777777" w:rsidR="008B1FBF" w:rsidRPr="006A1EC7" w:rsidRDefault="008B1FBF" w:rsidP="008B1FBF">
      <w:pPr>
        <w:spacing w:line="276" w:lineRule="auto"/>
        <w:ind w:left="720"/>
      </w:pPr>
      <w:r w:rsidRPr="006A1EC7">
        <w:rPr>
          <w:i/>
        </w:rPr>
        <w:lastRenderedPageBreak/>
        <w:t xml:space="preserve">“There’s so many ups and downs, and you just go through so many emotions and it is grief…you didn’t get the child you thought you were gonna get, plus you got all this huge stuff to deal with, um, and I…I just believe that automatically families should be given that </w:t>
      </w:r>
      <m:oMath>
        <m:d>
          <m:dPr>
            <m:begChr m:val="["/>
            <m:endChr m:val="]"/>
            <m:ctrlPr>
              <w:rPr>
                <w:rFonts w:ascii="Cambria Math" w:hAnsi="Cambria Math"/>
                <w:i/>
              </w:rPr>
            </m:ctrlPr>
          </m:dPr>
          <m:e>
            <m:r>
              <w:rPr>
                <w:rFonts w:ascii="Cambria Math" w:hAnsi="Cambria Math"/>
              </w:rPr>
              <m:t>emotional</m:t>
            </m:r>
          </m:e>
        </m:d>
      </m:oMath>
      <w:r w:rsidRPr="006A1EC7">
        <w:rPr>
          <w:i/>
        </w:rPr>
        <w:t xml:space="preserve"> support.”</w:t>
      </w:r>
      <w:r w:rsidRPr="006A1EC7">
        <w:t xml:space="preserve"> (WHS5)</w:t>
      </w:r>
    </w:p>
    <w:p w14:paraId="4670C762" w14:textId="77777777" w:rsidR="008B1FBF" w:rsidRPr="006A1EC7" w:rsidRDefault="008B1FBF" w:rsidP="008B1FBF">
      <w:pPr>
        <w:spacing w:line="276" w:lineRule="auto"/>
        <w:ind w:left="720"/>
      </w:pPr>
      <w:r w:rsidRPr="006A1EC7">
        <w:rPr>
          <w:i/>
        </w:rPr>
        <w:t>“Someone to contact when emotionally ready to contact: “Other people I’ve been aware of who had a serious diagnosis of a child… they would get some information, some practical information…a contact, really. Somebody they can speak to when they felt ready to speak to… that was so missing.”</w:t>
      </w:r>
      <w:r w:rsidRPr="006A1EC7">
        <w:t xml:space="preserve"> (WHS3B0</w:t>
      </w:r>
    </w:p>
    <w:p w14:paraId="6F9DDA82" w14:textId="77777777" w:rsidR="008B1FBF" w:rsidRPr="006A1EC7" w:rsidRDefault="008B1FBF" w:rsidP="008B1FBF">
      <w:pPr>
        <w:spacing w:line="276" w:lineRule="auto"/>
        <w:ind w:left="720"/>
      </w:pPr>
      <w:r w:rsidRPr="006A1EC7">
        <w:rPr>
          <w:i/>
        </w:rPr>
        <w:t>“I think the initial diagnosis is so scary because it’s so unknown, that’s the time when you need the most support”</w:t>
      </w:r>
      <w:r w:rsidRPr="006A1EC7">
        <w:t xml:space="preserve"> (WHS1)</w:t>
      </w:r>
    </w:p>
    <w:p w14:paraId="15D49A40" w14:textId="77777777" w:rsidR="008B1FBF" w:rsidRPr="006A1EC7" w:rsidRDefault="008B1FBF" w:rsidP="008B1FBF">
      <w:pPr>
        <w:spacing w:line="276" w:lineRule="auto"/>
        <w:ind w:left="720"/>
      </w:pPr>
      <w:r w:rsidRPr="006A1EC7">
        <w:rPr>
          <w:i/>
        </w:rPr>
        <w:t xml:space="preserve">“… because </w:t>
      </w:r>
      <m:oMath>
        <m:d>
          <m:dPr>
            <m:begChr m:val="["/>
            <m:endChr m:val="]"/>
            <m:ctrlPr>
              <w:rPr>
                <w:rFonts w:ascii="Cambria Math" w:hAnsi="Cambria Math"/>
                <w:i/>
              </w:rPr>
            </m:ctrlPr>
          </m:dPr>
          <m:e>
            <m:r>
              <w:rPr>
                <w:rFonts w:ascii="Cambria Math" w:hAnsi="Cambria Math"/>
              </w:rPr>
              <m:t>chil</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 xml:space="preserve">s name </m:t>
            </m:r>
          </m:e>
        </m:d>
      </m:oMath>
      <w:r w:rsidRPr="006A1EC7">
        <w:rPr>
          <w:i/>
        </w:rPr>
        <w:t xml:space="preserve"> is older now, whereas before I didn’t want to look at other families and their situations because I thought ‘well you don’t know because everyone does things differently”</w:t>
      </w:r>
      <w:r w:rsidRPr="006A1EC7">
        <w:t xml:space="preserve"> (WHS5)</w:t>
      </w:r>
    </w:p>
    <w:p w14:paraId="182E47D1" w14:textId="77777777" w:rsidR="008B1FBF" w:rsidRPr="006A1EC7" w:rsidRDefault="008B1FBF" w:rsidP="008B1FBF">
      <w:pPr>
        <w:spacing w:line="276" w:lineRule="auto"/>
      </w:pPr>
    </w:p>
    <w:p w14:paraId="4285EA1A" w14:textId="77777777" w:rsidR="008B1FBF" w:rsidRPr="006A1EC7" w:rsidRDefault="008B1FBF" w:rsidP="008B1FBF">
      <w:pPr>
        <w:spacing w:line="360" w:lineRule="auto"/>
      </w:pPr>
      <w:r w:rsidRPr="006A1EC7">
        <w:t xml:space="preserve">Participants further expressed a need for peer support networks, and for being towards them at the point of diagnosis. </w:t>
      </w:r>
    </w:p>
    <w:p w14:paraId="2672C4BC" w14:textId="77777777" w:rsidR="008B1FBF" w:rsidRPr="006A1EC7" w:rsidRDefault="008B1FBF" w:rsidP="008B1FBF">
      <w:pPr>
        <w:spacing w:line="276" w:lineRule="auto"/>
      </w:pPr>
    </w:p>
    <w:p w14:paraId="1BF2193F" w14:textId="77777777" w:rsidR="008B1FBF" w:rsidRPr="006A1EC7" w:rsidRDefault="008B1FBF" w:rsidP="008B1FBF">
      <w:pPr>
        <w:spacing w:line="276" w:lineRule="auto"/>
        <w:ind w:left="720"/>
      </w:pPr>
      <w:r w:rsidRPr="006A1EC7">
        <w:rPr>
          <w:i/>
        </w:rPr>
        <w:t>“I think the initial diagnosis is so scary because it’s so unknown, that’s the time when you need the most support … this is the information we’ve got on Wolf-Hirschhorn. This is the groups you can go to, these are the people you can speak to.”</w:t>
      </w:r>
      <w:r w:rsidRPr="006A1EC7">
        <w:t xml:space="preserve"> (WHS1)</w:t>
      </w:r>
    </w:p>
    <w:p w14:paraId="31BF3B29" w14:textId="77777777" w:rsidR="008B1FBF" w:rsidRPr="006A1EC7" w:rsidRDefault="008B1FBF" w:rsidP="008B1FBF">
      <w:pPr>
        <w:spacing w:line="276" w:lineRule="auto"/>
        <w:ind w:left="720"/>
      </w:pPr>
      <w:r w:rsidRPr="006A1EC7">
        <w:t>“</w:t>
      </w:r>
      <w:r w:rsidRPr="006A1EC7">
        <w:rPr>
          <w:i/>
        </w:rPr>
        <w:t>There are so many support groups available and we’re really lucky locally that we’ve got some amazing support groups. Erm, I would just really plugged into those, access those and erm - I guess, you can’t change it but what you can do is help it.”</w:t>
      </w:r>
      <w:r w:rsidRPr="006A1EC7">
        <w:t xml:space="preserve"> (WHS8)</w:t>
      </w:r>
    </w:p>
    <w:p w14:paraId="104D735B" w14:textId="77777777" w:rsidR="008B1FBF" w:rsidRPr="006A1EC7" w:rsidRDefault="008B1FBF" w:rsidP="008B1FBF">
      <w:pPr>
        <w:spacing w:line="276" w:lineRule="auto"/>
      </w:pPr>
    </w:p>
    <w:p w14:paraId="064F2D46" w14:textId="77777777" w:rsidR="008B1FBF" w:rsidRPr="006A1EC7" w:rsidRDefault="008B1FBF" w:rsidP="008B1FBF">
      <w:pPr>
        <w:spacing w:line="360" w:lineRule="auto"/>
      </w:pPr>
      <w:r w:rsidRPr="006A1EC7">
        <w:t>The importance of peer-support networks was stressed across the interviews; however, it was very individual to each participant if and at what time point these support networks were sought out and contacted. Relatives reported physical meetings, such as conferences or regional meet-ups, as well as engaging in online peer support. Generally, three different types of peer support networks were accessed: condition-specific networks (“</w:t>
      </w:r>
      <w:r w:rsidRPr="006A1EC7">
        <w:rPr>
          <w:i/>
        </w:rPr>
        <w:t xml:space="preserve">I actually.. googled… and found that there was a group, so we joined immediately, and that was fantastic because I only knew one child with this condition, um, and now, um when I came here and I met 50 others…it’s great.”, WHS6A), </w:t>
      </w:r>
      <w:r w:rsidRPr="006A1EC7">
        <w:rPr>
          <w:iCs/>
        </w:rPr>
        <w:t>symptom-specific ones or more generic ones</w:t>
      </w:r>
      <w:r w:rsidRPr="006A1EC7">
        <w:t xml:space="preserve"> (“ </w:t>
      </w:r>
      <w:r w:rsidRPr="006A1EC7">
        <w:rPr>
          <w:i/>
        </w:rPr>
        <w:t xml:space="preserve">largely the network that we've got have come from nursery and the school in particular.”, WHS3C). </w:t>
      </w:r>
      <w:r w:rsidRPr="006A1EC7">
        <w:t>Relatives mainly sought out these support networks by themselves (via Google or knowing someone else who had an affected relative) and only two families were signposted to them by their treating clinicians. Most peer support networks were online and took place on Social Media Websites (such as Facebook). One mother describes that accessing these support networks has contributed “</w:t>
      </w:r>
      <w:r w:rsidRPr="006A1EC7">
        <w:rPr>
          <w:i/>
        </w:rPr>
        <w:t>hugely</w:t>
      </w:r>
      <w:r w:rsidRPr="006A1EC7">
        <w:t>” to her life (WHS12A).</w:t>
      </w:r>
    </w:p>
    <w:p w14:paraId="26888749" w14:textId="77777777" w:rsidR="008B1FBF" w:rsidRPr="006A1EC7" w:rsidRDefault="008B1FBF" w:rsidP="008B1FBF">
      <w:pPr>
        <w:spacing w:line="360" w:lineRule="auto"/>
      </w:pPr>
    </w:p>
    <w:p w14:paraId="5EBABF7A" w14:textId="77777777" w:rsidR="008B1FBF" w:rsidRPr="006A1EC7" w:rsidRDefault="008B1FBF" w:rsidP="008B1FBF">
      <w:pPr>
        <w:spacing w:line="360" w:lineRule="auto"/>
        <w:ind w:left="720"/>
      </w:pPr>
      <w:r w:rsidRPr="006A1EC7">
        <w:rPr>
          <w:i/>
        </w:rPr>
        <w:t>“We've got just as much if not more helpful information from other parents of children with WHS as we have from professional.”</w:t>
      </w:r>
      <w:r w:rsidRPr="006A1EC7">
        <w:t xml:space="preserve"> (WHS3C)</w:t>
      </w:r>
    </w:p>
    <w:p w14:paraId="3D50A1DB" w14:textId="77777777" w:rsidR="008B1FBF" w:rsidRPr="006A1EC7" w:rsidRDefault="008B1FBF" w:rsidP="008B1FBF">
      <w:pPr>
        <w:spacing w:line="276" w:lineRule="auto"/>
        <w:ind w:left="720"/>
      </w:pPr>
      <w:r w:rsidRPr="006A1EC7">
        <w:rPr>
          <w:i/>
        </w:rPr>
        <w:t>“there’s a support group on there and they’ll have umpteen answers, you know, or opinions”</w:t>
      </w:r>
      <w:r w:rsidRPr="006A1EC7">
        <w:t xml:space="preserve"> (WHS12B)</w:t>
      </w:r>
    </w:p>
    <w:p w14:paraId="595E3609" w14:textId="77777777" w:rsidR="008B1FBF" w:rsidRPr="006A1EC7" w:rsidRDefault="008B1FBF" w:rsidP="008B1FBF">
      <w:pPr>
        <w:spacing w:line="276" w:lineRule="auto"/>
        <w:ind w:left="720"/>
      </w:pPr>
      <w:r w:rsidRPr="006A1EC7">
        <w:t>“</w:t>
      </w:r>
      <w:r w:rsidRPr="006A1EC7">
        <w:rPr>
          <w:i/>
        </w:rPr>
        <w:t>mum and dad are actually friends with people like on Facebook with it and things like that, so they tend to talk to each other quite a bit</w:t>
      </w:r>
      <w:r w:rsidRPr="006A1EC7">
        <w:t>” (WHS2A)</w:t>
      </w:r>
    </w:p>
    <w:p w14:paraId="0E4BCB31" w14:textId="77777777" w:rsidR="008B1FBF" w:rsidRPr="006A1EC7" w:rsidRDefault="008B1FBF" w:rsidP="008B1FBF">
      <w:pPr>
        <w:spacing w:line="276" w:lineRule="auto"/>
        <w:ind w:left="720"/>
      </w:pPr>
      <w:r w:rsidRPr="006A1EC7">
        <w:rPr>
          <w:i/>
        </w:rPr>
        <w:t>“we just speak online and we speak online pretty much most days on Facebook, there's a Facebook page.”</w:t>
      </w:r>
      <w:r w:rsidRPr="006A1EC7">
        <w:t xml:space="preserve"> (WHS10)</w:t>
      </w:r>
    </w:p>
    <w:p w14:paraId="0CBEDB10" w14:textId="77777777" w:rsidR="008B1FBF" w:rsidRPr="006A1EC7" w:rsidRDefault="008B1FBF" w:rsidP="008B1FBF">
      <w:pPr>
        <w:spacing w:line="276" w:lineRule="auto"/>
        <w:ind w:left="720"/>
      </w:pPr>
      <w:r w:rsidRPr="006A1EC7">
        <w:rPr>
          <w:i/>
        </w:rPr>
        <w:t>“For a new parent…going back to when he was diagnosed…I was desperate, I needed hope, and it was so hard to find any hope, and now…put it on Facebook don’t you, and that’s it</w:t>
      </w:r>
      <w:r w:rsidRPr="006A1EC7">
        <w:t>.” (WHS12A)</w:t>
      </w:r>
    </w:p>
    <w:p w14:paraId="10E6BA80" w14:textId="77777777" w:rsidR="008B1FBF" w:rsidRPr="006A1EC7" w:rsidRDefault="008B1FBF" w:rsidP="008B1FBF">
      <w:pPr>
        <w:spacing w:line="276" w:lineRule="auto"/>
        <w:rPr>
          <w:i/>
        </w:rPr>
      </w:pPr>
    </w:p>
    <w:p w14:paraId="7E8D7120" w14:textId="77777777" w:rsidR="008B1FBF" w:rsidRPr="006A1EC7" w:rsidRDefault="008B1FBF" w:rsidP="008B1FBF">
      <w:pPr>
        <w:spacing w:line="360" w:lineRule="auto"/>
      </w:pPr>
      <w:r w:rsidRPr="006A1EC7">
        <w:t>One mother emphasised a further benefit she has identified about attending (peer) support groups, it has helped her “see the achievements that” her son is making” (WHS8). However, accessing these online peer support groups also had negative effects on parents, such as increasing worries about the future and health concerns.</w:t>
      </w:r>
    </w:p>
    <w:p w14:paraId="1339D469" w14:textId="77777777" w:rsidR="008B1FBF" w:rsidRPr="006A1EC7" w:rsidRDefault="008B1FBF" w:rsidP="008B1FBF">
      <w:pPr>
        <w:spacing w:line="276" w:lineRule="auto"/>
        <w:ind w:left="720"/>
      </w:pPr>
    </w:p>
    <w:p w14:paraId="2C967652" w14:textId="77777777" w:rsidR="008B1FBF" w:rsidRPr="006A1EC7" w:rsidRDefault="008B1FBF" w:rsidP="008B1FBF">
      <w:pPr>
        <w:spacing w:line="276" w:lineRule="auto"/>
        <w:ind w:left="720"/>
        <w:rPr>
          <w:i/>
        </w:rPr>
      </w:pPr>
      <w:r w:rsidRPr="006A1EC7">
        <w:rPr>
          <w:i/>
        </w:rPr>
        <w:t>“and obviously Facebook and Google, you know, you you sort of hear stories and you read stories: bad, bad stories and you’re like ‘who’s gonna be next?</w:t>
      </w:r>
      <w:r w:rsidRPr="006A1EC7">
        <w:t>’” (WHS2C)</w:t>
      </w:r>
    </w:p>
    <w:p w14:paraId="2345E7C8" w14:textId="77777777" w:rsidR="008B1FBF" w:rsidRPr="006A1EC7" w:rsidRDefault="008B1FBF" w:rsidP="008B1FBF">
      <w:pPr>
        <w:spacing w:line="276" w:lineRule="auto"/>
        <w:ind w:left="720"/>
      </w:pPr>
    </w:p>
    <w:p w14:paraId="4BD99BC7" w14:textId="77777777" w:rsidR="008B1FBF" w:rsidRPr="006A1EC7" w:rsidRDefault="008B1FBF" w:rsidP="008B1FBF">
      <w:pPr>
        <w:spacing w:line="360" w:lineRule="auto"/>
      </w:pPr>
      <w:r w:rsidRPr="006A1EC7">
        <w:t>Physical peer support were regional meetings or national conferences, organised by the WHS UK Trust. It was also largely reported as an individual choice as to whether and when families engaged in peer support and exchange, but also when they stopped engaging with these. For example, some families did not want to be involved with peer support networks for various reasons, and one mother decided to withdraw from peer support networks following the bereavement of her son.</w:t>
      </w:r>
    </w:p>
    <w:p w14:paraId="7639FD01" w14:textId="77777777" w:rsidR="008B1FBF" w:rsidRPr="006A1EC7" w:rsidRDefault="008B1FBF" w:rsidP="008B1FBF">
      <w:pPr>
        <w:spacing w:line="276" w:lineRule="auto"/>
      </w:pPr>
    </w:p>
    <w:p w14:paraId="29ABF5CB" w14:textId="77777777" w:rsidR="008B1FBF" w:rsidRPr="006A1EC7" w:rsidRDefault="008B1FBF" w:rsidP="008B1FBF">
      <w:pPr>
        <w:spacing w:line="276" w:lineRule="auto"/>
        <w:ind w:left="720"/>
      </w:pPr>
      <w:r w:rsidRPr="006A1EC7">
        <w:rPr>
          <w:i/>
        </w:rPr>
        <w:t>”I’ve had an experience of working with… the grandmother of someone… they just had a child with Wolf-Hirschhorn and… I sort of went up to them and says, look I’ve got (child's name) he’s got Wolf-Hirschhorn, the same as your child… I can put you in touch with all these people but no, they didn’t want to know.”</w:t>
      </w:r>
      <w:r w:rsidRPr="006A1EC7">
        <w:t xml:space="preserve"> (WHS2C)</w:t>
      </w:r>
    </w:p>
    <w:p w14:paraId="45012BE9" w14:textId="77777777" w:rsidR="008B1FBF" w:rsidRPr="006A1EC7" w:rsidRDefault="008B1FBF" w:rsidP="008B1FBF">
      <w:pPr>
        <w:spacing w:line="276" w:lineRule="auto"/>
        <w:ind w:left="720"/>
      </w:pPr>
      <w:r w:rsidRPr="006A1EC7">
        <w:t>“</w:t>
      </w:r>
      <w:r w:rsidRPr="006A1EC7">
        <w:rPr>
          <w:i/>
        </w:rPr>
        <w:t>I did join it when (girls name) was born because I’d only been…they had only been diagnosed then…, I did meet some quite lovely parents and we did keep in contact for a couple of years… and then (boys name) died, so I…I faded off of it then.”</w:t>
      </w:r>
      <w:r w:rsidRPr="006A1EC7">
        <w:t xml:space="preserve"> (WHS9)</w:t>
      </w:r>
    </w:p>
    <w:p w14:paraId="58FE6834" w14:textId="77777777" w:rsidR="008B1FBF" w:rsidRPr="006A1EC7" w:rsidRDefault="008B1FBF" w:rsidP="008B1FBF">
      <w:pPr>
        <w:spacing w:line="276" w:lineRule="auto"/>
        <w:ind w:left="720"/>
      </w:pPr>
    </w:p>
    <w:p w14:paraId="32F07593" w14:textId="77777777" w:rsidR="008B1FBF" w:rsidRPr="006A1EC7" w:rsidRDefault="008B1FBF" w:rsidP="008B1FBF">
      <w:pPr>
        <w:spacing w:line="360" w:lineRule="auto"/>
      </w:pPr>
    </w:p>
    <w:p w14:paraId="4DDB4458" w14:textId="77777777" w:rsidR="008B1FBF" w:rsidRPr="006A1EC7" w:rsidRDefault="008B1FBF" w:rsidP="008B1FBF">
      <w:pPr>
        <w:spacing w:line="360" w:lineRule="auto"/>
      </w:pPr>
      <w:r w:rsidRPr="006A1EC7">
        <w:t xml:space="preserve">Two mothers (WHS7 WHS8) identified barriers to accessing these online peer support platforms: WHS7 (aged 70+) felt unable to engage due not being able to use the internet, and </w:t>
      </w:r>
      <w:r w:rsidRPr="006A1EC7">
        <w:lastRenderedPageBreak/>
        <w:t>WHS8 emphasises that it was difficult to access these groups if you did not already have a mutual friend in one of these groups who can ‘add you’, which took her a long time to find.</w:t>
      </w:r>
    </w:p>
    <w:p w14:paraId="6FD9C9CB" w14:textId="77777777" w:rsidR="008B1FBF" w:rsidRPr="006A1EC7" w:rsidRDefault="008B1FBF" w:rsidP="008B1FBF">
      <w:pPr>
        <w:spacing w:line="276" w:lineRule="auto"/>
      </w:pPr>
    </w:p>
    <w:p w14:paraId="111F6B2F" w14:textId="77777777" w:rsidR="008B1FBF" w:rsidRPr="006A1EC7" w:rsidRDefault="008B1FBF" w:rsidP="008B1FBF">
      <w:pPr>
        <w:spacing w:line="276" w:lineRule="auto"/>
        <w:ind w:left="720"/>
      </w:pPr>
      <w:r w:rsidRPr="006A1EC7">
        <w:rPr>
          <w:i/>
        </w:rPr>
        <w:t>“I’m not very good at, um…um…internet and technology you see, and everybody now seems to be internet…It would be useful if I did but it frightens me to death to be quite honest”</w:t>
      </w:r>
      <w:r w:rsidRPr="006A1EC7">
        <w:t xml:space="preserve"> (WHS7)</w:t>
      </w:r>
    </w:p>
    <w:p w14:paraId="7D5F960E" w14:textId="77777777" w:rsidR="008B1FBF" w:rsidRPr="006A1EC7" w:rsidRDefault="008B1FBF" w:rsidP="008B1FBF">
      <w:pPr>
        <w:spacing w:line="276" w:lineRule="auto"/>
        <w:ind w:left="720"/>
      </w:pPr>
      <w:r w:rsidRPr="006A1EC7">
        <w:rPr>
          <w:i/>
        </w:rPr>
        <w:t>“we were a good 12-18 months into our journey before we actually came across any support groups on Facebook”</w:t>
      </w:r>
      <w:r w:rsidRPr="006A1EC7">
        <w:t xml:space="preserve"> (WHS8)</w:t>
      </w:r>
    </w:p>
    <w:p w14:paraId="0EFBD84C" w14:textId="783559B8" w:rsidR="008B1FBF" w:rsidRPr="006A1EC7" w:rsidRDefault="008B1FBF" w:rsidP="008B1FBF">
      <w:pPr>
        <w:spacing w:line="276" w:lineRule="auto"/>
      </w:pPr>
    </w:p>
    <w:p w14:paraId="75A6C1E0" w14:textId="77777777" w:rsidR="008B1FBF" w:rsidRPr="006A1EC7" w:rsidRDefault="008B1FBF" w:rsidP="008B1FBF">
      <w:pPr>
        <w:pStyle w:val="Heading2"/>
        <w:rPr>
          <w:rFonts w:ascii="Times New Roman" w:hAnsi="Times New Roman" w:cs="Times New Roman"/>
          <w:color w:val="auto"/>
        </w:rPr>
      </w:pPr>
      <w:bookmarkStart w:id="168" w:name="_Toc22130114"/>
      <w:bookmarkStart w:id="169" w:name="_Toc23522727"/>
      <w:bookmarkStart w:id="170" w:name="_Toc38821446"/>
      <w:bookmarkStart w:id="171" w:name="_Toc40173002"/>
      <w:r w:rsidRPr="006A1EC7">
        <w:rPr>
          <w:rFonts w:ascii="Times New Roman" w:hAnsi="Times New Roman" w:cs="Times New Roman"/>
          <w:color w:val="auto"/>
        </w:rPr>
        <w:t>Discussion</w:t>
      </w:r>
      <w:bookmarkEnd w:id="168"/>
      <w:bookmarkEnd w:id="169"/>
      <w:r w:rsidRPr="006A1EC7">
        <w:rPr>
          <w:rFonts w:ascii="Times New Roman" w:hAnsi="Times New Roman" w:cs="Times New Roman"/>
          <w:color w:val="auto"/>
        </w:rPr>
        <w:t xml:space="preserve"> </w:t>
      </w:r>
      <w:bookmarkEnd w:id="170"/>
      <w:r w:rsidRPr="006A1EC7">
        <w:rPr>
          <w:rFonts w:ascii="Times New Roman" w:hAnsi="Times New Roman" w:cs="Times New Roman"/>
          <w:color w:val="auto"/>
        </w:rPr>
        <w:t>Themes 1 - 5</w:t>
      </w:r>
      <w:bookmarkEnd w:id="171"/>
      <w:r w:rsidRPr="006A1EC7">
        <w:rPr>
          <w:rFonts w:ascii="Times New Roman" w:hAnsi="Times New Roman" w:cs="Times New Roman"/>
          <w:color w:val="auto"/>
        </w:rPr>
        <w:t xml:space="preserve"> </w:t>
      </w:r>
    </w:p>
    <w:p w14:paraId="196894A8" w14:textId="77777777" w:rsidR="008B1FBF" w:rsidRPr="006A1EC7" w:rsidRDefault="008B1FBF" w:rsidP="008B1FBF">
      <w:pPr>
        <w:spacing w:line="276" w:lineRule="auto"/>
      </w:pPr>
    </w:p>
    <w:p w14:paraId="5C1BA242" w14:textId="1E7C68E5" w:rsidR="008B1FBF" w:rsidRPr="006A1EC7" w:rsidRDefault="008B1FBF" w:rsidP="008B1FBF">
      <w:pPr>
        <w:spacing w:line="360" w:lineRule="auto"/>
        <w:ind w:firstLine="720"/>
      </w:pPr>
      <w:r w:rsidRPr="006A1EC7">
        <w:t xml:space="preserve">In addition to insights into the complex multisystem illness that </w:t>
      </w:r>
      <w:r w:rsidR="009F0718" w:rsidRPr="006A1EC7">
        <w:t>WHS</w:t>
      </w:r>
      <w:r w:rsidRPr="006A1EC7">
        <w:t xml:space="preserve"> (Theme 1, Chapter 4) presents as, this study also revealed significant psychosocial impacts of WHS. Narratives in the interviews reflected psychosocial implications of being a family caregiver to a relative with WHS. </w:t>
      </w:r>
    </w:p>
    <w:p w14:paraId="2B2CA4C8" w14:textId="77777777" w:rsidR="008B1FBF" w:rsidRPr="006A1EC7" w:rsidRDefault="008B1FBF" w:rsidP="008B1FBF">
      <w:pPr>
        <w:spacing w:line="360" w:lineRule="auto"/>
        <w:ind w:firstLine="720"/>
      </w:pPr>
      <w:r w:rsidRPr="006A1EC7">
        <w:t xml:space="preserve">A total of four psycho-social themes were identified. These were experiences with the NHS, family adaptation, quality of life and support needs. These psychosocial themes concerned relatives’ and patients’ navigation of, and experiences with, the NHS health care system, reactions to diagnosis, family adaptation, quality of life (e.g. emotional challenges, day-to-day life) and the support needs of families. Taken together, the results emphasise the need for better support for relatives, especially parents at the time of diagnosis and during adjustment to having a child with a severe disability. The results also indicate a need for greater awareness among health care professionals about WHS. This would partly reduce caregiver burden in, often already, challenging situations in medical environments (i.e. hospital admission, outpatient appointment) as well as reduce worries of family caregivers about medical inadequacies. A significant amount of overlap between the clinical and psychosocial themes will become obvious in this discussion. </w:t>
      </w:r>
    </w:p>
    <w:p w14:paraId="6ABA4839" w14:textId="4507A330" w:rsidR="008B1FBF" w:rsidRPr="006A1EC7" w:rsidRDefault="008B1FBF" w:rsidP="008B1FBF">
      <w:pPr>
        <w:spacing w:line="360" w:lineRule="auto"/>
        <w:ind w:firstLine="720"/>
      </w:pPr>
      <w:r w:rsidRPr="006A1EC7">
        <w:t xml:space="preserve">The second theme was ‘Experiences with the NHS’. The majority of participants reported that their relatives were diagnosed in infancy within the first six months of life. Only patients, who were born before 1975, did not receive their diagnoses until they were significantly older. This is in accordance with the literature: WHS is usually diagnosed in childhood, but some later cases are also possible </w:t>
      </w:r>
      <w:r w:rsidRPr="006A1EC7">
        <w:fldChar w:fldCharType="begin" w:fldLock="1"/>
      </w:r>
      <w:r w:rsidRPr="006A1EC7">
        <w:instrText>ADDIN CSL_CITATION {"citationItems":[{"id":"ITEM-1","itemData":{"DOI":"10.1016/j.gene.2012.09.108","ISSN":"03781119","PMID":"23064045","abstract":"Wolf-Hirschhorn syndrome is a well-known clinical entity caused by a terminal deletion of the short arm of chromosome 4 (4p-). The diagnosis is usually made in childhood because of the pathognomonic facial dysmorphism, multi-organ involvement and seizures. Epilepsy is a major medical complication during the first years of life, with seizures typically being frequent, although they tend to improve or cease with age. We report on a woman diagnosed with WHS in her thirties by array-CGH. She presents with milder dysmorphic features, recognized by stereophotogrammetry and seizures persistent in adulthood. ?? 2012 Elsevier B.V.","author":[{"dropping-particle":"","family":"Coppola","given":"Antonietta","non-dropping-particle":"","parse-names":false,"suffix":""},{"dropping-particle":"","family":"Chinthapalli","given":"Krishna","non-dropping-particle":"","parse-names":false,"suffix":""},{"dropping-particle":"","family":"Hammond","given":"Peter","non-dropping-particle":"","parse-names":false,"suffix":""},{"dropping-particle":"","family":"Sander","given":"Josemir W.","non-dropping-particle":"","parse-names":false,"suffix":""},{"dropping-particle":"","family":"Sisodiya","given":"Sanjay M.","non-dropping-particle":"","parse-names":false,"suffix":""}],"container-title":"Gene","id":"ITEM-1","issue":"2","issued":{"date-parts":[["2013","1"]]},"page":"532-535","publisher":"Elsevier B.V.","title":"Pediatric diagnosis not made until adulthood: A case of Wolf-Hirschhorn syndrome","type":"article-journal","volume":"512"},"uris":["http://www.mendeley.com/documents/?uuid=78d0e1f1-2294-4cd3-9f12-4921b3e69a26"]}],"mendeley":{"formattedCitation":"(Coppola et al., 2013)","plainTextFormattedCitation":"(Coppola et al., 2013)","previouslyFormattedCitation":"(Coppola et al., 2013)"},"properties":{"noteIndex":0},"schema":"https://github.com/citation-style-language/schema/raw/master/csl-citation.json"}</w:instrText>
      </w:r>
      <w:r w:rsidRPr="006A1EC7">
        <w:fldChar w:fldCharType="separate"/>
      </w:r>
      <w:r w:rsidRPr="006A1EC7">
        <w:rPr>
          <w:noProof/>
        </w:rPr>
        <w:t>(Coppola et al., 2013)</w:t>
      </w:r>
      <w:r w:rsidRPr="006A1EC7">
        <w:fldChar w:fldCharType="end"/>
      </w:r>
      <w:r w:rsidRPr="006A1EC7">
        <w:t xml:space="preserve">. The majority of younger patients receiving their diagnoses relatively early in life may reflect the increased availability of genetic testing and, possibly, awareness of genetic syndromes among medical professionals. The diagnosis of </w:t>
      </w:r>
      <w:r w:rsidR="009F0718" w:rsidRPr="006A1EC7">
        <w:t>WHS</w:t>
      </w:r>
      <w:r w:rsidRPr="006A1EC7">
        <w:t xml:space="preserve"> was perceived as life-changing and accompanied by </w:t>
      </w:r>
      <w:r w:rsidRPr="006A1EC7">
        <w:lastRenderedPageBreak/>
        <w:t xml:space="preserve">many different often overlapping emotions. Negative emotions such as shock, upset and fear are common emotional reactions to receiving life-changing, and potentially life-limiting diagnoses </w:t>
      </w:r>
      <w:r w:rsidRPr="006A1EC7">
        <w:fldChar w:fldCharType="begin" w:fldLock="1"/>
      </w:r>
      <w:r w:rsidRPr="006A1EC7">
        <w:instrText>ADDIN CSL_CITATION {"citationItems":[{"id":"ITEM-1","itemData":{"DOI":"10.1046/j.1365-2648.2001.01787.x","ISBN":"1365-2648","ISSN":"03092402","PMID":"11380726","abstract":"AIM: This study explored the experiences of parents who have children with significant developmental disability. BACKGROUND: Prevailing societal and professional assumptions of parental crisis and maladjustment in response to the 'tragedy' of having a disabled child did not accord with the authors' practice experience. Whilst parents confronted numerous difficulties, most of them appeared to manage with optimism and remarkable resourcefulness. RESEARCH DESIGN: The study, using an interpretive methodology informed by phenomenology, intensively explored the experiences of six parents of children with significant developmental disability. FINDINGS: Although they experienced much anguish and sorrow, the parents also spoke of hope, love, strength and joy. Interpretation of the parents' experiences revealed the themes of 'joy and sorrow', 'hope and no hope' and 'defiance and despair', mediated by 'the tensions'. CONCLUSIONS: This phenomenological interpretation provides insight and understanding into the parents' experiences and has implications for practice, education and research in nursing.","author":[{"dropping-particle":"","family":"Kearney","given":"Penelope M.","non-dropping-particle":"","parse-names":false,"suffix":""},{"dropping-particle":"","family":"Griffin","given":"Tim","non-dropping-particle":"","parse-names":false,"suffix":""}],"container-title":"Journal of Advanced Nursing","id":"ITEM-1","issue":"5","issued":{"date-parts":[["2001"]]},"page":"582-592","title":"Between joy and sorrow: Being a parent of a child with developmental disability","type":"article-journal","volume":"34"},"uris":["http://www.mendeley.com/documents/?uuid=f971aaa6-3ad9-4b2c-b19c-e01225d25911"]},{"id":"ITEM-2","itemData":{"author":[{"dropping-particle":"","family":"Green","given":"J M","non-dropping-particle":"","parse-names":false,"suffix":""},{"dropping-particle":"","family":"Murton","given":"F E","non-dropping-particle":"","parse-names":false,"suffix":""}],"container-title":"Blackwell Science Ltd","id":"ITEM-2","issue":"2","issued":{"date-parts":[["1996"]]},"page":"113 - 128","title":"Diagnosis of Duchenne musuclar dystrophy: parents' experiences and satisfaction","type":"article-journal","volume":"22"},"uris":["http://www.mendeley.com/documents/?uuid=08fb487a-cade-4225-8444-41bbabf03716"]},{"id":"ITEM-3","itemData":{"DOI":"10.1111/j.1365-2214.2010.01108.x","author":[{"dropping-particle":"","family":"Hallberg","given":"U","non-dropping-particle":"","parse-names":false,"suffix":""},{"dropping-particle":"","family":"Oskarsdottir","given":"S","non-dropping-particle":"","parse-names":false,"suffix":""},{"dropping-particle":"","family":"Klingberg","given":"G","non-dropping-particle":"","parse-names":false,"suffix":""}],"container-title":"Child: care, health and development","id":"ITEM-3","issued":{"date-parts":[["2010"]]},"page":"719-725","title":"22q11 deletion syndrome - the meaning of a diagnosis. A qualitative study on parental perspectives","type":"article-journal"},"uris":["http://www.mendeley.com/documents/?uuid=5f375609-e812-46a1-9ea3-9d4e39f679d3"]},{"id":"ITEM-4","itemData":{"DOI":"10.1186/s13023-016-0521-0","ISSN":"1750-1172","PMID":"27724940","abstract":"BACKGROUND Many rare diseases of childhood are life-threatening and chronically debilitating, so living with a rare disease is an on-going challenge for patients and their families. MPS is one of a range of rare inherited metabolic disorders (IMDs) that come under category 3 of life-limiting conditions, where there is no curative treatment available at present. Although the study of rare diseases is increasingly novel, and of clinical importance to the population, the lack of empirical data in the field to support policy and strategy development is a compelling argument for further research to be sought. METHODS This qualitative hermeneutic phenomenological study explored and interpreted Irish parents' experiences of living with and caring for children, adolescents and young adults with MPS and the impact of these diseases on their day to day life. A purposively selected sample of parents' attending the Irish National Centre for Inherited Metabolic Disorders was invited to participate in serial in-depth interviews. RESULTS A total of eight parents' (n = 8) of children with a range of MPS disorders aged from 6 months to 22 years (MPS I Hurler syndrome, Scheie syndrome), MPS II (Hunter syndrome), MPS III (Sanfilipo syndrome) and MPS VI (Maroteaux-Lamy syndrome) were interviewed at three time points over a 17 month period. The main themes identified during data analysis were described as living with MPS, living with a genetic rare disease, the stigma of a rare condition, MPS as encompassing multiple diseases, Unknown future, hospital vs. home, experience of waiting, a tough road ahead, and things in their day-to-day life with MPS. They spoke of their child's Quality of Life (QoL), their healthy children's wellbeing, and for some, the impact on their own physical and psychological wellbeing. They also reflected on issues of stigmatisation and isolation in their experience of living with a child with a rare disorder. CONCLUSION This study's findings reflect the wider literature on the impact of rare diseases, which have also indicated how caring for someone with MPS, a condition that is chronic, progressive and degenerative can impact on all dimensions of the family's life. Analysis of the findings using a hemenutic pheomenology perspecitve suggest that parents of children with MPS experience multiple cyclical movements across all five human lived existential experience, and they gradually develop ways to incorporate MPS in their day to day life. It was also…","author":[{"dropping-particle":"","family":"Somanadhan","given":"S","non-dropping-particle":"","parse-names":false,"suffix":""},{"dropping-particle":"","family":"Larkin","given":"P J","non-dropping-particle":"","parse-names":false,"suffix":""}],"container-title":"Orphanet journal of rare diseases","id":"ITEM-4","issue":"1","issued":{"date-parts":[["2016"]]},"page":"138","publisher":"Orphanet Journal of Rare Diseases","title":"Parents' experiences of living with, and caring for children, adolescents and young adults with Mucopolysaccharidosis (MPS).","type":"article-journal","volume":"11"},"uris":["http://www.mendeley.com/documents/?uuid=8430d744-5bec-4e53-85f5-238c101ac662"]}],"mendeley":{"formattedCitation":"(Green &amp; Murton, 1996; Hallberg, Oskarsdottir, &amp; Klingberg, 2010; Kearney &amp; Griffin, 2001; Somanadhan &amp; Larkin, 2016)","manualFormatting":"(e.g. Green &amp; Murton, 1996; Hallberg, Oskarsdottir, &amp; Klingberg, 2010; Kearney &amp; Griffin, 2001; Somanadhan &amp; Larkin, 2016)","plainTextFormattedCitation":"(Green &amp; Murton, 1996; Hallberg, Oskarsdottir, &amp; Klingberg, 2010; Kearney &amp; Griffin, 2001; Somanadhan &amp; Larkin, 2016)","previouslyFormattedCitation":"(Green &amp; Murton, 1996; Hallberg, Oskarsdottir, &amp; Klingberg, 2010; Kearney &amp; Griffin, 2001; Somanadhan &amp; Larkin, 2016)"},"properties":{"noteIndex":0},"schema":"https://github.com/citation-style-language/schema/raw/master/csl-citation.json"}</w:instrText>
      </w:r>
      <w:r w:rsidRPr="006A1EC7">
        <w:fldChar w:fldCharType="separate"/>
      </w:r>
      <w:r w:rsidRPr="006A1EC7">
        <w:rPr>
          <w:noProof/>
        </w:rPr>
        <w:t>(e.g. Green &amp; Murton, 1996; Hallberg, Oskarsdottir, &amp; Klingberg, 2010; Kearney &amp; Griffin, 2001; Somanadhan &amp; Larkin, 2016)</w:t>
      </w:r>
      <w:r w:rsidRPr="006A1EC7">
        <w:fldChar w:fldCharType="end"/>
      </w:r>
      <w:r w:rsidRPr="006A1EC7">
        <w:t xml:space="preserve">. Some family members in the study even described lasting trauma resulting from the delivery of diagnosis; this is also echoed in the relevant literature </w:t>
      </w:r>
      <w:r w:rsidRPr="006A1EC7">
        <w:fldChar w:fldCharType="begin" w:fldLock="1"/>
      </w:r>
      <w:r w:rsidRPr="006A1EC7">
        <w:instrText>ADDIN CSL_CITATION {"citationItems":[{"id":"ITEM-1","itemData":{"ISSN":"00309982","abstract":"OBJECTIVE: To determine the difficulties of mothers living with children suffering from intellectual disabilities, and the influence of socio-demographic factors aggravating the situation., METHODS: The study was conducted from September to December 2009 in Odemis, Izmir in western Turkey, in one public-sector and two private-sector rehabilitation centres for disabled children. The research sample consisted of mothers with primary responsibility for 168 disabled children between the ages of 3 and 18 years. Data was collected using a pre-designed Personal Information Form, which had two sections. The first part contained 20 items about the socio-demographic data of the families and the children, their knowledge about mental disabilities and support for childcare. The second part consisted of 18 items which related to the most frequently encountered problems in terms of daily care, as well as the financial, psychological and social aspects. Data, collected through face-to-face interviews spanning 30-40 minutes, was analysed using analysis of variance and student's t test., RESULTS: Of the 168 mothers, 64 (38.1%) said they experienced sadness; 72 (42.9%) anger; and 32 (19.1%) felt lonely. As many as 92 (54.8%) mothers were blamed by their in-laws for the disability in their respective children. Only 50 (29.8%) parents in the study said they had \"sometimes\" felt acceptance of their disabled child., CONCLUSION: The psychological situation of parents with disabled children is an issue of particular concern, and psychological consultancy and guidance should be provided to such families to enable them to overcome their negative emotions and the consequent problems.","author":[{"dropping-particle":"","family":"Ergün","given":"Sibel","non-dropping-particle":"","parse-names":false,"suffix":""},{"dropping-particle":"","family":"Ertem","given":"Gül","non-dropping-particle":"","parse-names":false,"suffix":""}],"container-title":"JPMA. The Journal of the Pakistan Medical Association","id":"ITEM-1","issue":"8","issued":{"date-parts":[["2012"]]},"page":"776-780","title":"Difficulties of mothers living with mentally disabled children.","type":"article-journal","volume":"62"},"uris":["http://www.mendeley.com/documents/?uuid=1b1cc312-8779-4dc8-9edb-155e1eda5019","http://www.mendeley.com/documents/?uuid=a7075e6d-173a-4bba-a6c4-ba5b89c37979"]},{"id":"ITEM-2","itemData":{"DOI":"10.1111/bld.12231","ISSN":"14683156","abstract":"© 2018 John Wiley  &amp;  Sons Ltd. Accessible Summary: This study describes an Irish-based study that examined how families of children with Down syndrome living in Ireland adapt to their child's diagnosis. We found that good family communication and family hardiness have a positive affect on how families adapt. Families of children with Down syndrome have the potential to lead full and productive lives and positively adapt to their child's diagnosis. Background: Down syndrome is a genetic condition that affects people of all races, nationalities and socioeconomic status. The incidence of Down syndrome in Ireland is estimated to be 1 in 546, with approximately 7,000 people with Down syndrome living in Ireland. While some families of individuals with Down syndrome may find it difficult to adapt, other families adapt successfully and some even thrive. The aim of this study, which is guided by the Resiliency Model of Stress, Adjustment and Adaptation was to examine linkages between family demands, family appraisal, family resources, family problem-solving communication and family adaptation in families of individuals with Down syndrome living in Ireland. Methods: Ninety-five parents (79 mothers, 16 fathers) of children with Down syndrome aged between 1 and 30 years completed six self-report measures designed to assess key dimensions of the Resiliency Model of Family Stress, Adjustment and Adaptation. Results: This study found that families of children with Down syndrome can adapt and become resilient. Factors found to positively influence this process include family hardiness and affirming family communication. Factors that negatively influenced this process were incendiary family communication and view of the condition impact. Conclusion: Families of children with Down syndrome have the potential to lead full and productive lives and positively adapt to their child's diagnosis. Early recognition of the difficulties being experienced by families and the provision of interventions that target and foster positive resiliency traits such as affirmative communication and the development of overall family hardiness are key to adaptation.","author":[{"dropping-particle":"","family":"Caples","given":"Maria","non-dropping-particle":"","parse-names":false,"suffix":""},{"dropping-particle":"","family":"Martin","given":"Anne Marie","non-dropping-particle":"","parse-names":false,"suffix":""},{"dropping-particle":"","family":"Dalton","given":"Caroline","non-dropping-particle":"","parse-names":false,"suffix":""},{"dropping-particle":"","family":"Marsh","given":"Lynne","non-dropping-particle":"","parse-names":false,"suffix":""},{"dropping-particle":"","family":"Savage","given":"Eileen","non-dropping-particle":"","parse-names":false,"suffix":""},{"dropping-particle":"","family":"Knafl","given":"George","non-dropping-particle":"","parse-names":false,"suffix":""},{"dropping-particle":"","family":"Riper","given":"Marcia","non-dropping-particle":"Van","parse-names":false,"suffix":""}],"container-title":"British Journal of Learning Disabilities","id":"ITEM-2","issue":"3","issued":{"date-parts":[["2018"]]},"page":"146-154","title":"Adaptation and resilience in families of individuals with down syndrome living in Ireland","type":"article-journal","volume":"46"},"uris":["http://www.mendeley.com/documents/?uuid=0901625e-c27b-4d3a-a3b7-9c8e1e657d1c","http://www.mendeley.com/documents/?uuid=57653253-28ad-4f69-9551-fff08b17929b"]}],"mendeley":{"formattedCitation":"(Caples et al., 2018; Ergün &amp; Ertem, 2012)","plainTextFormattedCitation":"(Caples et al., 2018; Ergün &amp; Ertem, 2012)","previouslyFormattedCitation":"(Caples et al., 2018; Ergün &amp; Ertem, 2012)"},"properties":{"noteIndex":0},"schema":"https://github.com/citation-style-language/schema/raw/master/csl-citation.json"}</w:instrText>
      </w:r>
      <w:r w:rsidRPr="006A1EC7">
        <w:fldChar w:fldCharType="separate"/>
      </w:r>
      <w:r w:rsidRPr="006A1EC7">
        <w:rPr>
          <w:noProof/>
        </w:rPr>
        <w:t>(Caples et al., 2018; Ergün &amp; Ertem, 2012)</w:t>
      </w:r>
      <w:r w:rsidRPr="006A1EC7">
        <w:fldChar w:fldCharType="end"/>
      </w:r>
      <w:r w:rsidRPr="006A1EC7">
        <w:t>. The emotion of ‘relief’ following diagnoses has also been reported elsewhere. For example, using a qualitative methodology and the analysis method of Grounded Theory,</w:t>
      </w:r>
      <w:r w:rsidRPr="006A1EC7">
        <w:fldChar w:fldCharType="begin" w:fldLock="1"/>
      </w:r>
      <w:r w:rsidRPr="006A1EC7">
        <w:instrText>ADDIN CSL_CITATION {"citationItems":[{"id":"ITEM-1","itemData":{"DOI":"10.1111/j.1365-2214.2010.01108.x","author":[{"dropping-particle":"","family":"Hallberg","given":"U","non-dropping-particle":"","parse-names":false,"suffix":""},{"dropping-particle":"","family":"Oskarsdottir","given":"S","non-dropping-particle":"","parse-names":false,"suffix":""},{"dropping-particle":"","family":"Klingberg","given":"G","non-dropping-particle":"","parse-names":false,"suffix":""}],"container-title":"Child: care, health and development","id":"ITEM-1","issued":{"date-parts":[["2010"]]},"page":"719-725","title":"22q11 deletion syndrome - the meaning of a diagnosis. A qualitative study on parental perspectives","type":"article-journal"},"uris":["http://www.mendeley.com/documents/?uuid=5f375609-e812-46a1-9ea3-9d4e39f679d3"]}],"mendeley":{"formattedCitation":"(Hallberg et al., 2010)","manualFormatting":" Hallberg, Oskarsdottir and Klingberg (2010)","plainTextFormattedCitation":"(Hallberg et al., 2010)","previouslyFormattedCitation":"(Hallberg et al., 2010)"},"properties":{"noteIndex":0},"schema":"https://github.com/citation-style-language/schema/raw/master/csl-citation.json"}</w:instrText>
      </w:r>
      <w:r w:rsidRPr="006A1EC7">
        <w:fldChar w:fldCharType="separate"/>
      </w:r>
      <w:r w:rsidRPr="006A1EC7">
        <w:rPr>
          <w:noProof/>
        </w:rPr>
        <w:t xml:space="preserve"> Hallberg, Oskarsdottir and Klingberg (2010)</w:t>
      </w:r>
      <w:r w:rsidRPr="006A1EC7">
        <w:fldChar w:fldCharType="end"/>
      </w:r>
      <w:r w:rsidRPr="006A1EC7">
        <w:t xml:space="preserve"> investigated the meaning of receiving a diagnosis of 22q11 deletion syndrome for parents with affected offspring; the participating parents reported relief and sorrow as the most common emotional responses to diagnosis. Hallberg et al. (2010) appropriately referred to this “</w:t>
      </w:r>
      <w:r w:rsidRPr="006A1EC7">
        <w:rPr>
          <w:i/>
          <w:iCs/>
        </w:rPr>
        <w:t>the ambivalence between relief and sorrow</w:t>
      </w:r>
      <w:r w:rsidRPr="006A1EC7">
        <w:t xml:space="preserve">”. The experience of this parent group is shared with the current sample. However, there was one difference between their study and the current one: Hallberg et al report that it was predominantly parents of children who received the diagnosis at a younger age who struggled more with feelings of sorrow and upset, compared to parents of older children who were relieved when they got the diagnosis as an explanation for previously unexplained clinical manifestations. In the current study, this was less distinguishable, and a greater variance and overlap was found in terms of emotions, rather than an ‘either or’ situation. A reason for this difference however may be the fact that, typically, patients with Wolf-Hirschhorn present with much more severe phenotypes than patients with 22q11 deletion syndrome – and thus the experiences of these parent groups may not entirely align and be comparable. </w:t>
      </w:r>
    </w:p>
    <w:p w14:paraId="07719C0F" w14:textId="118AFC29" w:rsidR="008B1FBF" w:rsidRPr="006A1EC7" w:rsidRDefault="008B1FBF" w:rsidP="008B1FBF">
      <w:pPr>
        <w:spacing w:line="360" w:lineRule="auto"/>
        <w:ind w:firstLine="720"/>
        <w:rPr>
          <w:lang w:val="en-US"/>
        </w:rPr>
      </w:pPr>
      <w:r w:rsidRPr="006A1EC7">
        <w:t xml:space="preserve">The role of NHS staff was highlighted at diagnosis. It is well recognised that medical professionals who are disclosing the diagnosis of a life-changing, and potentially life-threatening, illness must show sensitivity in their disclosure </w:t>
      </w:r>
      <w:r w:rsidRPr="006A1EC7">
        <w:fldChar w:fldCharType="begin" w:fldLock="1"/>
      </w:r>
      <w:r w:rsidRPr="006A1EC7">
        <w:instrText>ADDIN CSL_CITATION {"citationItems":[{"id":"ITEM-1","itemData":{"DOI":"10.1111/j.1365-2214.2006.00666.x","ISSN":"03051862","abstract":"BACKGROUND: Communication with parents who are realizing their child is severely disabled is a difficult task for professionals. Parents are experiencing great emotional stress during the diagnostic process and dissatisfaction with disclosure is widespread. The aim of this study was to investigate parents' reactions when realizing their child's disability, the impact of the diagnosis and parents' ways of coping. METHODS: This was a qualitative, longitudinal study, using in-depth interviews with 16 parents of a physically and mentally disabled child who had recently been diagnosed as such. Children's age at inclusion ranged from 1 to 27 months. Half of the children had an unknown diagnosis. Data were analysed using the Grounded Theory method. RESULTS: were validated and approved by the interviewed parents. RESULTS: The certainty of the diagnosis was central for parents' experiences. First, the emotional reaction of the parents is highly influenced by the diagnostic process. Second, parents needed possibilities for taking action, and third they found difficulty in coping with an uncertain future. These three themes all related to the meaning that parents ascribed to the stating of a diagnosis. Parents' needs in relation to communication were identified as equality in co-operation with doctors, an empathic professional approach, and the child being seen with possibilities despite his or her disabilities. CONCLUSIONS: Parents' process of realization was related to the diagnostic process, and information and communication should be individualized accordingly. Parents wanted to co-operate and they needed possibilities for active coping with their situation.","author":[{"dropping-particle":"","family":"Graungaard","given":"Antte Hauskov","non-dropping-particle":"","parse-names":false,"suffix":""},{"dropping-particle":"","family":"Skov","given":"L.","non-dropping-particle":"","parse-names":false,"suffix":""}],"container-title":"Child: Care, Health and Development","id":"ITEM-1","issue":"3","issued":{"date-parts":[["2007"]]},"page":"296-307","title":"Why do we need a diagnosis? A qualitative study of parents' experiences, coping and needs, when the newborn child is severely disabled","type":"article-journal","volume":"33"},"uris":["http://www.mendeley.com/documents/?uuid=985d60ce-2203-4400-98ac-f653b5dcc782","http://www.mendeley.com/documents/?uuid=4fe96b39-e363-4a6b-b93d-ac755dc68f5e"]}],"mendeley":{"formattedCitation":"(Graungaard &amp; Skov, 2007)","plainTextFormattedCitation":"(Graungaard &amp; Skov, 2007)","previouslyFormattedCitation":"(Graungaard &amp; Skov, 2007)"},"properties":{"noteIndex":0},"schema":"https://github.com/citation-style-language/schema/raw/master/csl-citation.json"}</w:instrText>
      </w:r>
      <w:r w:rsidRPr="006A1EC7">
        <w:fldChar w:fldCharType="separate"/>
      </w:r>
      <w:r w:rsidRPr="006A1EC7">
        <w:rPr>
          <w:noProof/>
        </w:rPr>
        <w:t>(Graungaard &amp; Skov, 2007)</w:t>
      </w:r>
      <w:r w:rsidRPr="006A1EC7">
        <w:fldChar w:fldCharType="end"/>
      </w:r>
      <w:r w:rsidRPr="006A1EC7">
        <w:t>. Unfortunately, this sensitivity was not always reported by the participants about the medical professionals responsible for the care of their relatives. Parents in the sample felt ‘</w:t>
      </w:r>
      <w:r w:rsidRPr="006A1EC7">
        <w:rPr>
          <w:i/>
          <w:iCs/>
        </w:rPr>
        <w:t>haunted</w:t>
      </w:r>
      <w:r w:rsidRPr="006A1EC7">
        <w:t xml:space="preserve">’ by initial diagnostic consultations, sometimes even unaware that genetic testing had taken place. However, participants did not only feel that there were significant issues with the delivery of diagnosis, but also significant deficit in health care professional knowledge about the syndrome, with some professionals admitting they had never heard of the syndrome before. As a result, relatives in the sample, and elsewhere, have reported feelings </w:t>
      </w:r>
      <w:r w:rsidRPr="006A1EC7">
        <w:rPr>
          <w:lang w:val="en-US"/>
        </w:rPr>
        <w:t xml:space="preserve">of powerlessness, overwhelm and uncertainty </w:t>
      </w:r>
      <w:r w:rsidRPr="006A1EC7">
        <w:rPr>
          <w:lang w:val="en-US"/>
        </w:rPr>
        <w:fldChar w:fldCharType="begin" w:fldLock="1"/>
      </w:r>
      <w:r w:rsidRPr="006A1EC7">
        <w:rPr>
          <w:lang w:val="en-US"/>
        </w:rPr>
        <w:instrText>ADDIN CSL_CITATION {"citationItems":[{"id":"ITEM-1","itemData":{"DOI":"10.1111/j.1365-2214.2006.00666.x","ISSN":"03051862","abstract":"BACKGROUND: Communication with parents who are realizing their child is severely disabled is a difficult task for professionals. Parents are experiencing great emotional stress during the diagnostic process and dissatisfaction with disclosure is widespread. The aim of this study was to investigate parents' reactions when realizing their child's disability, the impact of the diagnosis and parents' ways of coping. METHODS: This was a qualitative, longitudinal study, using in-depth interviews with 16 parents of a physically and mentally disabled child who had recently been diagnosed as such. Children's age at inclusion ranged from 1 to 27 months. Half of the children had an unknown diagnosis. Data were analysed using the Grounded Theory method. RESULTS: were validated and approved by the interviewed parents. RESULTS: The certainty of the diagnosis was central for parents' experiences. First, the emotional reaction of the parents is highly influenced by the diagnostic process. Second, parents needed possibilities for taking action, and third they found difficulty in coping with an uncertain future. These three themes all related to the meaning that parents ascribed to the stating of a diagnosis. Parents' needs in relation to communication were identified as equality in co-operation with doctors, an empathic professional approach, and the child being seen with possibilities despite his or her disabilities. CONCLUSIONS: Parents' process of realization was related to the diagnostic process, and information and communication should be individualized accordingly. Parents wanted to co-operate and they needed possibilities for active coping with their situation.","author":[{"dropping-particle":"","family":"Graungaard","given":"Antte Hauskov","non-dropping-particle":"","parse-names":false,"suffix":""},{"dropping-particle":"","family":"Skov","given":"L.","non-dropping-particle":"","parse-names":false,"suffix":""}],"container-title":"Child: Care, Health and Development","id":"ITEM-1","issue":"3","issued":{"date-parts":[["2007"]]},"page":"296-307","title":"Why do we need a diagnosis? A qualitative study of parents' experiences, coping and needs, when the newborn child is severely disabled","type":"article-journal","volume":"33"},"uris":["http://www.mendeley.com/documents/?uuid=4fe96b39-e363-4a6b-b93d-ac755dc68f5e","http://www.mendeley.com/documents/?uuid=985d60ce-2203-4400-98ac-f653b5dcc782"]}],"mendeley":{"formattedCitation":"(Graungaard &amp; Skov, 2007)","plainTextFormattedCitation":"(Graungaard &amp; Skov, 2007)","previouslyFormattedCitation":"(Graungaard &amp; Skov, 2007)"},"properties":{"noteIndex":0},"schema":"https://github.com/citation-style-language/schema/raw/master/csl-citation.json"}</w:instrText>
      </w:r>
      <w:r w:rsidRPr="006A1EC7">
        <w:rPr>
          <w:lang w:val="en-US"/>
        </w:rPr>
        <w:fldChar w:fldCharType="separate"/>
      </w:r>
      <w:r w:rsidRPr="006A1EC7">
        <w:rPr>
          <w:noProof/>
          <w:lang w:val="en-US"/>
        </w:rPr>
        <w:t>(Graungaard &amp; Skov, 2007)</w:t>
      </w:r>
      <w:r w:rsidRPr="006A1EC7">
        <w:rPr>
          <w:lang w:val="en-US"/>
        </w:rPr>
        <w:fldChar w:fldCharType="end"/>
      </w:r>
      <w:r w:rsidRPr="006A1EC7">
        <w:rPr>
          <w:lang w:val="en-US"/>
        </w:rPr>
        <w:t xml:space="preserve">. Participants expressed a significant need for better, timely and up-to-date information at the point of </w:t>
      </w:r>
      <w:r w:rsidRPr="006A1EC7">
        <w:rPr>
          <w:lang w:val="en-US"/>
        </w:rPr>
        <w:lastRenderedPageBreak/>
        <w:t xml:space="preserve">diagnosis, often due to a perceived lack of knowledge and experience of the responsible healthcare professionals. </w:t>
      </w:r>
    </w:p>
    <w:p w14:paraId="2C7CADC3" w14:textId="6014759A" w:rsidR="008B1FBF" w:rsidRPr="006A1EC7" w:rsidRDefault="008B1FBF" w:rsidP="008B1FBF">
      <w:pPr>
        <w:spacing w:line="360" w:lineRule="auto"/>
        <w:ind w:firstLine="720"/>
      </w:pPr>
      <w:r w:rsidRPr="006A1EC7">
        <w:rPr>
          <w:lang w:val="en-US"/>
        </w:rPr>
        <w:t>The participant accounts in the current study further revealed that the perceived lack of knowledge about WHS of NHS staff was not exclusive to diagnosis: i</w:t>
      </w:r>
      <w:r w:rsidRPr="006A1EC7">
        <w:rPr>
          <w:noProof/>
        </w:rPr>
        <w:t xml:space="preserve">nadequate treatment of patients and their families, insufficient knowledge and experience with the WHS, inappropriate language use, lengthy administrative hospital processes, unsuitable treatments and a lack of recognition of family members as the experts on WHS were reported. Medical care inadequacies were described both across primary and secondary care settings </w:t>
      </w:r>
      <w:r w:rsidRPr="006A1EC7">
        <w:t xml:space="preserve">as well as across a majority of time points in the patients’ lives. </w:t>
      </w:r>
      <w:r w:rsidRPr="006A1EC7">
        <w:rPr>
          <w:noProof/>
        </w:rPr>
        <w:t>This therefore reflects an issue experienced by participants at all levels of the UK health care system</w:t>
      </w:r>
      <w:r w:rsidRPr="006A1EC7">
        <w:t>. While lack of awareness among some health care professionals such as paramedics with limited training on specific health-conditions, can be explained, family members felt that, especially among secondary</w:t>
      </w:r>
      <w:r w:rsidR="00D81E31" w:rsidRPr="006A1EC7">
        <w:t xml:space="preserve"> or </w:t>
      </w:r>
      <w:r w:rsidR="004E3C36" w:rsidRPr="006A1EC7">
        <w:t xml:space="preserve">tertiary </w:t>
      </w:r>
      <w:r w:rsidRPr="006A1EC7">
        <w:t>health care providers such as paediatricians</w:t>
      </w:r>
      <w:r w:rsidR="00D81E31" w:rsidRPr="006A1EC7">
        <w:t xml:space="preserve"> or geneticists</w:t>
      </w:r>
      <w:r w:rsidRPr="006A1EC7">
        <w:t>, some degree of knowledge and awareness of the syndrome should exist (which participants did not experience).</w:t>
      </w:r>
    </w:p>
    <w:p w14:paraId="4622E22A" w14:textId="6F72C296" w:rsidR="008B1FBF" w:rsidRPr="006A1EC7" w:rsidRDefault="008B1FBF" w:rsidP="008B1FBF">
      <w:pPr>
        <w:spacing w:line="360" w:lineRule="auto"/>
        <w:ind w:firstLine="720"/>
      </w:pPr>
      <w:r w:rsidRPr="006A1EC7">
        <w:t xml:space="preserve">Perceived lack of appropriate established care pathways across primary and secondary care were reported to add further psychological strain on relatives; a finding which is echoed in the literature </w:t>
      </w:r>
      <w:r w:rsidRPr="006A1EC7">
        <w:fldChar w:fldCharType="begin" w:fldLock="1"/>
      </w:r>
      <w:r w:rsidRPr="006A1EC7">
        <w:instrText>ADDIN CSL_CITATION {"citationItems":[{"id":"ITEM-1","itemData":{"ISBN":"1089701802","author":[{"dropping-particle":"","family":"Baumbusch","given":"Jennifer","non-dropping-particle":"","parse-names":false,"suffix":""}],"id":"ITEM-1","issued":{"date-parts":[["2018"]]},"title":"Alone in a Crowd ? Parents of Children with Rare Diseases ’ Experiences of Navigating the Healthcare System","type":"article-journal"},"uris":["http://www.mendeley.com/documents/?uuid=02ec2bbc-a38c-48cd-9505-f022a9e745e2"]}],"mendeley":{"formattedCitation":"(Baumbusch, 2018)","plainTextFormattedCitation":"(Baumbusch, 2018)","previouslyFormattedCitation":"(Baumbusch, 2018)"},"properties":{"noteIndex":0},"schema":"https://github.com/citation-style-language/schema/raw/master/csl-citation.json"}</w:instrText>
      </w:r>
      <w:r w:rsidRPr="006A1EC7">
        <w:fldChar w:fldCharType="separate"/>
      </w:r>
      <w:r w:rsidRPr="006A1EC7">
        <w:rPr>
          <w:noProof/>
        </w:rPr>
        <w:t>(Baumbusch, 2018)</w:t>
      </w:r>
      <w:r w:rsidRPr="006A1EC7">
        <w:fldChar w:fldCharType="end"/>
      </w:r>
      <w:r w:rsidRPr="006A1EC7">
        <w:t>. Arising compartmentalisation of care with no holistic care approach or “care coordination” left family members feeling distressed and uncertain, and their WHS relatives vulnerable to sub-standard quality of care. To avoid this, parents had to be extra vigilant that no mistakes are made, such as ensuring that relatives are not undergoing medical procedures they are not fit to endure or given inappropriate medication. Participants made recommendations to health care professionals, to ensure appropriate and safe care for their relatives with WHS. It is hoped that these will enable health care professionals to deliver better care to patients with WHS.</w:t>
      </w:r>
    </w:p>
    <w:p w14:paraId="434B344F" w14:textId="3676F942" w:rsidR="008B1FBF" w:rsidRPr="006A1EC7" w:rsidRDefault="008B1FBF" w:rsidP="008B1FBF">
      <w:pPr>
        <w:spacing w:line="360" w:lineRule="auto"/>
        <w:ind w:firstLine="720"/>
      </w:pPr>
      <w:r w:rsidRPr="006A1EC7">
        <w:t xml:space="preserve">Interestingly in this study, significantly more negative experiences with healthcare professionals than positive ones were reported. It may be due to recall bias that participants were more likely to report, and remember, negative experiences, which had lasting emotional meaning.  However, over the course of the study, family caregivers of children and adults with WHS continually emphasised the importance of good and reliable healthcare professionals. They further emphasised a need for clear communication pathways in case of issues, and a need for continuity of care across primary and secondary care. Recommendations, such as having a specific, named GP who coordinates the patient’s care </w:t>
      </w:r>
      <w:r w:rsidRPr="006A1EC7">
        <w:lastRenderedPageBreak/>
        <w:t>and is the first port of call for any concerns, were described as important first steps in meeting these unmet medical needs.</w:t>
      </w:r>
    </w:p>
    <w:p w14:paraId="37228661" w14:textId="77777777" w:rsidR="008B1FBF" w:rsidRPr="006A1EC7" w:rsidRDefault="008B1FBF" w:rsidP="008B1FBF">
      <w:pPr>
        <w:spacing w:line="360" w:lineRule="auto"/>
        <w:ind w:firstLine="720"/>
        <w:rPr>
          <w:lang w:val="en-US"/>
        </w:rPr>
      </w:pPr>
      <w:r w:rsidRPr="006A1EC7">
        <w:rPr>
          <w:lang w:val="en-US"/>
        </w:rPr>
        <w:t xml:space="preserve">The third theme was “Family adaptation” in response to diagnosis of WHS. Family adaptation is an “ongoing process whereby parents are able to sensitively read and respond to their child’s signals in a manner conducive to healthy development” </w:t>
      </w:r>
      <w:r w:rsidRPr="006A1EC7">
        <w:rPr>
          <w:lang w:val="en-US"/>
        </w:rPr>
        <w:fldChar w:fldCharType="begin" w:fldLock="1"/>
      </w:r>
      <w:r w:rsidRPr="006A1EC7">
        <w:rPr>
          <w:lang w:val="en-US"/>
        </w:rPr>
        <w:instrText>ADDIN CSL_CITATION {"citationItems":[{"id":"ITEM-1","itemData":{"author":[{"dropping-particle":"","family":"Barnett","given":"Douglas","non-dropping-particle":"","parse-names":false,"suffix":""},{"dropping-particle":"","family":"Clements","given":"Melissa","non-dropping-particle":"","parse-names":false,"suffix":""},{"dropping-particle":"","family":"Kaplan-estrin","given":"Melissa","non-dropping-particle":"","parse-names":false,"suffix":""},{"dropping-particle":"","family":"Fialka","given":"Janice","non-dropping-particle":"","parse-names":false,"suffix":""}],"container-title":"Infants &amp; Young Children","id":"ITEM-1","issue":"3","issued":{"date-parts":[["2003"]]},"page":"184-200","title":"Building New Dreams: Supporting Parents' Adaptation to Their Child With Special Needs","type":"article-journal","volume":"16"},"uris":["http://www.mendeley.com/documents/?uuid=56c4af3f-6ead-46e6-ac56-780c5fa8dc6a","http://www.mendeley.com/documents/?uuid=bd08aefd-bd90-4762-b95d-2fbd4f164762"]}],"mendeley":{"formattedCitation":"(Barnett, Clements, Kaplan-estrin, &amp; Fialka, 2003)","plainTextFormattedCitation":"(Barnett, Clements, Kaplan-estrin, &amp; Fialka, 2003)","previouslyFormattedCitation":"(Barnett, Clements, Kaplan-estrin, &amp; Fialka, 2003)"},"properties":{"noteIndex":0},"schema":"https://github.com/citation-style-language/schema/raw/master/csl-citation.json"}</w:instrText>
      </w:r>
      <w:r w:rsidRPr="006A1EC7">
        <w:rPr>
          <w:lang w:val="en-US"/>
        </w:rPr>
        <w:fldChar w:fldCharType="separate"/>
      </w:r>
      <w:r w:rsidRPr="006A1EC7">
        <w:rPr>
          <w:noProof/>
          <w:lang w:val="en-US"/>
        </w:rPr>
        <w:t>(Barnett, Clements, Kaplan-estrin, &amp; Fialka, 2003)</w:t>
      </w:r>
      <w:r w:rsidRPr="006A1EC7">
        <w:rPr>
          <w:lang w:val="en-US"/>
        </w:rPr>
        <w:fldChar w:fldCharType="end"/>
      </w:r>
      <w:r w:rsidRPr="006A1EC7">
        <w:rPr>
          <w:lang w:val="en-US"/>
        </w:rPr>
        <w:t>.  Three different parts to family adaptation could be identified: cognitive adaptation (i.e. research), emotional adaptation (i.e. coping strategies) and structural adaptation (i.e. house moves, extensions).</w:t>
      </w:r>
    </w:p>
    <w:p w14:paraId="4289FC3F" w14:textId="5B660E6D" w:rsidR="008B1FBF" w:rsidRPr="006A1EC7" w:rsidRDefault="008B1FBF" w:rsidP="008B1FBF">
      <w:pPr>
        <w:spacing w:line="360" w:lineRule="auto"/>
        <w:ind w:firstLine="720"/>
        <w:rPr>
          <w:lang w:val="en-US"/>
        </w:rPr>
      </w:pPr>
      <w:r w:rsidRPr="006A1EC7">
        <w:rPr>
          <w:lang w:val="en-US"/>
        </w:rPr>
        <w:t xml:space="preserve">For parents of young children in the sample, the first step towards adaptation and coping was to gain knowledge and insight into </w:t>
      </w:r>
      <w:r w:rsidR="009F0718" w:rsidRPr="006A1EC7">
        <w:rPr>
          <w:lang w:val="en-US"/>
        </w:rPr>
        <w:t>WHS</w:t>
      </w:r>
      <w:r w:rsidRPr="006A1EC7">
        <w:rPr>
          <w:lang w:val="en-US"/>
        </w:rPr>
        <w:t xml:space="preserve">. This was seen as integral to being able to act as the relatives’ advocate and protector, enabling their relative to develop in a safe and healthy way. The information seeking step is also reported in parents of children with other life-limiting or life-changing conditions </w:t>
      </w:r>
      <w:r w:rsidRPr="006A1EC7">
        <w:rPr>
          <w:lang w:val="en-US"/>
        </w:rPr>
        <w:fldChar w:fldCharType="begin" w:fldLock="1"/>
      </w:r>
      <w:r w:rsidRPr="006A1EC7">
        <w:rPr>
          <w:lang w:val="en-US"/>
        </w:rPr>
        <w:instrText>ADDIN CSL_CITATION {"citationItems":[{"id":"ITEM-1","itemData":{"DOI":"10.1136/archdischild-2015-310345","ISBN":"0003-9888","ISSN":"14682044","PMID":"27919885","abstract":"The relationship between parents and clinician is critical to the care and treatment of children with life-limiting conditions (LLCs) and life-threatening illnesses (LTIs). This relationship is built and maintained largely in consultations. In this article we lay out factors that bear on the success of clinical consultations and the maintenance of the essential clinician-parent relationship at progression or deterioration of LLCs or LTIs. We suggest an approach to engaging parents in conversations about care and treatment that recognises and appreciates the dilemmas which clinicians and parents face and in so doing provides a way for everyone to live with the decisions that are made. A close analysis of a consultation at progression and excerpts of encounters among parents, clinician and researcher are used to illustrate our approach to research, analysis and development of recommendations for clinical practice., Copyright Published by the BMJ Publishing Group Limited. For permission to use (where not already granted under a licence) please go to http://www.bmj.com/company/products-services/rights-and-licensing/.","author":[{"dropping-particle":"","family":"Bluebond-Langner","given":"Myra","non-dropping-particle":"","parse-names":false,"suffix":""},{"dropping-particle":"","family":"Hargrave","given":"Darren","non-dropping-particle":"","parse-names":false,"suffix":""},{"dropping-particle":"","family":"Henderson","given":"Ellen M.","non-dropping-particle":"","parse-names":false,"suffix":""},{"dropping-particle":"","family":"Langner","given":"Richard","non-dropping-particle":"","parse-names":false,"suffix":""}],"container-title":"Archives of Disease in Childhood","id":"ITEM-1","issue":"5","issued":{"date-parts":[["2017"]]},"page":"468-471","title":"I have to live with the decisions i make: Laying a foundation for decision making for children with life-limiting conditions and life-threatening illnesses","type":"article-journal","volume":"102"},"uris":["http://www.mendeley.com/documents/?uuid=3602da8a-145f-4e6b-82a5-bc283d807c11"]},{"id":"ITEM-2","itemData":{"DOI":"10.1007/s10897-010-9339-4","ISBN":"1059-7700","ISSN":"10597700","PMID":"21203808","abstract":"The experiences of mothers of adult offspring with Angelman, Cornelia de Lange, or Cri du Chat syndrome have not been previously explored in research. The current study focuses on experiences with social and medical services and the impact the rareness of an adult offspring's syndrome has on the experiences of mothers. Eight mothers of adults with Angelman, Cornelia de Lange, or Cri du Chat syndrome were interviewed. Thematic Content Analysis was used to interpret the interviews. Four themes emerged from the analysis: (i) The rarity of their offspring's syndrome, (ii) Uneven medical and social care service provision, (iii) The inertia of social care services, and (iv) Mothers as advocates. Mothers felt that the rareness of their offspring's syndrome did not affect experiences with social care services, but did affect access to medical services and some aspects of day-to-day living. Accessing appropriate social care services was reported to be a lengthy and complex process. These data may help inform care service providers about how best to support adults with rare genetic syndromes and their families.","author":[{"dropping-particle":"","family":"Griffith","given":"Gemma Maria","non-dropping-particle":"","parse-names":false,"suffix":""},{"dropping-particle":"","family":"Hastings","given":"Richard P.","non-dropping-particle":"","parse-names":false,"suffix":""},{"dropping-particle":"","family":"Nash","given":"Susie","non-dropping-particle":"","parse-names":false,"suffix":""},{"dropping-particle":"","family":"Petalas","given":"Michael","non-dropping-particle":"","parse-names":false,"suffix":""},{"dropping-particle":"","family":"Oliver","given":"Chris","non-dropping-particle":"","parse-names":false,"suffix":""},{"dropping-particle":"","family":"Howlin","given":"Patricia","non-dropping-particle":"","parse-names":false,"suffix":""},{"dropping-particle":"","family":"Moss","given":"Joanna","non-dropping-particle":"","parse-names":false,"suffix":""},{"dropping-particle":"","family":"Petty","given":"Jane","non-dropping-particle":"","parse-names":false,"suffix":""},{"dropping-particle":"","family":"Tunnicliffe","given":"Penelope","non-dropping-particle":"","parse-names":false,"suffix":""}],"container-title":"Journal of Genetic Counseling","id":"ITEM-2","issue":"2","issued":{"date-parts":[["2011"]]},"page":"165-177","title":"\"You have to sit and explain it all, and explain yourself.\" mothers' experiences of support services for their offspring with a rare genetic intellectual disability syndrome","type":"article-journal","volume":"20"},"uris":["http://www.mendeley.com/documents/?uuid=0fe88b08-e83c-46d9-b7b8-48a3c2d62738"]}],"mendeley":{"formattedCitation":"(Bluebond-Langner, Hargrave, Henderson, &amp; Langner, 2017; Gemma Maria Griffith et al., 2011)","manualFormatting":"(Bluebond-Langner, Hargrave, Henderson, &amp; Langner, 2017; Griffith et al., 2011)","plainTextFormattedCitation":"(Bluebond-Langner, Hargrave, Henderson, &amp; Langner, 2017; Gemma Maria Griffith et al., 2011)","previouslyFormattedCitation":"(Bluebond-Langner, Hargrave, Henderson, &amp; Langner, 2017; Gemma Maria Griffith et al., 2011)"},"properties":{"noteIndex":0},"schema":"https://github.com/citation-style-language/schema/raw/master/csl-citation.json"}</w:instrText>
      </w:r>
      <w:r w:rsidRPr="006A1EC7">
        <w:rPr>
          <w:lang w:val="en-US"/>
        </w:rPr>
        <w:fldChar w:fldCharType="separate"/>
      </w:r>
      <w:r w:rsidRPr="006A1EC7">
        <w:rPr>
          <w:noProof/>
          <w:lang w:val="en-US"/>
        </w:rPr>
        <w:t>(Bluebond-Langner, Hargrave, Henderson, &amp; Langner, 2017; Griffith et al., 2011)</w:t>
      </w:r>
      <w:r w:rsidRPr="006A1EC7">
        <w:rPr>
          <w:lang w:val="en-US"/>
        </w:rPr>
        <w:fldChar w:fldCharType="end"/>
      </w:r>
      <w:r w:rsidRPr="006A1EC7">
        <w:rPr>
          <w:lang w:val="en-US"/>
        </w:rPr>
        <w:t xml:space="preserve">. </w:t>
      </w:r>
    </w:p>
    <w:p w14:paraId="429EE1E4" w14:textId="77777777" w:rsidR="008B1FBF" w:rsidRPr="006A1EC7" w:rsidRDefault="008B1FBF" w:rsidP="008B1FBF">
      <w:pPr>
        <w:spacing w:line="360" w:lineRule="auto"/>
        <w:ind w:firstLine="720"/>
        <w:rPr>
          <w:lang w:val="en-US"/>
        </w:rPr>
      </w:pPr>
      <w:r w:rsidRPr="006A1EC7">
        <w:rPr>
          <w:lang w:val="en-US"/>
        </w:rPr>
        <w:t xml:space="preserve">Due to the rise of online health resources and social media, parents now have the opportunity to access a plethora of material to increase their knowledge about their children’s conditions. This results in higher health literacy among parents and can influence decision-making about their child’s health care and treatment plans </w:t>
      </w:r>
      <w:r w:rsidRPr="006A1EC7">
        <w:rPr>
          <w:lang w:val="en-US"/>
        </w:rPr>
        <w:fldChar w:fldCharType="begin" w:fldLock="1"/>
      </w:r>
      <w:r w:rsidRPr="006A1EC7">
        <w:rPr>
          <w:lang w:val="en-US"/>
        </w:rPr>
        <w:instrText>ADDIN CSL_CITATION {"citationItems":[{"id":"ITEM-1","itemData":{"DOI":"10.2196/jmir.5834","author":[{"dropping-particle":"","family":"Nicholl","given":"H","non-dropping-particle":"","parse-names":false,"suffix":""},{"dropping-particle":"","family":"Tracey","given":"C","non-dropping-particle":"","parse-names":false,"suffix":""},{"dropping-particle":"","family":"Begley","given":"T","non-dropping-particle":"","parse-names":false,"suffix":""},{"dropping-particle":"","family":"King","given":"C","non-dropping-particle":"","parse-names":false,"suffix":""},{"dropping-particle":"","family":"Lynch","given":"A","non-dropping-particle":"","parse-names":false,"suffix":""}],"container-title":"Journal of Medical Internet Research","id":"ITEM-1","issue":"2","issued":{"date-parts":[["2017"]]},"title":"Internet Use by Parents of Children With Rare Conditions: Findings From a Study on Parents’ Web Information Needs.","type":"article-journal","volume":"19"},"uris":["http://www.mendeley.com/documents/?uuid=ca6eb11b-71e1-4e71-82b3-abf57bca5f56"]}],"mendeley":{"formattedCitation":"(Nicholl, Tracey, Begley, King, &amp; Lynch, 2017)","plainTextFormattedCitation":"(Nicholl, Tracey, Begley, King, &amp; Lynch, 2017)","previouslyFormattedCitation":"(Nicholl, Tracey, Begley, King, &amp; Lynch, 2017)"},"properties":{"noteIndex":0},"schema":"https://github.com/citation-style-language/schema/raw/master/csl-citation.json"}</w:instrText>
      </w:r>
      <w:r w:rsidRPr="006A1EC7">
        <w:rPr>
          <w:lang w:val="en-US"/>
        </w:rPr>
        <w:fldChar w:fldCharType="separate"/>
      </w:r>
      <w:r w:rsidRPr="006A1EC7">
        <w:rPr>
          <w:noProof/>
          <w:lang w:val="en-US"/>
        </w:rPr>
        <w:t>(Nicholl, Tracey, Begley, King, &amp; Lynch, 2017)</w:t>
      </w:r>
      <w:r w:rsidRPr="006A1EC7">
        <w:rPr>
          <w:lang w:val="en-US"/>
        </w:rPr>
        <w:fldChar w:fldCharType="end"/>
      </w:r>
      <w:r w:rsidRPr="006A1EC7">
        <w:rPr>
          <w:lang w:val="en-US"/>
        </w:rPr>
        <w:t xml:space="preserve">. At the same time, this enables them to become ‘experts’ on their relatives’ conditions. Participants in the current study considered ‘becoming experts’ as both positive and negative attributes. They felt </w:t>
      </w:r>
      <w:r w:rsidRPr="006A1EC7">
        <w:t xml:space="preserve">positively because family members feel they can add to consultations and know their child best. They felt negatively because feeling as though they know more about the syndrome than the medical professionals, they are dealing with can be incredibly distressing. </w:t>
      </w:r>
    </w:p>
    <w:p w14:paraId="644CBBF9" w14:textId="0D451F30" w:rsidR="008B1FBF" w:rsidRPr="006A1EC7" w:rsidRDefault="008B1FBF" w:rsidP="008B1FBF">
      <w:pPr>
        <w:spacing w:line="360" w:lineRule="auto"/>
        <w:ind w:firstLine="720"/>
      </w:pPr>
      <w:r w:rsidRPr="006A1EC7">
        <w:t xml:space="preserve">Another aspect to parents being forced to become experts is highlighted in a recent study (August 2018) conducted with parents of children with rare diseases in Canada: parents report facing significant issues when attempting to evaluate the quality and accuracy of information found on their children’s condition when there is a lack of guidance from medical professionals </w:t>
      </w:r>
      <w:r w:rsidRPr="006A1EC7">
        <w:fldChar w:fldCharType="begin" w:fldLock="1"/>
      </w:r>
      <w:r w:rsidRPr="006A1EC7">
        <w:instrText>ADDIN CSL_CITATION {"citationItems":[{"id":"ITEM-1","itemData":{"DOI":"10.1007/s10897-009-9273-5","ISBN":"1059-7700","ISSN":"10597700","PMID":"20151318","abstract":"Smith-Magenis syndrome (SMS) is a complex disorder characterized by numerous challenges, including intellectual disability, speech delay, decreased pain sensitivity, sleep disturbances, hyperactivity, mood instability, and self-injury. Caregivers must readily adapt to the ever-changing needs of the child. Due to these demands, caregivers may encounter difficulties maintaining their own level of well-being. Thus, a total of 112 primary caregivers (i.e., parents) of individuals diagnosed with SMS responded to online questionnaires to assess demographic and psychosocial factors, such as perceptions of child health vulnerability, benefit finding, sleep behaviors, anxiety and depression symptomatology, and caregiver satisfaction and self-efficacy, which may be related to caregiver well-being. Results show that, among mothers, caregiver well-being was directly related to perceived child health vulnerability, caregiver satisfaction, and benefit finding, and a significant moderating effect was observed for depression/anxiety counseling after beginning the caregiver role on the relationship between anxiety symptomatology and caregiver well-being. Results further suggest that maternal caregivers who report high levels of anxiety but do not seek counseling fair the worst in terms of well-being. Among fathers, lower depression symptoms and greater benefit finding were related to higher levels of caregiver well-being. These data show that many factors play roles in influencing coping and well-being among SMS caregivers. Investigating these variables and relationships may reveal additional resources and interventions to assist primary caregivers.","author":[{"dropping-particle":"","family":"Foster","given":"Rebecca H.","non-dropping-particle":"","parse-names":false,"suffix":""},{"dropping-particle":"","family":"Kozachek","given":"Stephanie","non-dropping-particle":"","parse-names":false,"suffix":""},{"dropping-particle":"","family":"Stern","given":"Marilyn","non-dropping-particle":"","parse-names":false,"suffix":""},{"dropping-particle":"","family":"Elsea","given":"Sarah H.","non-dropping-particle":"","parse-names":false,"suffix":""}],"container-title":"Journal of Genetic Counseling","id":"ITEM-1","issue":"2","issued":{"date-parts":[["2010"]]},"page":"187-198","title":"Caring for the caregivers: An investigation of factors related to well-being among parents caring for a child with smith-magenis syndrome","type":"article-journal","volume":"19"},"uris":["http://www.mendeley.com/documents/?uuid=3ae8a933-dc74-40eb-871f-3a666813b2e6"]}],"mendeley":{"formattedCitation":"(Foster, Kozachek, Stern, &amp; Elsea, 2010)","manualFormatting":"(Baumbusch, 2018)","plainTextFormattedCitation":"(Foster, Kozachek, Stern, &amp; Elsea, 2010)","previouslyFormattedCitation":"(Foster, Kozachek, Stern, &amp; Elsea, 2010)"},"properties":{"noteIndex":0},"schema":"https://github.com/citation-style-language/schema/raw/master/csl-citation.json"}</w:instrText>
      </w:r>
      <w:r w:rsidRPr="006A1EC7">
        <w:fldChar w:fldCharType="separate"/>
      </w:r>
      <w:r w:rsidRPr="006A1EC7">
        <w:rPr>
          <w:noProof/>
        </w:rPr>
        <w:t>(Baumbusch, 2018)</w:t>
      </w:r>
      <w:r w:rsidRPr="006A1EC7">
        <w:fldChar w:fldCharType="end"/>
      </w:r>
      <w:r w:rsidRPr="006A1EC7">
        <w:t xml:space="preserve">. A 2017 study assessing the impact of online information-seeking on the psychological wellbeing of parents of children with rare diseases found a third of respondents (33%) reported increased anxiety as a result of online information seeking. This is particularly pertinent when compared to 16% who reported that it had decreased their anxiety </w:t>
      </w:r>
      <w:r w:rsidRPr="006A1EC7">
        <w:fldChar w:fldCharType="begin" w:fldLock="1"/>
      </w:r>
      <w:r w:rsidRPr="006A1EC7">
        <w:instrText>ADDIN CSL_CITATION {"citationItems":[{"id":"ITEM-1","itemData":{"ISBN":"1089701802","author":[{"dropping-particle":"","family":"Baumbusch","given":"Jennifer","non-dropping-particle":"","parse-names":false,"suffix":""}],"id":"ITEM-1","issued":{"date-parts":[["2018"]]},"title":"Alone in a Crowd ? Parents of Children with Rare Diseases ’ Experiences of Navigating the Healthcare System","type":"article-journal"},"uris":["http://www.mendeley.com/documents/?uuid=02ec2bbc-a38c-48cd-9505-f022a9e745e2"]}],"mendeley":{"formattedCitation":"(Baumbusch, 2018)","plainTextFormattedCitation":"(Baumbusch, 2018)","previouslyFormattedCitation":"(Baumbusch, 2018)"},"properties":{"noteIndex":0},"schema":"https://github.com/citation-style-language/schema/raw/master/csl-citation.json"}</w:instrText>
      </w:r>
      <w:r w:rsidRPr="006A1EC7">
        <w:fldChar w:fldCharType="separate"/>
      </w:r>
      <w:r w:rsidRPr="006A1EC7">
        <w:rPr>
          <w:noProof/>
        </w:rPr>
        <w:t>(Baumbusch, 2018)</w:t>
      </w:r>
      <w:r w:rsidRPr="006A1EC7">
        <w:fldChar w:fldCharType="end"/>
      </w:r>
      <w:r w:rsidRPr="006A1EC7">
        <w:t xml:space="preserve">. This supports the need for better parental support and guidance on the acquisition but also the evaluation of (online) health-information </w:t>
      </w:r>
      <w:r w:rsidRPr="006A1EC7">
        <w:lastRenderedPageBreak/>
        <w:t xml:space="preserve">for family members, to ease the psychological burden associated with becoming experts on their relatives’ health conditions. Parents becoming experts on their children’s condition is therefore not only an issue of research and family adaptation, but also a quality of life issue. </w:t>
      </w:r>
    </w:p>
    <w:p w14:paraId="6ED4189F" w14:textId="581180E2" w:rsidR="008B1FBF" w:rsidRPr="006A1EC7" w:rsidRDefault="008B1FBF" w:rsidP="008B1FBF">
      <w:pPr>
        <w:spacing w:line="360" w:lineRule="auto"/>
        <w:ind w:firstLine="720"/>
        <w:rPr>
          <w:lang w:val="en-US"/>
        </w:rPr>
      </w:pPr>
      <w:r w:rsidRPr="006A1EC7">
        <w:rPr>
          <w:lang w:val="en-US"/>
        </w:rPr>
        <w:t>Parents, in this sample and elsewhere, report positive experiences such as learning more about conditions, treatments or finding “positive blogs”.</w:t>
      </w:r>
      <w:r w:rsidRPr="006A1EC7">
        <w:t xml:space="preserve"> </w:t>
      </w:r>
      <w:r w:rsidRPr="006A1EC7">
        <w:rPr>
          <w:lang w:val="en-US"/>
        </w:rPr>
        <w:t xml:space="preserve">However, the current results and wider literature on rare genetic diseases </w:t>
      </w:r>
      <w:r w:rsidRPr="006A1EC7">
        <w:rPr>
          <w:lang w:val="en-US"/>
        </w:rPr>
        <w:fldChar w:fldCharType="begin" w:fldLock="1"/>
      </w:r>
      <w:r w:rsidRPr="006A1EC7">
        <w:rPr>
          <w:lang w:val="en-US"/>
        </w:rPr>
        <w:instrText>ADDIN CSL_CITATION {"citationItems":[{"id":"ITEM-1","itemData":{"URL":"http://www.eurordis.org/about-rare-diseases","accessed":{"date-parts":[["2017","9","18"]]},"author":[{"dropping-particle":"","family":"Eurodis (Rare Diseases Europe)","given":"","non-dropping-particle":"","parse-names":false,"suffix":""}],"id":"ITEM-1","issued":{"date-parts":[["2017"]]},"title":"About Rare Diseases","type":"webpage"},"uris":["http://www.mendeley.com/documents/?uuid=51ecef33-e1ea-47a8-bc16-8e18353f621f"]},{"id":"ITEM-2","itemData":{"DOI":"10.1186/s13023-016-0521-0","ISSN":"1750-1172","PMID":"27724940","abstract":"BACKGROUND Many rare diseases of childhood are life-threatening and chronically debilitating, so living with a rare disease is an on-going challenge for patients and their families. MPS is one of a range of rare inherited metabolic disorders (IMDs) that come under category 3 of life-limiting conditions, where there is no curative treatment available at present. Although the study of rare diseases is increasingly novel, and of clinical importance to the population, the lack of empirical data in the field to support policy and strategy development is a compelling argument for further research to be sought. METHODS This qualitative hermeneutic phenomenological study explored and interpreted Irish parents' experiences of living with and caring for children, adolescents and young adults with MPS and the impact of these diseases on their day to day life. A purposively selected sample of parents' attending the Irish National Centre for Inherited Metabolic Disorders was invited to participate in serial in-depth interviews. RESULTS A total of eight parents' (n = 8) of children with a range of MPS disorders aged from 6 months to 22 years (MPS I Hurler syndrome, Scheie syndrome), MPS II (Hunter syndrome), MPS III (Sanfilipo syndrome) and MPS VI (Maroteaux-Lamy syndrome) were interviewed at three time points over a 17 month period. The main themes identified during data analysis were described as living with MPS, living with a genetic rare disease, the stigma of a rare condition, MPS as encompassing multiple diseases, Unknown future, hospital vs. home, experience of waiting, a tough road ahead, and things in their day-to-day life with MPS. They spoke of their child's Quality of Life (QoL), their healthy children's wellbeing, and for some, the impact on their own physical and psychological wellbeing. They also reflected on issues of stigmatisation and isolation in their experience of living with a child with a rare disorder. CONCLUSION This study's findings reflect the wider literature on the impact of rare diseases, which have also indicated how caring for someone with MPS, a condition that is chronic, progressive and degenerative can impact on all dimensions of the family's life. Analysis of the findings using a hemenutic pheomenology perspecitve suggest that parents of children with MPS experience multiple cyclical movements across all five human lived existential experience, and they gradually develop ways to incorporate MPS in their day to day life. It was also…","author":[{"dropping-particle":"","family":"Somanadhan","given":"S","non-dropping-particle":"","parse-names":false,"suffix":""},{"dropping-particle":"","family":"Larkin","given":"P J","non-dropping-particle":"","parse-names":false,"suffix":""}],"container-title":"Orphanet journal of rare diseases","id":"ITEM-2","issue":"1","issued":{"date-parts":[["2016"]]},"page":"138","publisher":"Orphanet Journal of Rare Diseases","title":"Parents' experiences of living with, and caring for children, adolescents and young adults with Mucopolysaccharidosis (MPS).","type":"article-journal","volume":"11"},"uris":["http://www.mendeley.com/documents/?uuid=8430d744-5bec-4e53-85f5-238c101ac662"]}],"mendeley":{"formattedCitation":"(Eurodis (Rare Diseases Europe), 2017; Somanadhan &amp; Larkin, 2016)","plainTextFormattedCitation":"(Eurodis (Rare Diseases Europe), 2017; Somanadhan &amp; Larkin, 2016)","previouslyFormattedCitation":"(Eurodis (Rare Diseases Europe), 2017; Somanadhan &amp; Larkin, 2016)"},"properties":{"noteIndex":0},"schema":"https://github.com/citation-style-language/schema/raw/master/csl-citation.json"}</w:instrText>
      </w:r>
      <w:r w:rsidRPr="006A1EC7">
        <w:rPr>
          <w:lang w:val="en-US"/>
        </w:rPr>
        <w:fldChar w:fldCharType="separate"/>
      </w:r>
      <w:r w:rsidRPr="006A1EC7">
        <w:rPr>
          <w:noProof/>
          <w:lang w:val="en-US"/>
        </w:rPr>
        <w:t>(Eurodis (Rare Diseases Europe), 2017; Somanadhan &amp; Larkin, 2016)</w:t>
      </w:r>
      <w:r w:rsidRPr="006A1EC7">
        <w:rPr>
          <w:lang w:val="en-US"/>
        </w:rPr>
        <w:fldChar w:fldCharType="end"/>
      </w:r>
      <w:r w:rsidRPr="006A1EC7">
        <w:rPr>
          <w:lang w:val="en-US"/>
        </w:rPr>
        <w:t xml:space="preserve">, suggest that online information seeking is not always a positive experience. It can cause decisional conflict, confound parents’ decision-making (fact versus opinion), challenge established clinician-parent relationships (“Why have I not been told about this?”) and thus, negatively impact shared decision-making between HCPs and parents. Parents of children with Mucopolysaccharidosis (MPS), another rare genetic condition, describe the internet as both a ‘wonderful’ and ‘dangerous’ tool </w:t>
      </w:r>
      <w:r w:rsidRPr="006A1EC7">
        <w:rPr>
          <w:lang w:val="en-US"/>
        </w:rPr>
        <w:fldChar w:fldCharType="begin" w:fldLock="1"/>
      </w:r>
      <w:r w:rsidRPr="006A1EC7">
        <w:rPr>
          <w:lang w:val="en-US"/>
        </w:rPr>
        <w:instrText>ADDIN CSL_CITATION {"citationItems":[{"id":"ITEM-1","itemData":{"DOI":"10.1186/s13023-016-0521-0","ISSN":"1750-1172","PMID":"27724940","abstract":"BACKGROUND Many rare diseases of childhood are life-threatening and chronically debilitating, so living with a rare disease is an on-going challenge for patients and their families. MPS is one of a range of rare inherited metabolic disorders (IMDs) that come under category 3 of life-limiting conditions, where there is no curative treatment available at present. Although the study of rare diseases is increasingly novel, and of clinical importance to the population, the lack of empirical data in the field to support policy and strategy development is a compelling argument for further research to be sought. METHODS This qualitative hermeneutic phenomenological study explored and interpreted Irish parents' experiences of living with and caring for children, adolescents and young adults with MPS and the impact of these diseases on their day to day life. A purposively selected sample of parents' attending the Irish National Centre for Inherited Metabolic Disorders was invited to participate in serial in-depth interviews. RESULTS A total of eight parents' (n = 8) of children with a range of MPS disorders aged from 6 months to 22 years (MPS I Hurler syndrome, Scheie syndrome), MPS II (Hunter syndrome), MPS III (Sanfilipo syndrome) and MPS VI (Maroteaux-Lamy syndrome) were interviewed at three time points over a 17 month period. The main themes identified during data analysis were described as living with MPS, living with a genetic rare disease, the stigma of a rare condition, MPS as encompassing multiple diseases, Unknown future, hospital vs. home, experience of waiting, a tough road ahead, and things in their day-to-day life with MPS. They spoke of their child's Quality of Life (QoL), their healthy children's wellbeing, and for some, the impact on their own physical and psychological wellbeing. They also reflected on issues of stigmatisation and isolation in their experience of living with a child with a rare disorder. CONCLUSION This study's findings reflect the wider literature on the impact of rare diseases, which have also indicated how caring for someone with MPS, a condition that is chronic, progressive and degenerative can impact on all dimensions of the family's life. Analysis of the findings using a hemenutic pheomenology perspecitve suggest that parents of children with MPS experience multiple cyclical movements across all five human lived existential experience, and they gradually develop ways to incorporate MPS in their day to day life. It was also…","author":[{"dropping-particle":"","family":"Somanadhan","given":"S","non-dropping-particle":"","parse-names":false,"suffix":""},{"dropping-particle":"","family":"Larkin","given":"P J","non-dropping-particle":"","parse-names":false,"suffix":""}],"container-title":"Orphanet journal of rare diseases","id":"ITEM-1","issue":"1","issued":{"date-parts":[["2016"]]},"page":"138","publisher":"Orphanet Journal of Rare Diseases","title":"Parents' experiences of living with, and caring for children, adolescents and young adults with Mucopolysaccharidosis (MPS).","type":"article-journal","volume":"11"},"uris":["http://www.mendeley.com/documents/?uuid=8430d744-5bec-4e53-85f5-238c101ac662"]}],"mendeley":{"formattedCitation":"(Somanadhan &amp; Larkin, 2016)","plainTextFormattedCitation":"(Somanadhan &amp; Larkin, 2016)","previouslyFormattedCitation":"(Somanadhan &amp; Larkin, 2016)"},"properties":{"noteIndex":0},"schema":"https://github.com/citation-style-language/schema/raw/master/csl-citation.json"}</w:instrText>
      </w:r>
      <w:r w:rsidRPr="006A1EC7">
        <w:rPr>
          <w:lang w:val="en-US"/>
        </w:rPr>
        <w:fldChar w:fldCharType="separate"/>
      </w:r>
      <w:r w:rsidRPr="006A1EC7">
        <w:rPr>
          <w:noProof/>
          <w:lang w:val="en-US"/>
        </w:rPr>
        <w:t>(Somanadhan &amp; Larkin, 2016)</w:t>
      </w:r>
      <w:r w:rsidRPr="006A1EC7">
        <w:rPr>
          <w:lang w:val="en-US"/>
        </w:rPr>
        <w:fldChar w:fldCharType="end"/>
      </w:r>
      <w:r w:rsidRPr="006A1EC7">
        <w:rPr>
          <w:lang w:val="en-US"/>
        </w:rPr>
        <w:t xml:space="preserve">. This is somewhat echoed in participants describing having to tread carefully when given information by others or accessing information. Tools that help relatives assess validity and reliability of, particularly online, information are therefore needed. However, it was obvious that family members had above-average health literacy and did acquire this knowledge during their ‘journey’ towards adaptation. Family members reported not only learning about </w:t>
      </w:r>
      <w:r w:rsidR="009F0718" w:rsidRPr="006A1EC7">
        <w:rPr>
          <w:lang w:val="en-US"/>
        </w:rPr>
        <w:t>WHS</w:t>
      </w:r>
      <w:r w:rsidRPr="006A1EC7">
        <w:rPr>
          <w:lang w:val="en-US"/>
        </w:rPr>
        <w:t xml:space="preserve">, but also about embarking on a learning curve about what it means to have a child or relative with a disability, as few had previous contact with ‘disabled’ children or adults. This learning curve included aspects such as day-to-day management of a life with a disabled relative, planning trips out or holidays, and handling medical equipment (such as PEGs or administration of seizure medication). </w:t>
      </w:r>
    </w:p>
    <w:p w14:paraId="59C16B72" w14:textId="2FCA2F7B" w:rsidR="008B1FBF" w:rsidRPr="006A1EC7" w:rsidRDefault="008B1FBF" w:rsidP="008B1FBF">
      <w:pPr>
        <w:spacing w:line="360" w:lineRule="auto"/>
        <w:ind w:firstLine="720"/>
        <w:rPr>
          <w:lang w:val="en-US"/>
        </w:rPr>
      </w:pPr>
      <w:r w:rsidRPr="006A1EC7">
        <w:rPr>
          <w:lang w:val="en-US"/>
        </w:rPr>
        <w:t xml:space="preserve"> However, family adaptation was described as a much more complex construct than just obtaining knowledge about the syndrome and ensuring the safety of affected relatives. Learning to accept their relative’s diagnosis and learning to accept their affected relatives with WHS ‘as they are’ were described as essential in the interviews for moving forward. The important notion attached to discourse around ‘acceptance’ links with the published literature. </w:t>
      </w:r>
      <w:r w:rsidRPr="006A1EC7">
        <w:t xml:space="preserve">Living and caring for a relative with little communicative skills and learning disabilities can be challenging, burden-some and stress-inducing for family care givers </w:t>
      </w:r>
      <w:r w:rsidRPr="006A1EC7">
        <w:fldChar w:fldCharType="begin" w:fldLock="1"/>
      </w:r>
      <w:r w:rsidRPr="006A1EC7">
        <w:instrText>ADDIN CSL_CITATION {"citationItems":[{"id":"ITEM-1","itemData":{"DOI":"10.1007/s10897-009-9273-5","ISBN":"1059-7700","ISSN":"10597700","PMID":"20151318","abstract":"Smith-Magenis syndrome (SMS) is a complex disorder characterized by numerous challenges, including intellectual disability, speech delay, decreased pain sensitivity, sleep disturbances, hyperactivity, mood instability, and self-injury. Caregivers must readily adapt to the ever-changing needs of the child. Due to these demands, caregivers may encounter difficulties maintaining their own level of well-being. Thus, a total of 112 primary caregivers (i.e., parents) of individuals diagnosed with SMS responded to online questionnaires to assess demographic and psychosocial factors, such as perceptions of child health vulnerability, benefit finding, sleep behaviors, anxiety and depression symptomatology, and caregiver satisfaction and self-efficacy, which may be related to caregiver well-being. Results show that, among mothers, caregiver well-being was directly related to perceived child health vulnerability, caregiver satisfaction, and benefit finding, and a significant moderating effect was observed for depression/anxiety counseling after beginning the caregiver role on the relationship between anxiety symptomatology and caregiver well-being. Results further suggest that maternal caregivers who report high levels of anxiety but do not seek counseling fair the worst in terms of well-being. Among fathers, lower depression symptoms and greater benefit finding were related to higher levels of caregiver well-being. These data show that many factors play roles in influencing coping and well-being among SMS caregivers. Investigating these variables and relationships may reveal additional resources and interventions to assist primary caregivers.","author":[{"dropping-particle":"","family":"Foster","given":"Rebecca H.","non-dropping-particle":"","parse-names":false,"suffix":""},{"dropping-particle":"","family":"Kozachek","given":"Stephanie","non-dropping-particle":"","parse-names":false,"suffix":""},{"dropping-particle":"","family":"Stern","given":"Marilyn","non-dropping-particle":"","parse-names":false,"suffix":""},{"dropping-particle":"","family":"Elsea","given":"Sarah H.","non-dropping-particle":"","parse-names":false,"suffix":""}],"container-title":"Journal of Genetic Counseling","id":"ITEM-1","issue":"2","issued":{"date-parts":[["2010"]]},"page":"187-198","title":"Caring for the caregivers: An investigation of factors related to well-being among parents caring for a child with smith-magenis syndrome","type":"article-journal","volume":"19"},"uris":["http://www.mendeley.com/documents/?uuid=3ae8a933-dc74-40eb-871f-3a666813b2e6"]},{"id":"ITEM-2","itemData":{"DOI":"10.1352/0895-8017(2004)109&lt;237:PWACIM&gt;2.0.CO;2","ISBN":"0895-8017 1943-362X","ISSN":"0895-8017","PMID":"15072518","abstract":"The psychological well-being of mothers raising a child with a developmental disability varies with the nature of the disability. Most research, however, has been focused on Down syndrome and autism. We added mothers whose adolescent or young adult son or daughter has fragile X syndrome. The sample was comprised of mothers of a child with fragile X syndrome (n ϭ 22), Down syndrome (n ϭ 39), or autism (n ϭ 174). Mothers of individuals with fragile X syndrome displayed lower levels of well-being than those of individuals with Down syndrome, but higher levels than mothers of individuals with autism, although group differences varied somewhat across different dimensions of well-being. The most consistent predictor of maternal outcomes was the adolescent or young adult's behavioral symptoms.","author":[{"dropping-particle":"","family":"Abbeduto","given":"Leonard","non-dropping-particle":"","parse-names":false,"suffix":""},{"dropping-particle":"","family":"Seltzer","given":"Marsha Mailick","non-dropping-particle":"","parse-names":false,"suffix":""},{"dropping-particle":"","family":"Shattuck","given":"Paul","non-dropping-particle":"","parse-names":false,"suffix":""},{"dropping-particle":"","family":"Krauss","given":"Marty Wyngaarden","non-dropping-particle":"","parse-names":false,"suffix":""},{"dropping-particle":"","family":"Orsmond","given":"Gael","non-dropping-particle":"","parse-names":false,"suffix":""},{"dropping-particle":"","family":"Murphy","given":"Melissa M","non-dropping-particle":"","parse-names":false,"suffix":""}],"container-title":"American Association on Mental Retardation","id":"ITEM-2","issue":"3","issued":{"date-parts":[["2004"]]},"page":"237-254","title":"Psychological Well-Being and Coping in Mothers of Youths With Autism, Down Syndrome, or Fragile X Syndrome","type":"article-journal","volume":"237"},"uris":["http://www.mendeley.com/documents/?uuid=4d8973d7-7d90-4d06-a4e9-1a4b4ed7fa71"]},{"id":"ITEM-3","itemData":{"DOI":"10.1007/s10897-010-9339-4","ISBN":"1059-7700","ISSN":"10597700","PMID":"21203808","abstract":"The experiences of mothers of adult offspring with Angelman, Cornelia de Lange, or Cri du Chat syndrome have not been previously explored in research. The current study focuses on experiences with social and medical services and the impact the rareness of an adult offspring's syndrome has on the experiences of mothers. Eight mothers of adults with Angelman, Cornelia de Lange, or Cri du Chat syndrome were interviewed. Thematic Content Analysis was used to interpret the interviews. Four themes emerged from the analysis: (i) The rarity of their offspring's syndrome, (ii) Uneven medical and social care service provision, (iii) The inertia of social care services, and (iv) Mothers as advocates. Mothers felt that the rareness of their offspring's syndrome did not affect experiences with social care services, but did affect access to medical services and some aspects of day-to-day living. Accessing appropriate social care services was reported to be a lengthy and complex process. These data may help inform care service providers about how best to support adults with rare genetic syndromes and their families.","author":[{"dropping-particle":"","family":"Griffith","given":"Gemma Maria","non-dropping-particle":"","parse-names":false,"suffix":""},{"dropping-particle":"","family":"Hastings","given":"Richard P.","non-dropping-particle":"","parse-names":false,"suffix":""},{"dropping-particle":"","family":"Nash","given":"Susie","non-dropping-particle":"","parse-names":false,"suffix":""},{"dropping-particle":"","family":"Petalas","given":"Michael","non-dropping-particle":"","parse-names":false,"suffix":""},{"dropping-particle":"","family":"Oliver","given":"Chris","non-dropping-particle":"","parse-names":false,"suffix":""},{"dropping-particle":"","family":"Howlin","given":"Patricia","non-dropping-particle":"","parse-names":false,"suffix":""},{"dropping-particle":"","family":"Moss","given":"Joanna","non-dropping-particle":"","parse-names":false,"suffix":""},{"dropping-particle":"","family":"Petty","given":"Jane","non-dropping-particle":"","parse-names":false,"suffix":""},{"dropping-particle":"","family":"Tunnicliffe","given":"Penelope","non-dropping-particle":"","parse-names":false,"suffix":""}],"container-title":"Journal of Genetic Counseling","id":"ITEM-3","issue":"2","issued":{"date-parts":[["2011"]]},"page":"165-177","title":"\"You have to sit and explain it all, and explain yourself.\" mothers' experiences of support services for their offspring with a rare genetic intellectual disability syndrome","type":"article-journal","volume":"20"},"uris":["http://www.mendeley.com/documents/?uuid=0fe88b08-e83c-46d9-b7b8-48a3c2d62738"]}],"mendeley":{"formattedCitation":"(Abbeduto et al., 2004; Foster et al., 2010; Gemma Maria Griffith et al., 2011)","manualFormatting":"(e.g. Abbeduto et al., 2004; Foster, Kozachek, Stern, &amp; Elsea, 2010; Griffith et al., 2011)","plainTextFormattedCitation":"(Abbeduto et al., 2004; Foster et al., 2010; Gemma Maria Griffith et al., 2011)","previouslyFormattedCitation":"(Abbeduto et al., 2004; Foster et al., 2010; Gemma Maria Griffith et al., 2011)"},"properties":{"noteIndex":0},"schema":"https://github.com/citation-style-language/schema/raw/master/csl-citation.json"}</w:instrText>
      </w:r>
      <w:r w:rsidRPr="006A1EC7">
        <w:fldChar w:fldCharType="separate"/>
      </w:r>
      <w:r w:rsidRPr="006A1EC7">
        <w:rPr>
          <w:noProof/>
        </w:rPr>
        <w:t>(e.g. Abbeduto et al., 2004; Foster, Kozachek, Stern, &amp; Elsea, 2010; Griffith et al., 2011)</w:t>
      </w:r>
      <w:r w:rsidRPr="006A1EC7">
        <w:fldChar w:fldCharType="end"/>
      </w:r>
      <w:r w:rsidRPr="006A1EC7">
        <w:t xml:space="preserve">. Acceptance of the condition has been shown to play an essential role in reducing this stressor </w:t>
      </w:r>
      <w:r w:rsidRPr="006A1EC7">
        <w:fldChar w:fldCharType="begin" w:fldLock="1"/>
      </w:r>
      <w:r w:rsidRPr="006A1EC7">
        <w:instrText>ADDIN CSL_CITATION {"citationItems":[{"id":"ITEM-1","itemData":{"DOI":"10.1002/ajmg.a.38673","ISSN":"15524833","PMID":"29575505","abstract":"The 22q11 deletion syndrome (22q11DS) is one of the most common genomic disorders in humans, affecting around 1:2,000 to 1: 4,000 people. 22q11DS affects multiple body systems and is associated with multiple physical problems. Given the high rate of physical morbidity associated with the 22q11DS, it was hypothesized that it would exert a high psychosocial impact on patients and their relatives. To investigate this, a systematic review of the literature and narrative synthesis was performed. Three major themes emerged. First, the complex and conflicting emotions experienced by family members resulting from the diagnosis. Second, the pervasive educational and health-care challenges associated with the diagnosis and third that people affect by 22q11DS strived for individualism. The results of this review help to inform clinical management of families with 22q11DS.","author":[{"dropping-particle":"","family":"Vo","given":"Oanh Kieu","non-dropping-particle":"","parse-names":false,"suffix":""},{"dropping-particle":"","family":"Mcneill","given":"Alisdair","non-dropping-particle":"","parse-names":false,"suffix":""},{"dropping-particle":"","family":"Vogt","given":"Katharina Sophie","non-dropping-particle":"","parse-names":false,"suffix":""}],"container-title":"American Journal of Medical Genetics, Part A","id":"ITEM-1","issue":"December 2017","issued":{"date-parts":[["2018"]]},"page":"1-11","title":"The psychosocial impact of 22q11 deletion syndrome on patients and families: A systematic review","type":"article-journal"},"uris":["http://www.mendeley.com/documents/?uuid=90a2076b-f78f-4d8b-9465-c7bbebd66982"]},{"id":"ITEM-2","itemData":{"author":[{"dropping-particle":"","family":"Heiman","given":"T","non-dropping-particle":"","parse-names":false,"suffix":""}],"container-title":"Journal of Developmental and Physical Disabilities","id":"ITEM-2","issue":"2","issued":{"date-parts":[["2002"]]},"title":"Parents of Children with Disabilities: Resilience, Coping, and Future Expectations","type":"article-journal","volume":"14"},"uris":["http://www.mendeley.com/documents/?uuid=5d5ab977-5df2-4c8e-96da-c5d2239aec85"]},{"id":"ITEM-3","itemData":{"ISSN":"ISSN-1302-597X","author":[{"dropping-particle":"","family":"Aydin","given":"Aydan","non-dropping-particle":"","parse-names":false,"suffix":""},{"dropping-particle":"","family":"Yamac","given":"Ali","non-dropping-particle":"","parse-names":false,"suffix":""}],"container-title":"Eurasian Journal of Educational Research","id":"ITEM-3","issue":"54","issued":{"date-parts":[["2014"]]},"page":"79-98","title":"The Relations Between the Acceptance and Child- Rearing Attitudes of Parents Of Children With Mental Disabilities","type":"article-journal"},"uris":["http://www.mendeley.com/documents/?uuid=a26aed9d-61d0-4d54-ae26-25f0ee3e0e92"]}],"mendeley":{"formattedCitation":"(Aydin &amp; Yamac, 2014; Heiman, 2002; Vo, Mcneill, &amp; Vogt, 2018)","manualFormatting":"(e.g. Aydin &amp; Yamac, 2014; Heiman, 2002; Vo, Mcneill, &amp; Vogt, 2018)","plainTextFormattedCitation":"(Aydin &amp; Yamac, 2014; Heiman, 2002; Vo, Mcneill, &amp; Vogt, 2018)","previouslyFormattedCitation":"(Aydin &amp; Yamac, 2014; Heiman, 2002; Vo, Mcneill, &amp; Vogt, 2018)"},"properties":{"noteIndex":0},"schema":"https://github.com/citation-style-language/schema/raw/master/csl-citation.json"}</w:instrText>
      </w:r>
      <w:r w:rsidRPr="006A1EC7">
        <w:fldChar w:fldCharType="separate"/>
      </w:r>
      <w:r w:rsidRPr="006A1EC7">
        <w:rPr>
          <w:noProof/>
        </w:rPr>
        <w:t>(e.g. Aydin &amp; Yamac, 2014; Heiman, 2002; Vo, Mcneill, &amp; Vogt, 2018)</w:t>
      </w:r>
      <w:r w:rsidRPr="006A1EC7">
        <w:fldChar w:fldCharType="end"/>
      </w:r>
      <w:r w:rsidRPr="006A1EC7">
        <w:t xml:space="preserve">. However, it is important to note that family coping is individual to each family, and there is no universal model </w:t>
      </w:r>
      <w:r w:rsidRPr="006A1EC7">
        <w:fldChar w:fldCharType="begin" w:fldLock="1"/>
      </w:r>
      <w:r w:rsidRPr="006A1EC7">
        <w:instrText>ADDIN CSL_CITATION {"citationItems":[{"id":"ITEM-1","itemData":{"author":[{"dropping-particle":"","family":"Dyson","given":"Lilly","non-dropping-particle":"","parse-names":false,"suffix":""}],"container-title":"Learning Disability Quarterly","id":"ITEM-1","issue":"1","issued":{"date-parts":[["2010"]]},"page":"43-55","title":"Unanticipated effects of children with learning disabilities on their families","type":"article-journal","volume":"33"},"uris":["http://www.mendeley.com/documents/?uuid=a5f91f8e-7dcc-41ab-b67f-27e7511936c1","http://www.mendeley.com/documents/?uuid=6f21f66e-8b35-4572-96be-b5be2656629d"]}],"mendeley":{"formattedCitation":"(Dyson, 2010)","plainTextFormattedCitation":"(Dyson, 2010)","previouslyFormattedCitation":"(Dyson, 2010)"},"properties":{"noteIndex":0},"schema":"https://github.com/citation-style-language/schema/raw/master/csl-citation.json"}</w:instrText>
      </w:r>
      <w:r w:rsidRPr="006A1EC7">
        <w:fldChar w:fldCharType="separate"/>
      </w:r>
      <w:r w:rsidRPr="006A1EC7">
        <w:rPr>
          <w:noProof/>
        </w:rPr>
        <w:t>(Dyson, 2010)</w:t>
      </w:r>
      <w:r w:rsidRPr="006A1EC7">
        <w:fldChar w:fldCharType="end"/>
      </w:r>
      <w:r w:rsidRPr="006A1EC7">
        <w:t xml:space="preserve">. No family member taking part in the current study expressed existing </w:t>
      </w:r>
      <w:r w:rsidRPr="006A1EC7">
        <w:lastRenderedPageBreak/>
        <w:t xml:space="preserve">issues around coping with the diagnosis and medical challenges. Instead, participants spoke about having overcome challenges and finding acceptance. This may reflect a sampling bias; in that parents or relatives who are still struggling with family life with a child or adult with WHS may not have taken part in this study. Alternatively, they may have not felt able to express their feelings in this study. This may potentially indicate social desirability bias; however, this cannot be assessed. Reassuringly, whenever different family members from one family were interviewed, their accounts in terms of coping corresponded to each other. </w:t>
      </w:r>
    </w:p>
    <w:p w14:paraId="6C43CC9A" w14:textId="7A8C609D" w:rsidR="008B1FBF" w:rsidRPr="006A1EC7" w:rsidRDefault="008B1FBF" w:rsidP="008B1FBF">
      <w:pPr>
        <w:spacing w:line="360" w:lineRule="auto"/>
        <w:ind w:firstLine="720"/>
      </w:pPr>
      <w:r w:rsidRPr="006A1EC7">
        <w:t>Advances in the medical field have led to long-term survival of children with</w:t>
      </w:r>
      <w:r w:rsidRPr="006A1EC7">
        <w:rPr>
          <w:lang w:val="en-US"/>
        </w:rPr>
        <w:t xml:space="preserve"> life-limiting and life-threatening illnesses, such as </w:t>
      </w:r>
      <w:r w:rsidR="009F0718" w:rsidRPr="006A1EC7">
        <w:rPr>
          <w:lang w:val="en-US"/>
        </w:rPr>
        <w:t>WHS</w:t>
      </w:r>
      <w:r w:rsidRPr="006A1EC7">
        <w:rPr>
          <w:lang w:val="en-US"/>
        </w:rPr>
        <w:t xml:space="preserve">. This study also highlighted that not only is the quality of life of patients affected by the disease, but of the caregivers. Family caregivers are at the centre of care for affected relatives </w:t>
      </w:r>
      <w:r w:rsidRPr="006A1EC7">
        <w:rPr>
          <w:lang w:val="en-US"/>
        </w:rPr>
        <w:fldChar w:fldCharType="begin" w:fldLock="1"/>
      </w:r>
      <w:r w:rsidRPr="006A1EC7">
        <w:rPr>
          <w:lang w:val="en-US"/>
        </w:rPr>
        <w:instrText>ADDIN CSL_CITATION {"citationItems":[{"id":"ITEM-1","itemData":{"author":[{"dropping-particle":"","family":"Department of Human Services","given":"","non-dropping-particle":"","parse-names":false,"suffix":""}],"id":"ITEM-1","issued":{"date-parts":[["2008"]]},"title":"Strengthening care for children with a life-threatening condition","type":"report"},"uris":["http://www.mendeley.com/documents/?uuid=18069970-9912-4330-b70d-0ba45a732a2b"]}],"mendeley":{"formattedCitation":"(Department of Human Services, 2008)","plainTextFormattedCitation":"(Department of Human Services, 2008)","previouslyFormattedCitation":"(Department of Human Services, 2008)"},"properties":{"noteIndex":0},"schema":"https://github.com/citation-style-language/schema/raw/master/csl-citation.json"}</w:instrText>
      </w:r>
      <w:r w:rsidRPr="006A1EC7">
        <w:rPr>
          <w:lang w:val="en-US"/>
        </w:rPr>
        <w:fldChar w:fldCharType="separate"/>
      </w:r>
      <w:r w:rsidRPr="006A1EC7">
        <w:rPr>
          <w:noProof/>
          <w:lang w:val="en-US"/>
        </w:rPr>
        <w:t>(Department of Human Services, 2008)</w:t>
      </w:r>
      <w:r w:rsidRPr="006A1EC7">
        <w:rPr>
          <w:lang w:val="en-US"/>
        </w:rPr>
        <w:fldChar w:fldCharType="end"/>
      </w:r>
      <w:r w:rsidRPr="006A1EC7">
        <w:rPr>
          <w:lang w:val="en-US"/>
        </w:rPr>
        <w:t xml:space="preserve">. It is therefore essential that issues relating to long-term survival affecting patients’ and caregivers’ long-term quality of life are addressed </w:t>
      </w:r>
      <w:r w:rsidRPr="006A1EC7">
        <w:rPr>
          <w:lang w:val="en-US"/>
        </w:rPr>
        <w:fldChar w:fldCharType="begin" w:fldLock="1"/>
      </w:r>
      <w:r w:rsidRPr="006A1EC7">
        <w:rPr>
          <w:lang w:val="en-US"/>
        </w:rPr>
        <w:instrText>ADDIN CSL_CITATION {"citationItems":[{"id":"ITEM-1","itemData":{"DOI":"https://dx.doi.org/10.3390/children5070085","ISSN":"2227-9067","PMID":"29949926","abstract":"The well-being of parents is essential to the well-being of children with life-limiting illness. Parents are vulnerable to a range of negative financial, physical, and psychosocial issues due to caregiving tasks and other stressors related to the illness of their child. Pediatric palliative care practitioners provide good care to children by supporting their parents in decision-making and difficult conversations, by managing pain and other symptoms in the ill child, and by addressing parent and family needs for care coordination, respite, bereavement, and social and emotional support. No matter the design or setting of a pediatric palliative care team, practitioners can seek to provide for parent needs by referral or intervention by the care team.","author":[{"dropping-particle":"","family":"Koch","given":"Kendra D","non-dropping-particle":"","parse-names":false,"suffix":""},{"dropping-particle":"","family":"Jones","given":"Barbara L","non-dropping-particle":"","parse-names":false,"suffix":""}],"container-title":"Children (Basel, Switzerland)","id":"ITEM-1","issue":"7","issued":{"date-parts":[["2018"]]},"title":"Supporting Parent Caregivers of Children with Life-Limiting Illness.","type":"article-journal","volume":"5"},"uris":["http://www.mendeley.com/documents/?uuid=8c856349-a868-4a85-aac9-108844ae5597"]},{"id":"ITEM-2","itemData":{"DOI":"10.1017/S1478951516000882","ISBN":"1478951516","ISSN":"14789523","PMID":"28065197","abstract":"OBJECTIVE: Palliative care for children is becoming an important subspecialty of healthcare. Although concurrent administration of curative and palliative care is recommended, timely referral to pediatric palliative care (PPC) services remains problematic. This literature review aims to identify barriers and recommendations for proper implementation of palliative care for children through the looking glass of PPC guidelines. METHOD: To identify studies on PPC guidelines, five databases were searched systematically between 1960 and 2015: Scopus, PubMed, PsycINFO, the Web of Science, and CINAHL. No restrictions were placed on the type of methodology employed in the studies. RESULTS: Concerning barriers, most of the papers focused on gaps within medical practice and the lack of evidence-based research. Common recommendations therefore included: training and education of healthcare staff, formation of a multidisciplinary PPC team, research on the benefits of PPC, and raising awareness about PPC. A small number of publications reported on the absence of clear guidance in PPC documents regarding bereavement care, as well as on the difficulties and challenges involved in multidisciplinary care teams. SIGNIFICANCE OF RESULTS: Our results indicate that a critical assessment of both the research guidelines and medical practice is required in order to promote timely implementation of PPC for pediatric patients.","author":[{"dropping-particle":"","family":"Clercq","given":"Eva","non-dropping-particle":"De","parse-names":false,"suffix":""},{"dropping-particle":"","family":"Rost","given":"Michael","non-dropping-particle":"","parse-names":false,"suffix":""},{"dropping-particle":"","family":"Pacurari","given":"Nadia","non-dropping-particle":"","parse-names":false,"suffix":""},{"dropping-particle":"","family":"Elger","given":"Bernice S.","non-dropping-particle":"","parse-names":false,"suffix":""},{"dropping-particle":"","family":"Wangmo","given":"Tenzin","non-dropping-particle":"","parse-names":false,"suffix":""}],"container-title":"Palliative and Supportive Care","id":"ITEM-2","issue":"4","issued":{"date-parts":[["2017"]]},"page":"474-489","title":"Aligning guidelines and medical practice: Literature review on pediatric palliative care guidelines","type":"article-journal","volume":"15"},"uris":["http://www.mendeley.com/documents/?uuid=b9c5d202-e3c6-4b7d-938e-ffc2fda8879f"]}],"mendeley":{"formattedCitation":"(De Clercq, Rost, Pacurari, Elger, &amp; Wangmo, 2017; Koch &amp; Jones, 2018)","plainTextFormattedCitation":"(De Clercq, Rost, Pacurari, Elger, &amp; Wangmo, 2017; Koch &amp; Jones, 2018)","previouslyFormattedCitation":"(De Clercq, Rost, Pacurari, Elger, &amp; Wangmo, 2017; Koch &amp; Jones, 2018)"},"properties":{"noteIndex":0},"schema":"https://github.com/citation-style-language/schema/raw/master/csl-citation.json"}</w:instrText>
      </w:r>
      <w:r w:rsidRPr="006A1EC7">
        <w:rPr>
          <w:lang w:val="en-US"/>
        </w:rPr>
        <w:fldChar w:fldCharType="separate"/>
      </w:r>
      <w:r w:rsidRPr="006A1EC7">
        <w:rPr>
          <w:noProof/>
          <w:lang w:val="en-US"/>
        </w:rPr>
        <w:t>(De Clercq, Rost, Pacurari, Elger, &amp; Wangmo, 2017; Koch &amp; Jones, 2018)</w:t>
      </w:r>
      <w:r w:rsidRPr="006A1EC7">
        <w:rPr>
          <w:lang w:val="en-US"/>
        </w:rPr>
        <w:fldChar w:fldCharType="end"/>
      </w:r>
      <w:r w:rsidRPr="006A1EC7">
        <w:rPr>
          <w:lang w:val="en-US"/>
        </w:rPr>
        <w:t xml:space="preserve">. </w:t>
      </w:r>
      <w:r w:rsidRPr="006A1EC7">
        <w:t xml:space="preserve">The current study found the symptom profile associated with </w:t>
      </w:r>
      <w:r w:rsidR="009F0718" w:rsidRPr="006A1EC7">
        <w:t>WHS</w:t>
      </w:r>
      <w:r w:rsidRPr="006A1EC7">
        <w:t xml:space="preserve"> to have a significant negative impact upon the patient and their family caregiver’s quality of life. This was the fourth theme identified in this study </w:t>
      </w:r>
      <w:r w:rsidRPr="006A1EC7">
        <w:fldChar w:fldCharType="begin" w:fldLock="1"/>
      </w:r>
      <w:r w:rsidRPr="006A1EC7">
        <w:instrText>ADDIN CSL_CITATION {"citationItems":[{"id":"ITEM-1","itemData":{"URL":"http://thecaregiverspace.org/ptsd-caregiver/","accessed":{"date-parts":[["2017","4","12"]]},"author":[{"dropping-particle":"","family":"Gilker","given":"Wendy","non-dropping-particle":"","parse-names":false,"suffix":""}],"id":"ITEM-1","issued":{"date-parts":[["2014"]]},"title":"PTSD and the caregiver.","type":"webpage"},"uris":["http://www.mendeley.com/documents/?uuid=8be49f5b-2283-48ba-aa0c-6e0b8b2babc8"]},{"id":"ITEM-2","itemData":{"author":[{"dropping-particle":"","family":"Gilker","given":"Wendy","non-dropping-particle":"","parse-names":false,"suffix":""}],"id":"ITEM-2","issued":{"date-parts":[["2016"]]},"publisher":"CreateSpace Independent Publishing Platform","title":"Swan: The story of a very special person and her mom.","type":"book"},"uris":["http://www.mendeley.com/documents/?uuid=467442b1-b076-4243-bcb1-00c2dcc05c67"]}],"mendeley":{"formattedCitation":"(Gilker, 2014, 2016)","manualFormatting":"(see also Gilker, 2014, 2016)","plainTextFormattedCitation":"(Gilker, 2014, 2016)","previouslyFormattedCitation":"(Gilker, 2014, 2016)"},"properties":{"noteIndex":0},"schema":"https://github.com/citation-style-language/schema/raw/master/csl-citation.json"}</w:instrText>
      </w:r>
      <w:r w:rsidRPr="006A1EC7">
        <w:fldChar w:fldCharType="separate"/>
      </w:r>
      <w:r w:rsidRPr="006A1EC7">
        <w:rPr>
          <w:noProof/>
        </w:rPr>
        <w:t>(see also Gilker, 2014, 2016)</w:t>
      </w:r>
      <w:r w:rsidRPr="006A1EC7">
        <w:fldChar w:fldCharType="end"/>
      </w:r>
      <w:r w:rsidRPr="006A1EC7">
        <w:t xml:space="preserve">. Results indicated that the quality of life for family members was more affected by their relatives’ diagnosis than the quality of life of patients with WHS. Patients were continually described as happy, having a good quality of life and cheerful. However, due to a lack of interview material from patients with WHS (which is not possible due to cognitive impairment and inability to consent to interview) this may not be entirely accurate. </w:t>
      </w:r>
    </w:p>
    <w:p w14:paraId="000D2822" w14:textId="77777777" w:rsidR="008B1FBF" w:rsidRPr="006A1EC7" w:rsidRDefault="008B1FBF" w:rsidP="008B1FBF">
      <w:pPr>
        <w:spacing w:line="360" w:lineRule="auto"/>
        <w:ind w:firstLine="720"/>
      </w:pPr>
      <w:r w:rsidRPr="006A1EC7">
        <w:t xml:space="preserve">Negative quality-of-life outcomes, such as mental health struggles, stress, anxiety, depression and suicidal ideation, as a result of caregiving responsibilities were reported across the sample for family caregivers of children and adults with WHS. This is echoed in the literature, in particular by a study investigating the psychosocial effects of Smith-Magenis Syndrome on parents’ wellbeing. Smith-Magenis Syndrome is also a rare chromosomal deletion disorder. The study reported that more than 87% of both fathers and mothers suffered from high levels of depression and anxiety as a result of the challenges associated with caring for their chronically ill child, but that having attended counselling for either illness positively improved symptoms of anxiety and depression and, consequently, their well-being. </w:t>
      </w:r>
    </w:p>
    <w:p w14:paraId="13C96151" w14:textId="77777777" w:rsidR="008B1FBF" w:rsidRPr="006A1EC7" w:rsidRDefault="008B1FBF" w:rsidP="008B1FBF">
      <w:pPr>
        <w:spacing w:line="360" w:lineRule="auto"/>
        <w:ind w:firstLine="720"/>
      </w:pPr>
      <w:r w:rsidRPr="006A1EC7">
        <w:t>Furthermore, h</w:t>
      </w:r>
      <w:r w:rsidRPr="006A1EC7">
        <w:rPr>
          <w:lang w:val="en-US"/>
        </w:rPr>
        <w:t xml:space="preserve">aving to take on the ‘expert role’ and coping with the </w:t>
      </w:r>
      <w:r w:rsidRPr="006A1EC7">
        <w:t xml:space="preserve">effects of medical professionals lack of knowledge about their relatives’ life-limiting, rare condition adds </w:t>
      </w:r>
      <w:r w:rsidRPr="006A1EC7">
        <w:rPr>
          <w:lang w:val="en-US"/>
        </w:rPr>
        <w:t xml:space="preserve">further psychological stress and pressure on family caregivers whose </w:t>
      </w:r>
      <w:r w:rsidRPr="006A1EC7">
        <w:t xml:space="preserve">wellbeing is </w:t>
      </w:r>
      <w:r w:rsidRPr="006A1EC7">
        <w:lastRenderedPageBreak/>
        <w:t xml:space="preserve">already compromised due to the severity of WHS and quality of care needed by their relatives </w:t>
      </w:r>
      <w:r w:rsidRPr="006A1EC7">
        <w:fldChar w:fldCharType="begin" w:fldLock="1"/>
      </w:r>
      <w:r w:rsidRPr="006A1EC7">
        <w:instrText>ADDIN CSL_CITATION {"citationItems":[{"id":"ITEM-1","itemData":{"DOI":"10.2196/jmir.5834","author":[{"dropping-particle":"","family":"Nicholl","given":"H","non-dropping-particle":"","parse-names":false,"suffix":""},{"dropping-particle":"","family":"Tracey","given":"C","non-dropping-particle":"","parse-names":false,"suffix":""},{"dropping-particle":"","family":"Begley","given":"T","non-dropping-particle":"","parse-names":false,"suffix":""},{"dropping-particle":"","family":"King","given":"C","non-dropping-particle":"","parse-names":false,"suffix":""},{"dropping-particle":"","family":"Lynch","given":"A","non-dropping-particle":"","parse-names":false,"suffix":""}],"container-title":"Journal of Medical Internet Research","id":"ITEM-1","issue":"2","issued":{"date-parts":[["2017"]]},"title":"Internet Use by Parents of Children With Rare Conditions: Findings From a Study on Parents’ Web Information Needs.","type":"article-journal","volume":"19"},"uris":["http://www.mendeley.com/documents/?uuid=ca6eb11b-71e1-4e71-82b3-abf57bca5f56"]}],"mendeley":{"formattedCitation":"(Nicholl et al., 2017)","plainTextFormattedCitation":"(Nicholl et al., 2017)","previouslyFormattedCitation":"(Nicholl et al., 2017)"},"properties":{"noteIndex":0},"schema":"https://github.com/citation-style-language/schema/raw/master/csl-citation.json"}</w:instrText>
      </w:r>
      <w:r w:rsidRPr="006A1EC7">
        <w:fldChar w:fldCharType="separate"/>
      </w:r>
      <w:r w:rsidRPr="006A1EC7">
        <w:rPr>
          <w:noProof/>
        </w:rPr>
        <w:t>(Nicholl et al., 2017)</w:t>
      </w:r>
      <w:r w:rsidRPr="006A1EC7">
        <w:fldChar w:fldCharType="end"/>
      </w:r>
      <w:r w:rsidRPr="006A1EC7">
        <w:t>. These factors often exacerbate their</w:t>
      </w:r>
      <w:r w:rsidRPr="006A1EC7">
        <w:rPr>
          <w:lang w:val="en-US"/>
        </w:rPr>
        <w:t xml:space="preserve"> risk for suffering negative psychological outcomes such as anxiety, post-traumatic stress disorder and depression </w:t>
      </w:r>
      <w:r w:rsidRPr="006A1EC7">
        <w:rPr>
          <w:lang w:val="en-US"/>
        </w:rPr>
        <w:fldChar w:fldCharType="begin" w:fldLock="1"/>
      </w:r>
      <w:r w:rsidRPr="006A1EC7">
        <w:rPr>
          <w:lang w:val="en-US"/>
        </w:rPr>
        <w:instrText>ADDIN CSL_CITATION {"citationItems":[{"id":"ITEM-1","itemData":{"URL":"http://thecaregiverspace.org/ptsd-caregiver/","accessed":{"date-parts":[["2017","4","12"]]},"author":[{"dropping-particle":"","family":"Gilker","given":"Wendy","non-dropping-particle":"","parse-names":false,"suffix":""}],"id":"ITEM-1","issued":{"date-parts":[["2014"]]},"title":"PTSD and the caregiver.","type":"webpage"},"uris":["http://www.mendeley.com/documents/?uuid=8be49f5b-2283-48ba-aa0c-6e0b8b2babc8"]}],"mendeley":{"formattedCitation":"(Gilker, 2014)","manualFormatting":"(Gilker, 2014; Pelentsov et al., 2014; Van Oers et al., 2014)","plainTextFormattedCitation":"(Gilker, 2014)","previouslyFormattedCitation":"(Gilker, 2014)"},"properties":{"noteIndex":0},"schema":"https://github.com/citation-style-language/schema/raw/master/csl-citation.json"}</w:instrText>
      </w:r>
      <w:r w:rsidRPr="006A1EC7">
        <w:rPr>
          <w:lang w:val="en-US"/>
        </w:rPr>
        <w:fldChar w:fldCharType="separate"/>
      </w:r>
      <w:r w:rsidRPr="006A1EC7">
        <w:rPr>
          <w:noProof/>
          <w:lang w:val="en-US"/>
        </w:rPr>
        <w:t>(Gilker, 2014; Pelentsov et al., 2014; Van Oers et al., 2014)</w:t>
      </w:r>
      <w:r w:rsidRPr="006A1EC7">
        <w:rPr>
          <w:lang w:val="en-US"/>
        </w:rPr>
        <w:fldChar w:fldCharType="end"/>
      </w:r>
      <w:r w:rsidRPr="006A1EC7">
        <w:rPr>
          <w:lang w:val="en-US"/>
        </w:rPr>
        <w:t xml:space="preserve">. </w:t>
      </w:r>
      <w:r w:rsidRPr="006A1EC7">
        <w:t xml:space="preserve">Campaigns, such as the UK’s Wellchilds campaign “#notanurse_but” are aiming to highlight pressures on family caregivers </w:t>
      </w:r>
      <w:r w:rsidRPr="006A1EC7">
        <w:fldChar w:fldCharType="begin" w:fldLock="1"/>
      </w:r>
      <w:r w:rsidRPr="006A1EC7">
        <w:instrText>ADDIN CSL_CITATION {"citationItems":[{"id":"ITEM-1","itemData":{"ISBN":"1939-5965","ISSN":"1939-5965","abstract":"Parenting a child with a rare genetic disorder has special difficulties, because diagnosis may be delayed or undetermined, support groups may be small and geographically scattered, and healthcare skills and resources limited. Ectodernal dysplasia (ED) is a life-limiting condition of the central and peripheral nervous systems. It is associated with significant infant morbidity and mortality, with risks greatest in the first two years of life. For parents caring for a child with ED, this period is often a time of stress and uncertainty. Currently, there is a dearth of literature which reports on the experiences and support needs of parents caring for a child with ED. The aim of this study was to provide an in-depth account of the experiences and supportive care needs of parents caring for a child with ED. Methods: A mixed methods design was employed which used focus group data to aid in the development of an internationally distributed internet survey. Results: 126 parents from 14 countries responded to the survey. Five themes were identified; the need for early diagnosis, breastfeeding difficulties in mother carriers with ED, parental decision making, relational impacts and social support issues. Discussion: To our knowledge, this is the first study which identified and examined the experiences and support needs of parents within this rare genetic disorder. Further research into the areas outlined in this study is warranted to expand the knowledge and awareness gaps. (PsycINFO Database Record (c) 2015 APA, all rights reserved) (journal abstract)","author":[{"dropping-particle":"","family":"Pelentsov","given":"L.","non-dropping-particle":"","parse-names":false,"suffix":""},{"dropping-particle":"","family":"O'Shaughnessy","given":"P.","non-dropping-particle":"","parse-names":false,"suffix":""},{"dropping-particle":"","family":"Laws","given":"T.","non-dropping-particle":"","parse-names":false,"suffix":""},{"dropping-particle":"","family":"Esterman","given":"A.","non-dropping-particle":"","parse-names":false,"suffix":""}],"container-title":"International Journal of Child Health and Human Development","id":"ITEM-1","issue":"1","issued":{"date-parts":[["2014"]]},"page":"23-29","title":"What are the supportive care needs of parents caring for a child diagnosed with ectodermal dysplasia: A rare genetic disorder?","type":"article-journal","volume":"7"},"uris":["http://www.mendeley.com/documents/?uuid=c40c2af3-d162-4c8d-82dd-5cd815dc8492"]},{"id":"ITEM-2","itemData":{"DOI":"10.1007/s10995-014-1445-8","ISBN":"1573-6628(Electronic);1092-7875(Print)","ISSN":"15736628","PMID":"24791971","abstract":"We aimed to determine the levels of anxiety and depression in mothers and fathers of a chronically ill child (0–18 years) and to study which parental and child variables are associated with anxiety and depression. In a cross-sectional design, anxiety and depression were assessed with the Hospital Anxiety and Depression Scale. Scores were compared to a Dutch reference group by analysis of variance and logistic regression analysis. Linear regression analyses were performed to examine which variables were associated with anxiety and depression. Mothers of a chronically ill child (n = 566) scored significantly higher than the reference group (p &lt; .001) on anxiety (Mean 5.9 vs 4.8) and depression (Mean 4.5 vs 3.1). Fathers (n = 123) had higher depression scores (Mean 4.5 vs 3.6; p &lt; .05), but fathers’ anxiety scores were comparable to the reference group. The percentages of mothers in the clinical range of anxiety (31.8 vs 20.7 %, OR 2.03, 95 % CI 1.46–2.83) and depression (23.0 vs 12.0 %, OR 2.76, 95 % CI 1.84–4.13) were higher (p &lt; .001) than in the reference group. No differences were found for fathers in the clinical range for anxiety and depression. Practical problems in daily life (a: β = .33, d: β = .25) and parenting stress (a: β = .30, d: β = .32) showed the strongest association with anxiety and depression for parents as a group. Illness-related characteristics of the child were not related. Parents of a chronically ill child, especially mothers, reported high levels of anxiety and depression. Awareness about parental anxiety and depression in pediatrics is important as well as targeted interventions. (PsycINFO Database Record (c) 2014 APA, all rights reserved)","author":[{"dropping-particle":"","family":"Oers","given":"H. A.","non-dropping-particle":"Van","parse-names":false,"suffix":""},{"dropping-particle":"","family":"Haverman","given":"L.","non-dropping-particle":"","parse-names":false,"suffix":""},{"dropping-particle":"","family":"Limperg","given":"P. F.","non-dropping-particle":"","parse-names":false,"suffix":""},{"dropping-particle":"","family":"Dijk-Lokkart","given":"E. M.","non-dropping-particle":"Van","parse-names":false,"suffix":""},{"dropping-particle":"","family":"Maurice-Stam","given":"H.","non-dropping-particle":"","parse-names":false,"suffix":""},{"dropping-particle":"","family":"Grootenhuis","given":"M. A.","non-dropping-particle":"","parse-names":false,"suffix":""}],"container-title":"Maternal and Child Health Journal","id":"ITEM-2","issue":"8","issued":{"date-parts":[["2014"]]},"page":"1993-2002","title":"Anxiety and Depression in Mothers and Fathers of a Chronically Ill Child","type":"article-journal","volume":"18"},"uris":["http://www.mendeley.com/documents/?uuid=47869b8f-beef-4da4-be83-9e4f178f6e6e"]},{"id":"ITEM-3","itemData":{"URL":"http://thecaregiverspace.org/ptsd-caregiver/","accessed":{"date-parts":[["2017","4","12"]]},"author":[{"dropping-particle":"","family":"Gilker","given":"Wendy","non-dropping-particle":"","parse-names":false,"suffix":""}],"id":"ITEM-3","issued":{"date-parts":[["2014"]]},"title":"PTSD and the caregiver.","type":"webpage"},"uris":["http://www.mendeley.com/documents/?uuid=8be49f5b-2283-48ba-aa0c-6e0b8b2babc8"]}],"mendeley":{"formattedCitation":"(Gilker, 2014; Pelentsov, O’Shaughnessy, Laws, &amp; Esterman, 2014; Van Oers et al., 2014)","manualFormatting":"(WellChild, 2017)","plainTextFormattedCitation":"(Gilker, 2014; Pelentsov, O’Shaughnessy, Laws, &amp; Esterman, 2014; Van Oers et al., 2014)","previouslyFormattedCitation":"(Gilker, 2014; Pelentsov, O’Shaughnessy, Laws, &amp; Esterman, 2014; Van Oers et al., 2014)"},"properties":{"noteIndex":0},"schema":"https://github.com/citation-style-language/schema/raw/master/csl-citation.json"}</w:instrText>
      </w:r>
      <w:r w:rsidRPr="006A1EC7">
        <w:fldChar w:fldCharType="separate"/>
      </w:r>
      <w:r w:rsidRPr="006A1EC7">
        <w:rPr>
          <w:noProof/>
        </w:rPr>
        <w:t>(WellChild, 2017)</w:t>
      </w:r>
      <w:r w:rsidRPr="006A1EC7">
        <w:fldChar w:fldCharType="end"/>
      </w:r>
      <w:r w:rsidRPr="006A1EC7">
        <w:t>.</w:t>
      </w:r>
      <w:r w:rsidRPr="006A1EC7">
        <w:rPr>
          <w:lang w:val="en-US"/>
        </w:rPr>
        <w:t xml:space="preserve"> </w:t>
      </w:r>
      <w:r w:rsidRPr="006A1EC7">
        <w:t>The importance of medical professionals being aware and engaging with evidence such as the WellChild campaign and findings from studies like this must therefore be highlighted. Knowledge of this evidence will only enhance the standard of care if this awareness is reflected in practice.</w:t>
      </w:r>
    </w:p>
    <w:p w14:paraId="2FA72669" w14:textId="76636C8E" w:rsidR="008B1FBF" w:rsidRPr="006A1EC7" w:rsidRDefault="008B1FBF" w:rsidP="008B1FBF">
      <w:pPr>
        <w:spacing w:line="360" w:lineRule="auto"/>
        <w:ind w:firstLine="720"/>
      </w:pPr>
      <w:r w:rsidRPr="006A1EC7">
        <w:t xml:space="preserve">In the discussion of the subtheme epilepsy in Theme 1 (Clinical features of WHS), it became obvious that epilepsy and seizures were a core concern for the majority of participants. While it is well-established as a clinical feature of WHS </w:t>
      </w:r>
      <w:r w:rsidRPr="006A1EC7">
        <w:fldChar w:fldCharType="begin" w:fldLock="1"/>
      </w:r>
      <w:r w:rsidRPr="006A1EC7">
        <w:instrText>ADDIN CSL_CITATION {"citationItems":[{"id":"ITEM-1","itemData":{"DOI":"http://dx.doi.org/10.1111/j.1469-8749.2009.03282.x","ISBN":"1469-8749 (Electronic)\\n1469-8749 (Linking)","ISSN":"00121622","PMID":"19388145","abstract":"Comments on an article by A. Battaglia et al. (see record 2009-06572-009). The authors report that the epilepsy of WHS responds very positively to pharmaceutical treatment. The importance of treatment goes beyond delivering palliative care-ongoing epilepsy may interfere with cognitive development. As such, untreated epilepsy reduces the final outcome for WHS patients below that of their full potential. All this raises the inherent importance of the vigilance of the primary care providers. Early diagnosis and treatment of the epilepsy almost certainly have a positive impact upon prognosis, but the unexplained absences can go unnoticed or be misdiagnosed as benign 'eye tics'. (PsycINFO Database Record (c) 2016 APA, all rights reserved)","author":[{"dropping-particle":"","family":"Bergemann","given":"A. D.","non-dropping-particle":"","parse-names":false,"suffix":""}],"container-title":"Developmental Medicine and Child Neurology","editor":[{"dropping-particle":"","family":"Garriga-Canut  Simon  Zollino, Maas","given":"South","non-dropping-particle":"","parse-names":false,"suffix":""}],"id":"ITEM-1","issue":"5","issued":{"date-parts":[["2009","5"]]},"page":"337-338","publisher":"Mac Keith Press","publisher-place":"US","title":"Distinctive EEG patterns in patients with Wolf-Hirschhorn syndrome.","type":"article-journal","volume":"51"},"uris":["http://www.mendeley.com/documents/?uuid=2ab12bf0-99a7-4e17-8552-e871715fc524"]},{"id":"ITEM-2","itemData":{"abstract":"Wolf-Hirschhorn syndrome is a genetic entity produced by a partial deletion spanning the distal short arm of chromosome 4 (4p16.3). The most common manifestations are craniofacial anomalies, psychomotor retardation and neurological disorders. The estimated incidence is 1 in 50,000 births, although there is an underdiagnosis of this entity. The aim of this study is to describe four clinical cases of Wolf-Hirschhorn syndrome with specific description of clinical and cytogenetic findings","author":[{"dropping-particle":"","family":"Cammarata-Scalisi","given":"Francisco","non-dropping-particle":"","parse-names":false,"suffix":""},{"dropping-particle":"","family":"Callea","given":"Michele","non-dropping-particle":"","parse-names":false,"suffix":""},{"dropping-particle":"","family":"Araque","given":"Dianora","non-dropping-particle":"","parse-names":false,"suffix":""},{"dropping-particle":"","family":"Lacruz-Rengel","given":"M A","non-dropping-particle":"","parse-names":false,"suffix":""},{"dropping-particle":"","family":"Silva","given":"Gloria","non-dropping-particle":"Da","parse-names":false,"suffix":""},{"dropping-particle":"","family":"Ramirez","given":"R J","non-dropping-particle":"","parse-names":false,"suffix":""},{"dropping-particle":"","family":"Lopez","given":"Fabiola","non-dropping-particle":"","parse-names":false,"suffix":""},{"dropping-particle":"","family":"Angelina Lacruz-Rengel","given":"Maria","non-dropping-particle":"","parse-names":false,"suffix":""},{"dropping-particle":"","family":"Silva","given":"Gloria","non-dropping-particle":"Da","parse-names":false,"suffix":""},{"dropping-particle":"","family":"Josue Ramirez","given":"Rodolfo","non-dropping-particle":"","parse-names":false,"suffix":""},{"dropping-particle":"","family":"Lopez","given":"Fabiola","non-dropping-particle":"","parse-names":false,"suffix":""}],"container-title":"Avances En Biomedicina","id":"ITEM-2","issue":"2","issued":{"date-parts":[["2015"]]},"note":"From Duplicate 1 (Clinical and cytogenetic features in Wolf-Hirschhorn syndrome. Case series - Cammarata-Scalisi, Francisco; Callea, Michele; Araque, Dianora; Angelina Lacruz-Rengel, Maria; Da Silva, Gloria; Josue Ramirez, Rodolfo; Lopez, Fabiola)\n\n0\n\nFrom Duplicate 2 (Clinical and cytogenetic features in Wolf-Hirschhorn syndrome. Case series - Cammarata-Scalisi, F; Callea, M; Araque, D; Lacruz-Rengel, M A; Da Silva, G; Ramirez, R J; Lopez, F)\n\nCammarata-Scalisi, Francisco Callea, Michele Araque, Dianora Angelina Lacruz-Rengel, Maria Da Silva, Gloria Josue Ramirez, Rodolfo Lopez, Fabiola","page":"48-55","title":"Clinical and cytogenetic features in Wolf-Hirschhorn syndrome. Case series","type":"article-journal","volume":"4"},"uris":["http://www.mendeley.com/documents/?uuid=a1d322fc-6ca3-4a00-95d2-d8e227ea0f77"]},{"id":"ITEM-3","itemData":{"author":[{"dropping-particle":"","family":"Karaer","given":"K","non-dropping-particle":"","parse-names":false,"suffix":""},{"dropping-particle":"","family":"Koç","given":"A","non-dropping-particle":"","parse-names":false,"suffix":""},{"dropping-particle":"","family":"Karaoǧuz","given":"Y M","non-dropping-particle":"","parse-names":false,"suffix":""},{"dropping-particle":"","family":"Cansu","given":"A","non-dropping-particle":"","parse-names":false,"suffix":""},{"dropping-particle":"","family":"Perçin","given":"E F","non-dropping-particle":"","parse-names":false,"suffix":""}],"container-title":"Turkiye Klinikleri Pediatri","id":"ITEM-3","issue":"2","issued":{"date-parts":[["2010"]]},"language":"Turkish","note":"Export Date: 5 January 2018\n\nCorrespondence Address: Karaer, K.; Tibbi Genetik AD, Gazi Üniversitesi Tip Fakültesi, Ankara, Turkey; email: kadrikaraer@yahoo.com","page":"171-175","publisher-place":"Tibbi Genetik AD, Gazi Üniversitesi Tip Fakültesi, Ankara, Turkey","title":"A case of Wolf-Hirschhorn syndrome with a characteristic EEG pattern; clinical and molecular cytogenetic diagnosis ","type":"article-journal","volume":"19"},"uris":["http://www.mendeley.com/documents/?uuid=c95c612d-1602-494a-8f24-bed7d95dd1af"]},{"id":"ITEM-4","itemData":{"DOI":"10.1002/ajmg.c.31449","ISBN":"0000000000000","ISSN":"15524876","PMID":"26239400","abstract":"Since 4p- was first described in 1961, significant progress has been made in our understanding of this classic deletion disorder. We have been able to establish a more complete picture of the WHS phenotype associated with distal 4p monosomy, and we are working to delineate the phenotypic effects when each gene on distal 4p is hemizygous. Our aim is to provide genotype-specific anticipatory guidance and recommendations to families of individuals with a diagnosis of WHS. In addition, establishing the molecular underpinnings of the disorder will potentially suggest targets for molecular treatments. Thus, the next step is to determine the precise effects of specific gene deletions. As we look forward to deepening our understanding of distal 4p deletion, our focus will continue to be on the establishment of robust genotype-phenotype correlations and the penetrance of these phenotypes. We will continue to follow our WHS cohort closely as they age to determine the presence or absence of some of these comorbidities, including hepatic neoplasms, hematopoietic dysfunction, and recurrence of seizures. We will also continue to refine the critical regions for other phenotypes as we enroll additional (hopefully informative) participants into the research study and as the mechanisms of the genes in these regions are elucidated. New animal models will also be developed to further our understanding of the effects of hemizygosity as well as to serve as models for treatment development. © 2015 Wiley Periodicals, Inc.","author":[{"dropping-particle":"","family":"Battaglia","given":"Agatino","non-dropping-particle":"","parse-names":false,"suffix":""},{"dropping-particle":"","family":"Carey","given":"John C.","non-dropping-particle":"","parse-names":false,"suffix":""},{"dropping-particle":"","family":"South","given":"Sarah T.","non-dropping-particle":"","parse-names":false,"suffix":""}],"container-title":"American Journal of Medical Genetics, Part C: Seminars in Medical Genetics","id":"ITEM-4","issue":"3","issued":{"date-parts":[["2015","9"]]},"language":"English","note":"From Duplicate 2 (Wolf-Hirschhorn syndrome: A review and update - Battaglia, Agatino; Carey, John C; South, Sarah T)\n\nFrom Duplicate 2 (Wolf-Hirschhorn syndrome: A review and update - Battaglia, A; Carey, J C; South, S T)\n\nCited By :19\n\nExport Date: 5 January 2018\n\nCODEN: AMSGF\n\nCorrespondence Address: Battaglia, A.; Stella Maris Clinical Research Institute for Child and Adolescent Neurology and Psychiatry, via dei Giacinti, 2, Italy; email: agatino.battaglia@fsm.unipi.it","page":"216-223","publisher":"Blackwell Publishing Inc.","publisher-place":"University of Utah School of Medicine, Division of Medical Genetics, Department of Pediatrics, Salt Lake City, UT, United States","title":"Wolf-Hirschhorn syndrome: A review and update","type":"article-journal","volume":"169"},"uris":["http://www.mendeley.com/documents/?uuid=24c81fdd-ba44-4a54-bde3-6fe1c64d9570"]}],"mendeley":{"formattedCitation":"(Agatino Battaglia et al., 2015a; Bergemann, 2009; Cammarata-Scalisi et al., 2015; Karaer et al., 2010)","manualFormatting":"(Battaglia et al., 2015; Bergemann, 2009; Cammarata-Scalisi et al., 2015; Karaer, Koç, Karaoǧuz, Cansu, &amp; Perçin, 2010)","plainTextFormattedCitation":"(Agatino Battaglia et al., 2015a; Bergemann, 2009; Cammarata-Scalisi et al., 2015; Karaer et al., 2010)","previouslyFormattedCitation":"(Agatino Battaglia et al., 2015a; Bergemann, 2009; Cammarata-Scalisi et al., 2015; Karaer et al., 2010)"},"properties":{"noteIndex":0},"schema":"https://github.com/citation-style-language/schema/raw/master/csl-citation.json"}</w:instrText>
      </w:r>
      <w:r w:rsidRPr="006A1EC7">
        <w:fldChar w:fldCharType="separate"/>
      </w:r>
      <w:r w:rsidRPr="006A1EC7">
        <w:rPr>
          <w:noProof/>
        </w:rPr>
        <w:t>(Battaglia et al., 2015; Bergemann, 2009; Cammarata-Scalisi et al., 2015; Karaer, Koç, Karaoǧuz, Cansu, &amp; Perçin, 2010)</w:t>
      </w:r>
      <w:r w:rsidRPr="006A1EC7">
        <w:fldChar w:fldCharType="end"/>
      </w:r>
      <w:r w:rsidRPr="006A1EC7">
        <w:t xml:space="preserve"> the present study further highlighted that epilepsy and seizures epitomise not only a significant issue for patients themselves but also for their relatives. Similar psychosocial impact has previously been reported for families with children with epilepsy </w:t>
      </w:r>
      <w:r w:rsidRPr="006A1EC7">
        <w:fldChar w:fldCharType="begin" w:fldLock="1"/>
      </w:r>
      <w:r w:rsidRPr="006A1EC7">
        <w:instrText>ADDIN CSL_CITATION {"citationItems":[{"id":"ITEM-1","itemData":{"DOI":"10.1016/j.seizure.2011.07.007","ISSN":"10591311","abstract":"Aim: This study aimed to develop a conceptual model of the impact of partial onset or generalized epilepsy on children and adults in order to guide the identification of endpoints that capture patient perspectives in new treatment trials. Methods: A systematic literature search was conducted in Embase and Medline to identify qualitative research reporting the impact of epilepsy on child and adult patients' lives. The search identified 20 publications describing 18 qualitative studies. Qualitative results were extracted from these publications into structured summary tables separately for impact on children and adults. Results: Results tables were reviewed by two qualitative researchers who identified 23 concepts/areas of impact. Concepts were largely universal between child and adult studies, although concept content did vary between age-groups, for example child relationship concerns were focused on developing friendships and problematic family relationships. For adults the concerns were problematic relationships with spouse or partner and fulfilling the family roles. Concepts influenced directly by epilepsy were cognitive, physical and seizure effects, other concepts such as future hopes, burden and self-esteem were influenced more indirectly by impact on other concepts. The 23 concepts were linked to form a conceptual model of the impact of epilepsy for patients guided by qualitative results reported by studies. Conclusion: The conceptual model suggests potential areas of patients' lives that may be enhanced by effective treatment and allows for concepts of concern to both children and adults to be identified and explored as potential endpoints in trials of new epilepsy treatments. © 2011 British Epilepsy Association.","author":[{"dropping-particle":"","family":"Kerr","given":"C.","non-dropping-particle":"","parse-names":false,"suffix":""},{"dropping-particle":"","family":"Nixon","given":"A.","non-dropping-particle":"","parse-names":false,"suffix":""},{"dropping-particle":"","family":"Angalakuditi","given":"M.","non-dropping-particle":"","parse-names":false,"suffix":""}],"container-title":"Seizure","id":"ITEM-1","issue":"10","issued":{"date-parts":[["2011"]]},"page":"764-774","publisher":"BEA Trading Ltd","title":"The impact of epilepsy on children and adult patients' lives: Development of a conceptual model from qualitative literature","type":"article-journal","volume":"20"},"uris":["http://www.mendeley.com/documents/?uuid=8b9b1439-d427-404e-92fd-a1815a154a4d","http://www.mendeley.com/documents/?uuid=459751d2-afa6-480f-ae3a-087b54858574"]},{"id":"ITEM-2","itemData":{"DOI":"10.1016/j.yebeh.2010.02.023","ISSN":"15255050","abstract":"Objectives: To explore, identify and understand the contribution that biomedical and psychosocial factors make to the assessment of health-related quality of life (HRQL) of children and youth with epilepsy using the CHEQOL-25. Methods: We identified and measured variables that may influence HRQL; grouped the variables into four conceptual categories; and used simple and hierarchical linear regressions to model CHEQOL-25 as a function of these variable groupings. Participants were 8-15. year olds with epilepsy and their parents. Results: 131 child and parent pairs participated. Overall, the unique variances associated with the biomedical and psychosocial variables are R2=0.22 and 0.29, respectively, for child self-reported HRQL and R2=0.11 and 0.13, respectively, for parent-proxy report. Conclusions: This study increases our understanding of factors that contribute to the expression of HRQL in this population. These results should be interpreted with caution due to the limited sample size and large number of variables. © 2010 Elsevier Inc.","author":[{"dropping-particle":"","family":"Ronen","given":"Gabriel M.","non-dropping-particle":"","parse-names":false,"suffix":""},{"dropping-particle":"","family":"Streiner","given":"David L.","non-dropping-particle":"","parse-names":false,"suffix":""},{"dropping-particle":"","family":"Verhey","given":"Leonard H.","non-dropping-particle":"","parse-names":false,"suffix":""},{"dropping-particle":"","family":"Lach","given":"Lucyna","non-dropping-particle":"","parse-names":false,"suffix":""},{"dropping-particle":"","family":"Boyle","given":"Michael H.","non-dropping-particle":"","parse-names":false,"suffix":""},{"dropping-particle":"","family":"Cunningham","given":"Charles E.","non-dropping-particle":"","parse-names":false,"suffix":""},{"dropping-particle":"","family":"Rosenbaum","given":"Peter L.","non-dropping-particle":"","parse-names":false,"suffix":""}],"container-title":"Epilepsy and Behavior","id":"ITEM-2","issue":"1-2","issued":{"date-parts":[["2010"]]},"page":"88-93","title":"Disease characteristics and psychosocial factors: Explaining the expression of quality of life in childhood epilepsy","type":"article-journal","volume":"18"},"uris":["http://www.mendeley.com/documents/?uuid=aff8f218-0fb5-46de-a362-4e769dff31ed","http://www.mendeley.com/documents/?uuid=a744ed81-6fb6-449d-8b48-ced155888f2f"]}],"mendeley":{"formattedCitation":"(Kerr, Nixon, &amp; Angalakuditi, 2011a; Ronen et al., 2010)","manualFormatting":"(Kerr, Nixon, &amp; Angalakuditi, 2011; Ronen et al., 2010)","plainTextFormattedCitation":"(Kerr, Nixon, &amp; Angalakuditi, 2011a; Ronen et al., 2010)","previouslyFormattedCitation":"(Kerr, Nixon, &amp; Angalakuditi, 2011a; Ronen et al., 2010)"},"properties":{"noteIndex":0},"schema":"https://github.com/citation-style-language/schema/raw/master/csl-citation.json"}</w:instrText>
      </w:r>
      <w:r w:rsidRPr="006A1EC7">
        <w:fldChar w:fldCharType="separate"/>
      </w:r>
      <w:r w:rsidRPr="006A1EC7">
        <w:rPr>
          <w:noProof/>
        </w:rPr>
        <w:t>(Kerr, Nixon, &amp; Angalakuditi, 2011; Ronen et al., 2010)</w:t>
      </w:r>
      <w:r w:rsidRPr="006A1EC7">
        <w:fldChar w:fldCharType="end"/>
      </w:r>
      <w:r w:rsidRPr="006A1EC7">
        <w:t xml:space="preserve">, although these studies did not include family caregivers of adults/children with WHS. Witnessing a relative’s seizure can be traumatic and have far-reaching consequences. </w:t>
      </w:r>
      <w:r w:rsidRPr="006A1EC7">
        <w:fldChar w:fldCharType="begin" w:fldLock="1"/>
      </w:r>
      <w:r w:rsidRPr="006A1EC7">
        <w:instrText>ADDIN CSL_CITATION {"citationItems":[{"id":"ITEM-1","itemData":{"DOI":"10.1016/j.pedn.2017.11.001","ISSN":"08825963","PMID":"29167084","abstract":"Purpose: To explore parents’ experiences of their child suffering febrile seizures. Design and Method: Seven mothers and four fathers with experience of one or several febrile seizures in their children were interviewed. A qualitative content analysis with an inductive approach was performed. Result: Five themes emerged; emotional experiences, in terms of anxiety and fear, and need for control, need for support, need for acknowledgement and need for comfort. Professional assurance and support from healthcare staff was considered important to help parents handle the situation. Conclusion: Febrile seizure caused anxiety due to parents’ lack of comprehension about the event and how to act during the seizure. Practice Implications: The pediatric nurse plays an important role in gaining the trust of and supporting parents whose children have suffered febrile seizures. They can alleviate concerns that arise, and also generate assured and well informed parents, who are better prepared to deal with recurrent febrile seizures.","author":[{"dropping-particle":"","family":"Westin","given":"Emma","non-dropping-particle":"","parse-names":false,"suffix":""},{"dropping-particle":"","family":"Sund Levander","given":"Märta","non-dropping-particle":"","parse-names":false,"suffix":""}],"container-title":"Journal of Pediatric Nursing","id":"ITEM-1","issued":{"date-parts":[["2018"]]},"page":"68-73","publisher":"Elsevier Inc.","title":"Parent's Experiences of Their Children Suffering Febrile Seizures","type":"article-journal","volume":"38"},"uris":["http://www.mendeley.com/documents/?uuid=16f931f4-9f7a-4f1d-a777-35267f8abe21","http://www.mendeley.com/documents/?uuid=8deb5055-7222-4e0e-a057-6815e60cf611"]},{"id":"ITEM-2","itemData":{"DOI":"10.1016/j.pedhc.2017.12.004","ISBN":"1532-656X (Electronic)\r0891-5245 (Linking)","ISSN":"08915245","PMID":"29426729","abstract":"Introduction: To assess parental perspectives of the impact of epilepsy and seizures on siblings of children in the Seizures and Outcomes Study. Methods: Parents completed surveys about their child with epilepsy, their own health and well-being, and the impact of epilepsy on unaffected siblings. Results: The most common parental responses about the sibling were witnessing a seizure, protectiveness of the child with epilepsy, worry about seizures, belief that seizures cause pain, and pride toward the child with epilepsy. Embarrassment and keeping epilepsy a secret were rare. Parent reports supported that siblings that worried were more likely to have witnessed a seizure, feel sad or angry, think seizures cause pain, and have a parent with anxiety disorder. Discussion: Some siblings of children with epilepsy are at risk for psychosocial problems. Primary and specialty care providers are well positioned to identify and monitor these children through evaluations and referrals as necessary.","author":[{"dropping-particle":"","family":"Kroner","given":"Barbara L.","non-dropping-particle":"","parse-names":false,"suffix":""},{"dropping-particle":"","family":"Ardini","given":"Mary Anne","non-dropping-particle":"","parse-names":false,"suffix":""},{"dropping-particle":"","family":"Bumbut","given":"Adrian","non-dropping-particle":"","parse-names":false,"suffix":""},{"dropping-particle":"","family":"Gaillard","given":"William D.","non-dropping-particle":"","parse-names":false,"suffix":""}],"container-title":"Journal of Pediatric Health Care","id":"ITEM-2","issue":"4","issued":{"date-parts":[["2018"]]},"page":"348-355","publisher":"Elsevier Inc.","title":"Parental Perspectives of the Impact of Epilepsy and Seizures on Siblings of Children with Epilepsy","type":"article-journal","volume":"32"},"uris":["http://www.mendeley.com/documents/?uuid=aa1b2095-b688-48d1-8714-df0327fb8380","http://www.mendeley.com/documents/?uuid=d52ee72b-3e23-4080-8fda-ea35a78d1c96"]},{"id":"ITEM-3","itemData":{"DOI":"10.1111/ped.12058","ISBN":"1328-8067","ISSN":"1442200X","PMID":"23360347","abstract":"BACKGROUND: Little is known about what parents think and how they act when their child experiences febrile seizure (FS). This study therefore surveyed parents of 78 children who had experienced a first FS regarding their thoughts and actions.\\n\\nMETHODS: The questionnaire was divided into three parts: details of the child and their family; medical management of the child before reaching hospital; and parental thoughts and actions when the child experienced convulsions.\\n\\nRESULTS: Parents without prior knowledge of FS showed a higher rate of thinking that FS were harmful than parents with prior knowledge (P &lt; 0.03). Parents with prior knowledge were aware that their child was having an FS at a higher rate than parents without prior knowledge (P &lt; 0.001). Moreover, parents without prior knowledge managed the convulsions less appropriately than parents with prior knowledge (P &lt; 0.03).\\n\\nCONCLUSIONS: Parental fears that the death of their child was imminent and the misperception of FS as a serious, life-threatening condition indicate a lack of knowledge regarding FS. Organizing parental support groups and effective educational intervention programs for parents should be given priority in the care of children with FS.","author":[{"dropping-particle":"","family":"Kanemura","given":"Hideaki","non-dropping-particle":"","parse-names":false,"suffix":""},{"dropping-particle":"","family":"Sano","given":"Fumikazu","non-dropping-particle":"","parse-names":false,"suffix":""},{"dropping-particle":"","family":"Mizorogi","given":"Sonoko","non-dropping-particle":"","parse-names":false,"suffix":""},{"dropping-particle":"","family":"Tando","given":"Tomoko","non-dropping-particle":"","parse-names":false,"suffix":""},{"dropping-particle":"","family":"Sugita","given":"Kanji","non-dropping-particle":"","parse-names":false,"suffix":""},{"dropping-particle":"","family":"Aihara","given":"Masao","non-dropping-particle":"","parse-names":false,"suffix":""}],"container-title":"Pediatrics International","id":"ITEM-3","issued":{"date-parts":[["2013"]]},"title":"Parental thoughts and actions regarding their child's first febrile seizure","type":"article-journal"},"uris":["http://www.mendeley.com/documents/?uuid=ef599000-b158-467d-bcb1-7d682527f501","http://www.mendeley.com/documents/?uuid=99a769bd-551d-47dd-9ee1-ccc22bab83e6"]},{"id":"ITEM-4","itemData":{"DOI":"10.1097/01376517-200110000-00008","ISBN":"0888-0395","ISSN":"08880395","PMID":"11668886","abstract":"An exploratory study of the experiences of parents caring for young children with seizure disorders and their perceived needs for information and support was conducted. A questionnaire and interview protocol was designed to elicit information about the child's seizure history, child and parent health history, medical and support services, child and family demographic information, parent experiences in caring for a young child with seizures, and perceptions about needs for information and support. Interviews were conducted with 31 parents who were recruited from a pediatric neurology clinic at a university hospital. Interviews were audiotaped, transcribed, and analyzed for major themes. The study revealed a broad range of experiences in caring for young children with seizures, and the early onset and severity of seizures often influenced these experiences. Obtaining information that was easily accessible and helped them to better understand their child's diagnosis and treatment was a challenge reported by many parents. In addition, interviews revealed that parents felt a need for support and information from individuals who were knowledgeable about the medical, developmental, emotional, and family issues related to coping with seizures in infants and young children. Recommendations for a comprehensive approach to the management of seizures for infants and young children are proposed, with particular focus on the role of nurses and early intervention professionals in providing information and support to families.","author":[{"dropping-particle":"","family":"Aytch","given":"L. S.","non-dropping-particle":"","parse-names":false,"suffix":""},{"dropping-particle":"","family":"Hammond","given":"R.","non-dropping-particle":"","parse-names":false,"suffix":""},{"dropping-particle":"","family":"White","given":"C.","non-dropping-particle":"","parse-names":false,"suffix":""}],"container-title":"The Journal of neuroscience nursing : journal of the American Association of Neuroscience Nurses","id":"ITEM-4","issued":{"date-parts":[["2001"]]},"title":"Seizures in infants and young children: an exploratory study of family experiences and needs for information and support.","type":"article-journal"},"uris":["http://www.mendeley.com/documents/?uuid=bbf12433-08d5-47ee-b717-3285a13e79d0","http://www.mendeley.com/documents/?uuid=83206696-aa24-4003-adf3-104083d27cc2"]},{"id":"ITEM-5","itemData":{"DOI":"10.1016/j.yebeh.2015.09.019","ISBN":"9783319193878","ISSN":"15255069","PMID":"26520879","abstract":"Objective: Parent variables (stigma, mood, unmet needs for information and support, and worry) are associated with behavioral difficulties in children with seizures; however, it is not known how this relationship is influenced by additional seizures. This study followed children (ages 4-14. years) and their parents over a 24-month period (with data collected at baseline and 6, 12, and 24. months) and investigated the effect of an additional seizure on the relationship between parenting variables and child behavior difficulties. Methods: The sample was parents of 196 children (104 girls and 92 boys) with a first seizure within the past 6. weeks. Child mean age at baseline was 8. years, 3. months (SD 3. years). Data were analyzed using t-tests, chi-square tests, and repeated measures analyses of covariance. Results: Relationships between parent variables, additional seizures, and child behavior problems were consistent across time. Several associations between parent variables and child behavior problems were stronger in the additional seizure group than in the no additional seizure group. Conclusions: Findings suggest that interventions that assist families to respond constructively to the reactions of others regarding their child's seizure condition and to address their needs for information and support could help families of children with continuing seizures to have an improved quality of life.","author":[{"dropping-particle":"","family":"Austin","given":"Joan K.","non-dropping-particle":"","parse-names":false,"suffix":""},{"dropping-particle":"","family":"Haber","given":"Linda C.","non-dropping-particle":"","parse-names":false,"suffix":""},{"dropping-particle":"","family":"Dunn","given":"David W.","non-dropping-particle":"","parse-names":false,"suffix":""},{"dropping-particle":"","family":"Shore","given":"Cheryl P.","non-dropping-particle":"","parse-names":false,"suffix":""},{"dropping-particle":"","family":"Johnson","given":"Cynthia S.","non-dropping-particle":"","parse-names":false,"suffix":""},{"dropping-particle":"","family":"Perkins","given":"Susan M.","non-dropping-particle":"","parse-names":false,"suffix":""}],"container-title":"Epilepsy and Behavior","id":"ITEM-5","issued":{"date-parts":[["2015"]]},"page":"73-77","publisher":"Elsevier Inc.","title":"Children with new onset seizures: A prospective study of parent variables, child behavior problems, and seizure occurrence","type":"article-journal","volume":"53"},"uris":["http://www.mendeley.com/documents/?uuid=0d8e2b8b-358c-49ff-ad2b-f972f840a955","http://www.mendeley.com/documents/?uuid=f98c0368-49af-4f13-a86a-6ea359dae68a"]}],"mendeley":{"formattedCitation":"(J. K. Austin et al., 2015; Aytch, Hammond, &amp; White, 2001; Kanemura et al., 2013; Kroner, Ardini, Bumbut, &amp; Gaillard, 2018a; Westin &amp; Sund Levander, 2018a)","manualFormatting":"(Austin et al., 2015; Aytch, Hammond, &amp; White, 2001; Kanemura et al., 2013; Kroner, Ardini, Bumbut, &amp; Gaillard, 2018; Westin &amp; Sund Levander, 2018)","plainTextFormattedCitation":"(J. K. Austin et al., 2015; Aytch, Hammond, &amp; White, 2001; Kanemura et al., 2013; Kroner, Ardini, Bumbut, &amp; Gaillard, 2018a; Westin &amp; Sund Levander, 2018a)","previouslyFormattedCitation":"(J. K. Austin et al., 2015; Aytch, Hammond, &amp; White, 2001; Kanemura et al., 2013; Kroner, Ardini, Bumbut, &amp; Gaillard, 2018a; Westin &amp; Sund Levander, 2018a)"},"properties":{"noteIndex":0},"schema":"https://github.com/citation-style-language/schema/raw/master/csl-citation.json"}</w:instrText>
      </w:r>
      <w:r w:rsidRPr="006A1EC7">
        <w:fldChar w:fldCharType="separate"/>
      </w:r>
      <w:r w:rsidRPr="006A1EC7">
        <w:rPr>
          <w:noProof/>
        </w:rPr>
        <w:t>(Austin et al., 2015; Aytch, Hammond, &amp; White, 2001; Kanemura et al., 2013; Kroner, Ardini, Bumbut, &amp; Gaillard, 2018; Westin &amp; Sund Levander, 2018)</w:t>
      </w:r>
      <w:r w:rsidRPr="006A1EC7">
        <w:fldChar w:fldCharType="end"/>
      </w:r>
      <w:r w:rsidRPr="006A1EC7">
        <w:t>. The experience often evokes feelings of anxiety, fear, panic and even shock due to their life-threatening potential (</w:t>
      </w:r>
      <w:r w:rsidRPr="006A1EC7">
        <w:fldChar w:fldCharType="begin" w:fldLock="1"/>
      </w:r>
      <w:r w:rsidRPr="006A1EC7">
        <w:instrText>ADDIN CSL_CITATION {"citationItems":[{"id":"ITEM-1","itemData":{"DOI":"10.1016/j.pedn.2017.11.001","ISSN":"08825963","PMID":"29167084","abstract":"Purpose: To explore parents’ experiences of their child suffering febrile seizures. Design and Method: Seven mothers and four fathers with experience of one or several febrile seizures in their children were interviewed. A qualitative content analysis with an inductive approach was performed. Result: Five themes emerged; emotional experiences, in terms of anxiety and fear, and need for control, need for support, need for acknowledgement and need for comfort. Professional assurance and support from healthcare staff was considered important to help parents handle the situation. Conclusion: Febrile seizure caused anxiety due to parents’ lack of comprehension about the event and how to act during the seizure. Practice Implications: The pediatric nurse plays an important role in gaining the trust of and supporting parents whose children have suffered febrile seizures. They can alleviate concerns that arise, and also generate assured and well informed parents, who are better prepared to deal with recurrent febrile seizures.","author":[{"dropping-particle":"","family":"Westin","given":"Emma","non-dropping-particle":"","parse-names":false,"suffix":""},{"dropping-particle":"","family":"Sund Levander","given":"Märta","non-dropping-particle":"","parse-names":false,"suffix":""}],"container-title":"Journal of Pediatric Nursing","id":"ITEM-1","issued":{"date-parts":[["2018"]]},"page":"68-73","publisher":"Elsevier Inc.","title":"Parent's Experiences of Their Children Suffering Febrile Seizures","type":"article-journal","volume":"38"},"uris":["http://www.mendeley.com/documents/?uuid=8deb5055-7222-4e0e-a057-6815e60cf611","http://www.mendeley.com/documents/?uuid=16f931f4-9f7a-4f1d-a777-35267f8abe21"]}],"mendeley":{"formattedCitation":"(Westin &amp; Sund Levander, 2018b)","manualFormatting":"Westin &amp; Sund Levander, 2018)","plainTextFormattedCitation":"(Westin &amp; Sund Levander, 2018b)","previouslyFormattedCitation":"(Westin &amp; Sund Levander, 2018b)"},"properties":{"noteIndex":0},"schema":"https://github.com/citation-style-language/schema/raw/master/csl-citation.json"}</w:instrText>
      </w:r>
      <w:r w:rsidRPr="006A1EC7">
        <w:fldChar w:fldCharType="separate"/>
      </w:r>
      <w:r w:rsidRPr="006A1EC7">
        <w:rPr>
          <w:noProof/>
        </w:rPr>
        <w:t>Westin &amp; Sund Levander, 2018)</w:t>
      </w:r>
      <w:r w:rsidRPr="006A1EC7">
        <w:fldChar w:fldCharType="end"/>
      </w:r>
      <w:r w:rsidRPr="006A1EC7">
        <w:t xml:space="preserve">. Accounts in the current sample, especially from parents and grandparents, support these research findings and the need for psychological interventions to help families affected by seizures. The help could include guidance around coping, witnessing and living with this distressing clinical feature. </w:t>
      </w:r>
    </w:p>
    <w:p w14:paraId="3A79644D" w14:textId="5F4877CC" w:rsidR="008B1FBF" w:rsidRPr="006A1EC7" w:rsidRDefault="008B1FBF" w:rsidP="008B1FBF">
      <w:pPr>
        <w:spacing w:line="360" w:lineRule="auto"/>
      </w:pPr>
      <w:r w:rsidRPr="006A1EC7">
        <w:t xml:space="preserve">Long-term, negative QoL outcomes, such as increased anxiety, depression and stress, are reported in the literature for family members of children and adults suffering epilepsy </w:t>
      </w:r>
      <w:r w:rsidRPr="006A1EC7">
        <w:fldChar w:fldCharType="begin" w:fldLock="1"/>
      </w:r>
      <w:r w:rsidRPr="006A1EC7">
        <w:instrText>ADDIN CSL_CITATION {"citationItems":[{"id":"ITEM-1","itemData":{"DOI":"10.1016/j.seizure.2011.07.007","ISSN":"10591311","abstract":"Aim: This study aimed to develop a conceptual model of the impact of partial onset or generalized epilepsy on children and adults in order to guide the identification of endpoints that capture patient perspectives in new treatment trials. Methods: A systematic literature search was conducted in Embase and Medline to identify qualitative research reporting the impact of epilepsy on child and adult patients' lives. The search identified 20 publications describing 18 qualitative studies. Qualitative results were extracted from these publications into structured summary tables separately for impact on children and adults. Results: Results tables were reviewed by two qualitative researchers who identified 23 concepts/areas of impact. Concepts were largely universal between child and adult studies, although concept content did vary between age-groups, for example child relationship concerns were focused on developing friendships and problematic family relationships. For adults the concerns were problematic relationships with spouse or partner and fulfilling the family roles. Concepts influenced directly by epilepsy were cognitive, physical and seizure effects, other concepts such as future hopes, burden and self-esteem were influenced more indirectly by impact on other concepts. The 23 concepts were linked to form a conceptual model of the impact of epilepsy for patients guided by qualitative results reported by studies. Conclusion: The conceptual model suggests potential areas of patients' lives that may be enhanced by effective treatment and allows for concepts of concern to both children and adults to be identified and explored as potential endpoints in trials of new epilepsy treatments. © 2011 British Epilepsy Association.","author":[{"dropping-particle":"","family":"Kerr","given":"C.","non-dropping-particle":"","parse-names":false,"suffix":""},{"dropping-particle":"","family":"Nixon","given":"A.","non-dropping-particle":"","parse-names":false,"suffix":""},{"dropping-particle":"","family":"Angalakuditi","given":"M.","non-dropping-particle":"","parse-names":false,"suffix":""}],"container-title":"Seizure","id":"ITEM-1","issue":"10","issued":{"date-parts":[["2011"]]},"page":"764-774","publisher":"BEA Trading Ltd","title":"The impact of epilepsy on children and adult patients' lives: Development of a conceptual model from qualitative literature","type":"article-journal","volume":"20"},"uris":["http://www.mendeley.com/documents/?uuid=459751d2-afa6-480f-ae3a-087b54858574","http://www.mendeley.com/documents/?uuid=8b9b1439-d427-404e-92fd-a1815a154a4d"]},{"id":"ITEM-2","itemData":{"DOI":"10.1016/j.yebeh.2010.02.023","ISSN":"15255050","abstract":"Objectives: To explore, identify and understand the contribution that biomedical and psychosocial factors make to the assessment of health-related quality of life (HRQL) of children and youth with epilepsy using the CHEQOL-25. Methods: We identified and measured variables that may influence HRQL; grouped the variables into four conceptual categories; and used simple and hierarchical linear regressions to model CHEQOL-25 as a function of these variable groupings. Participants were 8-15. year olds with epilepsy and their parents. Results: 131 child and parent pairs participated. Overall, the unique variances associated with the biomedical and psychosocial variables are R2=0.22 and 0.29, respectively, for child self-reported HRQL and R2=0.11 and 0.13, respectively, for parent-proxy report. Conclusions: This study increases our understanding of factors that contribute to the expression of HRQL in this population. These results should be interpreted with caution due to the limited sample size and large number of variables. © 2010 Elsevier Inc.","author":[{"dropping-particle":"","family":"Ronen","given":"Gabriel M.","non-dropping-particle":"","parse-names":false,"suffix":""},{"dropping-particle":"","family":"Streiner","given":"David L.","non-dropping-particle":"","parse-names":false,"suffix":""},{"dropping-particle":"","family":"Verhey","given":"Leonard H.","non-dropping-particle":"","parse-names":false,"suffix":""},{"dropping-particle":"","family":"Lach","given":"Lucyna","non-dropping-particle":"","parse-names":false,"suffix":""},{"dropping-particle":"","family":"Boyle","given":"Michael H.","non-dropping-particle":"","parse-names":false,"suffix":""},{"dropping-particle":"","family":"Cunningham","given":"Charles E.","non-dropping-particle":"","parse-names":false,"suffix":""},{"dropping-particle":"","family":"Rosenbaum","given":"Peter L.","non-dropping-particle":"","parse-names":false,"suffix":""}],"container-title":"Epilepsy and Behavior","id":"ITEM-2","issue":"1-2","issued":{"date-parts":[["2010"]]},"page":"88-93","title":"Disease characteristics and psychosocial factors: Explaining the expression of quality of life in childhood epilepsy","type":"article-journal","volume":"18"},"uris":["http://www.mendeley.com/documents/?uuid=a744ed81-6fb6-449d-8b48-ced155888f2f","http://www.mendeley.com/documents/?uuid=aff8f218-0fb5-46de-a362-4e769dff31ed","http://www.mendeley.com/documents/?uuid=7ef6b7a7-a86e-4a28-86cd-63b1ddb726a3"]}],"mendeley":{"formattedCitation":"(Kerr, Nixon, &amp; Angalakuditi, 2011b; Ronen et al., 2010)","manualFormatting":"(Kerr, Nixon, &amp; Angalakuditi, 2011; Ronen et al., 2010)","plainTextFormattedCitation":"(Kerr, Nixon, &amp; Angalakuditi, 2011b; Ronen et al., 2010)","previouslyFormattedCitation":"(Kerr, Nixon, &amp; Angalakuditi, 2011b; Ronen et al., 2010)"},"properties":{"noteIndex":0},"schema":"https://github.com/citation-style-language/schema/raw/master/csl-citation.json"}</w:instrText>
      </w:r>
      <w:r w:rsidRPr="006A1EC7">
        <w:fldChar w:fldCharType="separate"/>
      </w:r>
      <w:r w:rsidRPr="006A1EC7">
        <w:rPr>
          <w:noProof/>
        </w:rPr>
        <w:t>(Kerr, Nixon, &amp; Angalakuditi, 2011; Ronen et al., 2010)</w:t>
      </w:r>
      <w:r w:rsidRPr="006A1EC7">
        <w:fldChar w:fldCharType="end"/>
      </w:r>
      <w:r w:rsidRPr="006A1EC7">
        <w:t xml:space="preserve">; these have also been reported for participants in the sample. In the current sample, these negative outcomes include sleep disturbances, anxieties surrounding seizures, their life-threatening consequences and social restrictions. The consequences of these outcomes are often social exclusion (e.g. not wanting to go anywhere by themselves, not being able to leave their relative with WHS in the care of others for fear of the child experiencing a seizure that remains undetected). This could exacerbate feelings of isolation (as a core aspect of depression), anxiety and stress due to </w:t>
      </w:r>
      <w:r w:rsidRPr="006A1EC7">
        <w:lastRenderedPageBreak/>
        <w:t xml:space="preserve">family caregivers having no or limited access to psychosocial support. Parents also expressed concerns about the emotional wellbeing of their unaffected children. The literature suggests that these worries may, to some extent, be justified </w:t>
      </w:r>
      <w:r w:rsidRPr="006A1EC7">
        <w:fldChar w:fldCharType="begin" w:fldLock="1"/>
      </w:r>
      <w:r w:rsidRPr="006A1EC7">
        <w:instrText>ADDIN CSL_CITATION {"citationItems":[{"id":"ITEM-1","itemData":{"DOI":"10.1016/j.seizure.2006.08.007","ISBN":"1059-1311","ISSN":"10591311","PMID":"17005422","abstract":"Rationale: It is known that epilepsy has a severe impact in the quality of life of the patients; however, it affects the lives of all family members. The psychosocial repercussions of epilepsy are often of greater significance than the seizures themselves. Methods: This was a prospective study, conducted from January 2005 to December 2005 at the pediatric epilepsy clinic of our University Hospital. Parents were interviewed by one of the authors according to a structured questionnaire about the impact of epilepsy in the life of the siblings of children with epilepsy. Results: One hundred and twenty-seven children, siblings of 78 patients with epilepsy were evaluated. From the 127 siblings of children with epilepsy, 60 were girls and 67 were boys. Ages ranged from 5 to 18 years old (mean = 11.7 years). After the diagnosis of epilepsy, the siblings had only negative feelings toward the disease, mostly sadness and fear. Conclusion: Our data showed that the impact of epilepsy in the lives of siblings of children with epilepsy is much more severe than previously suspected. © 2006 British Epilepsy Association.","author":[{"dropping-particle":"","family":"Tsuchie","given":"Sara Y.","non-dropping-particle":"","parse-names":false,"suffix":""},{"dropping-particle":"","family":"Guerreiro","given":"Marilisa M.","non-dropping-particle":"","parse-names":false,"suffix":""},{"dropping-particle":"","family":"Chuang","given":"Eunice","non-dropping-particle":"","parse-names":false,"suffix":""},{"dropping-particle":"","family":"Baccin","given":"Carlos Eduardo","non-dropping-particle":"","parse-names":false,"suffix":""},{"dropping-particle":"","family":"Montenegro","given":"Maria Augusta","non-dropping-particle":"","parse-names":false,"suffix":""}],"container-title":"Seizure","id":"ITEM-1","issue":"8","issued":{"date-parts":[["2006"]]},"page":"610-614","title":"What about us?. Siblings of children with epilepsy","type":"article-journal","volume":"15"},"uris":["http://www.mendeley.com/documents/?uuid=95540401-b2c7-4957-9828-3f1a3782ac61"]},{"id":"ITEM-2","itemData":{"DOI":"10.1016/j.pedhc.2017.12.004","ISBN":"1532-656X (Electronic)\r0891-5245 (Linking)","ISSN":"08915245","PMID":"29426729","abstract":"Introduction: To assess parental perspectives of the impact of epilepsy and seizures on siblings of children in the Seizures and Outcomes Study. Methods: Parents completed surveys about their child with epilepsy, their own health and well-being, and the impact of epilepsy on unaffected siblings. Results: The most common parental responses about the sibling were witnessing a seizure, protectiveness of the child with epilepsy, worry about seizures, belief that seizures cause pain, and pride toward the child with epilepsy. Embarrassment and keeping epilepsy a secret were rare. Parent reports supported that siblings that worried were more likely to have witnessed a seizure, feel sad or angry, think seizures cause pain, and have a parent with anxiety disorder. Discussion: Some siblings of children with epilepsy are at risk for psychosocial problems. Primary and specialty care providers are well positioned to identify and monitor these children through evaluations and referrals as necessary.","author":[{"dropping-particle":"","family":"Kroner","given":"Barbara L.","non-dropping-particle":"","parse-names":false,"suffix":""},{"dropping-particle":"","family":"Ardini","given":"Mary Anne","non-dropping-particle":"","parse-names":false,"suffix":""},{"dropping-particle":"","family":"Bumbut","given":"Adrian","non-dropping-particle":"","parse-names":false,"suffix":""},{"dropping-particle":"","family":"Gaillard","given":"William D.","non-dropping-particle":"","parse-names":false,"suffix":""}],"container-title":"Journal of Pediatric Health Care","id":"ITEM-2","issue":"4","issued":{"date-parts":[["2018"]]},"page":"348-355","publisher":"Elsevier Inc.","title":"Parental Perspectives of the Impact of Epilepsy and Seizures on Siblings of Children with Epilepsy","type":"article-journal","volume":"32"},"uris":["http://www.mendeley.com/documents/?uuid=d52ee72b-3e23-4080-8fda-ea35a78d1c96","http://www.mendeley.com/documents/?uuid=aa1b2095-b688-48d1-8714-df0327fb8380"]}],"mendeley":{"formattedCitation":"(Kroner, Ardini, Bumbut, &amp; Gaillard, 2018b; Tsuchie, Guerreiro, Chuang, Baccin, &amp; Montenegro, 2006)","plainTextFormattedCitation":"(Kroner, Ardini, Bumbut, &amp; Gaillard, 2018b; Tsuchie, Guerreiro, Chuang, Baccin, &amp; Montenegro, 2006)","previouslyFormattedCitation":"(Kroner, Ardini, Bumbut, &amp; Gaillard, 2018b; Tsuchie, Guerreiro, Chuang, Baccin, &amp; Montenegro, 2006)"},"properties":{"noteIndex":0},"schema":"https://github.com/citation-style-language/schema/raw/master/csl-citation.json"}</w:instrText>
      </w:r>
      <w:r w:rsidRPr="006A1EC7">
        <w:fldChar w:fldCharType="separate"/>
      </w:r>
      <w:r w:rsidRPr="006A1EC7">
        <w:rPr>
          <w:noProof/>
        </w:rPr>
        <w:t xml:space="preserve">(Kroner, Ardini, Bumbut, &amp; Gaillard, </w:t>
      </w:r>
      <w:r w:rsidR="00421249" w:rsidRPr="006A1EC7">
        <w:rPr>
          <w:noProof/>
        </w:rPr>
        <w:t>2018</w:t>
      </w:r>
      <w:r w:rsidRPr="006A1EC7">
        <w:rPr>
          <w:noProof/>
        </w:rPr>
        <w:t>; Tsuchie, Guerreiro, Chuang, Baccin, &amp; Montenegro, 2006)</w:t>
      </w:r>
      <w:r w:rsidRPr="006A1EC7">
        <w:fldChar w:fldCharType="end"/>
      </w:r>
      <w:r w:rsidRPr="006A1EC7">
        <w:t xml:space="preserve">. The literature reports negative psychosocial outcomes for non-affected siblings, such as worry or lower educational achievements. Two studies found that the psycho-social impacts seemed to be exacerbated if the un-affected siblings had witnessed a seizure </w:t>
      </w:r>
      <w:r w:rsidRPr="006A1EC7">
        <w:fldChar w:fldCharType="begin" w:fldLock="1"/>
      </w:r>
      <w:r w:rsidRPr="006A1EC7">
        <w:instrText>ADDIN CSL_CITATION {"citationItems":[{"id":"ITEM-1","itemData":{"DOI":"10.1016/j.pedhc.2017.12.004","ISBN":"1532-656X (Electronic)\r0891-5245 (Linking)","ISSN":"08915245","PMID":"29426729","abstract":"Introduction: To assess parental perspectives of the impact of epilepsy and seizures on siblings of children in the Seizures and Outcomes Study. Methods: Parents completed surveys about their child with epilepsy, their own health and well-being, and the impact of epilepsy on unaffected siblings. Results: The most common parental responses about the sibling were witnessing a seizure, protectiveness of the child with epilepsy, worry about seizures, belief that seizures cause pain, and pride toward the child with epilepsy. Embarrassment and keeping epilepsy a secret were rare. Parent reports supported that siblings that worried were more likely to have witnessed a seizure, feel sad or angry, think seizures cause pain, and have a parent with anxiety disorder. Discussion: Some siblings of children with epilepsy are at risk for psychosocial problems. Primary and specialty care providers are well positioned to identify and monitor these children through evaluations and referrals as necessary.","author":[{"dropping-particle":"","family":"Kroner","given":"Barbara L.","non-dropping-particle":"","parse-names":false,"suffix":""},{"dropping-particle":"","family":"Ardini","given":"Mary Anne","non-dropping-particle":"","parse-names":false,"suffix":""},{"dropping-particle":"","family":"Bumbut","given":"Adrian","non-dropping-particle":"","parse-names":false,"suffix":""},{"dropping-particle":"","family":"Gaillard","given":"William D.","non-dropping-particle":"","parse-names":false,"suffix":""}],"container-title":"Journal of Pediatric Health Care","id":"ITEM-1","issue":"4","issued":{"date-parts":[["2018"]]},"page":"348-355","publisher":"Elsevier Inc.","title":"Parental Perspectives of the Impact of Epilepsy and Seizures on Siblings of Children with Epilepsy","type":"article-journal","volume":"32"},"uris":["http://www.mendeley.com/documents/?uuid=d52ee72b-3e23-4080-8fda-ea35a78d1c96","http://www.mendeley.com/documents/?uuid=aa1b2095-b688-48d1-8714-df0327fb8380"]},{"id":"ITEM-2","itemData":{"DOI":"10.1016/j.seizure.2006.08.007","ISBN":"1059-1311","ISSN":"10591311","PMID":"17005422","abstract":"Rationale: It is known that epilepsy has a severe impact in the quality of life of the patients; however, it affects the lives of all family members. The psychosocial repercussions of epilepsy are often of greater significance than the seizures themselves. Methods: This was a prospective study, conducted from January 2005 to December 2005 at the pediatric epilepsy clinic of our University Hospital. Parents were interviewed by one of the authors according to a structured questionnaire about the impact of epilepsy in the life of the siblings of children with epilepsy. Results: One hundred and twenty-seven children, siblings of 78 patients with epilepsy were evaluated. From the 127 siblings of children with epilepsy, 60 were girls and 67 were boys. Ages ranged from 5 to 18 years old (mean = 11.7 years). After the diagnosis of epilepsy, the siblings had only negative feelings toward the disease, mostly sadness and fear. Conclusion: Our data showed that the impact of epilepsy in the lives of siblings of children with epilepsy is much more severe than previously suspected. © 2006 British Epilepsy Association.","author":[{"dropping-particle":"","family":"Tsuchie","given":"Sara Y.","non-dropping-particle":"","parse-names":false,"suffix":""},{"dropping-particle":"","family":"Guerreiro","given":"Marilisa M.","non-dropping-particle":"","parse-names":false,"suffix":""},{"dropping-particle":"","family":"Chuang","given":"Eunice","non-dropping-particle":"","parse-names":false,"suffix":""},{"dropping-particle":"","family":"Baccin","given":"Carlos Eduardo","non-dropping-particle":"","parse-names":false,"suffix":""},{"dropping-particle":"","family":"Montenegro","given":"Maria Augusta","non-dropping-particle":"","parse-names":false,"suffix":""}],"container-title":"Seizure","id":"ITEM-2","issue":"8","issued":{"date-parts":[["2006"]]},"page":"610-614","title":"What about us?. Siblings of children with epilepsy","type":"article-journal","volume":"15"},"uris":["http://www.mendeley.com/documents/?uuid=95540401-b2c7-4957-9828-3f1a3782ac61"]}],"mendeley":{"formattedCitation":"(Kroner et al., 2018b; Tsuchie et al., 2006)","plainTextFormattedCitation":"(Kroner et al., 2018b; Tsuchie et al., 2006)","previouslyFormattedCitation":"(Kroner et al., 2018b; Tsuchie et al., 2006)"},"properties":{"noteIndex":0},"schema":"https://github.com/citation-style-language/schema/raw/master/csl-citation.json"}</w:instrText>
      </w:r>
      <w:r w:rsidRPr="006A1EC7">
        <w:fldChar w:fldCharType="separate"/>
      </w:r>
      <w:r w:rsidRPr="006A1EC7">
        <w:rPr>
          <w:noProof/>
        </w:rPr>
        <w:t xml:space="preserve">(Kroner et al., </w:t>
      </w:r>
      <w:r w:rsidR="00421249" w:rsidRPr="006A1EC7">
        <w:rPr>
          <w:noProof/>
        </w:rPr>
        <w:t>2018</w:t>
      </w:r>
      <w:r w:rsidRPr="006A1EC7">
        <w:rPr>
          <w:noProof/>
        </w:rPr>
        <w:t>; Tsuchie et al., 2006)</w:t>
      </w:r>
      <w:r w:rsidRPr="006A1EC7">
        <w:fldChar w:fldCharType="end"/>
      </w:r>
      <w:r w:rsidRPr="006A1EC7">
        <w:t xml:space="preserve">. An issue with these studies is however that both Kroner et al. (2018) and Tschuie et al. (2006) relied on parental reports investigating the impact of sibling seizures on the psychosocial functioning of unaffected siblings and to the author’s knowledge no study has directly investigated this using self-report methodology. Unfortunately, the current sample does not shed further light on this issue either, as there were only two siblings in the study sample (both siblings were adults living away from their sibling and attending university, not directly involved in their siblings’ care, one affected sibling did not experience seizures, the other did not talk about her experiences of witnessing a seizure/seizures). This area therefore warrants some further investigation. While these psychosocial impacts of epilepsy/seizures on family members, and worries about the impact on siblings are not necessarily relevant to measuring the health of children and adults with </w:t>
      </w:r>
      <w:r w:rsidR="009F0718" w:rsidRPr="006A1EC7">
        <w:t>WHS</w:t>
      </w:r>
      <w:r w:rsidRPr="006A1EC7">
        <w:t xml:space="preserve">, the scale must take into account how a high quality level of nursing care is required to care for a patient, such as medicine management and administration, and pre and post-seizure care. </w:t>
      </w:r>
    </w:p>
    <w:p w14:paraId="5E09C3A6" w14:textId="77777777" w:rsidR="008B1FBF" w:rsidRPr="006A1EC7" w:rsidRDefault="008B1FBF" w:rsidP="008B1FBF">
      <w:pPr>
        <w:spacing w:line="360" w:lineRule="auto"/>
        <w:ind w:firstLine="720"/>
      </w:pPr>
      <w:r w:rsidRPr="006A1EC7">
        <w:t xml:space="preserve">Psychological distress as a result of children’s diagnoses of heart defects are commonly reported among family members </w:t>
      </w:r>
      <w:r w:rsidRPr="006A1EC7">
        <w:fldChar w:fldCharType="begin" w:fldLock="1"/>
      </w:r>
      <w:r w:rsidRPr="006A1EC7">
        <w:instrText>ADDIN CSL_CITATION {"citationItems":[{"id":"ITEM-1","itemData":{"DOI":"10.1161/JAHA.116.004862","ISSN":"20479980","PMID":"28151402","abstract":"Background Parents of children with critical congenital heart defects (PCCHDs) may be at high risk for mental health morbidity; however, the literature is not well characterized. Given that compromised parental mental health can lead to long‐term cognitive, health‐related, and behavioral problems in children, a systematic review of this literature could provide informed recommendations for continued research and enhance the care of families of children living with critical congenital heart defects.\nMethods and Results We conducted a systematic review using the Preferred Reporting Items for Systematic Reviews and Meta‐Analyses guidelines that resulted in 30 studies on the mental health of PCCHDs. The literature revealed that PCCHDs are at an elevated risk for psychological problems, particularly in the immediate weeks and months following cardiac surgery. Up to 30% of PCCHDs have symptoms consistent with a diagnosis of posttraumatic stress disorder, with over 80% presenting with clinically significant symptoms of trauma; 25% to 50% of PCCHDs reported clinically elevated symptoms of depression and/or anxiety, and 30% to 80% reported experiencing severe psychological distress. There was high variability in measurements used to assess study outcomes, methodological quality, and sociocultural composition of the parents included in the studies.\nConclusions There is an urgent need for additional research on the severity, course, persistence, and moderators of these mental health problems over time, and for the development and testing of screening approaches and interventions that can be feasibly delivered in the context of ongoing pediatric cardiac care.","author":[{"dropping-particle":"","family":"Woolf-King","given":"Sarah E.","non-dropping-particle":"","parse-names":false,"suffix":""},{"dropping-particle":"","family":"Anger","given":"Alexandra","non-dropping-particle":"","parse-names":false,"suffix":""},{"dropping-particle":"","family":"Arnold","given":"Emily A.","non-dropping-particle":"","parse-names":false,"suffix":""},{"dropping-particle":"","family":"Weiss","given":"Sandra J.","non-dropping-particle":"","parse-names":false,"suffix":""},{"dropping-particle":"","family":"Teitel","given":"David","non-dropping-particle":"","parse-names":false,"suffix":""}],"container-title":"Journal of the American Heart Association","id":"ITEM-1","issue":"2","issued":{"date-parts":[["2017"]]},"page":"1-15","title":"Mental health among parents of children with critical congenital heart defects: A systematic review","type":"article-journal","volume":"6"},"uris":["http://www.mendeley.com/documents/?uuid=a14d4859-93cb-46f9-b7a3-5c72a021bd2c"]},{"id":"ITEM-2","itemData":{"DOI":"10.1016/j.earlhumdev.2016.03.004","ISBN":"0378-3782","ISSN":"18726232","PMID":"27037482","abstract":"Aims: To assess the functional status and the family impact of children with congenital heart defects (CHD), using the parental Functional Status II (FS-II) and the Impact on Family (IOF) questionnaires. Methods: In this prospective observational study, parents of children who underwent surgery for CHD during the first year of life completed the FS-II and the IOF questionnaires. Genetic syndromes and prematurity &lt;. 32 weeks were exclusion criteria. The FS-II generates a total score and age specific general health (GH), activity (A) and, responsiveness (R) subscales. The IOF generates a total scale and financial and sibling subscales. Results: Our cohort (n = 100), comprised 54% males; the median (IQR) age was 32 (10-56) months. Eighteen children had age-specific scores in the 1-2 SD below mean range (n = 17) or more than 2 SD below the mean (n = 1) for \"ill children\". There were significant negative correlations between the total FS-II and total IOF (r = - 0.35, p &lt; 0.001) and financial IOF (r = - 0.35, p &lt; 0.001). RACHS-1 category of CHD 4-6 was associated with higher likelihood of lower functional status. Conclusions: More complex CHD was associated with lower functional status, which correlated with a greater impact on the families. Parental questionnaires may be useful instruments for developmental surveillance in this population.","author":[{"dropping-particle":"","family":"Garcia","given":"Richard U.","non-dropping-particle":"","parse-names":false,"suffix":""},{"dropping-particle":"","family":"Aggarwal","given":"Sanjeev","non-dropping-particle":"","parse-names":false,"suffix":""},{"dropping-particle":"","family":"Natarajan","given":"Girija","non-dropping-particle":"","parse-names":false,"suffix":""}],"container-title":"Early Human Development","id":"ITEM-2","issued":{"date-parts":[["2016"]]},"page":"45-51","publisher":"Elsevier Ireland Ltd","title":"Parental perception of functional status and impact on the family of children with congenital heart surgery","type":"article-journal","volume":"96"},"uris":["http://www.mendeley.com/documents/?uuid=7f9197dc-7476-4cf6-abaf-48fc6379d64e"]}],"mendeley":{"formattedCitation":"(Garcia et al., 2016; Woolf-King et al., 2017)","plainTextFormattedCitation":"(Garcia et al., 2016; Woolf-King et al., 2017)","previouslyFormattedCitation":"(Garcia et al., 2016; Woolf-King et al., 2017)"},"properties":{"noteIndex":0},"schema":"https://github.com/citation-style-language/schema/raw/master/csl-citation.json"}</w:instrText>
      </w:r>
      <w:r w:rsidRPr="006A1EC7">
        <w:fldChar w:fldCharType="separate"/>
      </w:r>
      <w:r w:rsidRPr="006A1EC7">
        <w:rPr>
          <w:noProof/>
        </w:rPr>
        <w:t>(Garcia et al., 2016; Woolf-King et al., 2017)</w:t>
      </w:r>
      <w:r w:rsidRPr="006A1EC7">
        <w:fldChar w:fldCharType="end"/>
      </w:r>
      <w:r w:rsidRPr="006A1EC7">
        <w:t xml:space="preserve">. A 2015 systematic review spanning 94 articles across 21 countries, for example, reports that family members, regardless of their affected children’s ages or whether surgery was needed or not, experience significant psychological distress as a result of the heart defect </w:t>
      </w:r>
      <w:r w:rsidRPr="006A1EC7">
        <w:fldChar w:fldCharType="begin" w:fldLock="1"/>
      </w:r>
      <w:r w:rsidRPr="006A1EC7">
        <w:instrText>ADDIN CSL_CITATION {"citationItems":[{"id":"ITEM-1","itemData":{"DOI":"10.1016/j.hrtlng.2015.08.005","ISSN":"15273288","abstract":"In 2000 and 2002, the National Heart, Lung, and Blood Institute launched two initiatives to encourage treatment innovations and research on children with heart disease and their families. Since then, no systematic reviews have examined the evidence regarding the impacts of having a child with congenital heart disease (CHD) on families. This review synthesized key findings regarding families of children with CHD, critiqued research methods, described what has been done, and provided recommendations for future inquiry. Databases searched included PubMed, CINAHL, Family &amp; Society Studies Worldwide, Women's Studies International, and PsycINFO. The literature search followed the PRISMA guidelines. As a result, ninety-four articles were reviewed. Four major themes were derived: parents' psychological health, family life, parenting challenges, and family-focused interventions. In conclusion, while they found parents having psychological symptoms, researchers did not explore parents' appraisals of what led to their symptoms. Research is needed to explore parents' experiences and expectations.","author":[{"dropping-particle":"","family":"Wei","given":"Holly","non-dropping-particle":"","parse-names":false,"suffix":""},{"dropping-particle":"","family":"Roscigno","given":"Cecelia I.","non-dropping-particle":"","parse-names":false,"suffix":""},{"dropping-particle":"","family":"Hanson","given":"Cherissa C.","non-dropping-particle":"","parse-names":false,"suffix":""},{"dropping-particle":"","family":"Swanson","given":"Kristen M.","non-dropping-particle":"","parse-names":false,"suffix":""}],"container-title":"Heart and Lung: Journal of Acute and Critical Care","id":"ITEM-1","issue":"6","issued":{"date-parts":[["2015"]]},"page":"494-511","publisher":"Elsevier Inc","title":"Families of children with congenital heart disease: A literature review","type":"article-journal","volume":"44"},"uris":["http://www.mendeley.com/documents/?uuid=bee5ac30-21b9-472d-b3e7-1e5e90526d07"]}],"mendeley":{"formattedCitation":"(Wei et al., 2015)","plainTextFormattedCitation":"(Wei et al., 2015)","previouslyFormattedCitation":"(Wei et al., 2015)"},"properties":{"noteIndex":0},"schema":"https://github.com/citation-style-language/schema/raw/master/csl-citation.json"}</w:instrText>
      </w:r>
      <w:r w:rsidRPr="006A1EC7">
        <w:fldChar w:fldCharType="separate"/>
      </w:r>
      <w:r w:rsidRPr="006A1EC7">
        <w:rPr>
          <w:noProof/>
        </w:rPr>
        <w:t>(Wei et al., 2015)</w:t>
      </w:r>
      <w:r w:rsidRPr="006A1EC7">
        <w:fldChar w:fldCharType="end"/>
      </w:r>
      <w:r w:rsidRPr="006A1EC7">
        <w:t xml:space="preserve">. </w:t>
      </w:r>
    </w:p>
    <w:p w14:paraId="37A3A3CD" w14:textId="54D62922" w:rsidR="008B1FBF" w:rsidRPr="006A1EC7" w:rsidRDefault="008B1FBF" w:rsidP="008B1FBF">
      <w:pPr>
        <w:spacing w:line="360" w:lineRule="auto"/>
        <w:ind w:firstLine="720"/>
      </w:pPr>
      <w:r w:rsidRPr="006A1EC7">
        <w:t>Results of the current study also link with past research which has concluded with reports of a negative psychosocial impact of caring for children and adults with rare genetic conditions</w:t>
      </w:r>
      <w:r w:rsidRPr="006A1EC7">
        <w:fldChar w:fldCharType="begin" w:fldLock="1"/>
      </w:r>
      <w:r w:rsidRPr="006A1EC7">
        <w:instrText>ADDIN CSL_CITATION {"citationItems":[{"id":"ITEM-1","itemData":{"DOI":"10.1186/1750-1172-8-22","ISBN":"1750-1172","ISSN":"1750-1172","PMID":"23398775","abstract":"Background: Families of children living with a rare disease report significant health and social burden, however, few studies have systematically examined family needs by using validated tools to assess the scope and extent of this burden. Our aim was to develop a comprehensive survey to assess health, psychosocial and financial impacts on Australian families caring for a child with a rare disease. Methods: We developed a self-administered survey for parents/carers incorporating pre-validated tools. The survey included questions about experiences of diagnosis, health services use and needs, needs for peer and financial supports. Forty-seven families attending the state-wide Genetic Metabolic Disorders Service at the Children's Hospital at Westmead, Sydney were invited to participate. Results: Of 46 families who received the survey, 30 (65%) completed it. Most (93%) found the survey acceptable and relevant (91%). Patients were 1–17 years old, 14 (47%) male, and 12 (40%) non-Caucasian. Eighteen (60%) had a lysosomal storage disease and 12(40%) had a mitochondrial disorder. Eleven (38%) saw 3–5 doctors and four (14%) saw 6–10 doctors before receiving the correct diagnosis; 43% felt diagnosis was delayed. Four (13%) were dissatisfied with the way diagnosis was given, due to insensitive style of communication, inadequate information and psychological support. Psychosocial impact was moderate to high for 90% of families and the level of impact was not dependent on the level of health functioning of the child. Twenty-six (87%) wanted, but only 13(43%) received, information about peer-support groups. The 30 children accounted for 168 visits to general practitioners and 260 visits to specialist doctors; 21 (70%) children had at least one admission to hospital, including one who had 16 admissions in the previous 12 months. Most families (77%) received financial assistance but 52% believed this was insufficient. Families benefited from a specialised multi-disciplinary clinic but called for patient-held electronic medical records. Conclusions: Australian families caring for children with genetic metabolic disorders are adversely impacted by delays in diagnosis, lack of easy access to peer support groups and lack of psychological support. Further research is needed to estimate economic impact and to analyse health service delivery models for children with rare diseases in Australia.","author":[{"dropping-particle":"","family":"Anderson","given":"Matilda","non-dropping-particle":"","parse-names":false,"suffix":""},{"dropping-particle":"","family":"Elliott","given":"Elizabeth J","non-dropping-particle":"","parse-names":false,"suffix":""},{"dropping-particle":"","family":"Zurynski","given":"Yvonne A","non-dropping-particle":"","parse-names":false,"suffix":""}],"container-title":"Orphanet Journal of Rare Diseases","id":"ITEM-1","issue":"1","issued":{"date-parts":[["2013"]]},"page":"1","title":"Australian families living with rare disease: experiences of diagnosis, health services use and needs for psychosocial support","type":"article-journal","volume":"8"},"uris":["http://www.mendeley.com/documents/?uuid=89288ea0-8a6d-4c62-a87b-1b2c49b67f32"]},{"id":"ITEM-2","itemData":{"DOI":"10.1038/ejhg.2013.102","ISBN":"1018-4813","ISSN":"1476-5438","PMID":"23695282","abstract":"Klinefelter syndrome (KS) is a common genetic condition that is currently under-diagnosed. The phenotype is broad, with physical, medical and psychosocial features ranging from mild to severe. When a child is diagnosed with KS, the parents may spend months to years searching for a diagnosis. This study used a qualitative methods approach to explore parents' experiences of having a child with KS and receiving a diagnosis. Fifteen semistructured one-to-one in-depth interviews were conducted to explore their experiences and views. The interviews were then transcribed, coded and thematically analysed. The interviews revealed that parents had diverse experiences related to: the timing of the diagnosis of their child and reasons why their child was investigated for KS; the information that was provided at the time of diagnosis; the supports that were available and the concerns that parents held for the future of their child. The conclusions from this study were that parents' experiences of having a child with KS and receiving a diagnosis were complex and multifaceted. This experience was shaped by the timing of when the diagnosis was received, who provided the diagnosis, what information was provided from health-care professionals and that which parents may have encountered on the internet. The long-term experiences for parents were also impacted by the level of support they received. These findings have implications for the process by which KS is recognised by the health-care community and supports available for families.","author":[{"dropping-particle":"","family":"Bourke","given":"Elyssia","non-dropping-particle":"","parse-names":false,"suffix":""},{"dropping-particle":"","family":"Snow","given":"Pamela","non-dropping-particle":"","parse-names":false,"suffix":""},{"dropping-particle":"","family":"Herlihy","given":"Amy","non-dropping-particle":"","parse-names":false,"suffix":""},{"dropping-particle":"","family":"Amor","given":"David","non-dropping-particle":"","parse-names":false,"suffix":""},{"dropping-particle":"","family":"Metcalfe","given":"Sylvia","non-dropping-particle":"","parse-names":false,"suffix":""}],"container-title":"European journal of human genetics : EJHG","id":"ITEM-2","issue":"1","issued":{"date-parts":[["2014"]]},"page":"18-24","publisher":"Nature Publishing Group","title":"A qualitative exploration of mothers' and fathers' experiences of having a child with Klinefelter syndrome and the process of reaching this diagnosis.","type":"article-journal","volume":"22"},"uris":["http://www.mendeley.com/documents/?uuid=1a9feabd-8882-40cc-99cd-a9c1d034c507"]},{"id":"ITEM-3","itemData":{"DOI":"10.1007/s10897-013-9602-6","ISBN":"1573-3599 (Electronic)\r1059-7700 (Linking)","ISSN":"10597700","PMID":"23709095","abstract":"Potocki-Lupski syndrome (PTLS) or duplication 17p11.2 syndrome is a newly characterized condition causing a variety of health problems with variable severity, including failure to thrive in infancy and childhood, hypotonia, structural heart anomalies, cognitive impairments, speech and learning difficulties, and autism. Due to its recent clinical characterization little is known about the psychosocial impact of this condition on patients and their families. This study evaluated whether parental psychosocial outcomes were associated with children's PTLS disease severity. Parents of 58 children with PTLS completed a cross-sectional survey that assessed parental stress, quality of life, and coping skills. Parental functioning was associated with greater severity of feeding difficulty and with lower severity of a cardiovascular defect. Findings from this study highlight potential support needs of parents of children affected by PTLS and suggest ways in which these needs may be addressed.","author":[{"dropping-particle":"","family":"Carter","given":"Rebecca D.","non-dropping-particle":"","parse-names":false,"suffix":""},{"dropping-particle":"","family":"Raia","given":"Marianna","non-dropping-particle":"","parse-names":false,"suffix":""},{"dropping-particle":"","family":"Ewing-Cobbs","given":"Linda","non-dropping-particle":"","parse-names":false,"suffix":""},{"dropping-particle":"","family":"Gambello","given":"Michael","non-dropping-particle":"","parse-names":false,"suffix":""},{"dropping-particle":"","family":"Hashmi","given":"S. Shahrukh","non-dropping-particle":"","parse-names":false,"suffix":""},{"dropping-particle":"","family":"Peterson","given":"Susan K.","non-dropping-particle":"","parse-names":false,"suffix":""},{"dropping-particle":"","family":"Robbins-Furman","given":"Patricia","non-dropping-particle":"","parse-names":false,"suffix":""},{"dropping-particle":"","family":"Potocki","given":"Lorraine","non-dropping-particle":"","parse-names":false,"suffix":""}],"container-title":"Journal of Genetic Counseling","id":"ITEM-3","issue":"5","issued":{"date-parts":[["2013"]]},"page":"633-642","title":"Stress and well-being among parents of children with potocki-lupski syndrome","type":"article-journal","volume":"22"},"uris":["http://www.mendeley.com/documents/?uuid=7497b2ae-1f2f-4c6d-b117-513d6243587b"]},{"id":"ITEM-4","itemData":{"DOI":"10.1046/j.1365-2788.2001.00372.x","ISBN":"0964-2633\\r1365-2788","ISSN":"0964-2633","abstract":"Parental depression was assessed using the Beck Depression Inventory (BDI) in 216 families with children with autism and/or intellectual disability (ID), and in 214 control families. Mothers with children with autism had higher depression scores (mean = 11.8) than mothers of children with ID without autism (mean = 9.2), who in turn, had higher depression scores than fathers of children with autism (mean = 6.2), fathers of children with ID without autism (mean = 5.0), and control mothers (mean = 5.0) and fathers (mean =4.1). Forty-five per cent of mothers with children with ID without autism and 50% of mothers with children with autism had elevated depression scores (BDI &gt; 9), compared to 15-21% in the other group. Single mothers of children with disabilities were found to be more vulnerable to severe depression than mothers living with a partner. (PsycINFO Database Record (c) 2012 APA, all rights reserved)","author":[{"dropping-particle":"","family":"Olsson","given":"Malin B","non-dropping-particle":"","parse-names":false,"suffix":""},{"dropping-particle":"","family":"Hwang","given":"C P","non-dropping-particle":"","parse-names":false,"suffix":""}],"container-title":"Journal of Intellectual Disability Research","id":"ITEM-4","issue":"6","issued":{"date-parts":[["2001"]]},"page":"535-543","title":"Depression in mothers and fathers of children with intellectual disability.","type":"article-journal","volume":"45"},"uris":["http://www.mendeley.com/documents/?uuid=115232ea-48b5-4e3b-8b0b-0f213371c1dc"]}],"mendeley":{"formattedCitation":"(M. Anderson, Elliott, &amp; Zurynski, 2013; Bourke et al., 2014; Carter et al., 2013; Olsson &amp; Hwang, 2001)","manualFormatting":" (Anderson, Elliott, &amp; Zurynski, 2013; Bourke, Snow, Herlihy, Amor, &amp; Metcalfe, 2014; Carter et al., 2013; Olsson &amp; Hwang, 2001)","plainTextFormattedCitation":"(M. Anderson, Elliott, &amp; Zurynski, 2013; Bourke et al., 2014; Carter et al., 2013; Olsson &amp; Hwang, 2001)","previouslyFormattedCitation":"(M. Anderson, Elliott, &amp; Zurynski, 2013; Bourke et al., 2014; Carter et al., 2013; Olsson &amp; Hwang, 2001)"},"properties":{"noteIndex":0},"schema":"https://github.com/citation-style-language/schema/raw/master/csl-citation.json"}</w:instrText>
      </w:r>
      <w:r w:rsidRPr="006A1EC7">
        <w:fldChar w:fldCharType="separate"/>
      </w:r>
      <w:r w:rsidRPr="006A1EC7">
        <w:rPr>
          <w:noProof/>
        </w:rPr>
        <w:t xml:space="preserve"> (Anderson, Elliott, &amp; Zurynski, 2013; Bourke, Snow, Herlihy, Amor, &amp; Metcalfe, 2014; Carter et al., 2013; Olsson &amp; Hwang, 2001)</w:t>
      </w:r>
      <w:r w:rsidRPr="006A1EC7">
        <w:fldChar w:fldCharType="end"/>
      </w:r>
      <w:r w:rsidRPr="006A1EC7">
        <w:t xml:space="preserve"> </w:t>
      </w:r>
      <w:r w:rsidRPr="006A1EC7">
        <w:fldChar w:fldCharType="begin" w:fldLock="1"/>
      </w:r>
      <w:r w:rsidRPr="006A1EC7">
        <w:instrText>ADDIN CSL_CITATION {"citationItems":[{"id":"ITEM-1","itemData":{"DOI":"10.1046/j.1365-2788.2001.00372.x","ISBN":"0964-2633\\r1365-2788","ISSN":"0964-2633","abstract":"Parental depression was assessed using the Beck Depression Inventory (BDI) in 216 families with children with autism and/or intellectual disability (ID), and in 214 control families. Mothers with children with autism had higher depression scores (mean = 11.8) than mothers of children with ID without autism (mean = 9.2), who in turn, had higher depression scores than fathers of children with autism (mean = 6.2), fathers of children with ID without autism (mean = 5.0), and control mothers (mean = 5.0) and fathers (mean =4.1). Forty-five per cent of mothers with children with ID without autism and 50% of mothers with children with autism had elevated depression scores (BDI &gt; 9), compared to 15-21% in the other group. Single mothers of children with disabilities were found to be more vulnerable to severe depression than mothers living with a partner. (PsycINFO Database Record (c) 2012 APA, all rights reserved)","author":[{"dropping-particle":"","family":"Olsson","given":"Malin B","non-dropping-particle":"","parse-names":false,"suffix":""},{"dropping-particle":"","family":"Hwang","given":"C P","non-dropping-particle":"","parse-names":false,"suffix":""}],"container-title":"Journal of Intellectual Disability Research","id":"ITEM-1","issue":"6","issued":{"date-parts":[["2001"]]},"page":"535-543","title":"Depression in mothers and fathers of children with intellectual disability.","type":"article-journal","volume":"45"},"uris":["http://www.mendeley.com/documents/?uuid=115232ea-48b5-4e3b-8b0b-0f213371c1dc"]}],"mendeley":{"formattedCitation":"(Olsson &amp; Hwang, 2001)","manualFormatting":"(e.g. Olsson &amp; Hwang, 2001)","plainTextFormattedCitation":"(Olsson &amp; Hwang, 2001)","previouslyFormattedCitation":"(Olsson &amp; Hwang, 2001)"},"properties":{"noteIndex":0},"schema":"https://github.com/citation-style-language/schema/raw/master/csl-citation.json"}</w:instrText>
      </w:r>
      <w:r w:rsidRPr="006A1EC7">
        <w:fldChar w:fldCharType="separate"/>
      </w:r>
      <w:r w:rsidRPr="006A1EC7">
        <w:rPr>
          <w:noProof/>
        </w:rPr>
        <w:t>(e.g. Olsson &amp; Hwang, 2001)</w:t>
      </w:r>
      <w:r w:rsidRPr="006A1EC7">
        <w:fldChar w:fldCharType="end"/>
      </w:r>
      <w:r w:rsidRPr="006A1EC7">
        <w:t xml:space="preserve">. One such study was conducted by Abbeduto et al. </w:t>
      </w:r>
      <w:r w:rsidRPr="006A1EC7">
        <w:fldChar w:fldCharType="begin" w:fldLock="1"/>
      </w:r>
      <w:r w:rsidRPr="006A1EC7">
        <w:instrText>ADDIN CSL_CITATION {"citationItems":[{"id":"ITEM-1","itemData":{"DOI":"10.1352/0895-8017(2004)109&lt;237:PWACIM&gt;2.0.CO;2","ISBN":"0895-8017 1943-362X","ISSN":"0895-8017","PMID":"15072518","abstract":"The psychological well-being of mothers raising a child with a developmental disability varies with the nature of the disability. Most research, however, has been focused on Down syndrome and autism. We added mothers whose adolescent or young adult son or daughter has fragile X syndrome. The sample was comprised of mothers of a child with fragile X syndrome (n ϭ 22), Down syndrome (n ϭ 39), or autism (n ϭ 174). Mothers of individuals with fragile X syndrome displayed lower levels of well-being than those of individuals with Down syndrome, but higher levels than mothers of individuals with autism, although group differences varied somewhat across different dimensions of well-being. The most consistent predictor of maternal outcomes was the adolescent or young adult's behavioral symptoms.","author":[{"dropping-particle":"","family":"Abbeduto","given":"Leonard","non-dropping-particle":"","parse-names":false,"suffix":""},{"dropping-particle":"","family":"Seltzer","given":"Marsha Mailick","non-dropping-particle":"","parse-names":false,"suffix":""},{"dropping-particle":"","family":"Shattuck","given":"Paul","non-dropping-particle":"","parse-names":false,"suffix":""},{"dropping-particle":"","family":"Krauss","given":"Marty Wyngaarden","non-dropping-particle":"","parse-names":false,"suffix":""},{"dropping-particle":"","family":"Orsmond","given":"Gael","non-dropping-particle":"","parse-names":false,"suffix":""},{"dropping-particle":"","family":"Murphy","given":"Melissa M","non-dropping-particle":"","parse-names":false,"suffix":""}],"container-title":"American Association on Mental Retardation","id":"ITEM-1","issue":"3","issued":{"date-parts":[["2004"]]},"page":"237-254","title":"Psychological Well-Being and Coping in Mothers of Youths With Autism, Down Syndrome, or Fragile X Syndrome","type":"article-journal","volume":"237"},"uris":["http://www.mendeley.com/documents/?uuid=4d8973d7-7d90-4d06-a4e9-1a4b4ed7fa71"]}],"mendeley":{"formattedCitation":"(Abbeduto et al., 2004)","plainTextFormattedCitation":"(Abbeduto et al., 2004)","previouslyFormattedCitation":"(Abbeduto et al., 2004)"},"properties":{"noteIndex":0},"schema":"https://github.com/citation-style-language/schema/raw/master/csl-citation.json"}</w:instrText>
      </w:r>
      <w:r w:rsidRPr="006A1EC7">
        <w:fldChar w:fldCharType="separate"/>
      </w:r>
      <w:r w:rsidRPr="006A1EC7">
        <w:rPr>
          <w:noProof/>
        </w:rPr>
        <w:t>(Abbeduto et al., 2004)</w:t>
      </w:r>
      <w:r w:rsidRPr="006A1EC7">
        <w:fldChar w:fldCharType="end"/>
      </w:r>
      <w:r w:rsidRPr="006A1EC7">
        <w:t xml:space="preserve">. This study reported that mothers caring for children diagnosed with the rare condition of Fragile-X syndrome, rated their wellbeing as significantly lower than mothers caring for their children with Down Syndrome (DS); a more common genetic condition. This suggests that the rarity of a </w:t>
      </w:r>
      <w:r w:rsidRPr="006A1EC7">
        <w:lastRenderedPageBreak/>
        <w:t>condition may impact upon the wellbeing of family members. However, it is important to discuss a potential confounding variable that may limit the strength of the conclusions drawn from this study: children with Fragile X syndrome tend to display more significant behavioural difficulties than DS children, which could additionally be impacting mothers’ wellbeing. A second limitation of this study is a gender-bias. Only mothers were included in the study. This immediately limits generalisability. Nonetheless, Abbeduto et al.’s findings suggest that the rarity of a condition may impact the wellbeing and coping of families looking after a family member with a genetic illness</w:t>
      </w:r>
    </w:p>
    <w:p w14:paraId="1BCFC9EA" w14:textId="6918AE2B" w:rsidR="008B1FBF" w:rsidRPr="006A1EC7" w:rsidRDefault="008B1FBF" w:rsidP="008B1FBF">
      <w:pPr>
        <w:spacing w:line="360" w:lineRule="auto"/>
        <w:ind w:firstLine="720"/>
      </w:pPr>
      <w:r w:rsidRPr="006A1EC7">
        <w:t xml:space="preserve">The notion of a condition’s rarity being a distinct stressor is also supported by findings from a qualitative study by Griffith et al. </w:t>
      </w:r>
      <w:r w:rsidRPr="006A1EC7">
        <w:fldChar w:fldCharType="begin" w:fldLock="1"/>
      </w:r>
      <w:r w:rsidRPr="006A1EC7">
        <w:instrText>ADDIN CSL_CITATION {"citationItems":[{"id":"ITEM-1","itemData":{"DOI":"10.1352/0895-8017(2004)109&lt;237:PWACIM&gt;2.0.CO;2","ISBN":"0895-8017 1943-362X","ISSN":"0895-8017","PMID":"15072518","abstract":"The psychological well-being of mothers raising a child with a developmental disability varies with the nature of the disability. Most research, however, has been focused on Down syndrome and autism. We added mothers whose adolescent or young adult son or daughter has fragile X syndrome. The sample was comprised of mothers of a child with fragile X syndrome (n ϭ 22), Down syndrome (n ϭ 39), or autism (n ϭ 174). Mothers of individuals with fragile X syndrome displayed lower levels of well-being than those of individuals with Down syndrome, but higher levels than mothers of individuals with autism, although group differences varied somewhat across different dimensions of well-being. The most consistent predictor of maternal outcomes was the adolescent or young adult's behavioral symptoms.","author":[{"dropping-particle":"","family":"Abbeduto","given":"Leonard","non-dropping-particle":"","parse-names":false,"suffix":""},{"dropping-particle":"","family":"Seltzer","given":"Marsha Mailick","non-dropping-particle":"","parse-names":false,"suffix":""},{"dropping-particle":"","family":"Shattuck","given":"Paul","non-dropping-particle":"","parse-names":false,"suffix":""},{"dropping-particle":"","family":"Krauss","given":"Marty Wyngaarden","non-dropping-particle":"","parse-names":false,"suffix":""},{"dropping-particle":"","family":"Orsmond","given":"Gael","non-dropping-particle":"","parse-names":false,"suffix":""},{"dropping-particle":"","family":"Murphy","given":"Melissa M","non-dropping-particle":"","parse-names":false,"suffix":""}],"container-title":"American Association on Mental Retardation","id":"ITEM-1","issue":"3","issued":{"date-parts":[["2004"]]},"page":"237-254","title":"Psychological Well-Being and Coping in Mothers of Youths With Autism, Down Syndrome, or Fragile X Syndrome","type":"article-journal","volume":"237"},"uris":["http://www.mendeley.com/documents/?uuid=4d8973d7-7d90-4d06-a4e9-1a4b4ed7fa71"]}],"mendeley":{"formattedCitation":"(Abbeduto et al., 2004)","manualFormatting":"(2011)","plainTextFormattedCitation":"(Abbeduto et al., 2004)","previouslyFormattedCitation":"(Abbeduto et al., 2004)"},"properties":{"noteIndex":0},"schema":"https://github.com/citation-style-language/schema/raw/master/csl-citation.json"}</w:instrText>
      </w:r>
      <w:r w:rsidRPr="006A1EC7">
        <w:fldChar w:fldCharType="separate"/>
      </w:r>
      <w:r w:rsidRPr="006A1EC7">
        <w:rPr>
          <w:noProof/>
        </w:rPr>
        <w:t>(2011)</w:t>
      </w:r>
      <w:r w:rsidRPr="006A1EC7">
        <w:fldChar w:fldCharType="end"/>
      </w:r>
      <w:r w:rsidRPr="006A1EC7">
        <w:t xml:space="preserve">. The authors interviewed mothers of adult children with rare genetic syndromes (Angelmann syndrome, Cri du chat syndrome &amp; Cornelia de Lange syndrome). Mirroring the current study, participants expressed worries about the limited knowledge of medical professionals about their children’s rare illnesses, often suffering from the stress of “feeling in the dark” about the future of their children. The authors suggested that this “chronic stressor” is a distinctive contributor to pressures and negative quality of life outcomes in mothers of children with rare genetic syndromes. It was very clear from the current results that lack of knowledge among health professionals due to WHS’s rarity was a cause of significant concern for family members, impacting their QoL. These results, along with the published literature </w:t>
      </w:r>
      <w:r w:rsidRPr="006A1EC7">
        <w:fldChar w:fldCharType="begin" w:fldLock="1"/>
      </w:r>
      <w:r w:rsidRPr="006A1EC7">
        <w:instrText>ADDIN CSL_CITATION {"citationItems":[{"id":"ITEM-1","itemData":{"DOI":"10.1111/j.1365-2788.2011.01386.x","ISBN":"0964-2633","ISSN":"09642633","PMID":"21323782","abstract":"BACKGROUND: The current study focuses on mothers and fathers of children with three rare genetic syndromes that are relatively unexplored in terms of family experience: Angelman syndrome, Cornelia de Lange syndrome and Cri du Chat syndrome.\\n\\nMETHOD: Parents of children with Angelman syndrome (n =15), Cornelia de Lange syndrome (n = 16) and Cri du Chat syndrome (n = 18), and a matched comparison group of parents of children with autism and intellectual disabilities (n = 20) completed questionnaires on both psychological distress (stress, anxiety, depression) and positive psychological functioning.\\n\\nRESULTS: Parents of children with Angelman syndrome consistently reported the highest levels of psychological distress, and parents of children with Cornelia de Lange syndrome the lowest, with parents of children with Cri du Chat syndrome and autism scoring between these two. Positive psychological functioning was similar across the four aetiology groups.\\n\\nCONCLUSIONS: Parents of children with rare genetic syndromes are at risk for high levels of stress and mental health problems. Methodological issues and the practical applications of these results are discussed.","author":[{"dropping-particle":"","family":"Griffith","given":"G. M.","non-dropping-particle":"","parse-names":false,"suffix":""},{"dropping-particle":"","family":"Hastings","given":"R. P.","non-dropping-particle":"","parse-names":false,"suffix":""},{"dropping-particle":"","family":"Oliver","given":"C.","non-dropping-particle":"","parse-names":false,"suffix":""},{"dropping-particle":"","family":"Howlin","given":"P.","non-dropping-particle":"","parse-names":false,"suffix":""},{"dropping-particle":"","family":"Moss","given":"J.","non-dropping-particle":"","parse-names":false,"suffix":""},{"dropping-particle":"","family":"Petty","given":"J.","non-dropping-particle":"","parse-names":false,"suffix":""},{"dropping-particle":"","family":"Tunnicliffe","given":"P.","non-dropping-particle":"","parse-names":false,"suffix":""}],"container-title":"Journal of Intellectual Disability Research","id":"ITEM-1","issue":"4","issued":{"date-parts":[["2011"]]},"page":"397-410","title":"Psychological well-being in parents of children with Angelman, Cornelia de Lange and Cri du Chat syndromes","type":"article-journal","volume":"55"},"uris":["http://www.mendeley.com/documents/?uuid=2c85579a-1347-4e15-8e79-2b27cdf577b0"]}],"mendeley":{"formattedCitation":"(G. M. Griffith et al., 2011)","manualFormatting":"(e.g Gallo, Knafl, &amp; Angst, 2009)","plainTextFormattedCitation":"(G. M. Griffith et al., 2011)","previouslyFormattedCitation":"(G. M. Griffith et al., 2011)"},"properties":{"noteIndex":0},"schema":"https://github.com/citation-style-language/schema/raw/master/csl-citation.json"}</w:instrText>
      </w:r>
      <w:r w:rsidRPr="006A1EC7">
        <w:fldChar w:fldCharType="separate"/>
      </w:r>
      <w:r w:rsidRPr="006A1EC7">
        <w:rPr>
          <w:noProof/>
        </w:rPr>
        <w:t>(e.g Gallo, Knafl, &amp; Angst, 2009)</w:t>
      </w:r>
      <w:r w:rsidRPr="006A1EC7">
        <w:fldChar w:fldCharType="end"/>
      </w:r>
      <w:r w:rsidRPr="006A1EC7">
        <w:t xml:space="preserve"> highlights the importance of providing parents with accurate good-quality information about their children’s conditions. If this were available, it would help to reduce concern and improve wellbeing in some individuals. The results may suggest that when addressing the informational needs of family caregivers, quality-of-life issues should be addressed simultaneously.</w:t>
      </w:r>
    </w:p>
    <w:p w14:paraId="0D81D2B4" w14:textId="631B3859" w:rsidR="008B1FBF" w:rsidRPr="006A1EC7" w:rsidRDefault="008B1FBF" w:rsidP="008B1FBF">
      <w:pPr>
        <w:spacing w:line="360" w:lineRule="auto"/>
        <w:ind w:firstLine="720"/>
      </w:pPr>
      <w:r w:rsidRPr="006A1EC7">
        <w:t xml:space="preserve">The responsibility of “relentless caregiving” for patients with WHS has also been identified as a significant stressor in the interviews, as well as the literature. Additional to caregiving responsibilities, further studies have identified other factors which contribute to pressures on family caregivers of adults and children with chronic complex health care needs. These include pressures on everyday functioning, care management and long-term adjustment </w:t>
      </w:r>
      <w:r w:rsidRPr="006A1EC7">
        <w:fldChar w:fldCharType="begin" w:fldLock="1"/>
      </w:r>
      <w:r w:rsidRPr="006A1EC7">
        <w:instrText>ADDIN CSL_CITATION {"citationItems":[{"id":"ITEM-1","itemData":{"DOI":"10.1016/j.pedn.2008.07.010","ISBN":"1532-8449 (Electronic)\\r1532-8449 (Linking)","ISSN":"08825963","PMID":"19467432","abstract":"In families with children with genetic conditions, information management may influence how parents view their child; their reproductive decision making; and how, when, what, and why they communicate about the condition to other family members. The purpose of this study was to identify unique patterns of information management and to explore the relationship between these patterns and individual and family characteristics and functioning. The sample was composed of 142 parents in 86 families in which a child had a single-gene condition. Four distinct information management patterns were identified that varied in the parents' understanding of the genetic aspects of the condition: accurate understanding-open (35%, n = 30), accurate understanding-selective (24%, n = 21), discrepant understanding (15%, n = 13), and confused understanding (26%, n = 22). In two patterns, accurate understanding-open and accurate understanding-selective (59%), parents had an accurate understanding of the genetic aspects of the condition, and the patterns were differentiated from one another by parents' views about sharing information. In the discrepant understanding pattern, which included only two-parent families, one parent had an accurate understanding and one parent a confused understanding of the genetic aspects of the condition. In the confused understanding pattern, parents had an inaccurate understanding of one or more of the genetic aspects of the condition. Statistically significant differences were found between information management patterns and parents' education, family annual income, and health insurance coverage. These information management patterns reflect how parents access, interpret, and convey genetic information and can influence the effectiveness of health care providers' interactions with these families. © 2009 Elsevier Inc. All rights reserved.","author":[{"dropping-particle":"","family":"Gallo","given":"Agatha M.","non-dropping-particle":"","parse-names":false,"suffix":""},{"dropping-particle":"","family":"Knafl","given":"Kathleen A.","non-dropping-particle":"","parse-names":false,"suffix":""},{"dropping-particle":"","family":"Angst","given":"Denise B.","non-dropping-particle":"","parse-names":false,"suffix":""}],"container-title":"Journal of Pediatric Nursing","id":"ITEM-1","issue":"3","issued":{"date-parts":[["2009"]]},"page":"194-204","publisher":"Elsevier Inc.","title":"Information Management in Families Who Have a Child With a Genetic Condition","type":"article-journal","volume":"24"},"uris":["http://www.mendeley.com/documents/?uuid=d6248c51-ab30-4cb7-bc30-e4059c549a02"]}],"mendeley":{"formattedCitation":"(Gallo, Knafl, &amp; Angst, 2009)","plainTextFormattedCitation":"(Gallo, Knafl, &amp; Angst, 2009)","previouslyFormattedCitation":"(Gallo, Knafl, &amp; Angst, 2009)"},"properties":{"noteIndex":0},"schema":"https://github.com/citation-style-language/schema/raw/master/csl-citation.json"}</w:instrText>
      </w:r>
      <w:r w:rsidRPr="006A1EC7">
        <w:fldChar w:fldCharType="separate"/>
      </w:r>
      <w:r w:rsidRPr="006A1EC7">
        <w:rPr>
          <w:noProof/>
        </w:rPr>
        <w:t>(Gallo, Knafl, &amp; Angst, 2009)</w:t>
      </w:r>
      <w:r w:rsidRPr="006A1EC7">
        <w:fldChar w:fldCharType="end"/>
      </w:r>
      <w:r w:rsidRPr="006A1EC7">
        <w:t xml:space="preserve">, coping with financial pressures </w:t>
      </w:r>
      <w:r w:rsidRPr="006A1EC7">
        <w:fldChar w:fldCharType="begin" w:fldLock="1"/>
      </w:r>
      <w:r w:rsidRPr="006A1EC7">
        <w:instrText>ADDIN CSL_CITATION {"citationItems":[{"id":"ITEM-1","itemData":{"DOI":"10.4102/phcfm.v4i1.380","ISBN":"2071-2936|escape}","ISSN":"20712928","abstract":"Background: Sickle Cell Disease (SCD), the most common genetic disorder amongst Black people, poses a significant psychosocial burden on the sufferers, the caregivers and their families. Objective and methods: From 01 January 2011 to 30 September 2011 the caregivers of children with SCD treated at the Paediatric Haematology Clinic of the University Teaching Hospital in Ado-Ekiti, Nigeria, were included in a study, using a structured questionnaire and a validated, culture-relevant disease burden interview to assess the psychosocial burden of SCD on these caregivers. Three main objective psychosocial domains and some subjective domains, including the caregivers’ coping ability were assessed. Results: A total of 225 caregivers, consisting of 202 mothers (89.8%), 15 grandmothers (6.7%) and 8 fathers (3.6%) were studied. In 53.3% of the families, the care of children with SCD adversely affected the provision of their basic needs, with 73.3% of the caregivers stating that time spent caring for the child made them lose income or financial benefits; 19.6% of the caregivers had to take out loans to meet the expenditure of the patient’s illness. Caring for children with SCD reportedly made 42.2% of the caregivers neglect other family members. In addition, 14.2% of the families experienced moderate to severe disruption in their day-to-day interactions within the family to the extent that 12.4% frequently quarrelled due to the child’s illness. Conclusion: Caregivers are faced with enormous financial, interpersonal and psychological problems. Social support should be available to alleviate caregivers’ and/or family members’ burdens.","author":[{"dropping-particle":"","family":"Adegoke","given":"Samuel A.","non-dropping-particle":"","parse-names":false,"suffix":""},{"dropping-particle":"","family":"Kuteyi","given":"Emmanuel A.","non-dropping-particle":"","parse-names":false,"suffix":""}],"container-title":"African Journal of Primary Health Care and Family Medicine","id":"ITEM-1","issue":"1","issued":{"date-parts":[["2012"]]},"page":"6-11","title":"Psychosocial burden of sickle cell disease on the family, Nigeria","type":"article-journal","volume":"4"},"uris":["http://www.mendeley.com/documents/?uuid=d42ce096-2ed4-4c14-89ef-0a47b0ceda42"]},{"id":"ITEM-2","itemData":{"DOI":"10.1111/j.1365-2702.2010.03583.x","ISBN":"0962-1067","ISSN":"09621067","PMID":"21410572","abstract":"Aim. To extend nursing knowledge of distress experienced by family caregivers of children with rare genetic disorders, by exploring the perspectives of caregivers of children with Russell–Silver Syndrome in Taiwan.Background. Caring for a child with a rare genetic disorder often has profound effects on families, especially when diagnosis and treatment is complex or not yet well developed, such as that in Russell–Silver Syndrome (or Silver–Russell syndrome). This disorder causes dwarfism and developmental difficulties, requiring long-term care planning. Previous research has focused mostly on medical care, but little is known about families’ perspectives of caring difficulties, the help they need and nursing care required.Design. An exploratory qualitative approach was used to inform this study.Methods. Family caregivers, whose children were undergoing medical care in a leading Taiwan medical centre, were invited to participate in face-to-face, in-depth interviews. Data were analysed by content analysis.Results. Fifteen caregivers including 11 mothers, two fathers and two grandmothers participated. Five major themes and 13 sub-themes of care-giving distress were identified: endless psychological worries; the lengthy process to confirm a medical diagnosis; adjustment efforts in modifying family roles; dilemmas in deciding between Western or Chinese traditional medicine; and negative responses to society’s concerns. Their primary sources of support were spouses, parents and health professionals, accordingly.Conclusion. Complex physio-psycho-social and decision-making distress in caring for children with a rare genetic disorder were systematically revealed from the perspectives of ethnic-Chinese family caregivers.Relevance to clinical practice. Long-term care plans for children with a rare genetic disorder such as Russell–Silver Syndrome need to focus on positive dynamic family interactions, life-stage development and family caregiver support. Research on care-giving in rare genetic disorders is also warranted across cultures and countries to develop a substantial knowledge basis for nursing practice.","author":[{"dropping-particle":"","family":"Weng","given":"Hsin Ju","non-dropping-particle":"","parse-names":false,"suffix":""},{"dropping-particle":"","family":"Niu","given":"Dau Ming","non-dropping-particle":"","parse-names":false,"suffix":""},{"dropping-particle":"","family":"Turale","given":"Sue","non-dropping-particle":"","parse-names":false,"suffix":""},{"dropping-particle":"","family":"Tsao","given":"Lee Ing","non-dropping-particle":"","parse-names":false,"suffix":""},{"dropping-particle":"","family":"Shih","given":"Fu Jong","non-dropping-particle":"","parse-names":false,"suffix":""},{"dropping-particle":"","family":"Yamamoto-Mitani","given":"Noriko","non-dropping-particle":"","parse-names":false,"suffix":""},{"dropping-particle":"","family":"Chang","given":"Chun Chi","non-dropping-particle":"","parse-names":false,"suffix":""},{"dropping-particle":"","family":"Shih","given":"Fu Jin","non-dropping-particle":"","parse-names":false,"suffix":""}],"container-title":"Journal of Clinical Nursing","id":"ITEM-2","issue":"1-2","issued":{"date-parts":[["2012"]]},"page":"160-169","title":"Family caregiver distress with children having rare genetic disorders: A qualitative study involving Russell-Silver Syndrome in Taiwan","type":"article-journal","volume":"21"},"uris":["http://www.mendeley.com/documents/?uuid=be25264d-6b0a-422c-b970-6c1549d6cd6f"]},{"id":"ITEM-3","itemData":{"DOI":"10.1037/1091-7527.25.2.161","ISBN":"1939-0602\\r1091-7527","ISSN":"1091-7527","abstract":"When caring for a child with a chronic illness, parents, physicians, and other medical personnel often focus their attention on treatment of the medical illness. The child’s and family’s coping and mental health are often secondary to medical management of the disorder. Cystinosis is a genetic metabolic disease that affects multiple organs, and specific aspects of cognition and behavior. The present study examined behavior and adjustment in a sample of families and children with a chronic illness, cystinosis. The Cystinosis Behavior Questionnaire was administered to 63 parents of children and adolescents with cystinosis (ages 2–17 years). The questionnaire was comprised of both open- and closed-ended questions that probed areas of child characteristics, family adjustment, school performance, and intervention for mental health issues. Parents reported many areas of strength and difficulty within their child and family. Interestingly, however, very few of the families had sought out intervention for behavioral and/or adjustment issues. In better defining behavioral and adjustment issues in cystinosis families, the current findings may prompt greater awareness in individuals caring for and/or working with a child with cystinosis.","author":[{"dropping-particle":"","family":"Spilkin","given":"Amy","non-dropping-particle":"","parse-names":false,"suffix":""},{"dropping-particle":"","family":"Ballantyne","given":"Angela","non-dropping-particle":"","parse-names":false,"suffix":""}],"container-title":"Families, Systems, &amp; Health","id":"ITEM-3","issue":"2","issued":{"date-parts":[["2007"]]},"page":"161-161","title":"\"Behavior in children with a chronic illness: A descriptive study of child characteristics, family, adjustment, and school issues in children with cystinosis\": Correction.","type":"article-journal","volume":"25"},"uris":["http://www.mendeley.com/documents/?uuid=e39ab35d-9850-450e-a8a9-e38ebf90473c"]},{"id":"ITEM-4","itemData":{"DOI":"10.2190/IL6.2.b","ISBN":"1552-6968(Electronic);1054-1373(Print)","ISSN":"1054-1373","abstract":"This article includes a personal narrative about the first author's experience surrounding the diagnosis of her youngest child with cystic fibrosis, a fatal genetic disease. Sociological research on chronic illness is analyzed in the light of lived experience. Through personal sharing, the reader is invited to develop a greater depth of understanding of the coping experience of a mother and her family who are caring for a child with a life-threatening chronic illness. (PsycINFO Database Record (c) 2017 APA, all rights reserved)","author":[{"dropping-particle":"","family":"Funk","given":"Maureen","non-dropping-particle":"","parse-names":false,"suffix":""},{"dropping-particle":"","family":"Seem","given":"John","non-dropping-particle":"","parse-names":false,"suffix":""}],"container-title":"Illness, Crisis, &amp; Loss","id":"ITEM-4","issue":"2","issued":{"date-parts":[["1998"]]},"page":"127-141","title":"A mother's perspective on chronic childhood illness: Parenting a child with cystic fibrosis","type":"article-journal","volume":"6"},"uris":["http://www.mendeley.com/documents/?uuid=168deb55-77e0-4b70-8611-eadfed413dba"]},{"id":"ITEM-5","itemData":{"DOI":"10.1007/s10897-013-9602-6","ISBN":"1573-3599 (Electronic)\r1059-7700 (Linking)","ISSN":"10597700","PMID":"23709095","abstract":"Potocki-Lupski syndrome (PTLS) or duplication 17p11.2 syndrome is a newly characterized condition causing a variety of health problems with variable severity, including failure to thrive in infancy and childhood, hypotonia, structural heart anomalies, cognitive impairments, speech and learning difficulties, and autism. Due to its recent clinical characterization little is known about the psychosocial impact of this condition on patients and their families. This study evaluated whether parental psychosocial outcomes were associated with children's PTLS disease severity. Parents of 58 children with PTLS completed a cross-sectional survey that assessed parental stress, quality of life, and coping skills. Parental functioning was associated with greater severity of feeding difficulty and with lower severity of a cardiovascular defect. Findings from this study highlight potential support needs of parents of children affected by PTLS and suggest ways in which these needs may be addressed.","author":[{"dropping-particle":"","family":"Carter","given":"Rebecca D.","non-dropping-particle":"","parse-names":false,"suffix":""},{"dropping-particle":"","family":"Raia","given":"Marianna","non-dropping-particle":"","parse-names":false,"suffix":""},{"dropping-particle":"","family":"Ewing-Cobbs","given":"Linda","non-dropping-particle":"","parse-names":false,"suffix":""},{"dropping-particle":"","family":"Gambello","given":"Michael","non-dropping-particle":"","parse-names":false,"suffix":""},{"dropping-particle":"","family":"Hashmi","given":"S. Shahrukh","non-dropping-particle":"","parse-names":false,"suffix":""},{"dropping-particle":"","family":"Peterson","given":"Susan K.","non-dropping-particle":"","parse-names":false,"suffix":""},{"dropping-particle":"","family":"Robbins-Furman","given":"Patricia","non-dropping-particle":"","parse-names":false,"suffix":""},{"dropping-particle":"","family":"Potocki","given":"Lorraine","non-dropping-particle":"","parse-names":false,"suffix":""}],"container-title":"Journal of Genetic Counseling","id":"ITEM-5","issue":"5","issued":{"date-parts":[["2013"]]},"page":"633-642","title":"Stress and well-being among parents of children with potocki-lupski syndrome","type":"article-journal","volume":"22"},"uris":["http://www.mendeley.com/documents/?uuid=7497b2ae-1f2f-4c6d-b117-513d6243587b"]}],"mendeley":{"formattedCitation":"(Adegoke &amp; Kuteyi, 2012; Carter et al., 2013; Funk &amp; Seem, 1998; Spilkin &amp; Ballantyne, 2007; Weng et al., 2012)","manualFormatting":"(e.g. Hercher &amp; Bruenner, 2013; Ouyang et al., 2014)","plainTextFormattedCitation":"(Adegoke &amp; Kuteyi, 2012; Carter et al., 2013; Funk &amp; Seem, 1998; Spilkin &amp; Ballantyne, 2007; Weng et al., 2012)","previouslyFormattedCitation":"(Adegoke &amp; Kuteyi, 2012; Carter et al., 2013; Funk &amp; Seem, 1998; Spilkin &amp; Ballantyne, 2007; Weng et al., 2012)"},"properties":{"noteIndex":0},"schema":"https://github.com/citation-style-language/schema/raw/master/csl-citation.json"}</w:instrText>
      </w:r>
      <w:r w:rsidRPr="006A1EC7">
        <w:fldChar w:fldCharType="separate"/>
      </w:r>
      <w:r w:rsidRPr="006A1EC7">
        <w:rPr>
          <w:noProof/>
        </w:rPr>
        <w:t>(e.g. Hercher &amp; Bruenner, 2013; Ouyang et al., 2014)</w:t>
      </w:r>
      <w:r w:rsidRPr="006A1EC7">
        <w:fldChar w:fldCharType="end"/>
      </w:r>
      <w:r w:rsidRPr="006A1EC7">
        <w:t xml:space="preserve">, fears of lack of social support and social exclusion </w:t>
      </w:r>
      <w:r w:rsidRPr="006A1EC7">
        <w:fldChar w:fldCharType="begin" w:fldLock="1"/>
      </w:r>
      <w:r w:rsidRPr="006A1EC7">
        <w:instrText>ADDIN CSL_CITATION {"citationItems":[{"id":"ITEM-1","itemData":{"DOI":"10.1016/j.ridd.2014.04.009","ISBN":"0891-4222","ISSN":"18733379","PMID":"24755230","abstract":"This study compares the family financial and employment impacts of having a child with fragile X syndrome (FXS), autism spectrum disorder (ASD), or intellectual disabilities (ID). Data from a 2011 national survey of families of children with FXS were matched with data from the National Survey of Children with Special Health Care Needs 2009-2010 to form four analytic groups: children with FXS (n= 189), children with special health care needs with ASD only (n= 185), ID only (n= 177), or both ASD and ID (n= 178). Comparable percentages of parents of children with FXS (60%) and parents of children with both ASD and ID (52%) reported that their families experienced a financial burden as a result of the condition, both of which were higher than the percentages of parents of children with ASD only (39%) or ID only (29%). Comparable percentages of parents of children with FXS (40%) and parents of children with both ASD and ID (46%) reported quitting employment because of the condition, both of which were higher than the percentages of parents of children with ID only (25%) or ASD only (25%). In multivariate analyses controlling for co-occurring conditions and functional difficulties and stratified by age, adjusted odds ratios for the FXS group aged 12-17 years were significantly elevated for financial burden (2.73, 95% CI 1.29-5.77), quitting employment (2.58, 95% CI 1.18-5.65) and reduced hours of work (4.34, 95% CI 2.08-9.06) relative to children with ASD only. Among children aged 5-11 years, the adjusted odds ratios for the FXS group were elevated but statistically insignificant for financial burden (1.63, 95% CI 0.85-3.14) and reducing hours of work (1.34, 95% CI 0.68-2.63) relative to children with ASD only. Regardless of condition, co-occurring anxiety or seizures, limits in thinking, reasoning, or learning ability, and more irritability were significantly associated with more caregiver financial and employment impacts. Proper management of anxiety or seizures and functional difficulties of children with FXS or other developmental disabilities may be important in alleviating adverse family caregiver impacts. © 2014.","author":[{"dropping-particle":"","family":"Ouyang","given":"Lijing","non-dropping-particle":"","parse-names":false,"suffix":""},{"dropping-particle":"","family":"Grosse","given":"Scott D.","non-dropping-particle":"","parse-names":false,"suffix":""},{"dropping-particle":"","family":"Riley","given":"Catharine","non-dropping-particle":"","parse-names":false,"suffix":""},{"dropping-particle":"","family":"Bolen","given":"Julie","non-dropping-particle":"","parse-names":false,"suffix":""},{"dropping-particle":"","family":"Bishop","given":"Ellen","non-dropping-particle":"","parse-names":false,"suffix":""},{"dropping-particle":"","family":"Raspa","given":"Melissa","non-dropping-particle":"","parse-names":false,"suffix":""},{"dropping-particle":"","family":"Bailey","given":"Donald B.","non-dropping-particle":"","parse-names":false,"suffix":""}],"container-title":"Research in Developmental Disabilities","id":"ITEM-1","issue":"7","issued":{"date-parts":[["2014"]]},"page":"1518-1527","title":"A comparison of family financial and employment impacts of fragile X syndrome, autism spectrum disorders, and intellectual disability","type":"article-journal","volume":"35"},"uris":["http://www.mendeley.com/documents/?uuid=87264d57-f71e-43b3-876b-4412f67967a3"]},{"id":"ITEM-2","itemData":{"DOI":"10.1007/s10897-011-9361-1","ISBN":"1552-4825","ISSN":"10597700","PMID":"26684080","abstract":"Background Despite the distinctive physical, cognitive, personality and behavioural characteristics associated with Williams syndrome, few studies to date have examined parental experiences of raising a child with this genetic syndrome. Methods This explorative pilot study employed predominantly qualitative methodologies via face-to-face semi-structured interviews with parents. Results Participants’ responses indicated a variety of daily challenges faced by parents of a person with Williams syndrome. Parents also noted challenges unique to this aetiological group that were derived from the oversensitive and highly empathetic nature of the person with Williams syndrome. Parental perceptions relating to the positive impact that a person with Williams syndrome can have on the family were also reported. Discussion While some of the findings regarding the daily challenges faced by families with a person with WS appear to be similar to the experiences of families who have children with other genetic syndromes and developmental disabilities, the findings indicate that certain daily challenges may also be unique to parents of this aetiological group. In addition, the present study makes a valuable contribution to the research literature focusing on the positive aspects of raising a child with a disability. Future theoretical and practical applications of the present study are also suggested.","author":[{"dropping-particle":"","family":"Hercher","given":"Laura","non-dropping-particle":"","parse-names":false,"suffix":""},{"dropping-particle":"","family":"Bruenner","given":"Georgette","non-dropping-particle":"","parse-names":false,"suffix":""}],"container-title":"Journal of Genetic Counseling","id":"ITEM-2","issue":"1","issued":{"date-parts":[["2013"]]},"page":"1574-1581","publisher":"Elsevier Inc","title":"Parents' experiences of living with, and caring for children, adolescents and young adults with Mucopolysaccharidosis (MPS).","type":"article-journal","volume":"24"},"uris":["http://www.mendeley.com/documents/?uuid=3652ebe7-1a7f-4639-8320-5a711185aa19"]}],"mendeley":{"formattedCitation":"(Hercher &amp; Bruenner, 2013; Ouyang et al., 2014)","manualFormatting":"(e.g. Weng et al., 2012)","plainTextFormattedCitation":"(Hercher &amp; Bruenner, 2013; Ouyang et al., 2014)","previouslyFormattedCitation":"(Hercher &amp; Bruenner, 2013; Ouyang et al., 2014)"},"properties":{"noteIndex":0},"schema":"https://github.com/citation-style-language/schema/raw/master/csl-citation.json"}</w:instrText>
      </w:r>
      <w:r w:rsidRPr="006A1EC7">
        <w:fldChar w:fldCharType="separate"/>
      </w:r>
      <w:r w:rsidRPr="006A1EC7">
        <w:rPr>
          <w:noProof/>
        </w:rPr>
        <w:t>(e.g. Weng et al., 2012)</w:t>
      </w:r>
      <w:r w:rsidRPr="006A1EC7">
        <w:fldChar w:fldCharType="end"/>
      </w:r>
      <w:r w:rsidRPr="006A1EC7">
        <w:t xml:space="preserve"> as well as fears of rejection from the public</w:t>
      </w:r>
      <w:r w:rsidRPr="006A1EC7">
        <w:fldChar w:fldCharType="begin" w:fldLock="1"/>
      </w:r>
      <w:r w:rsidRPr="006A1EC7">
        <w:instrText>ADDIN CSL_CITATION {"citationItems":[{"id":"ITEM-1","itemData":{"DOI":"10.1111/j.1365-2702.2010.03583.x","ISBN":"0962-1067","ISSN":"09621067","PMID":"21410572","abstract":"Aim. To extend nursing knowledge of distress experienced by family caregivers of children with rare genetic disorders, by exploring the perspectives of caregivers of children with Russell–Silver Syndrome in Taiwan.Background. Caring for a child with a rare genetic disorder often has profound effects on families, especially when diagnosis and treatment is complex or not yet well developed, such as that in Russell–Silver Syndrome (or Silver–Russell syndrome). This disorder causes dwarfism and developmental difficulties, requiring long-term care planning. Previous research has focused mostly on medical care, but little is known about families’ perspectives of caring difficulties, the help they need and nursing care required.Design. An exploratory qualitative approach was used to inform this study.Methods. Family caregivers, whose children were undergoing medical care in a leading Taiwan medical centre, were invited to participate in face-to-face, in-depth interviews. Data were analysed by content analysis.Results. Fifteen caregivers including 11 mothers, two fathers and two grandmothers participated. Five major themes and 13 sub-themes of care-giving distress were identified: endless psychological worries; the lengthy process to confirm a medical diagnosis; adjustment efforts in modifying family roles; dilemmas in deciding between Western or Chinese traditional medicine; and negative responses to society’s concerns. Their primary sources of support were spouses, parents and health professionals, accordingly.Conclusion. Complex physio-psycho-social and decision-making distress in caring for children with a rare genetic disorder were systematically revealed from the perspectives of ethnic-Chinese family caregivers.Relevance to clinical practice. Long-term care plans for children with a rare genetic disorder such as Russell–Silver Syndrome need to focus on positive dynamic family interactions, life-stage development and family caregiver support. Research on care-giving in rare genetic disorders is also warranted across cultures and countries to develop a substantial knowledge basis for nursing practice.","author":[{"dropping-particle":"","family":"Weng","given":"Hsin Ju","non-dropping-particle":"","parse-names":false,"suffix":""},{"dropping-particle":"","family":"Niu","given":"Dau Ming","non-dropping-particle":"","parse-names":false,"suffix":""},{"dropping-particle":"","family":"Turale","given":"Sue","non-dropping-particle":"","parse-names":false,"suffix":""},{"dropping-particle":"","family":"Tsao","given":"Lee Ing","non-dropping-particle":"","parse-names":false,"suffix":""},{"dropping-particle":"","family":"Shih","given":"Fu Jong","non-dropping-particle":"","parse-names":false,"suffix":""},{"dropping-particle":"","family":"Yamamoto-Mitani","given":"Noriko","non-dropping-particle":"","parse-names":false,"suffix":""},{"dropping-particle":"","family":"Chang","given":"Chun Chi","non-dropping-particle":"","parse-names":false,"suffix":""},{"dropping-particle":"","family":"Shih","given":"Fu Jin","non-dropping-particle":"","parse-names":false,"suffix":""}],"container-title":"Journal of Clinical Nursing","id":"ITEM-1","issue":"1-2","issued":{"date-parts":[["2012"]]},"page":"160-169","title":"Family caregiver distress with children having rare genetic disorders: A qualitative study involving Russell-Silver Syndrome in Taiwan","type":"article-journal","volume":"21"},"uris":["http://www.mendeley.com/documents/?uuid=be25264d-6b0a-422c-b970-6c1549d6cd6f"]}],"mendeley":{"formattedCitation":"(Weng et al., 2012)","manualFormatting":" (e.g. Turner et al., 2007)","plainTextFormattedCitation":"(Weng et al., 2012)","previouslyFormattedCitation":"(Weng et al., 2012)"},"properties":{"noteIndex":0},"schema":"https://github.com/citation-style-language/schema/raw/master/csl-citation.json"}</w:instrText>
      </w:r>
      <w:r w:rsidRPr="006A1EC7">
        <w:fldChar w:fldCharType="separate"/>
      </w:r>
      <w:r w:rsidRPr="006A1EC7">
        <w:rPr>
          <w:noProof/>
        </w:rPr>
        <w:t xml:space="preserve"> </w:t>
      </w:r>
      <w:r w:rsidRPr="006A1EC7">
        <w:rPr>
          <w:noProof/>
        </w:rPr>
        <w:fldChar w:fldCharType="begin" w:fldLock="1"/>
      </w:r>
      <w:r w:rsidRPr="006A1EC7">
        <w:rPr>
          <w:noProof/>
        </w:rPr>
        <w:instrText>ADDIN CSL_CITATION {"citationItems":[{"id":"ITEM-1","itemData":{"DOI":"10.1002/ajmg.a.31904","ISBN":"1552-4825 (Print) 1552-4825 (Linking)","ISSN":"15524825","PMID":"17701998","author":[{"dropping-particle":"","family":"Turner","given":"Joyce","non-dropping-particle":"","parse-names":false,"suffix":""},{"dropping-particle":"","family":"Biesecker","given":"Barbara","non-dropping-particle":"","parse-names":false,"suffix":""},{"dropping-particle":"","family":"Leib","given":"Jennifer","non-dropping-particle":"","parse-names":false,"suffix":""},{"dropping-particle":"","family":"Biesecker","given":"Leslie","non-dropping-particle":"","parse-names":false,"suffix":""},{"dropping-particle":"","family":"Peters","given":"Kathryn","non-dropping-particle":"","parse-names":false,"suffix":""}],"container-title":"American Journal of Medical Genetics, Part A","id":"ITEM-1","issued":{"date-parts":[["2007"]]},"page":"2089 - 2097","title":"Parenting Children with Proteus Syndrome: Experiences With, and Adapttion to, Courtesy Stigma","type":"article-journal","volume":"143A"},"uris":["http://www.mendeley.com/documents/?uuid=0346d6a4-8ff7-40c3-8af6-9de547c482f4"]}],"mendeley":{"formattedCitation":"(Turner, Biesecker, Leib, Biesecker, &amp; Peters, 2007)","manualFormatting":"(e.g. Turner et al., 2007)","plainTextFormattedCitation":"(Turner, Biesecker, Leib, Biesecker, &amp; Peters, 2007)","previouslyFormattedCitation":"(Turner, Biesecker, Leib, Biesecker, &amp; Peters, 2007)"},"properties":{"noteIndex":0},"schema":"https://github.com/citation-style-language/schema/raw/master/csl-citation.json"}</w:instrText>
      </w:r>
      <w:r w:rsidRPr="006A1EC7">
        <w:rPr>
          <w:noProof/>
        </w:rPr>
        <w:fldChar w:fldCharType="separate"/>
      </w:r>
      <w:r w:rsidRPr="006A1EC7">
        <w:rPr>
          <w:noProof/>
        </w:rPr>
        <w:t>(e.g. Turner et al., 2007)</w:t>
      </w:r>
      <w:r w:rsidRPr="006A1EC7">
        <w:rPr>
          <w:noProof/>
        </w:rPr>
        <w:fldChar w:fldCharType="end"/>
      </w:r>
      <w:r w:rsidRPr="006A1EC7">
        <w:fldChar w:fldCharType="end"/>
      </w:r>
      <w:r w:rsidRPr="006A1EC7">
        <w:t xml:space="preserve">. These factors are also all echoed in the findings of the current study, and thus appear as </w:t>
      </w:r>
      <w:r w:rsidRPr="006A1EC7">
        <w:lastRenderedPageBreak/>
        <w:t xml:space="preserve">shared experiences across family caregivers of children and adults with different complex and/or genetic and/or rare syndromes. </w:t>
      </w:r>
    </w:p>
    <w:p w14:paraId="487CFBD0" w14:textId="264D9C1B" w:rsidR="008B1FBF" w:rsidRPr="006A1EC7" w:rsidRDefault="008B1FBF" w:rsidP="008B1FBF">
      <w:pPr>
        <w:spacing w:line="360" w:lineRule="auto"/>
        <w:ind w:firstLine="720"/>
      </w:pPr>
      <w:r w:rsidRPr="006A1EC7">
        <w:t xml:space="preserve">However, there may be factors that mediate the pressures experienced by family care givers of adults and children with chronic illnesses. In the aforementioned study with family caregivers of children with Smith-Magenis syndrome, regression analyses were performed. It was found that “perceived child vulnerability”, “caregiving satisfaction” and “caregiver self-efficacy” were the most significant contributors to maternal wellbeing (n = 95). Due to a very limited number of fathers taking part in this study (n=15), this regression was not repeated for the fathers, which is a limitation of the study design. It is however important to note that this sample may be biased, as almost half of participants had a higher education qualification and were married and financially secure. Being financially secure may alleviate pressures on families; and a sample with different demographics, such as families from by low-income, unemployed or single-parent households, may experience these pressures differently. Taken together, these factors may influence their likelihood to cope with caregiving pressures. It is therefore important to bear in mind that those findings may not be entirely representative, and generalisability may be compromised. </w:t>
      </w:r>
    </w:p>
    <w:p w14:paraId="7DD52BC8" w14:textId="0A6A6F42" w:rsidR="008B1FBF" w:rsidRPr="006A1EC7" w:rsidRDefault="008B1FBF" w:rsidP="008B1FBF">
      <w:pPr>
        <w:spacing w:line="360" w:lineRule="auto"/>
        <w:ind w:firstLine="720"/>
      </w:pPr>
      <w:r w:rsidRPr="006A1EC7">
        <w:t xml:space="preserve">Despite all these research findings, it is important to stress that the experience of raising a chronically ill child cannot necessarily only be equated to a ‘burden’ or negative experience </w:t>
      </w:r>
      <w:r w:rsidRPr="006A1EC7">
        <w:fldChar w:fldCharType="begin" w:fldLock="1"/>
      </w:r>
      <w:r w:rsidRPr="006A1EC7">
        <w:instrText>ADDIN CSL_CITATION {"citationItems":[{"id":"ITEM-1","itemData":{"author":[{"dropping-particle":"","family":"Parker","given":"M","non-dropping-particle":"","parse-names":false,"suffix":""}],"container-title":"Family &amp; Community Health","id":"ITEM-1","issue":"2","issued":{"date-parts":[["1996"]]},"page":"73 - 84","title":"Families Caring for Chronically Ill children with tuberous sclerosis complex","type":"article-journal","volume":"19"},"uris":["http://www.mendeley.com/documents/?uuid=45518e83-75f1-4dd5-8451-aa549dd99cc7"]},{"id":"ITEM-2","itemData":{"DOI":"10.1186/s13023-016-0521-0","ISSN":"1750-1172","PMID":"27724940","abstract":"BACKGROUND Many rare diseases of childhood are life-threatening and chronically debilitating, so living with a rare disease is an on-going challenge for patients and their families. MPS is one of a range of rare inherited metabolic disorders (IMDs) that come under category 3 of life-limiting conditions, where there is no curative treatment available at present. Although the study of rare diseases is increasingly novel, and of clinical importance to the population, the lack of empirical data in the field to support policy and strategy development is a compelling argument for further research to be sought. METHODS This qualitative hermeneutic phenomenological study explored and interpreted Irish parents' experiences of living with and caring for children, adolescents and young adults with MPS and the impact of these diseases on their day to day life. A purposively selected sample of parents' attending the Irish National Centre for Inherited Metabolic Disorders was invited to participate in serial in-depth interviews. RESULTS A total of eight parents' (n = 8) of children with a range of MPS disorders aged from 6 months to 22 years (MPS I Hurler syndrome, Scheie syndrome), MPS II (Hunter syndrome), MPS III (Sanfilipo syndrome) and MPS VI (Maroteaux-Lamy syndrome) were interviewed at three time points over a 17 month period. The main themes identified during data analysis were described as living with MPS, living with a genetic rare disease, the stigma of a rare condition, MPS as encompassing multiple diseases, Unknown future, hospital vs. home, experience of waiting, a tough road ahead, and things in their day-to-day life with MPS. They spoke of their child's Quality of Life (QoL), their healthy children's wellbeing, and for some, the impact on their own physical and psychological wellbeing. They also reflected on issues of stigmatisation and isolation in their experience of living with a child with a rare disorder. CONCLUSION This study's findings reflect the wider literature on the impact of rare diseases, which have also indicated how caring for someone with MPS, a condition that is chronic, progressive and degenerative can impact on all dimensions of the family's life. Analysis of the findings using a hemenutic pheomenology perspecitve suggest that parents of children with MPS experience multiple cyclical movements across all five human lived existential experience, and they gradually develop ways to incorporate MPS in their day to day life. It was also…","author":[{"dropping-particle":"","family":"Somanadhan","given":"S","non-dropping-particle":"","parse-names":false,"suffix":""},{"dropping-particle":"","family":"Larkin","given":"P J","non-dropping-particle":"","parse-names":false,"suffix":""}],"container-title":"Orphanet journal of rare diseases","id":"ITEM-2","issue":"1","issued":{"date-parts":[["2016"]]},"page":"138","publisher":"Orphanet Journal of Rare Diseases","title":"Parents' experiences of living with, and caring for children, adolescents and young adults with Mucopolysaccharidosis (MPS).","type":"article-journal","volume":"11"},"uris":["http://www.mendeley.com/documents/?uuid=8430d744-5bec-4e53-85f5-238c101ac662"]},{"id":"ITEM-3","itemData":{"DOI":"https://dx.doi.org/10.3390/children5070085","ISSN":"2227-9067","PMID":"29949926","abstract":"The well-being of parents is essential to the well-being of children with life-limiting illness. Parents are vulnerable to a range of negative financial, physical, and psychosocial issues due to caregiving tasks and other stressors related to the illness of their child. Pediatric palliative care practitioners provide good care to children by supporting their parents in decision-making and difficult conversations, by managing pain and other symptoms in the ill child, and by addressing parent and family needs for care coordination, respite, bereavement, and social and emotional support. No matter the design or setting of a pediatric palliative care team, practitioners can seek to provide for parent needs by referral or intervention by the care team.","author":[{"dropping-particle":"","family":"Koch","given":"Kendra D","non-dropping-particle":"","parse-names":false,"suffix":""},{"dropping-particle":"","family":"Jones","given":"Barbara L","non-dropping-particle":"","parse-names":false,"suffix":""}],"container-title":"Children (Basel, Switzerland)","id":"ITEM-3","issue":"7","issued":{"date-parts":[["2018"]]},"title":"Supporting Parent Caregivers of Children with Life-Limiting Illness.","type":"article-journal","volume":"5"},"uris":["http://www.mendeley.com/documents/?uuid=8c856349-a868-4a85-aac9-108844ae5597"]}],"mendeley":{"formattedCitation":"(Koch &amp; Jones, 2018; Parker, 1996; Somanadhan &amp; Larkin, 2016)","plainTextFormattedCitation":"(Koch &amp; Jones, 2018; Parker, 1996; Somanadhan &amp; Larkin, 2016)","previouslyFormattedCitation":"(Koch &amp; Jones, 2018; Parker, 1996; Somanadhan &amp; Larkin, 2016)"},"properties":{"noteIndex":0},"schema":"https://github.com/citation-style-language/schema/raw/master/csl-citation.json"}</w:instrText>
      </w:r>
      <w:r w:rsidRPr="006A1EC7">
        <w:fldChar w:fldCharType="separate"/>
      </w:r>
      <w:r w:rsidRPr="006A1EC7">
        <w:rPr>
          <w:noProof/>
        </w:rPr>
        <w:t>(Koch &amp; Jones, 2018; Parker, 1996; Somanadhan &amp; Larkin, 2016)</w:t>
      </w:r>
      <w:r w:rsidRPr="006A1EC7">
        <w:fldChar w:fldCharType="end"/>
      </w:r>
      <w:r w:rsidRPr="006A1EC7">
        <w:t>, which also became clear in the current study. In their research, titled “</w:t>
      </w:r>
      <w:r w:rsidRPr="006A1EC7">
        <w:rPr>
          <w:i/>
        </w:rPr>
        <w:t>Between joy and sorrow: being a parent of a child with developmental disability”,</w:t>
      </w:r>
      <w:r w:rsidRPr="006A1EC7">
        <w:t xml:space="preserve"> </w:t>
      </w:r>
      <w:r w:rsidRPr="006A1EC7">
        <w:fldChar w:fldCharType="begin" w:fldLock="1"/>
      </w:r>
      <w:r w:rsidRPr="006A1EC7">
        <w:instrText>ADDIN CSL_CITATION {"citationItems":[{"id":"ITEM-1","itemData":{"DOI":"10.1046/j.1365-2648.2001.01787.x","ISBN":"1365-2648","ISSN":"03092402","PMID":"11380726","abstract":"AIM: This study explored the experiences of parents who have children with significant developmental disability. BACKGROUND: Prevailing societal and professional assumptions of parental crisis and maladjustment in response to the 'tragedy' of having a disabled child did not accord with the authors' practice experience. Whilst parents confronted numerous difficulties, most of them appeared to manage with optimism and remarkable resourcefulness. RESEARCH DESIGN: The study, using an interpretive methodology informed by phenomenology, intensively explored the experiences of six parents of children with significant developmental disability. FINDINGS: Although they experienced much anguish and sorrow, the parents also spoke of hope, love, strength and joy. Interpretation of the parents' experiences revealed the themes of 'joy and sorrow', 'hope and no hope' and 'defiance and despair', mediated by 'the tensions'. CONCLUSIONS: This phenomenological interpretation provides insight and understanding into the parents' experiences and has implications for practice, education and research in nursing.","author":[{"dropping-particle":"","family":"Kearney","given":"Penelope M.","non-dropping-particle":"","parse-names":false,"suffix":""},{"dropping-particle":"","family":"Griffin","given":"Tim","non-dropping-particle":"","parse-names":false,"suffix":""}],"container-title":"Journal of Advanced Nursing","id":"ITEM-1","issue":"5","issued":{"date-parts":[["2001"]]},"page":"582-592","title":"Between joy and sorrow: Being a parent of a child with developmental disability","type":"article-journal","volume":"34"},"uris":["http://www.mendeley.com/documents/?uuid=f971aaa6-3ad9-4b2c-b19c-e01225d25911"]}],"mendeley":{"formattedCitation":"(Kearney &amp; Griffin, 2001)","manualFormatting":"Kearney and Griffin (2001)","plainTextFormattedCitation":"(Kearney &amp; Griffin, 2001)","previouslyFormattedCitation":"(Kearney &amp; Griffin, 2001)"},"properties":{"noteIndex":0},"schema":"https://github.com/citation-style-language/schema/raw/master/csl-citation.json"}</w:instrText>
      </w:r>
      <w:r w:rsidRPr="006A1EC7">
        <w:fldChar w:fldCharType="separate"/>
      </w:r>
      <w:r w:rsidRPr="006A1EC7">
        <w:rPr>
          <w:noProof/>
        </w:rPr>
        <w:t>Kearney and Griffin (2001)</w:t>
      </w:r>
      <w:r w:rsidRPr="006A1EC7">
        <w:fldChar w:fldCharType="end"/>
      </w:r>
      <w:r w:rsidRPr="006A1EC7">
        <w:t xml:space="preserve"> reported the experiences of parents of children with special needs. While it is reported that parents experience negative feelings in relation to having a child with a learning disability, they also report “</w:t>
      </w:r>
      <w:r w:rsidRPr="006A1EC7">
        <w:rPr>
          <w:i/>
        </w:rPr>
        <w:t>feelings of hope, love, strength and joy</w:t>
      </w:r>
      <w:r w:rsidRPr="006A1EC7">
        <w:t>”. For example, during one interview, in their study a father said: “</w:t>
      </w:r>
      <w:r w:rsidRPr="006A1EC7">
        <w:rPr>
          <w:i/>
        </w:rPr>
        <w:t>He’s got my admiration. Something I would like to have is the guts he’s got.”,</w:t>
      </w:r>
      <w:r w:rsidRPr="006A1EC7">
        <w:t xml:space="preserve"> which speaks of fondness and love for his son. These positive experiences and feelings of love also resonate in the discourse used by relatives in the current study, describing their relatives with WHS as resilient, living a happy life and having good quality of life. While Kearney and Griffin’s study has some clear limitations for generalisability (phenomenological methodological approach, parents with younger children only), it provides important insight into the dyad that is being a family caregiver of a child or adult with complex health needs. </w:t>
      </w:r>
    </w:p>
    <w:p w14:paraId="75FD93F6" w14:textId="23BAF32A" w:rsidR="008B1FBF" w:rsidRPr="006A1EC7" w:rsidRDefault="008B1FBF" w:rsidP="008B1FBF">
      <w:pPr>
        <w:spacing w:line="360" w:lineRule="auto"/>
        <w:ind w:firstLine="720"/>
      </w:pPr>
      <w:r w:rsidRPr="006A1EC7">
        <w:rPr>
          <w:noProof/>
        </w:rPr>
        <w:t xml:space="preserve">From discussion of the results so far, it becomes obvious that the demands on </w:t>
      </w:r>
      <w:r w:rsidRPr="006A1EC7">
        <w:t xml:space="preserve">parents or relatives of a child with a rare chronic condition such as </w:t>
      </w:r>
      <w:r w:rsidR="009F0718" w:rsidRPr="006A1EC7">
        <w:t>WHS</w:t>
      </w:r>
      <w:r w:rsidRPr="006A1EC7">
        <w:t xml:space="preserve"> go beyond the demands on </w:t>
      </w:r>
      <w:r w:rsidRPr="006A1EC7">
        <w:lastRenderedPageBreak/>
        <w:t xml:space="preserve">parents of healthy children. As a result, there are many unmet needs. Families are often relying heavily on family members such as retired </w:t>
      </w:r>
      <w:r w:rsidRPr="006A1EC7">
        <w:rPr>
          <w:noProof/>
        </w:rPr>
        <w:t>grandparents and friends for support in managing day-to-day life with a relative with WHS (Theme 5). Three distinct support needs were identified: information support,</w:t>
      </w:r>
      <w:r w:rsidRPr="006A1EC7">
        <w:rPr>
          <w:rStyle w:val="FootnoteReference"/>
          <w:rFonts w:eastAsiaTheme="majorEastAsia"/>
          <w:noProof/>
        </w:rPr>
        <w:t>,</w:t>
      </w:r>
      <w:r w:rsidRPr="006A1EC7">
        <w:rPr>
          <w:noProof/>
        </w:rPr>
        <w:t xml:space="preserve"> emotional support and peer support. The important implications of meeting the informational needs of relatives and family caregivers of children and adults with WHS have been reviewed, in-depth in this discussion, therefore attention will now be given to emotional and peer-support. Family members expressed the need for emotional support, especially at diagnosis, and the importance of having someone to call on when they are struggling with their mental health and caregiving pressures. This is in accordance with Caples et al. (2018)’s recommendation that </w:t>
      </w:r>
      <w:r w:rsidRPr="006A1EC7">
        <w:t>“</w:t>
      </w:r>
      <w:r w:rsidRPr="006A1EC7">
        <w:rPr>
          <w:i/>
          <w:iCs/>
        </w:rPr>
        <w:t>when confronted with a stressor, families require supports to maintain or achieve positive family functioning.”.</w:t>
      </w:r>
      <w:r w:rsidRPr="006A1EC7">
        <w:t xml:space="preserve"> Psychological interventions, such as counselling, for family caregivers of children and adults with chronic complex illnesses has been found to achieve significant reductions in negative quality of life outcomes </w:t>
      </w:r>
      <w:r w:rsidRPr="006A1EC7">
        <w:fldChar w:fldCharType="begin" w:fldLock="1"/>
      </w:r>
      <w:r w:rsidRPr="006A1EC7">
        <w:instrText>ADDIN CSL_CITATION {"citationItems":[{"id":"ITEM-1","itemData":{"DOI":"10.1111/cch.12430","ISSN":"13652214","abstract":"\nBackground\nCaring for children with chronic and complex medical needs places extraordinary stress on parents and other family members. A scoping review was undertaken to identify and describe the full range of current interventions for reducing caregiver stress.\n\nMethods\nApplying a broad definition of caregiver stress, a systematic search of three scientific databases (CINAHL, Embase and Ovid Medline), a general internet search and hand searching of key peer-reviewed articles were conducted. Inclusion criteria were as follows: (i) published in English between 2004–2016; (ii) focused on familial caregivers, defined as parents, siblings or extended family; (iii) targeted children/youth with medical complexity between the ages of 1–24 years; and (iv) described an intervention and impact on caregiver stress. Data on type of intervention, study design and methods, measures and overall findings were extracted.\n\nResults\nForty-nine studies were included from a list of 22 339 unique titles. Six domains of interventions were found: care coordination models (n = 23); respite care (n = 8); telemedicine (n = 5); peer and emotional support (n = 6); insurance and employment benefits (n = 4); and health and related supports (n = 3). Across studies, there was a wide variety of designs, outcomes and measures used.\n\nConclusions\nPositive findings of reductions in caregiver stress were noted within an emerging body of evidence on effective interventions for families of children with medical complexity. A commonality across domains was a significant focus on streamlining services and reducing the burden of care related to varied pressures experienced, including time, finances, care needs and service access, among others. There was non-conclusive evidence however around which of the six identified intervention domains or combination thereof are most effective for reducing stress. These promising findings demonstrate that stress reduction is possible with the right support and that multiple interventions may be effective in reducing burdens of care experienced by families of children with medical complexity.\n","author":[{"dropping-particle":"","family":"Edelstein","given":"H.","non-dropping-particle":"","parse-names":false,"suffix":""},{"dropping-particle":"","family":"Schippke","given":"J.","non-dropping-particle":"","parse-names":false,"suffix":""},{"dropping-particle":"","family":"Sheffe","given":"S.","non-dropping-particle":"","parse-names":false,"suffix":""},{"dropping-particle":"","family":"Kingsnorth","given":"S.","non-dropping-particle":"","parse-names":false,"suffix":""}],"container-title":"Child: Care, Health and Development","id":"ITEM-1","issue":"3","issued":{"date-parts":[["2017"]]},"page":"323-333","title":"Children with medical complexity: a scoping review of interventions to support caregiver stress","type":"article-journal","volume":"43"},"uris":["http://www.mendeley.com/documents/?uuid=e9bae657-8684-437b-b18e-338b0c95588a","http://www.mendeley.com/documents/?uuid=31a6c6bf-a24c-46a1-91e9-d578a4a489ef"]},{"id":"ITEM-2","itemData":{"DOI":"10.1080/15433710903269172","ISSN":"15433714","abstract":"A chronically ill child is financially, emotionally, and physically demanding on the family system. Although researchers have identified a plethora of risks, stressors, and needs of the families with a chronically ill child, there is a scarceness of evidence-based interventions in the existing literature. The purpose of the authors in this study was to critically analyze current treatment and identify the gaps in the available research. Findings revealed that there is a lack of support for empirically tested interventions that can help parents, siblings, and families of chronically ill children. The issues raised within this literature review bring attention to the need for shifts in research from exploratory to evidence based in order to successfully achieve more effective care.","author":[{"dropping-particle":"","family":"Anderson","given":"Tiffany","non-dropping-particle":"","parse-names":false,"suffix":""},{"dropping-particle":"","family":"Davis","given":"Cindy","non-dropping-particle":"","parse-names":false,"suffix":""}],"container-title":"Journal of Evidence-Based Social Work","id":"ITEM-2","issue":"4","issued":{"date-parts":[["2011"]]},"page":"416-425","title":"Evidence-based practice with families of chronically ill children: A critical literature review","type":"article-journal","volume":"8"},"uris":["http://www.mendeley.com/documents/?uuid=dd20fec8-0205-4737-bb39-cc90818af5d0","http://www.mendeley.com/documents/?uuid=75e6fe12-f7e2-4963-a526-632d41bb3a88"]}],"mendeley":{"formattedCitation":"(T. Anderson &amp; Davis, 2011; Edelstein, Schippke, Sheffe, &amp; Kingsnorth, 2017)","manualFormatting":"(Anderson &amp; Davis, 2011; Edelstein, Schippke, Sheffe, &amp; Kingsnorth, 2017)","plainTextFormattedCitation":"(T. Anderson &amp; Davis, 2011; Edelstein, Schippke, Sheffe, &amp; Kingsnorth, 2017)","previouslyFormattedCitation":"(T. Anderson &amp; Davis, 2011; Edelstein, Schippke, Sheffe, &amp; Kingsnorth, 2017)"},"properties":{"noteIndex":0},"schema":"https://github.com/citation-style-language/schema/raw/master/csl-citation.json"}</w:instrText>
      </w:r>
      <w:r w:rsidRPr="006A1EC7">
        <w:fldChar w:fldCharType="separate"/>
      </w:r>
      <w:r w:rsidRPr="006A1EC7">
        <w:rPr>
          <w:noProof/>
        </w:rPr>
        <w:t>(Anderson &amp; Davis, 2011; Edelstein, Schippke, Sheffe, &amp; Kingsnorth, 2017)</w:t>
      </w:r>
      <w:r w:rsidRPr="006A1EC7">
        <w:fldChar w:fldCharType="end"/>
      </w:r>
      <w:r w:rsidRPr="006A1EC7">
        <w:t xml:space="preserve">. This may help reduce the likelihood of developing caregiver burnout which is characterised by fatigue, a lack of motivation to achieve a goal and decreased empathy </w:t>
      </w:r>
      <w:r w:rsidRPr="006A1EC7">
        <w:fldChar w:fldCharType="begin" w:fldLock="1"/>
      </w:r>
      <w:r w:rsidRPr="006A1EC7">
        <w:instrText>ADDIN CSL_CITATION {"citationItems":[{"id":"ITEM-1","itemData":{"author":[{"dropping-particle":"","family":"Maslach, C. Schaufeli, W.B. Leiter","given":"M.P.","non-dropping-particle":"","parse-names":false,"suffix":""}],"container-title":"Annu. Rev. Psychol.","id":"ITEM-1","issued":{"date-parts":[["2001"]]},"page":"397–422.","title":"Job burnout","type":"article-journal","volume":"52"},"uris":["http://www.mendeley.com/documents/?uuid=fcbb8cbb-b0b0-408b-b8ab-5cee3eec12b8","http://www.mendeley.com/documents/?uuid=c6796532-12fa-4977-9908-5c3fee98e44a"]}],"mendeley":{"formattedCitation":"(Maslach, C. Schaufeli, W.B. Leiter, 2001)","manualFormatting":"(Maslach, Schaufeli &amp; Leiter, 2001)","plainTextFormattedCitation":"(Maslach, C. Schaufeli, W.B. Leiter, 2001)","previouslyFormattedCitation":"(Maslach, C. Schaufeli, W.B. Leiter, 2001)"},"properties":{"noteIndex":0},"schema":"https://github.com/citation-style-language/schema/raw/master/csl-citation.json"}</w:instrText>
      </w:r>
      <w:r w:rsidRPr="006A1EC7">
        <w:fldChar w:fldCharType="separate"/>
      </w:r>
      <w:r w:rsidRPr="006A1EC7">
        <w:rPr>
          <w:noProof/>
        </w:rPr>
        <w:t>(Maslach, Schaufeli &amp; Leiter, 2001)</w:t>
      </w:r>
      <w:r w:rsidRPr="006A1EC7">
        <w:fldChar w:fldCharType="end"/>
      </w:r>
      <w:r w:rsidRPr="006A1EC7">
        <w:t xml:space="preserve">. In the caregiver’s case, this burnout is thought to arise as a result of unsupported caregiving over time </w:t>
      </w:r>
      <w:r w:rsidRPr="006A1EC7">
        <w:rPr>
          <w:noProof/>
        </w:rPr>
        <w:fldChar w:fldCharType="begin" w:fldLock="1"/>
      </w:r>
      <w:r w:rsidRPr="006A1EC7">
        <w:rPr>
          <w:noProof/>
        </w:rPr>
        <w:instrText>ADDIN CSL_CITATION {"citationItems":[{"id":"ITEM-1","itemData":{"DOI":"10.1016/j.gerinurse.2019.03.003","author":[{"dropping-particle":"","family":"Stefanacci","given":"R","non-dropping-particle":"","parse-names":false,"suffix":""},{"dropping-particle":"","family":"Riddle","given":"A","non-dropping-particle":"","parse-names":false,"suffix":""}],"container-title":"Geriatric Nursing","id":"ITEM-1","issued":{"date-parts":[["2019"]]},"page":"214-216","title":"Caring for caregivers","type":"article-journal","volume":"40"},"uris":["http://www.mendeley.com/documents/?uuid=885daef7-4541-4a0f-84e7-7304d45074a7","http://www.mendeley.com/documents/?uuid=777fec8c-1051-4eab-a681-a35a21f7e6de"]}],"mendeley":{"formattedCitation":"(Stefanacci &amp; Riddle, 2019)","plainTextFormattedCitation":"(Stefanacci &amp; Riddle, 2019)","previouslyFormattedCitation":"(Stefanacci &amp; Riddle, 2019)"},"properties":{"noteIndex":0},"schema":"https://github.com/citation-style-language/schema/raw/master/csl-citation.json"}</w:instrText>
      </w:r>
      <w:r w:rsidRPr="006A1EC7">
        <w:rPr>
          <w:noProof/>
        </w:rPr>
        <w:fldChar w:fldCharType="separate"/>
      </w:r>
      <w:r w:rsidRPr="006A1EC7">
        <w:rPr>
          <w:noProof/>
        </w:rPr>
        <w:t>(Stefanacci &amp; Riddle, 2019)</w:t>
      </w:r>
      <w:r w:rsidRPr="006A1EC7">
        <w:rPr>
          <w:noProof/>
        </w:rPr>
        <w:fldChar w:fldCharType="end"/>
      </w:r>
      <w:r w:rsidRPr="006A1EC7">
        <w:t xml:space="preserve">. Furthermore, effective use of coping strategies rather than distraction or disengagement techniques have been found to lessen caregiver burden in long-term family care givers </w:t>
      </w:r>
      <w:r w:rsidRPr="006A1EC7">
        <w:fldChar w:fldCharType="begin" w:fldLock="1"/>
      </w:r>
      <w:r w:rsidRPr="006A1EC7">
        <w:instrText>ADDIN CSL_CITATION {"citationItems":[{"id":"ITEM-1","itemData":{"DOI":"10.1352/1944-7558-119.2.186. Coping","author":[{"dropping-particle":"","family":"Piazza","given":"V","non-dropping-particle":"","parse-names":false,"suffix":""},{"dropping-particle":"","family":"Floyd","given":"D","non-dropping-particle":"","parse-names":false,"suffix":""},{"dropping-particle":"","family":"Mallick","given":"M","non-dropping-particle":"","parse-names":false,"suffix":""},{"dropping-particle":"","family":"Greenberg","given":"J","non-dropping-particle":"","parse-names":false,"suffix":""}],"container-title":"Am J Intellect Dec Disabil.","id":"ITEM-1","issue":"2","issued":{"date-parts":[["2014"]]},"title":"Coping and Psychological Health of Aging Parents of Adult Children With Developmental Disabilities","type":"article-journal","volume":"119"},"uris":["http://www.mendeley.com/documents/?uuid=ef0d29e6-04dd-4aa8-af36-c028476c272a","http://www.mendeley.com/documents/?uuid=06448d0d-6c5d-4053-be50-d5bc20f1c76a"]}],"mendeley":{"formattedCitation":"(Piazza, Floyd, Mallick, &amp; Greenberg, 2014)","plainTextFormattedCitation":"(Piazza, Floyd, Mallick, &amp; Greenberg, 2014)","previouslyFormattedCitation":"(Piazza, Floyd, Mallick, &amp; Greenberg, 2014)"},"properties":{"noteIndex":0},"schema":"https://github.com/citation-style-language/schema/raw/master/csl-citation.json"}</w:instrText>
      </w:r>
      <w:r w:rsidRPr="006A1EC7">
        <w:fldChar w:fldCharType="separate"/>
      </w:r>
      <w:r w:rsidRPr="006A1EC7">
        <w:rPr>
          <w:noProof/>
        </w:rPr>
        <w:t>(Piazza, Floyd, Mallick, &amp; Greenberg, 2014)</w:t>
      </w:r>
      <w:r w:rsidRPr="006A1EC7">
        <w:fldChar w:fldCharType="end"/>
      </w:r>
      <w:r w:rsidRPr="006A1EC7">
        <w:t>.It also clearly demonstrates the overlap between the different themes identified in the current study (Family adaptation, HRQoL and support needs). The development of evidence-based psychological interventions addressing these issues may therefore be suitable for family caregivers of adults and children with WHS, to improve their QoL and meet their emotional needs.</w:t>
      </w:r>
    </w:p>
    <w:p w14:paraId="1C222B65" w14:textId="77777777" w:rsidR="008B1FBF" w:rsidRPr="006A1EC7" w:rsidRDefault="008B1FBF" w:rsidP="008B1FBF">
      <w:pPr>
        <w:spacing w:line="360" w:lineRule="auto"/>
        <w:ind w:firstLine="720"/>
      </w:pPr>
      <w:r w:rsidRPr="006A1EC7">
        <w:t xml:space="preserve">Peer-support was also seen as vital for participants; being able to connect with other relatives in similar situations for emotional support, advice and knowledge-exchange were reported as essential. These connections were often described as making up </w:t>
      </w:r>
      <w:r w:rsidRPr="006A1EC7">
        <w:rPr>
          <w:noProof/>
        </w:rPr>
        <w:t>for the lack of knowledge and experience among treating medical professionals.</w:t>
      </w:r>
    </w:p>
    <w:p w14:paraId="65E7923D" w14:textId="2814B3DE" w:rsidR="008B1FBF" w:rsidRPr="006A1EC7" w:rsidRDefault="008B1FBF" w:rsidP="008B1FBF">
      <w:pPr>
        <w:spacing w:line="360" w:lineRule="auto"/>
        <w:ind w:firstLine="720"/>
        <w:rPr>
          <w:noProof/>
        </w:rPr>
      </w:pPr>
      <w:r w:rsidRPr="006A1EC7">
        <w:rPr>
          <w:noProof/>
        </w:rPr>
        <w:t xml:space="preserve">However, it is noteworthy that there were some individual differences reported concerning who sought which kind of support, and at what point in time. It is therefore unlikely that a ‘one size fits all’ approach to support needs will suit every case. However, to meet the three needs (informational, emotional and peer-support) most emphasised across the interviews, upon diagnosis, family caregivers should be given a leaflet directing them to a </w:t>
      </w:r>
      <w:r w:rsidRPr="006A1EC7">
        <w:rPr>
          <w:noProof/>
        </w:rPr>
        <w:lastRenderedPageBreak/>
        <w:t xml:space="preserve">minimum of three sources to help meet these needs. This may make this time somewhat easier for them. The leaflet should include signposting to the </w:t>
      </w:r>
      <w:r w:rsidR="009F0718" w:rsidRPr="006A1EC7">
        <w:rPr>
          <w:noProof/>
        </w:rPr>
        <w:t>WHS</w:t>
      </w:r>
      <w:r w:rsidRPr="006A1EC7">
        <w:rPr>
          <w:noProof/>
        </w:rPr>
        <w:t xml:space="preserve"> UK trust’s information pages, and details of regular meetings or peer-support groups (information, peer- and emotional support). The Unique Charity UK are just about to publish a new information sheet on WHS, developed by Dr Alisdair McNeill and colleagues which would go some way to supporting the informational needs of caregivers. Similarly, the American WHS pages have a robust archive of positive blogs, information and peer-support (upon contact). This resource was also suggested by one of the participants in the study (WHS1).</w:t>
      </w:r>
    </w:p>
    <w:p w14:paraId="7FE2121C" w14:textId="303AFA57" w:rsidR="008B1FBF" w:rsidRPr="006A1EC7" w:rsidRDefault="008B1FBF" w:rsidP="008B1FBF">
      <w:pPr>
        <w:spacing w:line="360" w:lineRule="auto"/>
        <w:ind w:firstLine="720"/>
        <w:rPr>
          <w:noProof/>
        </w:rPr>
      </w:pPr>
      <w:r w:rsidRPr="006A1EC7">
        <w:rPr>
          <w:noProof/>
        </w:rPr>
        <w:t xml:space="preserve">Future research should address the health-related quality of life experiences and impacts of being a family caregiver for adults and children with WHS; this was the first study to highlight psychosocial impacts of this. Immediate direct implications from this study are the need for better information provision, signposting, better mental health support at time of diagnosis and beyond as well as the establishment of designated care pathways to ensure patients are not being compartmentalised, but treated holistically. </w:t>
      </w:r>
    </w:p>
    <w:p w14:paraId="1EDDC837" w14:textId="77777777" w:rsidR="008B1FBF" w:rsidRPr="006A1EC7" w:rsidRDefault="008B1FBF" w:rsidP="008B1FBF">
      <w:pPr>
        <w:spacing w:line="360" w:lineRule="auto"/>
        <w:ind w:firstLine="720"/>
        <w:rPr>
          <w:noProof/>
        </w:rPr>
      </w:pPr>
    </w:p>
    <w:p w14:paraId="3D56AC30" w14:textId="77777777" w:rsidR="008B1FBF" w:rsidRPr="006A1EC7" w:rsidRDefault="008B1FBF" w:rsidP="008B1FBF">
      <w:pPr>
        <w:pStyle w:val="Heading3"/>
        <w:rPr>
          <w:rFonts w:ascii="Times New Roman" w:hAnsi="Times New Roman" w:cs="Times New Roman"/>
        </w:rPr>
      </w:pPr>
      <w:bookmarkStart w:id="172" w:name="_Toc22130115"/>
      <w:r w:rsidRPr="006A1EC7">
        <w:rPr>
          <w:rFonts w:ascii="Times New Roman" w:hAnsi="Times New Roman" w:cs="Times New Roman"/>
        </w:rPr>
        <w:t>Limitations of the Interview Study (Chapter 4 and 5)</w:t>
      </w:r>
      <w:bookmarkEnd w:id="172"/>
    </w:p>
    <w:p w14:paraId="41188ED8" w14:textId="374CDADA" w:rsidR="008B1FBF" w:rsidRPr="006A1EC7" w:rsidRDefault="008B1FBF" w:rsidP="008B1FBF">
      <w:pPr>
        <w:pStyle w:val="NoSpacing"/>
        <w:spacing w:line="360" w:lineRule="auto"/>
        <w:ind w:firstLine="720"/>
      </w:pPr>
      <w:r w:rsidRPr="006A1EC7">
        <w:t xml:space="preserve">There were, however, some limitations to the current study which warrant discussion. Firstly, as with all qualitative studies, there may be issues around generalisability of the findings to other samples, countries or healthcare systems. However, the interview study was specifically conducted with a focus on the NHS setting; as the resultant Clinical Outcome Assessment should directly relate to NHS routine clinical care and practice. Secondly, in terms of sample size, 21 participants is adequate for a qualitative study. However, taking into account that more than one family member from some families participated, it would be a fair assessment that this may have skewed the results one way or another. Thirdly, while the sample was predominantly made up of mothers, it also included a range of other family perspectives, which is rare. However, considering the rarity of this disease and the geographical disparity of participants, this study has done well to recruit a significant sample to address the research question of what constitutes syndrome severity in </w:t>
      </w:r>
      <w:r w:rsidR="009F0718" w:rsidRPr="006A1EC7">
        <w:t>WHS</w:t>
      </w:r>
      <w:r w:rsidRPr="006A1EC7">
        <w:t xml:space="preserve">. Fourthly, the majority of participants were recruited via a UK-based charity which may mean that these families had proportionately higher support. A fifth point of consideration would be that the age of participants was not taken into consideration as it was not deemed necessary for the initial purpose of the interviews and the development of a Clinician-Rated Clinical Outcome Assessment for WHS. Sixth, only one researcher (KV) did the coding of interviews. </w:t>
      </w:r>
      <w:r w:rsidRPr="006A1EC7">
        <w:lastRenderedPageBreak/>
        <w:t>However, the coding framework was developed jointly with GJ, which adds a degree of rigour and stability of the results.</w:t>
      </w:r>
    </w:p>
    <w:p w14:paraId="662CD367" w14:textId="77777777" w:rsidR="008B1FBF" w:rsidRPr="006A1EC7" w:rsidRDefault="008B1FBF" w:rsidP="008B1FBF">
      <w:pPr>
        <w:spacing w:line="360" w:lineRule="auto"/>
        <w:ind w:firstLine="720"/>
      </w:pPr>
      <w:r w:rsidRPr="006A1EC7">
        <w:t xml:space="preserve">Seven, as with all qualitative research, subjectivity must be acknowledged. Past experiences with patients with WHS, in a nursing context, may have influenced interview conduction, interaction with participants and analysis of the interviews. While some people may argue that this is a limitation of the current study, it can also be argued that this allowed the researcher to connect differently with relatives of children and adults with WHS and therefore develop a strong rapport and more substantial understanding with participants. </w:t>
      </w:r>
    </w:p>
    <w:p w14:paraId="60B6F593" w14:textId="77777777" w:rsidR="008B1FBF" w:rsidRPr="006A1EC7" w:rsidRDefault="008B1FBF" w:rsidP="008B1FBF">
      <w:pPr>
        <w:spacing w:line="276" w:lineRule="auto"/>
      </w:pPr>
    </w:p>
    <w:p w14:paraId="65F7FC77" w14:textId="77777777" w:rsidR="008B1FBF" w:rsidRPr="006A1EC7" w:rsidRDefault="008B1FBF" w:rsidP="008B1FBF"/>
    <w:p w14:paraId="09FAAE05" w14:textId="77777777" w:rsidR="008128D6" w:rsidRPr="006A1EC7" w:rsidRDefault="008128D6" w:rsidP="008B1FBF">
      <w:pPr>
        <w:spacing w:line="276" w:lineRule="auto"/>
        <w:sectPr w:rsidR="008128D6" w:rsidRPr="006A1EC7" w:rsidSect="006C7209">
          <w:pgSz w:w="11900" w:h="16840"/>
          <w:pgMar w:top="1440" w:right="1440" w:bottom="1440" w:left="1440" w:header="720" w:footer="720" w:gutter="0"/>
          <w:cols w:space="720"/>
          <w:docGrid w:linePitch="360"/>
        </w:sectPr>
      </w:pPr>
    </w:p>
    <w:p w14:paraId="60F20622" w14:textId="77777777" w:rsidR="00402D26" w:rsidRPr="006A1EC7" w:rsidRDefault="00402D26" w:rsidP="00402D26">
      <w:pPr>
        <w:pStyle w:val="Heading1"/>
        <w:spacing w:line="276" w:lineRule="auto"/>
        <w:rPr>
          <w:rFonts w:ascii="Times New Roman" w:hAnsi="Times New Roman" w:cs="Times New Roman"/>
        </w:rPr>
      </w:pPr>
      <w:bookmarkStart w:id="173" w:name="_Toc525647970"/>
      <w:bookmarkStart w:id="174" w:name="_Toc17977914"/>
      <w:bookmarkStart w:id="175" w:name="_Toc23522729"/>
      <w:bookmarkStart w:id="176" w:name="_Toc38821447"/>
      <w:bookmarkStart w:id="177" w:name="_Toc40173003"/>
      <w:r w:rsidRPr="006A1EC7">
        <w:rPr>
          <w:rFonts w:ascii="Times New Roman" w:hAnsi="Times New Roman" w:cs="Times New Roman"/>
        </w:rPr>
        <w:lastRenderedPageBreak/>
        <w:t>Chapter 6: Development of a Clinician-Rated Clinical Outcome Assessment (Validity &amp; QI-10 Study)</w:t>
      </w:r>
      <w:bookmarkEnd w:id="173"/>
      <w:bookmarkEnd w:id="174"/>
      <w:bookmarkEnd w:id="175"/>
      <w:bookmarkEnd w:id="176"/>
      <w:bookmarkEnd w:id="177"/>
    </w:p>
    <w:p w14:paraId="3FE2376B" w14:textId="77777777" w:rsidR="00402D26" w:rsidRPr="006A1EC7" w:rsidRDefault="00402D26" w:rsidP="00402D26"/>
    <w:p w14:paraId="6474E161" w14:textId="77777777" w:rsidR="00402D26" w:rsidRPr="006A1EC7" w:rsidRDefault="00402D26" w:rsidP="00402D26">
      <w:pPr>
        <w:spacing w:line="276" w:lineRule="auto"/>
      </w:pPr>
    </w:p>
    <w:p w14:paraId="72F73A73" w14:textId="77777777" w:rsidR="00402D26" w:rsidRPr="006A1EC7" w:rsidRDefault="00402D26" w:rsidP="00DA6987">
      <w:pPr>
        <w:pStyle w:val="Heading2"/>
        <w:rPr>
          <w:rFonts w:ascii="Times New Roman" w:hAnsi="Times New Roman" w:cs="Times New Roman"/>
        </w:rPr>
      </w:pPr>
      <w:bookmarkStart w:id="178" w:name="_Toc23522731"/>
      <w:bookmarkStart w:id="179" w:name="_Toc38821448"/>
      <w:bookmarkStart w:id="180" w:name="_Toc17977916"/>
      <w:bookmarkStart w:id="181" w:name="_Toc40173004"/>
      <w:r w:rsidRPr="006A1EC7">
        <w:rPr>
          <w:rFonts w:ascii="Times New Roman" w:hAnsi="Times New Roman" w:cs="Times New Roman"/>
        </w:rPr>
        <w:t>Part 1: Development of the first draft of the Clinical Outcome Assessment</w:t>
      </w:r>
      <w:bookmarkEnd w:id="178"/>
      <w:bookmarkEnd w:id="179"/>
      <w:bookmarkEnd w:id="181"/>
    </w:p>
    <w:bookmarkEnd w:id="180"/>
    <w:p w14:paraId="118A436B" w14:textId="77777777" w:rsidR="00402D26" w:rsidRPr="006A1EC7" w:rsidRDefault="00402D26" w:rsidP="00402D26">
      <w:pPr>
        <w:spacing w:line="276" w:lineRule="auto"/>
      </w:pPr>
    </w:p>
    <w:p w14:paraId="0F80831C" w14:textId="115266B7" w:rsidR="00402D26" w:rsidRPr="006A1EC7" w:rsidRDefault="00402D26" w:rsidP="0010036C">
      <w:pPr>
        <w:pStyle w:val="Heading3"/>
        <w:rPr>
          <w:rFonts w:ascii="Times New Roman" w:hAnsi="Times New Roman" w:cs="Times New Roman"/>
        </w:rPr>
      </w:pPr>
      <w:bookmarkStart w:id="182" w:name="_Toc17977917"/>
      <w:r w:rsidRPr="006A1EC7">
        <w:rPr>
          <w:rFonts w:ascii="Times New Roman" w:hAnsi="Times New Roman" w:cs="Times New Roman"/>
        </w:rPr>
        <w:t>Step 1: Identifying the relevant domains for inclusion in the initial version of the COA</w:t>
      </w:r>
      <w:bookmarkEnd w:id="182"/>
      <w:r w:rsidRPr="006A1EC7">
        <w:rPr>
          <w:rFonts w:ascii="Times New Roman" w:hAnsi="Times New Roman" w:cs="Times New Roman"/>
        </w:rPr>
        <w:t xml:space="preserve"> </w:t>
      </w:r>
    </w:p>
    <w:p w14:paraId="3C80055C" w14:textId="28C22597" w:rsidR="00402D26" w:rsidRPr="006A1EC7" w:rsidRDefault="00402D26" w:rsidP="0010036C">
      <w:pPr>
        <w:spacing w:line="360" w:lineRule="auto"/>
        <w:ind w:firstLine="720"/>
      </w:pPr>
      <w:r w:rsidRPr="006A1EC7">
        <w:t xml:space="preserve">The goal of any clinical outcome assessment is to accurately measure an underlying construct </w:t>
      </w:r>
      <w:r w:rsidRPr="006A1EC7">
        <w:fldChar w:fldCharType="begin" w:fldLock="1"/>
      </w:r>
      <w:r w:rsidRPr="006A1EC7">
        <w:instrText>ADDIN CSL_CITATION {"citationItems":[{"id":"ITEM-1","itemData":{"DOI":"10.1037/1040-3590.7.3.309","ISBN":"1040-3590 1939-134X","ISSN":"1040-3590","PMID":"15195336","abstract":"A primary goal of scale development is to create a valid measure of an underlying construct. We discuss theoretical principles, practical issues, and pragmatic decisions to help developers maximize the construct validity of scales and subscales. First, it is essential to begin with a clear conceptualization of the target construct. Moreover, the content of the initial item pool should be overinclusive and item wording needs careful attention. Next, the item pool should be tested, along with variables that assess closely related constructs, on a heterogeneous sample representing the entire range of the target population. Finally, in selecting scale items, the goal is unidimensionality rather than internal consistency; this means that virtually all interitem correlations should be moderate in magnitude. Factor analysis can play a crucial role in ensuring the unidimensionality and discriminant validity of scales.","author":[{"dropping-particle":"","family":"Clark","given":"Lee Anna","non-dropping-particle":"","parse-names":false,"suffix":""},{"dropping-particle":"","family":"Watson","given":"David","non-dropping-particle":"","parse-names":false,"suffix":""}],"container-title":"Psychological assessment","id":"ITEM-1","issue":"3","issued":{"date-parts":[["1995"]]},"page":"309-319","title":"Constructing validity: Basic issues in objective scale development","type":"article-journal","volume":"7"},"uris":["http://www.mendeley.com/documents/?uuid=20320aac-a109-4d75-86ea-cfe805b4becb"]},{"id":"ITEM-2","itemData":{"DOI":"10.1016/S1353-8020(11)70070-0","ISSN":"1873-5126","PMID":"22166443","abstract":"In Parkinson's disease (PD), rating scales are used to assess the degree of disease-related disability and to titrate long-term treatment to each phase of the disease. Recognition of non-motor symptoms required modification of existing widely used scales to integrate non-motor elements. In addition, new scales have been developed for the assessment of non-motor symptoms. In this article, assessment of PD patients will be discussed, particularly for non-motor symptoms such as pain and fatigue","author":[{"dropping-particle":"","family":"Relja","given":"Maja","non-dropping-particle":"","parse-names":false,"suffix":""}],"container-title":"Parkinsonism Relat Disord","id":"ITEM-2","issued":{"date-parts":[["2012"]]},"page":"S229-S232","publisher":"Elsevier Ltd","title":"Clinical rating scales","type":"article-journal","volume":"18 Suppl 1"},"uris":["http://www.mendeley.com/documents/?uuid=4d5ff867-143e-418a-a835-8e0636eec381"]}],"mendeley":{"formattedCitation":"(Clark &amp; Watson, 1995; Relja, 2012)","manualFormatting":"(Clark &amp; Watson, 1995; Relja, 2012)","plainTextFormattedCitation":"(Clark &amp; Watson, 1995; Relja, 2012)","previouslyFormattedCitation":"(Clark &amp; Watson, 1995; Relja, 2012)"},"properties":{"noteIndex":0},"schema":"https://github.com/citation-style-language/schema/raw/master/csl-citation.json"}</w:instrText>
      </w:r>
      <w:r w:rsidRPr="006A1EC7">
        <w:fldChar w:fldCharType="separate"/>
      </w:r>
      <w:r w:rsidRPr="006A1EC7">
        <w:rPr>
          <w:noProof/>
        </w:rPr>
        <w:t>(Clark &amp; Watson, 1995; Relja, 2012)</w:t>
      </w:r>
      <w:r w:rsidRPr="006A1EC7">
        <w:fldChar w:fldCharType="end"/>
      </w:r>
      <w:r w:rsidRPr="006A1EC7">
        <w:t xml:space="preserve">. Examples are the Medical Research Council Prion Disease Rating scale which assesses the underlying construct of ‘Prion Disease’ across five domains which are cognitive function, speech, mobility, personal care/feeding and continence </w:t>
      </w:r>
      <w:r w:rsidRPr="006A1EC7">
        <w:fldChar w:fldCharType="begin" w:fldLock="1"/>
      </w:r>
      <w:r w:rsidRPr="006A1EC7">
        <w:instrText>ADDIN CSL_CITATION {"citationItems":[{"id":"ITEM-1","itemData":{"DOI":"10.1093/brain/awt048","ISBN":"1460-2156 (Electronic)\\r0006-8950 (Linking)","ISSN":"14602156","PMID":"23550114","abstract":"Progress in therapeutics for rare disorders like prion disease is impeded by the lack of validated outcome measures and a paucity of natural history data derived from prospective observational studies. The first analysis of the UK National Prion Monitoring Cohort involved 1337 scheduled clinical assessments and 479 telephone assessments in 437 participants over 373 patient-years of follow-up. Scale development has included semi-quantitative and qualitative carer interviews, item response modelling (Rasch analysis), inter-rater reliability testing, construct analysis and correlation with several existing scales. The proposed 20-point Medical Research Council Prion Disease Rating Scale assesses domains of cognitive function, speech, mobility, personal care/feeding and continence, according to their relative importance documented by carer interviews. It is quick and simple to administer, and has been validated for use by doctors and nurses and for use over the telephone, allowing for frequent assessments that capture the rapid change typical of these diseases. The Medical Research Council Scale correlates highly with widely used cognitive and single item scales, but has substantial advantages over these including minimal floor effects. Three clear patterns of decline were observed using the scale: fast linear decline, slow linear decline (usually inherited prion disease) and in some patients, decline followed by a prolonged preterminal plateau at very low functional levels. Rates of decline and progress through milestones measured using the scale vary between sporadic, acquired and inherited prion diseases following clinical expectations. We have developed and validated a new functionally-oriented outcome measure and propose that future clinical trials in prion disease should collect data compatible with this scale, to allow for combined and comparative analyses. Such approaches may be advantageous in orphan conditions, where single studies of feasible duration will often struggle to achieve statistical power.","author":[{"dropping-particle":"","family":"Thompson","given":"Andrew G.B. B","non-dropping-particle":"","parse-names":false,"suffix":""},{"dropping-particle":"","family":"Lowe","given":"Jessica","non-dropping-particle":"","parse-names":false,"suffix":""},{"dropping-particle":"","family":"Fox","given":"Zoe","non-dropping-particle":"","parse-names":false,"suffix":""},{"dropping-particle":"","family":"Lukic","given":"Ana","non-dropping-particle":"","parse-names":false,"suffix":""},{"dropping-particle":"","family":"Porter","given":"Marie Claire","non-dropping-particle":"","parse-names":false,"suffix":""},{"dropping-particle":"","family":"Ford","given":"Liz","non-dropping-particle":"","parse-names":false,"suffix":""},{"dropping-particle":"","family":"Gorham","given":"Michele","non-dropping-particle":"","parse-names":false,"suffix":""},{"dropping-particle":"","family":"Gopalakrishnan","given":"Gosala S.","non-dropping-particle":"","parse-names":false,"suffix":""},{"dropping-particle":"","family":"Rudge","given":"Peter","non-dropping-particle":"","parse-names":false,"suffix":""},{"dropping-particle":"","family":"Walker","given":"A. Sarah","non-dropping-particle":"","parse-names":false,"suffix":""},{"dropping-particle":"","family":"Collinge","given":"John","non-dropping-particle":"","parse-names":false,"suffix":""},{"dropping-particle":"","family":"Mead","given":"Simon","non-dropping-particle":"","parse-names":false,"suffix":""}],"container-title":"Brain","id":"ITEM-1","issue":"4","issued":{"date-parts":[["2013"]]},"page":"1116-1127","title":"The medical research council prion disease rating scale: A new outcome measure for prion disease therapeutic trials developed and validated using systematic observational studies","type":"article-journal","volume":"136"},"uris":["http://www.mendeley.com/documents/?uuid=3aabe36a-1ae9-4f82-8507-208c33376690"]}],"mendeley":{"formattedCitation":"(Thompson et al., 2013)","plainTextFormattedCitation":"(Thompson et al., 2013)","previouslyFormattedCitation":"(Thompson et al., 2013)"},"properties":{"noteIndex":0},"schema":"https://github.com/citation-style-language/schema/raw/master/csl-citation.json"}</w:instrText>
      </w:r>
      <w:r w:rsidRPr="006A1EC7">
        <w:fldChar w:fldCharType="separate"/>
      </w:r>
      <w:r w:rsidRPr="006A1EC7">
        <w:rPr>
          <w:noProof/>
        </w:rPr>
        <w:t>(Thompson et al., 2013)</w:t>
      </w:r>
      <w:r w:rsidRPr="006A1EC7">
        <w:fldChar w:fldCharType="end"/>
      </w:r>
      <w:r w:rsidRPr="006A1EC7">
        <w:t xml:space="preserve">, or the Unified Batten Disease Rating Scale which was assesses the underlying construct of ‘Batten disease’ across three domains which are physical signs, behaviour and functional capability </w:t>
      </w:r>
      <w:r w:rsidRPr="006A1EC7">
        <w:fldChar w:fldCharType="begin" w:fldLock="1"/>
      </w:r>
      <w:r w:rsidRPr="006A1EC7">
        <w:instrText>ADDIN CSL_CITATION {"citationItems":[{"id":"ITEM-1","itemData":{"DOI":"10.1212/01.wnl.0000169019.41332.8a","ISSN":"0028-3878","PMID":"16043799","author":[{"dropping-particle":"","family":"Marshall","given":"F. J.","non-dropping-particle":"","parse-names":false,"suffix":""},{"dropping-particle":"","family":"Blieck","given":"E.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A.","non-dropping-particle":"","parse-names":false,"suffix":""},{"dropping-particle":"","family":"Blieck","given":"A","non-dropping-particle":"de","parse-names":false,"suffix":""},{"dropping-particle":"","family":"Mink","given":"J.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A.","non-dropping-particle":"","parse-names":false,"suffix":""}],"container-title":"Neurology","id":"ITEM-1","issue":"2","issued":{"date-parts":[["2005","7","26"]]},"page":"275-279","title":"A clinical rating scale for Batten disease - Reliable and relevant for clinical trials","type":"article-journal","volume":"65"},"uris":["http://www.mendeley.com/documents/?uuid=c9f50261-d3cf-4817-8e76-d48524a5d6c3"]}],"mendeley":{"formattedCitation":"(F. J. Marshall, de Blieck, et al., 2005b)","manualFormatting":"(Marshall et al., 2005)","plainTextFormattedCitation":"(F. J. Marshall, de Blieck, et al., 2005b)","previouslyFormattedCitation":"(F. J. Marshall, de Blieck, et al., 2005b)"},"properties":{"noteIndex":0},"schema":"https://github.com/citation-style-language/schema/raw/master/csl-citation.json"}</w:instrText>
      </w:r>
      <w:r w:rsidRPr="006A1EC7">
        <w:fldChar w:fldCharType="separate"/>
      </w:r>
      <w:r w:rsidRPr="006A1EC7">
        <w:rPr>
          <w:noProof/>
        </w:rPr>
        <w:t>(Marshall et al., 2005)</w:t>
      </w:r>
      <w:r w:rsidRPr="006A1EC7">
        <w:fldChar w:fldCharType="end"/>
      </w:r>
      <w:r w:rsidRPr="006A1EC7">
        <w:t xml:space="preserve">. Underlying this is the idea that by measuring different aspects of a condition or illness, one is able to quantify the overall condition effect/functioning/status and locate an individual (and the presentation of their illness) on a scale </w:t>
      </w:r>
      <w:r w:rsidRPr="006A1EC7">
        <w:fldChar w:fldCharType="begin" w:fldLock="1"/>
      </w:r>
      <w:r w:rsidRPr="006A1EC7">
        <w:instrText>ADDIN CSL_CITATION {"citationItems":[{"id":"ITEM-1","itemData":{"DOI":"10.1037/1040-3590.7.3.309","ISBN":"1040-3590 1939-134X","ISSN":"1040-3590","PMID":"15195336","abstract":"A primary goal of scale development is to create a valid measure of an underlying construct. We discuss theoretical principles, practical issues, and pragmatic decisions to help developers maximize the construct validity of scales and subscales. First, it is essential to begin with a clear conceptualization of the target construct. Moreover, the content of the initial item pool should be overinclusive and item wording needs careful attention. Next, the item pool should be tested, along with variables that assess closely related constructs, on a heterogeneous sample representing the entire range of the target population. Finally, in selecting scale items, the goal is unidimensionality rather than internal consistency; this means that virtually all interitem correlations should be moderate in magnitude. Factor analysis can play a crucial role in ensuring the unidimensionality and discriminant validity of scales.","author":[{"dropping-particle":"","family":"Clark","given":"Lee Anna","non-dropping-particle":"","parse-names":false,"suffix":""},{"dropping-particle":"","family":"Watson","given":"David","non-dropping-particle":"","parse-names":false,"suffix":""}],"container-title":"Psychological assessment","id":"ITEM-1","issue":"3","issued":{"date-parts":[["1995"]]},"page":"309-319","title":"Constructing validity: Basic issues in objective scale development","type":"article-journal","volume":"7"},"uris":["http://www.mendeley.com/documents/?uuid=20320aac-a109-4d75-86ea-cfe805b4becb"]},{"id":"ITEM-2","itemData":{"DOI":"10.1016/S1353-8020(11)70070-0","ISSN":"1873-5126","PMID":"22166443","abstract":"In Parkinson's disease (PD), rating scales are used to assess the degree of disease-related disability and to titrate long-term treatment to each phase of the disease. Recognition of non-motor symptoms required modification of existing widely used scales to integrate non-motor elements. In addition, new scales have been developed for the assessment of non-motor symptoms. In this article, assessment of PD patients will be discussed, particularly for non-motor symptoms such as pain and fatigue","author":[{"dropping-particle":"","family":"Relja","given":"Maja","non-dropping-particle":"","parse-names":false,"suffix":""}],"container-title":"Parkinsonism Relat Disord","id":"ITEM-2","issued":{"date-parts":[["2012"]]},"page":"S229-S232","publisher":"Elsevier Ltd","title":"Clinical rating scales","type":"article-journal","volume":"18 Suppl 1"},"uris":["http://www.mendeley.com/documents/?uuid=4d5ff867-143e-418a-a835-8e0636eec381"]}],"mendeley":{"formattedCitation":"(Clark &amp; Watson, 1995; Relja, 2012)","manualFormatting":"(Clark &amp; Watson, 1995; Relja, 2012)","plainTextFormattedCitation":"(Clark &amp; Watson, 1995; Relja, 2012)","previouslyFormattedCitation":"(Clark &amp; Watson, 1995; Relja, 2012)"},"properties":{"noteIndex":0},"schema":"https://github.com/citation-style-language/schema/raw/master/csl-citation.json"}</w:instrText>
      </w:r>
      <w:r w:rsidRPr="006A1EC7">
        <w:fldChar w:fldCharType="separate"/>
      </w:r>
      <w:r w:rsidRPr="006A1EC7">
        <w:rPr>
          <w:noProof/>
        </w:rPr>
        <w:t>(Clark &amp; Watson, 1995; Relja, 2012)</w:t>
      </w:r>
      <w:r w:rsidRPr="006A1EC7">
        <w:fldChar w:fldCharType="end"/>
      </w:r>
      <w:r w:rsidRPr="006A1EC7">
        <w:t xml:space="preserve"> or allow comparisons and estimates of health status/functioning/condition effect between different individuals (with or without the condition). </w:t>
      </w:r>
    </w:p>
    <w:p w14:paraId="28B4CE4C" w14:textId="651B2D46" w:rsidR="00402D26" w:rsidRPr="006A1EC7" w:rsidRDefault="00402D26" w:rsidP="00402D26">
      <w:pPr>
        <w:spacing w:line="360" w:lineRule="auto"/>
        <w:ind w:firstLine="720"/>
      </w:pPr>
      <w:r w:rsidRPr="006A1EC7">
        <w:tab/>
        <w:t xml:space="preserve">A domain of a COA corresponds to a set of </w:t>
      </w:r>
      <w:r w:rsidRPr="006A1EC7">
        <w:rPr>
          <w:i/>
        </w:rPr>
        <w:t xml:space="preserve">“related physiological functions, anatomical structures, actions, tasks, or areas of life” </w:t>
      </w:r>
      <w:r w:rsidRPr="006A1EC7">
        <w:fldChar w:fldCharType="begin" w:fldLock="1"/>
      </w:r>
      <w:r w:rsidRPr="006A1EC7">
        <w:instrText>ADDIN CSL_CITATION {"citationItems":[{"id":"ITEM-1","itemData":{"author":[{"dropping-particle":"","family":"World Health Organisation","given":"","non-dropping-particle":"","parse-names":false,"suffix":""}],"id":"ITEM-1","issued":{"date-parts":[["2016"]]},"title":"International Statistical Classification of Disease and Related Health Problems, 10th Revision (ICD-10) - Chapter XVII: Congenital malformations, deformations and chromosomal abnormalities (Q00-Q99)","type":"article-journal"},"uris":["http://www.mendeley.com/documents/?uuid=788788a4-a714-4429-ba17-389ee0b97985"]}],"mendeley":{"formattedCitation":"(World Health Organisation, 2016)","plainTextFormattedCitation":"(World Health Organisation, 2016)","previouslyFormattedCitation":"(World Health Organisation, 2016)"},"properties":{"noteIndex":0},"schema":"https://github.com/citation-style-language/schema/raw/master/csl-citation.json"}</w:instrText>
      </w:r>
      <w:r w:rsidRPr="006A1EC7">
        <w:fldChar w:fldCharType="separate"/>
      </w:r>
      <w:r w:rsidRPr="006A1EC7">
        <w:rPr>
          <w:noProof/>
        </w:rPr>
        <w:t>(World Health Organisation, 2016)</w:t>
      </w:r>
      <w:r w:rsidRPr="006A1EC7">
        <w:fldChar w:fldCharType="end"/>
      </w:r>
      <w:r w:rsidRPr="006A1EC7">
        <w:t>. A synonym for domain is ‘section’</w:t>
      </w:r>
      <w:r w:rsidRPr="006A1EC7">
        <w:rPr>
          <w:rStyle w:val="FootnoteReference"/>
        </w:rPr>
        <w:footnoteReference w:id="17"/>
      </w:r>
      <w:r w:rsidRPr="006A1EC7">
        <w:t xml:space="preserve">. Furthermore, the nomenclature ‘domain’ is coherent with guidance provided by the WHO’s International Classification of Functioning, Disability and Health Framework – as briefly discussed in Chapter 2. </w:t>
      </w:r>
    </w:p>
    <w:p w14:paraId="3B5AF780" w14:textId="1A113C14" w:rsidR="00402D26" w:rsidRPr="006A1EC7" w:rsidRDefault="00402D26" w:rsidP="00402D26">
      <w:pPr>
        <w:spacing w:line="360" w:lineRule="auto"/>
        <w:ind w:firstLine="720"/>
      </w:pPr>
      <w:r w:rsidRPr="006A1EC7">
        <w:t xml:space="preserve">Assessing patients on different domains (and combining their scores to a total score) has the advantage that different aspects of a person’s functioning/HRQoL can be assessed and quantified; for example, scores on different domains may also highlight areas that do and do not require intervention of different kinds, such as medical, social or occupational. This may also, to some extent, address patient-HCP communication about ‘health’; emphasising that perceived HRQoL or functioning is a more important </w:t>
      </w:r>
      <w:r w:rsidRPr="006A1EC7">
        <w:lastRenderedPageBreak/>
        <w:t>determinant of ‘</w:t>
      </w:r>
      <w:r w:rsidRPr="006A1EC7">
        <w:rPr>
          <w:i/>
          <w:iCs/>
        </w:rPr>
        <w:t>health</w:t>
      </w:r>
      <w:r w:rsidRPr="006A1EC7">
        <w:t xml:space="preserve">’ than a diagnosis of a health condition (e.g. </w:t>
      </w:r>
      <w:r w:rsidRPr="006A1EC7">
        <w:fldChar w:fldCharType="begin" w:fldLock="1"/>
      </w:r>
      <w:r w:rsidRPr="006A1EC7">
        <w:instrText>ADDIN CSL_CITATION {"citationItems":[{"id":"ITEM-1","itemData":{"DOI":"10.1177/0004867416688098","ISBN":"0004867416","ISSN":"14401614","PMID":"28118728","abstract":"\r\nBackground: Functioning is one of the key domains emphasised in the routine assessment of outcomes that has been\r\noccurring in specialised public sector mental health services across Australia since 2002, via the National Outcomes and\r\nCasemix Collection. For adult consumers (aged 18–64), the 16-item Life Skills Profile (LSP-16) has been the instrument\r\nof choice to measure functioning. However, review of the National Outcomes and Casemix Collection protocol has\r\nhighlighted some limitations to the current approach to measuring functioning. A systematic review was conducted to\r\nidentify, against a set of pre-determined criteria, the most suitable existing clinician-rated instruments for the routine\r\nmeasurement of functioning for adult consumers.\r\nMethod: We used two existing reviews of functioning measures as our starting point and conducted a search of MEDLINE\r\nand PsycINFO to identify articles relating to additional clinician-rated instruments. We evaluated identified instruments\r\nusing a hierarchical, criterion-based approach. The criteria were as follows: (1) is brief (&lt;50 items) and simple to\r\nscore, (2) is not made redundant by more recent instruments, (3) relevant version has been scientifically scrutinised, (4)\r\nconsiders functioning in a contemporary way and (5) demonstrates sound psychometric properties.\r\nResults: We identified 20 relevant instruments, 5 of which met our criteria: the LSP-16, the Health of the Nation Outcome\r\nScales, the Illness Management and Recovery Scale–Clinician Version, the Multnomah Community Ability Scale and\r\nthe Personal and Social Performance Scale.\r\nConclusion: Further work is required to determine which, if any, of these instruments satisfy further criteria relating to\r\ntheir appropriateness for assessing functioning within relevant service contexts, acceptability to clinicians and consumers,\r\nand feasibility in routine practice. This should involve seeking stakeholders’ opinions (e.g. about the specific domains\r\nof functioning covered by each instrument and the language used in individual items) and testing completion rates in busy\r\nservice settings.","author":[{"dropping-particle":"","family":"Burgess","given":"Philip M.","non-dropping-particle":"","parse-names":false,"suffix":""},{"dropping-particle":"","family":"Harris","given":"Meredith G.","non-dropping-particle":"","parse-names":false,"suffix":""},{"dropping-particle":"","family":"Coombs","given":"Tim","non-dropping-particle":"","parse-names":false,"suffix":""},{"dropping-particle":"","family":"Pirkis","given":"Jane E.","non-dropping-particle":"","parse-names":false,"suffix":""}],"container-title":"Australian and New Zealand Journal of Psychiatry","id":"ITEM-1","issue":"4","issued":{"date-parts":[["2017"]]},"page":"338-354","title":"A systematic review of clinician-rated instruments to assess adults' levels of functioning in specialised public sector mental health services","type":"article-journal","volume":"51"},"uris":["http://www.mendeley.com/documents/?uuid=c289b8b5-6dd6-41c8-a9e2-7678eb4e15bf"]},{"id":"ITEM-2","itemData":{"author":[{"dropping-particle":"","family":"World Health Organisation","given":"","non-dropping-particle":"","parse-names":false,"suffix":""}],"id":"ITEM-2","issued":{"date-parts":[["2016"]]},"title":"International Statistical Classification of Disease and Related Health Problems, 10th Revision (ICD-10) - Chapter XVII: Congenital malformations, deformations and chromosomal abnormalities (Q00-Q99)","type":"article-journal"},"uris":["http://www.mendeley.com/documents/?uuid=788788a4-a714-4429-ba17-389ee0b97985"]}],"mendeley":{"formattedCitation":"(Burgess et al., 2017; World Health Organisation, 2016)","manualFormatting":"Burgess et al., 2017; World Health Organisation, 2016)","plainTextFormattedCitation":"(Burgess et al., 2017; World Health Organisation, 2016)","previouslyFormattedCitation":"(Burgess et al., 2017; World Health Organisation, 2016)"},"properties":{"noteIndex":0},"schema":"https://github.com/citation-style-language/schema/raw/master/csl-citation.json"}</w:instrText>
      </w:r>
      <w:r w:rsidRPr="006A1EC7">
        <w:fldChar w:fldCharType="separate"/>
      </w:r>
      <w:r w:rsidRPr="006A1EC7">
        <w:rPr>
          <w:noProof/>
        </w:rPr>
        <w:t>Burgess et al., 2017; World Health Organisation, 2016)</w:t>
      </w:r>
      <w:r w:rsidRPr="006A1EC7">
        <w:fldChar w:fldCharType="end"/>
      </w:r>
      <w:r w:rsidRPr="006A1EC7">
        <w:t xml:space="preserve">. </w:t>
      </w:r>
    </w:p>
    <w:p w14:paraId="2BD5C4B0" w14:textId="77777777" w:rsidR="00402D26" w:rsidRPr="006A1EC7" w:rsidRDefault="00402D26" w:rsidP="00402D26">
      <w:pPr>
        <w:spacing w:line="360" w:lineRule="auto"/>
      </w:pPr>
    </w:p>
    <w:p w14:paraId="42E76FF3" w14:textId="77777777" w:rsidR="00402D26" w:rsidRPr="006A1EC7" w:rsidRDefault="00402D26" w:rsidP="00402D26">
      <w:pPr>
        <w:spacing w:line="360" w:lineRule="auto"/>
      </w:pPr>
      <w:r w:rsidRPr="006A1EC7">
        <w:t>Developing the COA domains</w:t>
      </w:r>
    </w:p>
    <w:p w14:paraId="0208A7F4" w14:textId="3B4AB79B" w:rsidR="00402D26" w:rsidRPr="006A1EC7" w:rsidRDefault="00402D26" w:rsidP="0010036C">
      <w:pPr>
        <w:spacing w:line="360" w:lineRule="auto"/>
        <w:ind w:firstLine="720"/>
      </w:pPr>
      <w:r w:rsidRPr="006A1EC7">
        <w:t xml:space="preserve">The domains for the current COA were developed on the basis of the findings from the qualitative interview study (Chapter 4, 5); where Theme 1 reflected the clinical features of WHS. To reiterate, this theme had 10 sub-themes. </w:t>
      </w:r>
    </w:p>
    <w:p w14:paraId="211FEE5F" w14:textId="3C7294D8" w:rsidR="00402D26" w:rsidRPr="006A1EC7" w:rsidRDefault="00402D26" w:rsidP="00744A8E">
      <w:pPr>
        <w:spacing w:line="360" w:lineRule="auto"/>
      </w:pPr>
      <w:r w:rsidRPr="006A1EC7">
        <w:t xml:space="preserve">These subthemes were used to identify domains for the COA. In this context, </w:t>
      </w:r>
    </w:p>
    <w:p w14:paraId="610864DD" w14:textId="10F366C5" w:rsidR="00402D26" w:rsidRPr="006A1EC7" w:rsidRDefault="00402D26" w:rsidP="00402D26">
      <w:pPr>
        <w:spacing w:line="360" w:lineRule="auto"/>
      </w:pPr>
      <w:r w:rsidRPr="006A1EC7">
        <w:t xml:space="preserve">negative subthemes were excluded in the first instance due to the low prevalence across the sample and for lack of reports in the literature. To ensure that this exclusion was warranted, the international panel of clinicians consulted for the expert study (described in Chapter 6, Part 4.2) will be given the opportunity to comment whether any important or relevant clinical features were missed in the COA. </w:t>
      </w:r>
    </w:p>
    <w:p w14:paraId="4ECDAD74" w14:textId="556F7E5C" w:rsidR="00402D26" w:rsidRPr="006A1EC7" w:rsidRDefault="00402D26" w:rsidP="00402D26">
      <w:pPr>
        <w:spacing w:line="360" w:lineRule="auto"/>
        <w:ind w:firstLine="720"/>
      </w:pPr>
      <w:r w:rsidRPr="006A1EC7">
        <w:t xml:space="preserve">Based on the these above considerations, the ten remaining sub-themes of Theme 1 were Epilepsy, Gastrointestinal and Urological aspects, Low immunity, Cardiac and respiratory problems, Central Nervous System, Cognitive Behavioural Aspects, Sleep, Mobility, Level of care and Other (Growing, Facial Features, Dermatology, Blood clotting, Internal malformations, Problems with veins). </w:t>
      </w:r>
    </w:p>
    <w:p w14:paraId="43842AEF" w14:textId="51EA19F4" w:rsidR="00402D26" w:rsidRPr="006A1EC7" w:rsidRDefault="00402D26" w:rsidP="00402D26">
      <w:pPr>
        <w:spacing w:line="360" w:lineRule="auto"/>
        <w:ind w:firstLine="720"/>
      </w:pPr>
      <w:r w:rsidRPr="006A1EC7">
        <w:t>In order to reduce the overall number of domains of the COA, Themes 1.6 (Cognitive-behavioural aspects) and 1.8 (Mobility) were collapsed into a new categorisation/domain, called ‘Functional assessment’, which corresponds to abilities and skills in the domains of language, communication, sitting, standing, walking and taking part in community activities (play, school). The subtheme “Other” was split. The sub-subtheme ‘Growing’ was not deemed suitable for quantitative assessment within the COA; however, questions relating to gestational week born, weight, height and circumference are included on the first page of the COA (Table 10). The sub-subtheme ‘Facial features’ was included as a domain. Excluded were subthemes 1.10.3-1.10.6, due to non-specificity to WHS.</w:t>
      </w:r>
    </w:p>
    <w:p w14:paraId="406FECF7" w14:textId="77777777" w:rsidR="00402D26" w:rsidRPr="006A1EC7" w:rsidRDefault="00402D26" w:rsidP="00402D26">
      <w:pPr>
        <w:spacing w:line="360" w:lineRule="auto"/>
      </w:pPr>
      <w:r w:rsidRPr="006A1EC7">
        <w:t>This therefore results in nine categories for the first draft of the COA; illustrated in Graphic 12.</w:t>
      </w:r>
    </w:p>
    <w:p w14:paraId="20E286EA" w14:textId="3B063CAF" w:rsidR="00402D26" w:rsidRPr="006A1EC7" w:rsidRDefault="00402D26" w:rsidP="00402D26"/>
    <w:p w14:paraId="7952CFE6" w14:textId="78FEB1F2" w:rsidR="0010036C" w:rsidRPr="006A1EC7" w:rsidRDefault="0010036C" w:rsidP="00402D26"/>
    <w:p w14:paraId="5DFD99CE" w14:textId="65026EA4" w:rsidR="0010036C" w:rsidRPr="006A1EC7" w:rsidRDefault="0010036C" w:rsidP="00402D26"/>
    <w:p w14:paraId="295B7E9E" w14:textId="77777777" w:rsidR="0010036C" w:rsidRPr="006A1EC7" w:rsidRDefault="0010036C" w:rsidP="00402D26"/>
    <w:p w14:paraId="019A1E2E" w14:textId="36154299" w:rsidR="0010036C" w:rsidRPr="006A1EC7" w:rsidRDefault="0010036C" w:rsidP="0010036C">
      <w:pPr>
        <w:pStyle w:val="Heading3"/>
        <w:rPr>
          <w:rFonts w:ascii="Times New Roman" w:hAnsi="Times New Roman" w:cs="Times New Roman"/>
        </w:rPr>
      </w:pPr>
      <w:r w:rsidRPr="006A1EC7">
        <w:rPr>
          <w:rFonts w:ascii="Times New Roman" w:hAnsi="Times New Roman" w:cs="Times New Roman"/>
        </w:rPr>
        <w:lastRenderedPageBreak/>
        <w:t>Step 2: Development of a Conceptual framework</w:t>
      </w:r>
    </w:p>
    <w:p w14:paraId="03A90C56" w14:textId="77777777" w:rsidR="0092678A" w:rsidRPr="006A1EC7" w:rsidRDefault="0092678A" w:rsidP="0010036C">
      <w:pPr>
        <w:spacing w:line="360" w:lineRule="auto"/>
        <w:ind w:firstLine="720"/>
      </w:pPr>
    </w:p>
    <w:p w14:paraId="31BFD0D2" w14:textId="126FB78A" w:rsidR="008B1FBF" w:rsidRPr="006A1EC7" w:rsidRDefault="0010036C" w:rsidP="0010036C">
      <w:pPr>
        <w:spacing w:line="360" w:lineRule="auto"/>
        <w:ind w:firstLine="720"/>
      </w:pPr>
      <w:r w:rsidRPr="006A1EC7">
        <w:t>Arising from participant discourse and the above Graphic, a conceptual framework</w:t>
      </w:r>
      <w:r w:rsidRPr="006A1EC7">
        <w:rPr>
          <w:rStyle w:val="FootnoteReference"/>
        </w:rPr>
        <w:footnoteReference w:id="18"/>
      </w:r>
      <w:r w:rsidRPr="006A1EC7">
        <w:t xml:space="preserve"> for the COA for WHS was developed (depicted in Graphic 1</w:t>
      </w:r>
      <w:r w:rsidR="0092678A" w:rsidRPr="006A1EC7">
        <w:t>3</w:t>
      </w:r>
      <w:r w:rsidRPr="006A1EC7">
        <w:t>).</w:t>
      </w:r>
    </w:p>
    <w:p w14:paraId="3FB04577" w14:textId="6865C10B" w:rsidR="00402D26" w:rsidRPr="006A1EC7" w:rsidRDefault="00402D26" w:rsidP="008B1FBF">
      <w:pPr>
        <w:spacing w:line="276" w:lineRule="auto"/>
      </w:pPr>
    </w:p>
    <w:p w14:paraId="039AA487" w14:textId="52CEBBCB" w:rsidR="008128D6" w:rsidRPr="006A1EC7" w:rsidRDefault="008128D6" w:rsidP="003D5EAC">
      <w:pPr>
        <w:pStyle w:val="Heading3"/>
        <w:rPr>
          <w:rFonts w:ascii="Times New Roman" w:hAnsi="Times New Roman" w:cs="Times New Roman"/>
        </w:rPr>
      </w:pPr>
      <w:bookmarkStart w:id="183" w:name="_Toc39270694"/>
      <w:bookmarkStart w:id="184" w:name="_Toc40173035"/>
      <w:r w:rsidRPr="006A1EC7">
        <w:rPr>
          <w:rFonts w:ascii="Times New Roman" w:hAnsi="Times New Roman" w:cs="Times New Roman"/>
        </w:rPr>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007B106F" w:rsidRPr="006A1EC7">
        <w:rPr>
          <w:rFonts w:ascii="Times New Roman" w:hAnsi="Times New Roman" w:cs="Times New Roman"/>
          <w:noProof/>
        </w:rPr>
        <w:t>10</w:t>
      </w:r>
      <w:r w:rsidRPr="006A1EC7">
        <w:rPr>
          <w:rFonts w:ascii="Times New Roman" w:hAnsi="Times New Roman" w:cs="Times New Roman"/>
        </w:rPr>
        <w:fldChar w:fldCharType="end"/>
      </w:r>
      <w:r w:rsidRPr="006A1EC7">
        <w:rPr>
          <w:rFonts w:ascii="Times New Roman" w:hAnsi="Times New Roman" w:cs="Times New Roman"/>
        </w:rPr>
        <w:t>: Translation of Theme 1 (Clinical Features, Chapter 4) into the COA draft</w:t>
      </w:r>
      <w:bookmarkEnd w:id="183"/>
      <w:bookmarkEnd w:id="184"/>
    </w:p>
    <w:tbl>
      <w:tblPr>
        <w:tblStyle w:val="TableGrid"/>
        <w:tblW w:w="9209" w:type="dxa"/>
        <w:tblLook w:val="04A0" w:firstRow="1" w:lastRow="0" w:firstColumn="1" w:lastColumn="0" w:noHBand="0" w:noVBand="1"/>
      </w:tblPr>
      <w:tblGrid>
        <w:gridCol w:w="2082"/>
        <w:gridCol w:w="2300"/>
        <w:gridCol w:w="8"/>
        <w:gridCol w:w="4819"/>
      </w:tblGrid>
      <w:tr w:rsidR="008128D6" w:rsidRPr="006A1EC7" w14:paraId="7CD979B2" w14:textId="77777777" w:rsidTr="008128D6">
        <w:tc>
          <w:tcPr>
            <w:tcW w:w="2082" w:type="dxa"/>
          </w:tcPr>
          <w:p w14:paraId="1B5B2802" w14:textId="77777777" w:rsidR="008128D6" w:rsidRPr="006A1EC7" w:rsidRDefault="008128D6" w:rsidP="008128D6">
            <w:pPr>
              <w:spacing w:line="276" w:lineRule="auto"/>
              <w:rPr>
                <w:sz w:val="18"/>
                <w:szCs w:val="18"/>
              </w:rPr>
            </w:pPr>
            <w:r w:rsidRPr="006A1EC7">
              <w:rPr>
                <w:sz w:val="18"/>
                <w:szCs w:val="18"/>
              </w:rPr>
              <w:t>Theme 1: Subthemes</w:t>
            </w:r>
          </w:p>
        </w:tc>
        <w:tc>
          <w:tcPr>
            <w:tcW w:w="7127" w:type="dxa"/>
            <w:gridSpan w:val="3"/>
          </w:tcPr>
          <w:p w14:paraId="131A8E80" w14:textId="77777777" w:rsidR="008128D6" w:rsidRPr="006A1EC7" w:rsidRDefault="008128D6" w:rsidP="008128D6">
            <w:pPr>
              <w:spacing w:line="276" w:lineRule="auto"/>
              <w:rPr>
                <w:sz w:val="18"/>
                <w:szCs w:val="18"/>
              </w:rPr>
            </w:pPr>
            <w:r w:rsidRPr="006A1EC7">
              <w:rPr>
                <w:sz w:val="18"/>
                <w:szCs w:val="18"/>
              </w:rPr>
              <w:t>Decision about COA inclusion/exclusion</w:t>
            </w:r>
          </w:p>
        </w:tc>
      </w:tr>
      <w:tr w:rsidR="008128D6" w:rsidRPr="006A1EC7" w14:paraId="1313F805" w14:textId="77777777" w:rsidTr="008128D6">
        <w:trPr>
          <w:trHeight w:val="698"/>
        </w:trPr>
        <w:tc>
          <w:tcPr>
            <w:tcW w:w="2082" w:type="dxa"/>
            <w:shd w:val="clear" w:color="auto" w:fill="92D050"/>
          </w:tcPr>
          <w:p w14:paraId="3E1EA085" w14:textId="77777777" w:rsidR="008128D6" w:rsidRPr="006A1EC7" w:rsidRDefault="008128D6" w:rsidP="008128D6">
            <w:pPr>
              <w:spacing w:line="276" w:lineRule="auto"/>
              <w:rPr>
                <w:sz w:val="18"/>
                <w:szCs w:val="18"/>
              </w:rPr>
            </w:pPr>
            <w:r w:rsidRPr="006A1EC7">
              <w:rPr>
                <w:sz w:val="18"/>
                <w:szCs w:val="18"/>
              </w:rPr>
              <w:t>1.1 Epilepsy</w:t>
            </w:r>
          </w:p>
        </w:tc>
        <w:tc>
          <w:tcPr>
            <w:tcW w:w="7127" w:type="dxa"/>
            <w:gridSpan w:val="3"/>
            <w:shd w:val="clear" w:color="auto" w:fill="92D050"/>
          </w:tcPr>
          <w:p w14:paraId="3800D5B9" w14:textId="77777777" w:rsidR="008128D6" w:rsidRPr="006A1EC7" w:rsidRDefault="008128D6" w:rsidP="008128D6">
            <w:pPr>
              <w:spacing w:line="276" w:lineRule="auto"/>
              <w:rPr>
                <w:sz w:val="18"/>
                <w:szCs w:val="18"/>
              </w:rPr>
            </w:pPr>
            <w:r w:rsidRPr="006A1EC7">
              <w:rPr>
                <w:sz w:val="18"/>
                <w:szCs w:val="18"/>
              </w:rPr>
              <w:t>Included</w:t>
            </w:r>
          </w:p>
        </w:tc>
      </w:tr>
      <w:tr w:rsidR="008128D6" w:rsidRPr="006A1EC7" w14:paraId="30EAFA95" w14:textId="77777777" w:rsidTr="008128D6">
        <w:tc>
          <w:tcPr>
            <w:tcW w:w="2082" w:type="dxa"/>
            <w:shd w:val="clear" w:color="auto" w:fill="92D050"/>
          </w:tcPr>
          <w:p w14:paraId="001E9B2E" w14:textId="77777777" w:rsidR="008128D6" w:rsidRPr="006A1EC7" w:rsidRDefault="008128D6" w:rsidP="008128D6">
            <w:pPr>
              <w:spacing w:line="276" w:lineRule="auto"/>
              <w:rPr>
                <w:sz w:val="18"/>
                <w:szCs w:val="18"/>
              </w:rPr>
            </w:pPr>
            <w:r w:rsidRPr="006A1EC7">
              <w:rPr>
                <w:sz w:val="18"/>
                <w:szCs w:val="18"/>
              </w:rPr>
              <w:t xml:space="preserve">1.2 Gastrointestinal and urological aspects </w:t>
            </w:r>
          </w:p>
        </w:tc>
        <w:tc>
          <w:tcPr>
            <w:tcW w:w="7127" w:type="dxa"/>
            <w:gridSpan w:val="3"/>
            <w:shd w:val="clear" w:color="auto" w:fill="92D050"/>
          </w:tcPr>
          <w:p w14:paraId="3133F281" w14:textId="77777777" w:rsidR="008128D6" w:rsidRPr="006A1EC7" w:rsidRDefault="008128D6" w:rsidP="008128D6">
            <w:pPr>
              <w:spacing w:line="276" w:lineRule="auto"/>
              <w:rPr>
                <w:sz w:val="18"/>
                <w:szCs w:val="18"/>
              </w:rPr>
            </w:pPr>
            <w:r w:rsidRPr="006A1EC7">
              <w:rPr>
                <w:sz w:val="18"/>
                <w:szCs w:val="18"/>
              </w:rPr>
              <w:t>Included</w:t>
            </w:r>
          </w:p>
        </w:tc>
      </w:tr>
      <w:tr w:rsidR="008128D6" w:rsidRPr="006A1EC7" w14:paraId="4966D09C" w14:textId="77777777" w:rsidTr="008128D6">
        <w:tc>
          <w:tcPr>
            <w:tcW w:w="2082" w:type="dxa"/>
            <w:shd w:val="clear" w:color="auto" w:fill="92D050"/>
          </w:tcPr>
          <w:p w14:paraId="419C0570" w14:textId="77777777" w:rsidR="008128D6" w:rsidRPr="006A1EC7" w:rsidRDefault="008128D6" w:rsidP="008128D6">
            <w:pPr>
              <w:spacing w:line="276" w:lineRule="auto"/>
              <w:rPr>
                <w:sz w:val="18"/>
                <w:szCs w:val="18"/>
              </w:rPr>
            </w:pPr>
            <w:r w:rsidRPr="006A1EC7">
              <w:rPr>
                <w:sz w:val="18"/>
                <w:szCs w:val="18"/>
              </w:rPr>
              <w:t>1.3 Low immunity</w:t>
            </w:r>
          </w:p>
        </w:tc>
        <w:tc>
          <w:tcPr>
            <w:tcW w:w="7127" w:type="dxa"/>
            <w:gridSpan w:val="3"/>
            <w:shd w:val="clear" w:color="auto" w:fill="92D050"/>
          </w:tcPr>
          <w:p w14:paraId="19897554" w14:textId="77777777" w:rsidR="008128D6" w:rsidRPr="006A1EC7" w:rsidRDefault="008128D6" w:rsidP="008128D6">
            <w:pPr>
              <w:spacing w:line="276" w:lineRule="auto"/>
              <w:rPr>
                <w:sz w:val="18"/>
                <w:szCs w:val="18"/>
              </w:rPr>
            </w:pPr>
            <w:r w:rsidRPr="006A1EC7">
              <w:rPr>
                <w:sz w:val="18"/>
                <w:szCs w:val="18"/>
              </w:rPr>
              <w:t>Included</w:t>
            </w:r>
          </w:p>
        </w:tc>
      </w:tr>
      <w:tr w:rsidR="008128D6" w:rsidRPr="006A1EC7" w14:paraId="427B21C5" w14:textId="77777777" w:rsidTr="008128D6">
        <w:tc>
          <w:tcPr>
            <w:tcW w:w="2082" w:type="dxa"/>
            <w:shd w:val="clear" w:color="auto" w:fill="92D050"/>
          </w:tcPr>
          <w:p w14:paraId="085DDA40" w14:textId="77777777" w:rsidR="008128D6" w:rsidRPr="006A1EC7" w:rsidRDefault="008128D6" w:rsidP="008128D6">
            <w:pPr>
              <w:spacing w:line="276" w:lineRule="auto"/>
              <w:rPr>
                <w:sz w:val="18"/>
                <w:szCs w:val="18"/>
              </w:rPr>
            </w:pPr>
            <w:r w:rsidRPr="006A1EC7">
              <w:rPr>
                <w:sz w:val="18"/>
                <w:szCs w:val="18"/>
              </w:rPr>
              <w:t>1.4 Cardiac and respiratory problems</w:t>
            </w:r>
          </w:p>
        </w:tc>
        <w:tc>
          <w:tcPr>
            <w:tcW w:w="7127" w:type="dxa"/>
            <w:gridSpan w:val="3"/>
            <w:shd w:val="clear" w:color="auto" w:fill="92D050"/>
          </w:tcPr>
          <w:p w14:paraId="138A7A1B" w14:textId="77777777" w:rsidR="008128D6" w:rsidRPr="006A1EC7" w:rsidRDefault="008128D6" w:rsidP="008128D6">
            <w:pPr>
              <w:spacing w:line="276" w:lineRule="auto"/>
              <w:rPr>
                <w:sz w:val="18"/>
                <w:szCs w:val="18"/>
              </w:rPr>
            </w:pPr>
            <w:r w:rsidRPr="006A1EC7">
              <w:rPr>
                <w:sz w:val="18"/>
                <w:szCs w:val="18"/>
              </w:rPr>
              <w:t>Included</w:t>
            </w:r>
          </w:p>
        </w:tc>
      </w:tr>
      <w:tr w:rsidR="008128D6" w:rsidRPr="006A1EC7" w14:paraId="48D586A2" w14:textId="77777777" w:rsidTr="008128D6">
        <w:trPr>
          <w:trHeight w:val="1109"/>
        </w:trPr>
        <w:tc>
          <w:tcPr>
            <w:tcW w:w="2082" w:type="dxa"/>
            <w:shd w:val="clear" w:color="auto" w:fill="92D050"/>
          </w:tcPr>
          <w:p w14:paraId="08CB52BE" w14:textId="77777777" w:rsidR="008128D6" w:rsidRPr="006A1EC7" w:rsidRDefault="008128D6" w:rsidP="008128D6">
            <w:pPr>
              <w:spacing w:line="276" w:lineRule="auto"/>
              <w:rPr>
                <w:sz w:val="18"/>
                <w:szCs w:val="18"/>
              </w:rPr>
            </w:pPr>
            <w:r w:rsidRPr="006A1EC7">
              <w:rPr>
                <w:sz w:val="18"/>
                <w:szCs w:val="18"/>
              </w:rPr>
              <w:t>1.5 Central Nervous System</w:t>
            </w:r>
          </w:p>
        </w:tc>
        <w:tc>
          <w:tcPr>
            <w:tcW w:w="7127" w:type="dxa"/>
            <w:gridSpan w:val="3"/>
            <w:shd w:val="clear" w:color="auto" w:fill="92D050"/>
          </w:tcPr>
          <w:p w14:paraId="7B320422" w14:textId="77777777" w:rsidR="008128D6" w:rsidRPr="006A1EC7" w:rsidRDefault="008128D6" w:rsidP="008128D6">
            <w:pPr>
              <w:spacing w:line="276" w:lineRule="auto"/>
              <w:rPr>
                <w:sz w:val="18"/>
                <w:szCs w:val="18"/>
              </w:rPr>
            </w:pPr>
            <w:r w:rsidRPr="006A1EC7">
              <w:rPr>
                <w:sz w:val="18"/>
                <w:szCs w:val="18"/>
              </w:rPr>
              <w:t>Included</w:t>
            </w:r>
          </w:p>
        </w:tc>
      </w:tr>
      <w:tr w:rsidR="008128D6" w:rsidRPr="006A1EC7" w14:paraId="14A52A5C" w14:textId="77777777" w:rsidTr="008128D6">
        <w:trPr>
          <w:trHeight w:val="273"/>
        </w:trPr>
        <w:tc>
          <w:tcPr>
            <w:tcW w:w="2082" w:type="dxa"/>
            <w:shd w:val="clear" w:color="auto" w:fill="00B0F0"/>
          </w:tcPr>
          <w:p w14:paraId="429ADF7A" w14:textId="77777777" w:rsidR="008128D6" w:rsidRPr="006A1EC7" w:rsidRDefault="008128D6" w:rsidP="008128D6">
            <w:pPr>
              <w:spacing w:line="276" w:lineRule="auto"/>
              <w:rPr>
                <w:sz w:val="18"/>
                <w:szCs w:val="18"/>
              </w:rPr>
            </w:pPr>
            <w:r w:rsidRPr="006A1EC7">
              <w:rPr>
                <w:sz w:val="18"/>
                <w:szCs w:val="18"/>
              </w:rPr>
              <w:t>1.6 Cognitive – behavioural aspects</w:t>
            </w:r>
          </w:p>
        </w:tc>
        <w:tc>
          <w:tcPr>
            <w:tcW w:w="7127" w:type="dxa"/>
            <w:gridSpan w:val="3"/>
            <w:shd w:val="clear" w:color="auto" w:fill="00B0F0"/>
          </w:tcPr>
          <w:p w14:paraId="4A7C1101" w14:textId="77777777" w:rsidR="008128D6" w:rsidRPr="006A1EC7" w:rsidRDefault="008128D6" w:rsidP="008128D6">
            <w:pPr>
              <w:spacing w:line="276" w:lineRule="auto"/>
              <w:rPr>
                <w:sz w:val="18"/>
                <w:szCs w:val="18"/>
              </w:rPr>
            </w:pPr>
            <w:r w:rsidRPr="006A1EC7">
              <w:rPr>
                <w:sz w:val="18"/>
                <w:szCs w:val="18"/>
              </w:rPr>
              <w:t>Included, but new category: Functional Assessment</w:t>
            </w:r>
          </w:p>
        </w:tc>
      </w:tr>
      <w:tr w:rsidR="008128D6" w:rsidRPr="006A1EC7" w14:paraId="7D3FD5E8" w14:textId="77777777" w:rsidTr="008128D6">
        <w:trPr>
          <w:trHeight w:val="349"/>
        </w:trPr>
        <w:tc>
          <w:tcPr>
            <w:tcW w:w="2082" w:type="dxa"/>
            <w:shd w:val="clear" w:color="auto" w:fill="92D050"/>
          </w:tcPr>
          <w:p w14:paraId="1F56BA7B" w14:textId="77777777" w:rsidR="008128D6" w:rsidRPr="006A1EC7" w:rsidRDefault="008128D6" w:rsidP="008128D6">
            <w:pPr>
              <w:spacing w:line="276" w:lineRule="auto"/>
              <w:rPr>
                <w:sz w:val="18"/>
                <w:szCs w:val="18"/>
              </w:rPr>
            </w:pPr>
            <w:r w:rsidRPr="006A1EC7">
              <w:rPr>
                <w:sz w:val="18"/>
                <w:szCs w:val="18"/>
              </w:rPr>
              <w:t>1.7 Sleep</w:t>
            </w:r>
          </w:p>
        </w:tc>
        <w:tc>
          <w:tcPr>
            <w:tcW w:w="7127" w:type="dxa"/>
            <w:gridSpan w:val="3"/>
            <w:shd w:val="clear" w:color="auto" w:fill="92D050"/>
          </w:tcPr>
          <w:p w14:paraId="5D3CB6DB" w14:textId="77777777" w:rsidR="008128D6" w:rsidRPr="006A1EC7" w:rsidRDefault="008128D6" w:rsidP="008128D6">
            <w:pPr>
              <w:spacing w:line="276" w:lineRule="auto"/>
              <w:rPr>
                <w:sz w:val="18"/>
                <w:szCs w:val="18"/>
              </w:rPr>
            </w:pPr>
            <w:r w:rsidRPr="006A1EC7">
              <w:rPr>
                <w:sz w:val="18"/>
                <w:szCs w:val="18"/>
              </w:rPr>
              <w:t>Included</w:t>
            </w:r>
          </w:p>
        </w:tc>
      </w:tr>
      <w:tr w:rsidR="008128D6" w:rsidRPr="006A1EC7" w14:paraId="0BA10C54" w14:textId="77777777" w:rsidTr="008128D6">
        <w:trPr>
          <w:trHeight w:val="247"/>
        </w:trPr>
        <w:tc>
          <w:tcPr>
            <w:tcW w:w="2082" w:type="dxa"/>
            <w:shd w:val="clear" w:color="auto" w:fill="00B0F0"/>
          </w:tcPr>
          <w:p w14:paraId="14FE2A22" w14:textId="77777777" w:rsidR="008128D6" w:rsidRPr="006A1EC7" w:rsidRDefault="008128D6" w:rsidP="008128D6">
            <w:pPr>
              <w:spacing w:line="276" w:lineRule="auto"/>
              <w:rPr>
                <w:sz w:val="18"/>
                <w:szCs w:val="18"/>
              </w:rPr>
            </w:pPr>
            <w:r w:rsidRPr="006A1EC7">
              <w:rPr>
                <w:sz w:val="18"/>
                <w:szCs w:val="18"/>
              </w:rPr>
              <w:t>1.8 Mobility</w:t>
            </w:r>
          </w:p>
        </w:tc>
        <w:tc>
          <w:tcPr>
            <w:tcW w:w="7127" w:type="dxa"/>
            <w:gridSpan w:val="3"/>
            <w:shd w:val="clear" w:color="auto" w:fill="00B0F0"/>
          </w:tcPr>
          <w:p w14:paraId="75A30FC6" w14:textId="77777777" w:rsidR="008128D6" w:rsidRPr="006A1EC7" w:rsidRDefault="008128D6" w:rsidP="008128D6">
            <w:pPr>
              <w:spacing w:line="276" w:lineRule="auto"/>
              <w:rPr>
                <w:sz w:val="18"/>
                <w:szCs w:val="18"/>
              </w:rPr>
            </w:pPr>
            <w:r w:rsidRPr="006A1EC7">
              <w:rPr>
                <w:sz w:val="18"/>
                <w:szCs w:val="18"/>
              </w:rPr>
              <w:t>Included, but new category: Functional Assessment</w:t>
            </w:r>
          </w:p>
        </w:tc>
      </w:tr>
      <w:tr w:rsidR="008128D6" w:rsidRPr="006A1EC7" w14:paraId="75D8C45E" w14:textId="77777777" w:rsidTr="008128D6">
        <w:trPr>
          <w:trHeight w:val="436"/>
        </w:trPr>
        <w:tc>
          <w:tcPr>
            <w:tcW w:w="2082" w:type="dxa"/>
            <w:shd w:val="clear" w:color="auto" w:fill="92D050"/>
          </w:tcPr>
          <w:p w14:paraId="3C62AD7C" w14:textId="77777777" w:rsidR="008128D6" w:rsidRPr="006A1EC7" w:rsidRDefault="008128D6" w:rsidP="008128D6">
            <w:pPr>
              <w:spacing w:line="276" w:lineRule="auto"/>
              <w:rPr>
                <w:sz w:val="18"/>
                <w:szCs w:val="18"/>
              </w:rPr>
            </w:pPr>
            <w:r w:rsidRPr="006A1EC7">
              <w:rPr>
                <w:sz w:val="18"/>
                <w:szCs w:val="18"/>
              </w:rPr>
              <w:t>1.9 Level of care</w:t>
            </w:r>
          </w:p>
        </w:tc>
        <w:tc>
          <w:tcPr>
            <w:tcW w:w="7127" w:type="dxa"/>
            <w:gridSpan w:val="3"/>
            <w:shd w:val="clear" w:color="auto" w:fill="92D050"/>
          </w:tcPr>
          <w:p w14:paraId="30A64604" w14:textId="77777777" w:rsidR="008128D6" w:rsidRPr="006A1EC7" w:rsidRDefault="008128D6" w:rsidP="008128D6">
            <w:pPr>
              <w:spacing w:line="276" w:lineRule="auto"/>
              <w:rPr>
                <w:sz w:val="18"/>
                <w:szCs w:val="18"/>
              </w:rPr>
            </w:pPr>
            <w:r w:rsidRPr="006A1EC7">
              <w:rPr>
                <w:sz w:val="18"/>
                <w:szCs w:val="18"/>
              </w:rPr>
              <w:t xml:space="preserve">Included </w:t>
            </w:r>
          </w:p>
        </w:tc>
      </w:tr>
      <w:tr w:rsidR="008128D6" w:rsidRPr="006A1EC7" w14:paraId="4F2C4BCC" w14:textId="77777777" w:rsidTr="008128D6">
        <w:trPr>
          <w:trHeight w:val="443"/>
        </w:trPr>
        <w:tc>
          <w:tcPr>
            <w:tcW w:w="2082" w:type="dxa"/>
            <w:shd w:val="clear" w:color="auto" w:fill="4472C4" w:themeFill="accent1"/>
          </w:tcPr>
          <w:p w14:paraId="17F23DD7" w14:textId="77777777" w:rsidR="008128D6" w:rsidRPr="006A1EC7" w:rsidRDefault="008128D6" w:rsidP="008128D6">
            <w:pPr>
              <w:spacing w:line="276" w:lineRule="auto"/>
              <w:rPr>
                <w:sz w:val="18"/>
                <w:szCs w:val="18"/>
              </w:rPr>
            </w:pPr>
            <w:r w:rsidRPr="006A1EC7">
              <w:rPr>
                <w:sz w:val="18"/>
                <w:szCs w:val="18"/>
              </w:rPr>
              <w:t>1.10 Other</w:t>
            </w:r>
          </w:p>
        </w:tc>
        <w:tc>
          <w:tcPr>
            <w:tcW w:w="7127" w:type="dxa"/>
            <w:gridSpan w:val="3"/>
            <w:shd w:val="clear" w:color="auto" w:fill="4472C4" w:themeFill="accent1"/>
          </w:tcPr>
          <w:p w14:paraId="433B25F7" w14:textId="77777777" w:rsidR="008128D6" w:rsidRPr="006A1EC7" w:rsidRDefault="008128D6" w:rsidP="008128D6">
            <w:pPr>
              <w:spacing w:line="276" w:lineRule="auto"/>
              <w:rPr>
                <w:sz w:val="18"/>
                <w:szCs w:val="18"/>
              </w:rPr>
            </w:pPr>
          </w:p>
        </w:tc>
      </w:tr>
      <w:tr w:rsidR="008128D6" w:rsidRPr="006A1EC7" w14:paraId="6D1E113D" w14:textId="77777777" w:rsidTr="008128D6">
        <w:trPr>
          <w:trHeight w:val="558"/>
        </w:trPr>
        <w:tc>
          <w:tcPr>
            <w:tcW w:w="2082" w:type="dxa"/>
            <w:shd w:val="clear" w:color="auto" w:fill="92D050"/>
          </w:tcPr>
          <w:p w14:paraId="7164AD7E" w14:textId="77777777" w:rsidR="008128D6" w:rsidRPr="006A1EC7" w:rsidRDefault="008128D6" w:rsidP="008128D6">
            <w:pPr>
              <w:spacing w:line="276" w:lineRule="auto"/>
              <w:rPr>
                <w:sz w:val="18"/>
                <w:szCs w:val="18"/>
              </w:rPr>
            </w:pPr>
          </w:p>
        </w:tc>
        <w:tc>
          <w:tcPr>
            <w:tcW w:w="2300" w:type="dxa"/>
            <w:shd w:val="clear" w:color="auto" w:fill="92D050"/>
          </w:tcPr>
          <w:p w14:paraId="3E60B98D" w14:textId="77777777" w:rsidR="008128D6" w:rsidRPr="006A1EC7" w:rsidRDefault="008128D6" w:rsidP="008128D6">
            <w:pPr>
              <w:spacing w:line="276" w:lineRule="auto"/>
              <w:rPr>
                <w:sz w:val="18"/>
                <w:szCs w:val="18"/>
              </w:rPr>
            </w:pPr>
            <w:r w:rsidRPr="006A1EC7">
              <w:rPr>
                <w:sz w:val="18"/>
                <w:szCs w:val="18"/>
              </w:rPr>
              <w:t>1.10.1 Growing</w:t>
            </w:r>
          </w:p>
        </w:tc>
        <w:tc>
          <w:tcPr>
            <w:tcW w:w="4827" w:type="dxa"/>
            <w:gridSpan w:val="2"/>
            <w:shd w:val="clear" w:color="auto" w:fill="92D050"/>
          </w:tcPr>
          <w:p w14:paraId="1FBB3CF4" w14:textId="77777777" w:rsidR="008128D6" w:rsidRPr="006A1EC7" w:rsidRDefault="008128D6" w:rsidP="008128D6">
            <w:pPr>
              <w:spacing w:line="276" w:lineRule="auto"/>
              <w:rPr>
                <w:sz w:val="18"/>
                <w:szCs w:val="18"/>
              </w:rPr>
            </w:pPr>
            <w:r w:rsidRPr="006A1EC7">
              <w:rPr>
                <w:sz w:val="18"/>
                <w:szCs w:val="18"/>
              </w:rPr>
              <w:t>Included in COA, first part but not as specific item on COA</w:t>
            </w:r>
          </w:p>
        </w:tc>
      </w:tr>
      <w:tr w:rsidR="008128D6" w:rsidRPr="006A1EC7" w14:paraId="02CE919F" w14:textId="77777777" w:rsidTr="008128D6">
        <w:trPr>
          <w:trHeight w:val="552"/>
        </w:trPr>
        <w:tc>
          <w:tcPr>
            <w:tcW w:w="2082" w:type="dxa"/>
            <w:shd w:val="clear" w:color="auto" w:fill="92D050"/>
          </w:tcPr>
          <w:p w14:paraId="35883EA2" w14:textId="77777777" w:rsidR="008128D6" w:rsidRPr="006A1EC7" w:rsidRDefault="008128D6" w:rsidP="008128D6">
            <w:pPr>
              <w:spacing w:line="276" w:lineRule="auto"/>
              <w:rPr>
                <w:sz w:val="18"/>
                <w:szCs w:val="18"/>
              </w:rPr>
            </w:pPr>
          </w:p>
        </w:tc>
        <w:tc>
          <w:tcPr>
            <w:tcW w:w="2308" w:type="dxa"/>
            <w:gridSpan w:val="2"/>
            <w:shd w:val="clear" w:color="auto" w:fill="92D050"/>
          </w:tcPr>
          <w:p w14:paraId="46D78EDD" w14:textId="77777777" w:rsidR="008128D6" w:rsidRPr="006A1EC7" w:rsidRDefault="008128D6" w:rsidP="008128D6">
            <w:pPr>
              <w:spacing w:line="276" w:lineRule="auto"/>
              <w:rPr>
                <w:sz w:val="18"/>
                <w:szCs w:val="18"/>
              </w:rPr>
            </w:pPr>
            <w:r w:rsidRPr="006A1EC7">
              <w:rPr>
                <w:sz w:val="18"/>
                <w:szCs w:val="18"/>
              </w:rPr>
              <w:t>1.10.2 Facial Features</w:t>
            </w:r>
          </w:p>
        </w:tc>
        <w:tc>
          <w:tcPr>
            <w:tcW w:w="4819" w:type="dxa"/>
            <w:shd w:val="clear" w:color="auto" w:fill="92D050"/>
          </w:tcPr>
          <w:p w14:paraId="56908F19" w14:textId="77777777" w:rsidR="008128D6" w:rsidRPr="006A1EC7" w:rsidRDefault="008128D6" w:rsidP="008128D6">
            <w:pPr>
              <w:spacing w:line="276" w:lineRule="auto"/>
              <w:rPr>
                <w:sz w:val="18"/>
                <w:szCs w:val="18"/>
              </w:rPr>
            </w:pPr>
            <w:r w:rsidRPr="006A1EC7">
              <w:rPr>
                <w:sz w:val="18"/>
                <w:szCs w:val="18"/>
              </w:rPr>
              <w:t>Included due to characteristic features</w:t>
            </w:r>
          </w:p>
        </w:tc>
      </w:tr>
      <w:tr w:rsidR="008128D6" w:rsidRPr="006A1EC7" w14:paraId="13F2E6B7" w14:textId="77777777" w:rsidTr="008128D6">
        <w:trPr>
          <w:trHeight w:val="625"/>
        </w:trPr>
        <w:tc>
          <w:tcPr>
            <w:tcW w:w="2082" w:type="dxa"/>
            <w:shd w:val="clear" w:color="auto" w:fill="FF0000"/>
          </w:tcPr>
          <w:p w14:paraId="49B52494" w14:textId="77777777" w:rsidR="008128D6" w:rsidRPr="006A1EC7" w:rsidRDefault="008128D6" w:rsidP="008128D6">
            <w:pPr>
              <w:spacing w:line="276" w:lineRule="auto"/>
              <w:rPr>
                <w:sz w:val="18"/>
                <w:szCs w:val="18"/>
              </w:rPr>
            </w:pPr>
          </w:p>
        </w:tc>
        <w:tc>
          <w:tcPr>
            <w:tcW w:w="2308" w:type="dxa"/>
            <w:gridSpan w:val="2"/>
            <w:shd w:val="clear" w:color="auto" w:fill="FF0000"/>
          </w:tcPr>
          <w:p w14:paraId="454914DD" w14:textId="77777777" w:rsidR="008128D6" w:rsidRPr="006A1EC7" w:rsidRDefault="008128D6" w:rsidP="008128D6">
            <w:pPr>
              <w:spacing w:line="276" w:lineRule="auto"/>
              <w:rPr>
                <w:sz w:val="18"/>
                <w:szCs w:val="18"/>
              </w:rPr>
            </w:pPr>
            <w:r w:rsidRPr="006A1EC7">
              <w:rPr>
                <w:sz w:val="18"/>
                <w:szCs w:val="18"/>
              </w:rPr>
              <w:t>1.10.3 Dermatology</w:t>
            </w:r>
          </w:p>
        </w:tc>
        <w:tc>
          <w:tcPr>
            <w:tcW w:w="4819" w:type="dxa"/>
            <w:shd w:val="clear" w:color="auto" w:fill="FF0000"/>
          </w:tcPr>
          <w:p w14:paraId="1FB23DA0" w14:textId="77777777" w:rsidR="008128D6" w:rsidRPr="006A1EC7" w:rsidRDefault="008128D6" w:rsidP="008128D6">
            <w:pPr>
              <w:spacing w:line="276" w:lineRule="auto"/>
              <w:rPr>
                <w:sz w:val="18"/>
                <w:szCs w:val="18"/>
              </w:rPr>
            </w:pPr>
            <w:r w:rsidRPr="006A1EC7">
              <w:rPr>
                <w:sz w:val="18"/>
                <w:szCs w:val="18"/>
              </w:rPr>
              <w:t>Excluded due to non-WHS specific description in Interviews</w:t>
            </w:r>
          </w:p>
        </w:tc>
      </w:tr>
      <w:tr w:rsidR="008128D6" w:rsidRPr="006A1EC7" w14:paraId="3F4258C2" w14:textId="77777777" w:rsidTr="008128D6">
        <w:trPr>
          <w:trHeight w:val="463"/>
        </w:trPr>
        <w:tc>
          <w:tcPr>
            <w:tcW w:w="2082" w:type="dxa"/>
            <w:shd w:val="clear" w:color="auto" w:fill="FF0000"/>
          </w:tcPr>
          <w:p w14:paraId="6889A7CF" w14:textId="77777777" w:rsidR="008128D6" w:rsidRPr="006A1EC7" w:rsidRDefault="008128D6" w:rsidP="008128D6">
            <w:pPr>
              <w:spacing w:line="276" w:lineRule="auto"/>
              <w:rPr>
                <w:sz w:val="18"/>
                <w:szCs w:val="18"/>
              </w:rPr>
            </w:pPr>
          </w:p>
        </w:tc>
        <w:tc>
          <w:tcPr>
            <w:tcW w:w="2308" w:type="dxa"/>
            <w:gridSpan w:val="2"/>
            <w:shd w:val="clear" w:color="auto" w:fill="FF0000"/>
          </w:tcPr>
          <w:p w14:paraId="03F7AC49" w14:textId="77777777" w:rsidR="008128D6" w:rsidRPr="006A1EC7" w:rsidRDefault="008128D6" w:rsidP="008128D6">
            <w:pPr>
              <w:spacing w:line="276" w:lineRule="auto"/>
              <w:rPr>
                <w:sz w:val="18"/>
                <w:szCs w:val="18"/>
              </w:rPr>
            </w:pPr>
            <w:r w:rsidRPr="006A1EC7">
              <w:rPr>
                <w:sz w:val="18"/>
                <w:szCs w:val="18"/>
              </w:rPr>
              <w:t>1.10.4 Blood clotting</w:t>
            </w:r>
          </w:p>
        </w:tc>
        <w:tc>
          <w:tcPr>
            <w:tcW w:w="4819" w:type="dxa"/>
            <w:shd w:val="clear" w:color="auto" w:fill="FF0000"/>
          </w:tcPr>
          <w:p w14:paraId="4F991834" w14:textId="77777777" w:rsidR="008128D6" w:rsidRPr="006A1EC7" w:rsidRDefault="008128D6" w:rsidP="008128D6">
            <w:pPr>
              <w:spacing w:line="276" w:lineRule="auto"/>
              <w:rPr>
                <w:sz w:val="18"/>
                <w:szCs w:val="18"/>
              </w:rPr>
            </w:pPr>
            <w:r w:rsidRPr="006A1EC7">
              <w:rPr>
                <w:sz w:val="18"/>
                <w:szCs w:val="18"/>
              </w:rPr>
              <w:t>Excluded due to negative theme</w:t>
            </w:r>
          </w:p>
        </w:tc>
      </w:tr>
      <w:tr w:rsidR="008128D6" w:rsidRPr="006A1EC7" w14:paraId="1664A9D0" w14:textId="77777777" w:rsidTr="008128D6">
        <w:trPr>
          <w:trHeight w:val="463"/>
        </w:trPr>
        <w:tc>
          <w:tcPr>
            <w:tcW w:w="2082" w:type="dxa"/>
            <w:shd w:val="clear" w:color="auto" w:fill="FF0000"/>
          </w:tcPr>
          <w:p w14:paraId="6F53EA75" w14:textId="77777777" w:rsidR="008128D6" w:rsidRPr="006A1EC7" w:rsidRDefault="008128D6" w:rsidP="008128D6">
            <w:pPr>
              <w:spacing w:line="276" w:lineRule="auto"/>
              <w:rPr>
                <w:sz w:val="18"/>
                <w:szCs w:val="18"/>
              </w:rPr>
            </w:pPr>
          </w:p>
        </w:tc>
        <w:tc>
          <w:tcPr>
            <w:tcW w:w="2308" w:type="dxa"/>
            <w:gridSpan w:val="2"/>
            <w:shd w:val="clear" w:color="auto" w:fill="FF0000"/>
          </w:tcPr>
          <w:p w14:paraId="01567E7F" w14:textId="77777777" w:rsidR="008128D6" w:rsidRPr="006A1EC7" w:rsidRDefault="008128D6" w:rsidP="008128D6">
            <w:pPr>
              <w:spacing w:line="276" w:lineRule="auto"/>
              <w:rPr>
                <w:sz w:val="18"/>
                <w:szCs w:val="18"/>
              </w:rPr>
            </w:pPr>
            <w:r w:rsidRPr="006A1EC7">
              <w:rPr>
                <w:sz w:val="18"/>
                <w:szCs w:val="18"/>
              </w:rPr>
              <w:t>1.10.5 Internal Malformations*</w:t>
            </w:r>
          </w:p>
        </w:tc>
        <w:tc>
          <w:tcPr>
            <w:tcW w:w="4819" w:type="dxa"/>
            <w:shd w:val="clear" w:color="auto" w:fill="FF0000"/>
          </w:tcPr>
          <w:p w14:paraId="6E3F8881" w14:textId="77777777" w:rsidR="008128D6" w:rsidRPr="006A1EC7" w:rsidRDefault="008128D6" w:rsidP="008128D6">
            <w:pPr>
              <w:spacing w:line="276" w:lineRule="auto"/>
              <w:rPr>
                <w:sz w:val="18"/>
                <w:szCs w:val="18"/>
              </w:rPr>
            </w:pPr>
            <w:r w:rsidRPr="006A1EC7">
              <w:rPr>
                <w:sz w:val="18"/>
                <w:szCs w:val="18"/>
              </w:rPr>
              <w:t>Excluded due to negative theme</w:t>
            </w:r>
          </w:p>
        </w:tc>
      </w:tr>
      <w:tr w:rsidR="008128D6" w:rsidRPr="006A1EC7" w14:paraId="07B48A0D" w14:textId="77777777" w:rsidTr="008128D6">
        <w:trPr>
          <w:trHeight w:val="463"/>
        </w:trPr>
        <w:tc>
          <w:tcPr>
            <w:tcW w:w="2082" w:type="dxa"/>
            <w:shd w:val="clear" w:color="auto" w:fill="FF0000"/>
          </w:tcPr>
          <w:p w14:paraId="2ED353A0" w14:textId="77777777" w:rsidR="008128D6" w:rsidRPr="006A1EC7" w:rsidRDefault="008128D6" w:rsidP="008128D6">
            <w:pPr>
              <w:spacing w:line="276" w:lineRule="auto"/>
              <w:rPr>
                <w:sz w:val="18"/>
                <w:szCs w:val="18"/>
              </w:rPr>
            </w:pPr>
          </w:p>
        </w:tc>
        <w:tc>
          <w:tcPr>
            <w:tcW w:w="2308" w:type="dxa"/>
            <w:gridSpan w:val="2"/>
            <w:shd w:val="clear" w:color="auto" w:fill="FF0000"/>
          </w:tcPr>
          <w:p w14:paraId="7C3BEA67" w14:textId="77777777" w:rsidR="008128D6" w:rsidRPr="006A1EC7" w:rsidRDefault="008128D6" w:rsidP="008128D6">
            <w:pPr>
              <w:spacing w:line="276" w:lineRule="auto"/>
              <w:rPr>
                <w:sz w:val="18"/>
                <w:szCs w:val="18"/>
              </w:rPr>
            </w:pPr>
            <w:r w:rsidRPr="006A1EC7">
              <w:rPr>
                <w:sz w:val="18"/>
                <w:szCs w:val="18"/>
              </w:rPr>
              <w:t>1.1.6 Problems with veins*</w:t>
            </w:r>
          </w:p>
        </w:tc>
        <w:tc>
          <w:tcPr>
            <w:tcW w:w="4819" w:type="dxa"/>
            <w:shd w:val="clear" w:color="auto" w:fill="FF0000"/>
          </w:tcPr>
          <w:p w14:paraId="219C63FC" w14:textId="77777777" w:rsidR="008128D6" w:rsidRPr="006A1EC7" w:rsidRDefault="008128D6" w:rsidP="008128D6">
            <w:pPr>
              <w:spacing w:line="276" w:lineRule="auto"/>
              <w:rPr>
                <w:sz w:val="18"/>
                <w:szCs w:val="18"/>
              </w:rPr>
            </w:pPr>
            <w:r w:rsidRPr="006A1EC7">
              <w:rPr>
                <w:sz w:val="18"/>
                <w:szCs w:val="18"/>
              </w:rPr>
              <w:t>Excluded due to negative theme</w:t>
            </w:r>
          </w:p>
        </w:tc>
      </w:tr>
    </w:tbl>
    <w:p w14:paraId="37F3B45D" w14:textId="4E28CEC5" w:rsidR="008128D6" w:rsidRPr="006A1EC7" w:rsidRDefault="008128D6" w:rsidP="008B1FBF">
      <w:pPr>
        <w:spacing w:line="276" w:lineRule="auto"/>
      </w:pPr>
    </w:p>
    <w:p w14:paraId="2F3B107A" w14:textId="210B044C" w:rsidR="00402D26" w:rsidRPr="006A1EC7" w:rsidRDefault="00402D26" w:rsidP="003D5EAC">
      <w:pPr>
        <w:pStyle w:val="Heading3"/>
        <w:rPr>
          <w:rFonts w:ascii="Times New Roman" w:hAnsi="Times New Roman" w:cs="Times New Roman"/>
        </w:rPr>
      </w:pPr>
      <w:bookmarkStart w:id="185" w:name="_Toc39270369"/>
      <w:bookmarkStart w:id="186" w:name="_Toc39270695"/>
      <w:bookmarkStart w:id="187" w:name="_Toc40173068"/>
      <w:r w:rsidRPr="006A1EC7">
        <w:rPr>
          <w:rFonts w:ascii="Times New Roman" w:hAnsi="Times New Roman" w:cs="Times New Roman"/>
        </w:rPr>
        <w:lastRenderedPageBreak/>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12</w:t>
      </w:r>
      <w:r w:rsidRPr="006A1EC7">
        <w:rPr>
          <w:rFonts w:ascii="Times New Roman" w:hAnsi="Times New Roman" w:cs="Times New Roman"/>
        </w:rPr>
        <w:fldChar w:fldCharType="end"/>
      </w:r>
      <w:r w:rsidRPr="006A1EC7">
        <w:rPr>
          <w:rFonts w:ascii="Times New Roman" w:hAnsi="Times New Roman" w:cs="Times New Roman"/>
        </w:rPr>
        <w:t xml:space="preserve">: </w:t>
      </w:r>
      <w:r w:rsidR="009F0718" w:rsidRPr="006A1EC7">
        <w:rPr>
          <w:rFonts w:ascii="Times New Roman" w:hAnsi="Times New Roman" w:cs="Times New Roman"/>
        </w:rPr>
        <w:t>WHS</w:t>
      </w:r>
      <w:r w:rsidRPr="006A1EC7">
        <w:rPr>
          <w:rFonts w:ascii="Times New Roman" w:hAnsi="Times New Roman" w:cs="Times New Roman"/>
        </w:rPr>
        <w:t>: clinical features included in the COA’s first draft</w:t>
      </w:r>
      <w:bookmarkEnd w:id="185"/>
      <w:bookmarkEnd w:id="186"/>
      <w:bookmarkEnd w:id="187"/>
    </w:p>
    <w:p w14:paraId="0E912FB7" w14:textId="506091EE" w:rsidR="008128D6" w:rsidRPr="006A1EC7" w:rsidRDefault="008128D6" w:rsidP="008B1FBF">
      <w:pPr>
        <w:spacing w:line="276" w:lineRule="auto"/>
      </w:pPr>
      <w:r w:rsidRPr="006A1EC7">
        <w:rPr>
          <w:noProof/>
          <w:lang w:eastAsia="en-GB"/>
        </w:rPr>
        <w:drawing>
          <wp:inline distT="0" distB="0" distL="0" distR="0" wp14:anchorId="1DF5D3D8" wp14:editId="5A07347B">
            <wp:extent cx="5727700" cy="3149825"/>
            <wp:effectExtent l="0" t="0" r="0" b="0"/>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20-04-21 at 14.46.54.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3149825"/>
                    </a:xfrm>
                    <a:prstGeom prst="rect">
                      <a:avLst/>
                    </a:prstGeom>
                  </pic:spPr>
                </pic:pic>
              </a:graphicData>
            </a:graphic>
          </wp:inline>
        </w:drawing>
      </w:r>
    </w:p>
    <w:p w14:paraId="23CB3905" w14:textId="46573B53" w:rsidR="003D5EAC" w:rsidRPr="006A1EC7" w:rsidRDefault="003D5EAC" w:rsidP="008B1FBF">
      <w:pPr>
        <w:spacing w:line="276" w:lineRule="auto"/>
      </w:pPr>
    </w:p>
    <w:p w14:paraId="31703813" w14:textId="7CC3D361" w:rsidR="001C21FC" w:rsidRPr="006A1EC7" w:rsidRDefault="003D5EAC" w:rsidP="003D5EAC">
      <w:pPr>
        <w:spacing w:line="360" w:lineRule="auto"/>
        <w:sectPr w:rsidR="001C21FC" w:rsidRPr="006A1EC7" w:rsidSect="007B106F">
          <w:pgSz w:w="11900" w:h="16840"/>
          <w:pgMar w:top="1440" w:right="1701" w:bottom="1440" w:left="1701" w:header="720" w:footer="720" w:gutter="0"/>
          <w:cols w:space="720"/>
          <w:docGrid w:linePitch="360"/>
        </w:sectPr>
      </w:pPr>
      <w:r w:rsidRPr="006A1EC7">
        <w:br/>
      </w:r>
    </w:p>
    <w:p w14:paraId="41A6BD7B" w14:textId="617E6605" w:rsidR="001C21FC" w:rsidRPr="006A1EC7" w:rsidRDefault="001C21FC" w:rsidP="001C21FC">
      <w:pPr>
        <w:pStyle w:val="Heading3"/>
        <w:rPr>
          <w:rFonts w:ascii="Times New Roman" w:hAnsi="Times New Roman" w:cs="Times New Roman"/>
        </w:rPr>
      </w:pPr>
      <w:bookmarkStart w:id="188" w:name="_Toc39270370"/>
      <w:bookmarkStart w:id="189" w:name="_Toc39270696"/>
      <w:bookmarkStart w:id="190" w:name="_Toc40173069"/>
      <w:r w:rsidRPr="006A1EC7">
        <w:rPr>
          <w:rFonts w:ascii="Times New Roman" w:hAnsi="Times New Roman" w:cs="Times New Roman"/>
        </w:rPr>
        <w:lastRenderedPageBreak/>
        <w:t xml:space="preserve">Graphic </w:t>
      </w:r>
      <w:r w:rsidR="00881375" w:rsidRPr="006A1EC7">
        <w:rPr>
          <w:rFonts w:ascii="Times New Roman" w:hAnsi="Times New Roman" w:cs="Times New Roman"/>
        </w:rPr>
        <w:fldChar w:fldCharType="begin"/>
      </w:r>
      <w:r w:rsidR="00881375" w:rsidRPr="006A1EC7">
        <w:rPr>
          <w:rFonts w:ascii="Times New Roman" w:hAnsi="Times New Roman" w:cs="Times New Roman"/>
        </w:rPr>
        <w:instrText xml:space="preserve"> SEQ Graphic \* ARABIC </w:instrText>
      </w:r>
      <w:r w:rsidR="00881375" w:rsidRPr="006A1EC7">
        <w:rPr>
          <w:rFonts w:ascii="Times New Roman" w:hAnsi="Times New Roman" w:cs="Times New Roman"/>
        </w:rPr>
        <w:fldChar w:fldCharType="separate"/>
      </w:r>
      <w:r w:rsidRPr="006A1EC7">
        <w:rPr>
          <w:rFonts w:ascii="Times New Roman" w:hAnsi="Times New Roman" w:cs="Times New Roman"/>
          <w:noProof/>
        </w:rPr>
        <w:t>13</w:t>
      </w:r>
      <w:r w:rsidR="00881375" w:rsidRPr="006A1EC7">
        <w:rPr>
          <w:rFonts w:ascii="Times New Roman" w:hAnsi="Times New Roman" w:cs="Times New Roman"/>
          <w:noProof/>
        </w:rPr>
        <w:fldChar w:fldCharType="end"/>
      </w:r>
      <w:r w:rsidRPr="006A1EC7">
        <w:rPr>
          <w:rFonts w:ascii="Times New Roman" w:hAnsi="Times New Roman" w:cs="Times New Roman"/>
        </w:rPr>
        <w:t>: Conceptual Framework (Version 1)</w:t>
      </w:r>
      <w:bookmarkEnd w:id="188"/>
      <w:bookmarkEnd w:id="189"/>
      <w:bookmarkEnd w:id="190"/>
    </w:p>
    <w:p w14:paraId="59582FF0" w14:textId="56AC2F94" w:rsidR="001C21FC" w:rsidRPr="006A1EC7" w:rsidRDefault="001C21FC" w:rsidP="001C21FC">
      <w:pPr>
        <w:pStyle w:val="Caption"/>
        <w:keepNext/>
      </w:pPr>
      <w:r w:rsidRPr="006A1EC7">
        <w:rPr>
          <w:noProof/>
        </w:rPr>
        <w:drawing>
          <wp:inline distT="0" distB="0" distL="0" distR="0" wp14:anchorId="5DCAA6F1" wp14:editId="6491B02B">
            <wp:extent cx="5998166" cy="4867421"/>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4-28 at 08.49.29.png"/>
                    <pic:cNvPicPr/>
                  </pic:nvPicPr>
                  <pic:blipFill>
                    <a:blip r:embed="rId27">
                      <a:extLst>
                        <a:ext uri="{28A0092B-C50C-407E-A947-70E740481C1C}">
                          <a14:useLocalDpi xmlns:a14="http://schemas.microsoft.com/office/drawing/2010/main" val="0"/>
                        </a:ext>
                      </a:extLst>
                    </a:blip>
                    <a:stretch>
                      <a:fillRect/>
                    </a:stretch>
                  </pic:blipFill>
                  <pic:spPr>
                    <a:xfrm>
                      <a:off x="0" y="0"/>
                      <a:ext cx="6054293" cy="4912967"/>
                    </a:xfrm>
                    <a:prstGeom prst="rect">
                      <a:avLst/>
                    </a:prstGeom>
                  </pic:spPr>
                </pic:pic>
              </a:graphicData>
            </a:graphic>
          </wp:inline>
        </w:drawing>
      </w:r>
    </w:p>
    <w:p w14:paraId="330B373F" w14:textId="2C56E87F" w:rsidR="001C21FC" w:rsidRPr="006A1EC7" w:rsidRDefault="001C21FC" w:rsidP="003D5EAC">
      <w:pPr>
        <w:spacing w:line="276" w:lineRule="auto"/>
        <w:sectPr w:rsidR="001C21FC" w:rsidRPr="006A1EC7" w:rsidSect="001C21FC">
          <w:pgSz w:w="16840" w:h="11900" w:orient="landscape"/>
          <w:pgMar w:top="1701" w:right="1440" w:bottom="1701" w:left="1440" w:header="720" w:footer="720" w:gutter="0"/>
          <w:cols w:space="720"/>
          <w:docGrid w:linePitch="360"/>
        </w:sectPr>
      </w:pPr>
    </w:p>
    <w:p w14:paraId="0142442F" w14:textId="68A8C132" w:rsidR="003D5EAC" w:rsidRPr="006A1EC7" w:rsidRDefault="003D5EAC" w:rsidP="0026747E">
      <w:pPr>
        <w:pStyle w:val="Heading3"/>
        <w:spacing w:line="276" w:lineRule="auto"/>
        <w:rPr>
          <w:rFonts w:ascii="Times New Roman" w:hAnsi="Times New Roman" w:cs="Times New Roman"/>
        </w:rPr>
      </w:pPr>
      <w:bookmarkStart w:id="191" w:name="_Toc17977922"/>
      <w:r w:rsidRPr="006A1EC7">
        <w:rPr>
          <w:rFonts w:ascii="Times New Roman" w:hAnsi="Times New Roman" w:cs="Times New Roman"/>
        </w:rPr>
        <w:lastRenderedPageBreak/>
        <w:t>Step 3: From Conceptual framework to item generation</w:t>
      </w:r>
      <w:bookmarkEnd w:id="191"/>
    </w:p>
    <w:p w14:paraId="663E6AAE" w14:textId="2CD4D7F4" w:rsidR="003D5EAC" w:rsidRPr="006A1EC7" w:rsidRDefault="003D5EAC" w:rsidP="0010036C">
      <w:pPr>
        <w:spacing w:line="360" w:lineRule="auto"/>
        <w:ind w:firstLine="720"/>
      </w:pPr>
      <w:r w:rsidRPr="006A1EC7">
        <w:t xml:space="preserve">The author of this thesis prepared the </w:t>
      </w:r>
      <w:r w:rsidR="0010036C" w:rsidRPr="006A1EC7">
        <w:t xml:space="preserve">initial </w:t>
      </w:r>
      <w:r w:rsidRPr="006A1EC7">
        <w:t xml:space="preserve">CF and an initial item pool for the first draft of the rating scale. Other rating scales for other rare diseases, such as the Wolfram Unified Rating Scale and the Unified Batten Disease Rating Scale </w:t>
      </w:r>
      <w:r w:rsidRPr="006A1EC7">
        <w:fldChar w:fldCharType="begin" w:fldLock="1"/>
      </w:r>
      <w:r w:rsidRPr="006A1EC7">
        <w:instrText>ADDIN CSL_CITATION {"citationItems":[{"id":"ITEM-1","itemData":{"DOI":"10.1186/1750-1172-7-89","ISBN":"1750-1172","ISSN":"1750-1172","PMID":"23148655","abstract":"BACKGROUND Wolfram syndrome (WFS) is a rare, neurodegenerative disease that typically presents with childhood onset insulin dependent diabetes mellitus, followed by optic atrophy, diabetes insipidus, deafness, and neurological and psychiatric dysfunction. There is no cure for the disease, but recent advances in research have improved understanding of the disease course. Measuring disease severity and progression with reliable and validated tools is a prerequisite for clinical trials of any new intervention for neurodegenerative conditions. To this end, we developed the Wolfram Unified Rating Scale (WURS) to measure the severity and individual variability of WFS symptoms. The aim of this study is to develop and test the reliability and validity of the Wolfram Unified Rating Scale (WURS). METHODS A rating scale of disease severity in WFS was developed by modifying a standardized assessment for another neurodegenerative condition (Batten disease). WFS experts scored the representativeness of WURS items for the disease. The WURS was administered to 13 individuals with WFS (6-25 years of age). Motor, balance, mood and quality of life were also evaluated with standard instruments. Inter-rater reliability, internal consistency reliability, concurrent, predictive and content validity of the WURS were calculated. RESULTS The WURS had high inter-rater reliability (ICCs&gt;.93), moderate to high internal consistency reliability (Cronbach's α = 0.78-0.91) and demonstrated good concurrent and predictive validity. There were significant correlations between the WURS Physical Assessment and motor and balance tests (rs&gt;.67, p&lt;.03), between the WURS Behavioral Scale and reports of mood and behavior (rs&gt;.76, p&lt;.04) and between WURS Total scores and quality of life (rs=-.86, p=.001). The WURS demonstrated acceptable content validity (Scale-Content Validity Index=0.83). CONCLUSIONS These preliminary findings demonstrate that the WURS has acceptable reliability and validity and captures individual differences in disease severity in children and young adults with WFS.","author":[{"dropping-particle":"","family":"Nguyen","given":"Chau","non-dropping-particle":"","parse-names":false,"suffix":""},{"dropping-particle":"","family":"Foster","given":"Erin R","non-dropping-particle":"","parse-names":false,"suffix":""},{"dropping-particle":"","family":"Paciorkowski","given":"Alexander R","non-dropping-particle":"","parse-names":false,"suffix":""},{"dropping-particle":"","family":"Viehoever","given":"Amy","non-dropping-particle":"","parse-names":false,"suffix":""},{"dropping-particle":"","family":"Considine","given":"Colleen","non-dropping-particle":"","parse-names":false,"suffix":""},{"dropping-particle":"","family":"Bondurant","given":"Aidena","non-dropping-particle":"","parse-names":false,"suffix":""},{"dropping-particle":"","family":"Marshall","given":"Bess A","non-dropping-particle":"","parse-names":false,"suffix":""},{"dropping-particle":"","family":"Hershey","given":"Tamara","non-dropping-particle":"","parse-names":false,"suffix":""},{"dropping-particle":"","family":"Washington University Wolfram Study Group","given":"","non-dropping-particle":"","parse-names":false,"suffix":""}],"container-title":"Orphanet journal of rare diseases","id":"ITEM-1","issued":{"date-parts":[["2012"]]},"page":"89","title":"Reliability and validity of the Wolfram Unified Rating Scale (WURS).","type":"article-journal","volume":"7"},"uris":["http://www.mendeley.com/documents/?uuid=30b3ce8a-f45d-4852-b667-0a5c05dc2eeb"]},{"id":"ITEM-2","itemData":{"DOI":"10.1212/01.wnl.0000169019.41332.8a","ISBN":"0028-3878","ISSN":"0028-3878","PMID":"16043799","abstract":"BACKGROUND: Batten disease (juvenile neuronal ceroid lipofuscinosis [JNCL]) is an autosomal recessive neurodegenerative disorder characterized by blindness, seizures, and relentless decline in cognitive, motor, and behavioral function. Onset is in the early school years, with progression to death typically by late adolescence. Development of a clinical instrument to quantify severity of illness is a prerequisite to eventual assessment of experimental therapeutic interventions. OBJECTIVE: To develop a clinical rating instrument to assess motor, behavioral, and functional capability in JNCL. METHODS: A clinical rating instrument, the Unified Batten Disease Rating Scale (UBDRS), was developed by the authors to assess motor, behavioral, and functional capability in JNCL. Children with verified JNCL were evaluated independently by three neurologists. Intraclass correlation coefficients (ICCs) were used to estimate the interrater reliability for total scores in each domain. Interrater reliability for scale items was assessed with weighted kappa statistics. RESULTS: Thirty-one children with confirmed JNCL (10 boys, 21 girls) were evaluated. The mean age at symptom onset was 6.1 +/- 1.6 years, and the mean duration of illness was 9.0 +/- 4.4 years. The ICCs for the domains were as follows: motor = 0.83, behavioral = 0.68, and functional capability = 0.85. CONCLUSIONS: The Unified Batten Disease Rating Scale (UBDRS) is a reliable instrument that effectively tests for neurologic function in blind and demented patients. In its current form, the UBDRS is useful for monitoring the diverse clinical findings seen in Batten disease.","author":[{"dropping-particle":"","family":"Marshall","given":"F. J.","non-dropping-particle":"","parse-names":false,"suffix":""},{"dropping-particle":"","family":"Blieck","given":"E.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A.","non-dropping-particle":"","parse-names":false,"suffix":""},{"dropping-particle":"","family":"Blieck","given":"A","non-dropping-particle":"de","parse-names":false,"suffix":""},{"dropping-particle":"","family":"Mink","given":"J.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A.","non-dropping-particle":"","parse-names":false,"suffix":""}],"container-title":"Neurology","id":"ITEM-2","issue":"2","issued":{"date-parts":[["2005","7","26"]]},"page":"275-279","title":"A clinical rating scale for Batten disease - Reliable and relevant for clinical trials","type":"article-journal","volume":"65"},"uris":["http://www.mendeley.com/documents/?uuid=d2806439-63b6-45e7-be1e-188738db2b62"]}],"mendeley":{"formattedCitation":"(F. J. Marshall, de Blieck, et al., 2005a; Nguyen et al., 2012)","manualFormatting":"(Marshall et al., 2005; Nguyen et al., 2012)","plainTextFormattedCitation":"(F. J. Marshall, de Blieck, et al., 2005a; Nguyen et al., 2012)","previouslyFormattedCitation":"(F. J. Marshall, de Blieck, et al., 2005a; Nguyen et al., 2012)"},"properties":{"noteIndex":0},"schema":"https://github.com/citation-style-language/schema/raw/master/csl-citation.json"}</w:instrText>
      </w:r>
      <w:r w:rsidRPr="006A1EC7">
        <w:fldChar w:fldCharType="separate"/>
      </w:r>
      <w:r w:rsidRPr="006A1EC7">
        <w:rPr>
          <w:noProof/>
        </w:rPr>
        <w:t>(Marshall et al., 2005; Nguyen et al., 2012)</w:t>
      </w:r>
      <w:r w:rsidRPr="006A1EC7">
        <w:fldChar w:fldCharType="end"/>
      </w:r>
      <w:r w:rsidRPr="006A1EC7">
        <w:t xml:space="preserve">, were consulted for layout and development purposes. Following this, the researcher team met several times to discuss which items proposed and which phrasing would best assess patient status and functioning for each clinical area identified in the CF. The order of items was also discussed by the research team. Each member of the research team had distinct contributions to make and strengths to bring to the team: AM’s expertise in clinical geneticist and experience of working with patients with WHS, GJ’s expertise with scale development and KV’s experience of caring for children and adults with </w:t>
      </w:r>
      <w:r w:rsidR="009F0718" w:rsidRPr="006A1EC7">
        <w:t>WHS</w:t>
      </w:r>
      <w:r w:rsidRPr="006A1EC7">
        <w:t xml:space="preserve"> and other disabilities.</w:t>
      </w:r>
    </w:p>
    <w:p w14:paraId="038F8A7B" w14:textId="77777777" w:rsidR="003D5EAC" w:rsidRPr="006A1EC7" w:rsidRDefault="003D5EAC" w:rsidP="003D5EAC">
      <w:pPr>
        <w:spacing w:line="276" w:lineRule="auto"/>
      </w:pPr>
    </w:p>
    <w:p w14:paraId="34C03387" w14:textId="77777777" w:rsidR="003D5EAC" w:rsidRPr="006A1EC7" w:rsidRDefault="003D5EAC" w:rsidP="003D5EAC">
      <w:pPr>
        <w:pStyle w:val="Heading4"/>
        <w:spacing w:line="276" w:lineRule="auto"/>
        <w:rPr>
          <w:rFonts w:ascii="Times New Roman" w:hAnsi="Times New Roman" w:cs="Times New Roman"/>
        </w:rPr>
      </w:pPr>
      <w:bookmarkStart w:id="192" w:name="_Toc17977923"/>
      <w:r w:rsidRPr="006A1EC7">
        <w:rPr>
          <w:rFonts w:ascii="Times New Roman" w:hAnsi="Times New Roman" w:cs="Times New Roman"/>
        </w:rPr>
        <w:t xml:space="preserve">Step 4: </w:t>
      </w:r>
      <w:bookmarkEnd w:id="192"/>
      <w:r w:rsidRPr="006A1EC7">
        <w:rPr>
          <w:rFonts w:ascii="Times New Roman" w:hAnsi="Times New Roman" w:cs="Times New Roman"/>
        </w:rPr>
        <w:t>Scoring &amp; choosing a scoring system</w:t>
      </w:r>
    </w:p>
    <w:p w14:paraId="4C858747" w14:textId="25CB813D" w:rsidR="003D5EAC" w:rsidRPr="006A1EC7" w:rsidRDefault="003D5EAC" w:rsidP="003D5EAC">
      <w:pPr>
        <w:spacing w:line="360" w:lineRule="auto"/>
        <w:ind w:firstLine="720"/>
      </w:pPr>
      <w:r w:rsidRPr="006A1EC7">
        <w:t xml:space="preserve">At this point, decisions had to be made about the scoring of the proposed COA items </w:t>
      </w:r>
      <w:r w:rsidRPr="006A1EC7">
        <w:fldChar w:fldCharType="begin" w:fldLock="1"/>
      </w:r>
      <w:r w:rsidR="0010036C" w:rsidRPr="006A1EC7">
        <w:instrText>ADDIN CSL_CITATION {"citationItems":[{"id":"ITEM-1","itemData":{"ISBN":"978-019-968521-9","author":[{"dropping-particle":"","family":"Streiner","given":"D.","non-dropping-particle":"","parse-names":false,"suffix":""},{"dropping-particle":"","family":"Norman","given":"G R","non-dropping-particle":"","parse-names":false,"suffix":""},{"dropping-particle":"","family":"Cairney","given":"J","non-dropping-particle":"","parse-names":false,"suffix":""}],"edition":"5th","id":"ITEM-1","issued":{"date-parts":[["2015"]]},"publisher":"Oxford University Press","publisher-place":"Oxford","title":"Health measurement scales: a practical guide to their development and use","type":"book"},"locator":"38","uris":["http://www.mendeley.com/documents/?uuid=8b20a411-5f9d-4891-93f5-83e587380af2"]}],"mendeley":{"formattedCitation":"(D. Streiner et al., 2015, p. 38)","manualFormatting":"(Streiner, Norman, &amp; Cairney, 2015)","plainTextFormattedCitation":"(D. Streiner et al., 2015, p. 38)","previouslyFormattedCitation":"(D. Streiner et al., 2015, p. 38)"},"properties":{"noteIndex":0},"schema":"https://github.com/citation-style-language/schema/raw/master/csl-citation.json"}</w:instrText>
      </w:r>
      <w:r w:rsidRPr="006A1EC7">
        <w:fldChar w:fldCharType="separate"/>
      </w:r>
      <w:r w:rsidRPr="006A1EC7">
        <w:rPr>
          <w:noProof/>
        </w:rPr>
        <w:t>(Streiner, Norman, &amp; Cairney, 2015)</w:t>
      </w:r>
      <w:r w:rsidRPr="006A1EC7">
        <w:fldChar w:fldCharType="end"/>
      </w:r>
      <w:r w:rsidRPr="006A1EC7">
        <w:t xml:space="preserve">. The most frequently used response category in health research and practice is the categorical variable (or judgement) in a checklist-style approach </w:t>
      </w:r>
      <w:r w:rsidRPr="006A1EC7">
        <w:fldChar w:fldCharType="begin" w:fldLock="1"/>
      </w:r>
      <w:r w:rsidR="00AD67F5" w:rsidRPr="006A1EC7">
        <w:instrText>ADDIN CSL_CITATION {"citationItems":[{"id":"ITEM-1","itemData":{"ISBN":"978-019-968521-9","author":[{"dropping-particle":"","family":"Streiner","given":"D.","non-dropping-particle":"","parse-names":false,"suffix":""},{"dropping-particle":"","family":"Norman","given":"G R","non-dropping-particle":"","parse-names":false,"suffix":""},{"dropping-particle":"","family":"Cairney","given":"J","non-dropping-particle":"","parse-names":false,"suffix":""}],"edition":"5th","id":"ITEM-1","issued":{"date-parts":[["2015"]]},"publisher":"Oxford University Press","publisher-place":"Oxford","title":"Health measurement scales: a practical guide to their development and use","type":"book"},"locator":"39","uris":["http://www.mendeley.com/documents/?uuid=8b20a411-5f9d-4891-93f5-83e587380af2"]}],"mendeley":{"formattedCitation":"(D. Streiner et al., 2015, p. 39)","manualFormatting":"(Streiner et al., 2015)","plainTextFormattedCitation":"(D. Streiner et al., 2015, p. 39)","previouslyFormattedCitation":"(D. Streiner et al., 2015, p. 39)"},"properties":{"noteIndex":0},"schema":"https://github.com/citation-style-language/schema/raw/master/csl-citation.json"}</w:instrText>
      </w:r>
      <w:r w:rsidRPr="006A1EC7">
        <w:fldChar w:fldCharType="separate"/>
      </w:r>
      <w:r w:rsidRPr="006A1EC7">
        <w:rPr>
          <w:noProof/>
        </w:rPr>
        <w:t>(Streiner et al., 2015)</w:t>
      </w:r>
      <w:r w:rsidRPr="006A1EC7">
        <w:fldChar w:fldCharType="end"/>
      </w:r>
      <w:r w:rsidRPr="006A1EC7">
        <w:t xml:space="preserve">, often reflected in a “Does a patient have XYZ?” – “Yes/No” or assessors choosing a descriptor that fits the patient’s status best. A strength of this approach is that this leaves little room for ambiguity, resulting in reduced noise and likelihood of error, and it is usually simple for the responder to choose a suitable category, if this variable style is used appropriately. </w:t>
      </w:r>
    </w:p>
    <w:p w14:paraId="39A38257" w14:textId="18E8C9FB" w:rsidR="003D5EAC" w:rsidRPr="006A1EC7" w:rsidRDefault="003D5EAC" w:rsidP="003D5EAC">
      <w:pPr>
        <w:spacing w:line="360" w:lineRule="auto"/>
        <w:ind w:firstLine="720"/>
      </w:pPr>
      <w:r w:rsidRPr="006A1EC7">
        <w:t xml:space="preserve">While there are some items that may be answered on a 2-point, binary scale (2 – part) scale (for example, Imaginary-Item 2: Is the patient diagnosed with status epilepticus? Yes – No); difficulty with this style of response choice/variable choice occurs when more complex areas are evaluated </w:t>
      </w:r>
      <w:r w:rsidRPr="006A1EC7">
        <w:fldChar w:fldCharType="begin" w:fldLock="1"/>
      </w:r>
      <w:r w:rsidR="00AD67F5" w:rsidRPr="006A1EC7">
        <w:instrText>ADDIN CSL_CITATION {"citationItems":[{"id":"ITEM-1","itemData":{"ISBN":"978-019-968521-9","author":[{"dropping-particle":"","family":"Streiner","given":"D.","non-dropping-particle":"","parse-names":false,"suffix":""},{"dropping-particle":"","family":"Norman","given":"G R","non-dropping-particle":"","parse-names":false,"suffix":""},{"dropping-particle":"","family":"Cairney","given":"J","non-dropping-particle":"","parse-names":false,"suffix":""}],"edition":"5th","id":"ITEM-1","issued":{"date-parts":[["2015"]]},"publisher":"Oxford University Press","publisher-place":"Oxford","title":"Health measurement scales: a practical guide to their development and use","type":"book"},"locator":"39","uris":["http://www.mendeley.com/documents/?uuid=8b20a411-5f9d-4891-93f5-83e587380af2"]}],"mendeley":{"formattedCitation":"(D. Streiner et al., 2015, p. 39)","manualFormatting":"(Streiner et al., 2015)","plainTextFormattedCitation":"(D. Streiner et al., 2015, p. 39)","previouslyFormattedCitation":"(D. Streiner et al., 2015, p. 39)"},"properties":{"noteIndex":0},"schema":"https://github.com/citation-style-language/schema/raw/master/csl-citation.json"}</w:instrText>
      </w:r>
      <w:r w:rsidRPr="006A1EC7">
        <w:fldChar w:fldCharType="separate"/>
      </w:r>
      <w:r w:rsidRPr="006A1EC7">
        <w:rPr>
          <w:noProof/>
        </w:rPr>
        <w:t>(Streiner et al., 2015)</w:t>
      </w:r>
      <w:r w:rsidRPr="006A1EC7">
        <w:fldChar w:fldCharType="end"/>
      </w:r>
      <w:r w:rsidRPr="006A1EC7">
        <w:t>, such as HRQoL or functioning. For example, answers to an Imaginary-Item 2: “How is the patient able to communicate?” will not be appropriately answered by providing a binary (yes – no) response choice. Therefore, more elaborate variables and levels of measurement are needed; these are presented below.</w:t>
      </w:r>
    </w:p>
    <w:p w14:paraId="50CC0B63" w14:textId="105BF056" w:rsidR="003D5EAC" w:rsidRPr="006A1EC7" w:rsidRDefault="003D5EAC" w:rsidP="003D5EAC">
      <w:pPr>
        <w:spacing w:line="360" w:lineRule="auto"/>
        <w:ind w:firstLine="720"/>
      </w:pPr>
      <w:r w:rsidRPr="006A1EC7">
        <w:t xml:space="preserve">In the first instance it is important to consider different types of variables and different types of measurement (Graphic 14). The current COA aims to assess a latent variable (indirectly measurable construct = </w:t>
      </w:r>
      <w:r w:rsidR="009F0718" w:rsidRPr="006A1EC7">
        <w:t>WHS</w:t>
      </w:r>
      <w:r w:rsidRPr="006A1EC7">
        <w:t xml:space="preserve">) via construct variables (directly observable, measurable constructs; e.g. number of seizures a week) </w:t>
      </w:r>
      <w:r w:rsidRPr="006A1EC7">
        <w:fldChar w:fldCharType="begin" w:fldLock="1"/>
      </w:r>
      <w:r w:rsidR="00AD67F5" w:rsidRPr="006A1EC7">
        <w:instrText>ADDIN CSL_CITATION {"citationItems":[{"id":"ITEM-1","itemData":{"author":[{"dropping-particle":"","family":"Robertson","given":"Grant","non-dropping-particle":"","parse-names":false,"suffix":""}],"id":"ITEM-1","issue":"October","issued":{"date-parts":[["2017"]]},"page":"26","title":"Developing Valid and Reliable: Survey Scale","type":"article-journal"},"uris":["http://www.mendeley.com/documents/?uuid=7e4d129a-8e00-43f0-b3f3-19d754c3f484"]}],"mendeley":{"formattedCitation":"(Robertson, 2017)","manualFormatting":"(adapted from Robertson, 2017)","plainTextFormattedCitation":"(Robertson, 2017)","previouslyFormattedCitation":"(Robertson, 2017)"},"properties":{"noteIndex":0},"schema":"https://github.com/citation-style-language/schema/raw/master/csl-citation.json"}</w:instrText>
      </w:r>
      <w:r w:rsidRPr="006A1EC7">
        <w:fldChar w:fldCharType="separate"/>
      </w:r>
      <w:r w:rsidRPr="006A1EC7">
        <w:rPr>
          <w:noProof/>
        </w:rPr>
        <w:t xml:space="preserve">(adapted from </w:t>
      </w:r>
      <w:r w:rsidRPr="006A1EC7">
        <w:rPr>
          <w:noProof/>
        </w:rPr>
        <w:lastRenderedPageBreak/>
        <w:t>Robertson, 2017)</w:t>
      </w:r>
      <w:r w:rsidRPr="006A1EC7">
        <w:fldChar w:fldCharType="end"/>
      </w:r>
      <w:r w:rsidRPr="006A1EC7">
        <w:t xml:space="preserve">. Overall, there are two types of construct variables to distinguish between </w:t>
      </w:r>
      <w:r w:rsidRPr="006A1EC7">
        <w:fldChar w:fldCharType="begin" w:fldLock="1"/>
      </w:r>
      <w:r w:rsidRPr="006A1EC7">
        <w:instrText>ADDIN CSL_CITATION {"citationItems":[{"id":"ITEM-1","itemData":{"author":[{"dropping-particle":"","family":"Robertson","given":"Grant","non-dropping-particle":"","parse-names":false,"suffix":""}],"id":"ITEM-1","issue":"October","issued":{"date-parts":[["2017"]]},"page":"26","title":"Developing Valid and Reliable: Survey Scale","type":"article-journal"},"uris":["http://www.mendeley.com/documents/?uuid=7e4d129a-8e00-43f0-b3f3-19d754c3f484"]}],"mendeley":{"formattedCitation":"(Robertson, 2017)","manualFormatting":"(Robertson, 2017)","plainTextFormattedCitation":"(Robertson, 2017)","previouslyFormattedCitation":"(Robertson, 2017)"},"properties":{"noteIndex":0},"schema":"https://github.com/citation-style-language/schema/raw/master/csl-citation.json"}</w:instrText>
      </w:r>
      <w:r w:rsidRPr="006A1EC7">
        <w:fldChar w:fldCharType="separate"/>
      </w:r>
      <w:r w:rsidRPr="006A1EC7">
        <w:rPr>
          <w:noProof/>
        </w:rPr>
        <w:t>(Robertson, 2017)</w:t>
      </w:r>
      <w:r w:rsidRPr="006A1EC7">
        <w:fldChar w:fldCharType="end"/>
      </w:r>
      <w:r w:rsidRPr="006A1EC7">
        <w:t xml:space="preserve">: numerical and categorical variables. </w:t>
      </w:r>
    </w:p>
    <w:p w14:paraId="3EDDAF41" w14:textId="4E52ACFF" w:rsidR="003D5EAC" w:rsidRPr="006A1EC7" w:rsidRDefault="003D5EAC" w:rsidP="003D5EAC">
      <w:pPr>
        <w:spacing w:line="360" w:lineRule="auto"/>
        <w:ind w:firstLine="720"/>
      </w:pPr>
      <w:r w:rsidRPr="006A1EC7">
        <w:t xml:space="preserve">The main difference between these are that categorical variables convey qualitative meaning whereas numerical variables convey quantitative meaning. Numerical variable, for example blood pressure or weight; categorical variables are race or stage of illness </w:t>
      </w:r>
      <w:r w:rsidRPr="006A1EC7">
        <w:fldChar w:fldCharType="begin" w:fldLock="1"/>
      </w:r>
      <w:r w:rsidRPr="006A1EC7">
        <w:instrText>ADDIN CSL_CITATION {"citationItems":[{"id":"ITEM-1","itemData":{"author":[{"dropping-particle":"","family":"Robertson","given":"Grant","non-dropping-particle":"","parse-names":false,"suffix":""}],"id":"ITEM-1","issue":"October","issued":{"date-parts":[["2017"]]},"page":"26","title":"Developing Valid and Reliable: Survey Scale","type":"article-journal"},"uris":["http://www.mendeley.com/documents/?uuid=7e4d129a-8e00-43f0-b3f3-19d754c3f484"]},{"id":"ITEM-2","itemData":{"DOI":"10.4135/9781506374673.n9","ISBN":"9781412997591","author":[{"dropping-particle":"","family":"Newton","given":"Rae R.","non-dropping-particle":"","parse-names":false,"suffix":""},{"dropping-particle":"","family":"Rudestam","given":"Kjell Erik","non-dropping-particle":"","parse-names":false,"suffix":""}],"container-title":"Your Statistical Consultant: Answers to Your Data Analysis Questions","id":"ITEM-2","issued":{"date-parts":[["2017"]]},"page":"213-227","title":"Types of Variables and their Treatment in Statistical Analysis","type":"article-journal"},"uris":["http://www.mendeley.com/documents/?uuid=05a0d4d4-150d-4fb8-bbd7-f03a29ad25df"]}],"mendeley":{"formattedCitation":"(Newton &amp; Rudestam, 2017; Robertson, 2017)","plainTextFormattedCitation":"(Newton &amp; Rudestam, 2017; Robertson, 2017)","previouslyFormattedCitation":"(Newton &amp; Rudestam, 2017; Robertson, 2017)"},"properties":{"noteIndex":0},"schema":"https://github.com/citation-style-language/schema/raw/master/csl-citation.json"}</w:instrText>
      </w:r>
      <w:r w:rsidRPr="006A1EC7">
        <w:fldChar w:fldCharType="separate"/>
      </w:r>
      <w:r w:rsidRPr="006A1EC7">
        <w:rPr>
          <w:noProof/>
        </w:rPr>
        <w:t>(Newton &amp; Rudestam, 2017; Robertson, 2017)</w:t>
      </w:r>
      <w:r w:rsidRPr="006A1EC7">
        <w:fldChar w:fldCharType="end"/>
      </w:r>
      <w:r w:rsidRPr="006A1EC7">
        <w:t xml:space="preserve">. </w:t>
      </w:r>
    </w:p>
    <w:p w14:paraId="54C3891A" w14:textId="77777777" w:rsidR="003D5EAC" w:rsidRPr="006A1EC7" w:rsidRDefault="003D5EAC" w:rsidP="003D5EAC">
      <w:pPr>
        <w:spacing w:line="360" w:lineRule="auto"/>
        <w:ind w:firstLine="720"/>
      </w:pPr>
    </w:p>
    <w:p w14:paraId="45B8E539" w14:textId="54C89232" w:rsidR="003D5EAC" w:rsidRPr="006A1EC7" w:rsidRDefault="003D5EAC" w:rsidP="003D5EAC">
      <w:pPr>
        <w:pStyle w:val="Heading3"/>
        <w:rPr>
          <w:rFonts w:ascii="Times New Roman" w:hAnsi="Times New Roman" w:cs="Times New Roman"/>
        </w:rPr>
      </w:pPr>
      <w:bookmarkStart w:id="193" w:name="_Toc39270371"/>
      <w:bookmarkStart w:id="194" w:name="_Toc40173070"/>
      <w:r w:rsidRPr="006A1EC7">
        <w:rPr>
          <w:rFonts w:ascii="Times New Roman" w:hAnsi="Times New Roman" w:cs="Times New Roman"/>
        </w:rPr>
        <w:t xml:space="preserve">Graphic </w:t>
      </w:r>
      <w:r w:rsidRPr="006A1EC7">
        <w:rPr>
          <w:rFonts w:ascii="Times New Roman" w:hAnsi="Times New Roman" w:cs="Times New Roman"/>
        </w:rPr>
        <w:fldChar w:fldCharType="begin"/>
      </w:r>
      <w:r w:rsidRPr="006A1EC7">
        <w:rPr>
          <w:rFonts w:ascii="Times New Roman" w:hAnsi="Times New Roman" w:cs="Times New Roman"/>
        </w:rPr>
        <w:instrText xml:space="preserve"> SEQ Graphic \* ARABIC </w:instrText>
      </w:r>
      <w:r w:rsidRPr="006A1EC7">
        <w:rPr>
          <w:rFonts w:ascii="Times New Roman" w:hAnsi="Times New Roman" w:cs="Times New Roman"/>
        </w:rPr>
        <w:fldChar w:fldCharType="separate"/>
      </w:r>
      <w:r w:rsidR="001C21FC" w:rsidRPr="006A1EC7">
        <w:rPr>
          <w:rFonts w:ascii="Times New Roman" w:hAnsi="Times New Roman" w:cs="Times New Roman"/>
          <w:noProof/>
        </w:rPr>
        <w:t>14</w:t>
      </w:r>
      <w:r w:rsidRPr="006A1EC7">
        <w:rPr>
          <w:rFonts w:ascii="Times New Roman" w:hAnsi="Times New Roman" w:cs="Times New Roman"/>
        </w:rPr>
        <w:fldChar w:fldCharType="end"/>
      </w:r>
      <w:r w:rsidRPr="006A1EC7">
        <w:rPr>
          <w:rFonts w:ascii="Times New Roman" w:hAnsi="Times New Roman" w:cs="Times New Roman"/>
        </w:rPr>
        <w:t>: Types of variables</w:t>
      </w:r>
      <w:bookmarkEnd w:id="193"/>
      <w:bookmarkEnd w:id="194"/>
    </w:p>
    <w:p w14:paraId="21616310" w14:textId="78340757" w:rsidR="003D5EAC" w:rsidRPr="006A1EC7" w:rsidRDefault="003D5EAC" w:rsidP="008B1FBF">
      <w:pPr>
        <w:spacing w:line="276" w:lineRule="auto"/>
      </w:pPr>
      <w:r w:rsidRPr="006A1EC7">
        <w:rPr>
          <w:noProof/>
          <w:lang w:eastAsia="en-GB"/>
        </w:rPr>
        <w:drawing>
          <wp:inline distT="0" distB="0" distL="0" distR="0" wp14:anchorId="4CBEE6C4" wp14:editId="76F119D8">
            <wp:extent cx="3239311" cy="3585804"/>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4311" cy="3635617"/>
                    </a:xfrm>
                    <a:prstGeom prst="rect">
                      <a:avLst/>
                    </a:prstGeom>
                  </pic:spPr>
                </pic:pic>
              </a:graphicData>
            </a:graphic>
          </wp:inline>
        </w:drawing>
      </w:r>
    </w:p>
    <w:p w14:paraId="7F0A80B9" w14:textId="046857E7" w:rsidR="003D5EAC" w:rsidRPr="006A1EC7" w:rsidRDefault="003D5EAC" w:rsidP="008B1FBF">
      <w:pPr>
        <w:spacing w:line="276" w:lineRule="auto"/>
      </w:pPr>
    </w:p>
    <w:p w14:paraId="49FBDEBC" w14:textId="35995FB3" w:rsidR="003D5EAC" w:rsidRPr="006A1EC7" w:rsidRDefault="003D5EAC" w:rsidP="003D5EAC">
      <w:pPr>
        <w:spacing w:line="360" w:lineRule="auto"/>
        <w:ind w:firstLine="720"/>
      </w:pPr>
      <w:r w:rsidRPr="006A1EC7">
        <w:t xml:space="preserve">Within these types of measurement, there are different types of underlying levels of measurement. There are four types of underlying levels of measurement for numerical variables; these are count, continuous, interval and ratio. Count variables, synonymous with discrete variables, are the most basic type and are quantitative representation of counts or frequencies, such as three seizures a year. Continuous variables are simply quantitative representations of an event or situation, such as blood pressure or pain score on a visual analogue scale. </w:t>
      </w:r>
    </w:p>
    <w:p w14:paraId="5E9CB221" w14:textId="6FDFCDCB" w:rsidR="003D5EAC" w:rsidRPr="006A1EC7" w:rsidRDefault="003D5EAC" w:rsidP="00744A8E">
      <w:pPr>
        <w:spacing w:line="360" w:lineRule="auto"/>
        <w:ind w:firstLine="720"/>
      </w:pPr>
      <w:r w:rsidRPr="006A1EC7">
        <w:t xml:space="preserve">For Interval variables, the degree of difference between different response categories is constant and at the same intervals. Interval data allows the measurement of either side of 0 (e.g. temperature can fall either side of 0 degrees, but also include 0). Ratio variables, on the other hand, can never be negative, yet include 0; examples are </w:t>
      </w:r>
      <w:r w:rsidRPr="006A1EC7">
        <w:lastRenderedPageBreak/>
        <w:t xml:space="preserve">weight, intelligence quotients, height </w:t>
      </w:r>
      <w:r w:rsidRPr="006A1EC7">
        <w:fldChar w:fldCharType="begin" w:fldLock="1"/>
      </w:r>
      <w:r w:rsidR="00AD67F5" w:rsidRPr="006A1EC7">
        <w:instrText>ADDIN CSL_CITATION {"citationItems":[{"id":"ITEM-1","itemData":{"ISBN":"978-019-968521-9","author":[{"dropping-particle":"","family":"Streiner","given":"D.","non-dropping-particle":"","parse-names":false,"suffix":""},{"dropping-particle":"","family":"Norman","given":"G R","non-dropping-particle":"","parse-names":false,"suffix":""},{"dropping-particle":"","family":"Cairney","given":"J","non-dropping-particle":"","parse-names":false,"suffix":""}],"edition":"5th","id":"ITEM-1","issued":{"date-parts":[["2015"]]},"publisher":"Oxford University Press","publisher-place":"Oxford","title":"Health measurement scales: a practical guide to their development and use","type":"book"},"locator":"38","uris":["http://www.mendeley.com/documents/?uuid=8b20a411-5f9d-4891-93f5-83e587380af2"]},{"id":"ITEM-2","itemData":{"author":[{"dropping-particle":"","family":"Peat","given":"J","non-dropping-particle":"","parse-names":false,"suffix":""},{"dropping-particle":"","family":"Barton","given":"B","non-dropping-particle":"","parse-names":false,"suffix":""}],"edition":"2nd","id":"ITEM-2","issued":{"date-parts":[["2014"]]},"publisher":"Blackwell Publishing","publisher-place":"Chichester","title":"Medical Statistics: A Guide to Data Analysis and Critical Appraisal","type":"book"},"locator":"4","uris":["http://www.mendeley.com/documents/?uuid=4e462a53-a22c-4896-ae75-d71ed670f573"]}],"mendeley":{"formattedCitation":"(J Peat &amp; Barton, 2014, p. 4; D. Streiner et al., 2015, p. 38)","manualFormatting":"(Peat &amp; Barton, 2014; Streiner et al., 2015)","plainTextFormattedCitation":"(J Peat &amp; Barton, 2014, p. 4; D. Streiner et al., 2015, p. 38)","previouslyFormattedCitation":"(J Peat &amp; Barton, 2014, p. 4; D. Streiner et al., 2015, p. 38)"},"properties":{"noteIndex":0},"schema":"https://github.com/citation-style-language/schema/raw/master/csl-citation.json"}</w:instrText>
      </w:r>
      <w:r w:rsidRPr="006A1EC7">
        <w:fldChar w:fldCharType="separate"/>
      </w:r>
      <w:r w:rsidRPr="006A1EC7">
        <w:rPr>
          <w:noProof/>
        </w:rPr>
        <w:t>(Peat &amp; Barton, 2014; Streiner et al., 2015)</w:t>
      </w:r>
      <w:r w:rsidRPr="006A1EC7">
        <w:fldChar w:fldCharType="end"/>
      </w:r>
      <w:r w:rsidRPr="006A1EC7">
        <w:t xml:space="preserve"> or seizures per week (No seizures: assigned value 0; one seizure a week: assigned value 1; two seizures a week: assigned value of 2, etc.). </w:t>
      </w:r>
    </w:p>
    <w:p w14:paraId="3C6A820B" w14:textId="6D54EB12" w:rsidR="003D5EAC" w:rsidRPr="006A1EC7" w:rsidRDefault="003D5EAC" w:rsidP="003D5EAC">
      <w:pPr>
        <w:spacing w:line="360" w:lineRule="auto"/>
        <w:ind w:firstLine="720"/>
      </w:pPr>
      <w:r w:rsidRPr="006A1EC7">
        <w:t xml:space="preserve">For categorical variables, there are two different levels of measurement: nominal and ordinal variables. Nominal variables are not ordered, their scores do not carry meaning other than to distinguish one group from another, i.e. the difference between the scores is perceived as not important </w:t>
      </w:r>
      <w:r w:rsidRPr="006A1EC7">
        <w:fldChar w:fldCharType="begin" w:fldLock="1"/>
      </w:r>
      <w:r w:rsidR="00AD67F5" w:rsidRPr="006A1EC7">
        <w:instrText>ADDIN CSL_CITATION {"citationItems":[{"id":"ITEM-1","itemData":{"ISBN":"978-019-968521-9","author":[{"dropping-particle":"","family":"Streiner","given":"D.","non-dropping-particle":"","parse-names":false,"suffix":""},{"dropping-particle":"","family":"Norman","given":"G R","non-dropping-particle":"","parse-names":false,"suffix":""},{"dropping-particle":"","family":"Cairney","given":"J","non-dropping-particle":"","parse-names":false,"suffix":""}],"edition":"5th","id":"ITEM-1","issued":{"date-parts":[["2015"]]},"publisher":"Oxford University Press","publisher-place":"Oxford","title":"Health measurement scales: a practical guide to their development and use","type":"book"},"locator":"38","uris":["http://www.mendeley.com/documents/?uuid=8b20a411-5f9d-4891-93f5-83e587380af2"]},{"id":"ITEM-2","itemData":{"author":[{"dropping-particle":"","family":"Peat","given":"J","non-dropping-particle":"","parse-names":false,"suffix":""},{"dropping-particle":"","family":"Barton","given":"B","non-dropping-particle":"","parse-names":false,"suffix":""}],"edition":"2nd","id":"ITEM-2","issued":{"date-parts":[["2014"]]},"publisher":"Blackwell Publishing","publisher-place":"Chichester","title":"Medical Statistics: A Guide to Data Analysis and Critical Appraisal","type":"book"},"locator":"4","uris":["http://www.mendeley.com/documents/?uuid=4e462a53-a22c-4896-ae75-d71ed670f573"]}],"mendeley":{"formattedCitation":"(J Peat &amp; Barton, 2014, p. 4; D. Streiner et al., 2015, p. 38)","manualFormatting":"(Peat &amp; Barton, 2014; Streiner et al., 2015)","plainTextFormattedCitation":"(J Peat &amp; Barton, 2014, p. 4; D. Streiner et al., 2015, p. 38)","previouslyFormattedCitation":"(J Peat &amp; Barton, 2014, p. 4; D. Streiner et al., 2015, p. 38)"},"properties":{"noteIndex":0},"schema":"https://github.com/citation-style-language/schema/raw/master/csl-citation.json"}</w:instrText>
      </w:r>
      <w:r w:rsidRPr="006A1EC7">
        <w:fldChar w:fldCharType="separate"/>
      </w:r>
      <w:r w:rsidRPr="006A1EC7">
        <w:rPr>
          <w:noProof/>
        </w:rPr>
        <w:t>(Peat &amp; Barton, 2014; Streiner et al., 2015)</w:t>
      </w:r>
      <w:r w:rsidRPr="006A1EC7">
        <w:fldChar w:fldCharType="end"/>
      </w:r>
      <w:r w:rsidRPr="006A1EC7">
        <w:t>. Ordinal variables, on the other hand, are variables where values are assigned to nominal variables does imply an order and the difference between the scores is perceived as important. For example, stages of breast cancer would be considered an ordinal variable with Stage 1 (assigned value 1) being less severe than Stage 4 (assigned value 4)</w:t>
      </w:r>
      <w:r w:rsidRPr="006A1EC7">
        <w:rPr>
          <w:noProof/>
        </w:rPr>
        <w:t xml:space="preserve"> (adapted from Streiner et al., 2015).</w:t>
      </w:r>
      <w:r w:rsidRPr="006A1EC7">
        <w:t xml:space="preserve"> </w:t>
      </w:r>
    </w:p>
    <w:p w14:paraId="5D0BA29B" w14:textId="77777777" w:rsidR="003D5EAC" w:rsidRPr="006A1EC7" w:rsidRDefault="003D5EAC" w:rsidP="003D5EAC">
      <w:pPr>
        <w:spacing w:line="360" w:lineRule="auto"/>
        <w:ind w:firstLine="720"/>
      </w:pPr>
      <w:r w:rsidRPr="006A1EC7">
        <w:t xml:space="preserve">It is important to note that there is some overlap between these variables, for example, categorical variables could be transformed into a continuous variable and continuous variables could be transformed into categorical variables. Transforming a categorical variable into a continuous variable can yield important insights into the nature of the variable and concept of interest </w:t>
      </w:r>
      <w:r w:rsidRPr="006A1EC7">
        <w:fldChar w:fldCharType="begin" w:fldLock="1"/>
      </w:r>
      <w:r w:rsidRPr="006A1EC7">
        <w:instrText>ADDIN CSL_CITATION {"citationItems":[{"id":"ITEM-1","itemData":{"author":[{"dropping-particle":"","family":"Pasta","given":"David J","non-dropping-particle":"","parse-names":false,"suffix":""}],"container-title":"SAS Global Forum 2009 Statistics and Data Analysis","id":"ITEM-1","issued":{"date-parts":[["2009"]]},"page":"1-10","title":"Learning When to Be Discrete : Continuous vs . Categorical Predictors SAS Global Forum 2009 Statistics and Data Analysis","type":"paper-conference"},"uris":["http://www.mendeley.com/documents/?uuid=1b227a25-b7de-4b4f-8373-7d7c1cb48714"]},{"id":"ITEM-2","itemData":{"author":[{"dropping-particle":"","family":"Williams","given":"R","non-dropping-particle":"","parse-names":false,"suffix":""}],"container-title":"University of Notre Dam","id":"ITEM-2","issued":{"date-parts":[["2019"]]},"number-of-pages":"1-7","title":"Ordinal Independent Variables","type":"report"},"uris":["http://www.mendeley.com/documents/?uuid=bb7cb1b6-f4c3-470b-990a-e93c72852959"]}],"mendeley":{"formattedCitation":"(Pasta, 2009; R. Williams, 2019)","manualFormatting":"(Pasta, 2009; Williams, 2019)","plainTextFormattedCitation":"(Pasta, 2009; R. Williams, 2019)","previouslyFormattedCitation":"(Pasta, 2009; R. Williams, 2019)"},"properties":{"noteIndex":0},"schema":"https://github.com/citation-style-language/schema/raw/master/csl-citation.json"}</w:instrText>
      </w:r>
      <w:r w:rsidRPr="006A1EC7">
        <w:fldChar w:fldCharType="separate"/>
      </w:r>
      <w:r w:rsidRPr="006A1EC7">
        <w:rPr>
          <w:noProof/>
        </w:rPr>
        <w:t>(Pasta, 2009; Williams, 2019)</w:t>
      </w:r>
      <w:r w:rsidRPr="006A1EC7">
        <w:fldChar w:fldCharType="end"/>
      </w:r>
      <w:r w:rsidRPr="006A1EC7">
        <w:t xml:space="preserve">. </w:t>
      </w:r>
    </w:p>
    <w:p w14:paraId="226A0082" w14:textId="49C46576" w:rsidR="003D5EAC" w:rsidRPr="006A1EC7" w:rsidRDefault="003D5EAC" w:rsidP="003D5EAC">
      <w:pPr>
        <w:spacing w:line="360" w:lineRule="auto"/>
        <w:ind w:firstLine="720"/>
      </w:pPr>
      <w:r w:rsidRPr="006A1EC7">
        <w:t xml:space="preserve">It is important to note that in the medical field, measurements are usually taken on continuous variables, or scales, as these are most meaningful to the health care system (for example, overall quantified severity of </w:t>
      </w:r>
      <w:r w:rsidR="009F0718" w:rsidRPr="006A1EC7">
        <w:t>WHS</w:t>
      </w:r>
      <w:r w:rsidRPr="006A1EC7">
        <w:t xml:space="preserve">). </w:t>
      </w:r>
    </w:p>
    <w:p w14:paraId="57A239CA" w14:textId="17122A65" w:rsidR="003D5EAC" w:rsidRPr="006A1EC7" w:rsidRDefault="003D5EAC" w:rsidP="003D5EAC">
      <w:pPr>
        <w:spacing w:line="360" w:lineRule="auto"/>
        <w:ind w:firstLine="720"/>
      </w:pPr>
      <w:r w:rsidRPr="006A1EC7">
        <w:t xml:space="preserve">While technically continuous variables are the most informative and meaningful type of data for the medical field and health care system (i.e. overall disease severity, functioning); using continuous variables is not always practical, especially in the context of measurement scales where many different variables are assessed. In this context, it often makes sense to change these numerical variables into ordinal variables. This, first and foremost, aids clinical utility and simplifies the use and acceptability of a measure or scale </w:t>
      </w:r>
      <w:r w:rsidRPr="006A1EC7">
        <w:fldChar w:fldCharType="begin" w:fldLock="1"/>
      </w:r>
      <w:r w:rsidRPr="006A1EC7">
        <w:instrText>ADDIN CSL_CITATION {"citationItems":[{"id":"ITEM-1","itemData":{"DOI":"10.1111/j.0006-341X.2004.00196.x","ISSN":"0006341X","abstract":"This article presents a new approach for choosing the number of categories and the location of category cutpoints when a continuous exposure variable needs to be categorized to obtain tabular summaries of the exposure effect. The optimum categorization is defined as the partition that minimizes a measure of distance between the true expected value of the outcome for each subject and the estimated average outcome among subjects in the same exposure category. To estimate the optimum partition, an efficient nonparametric estimate of the unknown regression function is substituted into a formula for the asymptotically optimum categorization. This new approach is easy to implement and it outperforms existing cutpoint selection methods.","author":[{"dropping-particle":"","family":"O'Brien","given":"Sean M.","non-dropping-particle":"","parse-names":false,"suffix":""}],"container-title":"Biometrics","id":"ITEM-1","issue":"2","issued":{"date-parts":[["2004"]]},"page":"504-509","title":"Cutpoint selection for categorizing a continuous predictor","type":"article-journal","volume":"60"},"uris":["http://www.mendeley.com/documents/?uuid=00c25a48-4f5d-451e-a757-9e4ad9a63684"]},{"id":"ITEM-2","itemData":{"DOI":"10.1016/j.jspi.2015.12.006.","author":[{"dropping-particle":"","family":"Peng","given":"L","non-dropping-particle":"","parse-names":false,"suffix":""},{"dropping-particle":"","family":"Manatunga","given":"A","non-dropping-particle":"","parse-names":false,"suffix":""},{"dropping-particle":"","family":"Wang","given":"M","non-dropping-particle":"","parse-names":false,"suffix":""},{"dropping-particle":"","family":"Guo","given":"Y","non-dropping-particle":"","parse-names":false,"suffix":""},{"dropping-particle":"","family":"Rahman","given":"A","non-dropping-particle":"","parse-names":false,"suffix":""}],"container-title":"J Stat Plan Inference","id":"ITEM-2","issued":{"date-parts":[["2017"]]},"page":"23-25","title":"A general approach to categorizing a continuous scale according to an ordinal outcome","type":"article-journal","volume":"172"},"uris":["http://www.mendeley.com/documents/?uuid=80aba139-ba6f-4f6e-9835-e3347f22e635"]}],"mendeley":{"formattedCitation":"(O’Brien, 2004; Peng, Manatunga, Wang, Guo, &amp; Rahman, 2017)","plainTextFormattedCitation":"(O’Brien, 2004; Peng, Manatunga, Wang, Guo, &amp; Rahman, 2017)","previouslyFormattedCitation":"(O’Brien, 2004; Peng, Manatunga, Wang, Guo, &amp; Rahman, 2017)"},"properties":{"noteIndex":0},"schema":"https://github.com/citation-style-language/schema/raw/master/csl-citation.json"}</w:instrText>
      </w:r>
      <w:r w:rsidRPr="006A1EC7">
        <w:fldChar w:fldCharType="separate"/>
      </w:r>
      <w:r w:rsidRPr="006A1EC7">
        <w:rPr>
          <w:noProof/>
        </w:rPr>
        <w:t>(O’Brien, 2004; Peng, Manatunga, Wang, Guo, &amp; Rahman, 2017)</w:t>
      </w:r>
      <w:r w:rsidRPr="006A1EC7">
        <w:fldChar w:fldCharType="end"/>
      </w:r>
      <w:r w:rsidRPr="006A1EC7">
        <w:t xml:space="preserve">. For example, instead of asking the exact number of how many seizures a patient had in the past year, an ordinal variable would give pre-determined categories that fit any given answer. Of course, a difficulty arising from this is that some meaning may be lost if the categories are not chosen with careful consideration </w:t>
      </w:r>
      <w:r w:rsidRPr="006A1EC7">
        <w:fldChar w:fldCharType="begin" w:fldLock="1"/>
      </w:r>
      <w:r w:rsidRPr="006A1EC7">
        <w:instrText>ADDIN CSL_CITATION {"citationItems":[{"id":"ITEM-1","itemData":{"DOI":"10.1111/j.0006-341X.2004.00196.x","ISSN":"0006341X","abstract":"This article presents a new approach for choosing the number of categories and the location of category cutpoints when a continuous exposure variable needs to be categorized to obtain tabular summaries of the exposure effect. The optimum categorization is defined as the partition that minimizes a measure of distance between the true expected value of the outcome for each subject and the estimated average outcome among subjects in the same exposure category. To estimate the optimum partition, an efficient nonparametric estimate of the unknown regression function is substituted into a formula for the asymptotically optimum categorization. This new approach is easy to implement and it outperforms existing cutpoint selection methods.","author":[{"dropping-particle":"","family":"O'Brien","given":"Sean M.","non-dropping-particle":"","parse-names":false,"suffix":""}],"container-title":"Biometrics","id":"ITEM-1","issue":"2","issued":{"date-parts":[["2004"]]},"page":"504-509","title":"Cutpoint selection for categorizing a continuous predictor","type":"article-journal","volume":"60"},"uris":["http://www.mendeley.com/documents/?uuid=00c25a48-4f5d-451e-a757-9e4ad9a63684"]}],"mendeley":{"formattedCitation":"(O’Brien, 2004)","plainTextFormattedCitation":"(O’Brien, 2004)","previouslyFormattedCitation":"(O’Brien, 2004)"},"properties":{"noteIndex":0},"schema":"https://github.com/citation-style-language/schema/raw/master/csl-citation.json"}</w:instrText>
      </w:r>
      <w:r w:rsidRPr="006A1EC7">
        <w:fldChar w:fldCharType="separate"/>
      </w:r>
      <w:r w:rsidRPr="006A1EC7">
        <w:rPr>
          <w:noProof/>
        </w:rPr>
        <w:t>(O’Brien, 2004)</w:t>
      </w:r>
      <w:r w:rsidRPr="006A1EC7">
        <w:fldChar w:fldCharType="end"/>
      </w:r>
      <w:r w:rsidRPr="006A1EC7">
        <w:t xml:space="preserve"> For items in the COA, mainly ordinal item response categories were chosen with higher scores on an item indicating higher severity. The answer categories and associated scores for each </w:t>
      </w:r>
      <w:r w:rsidRPr="006A1EC7">
        <w:lastRenderedPageBreak/>
        <w:t>item have been devised from the literature, interviews and clinical practice (as a nursing associate and clinical geneticist).</w:t>
      </w:r>
    </w:p>
    <w:p w14:paraId="058FEDED" w14:textId="41D6AF79" w:rsidR="003D5EAC" w:rsidRPr="006A1EC7" w:rsidRDefault="003D5EAC" w:rsidP="003D5EAC">
      <w:pPr>
        <w:spacing w:line="360" w:lineRule="auto"/>
        <w:ind w:firstLine="720"/>
      </w:pPr>
      <w:r w:rsidRPr="006A1EC7">
        <w:t xml:space="preserve">In this thesis, it has been highlighted that WHS is a highly complex and heterogeneous illness; with not all individuals suffering every clinical feature. Therefore, the COA needed a number of binary or dichotomous items in order to be able to guide the flow throughout the COA. Once it has been determined that one patient has a heart defect, a clinician may want to ask details about it (management, symptoms); whereas these follow-up questions would be redundant to be administered to a patient without a heart defect. Therefore, some dichotomous, categorical variables were included in the questionnaire which – in turn – influence COA logic and flow (“If answered No, please proceed to…”). </w:t>
      </w:r>
    </w:p>
    <w:p w14:paraId="66BE66E1" w14:textId="77777777" w:rsidR="0092678A" w:rsidRPr="006A1EC7" w:rsidRDefault="0092678A" w:rsidP="003D5EAC">
      <w:pPr>
        <w:spacing w:line="360" w:lineRule="auto"/>
        <w:ind w:firstLine="720"/>
      </w:pPr>
    </w:p>
    <w:p w14:paraId="52035E43" w14:textId="1BD838EE" w:rsidR="003D5EAC" w:rsidRPr="006A1EC7" w:rsidRDefault="003D5EAC" w:rsidP="003D5EAC">
      <w:pPr>
        <w:pStyle w:val="Heading3"/>
        <w:spacing w:line="360" w:lineRule="auto"/>
        <w:rPr>
          <w:rFonts w:ascii="Times New Roman" w:hAnsi="Times New Roman" w:cs="Times New Roman"/>
        </w:rPr>
      </w:pPr>
      <w:bookmarkStart w:id="195" w:name="_Toc17977925"/>
      <w:r w:rsidRPr="006A1EC7">
        <w:rPr>
          <w:rFonts w:ascii="Times New Roman" w:hAnsi="Times New Roman" w:cs="Times New Roman"/>
        </w:rPr>
        <w:t>Step 5: Initial full version of the COA</w:t>
      </w:r>
      <w:bookmarkEnd w:id="195"/>
    </w:p>
    <w:p w14:paraId="66440FCC" w14:textId="77777777" w:rsidR="003D5EAC" w:rsidRPr="006A1EC7" w:rsidRDefault="003D5EAC" w:rsidP="003D5EAC">
      <w:pPr>
        <w:spacing w:line="360" w:lineRule="auto"/>
        <w:ind w:firstLine="720"/>
      </w:pPr>
      <w:r w:rsidRPr="006A1EC7">
        <w:t>Consequently, a final version of the COA was agreed (Version 4, Appendix 6.1). Appendix 6.2 provides an overview of the first draft of the clinical outcome assessment and provides detailed insight into where the item has originated from, i.e. the literature, interviews, clinical expertise or a combination of several sources.</w:t>
      </w:r>
    </w:p>
    <w:p w14:paraId="5C1EEEAF" w14:textId="77777777" w:rsidR="003D5EAC" w:rsidRPr="006A1EC7" w:rsidRDefault="003D5EAC" w:rsidP="003D5EAC"/>
    <w:p w14:paraId="00DB8F2D" w14:textId="77777777" w:rsidR="00DA6987" w:rsidRPr="006A1EC7" w:rsidRDefault="00DA6987" w:rsidP="00DA6987">
      <w:pPr>
        <w:pStyle w:val="Heading2"/>
        <w:rPr>
          <w:rFonts w:ascii="Times New Roman" w:hAnsi="Times New Roman" w:cs="Times New Roman"/>
        </w:rPr>
      </w:pPr>
      <w:bookmarkStart w:id="196" w:name="_Toc17977926"/>
      <w:bookmarkStart w:id="197" w:name="_Toc23522732"/>
      <w:bookmarkStart w:id="198" w:name="_Toc38821449"/>
      <w:bookmarkStart w:id="199" w:name="_Toc40173005"/>
      <w:r w:rsidRPr="006A1EC7">
        <w:rPr>
          <w:rFonts w:ascii="Times New Roman" w:hAnsi="Times New Roman" w:cs="Times New Roman"/>
        </w:rPr>
        <w:t>Part 2: Expert study, using the QI-10, to assess the face and content validity of the COA</w:t>
      </w:r>
      <w:bookmarkEnd w:id="196"/>
      <w:bookmarkEnd w:id="197"/>
      <w:bookmarkEnd w:id="198"/>
      <w:bookmarkEnd w:id="199"/>
    </w:p>
    <w:p w14:paraId="02107084" w14:textId="77777777" w:rsidR="00DA6987" w:rsidRPr="006A1EC7" w:rsidRDefault="00DA6987" w:rsidP="00DA6987">
      <w:pPr>
        <w:spacing w:line="276" w:lineRule="auto"/>
      </w:pPr>
    </w:p>
    <w:p w14:paraId="1A790FFD" w14:textId="20E55A8C" w:rsidR="00DA6987" w:rsidRPr="006A1EC7" w:rsidRDefault="00DA6987" w:rsidP="00DA6987">
      <w:pPr>
        <w:pStyle w:val="Heading3"/>
        <w:rPr>
          <w:rFonts w:ascii="Times New Roman" w:hAnsi="Times New Roman" w:cs="Times New Roman"/>
        </w:rPr>
      </w:pPr>
      <w:bookmarkStart w:id="200" w:name="_Toc17977927"/>
      <w:bookmarkStart w:id="201" w:name="_Toc38821450"/>
      <w:r w:rsidRPr="006A1EC7">
        <w:rPr>
          <w:rFonts w:ascii="Times New Roman" w:hAnsi="Times New Roman" w:cs="Times New Roman"/>
        </w:rPr>
        <w:t>Introduction</w:t>
      </w:r>
      <w:bookmarkEnd w:id="200"/>
      <w:bookmarkEnd w:id="201"/>
    </w:p>
    <w:p w14:paraId="3200D94A" w14:textId="6C7664AD" w:rsidR="003D5EAC" w:rsidRPr="006A1EC7" w:rsidRDefault="00DA6987" w:rsidP="00DA6987">
      <w:pPr>
        <w:spacing w:line="360" w:lineRule="auto"/>
        <w:ind w:firstLine="720"/>
      </w:pPr>
      <w:r w:rsidRPr="006A1EC7">
        <w:t xml:space="preserve">After development of the COA, its measurement properties need to be assessed </w:t>
      </w:r>
      <w:r w:rsidRPr="006A1EC7">
        <w:fldChar w:fldCharType="begin" w:fldLock="1"/>
      </w:r>
      <w:r w:rsidRPr="006A1EC7">
        <w:instrText>ADDIN CSL_CITATION {"citationItems":[{"id":"ITEM-1","itemData":{"DOI":"10.1016/j.jval.2015.09.2863","ISSN":"1098-3015","abstract":"An outcome assessment, the patient assessment used in an endpoint, is themeasuring instrument that provides a rating or score (categorical or continuous) that is intended to represent some aspect of the patient’s health status. Outcome assessments are used to define efficacy end- points when developing a therapy for a disease or condition. Most efficacy endpoints are based on specified clinical assessments of patients.When clinical assessments are used as clinical trial outcomes, they are called clinical outcome assessments (COAs). COAs include any assessment that may be influenced by human choices, judgment, or motivation. COAsmust be well-defined and possess adequatemeasure- ment properties to demonstrate (directly or indirectly) the benefits of a treatment. In contrast, a biomarker assessment is one that is subject to little, if any, patient motivational or rater judgmental influence. This is the first of two reports by the ISPOR Clinical Outcomes Assessment – Emerging Good Practices for Outcomes Research Task Force. This report provides foundational definitions important for an understanding of COA measurement principles. The foundation provided in this report includes what it means to demonstrate a beneficial effect, how assess- ments of patients relate to the objective of showing a treatment’s benefit, and how these assessments are used in clinical trial endpoints. In addition, this report describes intrinsic attributes of patient assess- ments and clinical trial factors that can affect the properties of the measurements. These factors should be considered when developing or refining assessments. These considerationswill aid investigators design- ing trials in their choice of using an existing assessment or developing a new outcome assessment. Although the focus of this report is on the development of a new COA to define endpoints in a clinical trial, these principles may be applied more generally. A critical element in apprais- ing or developing a COA is to describe the treatment’sintendedbenefit as an effect on a clearly identified aspect of how a patient feels or functions. This aspect must have importance to the patient and be part of the patient’s typical life. This meaningful health aspect can be measured directly or measured indirectly when it is impractical to evaluate it directly or when it is difficult to measure. For indirect measurement, a concept of interest (COI) can be identified. The COI must be related to how a patient feels or fu…","author":[{"dropping-particle":"","family":"Walton","given":"Marc K","non-dropping-particle":"","parse-names":false,"suffix":""},{"dropping-particle":"","family":"Iii","given":"John H Powers","non-dropping-particle":"","parse-names":false,"suffix":""},{"dropping-particle":"","family":"Hobart","given":"Jeremy","non-dropping-particle":"","parse-names":false,"suffix":""},{"dropping-particle":"","family":"Patrick","given":"Donald","non-dropping-particle":"","parse-names":false,"suffix":""},{"dropping-particle":"","family":"Marquis","given":"Patrick","non-dropping-particle":"","parse-names":false,"suffix":""},{"dropping-particle":"","family":"Vamvakas","given":"Spiros","non-dropping-particle":"","parse-names":false,"suffix":""},{"dropping-particle":"","family":"Isaac","given":"Maria","non-dropping-particle":"","parse-names":false,"suffix":""},{"dropping-particle":"","family":"Molsen","given":"Elizabeth","non-dropping-particle":"","parse-names":false,"suffix":""},{"dropping-particle":"","family":"Cano","given":"Stefan","non-dropping-particle":"","parse-names":false,"suffix":""},{"dropping-particle":"","family":"Burke","given":"Laurie B","non-dropping-particle":"","parse-names":false,"suffix":""}],"container-title":"Value in health","id":"ITEM-1","issued":{"date-parts":[["2015"]]},"page":"741-752","title":"Clinical Outcome Assessments: Conceptual Foundation — Report of the ISPOR Clinical Outcomes Assessment – Emerging Good Practices for Outcomes Research Task Force","type":"article-journal","volume":"18"},"uris":["http://www.mendeley.com/documents/?uuid=c5a0d9fc-1a0e-4762-ae19-7be7a21a8920"]},{"id":"ITEM-2","itemData":{"URL":"https://www.cosmin.nl/","accessed":{"date-parts":[["2019","11","12"]]},"author":[{"dropping-particle":"","family":"COnsensus-based Standards for the selection of health Measurement INstruments","given":"","non-dropping-particle":"","parse-names":false,"suffix":""}],"id":"ITEM-2","issued":{"date-parts":[["2019"]]},"title":"COnsensus-based Standards for the selection of health Measurement INstruments","type":"webpage"},"uris":["http://www.mendeley.com/documents/?uuid=880eeafc-e594-4990-8995-787f41c108f1"]},{"id":"ITEM-3","itemData":{"DOI":"10.1016/j.jclinepi.2010.02.006","ISBN":"3120444677","ISSN":"08954356","PMID":"20494804","abstract":"Objective: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 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 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\"reliability\" and \"structural validity,\" and the definitions of internal consistency and reliability. Conclusions: Consensus on taxonomy, terminology, and definitions of measurement properties was reached. Hopefully, this will lead to a more uniform use of terms and definitions in the literature on measurement properties. © 2010 Elsevier Inc. All rights reserved.","author":[{"dropping-particle":"","family":"Mokkink","given":"Lidwine B.","non-dropping-particle":"","parse-names":false,"suffix":""},{"dropping-particle":"","family":"Terwee","given":"Caroline B.","non-dropping-particle":"","parse-names":false,"suffix":""},{"dropping-particle":"","family":"Patrick","given":"Donald L.","non-dropping-particle":"","parse-names":false,"suffix":""},{"dropping-particle":"","family":"Alonso","given":"Jordi","non-dropping-particle":"","parse-names":false,"suffix":""},{"dropping-particle":"","family":"Stratford","given":"Paul W.","non-dropping-particle":"","parse-names":false,"suffix":""},{"dropping-particle":"","family":"Knol","given":"Dirk L.","non-dropping-particle":"","parse-names":false,"suffix":""},{"dropping-particle":"","family":"Bouter","given":"Lex M.","non-dropping-particle":"","parse-names":false,"suffix":""},{"dropping-particle":"","family":"Vet","given":"Henrica C.W. W.","non-dropping-particle":"de","parse-names":false,"suffix":""},{"dropping-particle":"","family":"Prinsen","given":"Cicilia A. C.","non-dropping-particle":"","parse-names":false,"suffix":""},{"dropping-particle":"","family":"Mokkink","given":"Lidwine B.","non-dropping-particle":"","parse-names":false,"suffix":""},{"dropping-particle":"","family":"Vet","given":"Henrica C.W. W.","non-dropping-particle":"de","parse-names":false,"suffix":""}],"container-title":"Quality of Life Research","id":"ITEM-3","issue":"7","issued":{"date-parts":[["2014"]]},"page":"32","title":"The COSMIN checklist for evaluating the methodological quality of studies on measurement properties","type":"article-journal","volume":"63"},"uris":["http://www.mendeley.com/documents/?uuid=4397b4e2-e735-4ca4-b9ac-78effe00e60e"]}],"mendeley":{"formattedCitation":"(COnsensus-based Standards for the selection of health Measurement INstruments, 2019a; Lidwine B. Mokkink et al., 2014; Walton et al., 2015)","manualFormatting":"(COnsensus-based Standards for the selection of health Measurement INstruments, 2019a; Mokkink et al., 2014; Walton et al., 2015)","plainTextFormattedCitation":"(COnsensus-based Standards for the selection of health Measurement INstruments, 2019a; Lidwine B. Mokkink et al., 2014; Walton et al., 2015)","previouslyFormattedCitation":"(COnsensus-based Standards for the selection of health Measurement INstruments, 2019a; Lidwine B. Mokkink et al., 2014; Walton et al., 2015)"},"properties":{"noteIndex":0},"schema":"https://github.com/citation-style-language/schema/raw/master/csl-citation.json"}</w:instrText>
      </w:r>
      <w:r w:rsidRPr="006A1EC7">
        <w:fldChar w:fldCharType="separate"/>
      </w:r>
      <w:r w:rsidRPr="006A1EC7">
        <w:rPr>
          <w:noProof/>
        </w:rPr>
        <w:t>(COnsensus-based Standards for the selection of health Measurement INstruments, 2019a; Mokkink et al., 2014; Walton et al., 2015)</w:t>
      </w:r>
      <w:r w:rsidRPr="006A1EC7">
        <w:fldChar w:fldCharType="end"/>
      </w:r>
      <w:r w:rsidRPr="006A1EC7">
        <w:t xml:space="preserve">. The next step for the current version of the COA is an assessment of face and content validity </w:t>
      </w:r>
      <w:r w:rsidRPr="006A1EC7">
        <w:fldChar w:fldCharType="begin" w:fldLock="1"/>
      </w:r>
      <w:r w:rsidR="00AD67F5"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Applications","type":"book"},"locator":"101","uris":["http://www.mendeley.com/documents/?uuid=0316ab82-7ed3-4f19-b5e0-edf860dc28e5"]}],"mendeley":{"formattedCitation":"(DeVellis, 2017, p. 101)","manualFormatting":"(DeVellis, 2017)","plainTextFormattedCitation":"(DeVellis, 2017, p. 101)","previouslyFormattedCitation":"(DeVellis, 2017, p. 101)"},"properties":{"noteIndex":0},"schema":"https://github.com/citation-style-language/schema/raw/master/csl-citation.json"}</w:instrText>
      </w:r>
      <w:r w:rsidRPr="006A1EC7">
        <w:fldChar w:fldCharType="separate"/>
      </w:r>
      <w:r w:rsidRPr="006A1EC7">
        <w:rPr>
          <w:noProof/>
        </w:rPr>
        <w:t>(DeVellis, 2017)</w:t>
      </w:r>
      <w:r w:rsidRPr="006A1EC7">
        <w:fldChar w:fldCharType="end"/>
      </w:r>
      <w:r w:rsidRPr="006A1EC7">
        <w:t xml:space="preserve">, which is presented in this part of the chapter. To achieve this, the current version of the COA must be reviewed by a number of experts in the area of investigation, i. e. </w:t>
      </w:r>
      <w:r w:rsidR="009F0718" w:rsidRPr="006A1EC7">
        <w:t>WHS</w:t>
      </w:r>
      <w:r w:rsidRPr="006A1EC7">
        <w:t xml:space="preserve">. This serves the purpose of ‘confirming’ or ‘invalidating’ the definition of </w:t>
      </w:r>
      <w:r w:rsidR="009F0718" w:rsidRPr="006A1EC7">
        <w:t>WHS</w:t>
      </w:r>
      <w:r w:rsidRPr="006A1EC7">
        <w:t xml:space="preserve">. </w:t>
      </w:r>
    </w:p>
    <w:p w14:paraId="3FD3252E" w14:textId="224633D3" w:rsidR="00DA6987" w:rsidRPr="006A1EC7" w:rsidRDefault="00DA6987" w:rsidP="008B1FBF">
      <w:pPr>
        <w:spacing w:line="276" w:lineRule="auto"/>
      </w:pPr>
    </w:p>
    <w:p w14:paraId="7A3EDE85" w14:textId="58EB8F59" w:rsidR="00DA6987" w:rsidRPr="006A1EC7" w:rsidRDefault="00DA6987" w:rsidP="008B1FBF">
      <w:pPr>
        <w:spacing w:line="276" w:lineRule="auto"/>
      </w:pPr>
    </w:p>
    <w:p w14:paraId="260B5523" w14:textId="331CA0AA" w:rsidR="00DA6987" w:rsidRPr="006A1EC7" w:rsidRDefault="00DA6987" w:rsidP="00CB3F3B">
      <w:pPr>
        <w:pStyle w:val="Heading3"/>
        <w:rPr>
          <w:rFonts w:ascii="Times New Roman" w:hAnsi="Times New Roman" w:cs="Times New Roman"/>
        </w:rPr>
      </w:pPr>
      <w:bookmarkStart w:id="202" w:name="_Toc39270372"/>
      <w:bookmarkStart w:id="203" w:name="_Toc39270551"/>
      <w:bookmarkStart w:id="204" w:name="_Toc39270702"/>
      <w:bookmarkStart w:id="205" w:name="_Toc40173071"/>
      <w:r w:rsidRPr="006A1EC7">
        <w:rPr>
          <w:rFonts w:ascii="Times New Roman" w:hAnsi="Times New Roman" w:cs="Times New Roman"/>
        </w:rPr>
        <w:lastRenderedPageBreak/>
        <w:t xml:space="preserve">Graphic </w:t>
      </w:r>
      <w:r w:rsidR="00881375" w:rsidRPr="006A1EC7">
        <w:rPr>
          <w:rFonts w:ascii="Times New Roman" w:hAnsi="Times New Roman" w:cs="Times New Roman"/>
        </w:rPr>
        <w:fldChar w:fldCharType="begin"/>
      </w:r>
      <w:r w:rsidR="00881375" w:rsidRPr="006A1EC7">
        <w:rPr>
          <w:rFonts w:ascii="Times New Roman" w:hAnsi="Times New Roman" w:cs="Times New Roman"/>
        </w:rPr>
        <w:instrText xml:space="preserve"> SEQ Graphic \* ARABIC </w:instrText>
      </w:r>
      <w:r w:rsidR="00881375" w:rsidRPr="006A1EC7">
        <w:rPr>
          <w:rFonts w:ascii="Times New Roman" w:hAnsi="Times New Roman" w:cs="Times New Roman"/>
        </w:rPr>
        <w:fldChar w:fldCharType="separate"/>
      </w:r>
      <w:r w:rsidR="001C21FC" w:rsidRPr="006A1EC7">
        <w:rPr>
          <w:rFonts w:ascii="Times New Roman" w:hAnsi="Times New Roman" w:cs="Times New Roman"/>
          <w:noProof/>
        </w:rPr>
        <w:t>15</w:t>
      </w:r>
      <w:r w:rsidR="00881375" w:rsidRPr="006A1EC7">
        <w:rPr>
          <w:rFonts w:ascii="Times New Roman" w:hAnsi="Times New Roman" w:cs="Times New Roman"/>
          <w:noProof/>
        </w:rPr>
        <w:fldChar w:fldCharType="end"/>
      </w:r>
      <w:r w:rsidRPr="006A1EC7">
        <w:rPr>
          <w:rFonts w:ascii="Times New Roman" w:hAnsi="Times New Roman" w:cs="Times New Roman"/>
        </w:rPr>
        <w:t>: Measurement Properties of Outcome Measurement Instruments (COSMIN initiative)</w:t>
      </w:r>
      <w:bookmarkEnd w:id="202"/>
      <w:bookmarkEnd w:id="203"/>
      <w:bookmarkEnd w:id="204"/>
      <w:bookmarkEnd w:id="205"/>
    </w:p>
    <w:p w14:paraId="5FE72D0F" w14:textId="2AB3BD7A" w:rsidR="00DA6987" w:rsidRPr="006A1EC7" w:rsidRDefault="00DA6987" w:rsidP="008B1FBF">
      <w:pPr>
        <w:spacing w:line="276" w:lineRule="auto"/>
      </w:pPr>
      <w:r w:rsidRPr="006A1EC7">
        <w:rPr>
          <w:noProof/>
          <w:color w:val="747474"/>
          <w:lang w:eastAsia="en-GB"/>
        </w:rPr>
        <w:drawing>
          <wp:inline distT="0" distB="0" distL="0" distR="0" wp14:anchorId="632DBE19" wp14:editId="6CE2AAD5">
            <wp:extent cx="5396230" cy="3813810"/>
            <wp:effectExtent l="0" t="0" r="0" b="0"/>
            <wp:docPr id="8" name="Picture 8" descr="https://cosmin.nl/wp-content/uploads/COSMIN_taxonomy_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smin.nl/wp-content/uploads/COSMIN_taxonomy_infographi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3813810"/>
                    </a:xfrm>
                    <a:prstGeom prst="rect">
                      <a:avLst/>
                    </a:prstGeom>
                    <a:noFill/>
                    <a:ln>
                      <a:noFill/>
                    </a:ln>
                  </pic:spPr>
                </pic:pic>
              </a:graphicData>
            </a:graphic>
          </wp:inline>
        </w:drawing>
      </w:r>
    </w:p>
    <w:p w14:paraId="4C78C8C3" w14:textId="50BAB9B4" w:rsidR="003677C2" w:rsidRPr="006A1EC7" w:rsidRDefault="003677C2" w:rsidP="008B1FBF">
      <w:pPr>
        <w:spacing w:line="276" w:lineRule="auto"/>
      </w:pPr>
    </w:p>
    <w:p w14:paraId="2634BE5D" w14:textId="534E95BB" w:rsidR="003677C2" w:rsidRPr="006A1EC7" w:rsidRDefault="003677C2" w:rsidP="003677C2">
      <w:pPr>
        <w:pStyle w:val="Heading3"/>
        <w:rPr>
          <w:rFonts w:ascii="Times New Roman" w:hAnsi="Times New Roman" w:cs="Times New Roman"/>
        </w:rPr>
      </w:pPr>
      <w:r w:rsidRPr="006A1EC7">
        <w:rPr>
          <w:rFonts w:ascii="Times New Roman" w:hAnsi="Times New Roman" w:cs="Times New Roman"/>
        </w:rPr>
        <w:t>Content and face validity</w:t>
      </w:r>
    </w:p>
    <w:p w14:paraId="5077C8F4" w14:textId="77777777" w:rsidR="003677C2" w:rsidRPr="006A1EC7" w:rsidRDefault="003677C2" w:rsidP="003677C2">
      <w:pPr>
        <w:spacing w:line="360" w:lineRule="auto"/>
        <w:ind w:firstLine="720"/>
      </w:pPr>
      <w:r w:rsidRPr="006A1EC7">
        <w:t>The first step to achieving an evaluation of measurement properties is by assessing the instrument’s content and face validity. This will aid confirmation or invalidation of the definition and conceptualisation of WHS as part of the developed CF and the developed scale.</w:t>
      </w:r>
    </w:p>
    <w:p w14:paraId="1E652A4F" w14:textId="77777777" w:rsidR="003677C2" w:rsidRPr="006A1EC7" w:rsidRDefault="003677C2" w:rsidP="003677C2">
      <w:pPr>
        <w:spacing w:line="360" w:lineRule="auto"/>
        <w:ind w:firstLine="720"/>
      </w:pPr>
      <w:r w:rsidRPr="006A1EC7">
        <w:t xml:space="preserve">While content validity and face validity are often used interchangeably it is important to recognise that they are different from each other. Although some scholars, including the consensus reflected in the COSMIN framework (Graphic 14), argue that face validity is an aspect of content validity </w:t>
      </w:r>
      <w:r w:rsidRPr="006A1EC7">
        <w:fldChar w:fldCharType="begin" w:fldLock="1"/>
      </w:r>
      <w:r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uris":["http://www.mendeley.com/documents/?uuid=0316ab82-7ed3-4f19-b5e0-edf860dc28e5"]},{"id":"ITEM-2","itemData":{"URL":"https://www.cosmin.nl/","accessed":{"date-parts":[["2019","11","12"]]},"author":[{"dropping-particle":"","family":"COnsensus-based Standards for the selection of health Measurement INstruments","given":"","non-dropping-particle":"","parse-names":false,"suffix":""}],"id":"ITEM-2","issued":{"date-parts":[["2019"]]},"title":"COnsensus-based Standards for the selection of health Measurement INstruments","type":"webpage"},"uris":["http://www.mendeley.com/documents/?uuid=880eeafc-e594-4990-8995-787f41c108f1"]},{"id":"ITEM-3","itemData":{"DOI":"10.1007/s11136-010-9606-8","ISSN":"09629343","PMID":"20169472","abstract":"Background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 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 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 Conclusions The resulting COSMIN checklist could be useful when selecting a measurement instrument, peerreviewing a manuscript, designing or reporting a study on measurement properties, or for educational purposes. © The Author(s) 2010. This article is published with open access at Springerlink.com.","author":[{"dropping-particle":"","family":"Mokkink","given":"Lidwine B.","non-dropping-particle":"","parse-names":false,"suffix":""},{"dropping-particle":"","family":"Terwee","given":"Caroline B.","non-dropping-particle":"","parse-names":false,"suffix":""},{"dropping-particle":"","family":"Patrick","given":"Donald L.","non-dropping-particle":"","parse-names":false,"suffix":""},{"dropping-particle":"","family":"Alonso","given":"Jordi","non-dropping-particle":"","parse-names":false,"suffix":""},{"dropping-particle":"","family":"Stratford","given":"Paul W.","non-dropping-particle":"","parse-names":false,"suffix":""},{"dropping-particle":"","family":"Knol","given":"Dirk L.","non-dropping-particle":"","parse-names":false,"suffix":""},{"dropping-particle":"","family":"Bouter","given":"Lex M.","non-dropping-particle":"","parse-names":false,"suffix":""},{"dropping-particle":"","family":"Vet","given":"Henrica C.W.","non-dropping-particle":"De","parse-names":false,"suffix":""}],"container-title":"Quality of Life Research","id":"ITEM-3","issue":"4","issued":{"date-parts":[["2010"]]},"page":"539-549","title":"The COSMIN checklist for assessing the methodological quality of studies on measurement properties of health status measurement instruments: An international Delphi study","type":"article-journal","volume":"19"},"uris":["http://www.mendeley.com/documents/?uuid=5a30cf69-19d2-4ee1-83b3-6b06cb76cb2a"]}],"mendeley":{"formattedCitation":"(COnsensus-based Standards for the selection of health Measurement INstruments, 2019a; DeVellis, 2017; Lidwine B. Mokkink et al., 2010)","manualFormatting":"(COnsensus-based Standards for the selection of health Measurement INstruments, 2019a; DeVellis, 2017; Mokkink et al., 2010)","plainTextFormattedCitation":"(COnsensus-based Standards for the selection of health Measurement INstruments, 2019a; DeVellis, 2017; Lidwine B. Mokkink et al., 2010)","previouslyFormattedCitation":"(COnsensus-based Standards for the selection of health Measurement INstruments, 2019a; DeVellis, 2017; Lidwine B. Mokkink et al., 2010)"},"properties":{"noteIndex":0},"schema":"https://github.com/citation-style-language/schema/raw/master/csl-citation.json"}</w:instrText>
      </w:r>
      <w:r w:rsidRPr="006A1EC7">
        <w:fldChar w:fldCharType="separate"/>
      </w:r>
      <w:r w:rsidRPr="006A1EC7">
        <w:rPr>
          <w:noProof/>
        </w:rPr>
        <w:t>(COnsensus-based Standards for the selection of health Measurement INstruments, 2019a; DeVellis, 2017; Mokkink et al., 2010)</w:t>
      </w:r>
      <w:r w:rsidRPr="006A1EC7">
        <w:fldChar w:fldCharType="end"/>
      </w:r>
      <w:r w:rsidRPr="006A1EC7">
        <w:t xml:space="preserve">. </w:t>
      </w:r>
    </w:p>
    <w:p w14:paraId="2A14E13B" w14:textId="1501269A" w:rsidR="003677C2" w:rsidRPr="006A1EC7" w:rsidRDefault="003677C2" w:rsidP="003677C2">
      <w:pPr>
        <w:spacing w:line="360" w:lineRule="auto"/>
        <w:ind w:firstLine="720"/>
      </w:pPr>
      <w:r w:rsidRPr="006A1EC7">
        <w:t xml:space="preserve">The main difference is that face </w:t>
      </w:r>
      <w:r w:rsidRPr="006A1EC7">
        <w:rPr>
          <w:bCs/>
        </w:rPr>
        <w:t>validity</w:t>
      </w:r>
      <w:r w:rsidRPr="006A1EC7">
        <w:t xml:space="preserve"> refers to whether a measure (or intervention) appears valid on the surface and whether the purpose of a measure is obvious to a judge </w:t>
      </w:r>
      <w:r w:rsidRPr="006A1EC7">
        <w:fldChar w:fldCharType="begin" w:fldLock="1"/>
      </w:r>
      <w:r w:rsidR="00421249" w:rsidRPr="006A1EC7">
        <w:instrText>ADDIN CSL_CITATION {"citationItems":[{"id":"ITEM-1","itemData":{"DOI":"10.1016/j.amjsurg.2016.02.018","ISSN":"18791883","abstract":"The American Journal of Surgery (AJS) is a long-standing leader among surgery publications and has published high-quality research dating back to 1926. To preserve AJS's reputation, it is necessary to identify issues that may affect the journal, and subsequently the broader field of surgery, in a negative way, and attempt to resolve those issues. To that end, I would like to address the issue of citing “face validity” as a type of validity evidence. In a review of AJS articles since 2006, 30 articles have consisted of researchers citing face validity as part of their validity evidence. This is problematic because validity theorists (scholars who dedicate their careers to studying validity and what constitutes acceptable types of validity evidence) have universally agreed there is no such thing as “face validity”. Thus, the purpose of this article is to encourage surgeons to study recent, and authoritative, works on validity theory, so they can better articulate the trustworthiness of their research findings and be more informed consumers of research.","author":[{"dropping-particle":"","family":"Royal","given":"Kenneth","non-dropping-particle":"","parse-names":false,"suffix":""}],"container-title":"American Journal of Surgery","id":"ITEM-1","issue":"5","issued":{"date-parts":[["2016"]]},"page":"1026-1027","publisher":"Elsevier Inc","title":"“Face validity” is not a legitimate type of validity evidence!","type":"article-journal","volume":"212"},"uris":["http://www.mendeley.com/documents/?uuid=8e4d3020-7d5b-4774-a55c-33f6883e5676","http://www.mendeley.com/documents/?uuid=1b7ff0f4-7041-46a8-9d18-31ceb3b26f22"]},{"id":"ITEM-2","itemData":{"DOI":"10.1177/001316444700700201","ISSN":"15523888","abstract":"The concept of face validity is discussed critically. Such meanings of the term as validity by assumption, validity by definition, validity by appearance, and validity by hypothesis are considered. Recommendations are made for use of the concept.","author":[{"dropping-particle":"","family":"Mosier","given":"Charles I.","non-dropping-particle":"","parse-names":false,"suffix":""}],"container-title":"Educational and Psychological Measurement","id":"ITEM-2","issued":{"date-parts":[["1947"]]},"title":"A critical examination of the concepts of face validity","type":"article-journal"},"uris":["http://www.mendeley.com/documents/?uuid=e1b02553-bbe5-400f-ba28-e25542a0189b","http://www.mendeley.com/documents/?uuid=1fccbf22-97b2-4b31-a196-0942759cad4a"]},{"id":"ITEM-3","itemData":{"ISBN":"9780761923633","author":[{"dropping-particle":"","family":"Bornstein","given":"R","non-dropping-particle":"","parse-names":false,"suffix":""}],"chapter-number":"Face Valid","container-title":"The SAGE Encyclopedia of Social Sciences Reserach Methods","editor":[{"dropping-particle":"","family":"Lewis-Beck","given":"M","non-dropping-particle":"","parse-names":false,"suffix":""},{"dropping-particle":"","family":"Bryman","given":"A","non-dropping-particle":"","parse-names":false,"suffix":""},{"dropping-particle":"","family":"Liao","given":"T","non-dropping-particle":"","parse-names":false,"suffix":""}],"id":"ITEM-3","issued":{"date-parts":[["2011"]]},"publisher":"Sage Publications","publisher-place":"Thousand Oaks, California","title":"Face Validity","type":"chapter"},"uris":["http://www.mendeley.com/documents/?uuid=6fdefcb5-4ddf-4858-94aa-85cb1eabc83a"]}],"mendeley":{"formattedCitation":"(Bornstein, 2011; Mosier, 1947; Royal, 2016a)","manualFormatting":"(Bornstein, 2011; Mosier, 1947; Royal, 2016)","plainTextFormattedCitation":"(Bornstein, 2011; Mosier, 1947; Royal, 2016a)","previouslyFormattedCitation":"(Bornstein, 2011; Mosier, 1947; Royal, 2016a)"},"properties":{"noteIndex":0},"schema":"https://github.com/citation-style-language/schema/raw/master/csl-citation.json"}</w:instrText>
      </w:r>
      <w:r w:rsidRPr="006A1EC7">
        <w:fldChar w:fldCharType="separate"/>
      </w:r>
      <w:r w:rsidRPr="006A1EC7">
        <w:rPr>
          <w:noProof/>
        </w:rPr>
        <w:t>(Bornstein, 2011; Mosier, 1947; Royal, 2016)</w:t>
      </w:r>
      <w:r w:rsidRPr="006A1EC7">
        <w:fldChar w:fldCharType="end"/>
      </w:r>
      <w:r w:rsidRPr="006A1EC7">
        <w:t xml:space="preserve">, while content validity refers to how relevant an instrument’s content is to the concept of interest to be studied </w:t>
      </w:r>
      <w:r w:rsidRPr="006A1EC7">
        <w:fldChar w:fldCharType="begin" w:fldLock="1"/>
      </w:r>
      <w:r w:rsidRPr="006A1EC7">
        <w:instrText>ADDIN CSL_CITATION {"citationItems":[{"id":"ITEM-1","itemData":{"author":[{"dropping-particle":"","family":"Haynes, S.N., Richard, D.C.S. &amp; Kubany","given":"E.S.","non-dropping-particle":"","parse-names":false,"suffix":""}],"container-title":"The American Psychological Association, Inc.","id":"ITEM-1","issue":"No. 3","issued":{"date-parts":[["1995"]]},"page":"238-247","title":"Content Validity in Psychological Assessment: A Functional Approach to Concepts and Methods","type":"article","volume":"Vol. 7"},"uris":["http://www.mendeley.com/documents/?uuid=fd3d4cd2-1544-4ece-bd43-3c8ed056bb18","http://www.mendeley.com/documents/?uuid=1c319063-7697-4020-9043-7819a3eaa7b0"]}],"mendeley":{"formattedCitation":"(Haynes, S.N., Richard, D.C.S. &amp; Kubany, 1995)","manualFormatting":"(Haynes, Richard &amp; Kubany, 1995)","plainTextFormattedCitation":"(Haynes, S.N., Richard, D.C.S. &amp; Kubany, 1995)","previouslyFormattedCitation":"(Haynes, S.N., Richard, D.C.S. &amp; Kubany, 1995)"},"properties":{"noteIndex":0},"schema":"https://github.com/citation-style-language/schema/raw/master/csl-citation.json"}</w:instrText>
      </w:r>
      <w:r w:rsidRPr="006A1EC7">
        <w:fldChar w:fldCharType="separate"/>
      </w:r>
      <w:r w:rsidRPr="006A1EC7">
        <w:rPr>
          <w:noProof/>
        </w:rPr>
        <w:t>(Haynes, Richard &amp; Kubany, 1995)</w:t>
      </w:r>
      <w:r w:rsidRPr="006A1EC7">
        <w:fldChar w:fldCharType="end"/>
      </w:r>
      <w:r w:rsidRPr="006A1EC7">
        <w:t xml:space="preserve">. </w:t>
      </w:r>
    </w:p>
    <w:p w14:paraId="5B48FF35" w14:textId="6832AF32" w:rsidR="0092678A" w:rsidRPr="006A1EC7" w:rsidRDefault="003677C2" w:rsidP="0092678A">
      <w:pPr>
        <w:spacing w:line="360" w:lineRule="auto"/>
        <w:ind w:firstLine="720"/>
      </w:pPr>
      <w:r w:rsidRPr="006A1EC7">
        <w:lastRenderedPageBreak/>
        <w:t xml:space="preserve">Assessments of these types of validity are typically lengthy procedures </w:t>
      </w:r>
      <w:r w:rsidRPr="006A1EC7">
        <w:fldChar w:fldCharType="begin" w:fldLock="1"/>
      </w:r>
      <w:r w:rsidRPr="006A1EC7">
        <w:instrText>ADDIN CSL_CITATION {"citationItems":[{"id":"ITEM-1","itemData":{"DOI":"10.1016/j.jclinepi.2008.02.005","ISSN":"08954356","abstract":"Objective: Most clinical research evaluates diagnostic tests by accuracy measures such as sensitivity and specificity. This is stimulated by the Standards for Reporting of Diagnostic Accuracy initiative, which focuses on accuracy in the widely accepted guidelines. Referring to the clinical consequences of diagnostic tests, many epidemiologists recognize the importance of patient outcome studies in addition to accuracy studies. However, there is a theoretical argument that stipulates the need for patient outcome studies, which has thus far been overlooked. Results: Using a philosophical argument, we show that the definition of disease necessarily involves the concept of function, which in turn is inextricably related to outcome. Consequently, diagnostic tests that establish the presence or absence of disease cannot be evaluated without measuring patient outcome. Patient outcome studies are therefore the definitive means to assess the merits of a diagnostic test. Conclusion: The need for patient outcome studies is not due to pragmatic reasons, as previous authors argued, but is based on a philosophical argument relating the definition of disease to the concept of function. We propose that authors justify the use of accuracy studies in papers reporting diagnostic test evaluation by describing the association between gold standard test and patient outcome. © 2008 Elsevier Inc. All rights reserved.","author":[{"dropping-particle":"","family":"Sonke","given":"Gabe S.","non-dropping-particle":"","parse-names":false,"suffix":""},{"dropping-particle":"","family":"Verbeek","given":"André L.M.","non-dropping-particle":"","parse-names":false,"suffix":""},{"dropping-particle":"","family":"Kiemeney","given":"Lambertus A.L.M.","non-dropping-particle":"","parse-names":false,"suffix":""}],"container-title":"Journal of Clinical Epidemiology","id":"ITEM-1","issued":{"date-parts":[["2009"]]},"title":"A philosophical perspective supports the need for patient-outcome studies in diagnostic test evaluation","type":"article-journal"},"uris":["http://www.mendeley.com/documents/?uuid=8e84d14e-5c02-47db-9150-1dad4ba67413"]},{"id":"ITEM-2","itemData":{"DOI":"10.1017/S0033291702006001","ISSN":"00332917","abstract":" Background. Routine administration of Health Related Quality of Life (HRQoL) and needs assessment instruments has been advocated as part of clinical care to aid the recognition of psychosocial problems, to inform clinical decision making, to monitor therapeutic response and to facilitate patient–doctor communication. However, their adoption is not without cost and the benefit of their use is unclear.  Method. A systematic review was conducted. We sought experimental studies that examined the addition of routinely administered measures of HRQoL to care in both psychiatric and non-psychiatric settings. We searched the following databases: MEDLINE, EMBASE, CINAHL, PsycLIT and Cochrane Controlled Trials Register (to 2000). Data were extracted independently and a narrative synthesis of results was presented.  Results. Nine randomized and quasi-randomized studies conducted in non-psychiatric settings were found. All the instruments used included an assessment of mental well-being, with specific questions relating to depression and anxiety. The routine feedback of these instruments had little impact on the recognition of mental disorders or on longer term psychosocial functioning. While clinicians welcomed the information these instruments imparted, their results were rarely incorporated into routine clinical decision making. No studies were found that examined the value of routine assessment and feedback of HRQoL or patient needs in specialist psychiatric care settings.  Conclusions. Routine HRQoL measurement is a costly exercise and there is no robust evidence to suggest that it is of benefit in improving psychosocial outcomes of patients managed in non-psychiatric settings. Major policy initiatives to increase the routine collection and use of outcome measures in psychiatric settings are unevaluated. ","author":[{"dropping-particle":"","family":"Gilbody","given":"S. M.","non-dropping-particle":"","parse-names":false,"suffix":""},{"dropping-particle":"","family":"House","given":"A. O.","non-dropping-particle":"","parse-names":false,"suffix":""},{"dropping-particle":"","family":"Sheldon","given":"T.","non-dropping-particle":"","parse-names":false,"suffix":""}],"container-title":"Psychological Medicine","id":"ITEM-2","issued":{"date-parts":[["2002"]]},"title":"Routine administration of Health Related Quality of Life (HRQoL) and needs assessment instruments to improve psychological outcome - A systemic review","type":"article-journal"},"uris":["http://www.mendeley.com/documents/?uuid=c6a34889-38b8-4281-8180-02aabfb8229b"]},{"id":"ITEM-3","itemData":{"DOI":"10.1093/intqhc/mzs051","ISBN":"1353-4505","ISSN":"13534505","PMID":"22879372","abstract":"OBJECTIVE: To develop and establish the psychometric properties of an instrument to measure face validity, feasibility and utility of patient questionnaires used during health care.\\n\\nDESIGN: Our instrument, QQ-10, is a 10-item self-completed questionnaire, which was developed during the evaluation of another questionnaire (ePAQ-PF), to assess patients' views on questionnaire use during health care.\\n\\nSETTING: Urogynaecology Department, Royal Hallamshire Hospital, Sheffield, UK.\\n\\nPARTICIPANTS: The Sheffield maternity patient user group identified 10 key themes relating to patients' views on using questionnaires; these themes translated into 10 statements, each using the same 5-point Likert response scale.\\n\\nINTERVENTION: Not applicable. Outcome Measures Principal component analysis established the factor structure of our instrument. Internal reliability was assessed using Cronbach's alpha. Construct validity was assessed using Spearman's rho.\\n\\nRESULTS: Factor analysis yielded two meaningful factors: Value and Burden, both achieving Cronbach's alpha scores &gt;0.7. Significant correlations were found between scores for Value and communication experience and between scores for Burden and barriers to health care.\\n\\nCONCLUSIONS: Our instrument offers a valid, reliable measure of patients' views relating to value and burden of using health-related quality of life questionnaires. Its two domains show good internal reliability and with its free text items, it may offer a valuable, standardized assessment of face validity and utility of other questionnaires used in health care.","author":[{"dropping-particle":"","family":"Moores","given":"K. L.","non-dropping-particle":"","parse-names":false,"suffix":""},{"dropping-particle":"","family":"Jones","given":"G. L.","non-dropping-particle":"","parse-names":false,"suffix":""},{"dropping-particle":"","family":"Radley","given":"S. C.","non-dropping-particle":"","parse-names":false,"suffix":""}],"container-title":"International Journal for Quality in Health Care","id":"ITEM-3","issue":"5","issued":{"date-parts":[["2012"]]},"page":"517-524","title":"Development of an instrument to measure face validity, feasibility and utility of patient questionnaire use during health care: The QQ-10","type":"article-journal","volume":"24"},"uris":["http://www.mendeley.com/documents/?uuid=7afce6c1-dd78-4b1c-a806-7c54714abd40"]}],"mendeley":{"formattedCitation":"(Gilbody, House, &amp; Sheldon, 2002; Moores, Jones, &amp; Radley, 2012; Sonke, Verbeek, &amp; Kiemeney, 2009)","plainTextFormattedCitation":"(Gilbody, House, &amp; Sheldon, 2002; Moores, Jones, &amp; Radley, 2012; Sonke, Verbeek, &amp; Kiemeney, 2009)","previouslyFormattedCitation":"(Gilbody, House, &amp; Sheldon, 2002; Moores, Jones, &amp; Radley, 2012; Sonke, Verbeek, &amp; Kiemeney, 2009)"},"properties":{"noteIndex":0},"schema":"https://github.com/citation-style-language/schema/raw/master/csl-citation.json"}</w:instrText>
      </w:r>
      <w:r w:rsidRPr="006A1EC7">
        <w:fldChar w:fldCharType="separate"/>
      </w:r>
      <w:r w:rsidRPr="006A1EC7">
        <w:rPr>
          <w:noProof/>
        </w:rPr>
        <w:t>(Gilbody, House, &amp; Sheldon, 2002; Moores, Jones, &amp; Radley, 2012; Sonke, Verbeek, &amp; Kiemeney, 2009)</w:t>
      </w:r>
      <w:r w:rsidRPr="006A1EC7">
        <w:fldChar w:fldCharType="end"/>
      </w:r>
      <w:r w:rsidRPr="006A1EC7">
        <w:t xml:space="preserve">. Assessments of face validity is seen as a first stage towards achieving the validity of a measure. There are two general approaches to assessing face validity. In the first approach, developers of a scale may ask a sample of participants (clinicians or patients) to use their own judgements and score either themselves, or a fictional patient, on the extreme ends of the scale (i.e. high severity versus low severity) and thus deliberately bias responses this way </w:t>
      </w:r>
      <w:r w:rsidRPr="006A1EC7">
        <w:fldChar w:fldCharType="begin" w:fldLock="1"/>
      </w:r>
      <w:r w:rsidRPr="006A1EC7">
        <w:instrText>ADDIN CSL_CITATION {"citationItems":[{"id":"ITEM-1","itemData":{"ISBN":"9780761923633","author":[{"dropping-particle":"","family":"Bornstein","given":"R","non-dropping-particle":"","parse-names":false,"suffix":""}],"chapter-number":"Face Valid","container-title":"The SAGE Encyclopedia of Social Sciences Reserach Methods","editor":[{"dropping-particle":"","family":"Lewis-Beck","given":"M","non-dropping-particle":"","parse-names":false,"suffix":""},{"dropping-particle":"","family":"Bryman","given":"A","non-dropping-particle":"","parse-names":false,"suffix":""},{"dropping-particle":"","family":"Liao","given":"T","non-dropping-particle":"","parse-names":false,"suffix":""}],"id":"ITEM-1","issued":{"date-parts":[["2011"]]},"publisher":"Sage Publications","publisher-place":"Thousand Oaks, California","title":"Face Validity","type":"chapter"},"uris":["http://www.mendeley.com/documents/?uuid=6fdefcb5-4ddf-4858-94aa-85cb1eabc83a"]}],"mendeley":{"formattedCitation":"(Bornstein, 2011)","plainTextFormattedCitation":"(Bornstein, 2011)","previouslyFormattedCitation":"(Bornstein, 2011)"},"properties":{"noteIndex":0},"schema":"https://github.com/citation-style-language/schema/raw/master/csl-citation.json"}</w:instrText>
      </w:r>
      <w:r w:rsidRPr="006A1EC7">
        <w:fldChar w:fldCharType="separate"/>
      </w:r>
      <w:r w:rsidRPr="006A1EC7">
        <w:rPr>
          <w:noProof/>
        </w:rPr>
        <w:t>(Bornstein, 2011)</w:t>
      </w:r>
      <w:r w:rsidRPr="006A1EC7">
        <w:fldChar w:fldCharType="end"/>
      </w:r>
      <w:r w:rsidRPr="006A1EC7">
        <w:t xml:space="preserve">. This way it can be assessed whether the purpose and directionality of proposed scoring looks obvious to judges. This was not deemed a suitable approach for the current project, due to the large number of items measuring different aspects of WHS, their complex interactions and the high heterogeneity within WHS. </w:t>
      </w:r>
    </w:p>
    <w:p w14:paraId="7CC3507B" w14:textId="0A764C8A" w:rsidR="003677C2" w:rsidRPr="006A1EC7" w:rsidRDefault="003677C2" w:rsidP="0092678A">
      <w:pPr>
        <w:spacing w:line="360" w:lineRule="auto"/>
        <w:ind w:firstLine="720"/>
      </w:pPr>
      <w:r w:rsidRPr="006A1EC7">
        <w:t xml:space="preserve">In the second approach, participants do not complete the COA but are asked whether they perceive the measure’s purpose to be obvious and relevant to the condition of interest </w:t>
      </w:r>
      <w:r w:rsidRPr="006A1EC7">
        <w:fldChar w:fldCharType="begin" w:fldLock="1"/>
      </w:r>
      <w:r w:rsidRPr="006A1EC7">
        <w:instrText>ADDIN CSL_CITATION {"citationItems":[{"id":"ITEM-1","itemData":{"ISBN":"9780761923633","author":[{"dropping-particle":"","family":"Bornstein","given":"R","non-dropping-particle":"","parse-names":false,"suffix":""}],"chapter-number":"Face Valid","container-title":"The SAGE Encyclopedia of Social Sciences Reserach Methods","editor":[{"dropping-particle":"","family":"Lewis-Beck","given":"M","non-dropping-particle":"","parse-names":false,"suffix":""},{"dropping-particle":"","family":"Bryman","given":"A","non-dropping-particle":"","parse-names":false,"suffix":""},{"dropping-particle":"","family":"Liao","given":"T","non-dropping-particle":"","parse-names":false,"suffix":""}],"id":"ITEM-1","issued":{"date-parts":[["2011"]]},"publisher":"Sage Publications","publisher-place":"Thousand Oaks, California","title":"Face Validity","type":"chapter"},"uris":["http://www.mendeley.com/documents/?uuid=6fdefcb5-4ddf-4858-94aa-85cb1eabc83a"]}],"mendeley":{"formattedCitation":"(Bornstein, 2011)","plainTextFormattedCitation":"(Bornstein, 2011)","previouslyFormattedCitation":"(Bornstein, 2011)"},"properties":{"noteIndex":0},"schema":"https://github.com/citation-style-language/schema/raw/master/csl-citation.json"}</w:instrText>
      </w:r>
      <w:r w:rsidRPr="006A1EC7">
        <w:fldChar w:fldCharType="separate"/>
      </w:r>
      <w:r w:rsidRPr="006A1EC7">
        <w:rPr>
          <w:noProof/>
        </w:rPr>
        <w:t>(Bornstein, 2011)</w:t>
      </w:r>
      <w:r w:rsidRPr="006A1EC7">
        <w:fldChar w:fldCharType="end"/>
      </w:r>
      <w:r w:rsidRPr="006A1EC7">
        <w:t xml:space="preserve">. An advantage of this approach is that it is a relatively ‘rapid’ way of assessing face validity </w:t>
      </w:r>
      <w:r w:rsidRPr="006A1EC7">
        <w:fldChar w:fldCharType="begin" w:fldLock="1"/>
      </w:r>
      <w:r w:rsidRPr="006A1EC7">
        <w:instrText>ADDIN CSL_CITATION {"citationItems":[{"id":"ITEM-1","itemData":{"ISBN":"9781483381435","author":[{"dropping-particle":"","family":"Martinez","given":"L","non-dropping-particle":"","parse-names":false,"suffix":""}],"container-title":"The SAGE Encyclopedia of Communication Research Methods","editor":[{"dropping-particle":"","family":"Allen","given":"Mike","non-dropping-particle":"","parse-names":false,"suffix":""}],"id":"ITEM-1","issued":{"date-parts":[["2017"]]},"page":"1823-1824","publisher":"Sage Publication","publisher-place":"Thousand Oaks, California","title":"Validity, Face and Content","type":"chapter"},"uris":["http://www.mendeley.com/documents/?uuid=121d5bed-821f-49d1-9f98-e739257c2f17"]}],"mendeley":{"formattedCitation":"(Martinez, 2017)","plainTextFormattedCitation":"(Martinez, 2017)","previouslyFormattedCitation":"(Martinez, 2017)"},"properties":{"noteIndex":0},"schema":"https://github.com/citation-style-language/schema/raw/master/csl-citation.json"}</w:instrText>
      </w:r>
      <w:r w:rsidRPr="006A1EC7">
        <w:fldChar w:fldCharType="separate"/>
      </w:r>
      <w:r w:rsidRPr="006A1EC7">
        <w:rPr>
          <w:noProof/>
        </w:rPr>
        <w:t>(Martinez, 2017)</w:t>
      </w:r>
      <w:r w:rsidRPr="006A1EC7">
        <w:fldChar w:fldCharType="end"/>
      </w:r>
      <w:r w:rsidRPr="006A1EC7">
        <w:t xml:space="preserve">. (Cognitive) Interviews </w:t>
      </w:r>
      <w:r w:rsidRPr="006A1EC7">
        <w:fldChar w:fldCharType="begin" w:fldLock="1"/>
      </w:r>
      <w:r w:rsidRPr="006A1EC7">
        <w:instrText>ADDIN CSL_CITATION {"citationItems":[{"id":"ITEM-1","itemData":{"DOI":"10.1136/bmjopen-2016-013219","ISBN":"2044-6055","ISSN":"2044-6055","PMID":"28289046","abstract":"INTRODUCTION: Women diagnosed with cancer and facing potentially sterilising cancer treatment have to make time-pressured decisions regarding fertility preservation with specialist fertility services while undergoing treatment of their cancer with oncology services. Oncologists identify a need for resources enabling them to support women's fertility preservation decisions more effectively; women report wanting more specialist information to make these decisions. The overall aim of the 'Cancer, Fertility and Me' study is to develop and evaluate a new evidence-based patient decision aid (PtDA) for women with any cancer considering fertility preservation to address this unmet need. METHODS AND ANALYSIS: This is a prospective mixed-method observational study including women of reproductive age (16 years +) with a new diagnosis of any cancer across two regional cancer and fertility centres in Yorkshire, UK. The research involves three stages. In stage 1, the aim is to develop the PtDA using a systematic method of evidence synthesis and multidisciplinary expert review of current clinical practice and patient information. In stage 2, the aim is to assess the face validity of the PtDA. Feedback on its content and format will be ascertained using questionnaires and interviews with patients, user groups and key stakeholders. Finally, in stage 3 the acceptability of using this resource when integrated into usual cancer care pathways at the point of cancer diagnosis and treatment planning will be evaluated. This will involve a quantitative and qualitative evaluation of the PtDA in clinical practice. Measures chosen include using count data of the PtDAs administered in clinics and accessed online, decisional and patient-reported outcome measures and qualitative feedback. Quantitative data will be analysed using descriptive statistics, paired sample t-tests and CIs; interviews will be analysed using thematic analysis. ETHICS AND DISSEMINATION: Research Ethics Committee approval (Ref: 16/EM/0122) and Health Research Authority approval (Ref: 194751) has been granted. Findings will be published in open access peer-reviewed journals, presented at conferences for academic and health professional audiences, with feedback to health professionals and program managers. The Cancer, Fertility and Me patient decision aid (PtDA) will be disseminated via a diverse range of open-access media, study and charity websites, professional organisations and academic sources. External endo…","author":[{"dropping-particle":"","family":"Jones","given":"G L","non-dropping-particle":"","parse-names":false,"suffix":""},{"dropping-particle":"","family":"Hughes","given":"J","non-dropping-particle":"","parse-names":false,"suffix":""},{"dropping-particle":"","family":"Mahmoodi","given":"N","non-dropping-particle":"","parse-names":false,"suffix":""},{"dropping-particle":"","family":"Greenfield","given":"D","non-dropping-particle":"","parse-names":false,"suffix":""},{"dropping-particle":"","family":"Brauten-Smith","given":"G","non-dropping-particle":"","parse-names":false,"suffix":""},{"dropping-particle":"","family":"Skull","given":"J","non-dropping-particle":"","parse-names":false,"suffix":""},{"dropping-particle":"","family":"Gath","given":"J","non-dropping-particle":"","parse-names":false,"suffix":""},{"dropping-particle":"","family":"Yeomanson","given":"D","non-dropping-particle":"","parse-names":false,"suffix":""},{"dropping-particle":"","family":"Baskind","given":"E","non-dropping-particle":"","parse-names":false,"suffix":""},{"dropping-particle":"","family":"Snowden","given":"J A","non-dropping-particle":"","parse-names":false,"suffix":""},{"dropping-particle":"","family":"Jacques","given":"R M","non-dropping-particle":"","parse-names":false,"suffix":""},{"dropping-particle":"","family":"Velikova","given":"G","non-dropping-particle":"","parse-names":false,"suffix":""},{"dropping-particle":"","family":"Collins","given":"K","non-dropping-particle":"","parse-names":false,"suffix":""},{"dropping-particle":"","family":"Stark","given":"D","non-dropping-particle":"","parse-names":false,"suffix":""},{"dropping-particle":"","family":"Phillips","given":"R","non-dropping-particle":"","parse-names":false,"suffix":""},{"dropping-particle":"","family":"Lane","given":"S","non-dropping-particle":"","parse-names":false,"suffix":""},{"dropping-particle":"","family":"Bekker","given":"H L","non-dropping-particle":"","parse-names":false,"suffix":""}],"container-title":"BMJ Open","id":"ITEM-1","issue":"3","issued":{"date-parts":[["2017"]]},"page":"e013219","title":"Observational study of the development and evaluation of a fertility preservation patient decision aid for teenage and adult women diagnosed with cancer: the Cancer, Fertility and Me research protocol","type":"article-journal","volume":"7"},"uris":["http://www.mendeley.com/documents/?uuid=36c00f68-daca-419d-b436-06d8c89d82cd"]}],"mendeley":{"formattedCitation":"(Jones et al., 2017)","plainTextFormattedCitation":"(Jones et al., 2017)","previouslyFormattedCitation":"(Jones et al., 2017)"},"properties":{"noteIndex":0},"schema":"https://github.com/citation-style-language/schema/raw/master/csl-citation.json"}</w:instrText>
      </w:r>
      <w:r w:rsidRPr="006A1EC7">
        <w:fldChar w:fldCharType="separate"/>
      </w:r>
      <w:r w:rsidRPr="006A1EC7">
        <w:rPr>
          <w:noProof/>
        </w:rPr>
        <w:t>(Jones et al., 2017)</w:t>
      </w:r>
      <w:r w:rsidRPr="006A1EC7">
        <w:fldChar w:fldCharType="end"/>
      </w:r>
      <w:r w:rsidRPr="006A1EC7">
        <w:t xml:space="preserve"> as well as questionnaires have been used as part of this approach </w:t>
      </w:r>
      <w:r w:rsidRPr="006A1EC7">
        <w:fldChar w:fldCharType="begin" w:fldLock="1"/>
      </w:r>
      <w:r w:rsidRPr="006A1EC7">
        <w:instrText>ADDIN CSL_CITATION {"citationItems":[{"id":"ITEM-1","itemData":{"DOI":"10.1136/bmjopen-2016-013219","ISBN":"2044-6055","ISSN":"2044-6055","PMID":"28289046","abstract":"INTRODUCTION: Women diagnosed with cancer and facing potentially sterilising cancer treatment have to make time-pressured decisions regarding fertility preservation with specialist fertility services while undergoing treatment of their cancer with oncology services. Oncologists identify a need for resources enabling them to support women's fertility preservation decisions more effectively; women report wanting more specialist information to make these decisions. The overall aim of the 'Cancer, Fertility and Me' study is to develop and evaluate a new evidence-based patient decision aid (PtDA) for women with any cancer considering fertility preservation to address this unmet need. METHODS AND ANALYSIS: This is a prospective mixed-method observational study including women of reproductive age (16 years +) with a new diagnosis of any cancer across two regional cancer and fertility centres in Yorkshire, UK. The research involves three stages. In stage 1, the aim is to develop the PtDA using a systematic method of evidence synthesis and multidisciplinary expert review of current clinical practice and patient information. In stage 2, the aim is to assess the face validity of the PtDA. Feedback on its content and format will be ascertained using questionnaires and interviews with patients, user groups and key stakeholders. Finally, in stage 3 the acceptability of using this resource when integrated into usual cancer care pathways at the point of cancer diagnosis and treatment planning will be evaluated. This will involve a quantitative and qualitative evaluation of the PtDA in clinical practice. Measures chosen include using count data of the PtDAs administered in clinics and accessed online, decisional and patient-reported outcome measures and qualitative feedback. Quantitative data will be analysed using descriptive statistics, paired sample t-tests and CIs; interviews will be analysed using thematic analysis. ETHICS AND DISSEMINATION: Research Ethics Committee approval (Ref: 16/EM/0122) and Health Research Authority approval (Ref: 194751) has been granted. Findings will be published in open access peer-reviewed journals, presented at conferences for academic and health professional audiences, with feedback to health professionals and program managers. The Cancer, Fertility and Me patient decision aid (PtDA) will be disseminated via a diverse range of open-access media, study and charity websites, professional organisations and academic sources. External endo…","author":[{"dropping-particle":"","family":"Jones","given":"G L","non-dropping-particle":"","parse-names":false,"suffix":""},{"dropping-particle":"","family":"Hughes","given":"J","non-dropping-particle":"","parse-names":false,"suffix":""},{"dropping-particle":"","family":"Mahmoodi","given":"N","non-dropping-particle":"","parse-names":false,"suffix":""},{"dropping-particle":"","family":"Greenfield","given":"D","non-dropping-particle":"","parse-names":false,"suffix":""},{"dropping-particle":"","family":"Brauten-Smith","given":"G","non-dropping-particle":"","parse-names":false,"suffix":""},{"dropping-particle":"","family":"Skull","given":"J","non-dropping-particle":"","parse-names":false,"suffix":""},{"dropping-particle":"","family":"Gath","given":"J","non-dropping-particle":"","parse-names":false,"suffix":""},{"dropping-particle":"","family":"Yeomanson","given":"D","non-dropping-particle":"","parse-names":false,"suffix":""},{"dropping-particle":"","family":"Baskind","given":"E","non-dropping-particle":"","parse-names":false,"suffix":""},{"dropping-particle":"","family":"Snowden","given":"J A","non-dropping-particle":"","parse-names":false,"suffix":""},{"dropping-particle":"","family":"Jacques","given":"R M","non-dropping-particle":"","parse-names":false,"suffix":""},{"dropping-particle":"","family":"Velikova","given":"G","non-dropping-particle":"","parse-names":false,"suffix":""},{"dropping-particle":"","family":"Collins","given":"K","non-dropping-particle":"","parse-names":false,"suffix":""},{"dropping-particle":"","family":"Stark","given":"D","non-dropping-particle":"","parse-names":false,"suffix":""},{"dropping-particle":"","family":"Phillips","given":"R","non-dropping-particle":"","parse-names":false,"suffix":""},{"dropping-particle":"","family":"Lane","given":"S","non-dropping-particle":"","parse-names":false,"suffix":""},{"dropping-particle":"","family":"Bekker","given":"H L","non-dropping-particle":"","parse-names":false,"suffix":""}],"container-title":"BMJ Open","id":"ITEM-1","issue":"3","issued":{"date-parts":[["2017"]]},"page":"e013219","title":"Observational study of the development and evaluation of a fertility preservation patient decision aid for teenage and adult women diagnosed with cancer: the Cancer, Fertility and Me research protocol","type":"article-journal","volume":"7"},"uris":["http://www.mendeley.com/documents/?uuid=36c00f68-daca-419d-b436-06d8c89d82cd"]},{"id":"ITEM-2","itemData":{"DOI":"10.1007/s00464-016-5025-4","ISSN":"14322218","abstract":"Background: The pulsatile organ perfusion (POP) trainer provides training of minimally invasive surgery (MIS) with real instruments and cadaveric organs. It provides training of full procedures with simulation of bleeding. Although widely used, the face validity has not yet been evaluated. This study aimed to establish face validity of the POP trainer for laparoscopic cholecystectomy (LC) and its usefulness compared with other training modalities. Materials and methods: During MIS courses, the participants (n = 52) used the POP trainer to perform LC. Face validity was assessed with questionnaires for realism and usefulness on a five-point Likert scale. Participants were divided into two groups: experts (n = 15) who had performed more than 50 laparoscopic procedures and novices (n = 37) with less than 50 procedures. Secondary aims included the ranking of training modalities, as well as exploration of their specific advantages and disadvantages. Results: The POP trainer was found to be realistic (3.8 ± 0.9) and useful (4.6 ± 0.9). Differences between experts and novices were only found for “The training modality resembles reality” (3.1 ± 0.8 vs. 3.8 ± 0.7; p = 0.010), “The operation on the POP trainer is realistic” (3.4 ± 1.1 vs. 4.5 ± 0.8; p = 0.003), and “It would be desirable to have a POP trainer at my own hospital” (4.2 ± 1.1 vs. 4.8 ± 0.8; p = 0.040). In the ranking, the animal training (1.1 ± 0.3) placed first, the POP trainer (2.3 ± 0.9) second, and the VR trainer (2.8 ± 0.9) and box trainer (2.8 ± 1.1) third. The realistic simulation of animal training was named as an advantage most often, while the unrealistic simulation of the VR trainer was the most often named disadvantage. Conclusions: The POP trainer was rated a highly realistic and useful training modality with face validity for LC. Differences between experts and novices existed concerning realism and desirability. Future studies should evaluate the POP trainer for more advanced surgical procedures. The POP trainer widens the spectrum of modalities for training of MIS in a safe environment outside the operating room.","author":[{"dropping-particle":"","family":"Nickel","given":"Felix","non-dropping-particle":"","parse-names":false,"suffix":""},{"dropping-particle":"","family":"Kowalewski","given":"Karl Friedrich","non-dropping-particle":"","parse-names":false,"suffix":""},{"dropping-particle":"","family":"Rehberger","given":"Florian","non-dropping-particle":"","parse-names":false,"suffix":""},{"dropping-particle":"","family":"Hendrie","given":"Jonathan David","non-dropping-particle":"","parse-names":false,"suffix":""},{"dropping-particle":"","family":"Mayer","given":"Benjamin Friedrich Berthold","non-dropping-particle":"","parse-names":false,"suffix":""},{"dropping-particle":"","family":"Kenngott","given":"Hannes Götz","non-dropping-particle":"","parse-names":false,"suffix":""},{"dropping-particle":"","family":"Bintintan","given":"Vasile","non-dropping-particle":"","parse-names":false,"suffix":""},{"dropping-particle":"","family":"Linke","given":"Georg Richard","non-dropping-particle":"","parse-names":false,"suffix":""},{"dropping-particle":"","family":"Fischer","given":"Lars","non-dropping-particle":"","parse-names":false,"suffix":""},{"dropping-particle":"","family":"Müller-Stich","given":"Beat Peter","non-dropping-particle":"","parse-names":false,"suffix":""}],"container-title":"Surgical Endoscopy","id":"ITEM-2","issue":"2","issued":{"date-parts":[["2017"]]},"page":"714-722","title":"Face validity of the pulsatile organ perfusion trainer for laparoscopic cholecystectomy","type":"article-journal","volume":"31"},"uris":["http://www.mendeley.com/documents/?uuid=a0cbdcad-d0c6-4070-9cb1-67ded3363fc1"]}],"mendeley":{"formattedCitation":"(Jones et al., 2017; Nickel et al., 2017)","manualFormatting":"(Nickel et al., 2017)","plainTextFormattedCitation":"(Jones et al., 2017; Nickel et al., 2017)","previouslyFormattedCitation":"(Jones et al., 2017; Nickel et al., 2017)"},"properties":{"noteIndex":0},"schema":"https://github.com/citation-style-language/schema/raw/master/csl-citation.json"}</w:instrText>
      </w:r>
      <w:r w:rsidRPr="006A1EC7">
        <w:fldChar w:fldCharType="separate"/>
      </w:r>
      <w:r w:rsidRPr="006A1EC7">
        <w:rPr>
          <w:noProof/>
        </w:rPr>
        <w:t>(Nickel et al., 2017)</w:t>
      </w:r>
      <w:r w:rsidRPr="006A1EC7">
        <w:fldChar w:fldCharType="end"/>
      </w:r>
      <w:r w:rsidRPr="006A1EC7">
        <w:t xml:space="preserve">. However, there are some issues with both approaches. Using interviews to assess face validity may lead to non-standardisation of responses and thus create challenges for analysis. Using ad-hoc questionnaires to assess face validity is widespread </w:t>
      </w:r>
      <w:r w:rsidRPr="006A1EC7">
        <w:fldChar w:fldCharType="begin" w:fldLock="1"/>
      </w:r>
      <w:r w:rsidRPr="006A1EC7">
        <w:instrText>ADDIN CSL_CITATION {"citationItems":[{"id":"ITEM-1","itemData":{"DOI":"10.1136/bmjopen-2016-013219","ISBN":"2044-6055","ISSN":"2044-6055","PMID":"28289046","abstract":"INTRODUCTION: Women diagnosed with cancer and facing potentially sterilising cancer treatment have to make time-pressured decisions regarding fertility preservation with specialist fertility services while undergoing treatment of their cancer with oncology services. Oncologists identify a need for resources enabling them to support women's fertility preservation decisions more effectively; women report wanting more specialist information to make these decisions. The overall aim of the 'Cancer, Fertility and Me' study is to develop and evaluate a new evidence-based patient decision aid (PtDA) for women with any cancer considering fertility preservation to address this unmet need. METHODS AND ANALYSIS: This is a prospective mixed-method observational study including women of reproductive age (16 years +) with a new diagnosis of any cancer across two regional cancer and fertility centres in Yorkshire, UK. The research involves three stages. In stage 1, the aim is to develop the PtDA using a systematic method of evidence synthesis and multidisciplinary expert review of current clinical practice and patient information. In stage 2, the aim is to assess the face validity of the PtDA. Feedback on its content and format will be ascertained using questionnaires and interviews with patients, user groups and key stakeholders. Finally, in stage 3 the acceptability of using this resource when integrated into usual cancer care pathways at the point of cancer diagnosis and treatment planning will be evaluated. This will involve a quantitative and qualitative evaluation of the PtDA in clinical practice. Measures chosen include using count data of the PtDAs administered in clinics and accessed online, decisional and patient-reported outcome measures and qualitative feedback. Quantitative data will be analysed using descriptive statistics, paired sample t-tests and CIs; interviews will be analysed using thematic analysis. ETHICS AND DISSEMINATION: Research Ethics Committee approval (Ref: 16/EM/0122) and Health Research Authority approval (Ref: 194751) has been granted. Findings will be published in open access peer-reviewed journals, presented at conferences for academic and health professional audiences, with feedback to health professionals and program managers. The Cancer, Fertility and Me patient decision aid (PtDA) will be disseminated via a diverse range of open-access media, study and charity websites, professional organisations and academic sources. External endo…","author":[{"dropping-particle":"","family":"Jones","given":"G L","non-dropping-particle":"","parse-names":false,"suffix":""},{"dropping-particle":"","family":"Hughes","given":"J","non-dropping-particle":"","parse-names":false,"suffix":""},{"dropping-particle":"","family":"Mahmoodi","given":"N","non-dropping-particle":"","parse-names":false,"suffix":""},{"dropping-particle":"","family":"Greenfield","given":"D","non-dropping-particle":"","parse-names":false,"suffix":""},{"dropping-particle":"","family":"Brauten-Smith","given":"G","non-dropping-particle":"","parse-names":false,"suffix":""},{"dropping-particle":"","family":"Skull","given":"J","non-dropping-particle":"","parse-names":false,"suffix":""},{"dropping-particle":"","family":"Gath","given":"J","non-dropping-particle":"","parse-names":false,"suffix":""},{"dropping-particle":"","family":"Yeomanson","given":"D","non-dropping-particle":"","parse-names":false,"suffix":""},{"dropping-particle":"","family":"Baskind","given":"E","non-dropping-particle":"","parse-names":false,"suffix":""},{"dropping-particle":"","family":"Snowden","given":"J A","non-dropping-particle":"","parse-names":false,"suffix":""},{"dropping-particle":"","family":"Jacques","given":"R M","non-dropping-particle":"","parse-names":false,"suffix":""},{"dropping-particle":"","family":"Velikova","given":"G","non-dropping-particle":"","parse-names":false,"suffix":""},{"dropping-particle":"","family":"Collins","given":"K","non-dropping-particle":"","parse-names":false,"suffix":""},{"dropping-particle":"","family":"Stark","given":"D","non-dropping-particle":"","parse-names":false,"suffix":""},{"dropping-particle":"","family":"Phillips","given":"R","non-dropping-particle":"","parse-names":false,"suffix":""},{"dropping-particle":"","family":"Lane","given":"S","non-dropping-particle":"","parse-names":false,"suffix":""},{"dropping-particle":"","family":"Bekker","given":"H L","non-dropping-particle":"","parse-names":false,"suffix":""}],"container-title":"BMJ Open","id":"ITEM-1","issue":"3","issued":{"date-parts":[["2017"]]},"page":"e013219","title":"Observational study of the development and evaluation of a fertility preservation patient decision aid for teenage and adult women diagnosed with cancer: the Cancer, Fertility and Me research protocol","type":"article-journal","volume":"7"},"uris":["http://www.mendeley.com/documents/?uuid=36c00f68-daca-419d-b436-06d8c89d82cd"]},{"id":"ITEM-2","itemData":{"DOI":"10.1007/s00464-016-5025-4","ISSN":"14322218","abstract":"Background: The pulsatile organ perfusion (POP) trainer provides training of minimally invasive surgery (MIS) with real instruments and cadaveric organs. It provides training of full procedures with simulation of bleeding. Although widely used, the face validity has not yet been evaluated. This study aimed to establish face validity of the POP trainer for laparoscopic cholecystectomy (LC) and its usefulness compared with other training modalities. Materials and methods: During MIS courses, the participants (n = 52) used the POP trainer to perform LC. Face validity was assessed with questionnaires for realism and usefulness on a five-point Likert scale. Participants were divided into two groups: experts (n = 15) who had performed more than 50 laparoscopic procedures and novices (n = 37) with less than 50 procedures. Secondary aims included the ranking of training modalities, as well as exploration of their specific advantages and disadvantages. Results: The POP trainer was found to be realistic (3.8 ± 0.9) and useful (4.6 ± 0.9). Differences between experts and novices were only found for “The training modality resembles reality” (3.1 ± 0.8 vs. 3.8 ± 0.7; p = 0.010), “The operation on the POP trainer is realistic” (3.4 ± 1.1 vs. 4.5 ± 0.8; p = 0.003), and “It would be desirable to have a POP trainer at my own hospital” (4.2 ± 1.1 vs. 4.8 ± 0.8; p = 0.040). In the ranking, the animal training (1.1 ± 0.3) placed first, the POP trainer (2.3 ± 0.9) second, and the VR trainer (2.8 ± 0.9) and box trainer (2.8 ± 1.1) third. The realistic simulation of animal training was named as an advantage most often, while the unrealistic simulation of the VR trainer was the most often named disadvantage. Conclusions: The POP trainer was rated a highly realistic and useful training modality with face validity for LC. Differences between experts and novices existed concerning realism and desirability. Future studies should evaluate the POP trainer for more advanced surgical procedures. The POP trainer widens the spectrum of modalities for training of MIS in a safe environment outside the operating room.","author":[{"dropping-particle":"","family":"Nickel","given":"Felix","non-dropping-particle":"","parse-names":false,"suffix":""},{"dropping-particle":"","family":"Kowalewski","given":"Karl Friedrich","non-dropping-particle":"","parse-names":false,"suffix":""},{"dropping-particle":"","family":"Rehberger","given":"Florian","non-dropping-particle":"","parse-names":false,"suffix":""},{"dropping-particle":"","family":"Hendrie","given":"Jonathan David","non-dropping-particle":"","parse-names":false,"suffix":""},{"dropping-particle":"","family":"Mayer","given":"Benjamin Friedrich Berthold","non-dropping-particle":"","parse-names":false,"suffix":""},{"dropping-particle":"","family":"Kenngott","given":"Hannes Götz","non-dropping-particle":"","parse-names":false,"suffix":""},{"dropping-particle":"","family":"Bintintan","given":"Vasile","non-dropping-particle":"","parse-names":false,"suffix":""},{"dropping-particle":"","family":"Linke","given":"Georg Richard","non-dropping-particle":"","parse-names":false,"suffix":""},{"dropping-particle":"","family":"Fischer","given":"Lars","non-dropping-particle":"","parse-names":false,"suffix":""},{"dropping-particle":"","family":"Müller-Stich","given":"Beat Peter","non-dropping-particle":"","parse-names":false,"suffix":""}],"container-title":"Surgical Endoscopy","id":"ITEM-2","issue":"2","issued":{"date-parts":[["2017"]]},"page":"714-722","title":"Face validity of the pulsatile organ perfusion trainer for laparoscopic cholecystectomy","type":"article-journal","volume":"31"},"uris":["http://www.mendeley.com/documents/?uuid=a0cbdcad-d0c6-4070-9cb1-67ded3363fc1"]}],"mendeley":{"formattedCitation":"(Jones et al., 2017; Nickel et al., 2017)","manualFormatting":"(e.g. Nickel et al., 2017)","plainTextFormattedCitation":"(Jones et al., 2017; Nickel et al., 2017)","previouslyFormattedCitation":"(Jones et al., 2017; Nickel et al., 2017)"},"properties":{"noteIndex":0},"schema":"https://github.com/citation-style-language/schema/raw/master/csl-citation.json"}</w:instrText>
      </w:r>
      <w:r w:rsidRPr="006A1EC7">
        <w:fldChar w:fldCharType="separate"/>
      </w:r>
      <w:r w:rsidRPr="006A1EC7">
        <w:rPr>
          <w:noProof/>
        </w:rPr>
        <w:t>(e.g. Nickel et al., 2017)</w:t>
      </w:r>
      <w:r w:rsidRPr="006A1EC7">
        <w:fldChar w:fldCharType="end"/>
      </w:r>
      <w:r w:rsidRPr="006A1EC7">
        <w:t xml:space="preserve">, but the use of non-validated questionnaire to assess face validity causes a plethora of issues. </w:t>
      </w:r>
    </w:p>
    <w:p w14:paraId="6BF3699B" w14:textId="0808368B" w:rsidR="003677C2" w:rsidRPr="006A1EC7" w:rsidRDefault="003677C2" w:rsidP="003677C2">
      <w:pPr>
        <w:spacing w:line="360" w:lineRule="auto"/>
        <w:ind w:firstLine="720"/>
      </w:pPr>
      <w:r w:rsidRPr="006A1EC7">
        <w:t xml:space="preserve">One measure offering an alternative to ad-hoc questionnaires is the QQ-10; it is validated and available to use in studies assessing the face validity of a PRO. The QQ-10 is a 10-item measures that evaluates four aspects: face validity, utility, burden and perceived value of a measure </w:t>
      </w:r>
      <w:r w:rsidRPr="006A1EC7">
        <w:fldChar w:fldCharType="begin" w:fldLock="1"/>
      </w:r>
      <w:r w:rsidRPr="006A1EC7">
        <w:instrText>ADDIN CSL_CITATION {"citationItems":[{"id":"ITEM-1","itemData":{"DOI":"10.1093/intqhc/mzs051","ISBN":"1353-4505","ISSN":"13534505","PMID":"22879372","abstract":"OBJECTIVE: To develop and establish the psychometric properties of an instrument to measure face validity, feasibility and utility of patient questionnaires used during health care.\\n\\nDESIGN: Our instrument, QQ-10, is a 10-item self-completed questionnaire, which was developed during the evaluation of another questionnaire (ePAQ-PF), to assess patients' views on questionnaire use during health care.\\n\\nSETTING: Urogynaecology Department, Royal Hallamshire Hospital, Sheffield, UK.\\n\\nPARTICIPANTS: The Sheffield maternity patient user group identified 10 key themes relating to patients' views on using questionnaires; these themes translated into 10 statements, each using the same 5-point Likert response scale.\\n\\nINTERVENTION: Not applicable. Outcome Measures Principal component analysis established the factor structure of our instrument. Internal reliability was assessed using Cronbach's alpha. Construct validity was assessed using Spearman's rho.\\n\\nRESULTS: Factor analysis yielded two meaningful factors: Value and Burden, both achieving Cronbach's alpha scores &gt;0.7. Significant correlations were found between scores for Value and communication experience and between scores for Burden and barriers to health care.\\n\\nCONCLUSIONS: Our instrument offers a valid, reliable measure of patients' views relating to value and burden of using health-related quality of life questionnaires. Its two domains show good internal reliability and with its free text items, it may offer a valuable, standardized assessment of face validity and utility of other questionnaires used in health care.","author":[{"dropping-particle":"","family":"Moores","given":"K. L.","non-dropping-particle":"","parse-names":false,"suffix":""},{"dropping-particle":"","family":"Jones","given":"G. L.","non-dropping-particle":"","parse-names":false,"suffix":""},{"dropping-particle":"","family":"Radley","given":"S. C.","non-dropping-particle":"","parse-names":false,"suffix":""}],"container-title":"International Journal for Quality in Health Care","id":"ITEM-1","issue":"5","issued":{"date-parts":[["2012"]]},"page":"517-524","title":"Development of an instrument to measure face validity, feasibility and utility of patient questionnaire use during health care: The QQ-10","type":"article-journal","volume":"24"},"uris":["http://www.mendeley.com/documents/?uuid=7afce6c1-dd78-4b1c-a806-7c54714abd40"]}],"mendeley":{"formattedCitation":"(Moores et al., 2012)","plainTextFormattedCitation":"(Moores et al., 2012)","previouslyFormattedCitation":"(Moores et al., 2012)"},"properties":{"noteIndex":0},"schema":"https://github.com/citation-style-language/schema/raw/master/csl-citation.json"}</w:instrText>
      </w:r>
      <w:r w:rsidRPr="006A1EC7">
        <w:fldChar w:fldCharType="separate"/>
      </w:r>
      <w:r w:rsidRPr="006A1EC7">
        <w:rPr>
          <w:noProof/>
        </w:rPr>
        <w:t>(Moores et al., 2012)</w:t>
      </w:r>
      <w:r w:rsidRPr="006A1EC7">
        <w:fldChar w:fldCharType="end"/>
      </w:r>
      <w:r w:rsidRPr="006A1EC7">
        <w:t xml:space="preserve">. The QQ-10 was initially developed to be used during the evaluation phase of the ePAQ-PF (electronic Personal Assessment Questionnaire, Pelvic Floor) </w:t>
      </w:r>
      <w:r w:rsidRPr="006A1EC7">
        <w:fldChar w:fldCharType="begin" w:fldLock="1"/>
      </w:r>
      <w:r w:rsidRPr="006A1EC7">
        <w:instrText>ADDIN CSL_CITATION {"citationItems":[{"id":"ITEM-1","itemData":{"DOI":"10.1016/j.ejogrb.2019.05.024","ISSN":"03012115","author":[{"dropping-particle":"","family":"Gray","given":"Thomas G","non-dropping-particle":"","parse-names":false,"suffix":""},{"dropping-particle":"","family":"Moores","given":"Karen L","non-dropping-particle":"","parse-names":false,"suffix":""},{"dropping-particle":"","family":"James","given":"Ellie","non-dropping-particle":"","parse-names":false,"suffix":""},{"dropping-particle":"","family":"Connor","given":"Mary E","non-dropping-particle":"","parse-names":false,"suffix":""},{"dropping-particle":"","family":"Jones","given":"Georgina L","non-dropping-particle":"","parse-names":false,"suffix":""},{"dropping-particle":"","family":"Radley","given":"Stephen C","non-dropping-particle":"","parse-names":false,"suffix":""}],"container-title":"European Journal of Obstetrics &amp; Gynecology and Reproductive Biology","id":"ITEM-1","issued":{"date-parts":[["2019"]]},"page":"148-156","title":"Development and initial validation of an electronic personal assessment questionnaire for menstrual, pelvic pain and gynaecological hormonal disorders (ePAQ-MPH)","type":"article-journal","volume":"238"},"uris":["http://www.mendeley.com/documents/?uuid=fd712779-2260-4d42-9c35-f8e841fdc379"]}],"mendeley":{"formattedCitation":"(Gray et al., 2019)","plainTextFormattedCitation":"(Gray et al., 2019)","previouslyFormattedCitation":"(Gray et al., 2019)"},"properties":{"noteIndex":0},"schema":"https://github.com/citation-style-language/schema/raw/master/csl-citation.json"}</w:instrText>
      </w:r>
      <w:r w:rsidRPr="006A1EC7">
        <w:fldChar w:fldCharType="separate"/>
      </w:r>
      <w:r w:rsidRPr="006A1EC7">
        <w:rPr>
          <w:noProof/>
        </w:rPr>
        <w:t>(Gray et al., 2019)</w:t>
      </w:r>
      <w:r w:rsidRPr="006A1EC7">
        <w:fldChar w:fldCharType="end"/>
      </w:r>
      <w:r w:rsidRPr="006A1EC7">
        <w:t>, but has since been adapted to other purposes. The QI-10, its clinician-rated form for COAs, was then developed as a result. A limitation of this measure is however that the clinician-rated form has not been validated and its psychometric properties are currently under assessment (Jones et al., personal communication</w:t>
      </w:r>
      <w:r w:rsidRPr="006A1EC7">
        <w:rPr>
          <w:rStyle w:val="FootnoteReference"/>
          <w:rFonts w:eastAsiaTheme="majorEastAsia"/>
        </w:rPr>
        <w:footnoteReference w:id="19"/>
      </w:r>
      <w:r w:rsidRPr="006A1EC7">
        <w:t xml:space="preserve">). However, as a result of the QI-10 offering a systematic and </w:t>
      </w:r>
      <w:r w:rsidRPr="006A1EC7">
        <w:lastRenderedPageBreak/>
        <w:t>meaningful way of assessing the face validity of a measure, the study team decided that it had much to offer to the current study and would be used (despite the lack of psychometric validation of the clinician-rated form).</w:t>
      </w:r>
    </w:p>
    <w:p w14:paraId="742740F0" w14:textId="3E211DCE" w:rsidR="003677C2" w:rsidRPr="006A1EC7" w:rsidRDefault="003677C2" w:rsidP="003677C2">
      <w:pPr>
        <w:spacing w:line="360" w:lineRule="auto"/>
        <w:ind w:firstLine="720"/>
      </w:pPr>
      <w:r w:rsidRPr="006A1EC7">
        <w:t xml:space="preserve">It is important to mention that the concept of ‘face validity’ has been heavily criticised in the literature. </w:t>
      </w:r>
      <w:r w:rsidRPr="006A1EC7">
        <w:rPr>
          <w:noProof/>
        </w:rPr>
        <w:t>Royal (2016), a professor of assessment and outcomes at North Carolina State University, for example, argues that face validity is not a legitimate type of validity and that little to no academic underpinnings of this type of validity exist. This criticism is perhaps linked to the fact that the concept of face validity is not as</w:t>
      </w:r>
      <w:r w:rsidRPr="006A1EC7">
        <w:t xml:space="preserve"> well-defined as other types of validity </w:t>
      </w:r>
      <w:r w:rsidRPr="006A1EC7">
        <w:fldChar w:fldCharType="begin" w:fldLock="1"/>
      </w:r>
      <w:r w:rsidR="00AD67F5"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Applications","type":"book"},"locator":"101","uris":["http://www.mendeley.com/documents/?uuid=0316ab82-7ed3-4f19-b5e0-edf860dc28e5"]},{"id":"ITEM-2","itemData":{"DOI":"10.1111/j.1365-2929.2005.02361.x","ISSN":"03080110","abstract":"Simulation plays a vital role in health professions assessment. This review provides a primer on assessment validation for educators and education researchers. We focus on simulation-based assessment of health professionals, but the principles apply broadly to other assessment approaches and topics. Validation refers to the process of collecting validity evidence to evaluate the appropriateness of the interpretations, uses, and decisions based on assessment results. Contemporary frameworks view validity as a hypothesis, and validity evidence is collected to support or refute the validity hypothesis (i.e., that the proposed interpretations and decisions are defensible). In validation, the educator or researcher defines the proposed interpretations and decisions, identifies and prioritizes the most questionable assumptions in making these interpretations and decisions (the “interpretation-use argument”), empirically tests those assumptions using existing or newly-collected evidence, and then summarizes the evidence as a coherent “validity argument.” A framework proposed by Messick identifies potential evidence sources: content, response process, internal structure, relationships with other variables, and consequences. Another framework proposed by Kane identifies key inferences in generating useful interpretations: scoring, generalization, extrapolation, and implications/decision. We propose an eight-step approach to validation that applies to either framework: Define the construct and proposed interpretation, make explicit the intended decision(s), define the interpretation-use argument and prioritize needed validity evidence, identify candidate instruments and/or create/adapt a new instrument, appraise existing evidence and collect new evidence as needed, keep track of practical issues, formulate the validity argument, and make a judgment: does the evidence support the intended use? Rigorous validation first prioritizes and then empirically evaluates key assumptions in the interpretation and use of assessment scores. Validation science would be improved by more explicit articulation and prioritization of the interpretation-use argument, greater use of formal validation frameworks, and more evidence informing the consequences and implications of assessment.","author":[{"dropping-particle":"","family":"Downing","given":"Steven M.","non-dropping-particle":"","parse-names":false,"suffix":""}],"container-title":"Medical Education","id":"ITEM-2","issue":"1","issued":{"date-parts":[["2006"]]},"page":"7-8","title":"Face validity of assessments: Faith-based interpretations or evidence-based science?","type":"article-journal","volume":"40"},"uris":["http://www.mendeley.com/documents/?uuid=93c6a69d-5c3f-4950-bdad-e82dd10592f4"]},{"id":"ITEM-3","itemData":{"DOI":"10.1177/001316444700700201","ISSN":"15523888","abstract":"The concept of face validity is discussed critically. Such meanings of the term as validity by assumption, validity by definition, validity by appearance, and validity by hypothesis are considered. Recommendations are made for use of the concept.","author":[{"dropping-particle":"","family":"Mosier","given":"Charles I.","non-dropping-particle":"","parse-names":false,"suffix":""}],"container-title":"Educational and Psychological Measurement","id":"ITEM-3","issued":{"date-parts":[["1947"]]},"title":"A critical examination of the concepts of face validity","type":"article-journal"},"uris":["http://www.mendeley.com/documents/?uuid=e1b02553-bbe5-400f-ba28-e25542a0189b"]}],"mendeley":{"formattedCitation":"(DeVellis, 2017, p. 101; Downing, 2006; Mosier, 1947)","manualFormatting":"(DeVellis, 2017; Downing, 2006; Mosier, 1947)","plainTextFormattedCitation":"(DeVellis, 2017, p. 101; Downing, 2006; Mosier, 1947)","previouslyFormattedCitation":"(DeVellis, 2017, p. 101; Downing, 2006; Mosier, 1947)"},"properties":{"noteIndex":0},"schema":"https://github.com/citation-style-language/schema/raw/master/csl-citation.json"}</w:instrText>
      </w:r>
      <w:r w:rsidRPr="006A1EC7">
        <w:fldChar w:fldCharType="separate"/>
      </w:r>
      <w:r w:rsidRPr="006A1EC7">
        <w:rPr>
          <w:noProof/>
        </w:rPr>
        <w:t>(DeVellis, 2017; Downing, 2006; Mosier, 1947)</w:t>
      </w:r>
      <w:r w:rsidRPr="006A1EC7">
        <w:fldChar w:fldCharType="end"/>
      </w:r>
      <w:r w:rsidRPr="006A1EC7">
        <w:t>, and may perhaps also be linked with the use of non-validated questionnaires to assess face validity. Using a validated measure, such as the QI-10, should therefore counteract this criticism, to some degree, as it offers a standardised way to assess face validity.</w:t>
      </w:r>
    </w:p>
    <w:p w14:paraId="20F32B1B" w14:textId="1781413A" w:rsidR="003677C2" w:rsidRPr="006A1EC7" w:rsidRDefault="003677C2" w:rsidP="003677C2">
      <w:pPr>
        <w:spacing w:line="360" w:lineRule="auto"/>
        <w:ind w:firstLine="720"/>
      </w:pPr>
      <w:r w:rsidRPr="006A1EC7">
        <w:t xml:space="preserve">Another criticism of the concept of face validity is the lack of clear definitions as to who should assess a measure’s face validity during scale development </w:t>
      </w:r>
      <w:r w:rsidRPr="006A1EC7">
        <w:fldChar w:fldCharType="begin" w:fldLock="1"/>
      </w:r>
      <w:r w:rsidR="00AD67F5"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Applications","type":"book"},"locator":"101","uris":["http://www.mendeley.com/documents/?uuid=0316ab82-7ed3-4f19-b5e0-edf860dc28e5"]}],"mendeley":{"formattedCitation":"(DeVellis, 2017, p. 101)","manualFormatting":"(DeVellis, 2017)","plainTextFormattedCitation":"(DeVellis, 2017, p. 101)","previouslyFormattedCitation":"(DeVellis, 2017, p. 101)"},"properties":{"noteIndex":0},"schema":"https://github.com/citation-style-language/schema/raw/master/csl-citation.json"}</w:instrText>
      </w:r>
      <w:r w:rsidRPr="006A1EC7">
        <w:fldChar w:fldCharType="separate"/>
      </w:r>
      <w:r w:rsidRPr="006A1EC7">
        <w:rPr>
          <w:noProof/>
        </w:rPr>
        <w:t>(DeVellis, 2017)</w:t>
      </w:r>
      <w:r w:rsidRPr="006A1EC7">
        <w:fldChar w:fldCharType="end"/>
      </w:r>
      <w:r w:rsidRPr="006A1EC7">
        <w:t>; whether it is the patient group, stakeholders or clinicians. For the current project, it is argued that clinicians are the target group for indicating face validity, as they will be the group most likely to use the COA in (routine) clinical practice. Assessing the face validity of a COA nonetheless adds to the evidence-base for the psychometric properties of a COA; especially when using a validated measure to do so.</w:t>
      </w:r>
    </w:p>
    <w:p w14:paraId="2BC95E49" w14:textId="6068E046" w:rsidR="003677C2" w:rsidRPr="006A1EC7" w:rsidRDefault="003677C2" w:rsidP="003677C2">
      <w:pPr>
        <w:spacing w:line="360" w:lineRule="auto"/>
        <w:ind w:firstLine="720"/>
      </w:pPr>
      <w:r w:rsidRPr="006A1EC7">
        <w:t xml:space="preserve">In addition, it is also important to establish the content validity of a COA </w:t>
      </w:r>
      <w:r w:rsidRPr="006A1EC7">
        <w:fldChar w:fldCharType="begin" w:fldLock="1"/>
      </w:r>
      <w:r w:rsidRPr="006A1EC7">
        <w:instrText>ADDIN CSL_CITATION {"citationItems":[{"id":"ITEM-1","itemData":{"URL":"https://www.cosmin.nl/","accessed":{"date-parts":[["2019","11","12"]]},"author":[{"dropping-particle":"","family":"COnsensus-based Standards for the selection of health Measurement INstruments","given":"","non-dropping-particle":"","parse-names":false,"suffix":""}],"id":"ITEM-1","issued":{"date-parts":[["2019"]]},"title":"COnsensus-based Standards for the selection of health Measurement INstruments","type":"webpage"},"uris":["http://www.mendeley.com/documents/?uuid=880eeafc-e594-4990-8995-787f41c108f1"]},{"id":"ITEM-2","itemData":{"DOI":"10.1016/j.jclinepi.2017.11.005","ISSN":"18785921","abstract":"Objectives: To summarize the evidence on content and structural validity of 17 patient-reported outcome measures (PROMs) to measure physical functioning in patients with low back pain (LBP). Study Design and Setting: MEDLINE, EMBASE, CINAHL, PsycINFO, SportDiscus, and Google Scholar were searched (February 2017). Records on development and studies assessing content validity or unidimensionality in patients with LBP were included. Two reviewers defined eligible studies and assessed their methodological quality with updated Consensus-based Standards for the Selection of Health Measurement Instruments standards. Evidence was synthesized for three separate aspects of content validity: relevance, comprehensiveness, and comprehensibility, and for unidimensionality, a modified GRADE approach was applied to evidence synthesis. Results: High-quality evidence showed that 24-item Roland Morris Disability Questionnaire (RMDQ-24) is a comprehensible but not comprehensive PROM. Low to very low quality evidence underpinned the content validity of the other PROMs. Unidimensionality was: sufficient for Brief Pain Inventory pain interference subscale (moderate quality evidence); inconsistent for RMDQ-23, Oswestry Disability Index 2.1a (ODI 2.1a), and Quebec Back Pain Disability Scale (moderate quality); insufficient for RMDQ-24, ODI 1.0, and RMDQ-18 (high quality) and Short Form 36 physical functioning subscale (SF36-PF, moderate quality). Conclusion: The content validity of PROMs to measure physical functioning in patients with LBP is understudied. Structural validity of several widely used PROMs is problematic.","author":[{"dropping-particle":"","family":"Chiarotto","given":"Alessandro","non-dropping-particle":"","parse-names":false,"suffix":""},{"dropping-particle":"","family":"Ostelo","given":"Raymond W.","non-dropping-particle":"","parse-names":false,"suffix":""},{"dropping-particle":"","family":"Boers","given":"Maarten","non-dropping-particle":"","parse-names":false,"suffix":""},{"dropping-particle":"","family":"Terwee","given":"Caroline B.","non-dropping-particle":"","parse-names":false,"suffix":""}],"container-title":"Journal of Clinical Epidemiology","id":"ITEM-2","issued":{"date-parts":[["2018"]]},"page":"73-93","publisher":"Elsevier Inc","title":"A systematic review highlights the need to investigate the content validity of patient-reported outcome measures for physical functioning in patients with low back pain","type":"article-journal","volume":"95"},"uris":["http://www.mendeley.com/documents/?uuid=324e99ac-76e3-472a-8d67-ca5b6e66ebaa"]},{"id":"ITEM-3","itemData":{"DOI":"10.1016/j.jclinepi.2010.02.006","ISBN":"3120444677","ISSN":"08954356","PMID":"20494804","abstract":"Objective: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 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 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\"reliability\" and \"structural validity,\" and the definitions of internal consistency and reliability. Conclusions: Consensus on taxonomy, terminology, and definitions of measurement properties was reached. Hopefully, this will lead to a more uniform use of terms and definitions in the literature on measurement properties. © 2010 Elsevier Inc. All rights reserved.","author":[{"dropping-particle":"","family":"Mokkink","given":"Lidwine B.","non-dropping-particle":"","parse-names":false,"suffix":""},{"dropping-particle":"","family":"Terwee","given":"Caroline B.","non-dropping-particle":"","parse-names":false,"suffix":""},{"dropping-particle":"","family":"Patrick","given":"Donald L.","non-dropping-particle":"","parse-names":false,"suffix":""},{"dropping-particle":"","family":"Alonso","given":"Jordi","non-dropping-particle":"","parse-names":false,"suffix":""},{"dropping-particle":"","family":"Stratford","given":"Paul W.","non-dropping-particle":"","parse-names":false,"suffix":""},{"dropping-particle":"","family":"Knol","given":"Dirk L.","non-dropping-particle":"","parse-names":false,"suffix":""},{"dropping-particle":"","family":"Bouter","given":"Lex M.","non-dropping-particle":"","parse-names":false,"suffix":""},{"dropping-particle":"","family":"Vet","given":"Henrica C.W. W.","non-dropping-particle":"de","parse-names":false,"suffix":""},{"dropping-particle":"","family":"Prinsen","given":"Cicilia A. C.","non-dropping-particle":"","parse-names":false,"suffix":""},{"dropping-particle":"","family":"Mokkink","given":"Lidwine B.","non-dropping-particle":"","parse-names":false,"suffix":""},{"dropping-particle":"","family":"Vet","given":"Henrica C.W. W.","non-dropping-particle":"de","parse-names":false,"suffix":""}],"container-title":"Quality of Life Research","id":"ITEM-3","issue":"7","issued":{"date-parts":[["2014"]]},"page":"32","title":"The COSMIN checklist for evaluating the methodological quality of studies on measurement properties","type":"article-journal","volume":"63"},"uris":["http://www.mendeley.com/documents/?uuid=4397b4e2-e735-4ca4-b9ac-78effe00e60e"]},{"id":"ITEM-4","itemData":{"author":[{"dropping-particle":"","family":"Mokkink","given":"L. B.","non-dropping-particle":"","parse-names":false,"suffix":""},{"dropping-particle":"","family":"Prinsen","given":"C. A.C.","non-dropping-particle":"","parse-names":false,"suffix":""},{"dropping-particle":"","family":"Patrick","given":"D. L.","non-dropping-particle":"","parse-names":false,"suffix":""},{"dropping-particle":"","family":"Alonso","given":"J.","non-dropping-particle":"","parse-names":false,"suffix":""},{"dropping-particle":"","family":"Bouter","given":"L. M.","non-dropping-particle":"","parse-names":false,"suffix":""},{"dropping-particle":"","family":"Vet","given":"H. C.","non-dropping-particle":"de","parse-names":false,"suffix":""},{"dropping-particle":"","family":"Terwee","given":"C","non-dropping-particle":"","parse-names":false,"suffix":""}],"id":"ITEM-4","issue":"February","issued":{"date-parts":[["2018"]]},"number-of-pages":"1-78","title":"COSMIN methodology for systematic reviews of Patient-Reported Outcome Measures (PROMs)","type":"report"},"uris":["http://www.mendeley.com/documents/?uuid=6ba393b9-4750-4d61-bd6b-9a7ac48de4cb"]}],"mendeley":{"formattedCitation":"(Chiarotto, Ostelo, Boers, &amp; Terwee, 2018; COnsensus-based Standards for the selection of health Measurement INstruments, 2019a; L. B. Mokkink et al., 2018; Lidwine B. Mokkink et al., 2014)","manualFormatting":"(Chiarotto, Ostelo, Boers, &amp; Terwee, 2018; COnsensus-based Standards for the selection of health Measurement INstruments, 2019a; Mokkink et al., 2018; Mokkink et al., 2014)","plainTextFormattedCitation":"(Chiarotto, Ostelo, Boers, &amp; Terwee, 2018; COnsensus-based Standards for the selection of health Measurement INstruments, 2019a; L. B. Mokkink et al., 2018; Lidwine B. Mokkink et al., 2014)","previouslyFormattedCitation":"(Chiarotto, Ostelo, Boers, &amp; Terwee, 2018; COnsensus-based Standards for the selection of health Measurement INstruments, 2019a; L. B. Mokkink et al., 2018; Lidwine B. Mokkink et al., 2014)"},"properties":{"noteIndex":0},"schema":"https://github.com/citation-style-language/schema/raw/master/csl-citation.json"}</w:instrText>
      </w:r>
      <w:r w:rsidRPr="006A1EC7">
        <w:fldChar w:fldCharType="separate"/>
      </w:r>
      <w:r w:rsidRPr="006A1EC7">
        <w:rPr>
          <w:noProof/>
        </w:rPr>
        <w:t>(Chiarotto, Ostelo, Boers, &amp; Terwee, 2018; COnsensus-based Standards for the selection of health Measurement INstruments, 2019a; Mokkink et al., 2018; Mokkink et al., 2014)</w:t>
      </w:r>
      <w:r w:rsidRPr="006A1EC7">
        <w:fldChar w:fldCharType="end"/>
      </w:r>
      <w:r w:rsidRPr="006A1EC7">
        <w:t>. Establishing content validity may mean consulting the scientific literature</w:t>
      </w:r>
      <w:r w:rsidRPr="006A1EC7">
        <w:rPr>
          <w:rStyle w:val="FootnoteReference"/>
        </w:rPr>
        <w:footnoteReference w:id="20"/>
      </w:r>
      <w:r w:rsidRPr="006A1EC7">
        <w:t xml:space="preserve">, consulting experts in the field who have a theoretical and/or practical understanding of the concept of interest and collecting responses or feedback from the population of interest </w:t>
      </w:r>
      <w:r w:rsidRPr="006A1EC7">
        <w:fldChar w:fldCharType="begin" w:fldLock="1"/>
      </w:r>
      <w:r w:rsidR="00AD67F5"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Applications","type":"book"},"locator":"101","uris":["http://www.mendeley.com/documents/?uuid=0316ab82-7ed3-4f19-b5e0-edf860dc28e5"]}],"mendeley":{"formattedCitation":"(DeVellis, 2017, p. 101)","manualFormatting":"(DeVellis, 2017)","plainTextFormattedCitation":"(DeVellis, 2017, p. 101)","previouslyFormattedCitation":"(DeVellis, 2017, p. 101)"},"properties":{"noteIndex":0},"schema":"https://github.com/citation-style-language/schema/raw/master/csl-citation.json"}</w:instrText>
      </w:r>
      <w:r w:rsidRPr="006A1EC7">
        <w:fldChar w:fldCharType="separate"/>
      </w:r>
      <w:r w:rsidRPr="006A1EC7">
        <w:rPr>
          <w:noProof/>
        </w:rPr>
        <w:t>(DeVellis, 2017)</w:t>
      </w:r>
      <w:r w:rsidRPr="006A1EC7">
        <w:fldChar w:fldCharType="end"/>
      </w:r>
      <w:r w:rsidRPr="006A1EC7">
        <w:t xml:space="preserve">. Establishing content validity goes beyond assessing whether a measure appears relevant but relies on reference to understanding of the COI. </w:t>
      </w:r>
    </w:p>
    <w:p w14:paraId="6732E830" w14:textId="35F79061" w:rsidR="003677C2" w:rsidRPr="006A1EC7" w:rsidRDefault="003677C2" w:rsidP="003677C2">
      <w:pPr>
        <w:spacing w:line="360" w:lineRule="auto"/>
        <w:ind w:firstLine="720"/>
      </w:pPr>
      <w:r w:rsidRPr="006A1EC7">
        <w:t xml:space="preserve">There are two essential limitations to the assessment of content validity: firstly, it is to note that there is still a degree of judgement involved in establishing a measure’s content validity, both from the developer themselves during the initial stages of development and through the involvement of experts post item-generation </w:t>
      </w:r>
      <w:r w:rsidRPr="006A1EC7">
        <w:fldChar w:fldCharType="begin" w:fldLock="1"/>
      </w:r>
      <w:r w:rsidRPr="006A1EC7">
        <w:instrText>ADDIN CSL_CITATION {"citationItems":[{"id":"ITEM-1","itemData":{"DOI":"10.1002/nur","PMID":"18231972","abstract":"Predicting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approach.","author":[{"dropping-particle":"","family":"Polit","given":"D. F.","non-dropping-particle":"","parse-names":false,"suffix":""},{"dropping-particle":"","family":"Beck","given":"C. T.","non-dropping-particle":"","parse-names":false,"suffix":""},{"dropping-particle":"V.","family":"Owen","given":"S.","non-dropping-particle":"","parse-names":false,"suffix":""}],"container-title":"Research in nursing &amp; health","id":"ITEM-1","issued":{"date-parts":[["2007"]]},"page":"341-354","title":"Is the CVI an acceptable indicator of content validity?","type":"article-journal","volume":"31"},"uris":["http://www.mendeley.com/documents/?uuid=fbf1ae32-748b-4bcc-86eb-fd8c5d707609"]},{"id":"ITEM-2","itemData":{"ISSN":"1061-3749","abstract":"Assessing content validity is one of the most critical steps in instrument development. Neither statistical elegance nor sophisticated measurement strategies are substitutes for validity. Systematic in-depth approaches to the assessment of content validity are needed, including a priori and a posteriori procedures. In this manuscript the a priori approach of specifying an instrument's content domain is addressed along with the a posteriori procedure of having a panel of judges assess the validation of the items. This article focuses on the process used to assess the content validity. Data from the psychometric testing of the Postpartum Depression Screening Scale (PDSS) are used to illustrate this process. The PDSS is a Likert-type self-report composed of seven dimensions: Sleeping/Eating Disturbances, Anxiety/ Insecurity, Emotional Lability, Cognitive Impairment, Loss of Self, Guild Shame, and Contemplating Harming Oneself. Items on the PDSS were generated from a series of qualitative research studies on postpartum depression. Content validity was assessed using two approaches to review the scale: (a) a panel of five content experts with professional expertise in postpartum depression, and (b) a focus group of 15 nurses knowledgeable in the field.","author":[{"dropping-particle":"","family":"Beck","given":"CT","non-dropping-particle":"","parse-names":false,"suffix":""},{"dropping-particle":"","family":"Gable","given":"RK","non-dropping-particle":"","parse-names":false,"suffix":""}],"container-title":"Journal of nursing measurement","id":"ITEM-2","issued":{"date-parts":[["2001"]]},"title":"Ensuring content validity: an illustration of the process","type":"article-journal"},"uris":["http://www.mendeley.com/documents/?uuid=24c7f193-a91c-4dbe-a6d4-7977960efae4"]}],"mendeley":{"formattedCitation":"(C. Beck &amp; Gable, 2001; Polit, Beck, &amp; Owen, 2007)","manualFormatting":"(Beck &amp; Gable, 2001; Polit, Beck, &amp; Owen, 2007)","plainTextFormattedCitation":"(C. Beck &amp; Gable, 2001; Polit, Beck, &amp; Owen, 2007)","previouslyFormattedCitation":"(C. Beck &amp; Gable, 2001; Polit, Beck, &amp; Owen, 2007)"},"properties":{"noteIndex":0},"schema":"https://github.com/citation-style-language/schema/raw/master/csl-citation.json"}</w:instrText>
      </w:r>
      <w:r w:rsidRPr="006A1EC7">
        <w:fldChar w:fldCharType="separate"/>
      </w:r>
      <w:r w:rsidRPr="006A1EC7">
        <w:rPr>
          <w:noProof/>
        </w:rPr>
        <w:t xml:space="preserve">(Beck &amp; </w:t>
      </w:r>
      <w:r w:rsidRPr="006A1EC7">
        <w:rPr>
          <w:noProof/>
        </w:rPr>
        <w:lastRenderedPageBreak/>
        <w:t>Gable, 2001; Polit, Beck, &amp; Owen, 2007)</w:t>
      </w:r>
      <w:r w:rsidRPr="006A1EC7">
        <w:fldChar w:fldCharType="end"/>
      </w:r>
      <w:r w:rsidRPr="006A1EC7">
        <w:t xml:space="preserve">. Secondly, even though a person may have extensive knowledge of the scale’s COI, their understanding of scale development and the processes involved in this may be limited or non-existent. This means that recommendations and suggestions made must be carefully reviewed and not blindly trusted </w:t>
      </w:r>
      <w:r w:rsidRPr="006A1EC7">
        <w:fldChar w:fldCharType="begin" w:fldLock="1"/>
      </w:r>
      <w:r w:rsidR="00AD67F5"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Applications","type":"book"},"locator":"101","uris":["http://www.mendeley.com/documents/?uuid=0316ab82-7ed3-4f19-b5e0-edf860dc28e5"]}],"mendeley":{"formattedCitation":"(DeVellis, 2017, p. 101)","manualFormatting":"(DeVellis, 2017)","plainTextFormattedCitation":"(DeVellis, 2017, p. 101)","previouslyFormattedCitation":"(DeVellis, 2017, p. 101)"},"properties":{"noteIndex":0},"schema":"https://github.com/citation-style-language/schema/raw/master/csl-citation.json"}</w:instrText>
      </w:r>
      <w:r w:rsidRPr="006A1EC7">
        <w:fldChar w:fldCharType="separate"/>
      </w:r>
      <w:r w:rsidRPr="006A1EC7">
        <w:rPr>
          <w:noProof/>
        </w:rPr>
        <w:t>(DeVellis, 2017)</w:t>
      </w:r>
      <w:r w:rsidRPr="006A1EC7">
        <w:fldChar w:fldCharType="end"/>
      </w:r>
      <w:r w:rsidRPr="006A1EC7">
        <w:t>.</w:t>
      </w:r>
    </w:p>
    <w:p w14:paraId="27027931" w14:textId="77777777" w:rsidR="003677C2" w:rsidRPr="006A1EC7" w:rsidRDefault="003677C2" w:rsidP="003677C2">
      <w:pPr>
        <w:spacing w:line="360" w:lineRule="auto"/>
        <w:ind w:firstLine="720"/>
      </w:pPr>
      <w:r w:rsidRPr="006A1EC7">
        <w:t xml:space="preserve">Similar methodologies to the ones described for face validity have been used to assess and document the content validity of COAs, which include interviews. </w:t>
      </w:r>
      <w:r w:rsidRPr="006A1EC7">
        <w:fldChar w:fldCharType="begin" w:fldLock="1"/>
      </w:r>
      <w:r w:rsidRPr="006A1EC7">
        <w:instrText>ADDIN CSL_CITATION {"citationItems":[{"id":"ITEM-1","itemData":{"DOI":"10.1016/j.jval.2018.02.005","ISSN":"15244733","abstract":"Objectives: To assess the content validity of performance outcome (PerfO) measures for use with patients undergoing hip fracture (HF) surgery and elective total hip replacement (eTHR). Methods: This study was a substudy of a broader evaluation of measurement properties of PerfO measures. The PerfO measures assessed were timed up and go (TUG), four-step stair climb (4SC), long stair climb (LSC), and repeated chair stand (RCS). For this substudy, HF and eTHR participants were interviewed to evaluate the relevance and difficulty of each PerfO measure. Qualitative analysis was conducted on interview transcripts, and summaries of coded data were produced to assess saturation. Results: All 18 HF participants related the PerfO measures (TUG, 4SC, and RSC) to activities they completed in daily life, with slight variations in some specific aspects. For the eight eTHR participants, the correspondence between the PerfO measures (TUG, 4SC, and LSC) and activities in daily life varied: all participants saw similarity in the movements for the TUG; most undertook short stair climbs in daily life, but most did not regularly undertake LSC in daily life. Nevertheless, all HF and eTHR participants reported that the PerfO measures were relevant and had a level of difficulty similar to daily activities. Conclusions: This study contributes novel methods that adapt US regulatory guidance for patient-reported outcome measures to the evaluation of PerfO measures. A structured approach was used to explore specific details of each measure and correspondence to everyday life. This study demonstrates how content validity of PerfO measures can be meaningfully assessed.","author":[{"dropping-particle":"","family":"Ballinger","given":"Rachel","non-dropping-particle":"","parse-names":false,"suffix":""},{"dropping-particle":"","family":"Kerr","given":"Cicely","non-dropping-particle":"","parse-names":false,"suffix":""},{"dropping-particle":"","family":"Mowbray","given":"Fiona","non-dropping-particle":"","parse-names":false,"suffix":""},{"dropping-particle":"","family":"Bush","given":"Elizabeth Nicole","non-dropping-particle":"","parse-names":false,"suffix":""}],"container-title":"Value in Health","id":"ITEM-1","issue":"9","issued":{"date-parts":[["2018"]]},"page":"1115-1123","publisher":"Elsevier Inc.","title":"Evaluating the Content Validity of Four Performance Outcome Measures in Patients with Elective Hip Replacements and Hip Fractures","type":"article-journal","volume":"21"},"uris":["http://www.mendeley.com/documents/?uuid=0e478d7f-f2cb-42ed-8723-e893c7a2b419"]}],"mendeley":{"formattedCitation":"(Ballinger, Kerr, Mowbray, &amp; Bush, 2018b)","manualFormatting":"Ballinger, Kerr, Mowbray, &amp; Bush (2018)","plainTextFormattedCitation":"(Ballinger, Kerr, Mowbray, &amp; Bush, 2018b)","previouslyFormattedCitation":"(Ballinger, Kerr, Mowbray, &amp; Bush, 2018b)"},"properties":{"noteIndex":0},"schema":"https://github.com/citation-style-language/schema/raw/master/csl-citation.json"}</w:instrText>
      </w:r>
      <w:r w:rsidRPr="006A1EC7">
        <w:fldChar w:fldCharType="separate"/>
      </w:r>
      <w:r w:rsidRPr="006A1EC7">
        <w:rPr>
          <w:noProof/>
        </w:rPr>
        <w:t>Ballinger, Kerr, Mowbray, &amp; Bush (2018)</w:t>
      </w:r>
      <w:r w:rsidRPr="006A1EC7">
        <w:fldChar w:fldCharType="end"/>
      </w:r>
      <w:r w:rsidRPr="006A1EC7">
        <w:t xml:space="preserve">, for example, used structured telephone interviews to evaluate the content validity of their performance-based outcome measures for patients with elective hip replacements and hip fractures. The authors analysed these interviews, and concluded that the measure had high content validity – although it is not clear which qualitative analysis method this data was analysed with, as this is not mentioned, which is a clear weakness of the study and their conclusions as it raises issues around reproducibility. While interviews offer some insight into a measure’s content validity, issues with the use and utility of interview data for the assessment of content validity remain </w:t>
      </w:r>
      <w:r w:rsidRPr="006A1EC7">
        <w:fldChar w:fldCharType="begin" w:fldLock="1"/>
      </w:r>
      <w:r w:rsidRPr="006A1EC7">
        <w:instrText>ADDIN CSL_CITATION {"citationItems":[{"id":"ITEM-1","itemData":{"DOI":"10.1016/j.jclinepi.2008.02.005","ISSN":"08954356","abstract":"Objective: Most clinical research evaluates diagnostic tests by accuracy measures such as sensitivity and specificity. This is stimulated by the Standards for Reporting of Diagnostic Accuracy initiative, which focuses on accuracy in the widely accepted guidelines. Referring to the clinical consequences of diagnostic tests, many epidemiologists recognize the importance of patient outcome studies in addition to accuracy studies. However, there is a theoretical argument that stipulates the need for patient outcome studies, which has thus far been overlooked. Results: Using a philosophical argument, we show that the definition of disease necessarily involves the concept of function, which in turn is inextricably related to outcome. Consequently, diagnostic tests that establish the presence or absence of disease cannot be evaluated without measuring patient outcome. Patient outcome studies are therefore the definitive means to assess the merits of a diagnostic test. Conclusion: The need for patient outcome studies is not due to pragmatic reasons, as previous authors argued, but is based on a philosophical argument relating the definition of disease to the concept of function. We propose that authors justify the use of accuracy studies in papers reporting diagnostic test evaluation by describing the association between gold standard test and patient outcome. © 2008 Elsevier Inc. All rights reserved.","author":[{"dropping-particle":"","family":"Sonke","given":"Gabe S.","non-dropping-particle":"","parse-names":false,"suffix":""},{"dropping-particle":"","family":"Verbeek","given":"André L.M.","non-dropping-particle":"","parse-names":false,"suffix":""},{"dropping-particle":"","family":"Kiemeney","given":"Lambertus A.L.M.","non-dropping-particle":"","parse-names":false,"suffix":""}],"container-title":"Journal of Clinical Epidemiology","id":"ITEM-1","issued":{"date-parts":[["2009"]]},"title":"A philosophical perspective supports the need for patient-outcome studies in diagnostic test evaluation","type":"article-journal"},"uris":["http://www.mendeley.com/documents/?uuid=8e84d14e-5c02-47db-9150-1dad4ba67413"]},{"id":"ITEM-2","itemData":{"DOI":"10.1017/S0033291702006001","ISSN":"00332917","abstract":" Background. Routine administration of Health Related Quality of Life (HRQoL) and needs assessment instruments has been advocated as part of clinical care to aid the recognition of psychosocial problems, to inform clinical decision making, to monitor therapeutic response and to facilitate patient–doctor communication. However, their adoption is not without cost and the benefit of their use is unclear.  Method. A systematic review was conducted. We sought experimental studies that examined the addition of routinely administered measures of HRQoL to care in both psychiatric and non-psychiatric settings. We searched the following databases: MEDLINE, EMBASE, CINAHL, PsycLIT and Cochrane Controlled Trials Register (to 2000). Data were extracted independently and a narrative synthesis of results was presented.  Results. Nine randomized and quasi-randomized studies conducted in non-psychiatric settings were found. All the instruments used included an assessment of mental well-being, with specific questions relating to depression and anxiety. The routine feedback of these instruments had little impact on the recognition of mental disorders or on longer term psychosocial functioning. While clinicians welcomed the information these instruments imparted, their results were rarely incorporated into routine clinical decision making. No studies were found that examined the value of routine assessment and feedback of HRQoL or patient needs in specialist psychiatric care settings.  Conclusions. Routine HRQoL measurement is a costly exercise and there is no robust evidence to suggest that it is of benefit in improving psychosocial outcomes of patients managed in non-psychiatric settings. Major policy initiatives to increase the routine collection and use of outcome measures in psychiatric settings are unevaluated. ","author":[{"dropping-particle":"","family":"Gilbody","given":"S. M.","non-dropping-particle":"","parse-names":false,"suffix":""},{"dropping-particle":"","family":"House","given":"A. O.","non-dropping-particle":"","parse-names":false,"suffix":""},{"dropping-particle":"","family":"Sheldon","given":"T.","non-dropping-particle":"","parse-names":false,"suffix":""}],"container-title":"Psychological Medicine","id":"ITEM-2","issued":{"date-parts":[["2002"]]},"title":"Routine administration of Health Related Quality of Life (HRQoL) and needs assessment instruments to improve psychological outcome - A systemic review","type":"article-journal"},"uris":["http://www.mendeley.com/documents/?uuid=c6a34889-38b8-4281-8180-02aabfb8229b"]},{"id":"ITEM-3","itemData":{"DOI":"10.1093/intqhc/mzs051","ISBN":"1353-4505","ISSN":"13534505","PMID":"22879372","abstract":"OBJECTIVE: To develop and establish the psychometric properties of an instrument to measure face validity, feasibility and utility of patient questionnaires used during health care.\\n\\nDESIGN: Our instrument, QQ-10, is a 10-item self-completed questionnaire, which was developed during the evaluation of another questionnaire (ePAQ-PF), to assess patients' views on questionnaire use during health care.\\n\\nSETTING: Urogynaecology Department, Royal Hallamshire Hospital, Sheffield, UK.\\n\\nPARTICIPANTS: The Sheffield maternity patient user group identified 10 key themes relating to patients' views on using questionnaires; these themes translated into 10 statements, each using the same 5-point Likert response scale.\\n\\nINTERVENTION: Not applicable. Outcome Measures Principal component analysis established the factor structure of our instrument. Internal reliability was assessed using Cronbach's alpha. Construct validity was assessed using Spearman's rho.\\n\\nRESULTS: Factor analysis yielded two meaningful factors: Value and Burden, both achieving Cronbach's alpha scores &gt;0.7. Significant correlations were found between scores for Value and communication experience and between scores for Burden and barriers to health care.\\n\\nCONCLUSIONS: Our instrument offers a valid, reliable measure of patients' views relating to value and burden of using health-related quality of life questionnaires. Its two domains show good internal reliability and with its free text items, it may offer a valuable, standardized assessment of face validity and utility of other questionnaires used in health care.","author":[{"dropping-particle":"","family":"Moores","given":"K. L.","non-dropping-particle":"","parse-names":false,"suffix":""},{"dropping-particle":"","family":"Jones","given":"G. L.","non-dropping-particle":"","parse-names":false,"suffix":""},{"dropping-particle":"","family":"Radley","given":"S. C.","non-dropping-particle":"","parse-names":false,"suffix":""}],"container-title":"International Journal for Quality in Health Care","id":"ITEM-3","issue":"5","issued":{"date-parts":[["2012"]]},"page":"517-524","title":"Development of an instrument to measure face validity, feasibility and utility of patient questionnaire use during health care: The QQ-10","type":"article-journal","volume":"24"},"uris":["http://www.mendeley.com/documents/?uuid=7afce6c1-dd78-4b1c-a806-7c54714abd40"]}],"mendeley":{"formattedCitation":"(Gilbody et al., 2002; Moores et al., 2012; Sonke et al., 2009)","plainTextFormattedCitation":"(Gilbody et al., 2002; Moores et al., 2012; Sonke et al., 2009)","previouslyFormattedCitation":"(Gilbody et al., 2002; Moores et al., 2012; Sonke et al., 2009)"},"properties":{"noteIndex":0},"schema":"https://github.com/citation-style-language/schema/raw/master/csl-citation.json"}</w:instrText>
      </w:r>
      <w:r w:rsidRPr="006A1EC7">
        <w:fldChar w:fldCharType="separate"/>
      </w:r>
      <w:r w:rsidRPr="006A1EC7">
        <w:rPr>
          <w:noProof/>
        </w:rPr>
        <w:t>(Gilbody et al., 2002; Moores et al., 2012; Sonke et al., 2009)</w:t>
      </w:r>
      <w:r w:rsidRPr="006A1EC7">
        <w:fldChar w:fldCharType="end"/>
      </w:r>
      <w:r w:rsidRPr="006A1EC7">
        <w:t xml:space="preserve">. </w:t>
      </w:r>
    </w:p>
    <w:p w14:paraId="24F01B07" w14:textId="77777777" w:rsidR="003677C2" w:rsidRPr="006A1EC7" w:rsidRDefault="003677C2" w:rsidP="003677C2">
      <w:pPr>
        <w:spacing w:line="360" w:lineRule="auto"/>
        <w:ind w:firstLine="720"/>
      </w:pPr>
      <w:r w:rsidRPr="006A1EC7">
        <w:t xml:space="preserve">These limitations will be applied to the current project. Firstly, due to WHS being a rare disease, experts on the illness will be spread across the world and arrangement of participation in interviews may be challenging (time differences, clinic routines, possibly language barriers). Secondly, due to being relatively time-consuming to conduct, transcribe and analyse an interview study, both a large amount of time and finances (to pay researcher time and, sometimes, participant time) would be required. Third, due to a lack of standardisation of responses in interview data, it may make it challenging comparing results from interviews between participants. </w:t>
      </w:r>
    </w:p>
    <w:p w14:paraId="2A49A74C" w14:textId="77777777" w:rsidR="003677C2" w:rsidRPr="006A1EC7" w:rsidRDefault="003677C2" w:rsidP="003677C2">
      <w:pPr>
        <w:spacing w:line="360" w:lineRule="auto"/>
      </w:pPr>
      <w:r w:rsidRPr="006A1EC7">
        <w:tab/>
        <w:t xml:space="preserve">An alternative to the time-consuming interview process is the use of the Content Validity Index (CVI); a process which involves a number of experts on the measure’s COI to rate its items along a scale of relevance and calculating an average ‘relevance score’ for all items across experts and, consecutively, for the whole measure </w:t>
      </w:r>
      <w:r w:rsidRPr="006A1EC7">
        <w:fldChar w:fldCharType="begin" w:fldLock="1"/>
      </w:r>
      <w:r w:rsidRPr="006A1EC7">
        <w:instrText>ADDIN CSL_CITATION {"citationItems":[{"id":"ITEM-1","itemData":{"DOI":"10.1002/nur","PMID":"18231972","abstract":"Predicting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approach.","author":[{"dropping-particle":"","family":"Polit","given":"D. F.","non-dropping-particle":"","parse-names":false,"suffix":""},{"dropping-particle":"","family":"Beck","given":"C. T.","non-dropping-particle":"","parse-names":false,"suffix":""},{"dropping-particle":"V.","family":"Owen","given":"S.","non-dropping-particle":"","parse-names":false,"suffix":""}],"container-title":"Research in nursing &amp; health","id":"ITEM-1","issued":{"date-parts":[["2007"]]},"page":"341-354","title":"Is the CVI an acceptable indicator of content validity?","type":"article-journal","volume":"31"},"uris":["http://www.mendeley.com/documents/?uuid=fbf1ae32-748b-4bcc-86eb-fd8c5d707609"]}],"mendeley":{"formattedCitation":"(Polit et al., 2007)","manualFormatting":"(see Polit et al., 2007)","plainTextFormattedCitation":"(Polit et al., 2007)","previouslyFormattedCitation":"(Polit et al., 2007)"},"properties":{"noteIndex":0},"schema":"https://github.com/citation-style-language/schema/raw/master/csl-citation.json"}</w:instrText>
      </w:r>
      <w:r w:rsidRPr="006A1EC7">
        <w:fldChar w:fldCharType="separate"/>
      </w:r>
      <w:r w:rsidRPr="006A1EC7">
        <w:rPr>
          <w:noProof/>
        </w:rPr>
        <w:t>(see Polit et al., 2007)</w:t>
      </w:r>
      <w:r w:rsidRPr="006A1EC7">
        <w:fldChar w:fldCharType="end"/>
      </w:r>
      <w:r w:rsidRPr="006A1EC7">
        <w:t>. This approach was deemed unsuitable for the current project due both the high heterogeneity within WHS (meaning some items will be highly relevant to some patients, but not others) and the large number of items.</w:t>
      </w:r>
    </w:p>
    <w:p w14:paraId="66A3DA96" w14:textId="033A5B5E" w:rsidR="003677C2" w:rsidRPr="006A1EC7" w:rsidRDefault="003677C2" w:rsidP="003677C2">
      <w:pPr>
        <w:spacing w:line="360" w:lineRule="auto"/>
        <w:ind w:firstLine="720"/>
      </w:pPr>
      <w:r w:rsidRPr="006A1EC7">
        <w:t xml:space="preserve">An alternative to interviews and the CVI that was less time-consuming, required fewer expenses, allowed standardisation of responses and comparison between participants, was therefore needed. There was no similar validated questionnaire as the </w:t>
      </w:r>
      <w:r w:rsidRPr="006A1EC7">
        <w:lastRenderedPageBreak/>
        <w:t>QI-10 for the purpose of content validity. However, combining the QI-10 with a number of open-ended questions (which could have also been used in an interview) seemed the most appropriate way to assess content validity as it still allowed comparisons of answers across participants.</w:t>
      </w:r>
    </w:p>
    <w:p w14:paraId="37058D60" w14:textId="77777777" w:rsidR="003677C2" w:rsidRPr="006A1EC7" w:rsidRDefault="003677C2" w:rsidP="003677C2">
      <w:pPr>
        <w:spacing w:line="360" w:lineRule="auto"/>
        <w:ind w:firstLine="720"/>
      </w:pPr>
      <w:r w:rsidRPr="006A1EC7">
        <w:t xml:space="preserve">Clinicians with expertise in genetic illness and experience in the care of children and adults with WHS were deemed the most suitable target group to assess both face validity and content validity of the COA. Due to the high heterogeneity found within WHS, family caregivers were not chosen as the most suitable group as they may have only limited understanding of some aspects of the syndrome, or only insight into the clinical features experienced by their relative. Experienced clinicians, on the other hand, were perceived as having both sufficient expertise to indicate whether the items on the COA appeared to assess WHS (face validity), and to make judgements as to whether the COA (and its items) accurately reflected WHS. To ensure that both face validity and content validity were assessed, the QI-10 was combined with a number of open-ended questions in an online survey, which was sent to a number of international experts on WHS. An online survey was chosen as it was deemed the most suitable format due to easy access around the world, its low carbon footprint and cost-effectiveness (no printing cost, no postal costs). </w:t>
      </w:r>
    </w:p>
    <w:p w14:paraId="6B0D7064" w14:textId="77777777" w:rsidR="003677C2" w:rsidRPr="006A1EC7" w:rsidRDefault="003677C2" w:rsidP="003677C2">
      <w:pPr>
        <w:spacing w:line="360" w:lineRule="auto"/>
      </w:pPr>
    </w:p>
    <w:p w14:paraId="7D9DA855" w14:textId="77777777" w:rsidR="003677C2" w:rsidRPr="006A1EC7" w:rsidRDefault="003677C2" w:rsidP="003677C2">
      <w:pPr>
        <w:pStyle w:val="Heading3"/>
        <w:rPr>
          <w:rFonts w:ascii="Times New Roman" w:hAnsi="Times New Roman" w:cs="Times New Roman"/>
        </w:rPr>
      </w:pPr>
      <w:r w:rsidRPr="006A1EC7">
        <w:rPr>
          <w:rFonts w:ascii="Times New Roman" w:hAnsi="Times New Roman" w:cs="Times New Roman"/>
        </w:rPr>
        <w:t xml:space="preserve">Objective </w:t>
      </w:r>
    </w:p>
    <w:p w14:paraId="211521BA" w14:textId="77777777" w:rsidR="003677C2" w:rsidRPr="006A1EC7" w:rsidRDefault="003677C2" w:rsidP="003677C2">
      <w:pPr>
        <w:spacing w:line="360" w:lineRule="auto"/>
        <w:ind w:firstLine="720"/>
      </w:pPr>
      <w:r w:rsidRPr="006A1EC7">
        <w:t>The objective for conducting the following study was to assess content as well as face the validity of the COA with a sample of international experts on WHS.</w:t>
      </w:r>
    </w:p>
    <w:p w14:paraId="42BB98AA" w14:textId="77777777" w:rsidR="003677C2" w:rsidRPr="006A1EC7" w:rsidRDefault="003677C2" w:rsidP="003677C2">
      <w:pPr>
        <w:spacing w:line="360" w:lineRule="auto"/>
      </w:pPr>
    </w:p>
    <w:p w14:paraId="730713B8" w14:textId="23727EB9" w:rsidR="003677C2" w:rsidRPr="006A1EC7" w:rsidRDefault="003677C2" w:rsidP="003677C2">
      <w:pPr>
        <w:pStyle w:val="Heading3"/>
        <w:rPr>
          <w:rFonts w:ascii="Times New Roman" w:hAnsi="Times New Roman" w:cs="Times New Roman"/>
        </w:rPr>
      </w:pPr>
      <w:r w:rsidRPr="006A1EC7">
        <w:rPr>
          <w:rFonts w:ascii="Times New Roman" w:hAnsi="Times New Roman" w:cs="Times New Roman"/>
        </w:rPr>
        <w:t>Rationale</w:t>
      </w:r>
    </w:p>
    <w:p w14:paraId="718C7326" w14:textId="08D30173" w:rsidR="003677C2" w:rsidRPr="006A1EC7" w:rsidRDefault="003677C2" w:rsidP="003677C2">
      <w:pPr>
        <w:spacing w:line="360" w:lineRule="auto"/>
        <w:ind w:firstLine="720"/>
      </w:pPr>
      <w:r w:rsidRPr="006A1EC7">
        <w:t>Face and content validity were assessed using an online survey methodology, which included the validated QI-10 questionnaire to assess face validity and open-ended questions to assess content validity. Using an online survey-methodology was thought to increase (international) participation and decrease financial burden. The QI-10 measure was chosen as it allowed standardised data collection.</w:t>
      </w:r>
      <w:bookmarkStart w:id="206" w:name="_Toc17977929"/>
      <w:bookmarkStart w:id="207" w:name="_Toc38821451"/>
    </w:p>
    <w:p w14:paraId="2B5EDE4B" w14:textId="77777777" w:rsidR="003677C2" w:rsidRPr="006A1EC7" w:rsidRDefault="003677C2" w:rsidP="003677C2">
      <w:pPr>
        <w:pStyle w:val="Heading2"/>
        <w:rPr>
          <w:rFonts w:ascii="Times New Roman" w:hAnsi="Times New Roman" w:cs="Times New Roman"/>
        </w:rPr>
      </w:pPr>
      <w:bookmarkStart w:id="208" w:name="_Toc40173006"/>
      <w:r w:rsidRPr="006A1EC7">
        <w:rPr>
          <w:rFonts w:ascii="Times New Roman" w:hAnsi="Times New Roman" w:cs="Times New Roman"/>
        </w:rPr>
        <w:t>Methodology</w:t>
      </w:r>
      <w:bookmarkEnd w:id="206"/>
      <w:bookmarkEnd w:id="207"/>
      <w:bookmarkEnd w:id="208"/>
    </w:p>
    <w:p w14:paraId="7182BF7B" w14:textId="7A7451C6" w:rsidR="003677C2" w:rsidRPr="006A1EC7" w:rsidRDefault="003677C2" w:rsidP="003677C2">
      <w:pPr>
        <w:spacing w:line="360" w:lineRule="auto"/>
      </w:pPr>
    </w:p>
    <w:p w14:paraId="3FF8C287" w14:textId="77777777" w:rsidR="003677C2" w:rsidRPr="006A1EC7" w:rsidRDefault="003677C2" w:rsidP="003677C2">
      <w:pPr>
        <w:pStyle w:val="Heading3"/>
        <w:rPr>
          <w:rFonts w:ascii="Times New Roman" w:hAnsi="Times New Roman" w:cs="Times New Roman"/>
        </w:rPr>
      </w:pPr>
      <w:r w:rsidRPr="006A1EC7">
        <w:rPr>
          <w:rFonts w:ascii="Times New Roman" w:hAnsi="Times New Roman" w:cs="Times New Roman"/>
        </w:rPr>
        <w:t>Ethical approval</w:t>
      </w:r>
    </w:p>
    <w:p w14:paraId="454B7DCC" w14:textId="77777777" w:rsidR="003677C2" w:rsidRPr="006A1EC7" w:rsidRDefault="003677C2" w:rsidP="003677C2">
      <w:pPr>
        <w:spacing w:line="360" w:lineRule="auto"/>
        <w:ind w:firstLine="720"/>
      </w:pPr>
      <w:r w:rsidRPr="006A1EC7">
        <w:t>Ethics approval from the University of Sheffield was obtained (July/August 2018) (Appendix 6.3).</w:t>
      </w:r>
    </w:p>
    <w:p w14:paraId="548C473F" w14:textId="77777777" w:rsidR="003677C2" w:rsidRPr="006A1EC7" w:rsidRDefault="003677C2" w:rsidP="003677C2">
      <w:pPr>
        <w:pStyle w:val="Heading3"/>
        <w:rPr>
          <w:rFonts w:ascii="Times New Roman" w:hAnsi="Times New Roman" w:cs="Times New Roman"/>
        </w:rPr>
      </w:pPr>
      <w:r w:rsidRPr="006A1EC7">
        <w:rPr>
          <w:rFonts w:ascii="Times New Roman" w:hAnsi="Times New Roman" w:cs="Times New Roman"/>
        </w:rPr>
        <w:lastRenderedPageBreak/>
        <w:t>Measures</w:t>
      </w:r>
    </w:p>
    <w:p w14:paraId="249627DC" w14:textId="77777777" w:rsidR="003677C2" w:rsidRPr="006A1EC7" w:rsidRDefault="003677C2" w:rsidP="003677C2">
      <w:pPr>
        <w:spacing w:line="360" w:lineRule="auto"/>
        <w:ind w:firstLine="720"/>
        <w:rPr>
          <w:lang w:eastAsia="en-GB"/>
        </w:rPr>
      </w:pPr>
      <w:r w:rsidRPr="006A1EC7">
        <w:rPr>
          <w:lang w:eastAsia="en-GB"/>
        </w:rPr>
        <w:t xml:space="preserve">Two versions of the COA were created: one PDF version, and one Microsoft Office version (for access reasons). </w:t>
      </w:r>
    </w:p>
    <w:p w14:paraId="2F83F2F2" w14:textId="77777777" w:rsidR="003677C2" w:rsidRPr="006A1EC7" w:rsidRDefault="003677C2" w:rsidP="003677C2">
      <w:pPr>
        <w:spacing w:line="360" w:lineRule="auto"/>
        <w:ind w:firstLine="720"/>
        <w:rPr>
          <w:lang w:eastAsia="en-GB"/>
        </w:rPr>
      </w:pPr>
      <w:r w:rsidRPr="006A1EC7">
        <w:rPr>
          <w:lang w:eastAsia="en-GB"/>
        </w:rPr>
        <w:t xml:space="preserve">An </w:t>
      </w:r>
      <w:r w:rsidRPr="006A1EC7">
        <w:rPr>
          <w:color w:val="000000" w:themeColor="text1"/>
          <w:lang w:eastAsia="en-GB"/>
        </w:rPr>
        <w:t xml:space="preserve">online survey was created using the platform Qualtrics. The survey contained an electronic consent sheet, demographic questions and the QI-10 questionnaire (Appendix 6.4). The QI-10 has </w:t>
      </w:r>
      <w:r w:rsidRPr="006A1EC7">
        <w:t xml:space="preserve">10-items; a section for free-text answers was also added. </w:t>
      </w:r>
    </w:p>
    <w:p w14:paraId="740C0773" w14:textId="77777777" w:rsidR="003677C2" w:rsidRPr="006A1EC7" w:rsidRDefault="003677C2" w:rsidP="003677C2">
      <w:pPr>
        <w:spacing w:line="360" w:lineRule="auto"/>
        <w:ind w:firstLine="720"/>
        <w:rPr>
          <w:lang w:eastAsia="en-GB"/>
        </w:rPr>
      </w:pPr>
      <w:r w:rsidRPr="006A1EC7">
        <w:t xml:space="preserve">An </w:t>
      </w:r>
      <w:r w:rsidRPr="006A1EC7">
        <w:rPr>
          <w:color w:val="000000" w:themeColor="text1"/>
          <w:lang w:eastAsia="en-GB"/>
        </w:rPr>
        <w:t xml:space="preserve">email was drafted to send to potential participants, identified a priori. The email invited clinicians to participate in the study, referring to the attachments (COA as word document or PDF version, Qualtrics link for questionnaire). The email also stated that participants will be offered </w:t>
      </w:r>
      <w:r w:rsidRPr="006A1EC7">
        <w:rPr>
          <w:color w:val="000000" w:themeColor="text1"/>
        </w:rPr>
        <w:t xml:space="preserve">authorship on the publication for this COA, as this was hoped to increase response rates (Appendix 6.5). </w:t>
      </w:r>
    </w:p>
    <w:p w14:paraId="0C86C94E" w14:textId="77777777" w:rsidR="003677C2" w:rsidRPr="006A1EC7" w:rsidRDefault="003677C2" w:rsidP="003677C2">
      <w:pPr>
        <w:spacing w:line="360" w:lineRule="auto"/>
        <w:rPr>
          <w:color w:val="000000" w:themeColor="text1"/>
        </w:rPr>
      </w:pPr>
    </w:p>
    <w:p w14:paraId="29E578FF" w14:textId="77777777" w:rsidR="003677C2" w:rsidRPr="006A1EC7" w:rsidRDefault="003677C2" w:rsidP="003677C2">
      <w:pPr>
        <w:pStyle w:val="Heading3"/>
        <w:rPr>
          <w:rFonts w:ascii="Times New Roman" w:hAnsi="Times New Roman" w:cs="Times New Roman"/>
          <w:color w:val="000000" w:themeColor="text1"/>
          <w:lang w:eastAsia="en-GB"/>
        </w:rPr>
      </w:pPr>
      <w:r w:rsidRPr="006A1EC7">
        <w:rPr>
          <w:rFonts w:ascii="Times New Roman" w:hAnsi="Times New Roman" w:cs="Times New Roman"/>
        </w:rPr>
        <w:t>Sample</w:t>
      </w:r>
    </w:p>
    <w:p w14:paraId="635FA94C" w14:textId="3264C25D" w:rsidR="003677C2" w:rsidRPr="006A1EC7" w:rsidRDefault="003677C2" w:rsidP="003677C2">
      <w:pPr>
        <w:spacing w:line="360" w:lineRule="auto"/>
        <w:ind w:firstLine="720"/>
      </w:pPr>
      <w:r w:rsidRPr="006A1EC7">
        <w:t xml:space="preserve">Twenty-two international expert clinicians on the topic of WHS were identified a priori to the study. The experts were people who had either published on the topic of </w:t>
      </w:r>
      <w:r w:rsidR="009F0718" w:rsidRPr="006A1EC7">
        <w:t>WHS</w:t>
      </w:r>
      <w:r w:rsidRPr="006A1EC7">
        <w:t xml:space="preserve"> (identified by KV) or were known to have expertise on the subject (identified by AM). Their email addresses were identified by searching corresponding email addresses either on publications or the person’s online work profile, such as those of universities and clinics. </w:t>
      </w:r>
    </w:p>
    <w:p w14:paraId="67EEC091" w14:textId="77777777" w:rsidR="003677C2" w:rsidRPr="006A1EC7" w:rsidRDefault="003677C2" w:rsidP="003677C2">
      <w:pPr>
        <w:spacing w:line="360" w:lineRule="auto"/>
      </w:pPr>
    </w:p>
    <w:p w14:paraId="4D5E7376" w14:textId="77777777" w:rsidR="003677C2" w:rsidRPr="006A1EC7" w:rsidRDefault="003677C2" w:rsidP="003677C2">
      <w:pPr>
        <w:pStyle w:val="Heading3"/>
        <w:rPr>
          <w:rFonts w:ascii="Times New Roman" w:hAnsi="Times New Roman" w:cs="Times New Roman"/>
        </w:rPr>
      </w:pPr>
      <w:r w:rsidRPr="006A1EC7">
        <w:rPr>
          <w:rFonts w:ascii="Times New Roman" w:hAnsi="Times New Roman" w:cs="Times New Roman"/>
        </w:rPr>
        <w:t>Procedure</w:t>
      </w:r>
    </w:p>
    <w:p w14:paraId="3B804837" w14:textId="77777777" w:rsidR="003677C2" w:rsidRPr="006A1EC7" w:rsidRDefault="003677C2" w:rsidP="003677C2">
      <w:pPr>
        <w:spacing w:line="360" w:lineRule="auto"/>
        <w:ind w:firstLine="720"/>
      </w:pPr>
      <w:r w:rsidRPr="006A1EC7">
        <w:t>In September 2018, the invitation to participate was sent out to the identified clinicians via their emails. The email contained the invitation to participate, the COA (in both PDF and Microsoft Word formats) and a link to the Qualtrics survey (Appendix 6.4, 6.5). A reminder was sent two weeks later (Appendix 6.6). The study was supposed to close four weeks later; however due to slow response rates, it was closed after two months. Responses were downloaded into SPSS format, free-text answers were exported into Excel. Participant codes were assigned in order of participation (C1, C2, …).</w:t>
      </w:r>
    </w:p>
    <w:p w14:paraId="2253DDDC" w14:textId="4901917E" w:rsidR="003677C2" w:rsidRPr="006A1EC7" w:rsidRDefault="003677C2" w:rsidP="003677C2">
      <w:pPr>
        <w:spacing w:line="360" w:lineRule="auto"/>
      </w:pPr>
      <w:r w:rsidRPr="006A1EC7">
        <w:t xml:space="preserve">was considered for this study; however, due to the systematic data collection and nature of the data, content analysis was chosen. </w:t>
      </w:r>
    </w:p>
    <w:p w14:paraId="06731392" w14:textId="77777777" w:rsidR="003677C2" w:rsidRPr="006A1EC7" w:rsidRDefault="003677C2" w:rsidP="003677C2">
      <w:pPr>
        <w:spacing w:line="360" w:lineRule="auto"/>
      </w:pPr>
    </w:p>
    <w:p w14:paraId="07C288EE" w14:textId="77777777" w:rsidR="003677C2" w:rsidRPr="006A1EC7" w:rsidRDefault="003677C2" w:rsidP="003677C2">
      <w:pPr>
        <w:pStyle w:val="Heading2"/>
        <w:rPr>
          <w:rFonts w:ascii="Times New Roman" w:hAnsi="Times New Roman" w:cs="Times New Roman"/>
        </w:rPr>
      </w:pPr>
      <w:bookmarkStart w:id="209" w:name="_Toc525647978"/>
      <w:bookmarkStart w:id="210" w:name="_Toc17977930"/>
      <w:bookmarkStart w:id="211" w:name="_Toc38821453"/>
      <w:bookmarkStart w:id="212" w:name="_Toc40173007"/>
      <w:r w:rsidRPr="006A1EC7">
        <w:rPr>
          <w:rFonts w:ascii="Times New Roman" w:hAnsi="Times New Roman" w:cs="Times New Roman"/>
        </w:rPr>
        <w:lastRenderedPageBreak/>
        <w:t>Results</w:t>
      </w:r>
      <w:bookmarkEnd w:id="209"/>
      <w:bookmarkEnd w:id="210"/>
      <w:bookmarkEnd w:id="211"/>
      <w:bookmarkEnd w:id="212"/>
    </w:p>
    <w:p w14:paraId="4D0BD17A" w14:textId="77777777" w:rsidR="003677C2" w:rsidRPr="006A1EC7" w:rsidRDefault="003677C2" w:rsidP="003677C2">
      <w:pPr>
        <w:spacing w:line="360" w:lineRule="auto"/>
        <w:rPr>
          <w:color w:val="000000" w:themeColor="text1"/>
        </w:rPr>
      </w:pPr>
    </w:p>
    <w:p w14:paraId="597005F1" w14:textId="77777777" w:rsidR="003677C2" w:rsidRPr="006A1EC7" w:rsidRDefault="003677C2" w:rsidP="003677C2">
      <w:pPr>
        <w:pStyle w:val="Heading4"/>
        <w:spacing w:line="360" w:lineRule="auto"/>
        <w:rPr>
          <w:rFonts w:ascii="Times New Roman" w:hAnsi="Times New Roman" w:cs="Times New Roman"/>
        </w:rPr>
      </w:pPr>
      <w:r w:rsidRPr="006A1EC7">
        <w:rPr>
          <w:rFonts w:ascii="Times New Roman" w:hAnsi="Times New Roman" w:cs="Times New Roman"/>
        </w:rPr>
        <w:t>Response rate</w:t>
      </w:r>
    </w:p>
    <w:p w14:paraId="39A0D979" w14:textId="62D3CDDF" w:rsidR="003677C2" w:rsidRPr="006A1EC7" w:rsidRDefault="003677C2" w:rsidP="003677C2">
      <w:pPr>
        <w:spacing w:line="360" w:lineRule="auto"/>
        <w:rPr>
          <w:color w:val="000000" w:themeColor="text1"/>
        </w:rPr>
      </w:pPr>
      <w:r w:rsidRPr="006A1EC7">
        <w:rPr>
          <w:color w:val="000000" w:themeColor="text1"/>
        </w:rPr>
        <w:tab/>
        <w:t>Out of the twenty-two clinicians asked to participate, the survey had 16 responses, equating to an initial response rate of 73%. Out of the 16 participants, one did not consent to participate (n=1), six consented and completed the demographics questionnaire but not the QI-10 (n=6) and nine clinicians consented and completed the whole survey (n=9). The overall response rate of completed surveys is therefore 41%.</w:t>
      </w:r>
      <w:r w:rsidRPr="006A1EC7">
        <w:rPr>
          <w:color w:val="000000" w:themeColor="text1"/>
        </w:rPr>
        <w:br/>
      </w:r>
    </w:p>
    <w:p w14:paraId="6AC3D883" w14:textId="28F601D1" w:rsidR="003677C2" w:rsidRPr="006A1EC7" w:rsidRDefault="003677C2" w:rsidP="003677C2">
      <w:pPr>
        <w:pStyle w:val="Heading4"/>
        <w:spacing w:line="360" w:lineRule="auto"/>
        <w:rPr>
          <w:rFonts w:ascii="Times New Roman" w:hAnsi="Times New Roman" w:cs="Times New Roman"/>
        </w:rPr>
      </w:pPr>
      <w:r w:rsidRPr="006A1EC7">
        <w:rPr>
          <w:rFonts w:ascii="Times New Roman" w:hAnsi="Times New Roman" w:cs="Times New Roman"/>
        </w:rPr>
        <w:t>Demographics of participants</w:t>
      </w:r>
    </w:p>
    <w:p w14:paraId="76560675" w14:textId="77777777" w:rsidR="003677C2" w:rsidRPr="006A1EC7" w:rsidRDefault="003677C2" w:rsidP="003677C2">
      <w:pPr>
        <w:spacing w:line="360" w:lineRule="auto"/>
        <w:rPr>
          <w:color w:val="000000" w:themeColor="text1"/>
        </w:rPr>
      </w:pPr>
      <w:r w:rsidRPr="006A1EC7">
        <w:rPr>
          <w:color w:val="000000" w:themeColor="text1"/>
        </w:rPr>
        <w:tab/>
        <w:t>Participants included four female (n=4) and five male clinicians (n=5), who practised in Australia (n=1), United States of America (n=3), Italy (n=1), New Zealand (n=1) and the United Kingdom (n=3). Their specialities included clinical genetics, neuropsychiatric genetics, paediatrics and paediatric endocrinology.</w:t>
      </w:r>
    </w:p>
    <w:p w14:paraId="5D42B3C8" w14:textId="77777777" w:rsidR="003677C2" w:rsidRPr="006A1EC7" w:rsidRDefault="003677C2" w:rsidP="003677C2">
      <w:pPr>
        <w:spacing w:line="360" w:lineRule="auto"/>
      </w:pPr>
    </w:p>
    <w:p w14:paraId="62F7F478" w14:textId="77777777" w:rsidR="003677C2" w:rsidRPr="006A1EC7" w:rsidRDefault="003677C2" w:rsidP="007B106F">
      <w:pPr>
        <w:pStyle w:val="Heading4"/>
        <w:rPr>
          <w:rFonts w:ascii="Times New Roman" w:hAnsi="Times New Roman" w:cs="Times New Roman"/>
        </w:rPr>
      </w:pPr>
      <w:r w:rsidRPr="006A1EC7">
        <w:rPr>
          <w:rFonts w:ascii="Times New Roman" w:hAnsi="Times New Roman" w:cs="Times New Roman"/>
        </w:rPr>
        <w:t>Face validity assessment: QI-10 results</w:t>
      </w:r>
    </w:p>
    <w:p w14:paraId="5D6A8040" w14:textId="6013B517" w:rsidR="003677C2" w:rsidRPr="006A1EC7" w:rsidRDefault="003677C2" w:rsidP="003677C2">
      <w:pPr>
        <w:spacing w:line="360" w:lineRule="auto"/>
        <w:ind w:firstLine="720"/>
      </w:pPr>
      <w:r w:rsidRPr="006A1EC7">
        <w:t>Results are displayed in tables 11 and 12. Most noteworthy, for the nine participants who completed the QI-10, there are no missing values.</w:t>
      </w:r>
      <w:r w:rsidRPr="006A1EC7">
        <w:br/>
        <w:t>Table 11 represents the means and medians. Medians were calculated due to the small sample size; however, it is observable that means and medians do not differ significantly from each other for each of the items. A narrative summary of the results is presented below.</w:t>
      </w:r>
    </w:p>
    <w:p w14:paraId="59C6FD3A" w14:textId="77777777" w:rsidR="003677C2" w:rsidRPr="006A1EC7" w:rsidRDefault="003677C2" w:rsidP="003677C2">
      <w:pPr>
        <w:spacing w:line="360" w:lineRule="auto"/>
        <w:rPr>
          <w:i/>
        </w:rPr>
      </w:pPr>
    </w:p>
    <w:p w14:paraId="41ED7C14" w14:textId="77777777" w:rsidR="003677C2" w:rsidRPr="006A1EC7" w:rsidRDefault="003677C2" w:rsidP="003677C2">
      <w:pPr>
        <w:pStyle w:val="Heading5"/>
        <w:spacing w:line="360" w:lineRule="auto"/>
        <w:rPr>
          <w:rFonts w:ascii="Times New Roman" w:hAnsi="Times New Roman" w:cs="Times New Roman"/>
        </w:rPr>
      </w:pPr>
      <w:r w:rsidRPr="006A1EC7">
        <w:rPr>
          <w:rFonts w:ascii="Times New Roman" w:hAnsi="Times New Roman" w:cs="Times New Roman"/>
        </w:rPr>
        <w:t>Relevance</w:t>
      </w:r>
    </w:p>
    <w:p w14:paraId="4EBDD538" w14:textId="6F170A0C" w:rsidR="003677C2" w:rsidRPr="006A1EC7" w:rsidRDefault="003677C2" w:rsidP="003677C2">
      <w:pPr>
        <w:spacing w:line="360" w:lineRule="auto"/>
        <w:ind w:firstLine="720"/>
      </w:pPr>
      <w:r w:rsidRPr="006A1EC7">
        <w:t xml:space="preserve">Clinicians mostly agreed that this instrument was relevant to their patients with </w:t>
      </w:r>
      <w:r w:rsidR="009F0718" w:rsidRPr="006A1EC7">
        <w:t>WHS</w:t>
      </w:r>
      <w:r w:rsidRPr="006A1EC7">
        <w:t xml:space="preserve"> and that it addresses all the important aspects of </w:t>
      </w:r>
      <w:r w:rsidR="009F0718" w:rsidRPr="006A1EC7">
        <w:t>WHS</w:t>
      </w:r>
      <w:r w:rsidR="00686B64" w:rsidRPr="006A1EC7">
        <w:t xml:space="preserve">; one participant disagreed. Most importantly, no clinician disagreed. </w:t>
      </w:r>
    </w:p>
    <w:p w14:paraId="63A9A9E5" w14:textId="77777777" w:rsidR="003677C2" w:rsidRPr="006A1EC7" w:rsidRDefault="003677C2" w:rsidP="003677C2">
      <w:pPr>
        <w:spacing w:line="360" w:lineRule="auto"/>
        <w:rPr>
          <w:i/>
        </w:rPr>
      </w:pPr>
    </w:p>
    <w:p w14:paraId="7EE7AD40" w14:textId="77777777" w:rsidR="003677C2" w:rsidRPr="006A1EC7" w:rsidRDefault="003677C2" w:rsidP="003677C2">
      <w:pPr>
        <w:pStyle w:val="Heading5"/>
        <w:spacing w:line="360" w:lineRule="auto"/>
        <w:rPr>
          <w:rFonts w:ascii="Times New Roman" w:hAnsi="Times New Roman" w:cs="Times New Roman"/>
        </w:rPr>
      </w:pPr>
      <w:r w:rsidRPr="006A1EC7">
        <w:rPr>
          <w:rFonts w:ascii="Times New Roman" w:hAnsi="Times New Roman" w:cs="Times New Roman"/>
        </w:rPr>
        <w:t>Length of Clinical Outcome Assessment</w:t>
      </w:r>
    </w:p>
    <w:p w14:paraId="18EE6225" w14:textId="61E94E44" w:rsidR="003677C2" w:rsidRPr="006A1EC7" w:rsidRDefault="003677C2" w:rsidP="003677C2">
      <w:pPr>
        <w:spacing w:line="360" w:lineRule="auto"/>
        <w:ind w:firstLine="720"/>
      </w:pPr>
      <w:r w:rsidRPr="006A1EC7">
        <w:t>In the survey data, there was no consensus as to whether the instrument was too long, or not</w:t>
      </w:r>
      <w:r w:rsidR="00686B64" w:rsidRPr="006A1EC7">
        <w:t xml:space="preserve">; four participants indicated it was too long, two neither agreed nor disagreed and three disagreed. </w:t>
      </w:r>
    </w:p>
    <w:p w14:paraId="56137AD6" w14:textId="77777777" w:rsidR="003677C2" w:rsidRPr="006A1EC7" w:rsidRDefault="003677C2" w:rsidP="003677C2">
      <w:pPr>
        <w:pStyle w:val="Heading5"/>
        <w:spacing w:line="360" w:lineRule="auto"/>
        <w:rPr>
          <w:rFonts w:ascii="Times New Roman" w:hAnsi="Times New Roman" w:cs="Times New Roman"/>
        </w:rPr>
      </w:pPr>
      <w:r w:rsidRPr="006A1EC7">
        <w:rPr>
          <w:rFonts w:ascii="Times New Roman" w:hAnsi="Times New Roman" w:cs="Times New Roman"/>
        </w:rPr>
        <w:lastRenderedPageBreak/>
        <w:t>Use in Clinical Practice</w:t>
      </w:r>
    </w:p>
    <w:p w14:paraId="445C3723" w14:textId="31A06510" w:rsidR="003677C2" w:rsidRPr="006A1EC7" w:rsidRDefault="003677C2" w:rsidP="003677C2">
      <w:pPr>
        <w:spacing w:line="360" w:lineRule="auto"/>
        <w:ind w:firstLine="720"/>
      </w:pPr>
      <w:r w:rsidRPr="006A1EC7">
        <w:t>The majority would be happy to use this instrument as part of an initial patient assessment. Clinicians mostly disagreed that the overall resources and costs involved in using the instrument are too great and that the data collected using the COA is difficult to use in clinical practice. Scores indicate that the instrument was</w:t>
      </w:r>
      <w:r w:rsidR="00686B64" w:rsidRPr="006A1EC7">
        <w:t xml:space="preserve">, overall, </w:t>
      </w:r>
      <w:r w:rsidRPr="006A1EC7">
        <w:t>perceived as efficient to use in clinical practice</w:t>
      </w:r>
      <w:r w:rsidR="00686B64" w:rsidRPr="006A1EC7">
        <w:t>.</w:t>
      </w:r>
    </w:p>
    <w:p w14:paraId="20BC19ED" w14:textId="77777777" w:rsidR="003677C2" w:rsidRPr="006A1EC7" w:rsidRDefault="003677C2" w:rsidP="003677C2"/>
    <w:p w14:paraId="5E42E612" w14:textId="77777777" w:rsidR="003677C2" w:rsidRPr="006A1EC7" w:rsidRDefault="003677C2" w:rsidP="003677C2">
      <w:pPr>
        <w:pStyle w:val="Heading5"/>
        <w:spacing w:line="360" w:lineRule="auto"/>
        <w:rPr>
          <w:rFonts w:ascii="Times New Roman" w:hAnsi="Times New Roman" w:cs="Times New Roman"/>
        </w:rPr>
      </w:pPr>
      <w:r w:rsidRPr="006A1EC7">
        <w:rPr>
          <w:rFonts w:ascii="Times New Roman" w:hAnsi="Times New Roman" w:cs="Times New Roman"/>
        </w:rPr>
        <w:t>Use with patients</w:t>
      </w:r>
    </w:p>
    <w:p w14:paraId="6796ECCB" w14:textId="0AA68CC4" w:rsidR="007B106F" w:rsidRPr="006A1EC7" w:rsidRDefault="003677C2" w:rsidP="007B106F">
      <w:pPr>
        <w:spacing w:line="360" w:lineRule="auto"/>
        <w:ind w:firstLine="720"/>
      </w:pPr>
      <w:r w:rsidRPr="006A1EC7">
        <w:t xml:space="preserve">Clinicians gave scores between 2 (mostly agree) and 3 (neither agree nor disagree) regarding whether the instrument is a valuable aid to communication with patients. Overall, clinicians neither agreed not disagreed whether the instrument would help make patients make the best decision for themselves. These two results are not surprising considering limited cognitive ability of patients with WHS and the fact that it is parents and caregivers who make the health-related decisions. The majority mostly disagreed that the instrument was difficult to use for their patients with giving scores of 4 and 5; however, one clinician rated it as a 2. </w:t>
      </w:r>
    </w:p>
    <w:p w14:paraId="3272F9C5" w14:textId="77777777" w:rsidR="007B106F" w:rsidRPr="006A1EC7" w:rsidRDefault="007B106F" w:rsidP="007B106F">
      <w:pPr>
        <w:spacing w:line="360" w:lineRule="auto"/>
        <w:ind w:firstLine="720"/>
      </w:pPr>
    </w:p>
    <w:p w14:paraId="1FF19C3E" w14:textId="1F26D08B" w:rsidR="007B106F" w:rsidRPr="006A1EC7" w:rsidRDefault="007B106F" w:rsidP="007B106F">
      <w:pPr>
        <w:pStyle w:val="Heading3"/>
        <w:rPr>
          <w:rFonts w:ascii="Times New Roman" w:hAnsi="Times New Roman" w:cs="Times New Roman"/>
        </w:rPr>
      </w:pPr>
      <w:bookmarkStart w:id="213" w:name="_Toc39270712"/>
      <w:bookmarkStart w:id="214" w:name="_Toc40173036"/>
      <w:r w:rsidRPr="006A1EC7">
        <w:rPr>
          <w:rFonts w:ascii="Times New Roman" w:hAnsi="Times New Roman" w:cs="Times New Roman"/>
        </w:rPr>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Pr="006A1EC7">
        <w:rPr>
          <w:rFonts w:ascii="Times New Roman" w:hAnsi="Times New Roman" w:cs="Times New Roman"/>
          <w:noProof/>
        </w:rPr>
        <w:t>11</w:t>
      </w:r>
      <w:r w:rsidRPr="006A1EC7">
        <w:rPr>
          <w:rFonts w:ascii="Times New Roman" w:hAnsi="Times New Roman" w:cs="Times New Roman"/>
        </w:rPr>
        <w:fldChar w:fldCharType="end"/>
      </w:r>
      <w:r w:rsidRPr="006A1EC7">
        <w:rPr>
          <w:rFonts w:ascii="Times New Roman" w:hAnsi="Times New Roman" w:cs="Times New Roman"/>
        </w:rPr>
        <w:t>: Descriptive Statistics: Results from the QI-10</w:t>
      </w:r>
      <w:bookmarkEnd w:id="213"/>
      <w:bookmarkEnd w:id="214"/>
    </w:p>
    <w:tbl>
      <w:tblPr>
        <w:tblStyle w:val="PlainTable4"/>
        <w:tblW w:w="0" w:type="auto"/>
        <w:tblLook w:val="04A0" w:firstRow="1" w:lastRow="0" w:firstColumn="1" w:lastColumn="0" w:noHBand="0" w:noVBand="1"/>
      </w:tblPr>
      <w:tblGrid>
        <w:gridCol w:w="3129"/>
        <w:gridCol w:w="764"/>
        <w:gridCol w:w="1006"/>
        <w:gridCol w:w="1047"/>
        <w:gridCol w:w="1715"/>
        <w:gridCol w:w="837"/>
      </w:tblGrid>
      <w:tr w:rsidR="007B106F" w:rsidRPr="006A1EC7" w14:paraId="45522EEB" w14:textId="77777777" w:rsidTr="007B1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24071C90" w14:textId="19636682" w:rsidR="007B106F" w:rsidRPr="006A1EC7" w:rsidRDefault="007B106F" w:rsidP="003176B3">
            <w:pPr>
              <w:rPr>
                <w:color w:val="000000" w:themeColor="text1"/>
                <w:sz w:val="18"/>
                <w:szCs w:val="18"/>
              </w:rPr>
            </w:pPr>
            <w:r w:rsidRPr="006A1EC7">
              <w:rPr>
                <w:color w:val="000000" w:themeColor="text1"/>
                <w:sz w:val="18"/>
                <w:szCs w:val="18"/>
              </w:rPr>
              <w:t>QI-10 Item</w:t>
            </w:r>
            <w:r w:rsidR="00B93D6E" w:rsidRPr="006A1EC7">
              <w:rPr>
                <w:color w:val="000000" w:themeColor="text1"/>
                <w:sz w:val="18"/>
                <w:szCs w:val="18"/>
              </w:rPr>
              <w:br/>
            </w:r>
            <w:r w:rsidR="00DF74E6" w:rsidRPr="006A1EC7">
              <w:rPr>
                <w:color w:val="000000" w:themeColor="text1"/>
                <w:sz w:val="18"/>
                <w:szCs w:val="18"/>
              </w:rPr>
              <w:br/>
            </w:r>
            <w:r w:rsidR="00B93D6E" w:rsidRPr="006A1EC7">
              <w:rPr>
                <w:color w:val="000000" w:themeColor="text1"/>
                <w:sz w:val="18"/>
                <w:szCs w:val="18"/>
              </w:rPr>
              <w:t xml:space="preserve">Scoring (1: Strongly Agree </w:t>
            </w:r>
            <w:r w:rsidR="00DF74E6" w:rsidRPr="006A1EC7">
              <w:rPr>
                <w:color w:val="000000" w:themeColor="text1"/>
                <w:sz w:val="18"/>
                <w:szCs w:val="18"/>
              </w:rPr>
              <w:t>–</w:t>
            </w:r>
            <w:r w:rsidR="00B93D6E" w:rsidRPr="006A1EC7">
              <w:rPr>
                <w:color w:val="000000" w:themeColor="text1"/>
                <w:sz w:val="18"/>
                <w:szCs w:val="18"/>
              </w:rPr>
              <w:t xml:space="preserve"> </w:t>
            </w:r>
            <w:r w:rsidR="00DF74E6" w:rsidRPr="006A1EC7">
              <w:rPr>
                <w:color w:val="000000" w:themeColor="text1"/>
                <w:sz w:val="18"/>
                <w:szCs w:val="18"/>
              </w:rPr>
              <w:t>5: Strongly Disagree)</w:t>
            </w:r>
          </w:p>
        </w:tc>
        <w:tc>
          <w:tcPr>
            <w:tcW w:w="764" w:type="dxa"/>
          </w:tcPr>
          <w:p w14:paraId="3FDF7A9B" w14:textId="77777777" w:rsidR="007B106F" w:rsidRPr="006A1EC7" w:rsidRDefault="007B106F" w:rsidP="003176B3">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n</w:t>
            </w:r>
          </w:p>
        </w:tc>
        <w:tc>
          <w:tcPr>
            <w:tcW w:w="1006" w:type="dxa"/>
          </w:tcPr>
          <w:p w14:paraId="7B6F7248" w14:textId="77777777" w:rsidR="007B106F" w:rsidRPr="006A1EC7" w:rsidRDefault="007B106F" w:rsidP="003176B3">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Minimum</w:t>
            </w:r>
          </w:p>
        </w:tc>
        <w:tc>
          <w:tcPr>
            <w:tcW w:w="1047" w:type="dxa"/>
          </w:tcPr>
          <w:p w14:paraId="7D803C86" w14:textId="77777777" w:rsidR="007B106F" w:rsidRPr="006A1EC7" w:rsidRDefault="007B106F" w:rsidP="003176B3">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Maximum</w:t>
            </w:r>
          </w:p>
        </w:tc>
        <w:tc>
          <w:tcPr>
            <w:tcW w:w="1715" w:type="dxa"/>
          </w:tcPr>
          <w:p w14:paraId="3B9ED0FF" w14:textId="77777777" w:rsidR="007B106F" w:rsidRPr="006A1EC7" w:rsidRDefault="007B106F" w:rsidP="003176B3">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 xml:space="preserve">Mean </w:t>
            </w:r>
          </w:p>
          <w:p w14:paraId="56C4AB44" w14:textId="77777777" w:rsidR="007B106F" w:rsidRPr="006A1EC7" w:rsidRDefault="007B106F" w:rsidP="003176B3">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(Standard Deviation)</w:t>
            </w:r>
          </w:p>
        </w:tc>
        <w:tc>
          <w:tcPr>
            <w:tcW w:w="837" w:type="dxa"/>
          </w:tcPr>
          <w:p w14:paraId="51EB275E" w14:textId="77777777" w:rsidR="007B106F" w:rsidRPr="006A1EC7" w:rsidRDefault="007B106F" w:rsidP="003176B3">
            <w:pP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Median</w:t>
            </w:r>
          </w:p>
        </w:tc>
      </w:tr>
      <w:tr w:rsidR="007B106F" w:rsidRPr="006A1EC7" w14:paraId="686AFC12"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7CDECB2E"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t>The instrument is a valuable aid to communication with my patients.</w:t>
            </w:r>
          </w:p>
        </w:tc>
        <w:tc>
          <w:tcPr>
            <w:tcW w:w="764" w:type="dxa"/>
          </w:tcPr>
          <w:p w14:paraId="0A258D70"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5DAFC08D"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2</w:t>
            </w:r>
          </w:p>
        </w:tc>
        <w:tc>
          <w:tcPr>
            <w:tcW w:w="1047" w:type="dxa"/>
          </w:tcPr>
          <w:p w14:paraId="3A7ACA46"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4</w:t>
            </w:r>
          </w:p>
        </w:tc>
        <w:tc>
          <w:tcPr>
            <w:tcW w:w="1715" w:type="dxa"/>
          </w:tcPr>
          <w:p w14:paraId="13AEAC3C"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 xml:space="preserve">2.33 </w:t>
            </w:r>
            <w:r w:rsidRPr="006A1EC7">
              <w:rPr>
                <w:color w:val="000000" w:themeColor="text1"/>
                <w:sz w:val="18"/>
                <w:szCs w:val="18"/>
              </w:rPr>
              <w:br/>
              <w:t>(.707)</w:t>
            </w:r>
          </w:p>
        </w:tc>
        <w:tc>
          <w:tcPr>
            <w:tcW w:w="837" w:type="dxa"/>
          </w:tcPr>
          <w:p w14:paraId="2F12343E"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2.00</w:t>
            </w:r>
          </w:p>
        </w:tc>
      </w:tr>
      <w:tr w:rsidR="007B106F" w:rsidRPr="006A1EC7" w14:paraId="7662A029" w14:textId="77777777" w:rsidTr="007B106F">
        <w:tc>
          <w:tcPr>
            <w:cnfStyle w:val="001000000000" w:firstRow="0" w:lastRow="0" w:firstColumn="1" w:lastColumn="0" w:oddVBand="0" w:evenVBand="0" w:oddHBand="0" w:evenHBand="0" w:firstRowFirstColumn="0" w:firstRowLastColumn="0" w:lastRowFirstColumn="0" w:lastRowLastColumn="0"/>
            <w:tcW w:w="3129" w:type="dxa"/>
          </w:tcPr>
          <w:p w14:paraId="6B553EAA"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t>The instrument is relevant to my patients</w:t>
            </w:r>
          </w:p>
        </w:tc>
        <w:tc>
          <w:tcPr>
            <w:tcW w:w="764" w:type="dxa"/>
          </w:tcPr>
          <w:p w14:paraId="4051F0D3"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2290AC3D"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1</w:t>
            </w:r>
          </w:p>
        </w:tc>
        <w:tc>
          <w:tcPr>
            <w:tcW w:w="1047" w:type="dxa"/>
          </w:tcPr>
          <w:p w14:paraId="232C74FB"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3</w:t>
            </w:r>
          </w:p>
        </w:tc>
        <w:tc>
          <w:tcPr>
            <w:tcW w:w="1715" w:type="dxa"/>
          </w:tcPr>
          <w:p w14:paraId="7B908C55"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2.00 (</w:t>
            </w:r>
            <w:r w:rsidRPr="006A1EC7">
              <w:rPr>
                <w:color w:val="000000" w:themeColor="text1"/>
                <w:sz w:val="18"/>
                <w:szCs w:val="18"/>
              </w:rPr>
              <w:br/>
              <w:t>.500)</w:t>
            </w:r>
          </w:p>
        </w:tc>
        <w:tc>
          <w:tcPr>
            <w:tcW w:w="837" w:type="dxa"/>
          </w:tcPr>
          <w:p w14:paraId="7364A032"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2.00</w:t>
            </w:r>
          </w:p>
        </w:tc>
      </w:tr>
      <w:tr w:rsidR="007B106F" w:rsidRPr="006A1EC7" w14:paraId="0F7206BE"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40A74ACB"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t>I would be happy to use the instrument as part of initial patient assessment</w:t>
            </w:r>
          </w:p>
        </w:tc>
        <w:tc>
          <w:tcPr>
            <w:tcW w:w="764" w:type="dxa"/>
          </w:tcPr>
          <w:p w14:paraId="6CED17FF"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5EBE9210"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1</w:t>
            </w:r>
          </w:p>
        </w:tc>
        <w:tc>
          <w:tcPr>
            <w:tcW w:w="1047" w:type="dxa"/>
          </w:tcPr>
          <w:p w14:paraId="4FF6568A"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3</w:t>
            </w:r>
          </w:p>
        </w:tc>
        <w:tc>
          <w:tcPr>
            <w:tcW w:w="1715" w:type="dxa"/>
          </w:tcPr>
          <w:p w14:paraId="3862C719"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 xml:space="preserve">2.11 </w:t>
            </w:r>
            <w:r w:rsidRPr="006A1EC7">
              <w:rPr>
                <w:color w:val="000000" w:themeColor="text1"/>
                <w:sz w:val="18"/>
                <w:szCs w:val="18"/>
              </w:rPr>
              <w:br/>
              <w:t>(.601)</w:t>
            </w:r>
          </w:p>
        </w:tc>
        <w:tc>
          <w:tcPr>
            <w:tcW w:w="837" w:type="dxa"/>
          </w:tcPr>
          <w:p w14:paraId="407CD130"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2.00</w:t>
            </w:r>
          </w:p>
        </w:tc>
      </w:tr>
      <w:tr w:rsidR="007B106F" w:rsidRPr="006A1EC7" w14:paraId="043279F4" w14:textId="77777777" w:rsidTr="007B106F">
        <w:tc>
          <w:tcPr>
            <w:cnfStyle w:val="001000000000" w:firstRow="0" w:lastRow="0" w:firstColumn="1" w:lastColumn="0" w:oddVBand="0" w:evenVBand="0" w:oddHBand="0" w:evenHBand="0" w:firstRowFirstColumn="0" w:firstRowLastColumn="0" w:lastRowFirstColumn="0" w:lastRowLastColumn="0"/>
            <w:tcW w:w="3129" w:type="dxa"/>
          </w:tcPr>
          <w:p w14:paraId="24795482"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t>The instrument is efficient to use in clinical practice</w:t>
            </w:r>
          </w:p>
        </w:tc>
        <w:tc>
          <w:tcPr>
            <w:tcW w:w="764" w:type="dxa"/>
          </w:tcPr>
          <w:p w14:paraId="5DABBC84"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206C041F"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1</w:t>
            </w:r>
          </w:p>
        </w:tc>
        <w:tc>
          <w:tcPr>
            <w:tcW w:w="1047" w:type="dxa"/>
          </w:tcPr>
          <w:p w14:paraId="6AE6EFE0"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4</w:t>
            </w:r>
          </w:p>
        </w:tc>
        <w:tc>
          <w:tcPr>
            <w:tcW w:w="1715" w:type="dxa"/>
          </w:tcPr>
          <w:p w14:paraId="388D63AE" w14:textId="77777777" w:rsidR="007B106F" w:rsidRPr="006A1EC7" w:rsidRDefault="007B106F" w:rsidP="003176B3">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2.33</w:t>
            </w:r>
          </w:p>
          <w:p w14:paraId="2335D511"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(1.000)</w:t>
            </w:r>
          </w:p>
        </w:tc>
        <w:tc>
          <w:tcPr>
            <w:tcW w:w="837" w:type="dxa"/>
          </w:tcPr>
          <w:p w14:paraId="633BB242"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2.00</w:t>
            </w:r>
          </w:p>
        </w:tc>
      </w:tr>
      <w:tr w:rsidR="007B106F" w:rsidRPr="006A1EC7" w14:paraId="07D0A1F2"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1F7D2F4E"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t>The instrument addresses all the important aspects of my patients’ conditions</w:t>
            </w:r>
          </w:p>
        </w:tc>
        <w:tc>
          <w:tcPr>
            <w:tcW w:w="764" w:type="dxa"/>
          </w:tcPr>
          <w:p w14:paraId="208C7684"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47AB5BC0"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1</w:t>
            </w:r>
          </w:p>
        </w:tc>
        <w:tc>
          <w:tcPr>
            <w:tcW w:w="1047" w:type="dxa"/>
          </w:tcPr>
          <w:p w14:paraId="13EBBEA0"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3</w:t>
            </w:r>
          </w:p>
        </w:tc>
        <w:tc>
          <w:tcPr>
            <w:tcW w:w="1715" w:type="dxa"/>
          </w:tcPr>
          <w:p w14:paraId="55FCCCDA" w14:textId="77777777" w:rsidR="007B106F" w:rsidRPr="006A1EC7" w:rsidRDefault="007B106F" w:rsidP="003176B3">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2.00</w:t>
            </w:r>
          </w:p>
          <w:p w14:paraId="5E4BA108"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(.500)</w:t>
            </w:r>
          </w:p>
        </w:tc>
        <w:tc>
          <w:tcPr>
            <w:tcW w:w="837" w:type="dxa"/>
          </w:tcPr>
          <w:p w14:paraId="166DA7F2"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2.00</w:t>
            </w:r>
          </w:p>
        </w:tc>
      </w:tr>
      <w:tr w:rsidR="007B106F" w:rsidRPr="006A1EC7" w14:paraId="632832BB" w14:textId="77777777" w:rsidTr="007B106F">
        <w:tc>
          <w:tcPr>
            <w:cnfStyle w:val="001000000000" w:firstRow="0" w:lastRow="0" w:firstColumn="1" w:lastColumn="0" w:oddVBand="0" w:evenVBand="0" w:oddHBand="0" w:evenHBand="0" w:firstRowFirstColumn="0" w:firstRowLastColumn="0" w:lastRowFirstColumn="0" w:lastRowLastColumn="0"/>
            <w:tcW w:w="3129" w:type="dxa"/>
          </w:tcPr>
          <w:p w14:paraId="69E168C6"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t>The instrument helps patients to make the best decisions for themselves</w:t>
            </w:r>
          </w:p>
        </w:tc>
        <w:tc>
          <w:tcPr>
            <w:tcW w:w="764" w:type="dxa"/>
          </w:tcPr>
          <w:p w14:paraId="077D660D"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70C0A656"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2</w:t>
            </w:r>
          </w:p>
        </w:tc>
        <w:tc>
          <w:tcPr>
            <w:tcW w:w="1047" w:type="dxa"/>
          </w:tcPr>
          <w:p w14:paraId="29BA1220"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4</w:t>
            </w:r>
          </w:p>
        </w:tc>
        <w:tc>
          <w:tcPr>
            <w:tcW w:w="1715" w:type="dxa"/>
          </w:tcPr>
          <w:p w14:paraId="62562A38" w14:textId="77777777" w:rsidR="007B106F" w:rsidRPr="006A1EC7" w:rsidRDefault="007B106F" w:rsidP="003176B3">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3.00</w:t>
            </w:r>
          </w:p>
          <w:p w14:paraId="1E9E82F5" w14:textId="77777777" w:rsidR="007B106F" w:rsidRPr="006A1EC7" w:rsidRDefault="007B106F" w:rsidP="003176B3">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(.707)</w:t>
            </w:r>
          </w:p>
        </w:tc>
        <w:tc>
          <w:tcPr>
            <w:tcW w:w="837" w:type="dxa"/>
          </w:tcPr>
          <w:p w14:paraId="4212B7F6"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3.00</w:t>
            </w:r>
          </w:p>
        </w:tc>
      </w:tr>
      <w:tr w:rsidR="007B106F" w:rsidRPr="006A1EC7" w14:paraId="08A86138"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182F0C06"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t>The instrument is too long</w:t>
            </w:r>
          </w:p>
        </w:tc>
        <w:tc>
          <w:tcPr>
            <w:tcW w:w="764" w:type="dxa"/>
          </w:tcPr>
          <w:p w14:paraId="5FECFEB8"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21F4D00F"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1</w:t>
            </w:r>
          </w:p>
        </w:tc>
        <w:tc>
          <w:tcPr>
            <w:tcW w:w="1047" w:type="dxa"/>
          </w:tcPr>
          <w:p w14:paraId="47DE828D"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5</w:t>
            </w:r>
          </w:p>
        </w:tc>
        <w:tc>
          <w:tcPr>
            <w:tcW w:w="1715" w:type="dxa"/>
          </w:tcPr>
          <w:p w14:paraId="3E43306B"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 xml:space="preserve">2.78 </w:t>
            </w:r>
            <w:r w:rsidRPr="006A1EC7">
              <w:rPr>
                <w:color w:val="000000" w:themeColor="text1"/>
                <w:sz w:val="18"/>
                <w:szCs w:val="18"/>
              </w:rPr>
              <w:br/>
              <w:t>(1.394)</w:t>
            </w:r>
          </w:p>
        </w:tc>
        <w:tc>
          <w:tcPr>
            <w:tcW w:w="837" w:type="dxa"/>
          </w:tcPr>
          <w:p w14:paraId="32A54081"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3.00</w:t>
            </w:r>
          </w:p>
        </w:tc>
      </w:tr>
      <w:tr w:rsidR="007B106F" w:rsidRPr="006A1EC7" w14:paraId="5F2BA1E7" w14:textId="77777777" w:rsidTr="007B106F">
        <w:tc>
          <w:tcPr>
            <w:cnfStyle w:val="001000000000" w:firstRow="0" w:lastRow="0" w:firstColumn="1" w:lastColumn="0" w:oddVBand="0" w:evenVBand="0" w:oddHBand="0" w:evenHBand="0" w:firstRowFirstColumn="0" w:firstRowLastColumn="0" w:lastRowFirstColumn="0" w:lastRowLastColumn="0"/>
            <w:tcW w:w="3129" w:type="dxa"/>
          </w:tcPr>
          <w:p w14:paraId="3EA65857"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t>The instrument is difficult for my patients to use</w:t>
            </w:r>
          </w:p>
        </w:tc>
        <w:tc>
          <w:tcPr>
            <w:tcW w:w="764" w:type="dxa"/>
          </w:tcPr>
          <w:p w14:paraId="0E97E7E3"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74A7A09D"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1</w:t>
            </w:r>
          </w:p>
        </w:tc>
        <w:tc>
          <w:tcPr>
            <w:tcW w:w="1047" w:type="dxa"/>
          </w:tcPr>
          <w:p w14:paraId="5DC9AD3B"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5</w:t>
            </w:r>
          </w:p>
        </w:tc>
        <w:tc>
          <w:tcPr>
            <w:tcW w:w="1715" w:type="dxa"/>
          </w:tcPr>
          <w:p w14:paraId="1D079690"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 xml:space="preserve">3.22 </w:t>
            </w:r>
            <w:r w:rsidRPr="006A1EC7">
              <w:rPr>
                <w:color w:val="000000" w:themeColor="text1"/>
                <w:sz w:val="18"/>
                <w:szCs w:val="18"/>
              </w:rPr>
              <w:br/>
              <w:t>(1.202)</w:t>
            </w:r>
          </w:p>
        </w:tc>
        <w:tc>
          <w:tcPr>
            <w:tcW w:w="837" w:type="dxa"/>
          </w:tcPr>
          <w:p w14:paraId="4727DBE4"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3.00</w:t>
            </w:r>
          </w:p>
        </w:tc>
      </w:tr>
      <w:tr w:rsidR="007B106F" w:rsidRPr="006A1EC7" w14:paraId="2D73586D"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27EF0039"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t>Data collected using the instrument are difficult to use in clinical practice</w:t>
            </w:r>
          </w:p>
        </w:tc>
        <w:tc>
          <w:tcPr>
            <w:tcW w:w="764" w:type="dxa"/>
          </w:tcPr>
          <w:p w14:paraId="16E8545D"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69F93C77"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2</w:t>
            </w:r>
          </w:p>
        </w:tc>
        <w:tc>
          <w:tcPr>
            <w:tcW w:w="1047" w:type="dxa"/>
          </w:tcPr>
          <w:p w14:paraId="1991826A"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5</w:t>
            </w:r>
          </w:p>
        </w:tc>
        <w:tc>
          <w:tcPr>
            <w:tcW w:w="1715" w:type="dxa"/>
          </w:tcPr>
          <w:p w14:paraId="7E44E689" w14:textId="77777777" w:rsidR="007B106F" w:rsidRPr="006A1EC7" w:rsidRDefault="007B106F" w:rsidP="003176B3">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 xml:space="preserve">3.89 </w:t>
            </w:r>
          </w:p>
          <w:p w14:paraId="344D014B"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(.928)</w:t>
            </w:r>
          </w:p>
        </w:tc>
        <w:tc>
          <w:tcPr>
            <w:tcW w:w="837" w:type="dxa"/>
          </w:tcPr>
          <w:p w14:paraId="093766E7"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4.00</w:t>
            </w:r>
          </w:p>
        </w:tc>
      </w:tr>
      <w:tr w:rsidR="007B106F" w:rsidRPr="006A1EC7" w14:paraId="67747FBE" w14:textId="77777777" w:rsidTr="007B106F">
        <w:tc>
          <w:tcPr>
            <w:cnfStyle w:val="001000000000" w:firstRow="0" w:lastRow="0" w:firstColumn="1" w:lastColumn="0" w:oddVBand="0" w:evenVBand="0" w:oddHBand="0" w:evenHBand="0" w:firstRowFirstColumn="0" w:firstRowLastColumn="0" w:lastRowFirstColumn="0" w:lastRowLastColumn="0"/>
            <w:tcW w:w="3129" w:type="dxa"/>
          </w:tcPr>
          <w:p w14:paraId="3D142364" w14:textId="77777777" w:rsidR="007B106F" w:rsidRPr="006A1EC7" w:rsidRDefault="007B106F" w:rsidP="003176B3">
            <w:pPr>
              <w:rPr>
                <w:b w:val="0"/>
                <w:bCs w:val="0"/>
                <w:color w:val="000000" w:themeColor="text1"/>
                <w:sz w:val="18"/>
                <w:szCs w:val="18"/>
              </w:rPr>
            </w:pPr>
            <w:r w:rsidRPr="006A1EC7">
              <w:rPr>
                <w:b w:val="0"/>
                <w:bCs w:val="0"/>
                <w:color w:val="000000" w:themeColor="text1"/>
                <w:sz w:val="18"/>
                <w:szCs w:val="18"/>
              </w:rPr>
              <w:lastRenderedPageBreak/>
              <w:t>The overall resources and costs involved in using the instrument are too great</w:t>
            </w:r>
          </w:p>
        </w:tc>
        <w:tc>
          <w:tcPr>
            <w:tcW w:w="764" w:type="dxa"/>
          </w:tcPr>
          <w:p w14:paraId="489E8C58"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9</w:t>
            </w:r>
          </w:p>
        </w:tc>
        <w:tc>
          <w:tcPr>
            <w:tcW w:w="1006" w:type="dxa"/>
          </w:tcPr>
          <w:p w14:paraId="057ADDB8"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2</w:t>
            </w:r>
          </w:p>
        </w:tc>
        <w:tc>
          <w:tcPr>
            <w:tcW w:w="1047" w:type="dxa"/>
          </w:tcPr>
          <w:p w14:paraId="559895D6"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5</w:t>
            </w:r>
          </w:p>
        </w:tc>
        <w:tc>
          <w:tcPr>
            <w:tcW w:w="1715" w:type="dxa"/>
          </w:tcPr>
          <w:p w14:paraId="59B92335" w14:textId="77777777" w:rsidR="007B106F" w:rsidRPr="006A1EC7" w:rsidRDefault="007B106F" w:rsidP="003176B3">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3.78</w:t>
            </w:r>
          </w:p>
          <w:p w14:paraId="2E889ABF"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(1.093)</w:t>
            </w:r>
          </w:p>
        </w:tc>
        <w:tc>
          <w:tcPr>
            <w:tcW w:w="837" w:type="dxa"/>
          </w:tcPr>
          <w:p w14:paraId="49A559D8"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A1EC7">
              <w:rPr>
                <w:color w:val="000000" w:themeColor="text1"/>
                <w:sz w:val="18"/>
                <w:szCs w:val="18"/>
              </w:rPr>
              <w:t>4.00</w:t>
            </w:r>
          </w:p>
        </w:tc>
      </w:tr>
    </w:tbl>
    <w:p w14:paraId="1C11F13E" w14:textId="77777777" w:rsidR="00400746" w:rsidRPr="006A1EC7" w:rsidRDefault="00400746" w:rsidP="00744A8E"/>
    <w:p w14:paraId="50D7CD1B" w14:textId="77777777" w:rsidR="00400746" w:rsidRPr="006A1EC7" w:rsidRDefault="00400746" w:rsidP="00744A8E"/>
    <w:p w14:paraId="33A4FA3C" w14:textId="77777777" w:rsidR="00400746" w:rsidRPr="006A1EC7" w:rsidRDefault="00400746" w:rsidP="00744A8E"/>
    <w:p w14:paraId="5F59F67C" w14:textId="5B208E10" w:rsidR="007B106F" w:rsidRPr="006A1EC7" w:rsidRDefault="007B106F" w:rsidP="007B106F">
      <w:pPr>
        <w:pStyle w:val="Heading3"/>
        <w:rPr>
          <w:rFonts w:ascii="Times New Roman" w:hAnsi="Times New Roman" w:cs="Times New Roman"/>
        </w:rPr>
      </w:pPr>
      <w:bookmarkStart w:id="215" w:name="_Toc39270713"/>
      <w:bookmarkStart w:id="216" w:name="_Toc40173037"/>
      <w:r w:rsidRPr="006A1EC7">
        <w:rPr>
          <w:rFonts w:ascii="Times New Roman" w:hAnsi="Times New Roman" w:cs="Times New Roman"/>
        </w:rPr>
        <w:t xml:space="preserve">Table </w:t>
      </w:r>
      <w:r w:rsidRPr="006A1EC7">
        <w:rPr>
          <w:rFonts w:ascii="Times New Roman" w:hAnsi="Times New Roman" w:cs="Times New Roman"/>
        </w:rPr>
        <w:fldChar w:fldCharType="begin"/>
      </w:r>
      <w:r w:rsidRPr="006A1EC7">
        <w:rPr>
          <w:rFonts w:ascii="Times New Roman" w:hAnsi="Times New Roman" w:cs="Times New Roman"/>
        </w:rPr>
        <w:instrText xml:space="preserve"> SEQ Table \* ARABIC </w:instrText>
      </w:r>
      <w:r w:rsidRPr="006A1EC7">
        <w:rPr>
          <w:rFonts w:ascii="Times New Roman" w:hAnsi="Times New Roman" w:cs="Times New Roman"/>
        </w:rPr>
        <w:fldChar w:fldCharType="separate"/>
      </w:r>
      <w:r w:rsidRPr="006A1EC7">
        <w:rPr>
          <w:rFonts w:ascii="Times New Roman" w:hAnsi="Times New Roman" w:cs="Times New Roman"/>
          <w:noProof/>
        </w:rPr>
        <w:t>12</w:t>
      </w:r>
      <w:r w:rsidRPr="006A1EC7">
        <w:rPr>
          <w:rFonts w:ascii="Times New Roman" w:hAnsi="Times New Roman" w:cs="Times New Roman"/>
        </w:rPr>
        <w:fldChar w:fldCharType="end"/>
      </w:r>
      <w:r w:rsidRPr="006A1EC7">
        <w:rPr>
          <w:rFonts w:ascii="Times New Roman" w:hAnsi="Times New Roman" w:cs="Times New Roman"/>
        </w:rPr>
        <w:t>: Response frequencies for QI-10 items</w:t>
      </w:r>
      <w:bookmarkEnd w:id="215"/>
      <w:bookmarkEnd w:id="216"/>
    </w:p>
    <w:tbl>
      <w:tblPr>
        <w:tblStyle w:val="PlainTable4"/>
        <w:tblW w:w="0" w:type="auto"/>
        <w:tblLook w:val="04A0" w:firstRow="1" w:lastRow="0" w:firstColumn="1" w:lastColumn="0" w:noHBand="0" w:noVBand="1"/>
      </w:tblPr>
      <w:tblGrid>
        <w:gridCol w:w="3063"/>
        <w:gridCol w:w="976"/>
        <w:gridCol w:w="937"/>
        <w:gridCol w:w="1461"/>
        <w:gridCol w:w="1028"/>
        <w:gridCol w:w="1033"/>
      </w:tblGrid>
      <w:tr w:rsidR="007B106F" w:rsidRPr="006A1EC7" w14:paraId="51642901" w14:textId="77777777" w:rsidTr="007B1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Pr>
          <w:p w14:paraId="04FE2F69" w14:textId="77777777" w:rsidR="007B106F" w:rsidRPr="006A1EC7" w:rsidRDefault="007B106F" w:rsidP="003176B3">
            <w:pPr>
              <w:rPr>
                <w:sz w:val="18"/>
                <w:szCs w:val="18"/>
              </w:rPr>
            </w:pPr>
          </w:p>
        </w:tc>
        <w:tc>
          <w:tcPr>
            <w:tcW w:w="6564" w:type="dxa"/>
            <w:gridSpan w:val="5"/>
          </w:tcPr>
          <w:p w14:paraId="266D7D14" w14:textId="77777777" w:rsidR="007B106F" w:rsidRPr="006A1EC7" w:rsidRDefault="007B106F" w:rsidP="003176B3">
            <w:pPr>
              <w:jc w:val="cente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Response categories</w:t>
            </w:r>
          </w:p>
        </w:tc>
      </w:tr>
      <w:tr w:rsidR="007B106F" w:rsidRPr="006A1EC7" w14:paraId="1E8CA562"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Pr>
          <w:p w14:paraId="0A85E2CF" w14:textId="77777777" w:rsidR="007B106F" w:rsidRPr="006A1EC7" w:rsidRDefault="007B106F" w:rsidP="003176B3">
            <w:pPr>
              <w:rPr>
                <w:sz w:val="18"/>
                <w:szCs w:val="18"/>
              </w:rPr>
            </w:pPr>
            <w:r w:rsidRPr="006A1EC7">
              <w:rPr>
                <w:sz w:val="18"/>
                <w:szCs w:val="18"/>
              </w:rPr>
              <w:t>Item (n =9)</w:t>
            </w:r>
          </w:p>
        </w:tc>
        <w:tc>
          <w:tcPr>
            <w:tcW w:w="1097" w:type="dxa"/>
          </w:tcPr>
          <w:p w14:paraId="4D5AD1B3"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Strongly Agree</w:t>
            </w:r>
          </w:p>
        </w:tc>
        <w:tc>
          <w:tcPr>
            <w:tcW w:w="1119" w:type="dxa"/>
          </w:tcPr>
          <w:p w14:paraId="302BAA34"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Mostly Agree</w:t>
            </w:r>
          </w:p>
        </w:tc>
        <w:tc>
          <w:tcPr>
            <w:tcW w:w="1984" w:type="dxa"/>
          </w:tcPr>
          <w:p w14:paraId="162D4F21"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Neither Agree Nor Disagree</w:t>
            </w:r>
          </w:p>
        </w:tc>
        <w:tc>
          <w:tcPr>
            <w:tcW w:w="1177" w:type="dxa"/>
          </w:tcPr>
          <w:p w14:paraId="63416E57"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Mostly Disagree</w:t>
            </w:r>
          </w:p>
        </w:tc>
        <w:tc>
          <w:tcPr>
            <w:tcW w:w="1187" w:type="dxa"/>
          </w:tcPr>
          <w:p w14:paraId="6032F923"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Strongly Disagree</w:t>
            </w:r>
          </w:p>
        </w:tc>
      </w:tr>
      <w:tr w:rsidR="007B106F" w:rsidRPr="006A1EC7" w14:paraId="04380A03" w14:textId="77777777" w:rsidTr="007B106F">
        <w:tc>
          <w:tcPr>
            <w:cnfStyle w:val="001000000000" w:firstRow="0" w:lastRow="0" w:firstColumn="1" w:lastColumn="0" w:oddVBand="0" w:evenVBand="0" w:oddHBand="0" w:evenHBand="0" w:firstRowFirstColumn="0" w:firstRowLastColumn="0" w:lastRowFirstColumn="0" w:lastRowLastColumn="0"/>
            <w:tcW w:w="4496" w:type="dxa"/>
          </w:tcPr>
          <w:p w14:paraId="14B16923" w14:textId="77777777" w:rsidR="007B106F" w:rsidRPr="006A1EC7" w:rsidRDefault="007B106F" w:rsidP="003176B3">
            <w:pPr>
              <w:rPr>
                <w:sz w:val="18"/>
                <w:szCs w:val="18"/>
              </w:rPr>
            </w:pPr>
            <w:r w:rsidRPr="006A1EC7">
              <w:rPr>
                <w:color w:val="000000" w:themeColor="text1"/>
                <w:sz w:val="18"/>
                <w:szCs w:val="18"/>
              </w:rPr>
              <w:t>The instrument is a valuable aid to communication with my patients.</w:t>
            </w:r>
          </w:p>
        </w:tc>
        <w:tc>
          <w:tcPr>
            <w:tcW w:w="1097" w:type="dxa"/>
          </w:tcPr>
          <w:p w14:paraId="751B1098"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w:t>
            </w:r>
          </w:p>
        </w:tc>
        <w:tc>
          <w:tcPr>
            <w:tcW w:w="1119" w:type="dxa"/>
          </w:tcPr>
          <w:p w14:paraId="2A588FDB"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7</w:t>
            </w:r>
          </w:p>
        </w:tc>
        <w:tc>
          <w:tcPr>
            <w:tcW w:w="1984" w:type="dxa"/>
          </w:tcPr>
          <w:p w14:paraId="2293891F"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w:t>
            </w:r>
          </w:p>
        </w:tc>
        <w:tc>
          <w:tcPr>
            <w:tcW w:w="1177" w:type="dxa"/>
          </w:tcPr>
          <w:p w14:paraId="11002575"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w:t>
            </w:r>
          </w:p>
        </w:tc>
        <w:tc>
          <w:tcPr>
            <w:tcW w:w="1187" w:type="dxa"/>
          </w:tcPr>
          <w:p w14:paraId="4DA9C003"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w:t>
            </w:r>
          </w:p>
        </w:tc>
      </w:tr>
      <w:tr w:rsidR="007B106F" w:rsidRPr="006A1EC7" w14:paraId="31651135"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Pr>
          <w:p w14:paraId="74E4BD2C" w14:textId="77777777" w:rsidR="007B106F" w:rsidRPr="006A1EC7" w:rsidRDefault="007B106F" w:rsidP="003176B3">
            <w:pPr>
              <w:rPr>
                <w:sz w:val="18"/>
                <w:szCs w:val="18"/>
              </w:rPr>
            </w:pPr>
            <w:r w:rsidRPr="006A1EC7">
              <w:rPr>
                <w:color w:val="000000" w:themeColor="text1"/>
                <w:sz w:val="18"/>
                <w:szCs w:val="18"/>
              </w:rPr>
              <w:t>The instrument is relevant to my patients</w:t>
            </w:r>
          </w:p>
        </w:tc>
        <w:tc>
          <w:tcPr>
            <w:tcW w:w="1097" w:type="dxa"/>
          </w:tcPr>
          <w:p w14:paraId="063A4802"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w:t>
            </w:r>
          </w:p>
        </w:tc>
        <w:tc>
          <w:tcPr>
            <w:tcW w:w="1119" w:type="dxa"/>
          </w:tcPr>
          <w:p w14:paraId="04E9347F"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7</w:t>
            </w:r>
          </w:p>
        </w:tc>
        <w:tc>
          <w:tcPr>
            <w:tcW w:w="1984" w:type="dxa"/>
          </w:tcPr>
          <w:p w14:paraId="018F8F5B"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w:t>
            </w:r>
          </w:p>
        </w:tc>
        <w:tc>
          <w:tcPr>
            <w:tcW w:w="1177" w:type="dxa"/>
          </w:tcPr>
          <w:p w14:paraId="7B7B57C4"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w:t>
            </w:r>
          </w:p>
        </w:tc>
        <w:tc>
          <w:tcPr>
            <w:tcW w:w="1187" w:type="dxa"/>
          </w:tcPr>
          <w:p w14:paraId="45E305DF"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w:t>
            </w:r>
          </w:p>
        </w:tc>
      </w:tr>
      <w:tr w:rsidR="007B106F" w:rsidRPr="006A1EC7" w14:paraId="422D5D22" w14:textId="77777777" w:rsidTr="007B106F">
        <w:tc>
          <w:tcPr>
            <w:cnfStyle w:val="001000000000" w:firstRow="0" w:lastRow="0" w:firstColumn="1" w:lastColumn="0" w:oddVBand="0" w:evenVBand="0" w:oddHBand="0" w:evenHBand="0" w:firstRowFirstColumn="0" w:firstRowLastColumn="0" w:lastRowFirstColumn="0" w:lastRowLastColumn="0"/>
            <w:tcW w:w="4496" w:type="dxa"/>
          </w:tcPr>
          <w:p w14:paraId="0D51E5E4" w14:textId="77777777" w:rsidR="007B106F" w:rsidRPr="006A1EC7" w:rsidRDefault="007B106F" w:rsidP="003176B3">
            <w:pPr>
              <w:rPr>
                <w:sz w:val="18"/>
                <w:szCs w:val="18"/>
              </w:rPr>
            </w:pPr>
            <w:r w:rsidRPr="006A1EC7">
              <w:rPr>
                <w:color w:val="000000" w:themeColor="text1"/>
                <w:sz w:val="18"/>
                <w:szCs w:val="18"/>
              </w:rPr>
              <w:t>I would be happy to use the instrument as part of initial patient assessment</w:t>
            </w:r>
          </w:p>
        </w:tc>
        <w:tc>
          <w:tcPr>
            <w:tcW w:w="1097" w:type="dxa"/>
          </w:tcPr>
          <w:p w14:paraId="19ED01D2"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w:t>
            </w:r>
          </w:p>
        </w:tc>
        <w:tc>
          <w:tcPr>
            <w:tcW w:w="1119" w:type="dxa"/>
          </w:tcPr>
          <w:p w14:paraId="346B8C4A"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w:t>
            </w:r>
          </w:p>
        </w:tc>
        <w:tc>
          <w:tcPr>
            <w:tcW w:w="1984" w:type="dxa"/>
          </w:tcPr>
          <w:p w14:paraId="1CF1B2CD"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w:t>
            </w:r>
          </w:p>
        </w:tc>
        <w:tc>
          <w:tcPr>
            <w:tcW w:w="1177" w:type="dxa"/>
          </w:tcPr>
          <w:p w14:paraId="7F65139F"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w:t>
            </w:r>
          </w:p>
        </w:tc>
        <w:tc>
          <w:tcPr>
            <w:tcW w:w="1187" w:type="dxa"/>
          </w:tcPr>
          <w:p w14:paraId="63AEC0F5"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w:t>
            </w:r>
          </w:p>
        </w:tc>
      </w:tr>
      <w:tr w:rsidR="007B106F" w:rsidRPr="006A1EC7" w14:paraId="5DA53E83"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Pr>
          <w:p w14:paraId="615AAAEE" w14:textId="77777777" w:rsidR="007B106F" w:rsidRPr="006A1EC7" w:rsidRDefault="007B106F" w:rsidP="003176B3">
            <w:pPr>
              <w:rPr>
                <w:sz w:val="18"/>
                <w:szCs w:val="18"/>
              </w:rPr>
            </w:pPr>
            <w:r w:rsidRPr="006A1EC7">
              <w:rPr>
                <w:color w:val="000000" w:themeColor="text1"/>
                <w:sz w:val="18"/>
                <w:szCs w:val="18"/>
              </w:rPr>
              <w:t>The instrument is efficient to use in clinical practice</w:t>
            </w:r>
          </w:p>
        </w:tc>
        <w:tc>
          <w:tcPr>
            <w:tcW w:w="1097" w:type="dxa"/>
          </w:tcPr>
          <w:p w14:paraId="6E5C5489"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w:t>
            </w:r>
          </w:p>
        </w:tc>
        <w:tc>
          <w:tcPr>
            <w:tcW w:w="1119" w:type="dxa"/>
          </w:tcPr>
          <w:p w14:paraId="6723F112"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w:t>
            </w:r>
          </w:p>
        </w:tc>
        <w:tc>
          <w:tcPr>
            <w:tcW w:w="1984" w:type="dxa"/>
          </w:tcPr>
          <w:p w14:paraId="68E42F8E"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w:t>
            </w:r>
          </w:p>
        </w:tc>
        <w:tc>
          <w:tcPr>
            <w:tcW w:w="1177" w:type="dxa"/>
          </w:tcPr>
          <w:p w14:paraId="150149A2"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w:t>
            </w:r>
          </w:p>
        </w:tc>
        <w:tc>
          <w:tcPr>
            <w:tcW w:w="1187" w:type="dxa"/>
          </w:tcPr>
          <w:p w14:paraId="6D7286AB"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w:t>
            </w:r>
          </w:p>
        </w:tc>
      </w:tr>
      <w:tr w:rsidR="007B106F" w:rsidRPr="006A1EC7" w14:paraId="223FB071" w14:textId="77777777" w:rsidTr="007B106F">
        <w:tc>
          <w:tcPr>
            <w:cnfStyle w:val="001000000000" w:firstRow="0" w:lastRow="0" w:firstColumn="1" w:lastColumn="0" w:oddVBand="0" w:evenVBand="0" w:oddHBand="0" w:evenHBand="0" w:firstRowFirstColumn="0" w:firstRowLastColumn="0" w:lastRowFirstColumn="0" w:lastRowLastColumn="0"/>
            <w:tcW w:w="4496" w:type="dxa"/>
          </w:tcPr>
          <w:p w14:paraId="275C131D" w14:textId="77777777" w:rsidR="007B106F" w:rsidRPr="006A1EC7" w:rsidRDefault="007B106F" w:rsidP="003176B3">
            <w:pPr>
              <w:rPr>
                <w:sz w:val="18"/>
                <w:szCs w:val="18"/>
              </w:rPr>
            </w:pPr>
            <w:r w:rsidRPr="006A1EC7">
              <w:rPr>
                <w:color w:val="000000" w:themeColor="text1"/>
                <w:sz w:val="18"/>
                <w:szCs w:val="18"/>
              </w:rPr>
              <w:t>The instrument addresses all the important aspects of my patients’ conditions</w:t>
            </w:r>
          </w:p>
        </w:tc>
        <w:tc>
          <w:tcPr>
            <w:tcW w:w="1097" w:type="dxa"/>
          </w:tcPr>
          <w:p w14:paraId="12560C1D"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w:t>
            </w:r>
          </w:p>
        </w:tc>
        <w:tc>
          <w:tcPr>
            <w:tcW w:w="1119" w:type="dxa"/>
          </w:tcPr>
          <w:p w14:paraId="0A1B8071"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7</w:t>
            </w:r>
          </w:p>
        </w:tc>
        <w:tc>
          <w:tcPr>
            <w:tcW w:w="1984" w:type="dxa"/>
          </w:tcPr>
          <w:p w14:paraId="5C1B229A"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w:t>
            </w:r>
          </w:p>
        </w:tc>
        <w:tc>
          <w:tcPr>
            <w:tcW w:w="1177" w:type="dxa"/>
          </w:tcPr>
          <w:p w14:paraId="180B4697"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w:t>
            </w:r>
          </w:p>
        </w:tc>
        <w:tc>
          <w:tcPr>
            <w:tcW w:w="1187" w:type="dxa"/>
          </w:tcPr>
          <w:p w14:paraId="039FBDC4"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w:t>
            </w:r>
          </w:p>
        </w:tc>
      </w:tr>
      <w:tr w:rsidR="007B106F" w:rsidRPr="006A1EC7" w14:paraId="01E37F71"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Pr>
          <w:p w14:paraId="0060A749" w14:textId="77777777" w:rsidR="007B106F" w:rsidRPr="006A1EC7" w:rsidRDefault="007B106F" w:rsidP="003176B3">
            <w:pPr>
              <w:rPr>
                <w:sz w:val="18"/>
                <w:szCs w:val="18"/>
              </w:rPr>
            </w:pPr>
            <w:r w:rsidRPr="006A1EC7">
              <w:rPr>
                <w:color w:val="000000" w:themeColor="text1"/>
                <w:sz w:val="18"/>
                <w:szCs w:val="18"/>
              </w:rPr>
              <w:t>The instrument helps patients to make the best decisions for themselves</w:t>
            </w:r>
          </w:p>
        </w:tc>
        <w:tc>
          <w:tcPr>
            <w:tcW w:w="1097" w:type="dxa"/>
          </w:tcPr>
          <w:p w14:paraId="16FE52E5"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w:t>
            </w:r>
          </w:p>
        </w:tc>
        <w:tc>
          <w:tcPr>
            <w:tcW w:w="1119" w:type="dxa"/>
          </w:tcPr>
          <w:p w14:paraId="35BED796"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5</w:t>
            </w:r>
          </w:p>
        </w:tc>
        <w:tc>
          <w:tcPr>
            <w:tcW w:w="1984" w:type="dxa"/>
          </w:tcPr>
          <w:p w14:paraId="756166C5"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w:t>
            </w:r>
          </w:p>
        </w:tc>
        <w:tc>
          <w:tcPr>
            <w:tcW w:w="1177" w:type="dxa"/>
          </w:tcPr>
          <w:p w14:paraId="34B07859"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w:t>
            </w:r>
          </w:p>
        </w:tc>
        <w:tc>
          <w:tcPr>
            <w:tcW w:w="1187" w:type="dxa"/>
          </w:tcPr>
          <w:p w14:paraId="7105ADA5"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p>
        </w:tc>
      </w:tr>
      <w:tr w:rsidR="007B106F" w:rsidRPr="006A1EC7" w14:paraId="114B49F4" w14:textId="77777777" w:rsidTr="007B106F">
        <w:tc>
          <w:tcPr>
            <w:cnfStyle w:val="001000000000" w:firstRow="0" w:lastRow="0" w:firstColumn="1" w:lastColumn="0" w:oddVBand="0" w:evenVBand="0" w:oddHBand="0" w:evenHBand="0" w:firstRowFirstColumn="0" w:firstRowLastColumn="0" w:lastRowFirstColumn="0" w:lastRowLastColumn="0"/>
            <w:tcW w:w="4496" w:type="dxa"/>
          </w:tcPr>
          <w:p w14:paraId="0F9CC621" w14:textId="77777777" w:rsidR="007B106F" w:rsidRPr="006A1EC7" w:rsidRDefault="007B106F" w:rsidP="003176B3">
            <w:pPr>
              <w:rPr>
                <w:sz w:val="18"/>
                <w:szCs w:val="18"/>
              </w:rPr>
            </w:pPr>
            <w:r w:rsidRPr="006A1EC7">
              <w:rPr>
                <w:color w:val="000000" w:themeColor="text1"/>
                <w:sz w:val="18"/>
                <w:szCs w:val="18"/>
              </w:rPr>
              <w:t>The instrument is too long</w:t>
            </w:r>
          </w:p>
        </w:tc>
        <w:tc>
          <w:tcPr>
            <w:tcW w:w="1097" w:type="dxa"/>
          </w:tcPr>
          <w:p w14:paraId="0C699CB0"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w:t>
            </w:r>
          </w:p>
        </w:tc>
        <w:tc>
          <w:tcPr>
            <w:tcW w:w="1119" w:type="dxa"/>
          </w:tcPr>
          <w:p w14:paraId="4AACB4FF"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w:t>
            </w:r>
          </w:p>
        </w:tc>
        <w:tc>
          <w:tcPr>
            <w:tcW w:w="1984" w:type="dxa"/>
          </w:tcPr>
          <w:p w14:paraId="5EA88928"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w:t>
            </w:r>
          </w:p>
        </w:tc>
        <w:tc>
          <w:tcPr>
            <w:tcW w:w="1177" w:type="dxa"/>
          </w:tcPr>
          <w:p w14:paraId="02A29A4D"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w:t>
            </w:r>
          </w:p>
        </w:tc>
        <w:tc>
          <w:tcPr>
            <w:tcW w:w="1187" w:type="dxa"/>
          </w:tcPr>
          <w:p w14:paraId="33063C7D"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w:t>
            </w:r>
          </w:p>
        </w:tc>
      </w:tr>
      <w:tr w:rsidR="007B106F" w:rsidRPr="006A1EC7" w14:paraId="403FADE1"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Pr>
          <w:p w14:paraId="1060C526" w14:textId="77777777" w:rsidR="007B106F" w:rsidRPr="006A1EC7" w:rsidRDefault="007B106F" w:rsidP="003176B3">
            <w:pPr>
              <w:rPr>
                <w:sz w:val="18"/>
                <w:szCs w:val="18"/>
              </w:rPr>
            </w:pPr>
            <w:r w:rsidRPr="006A1EC7">
              <w:rPr>
                <w:color w:val="000000" w:themeColor="text1"/>
                <w:sz w:val="18"/>
                <w:szCs w:val="18"/>
              </w:rPr>
              <w:t>The instrument is difficult for my patients to use</w:t>
            </w:r>
          </w:p>
        </w:tc>
        <w:tc>
          <w:tcPr>
            <w:tcW w:w="1097" w:type="dxa"/>
          </w:tcPr>
          <w:p w14:paraId="6B77FC6C"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w:t>
            </w:r>
          </w:p>
        </w:tc>
        <w:tc>
          <w:tcPr>
            <w:tcW w:w="1119" w:type="dxa"/>
          </w:tcPr>
          <w:p w14:paraId="751BAF38"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w:t>
            </w:r>
          </w:p>
        </w:tc>
        <w:tc>
          <w:tcPr>
            <w:tcW w:w="1984" w:type="dxa"/>
          </w:tcPr>
          <w:p w14:paraId="421DFE71"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w:t>
            </w:r>
          </w:p>
        </w:tc>
        <w:tc>
          <w:tcPr>
            <w:tcW w:w="1177" w:type="dxa"/>
          </w:tcPr>
          <w:p w14:paraId="13B6FBB6"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w:t>
            </w:r>
          </w:p>
        </w:tc>
        <w:tc>
          <w:tcPr>
            <w:tcW w:w="1187" w:type="dxa"/>
          </w:tcPr>
          <w:p w14:paraId="6DE3339B"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w:t>
            </w:r>
          </w:p>
        </w:tc>
      </w:tr>
      <w:tr w:rsidR="007B106F" w:rsidRPr="006A1EC7" w14:paraId="34B890A8" w14:textId="77777777" w:rsidTr="007B106F">
        <w:tc>
          <w:tcPr>
            <w:cnfStyle w:val="001000000000" w:firstRow="0" w:lastRow="0" w:firstColumn="1" w:lastColumn="0" w:oddVBand="0" w:evenVBand="0" w:oddHBand="0" w:evenHBand="0" w:firstRowFirstColumn="0" w:firstRowLastColumn="0" w:lastRowFirstColumn="0" w:lastRowLastColumn="0"/>
            <w:tcW w:w="4496" w:type="dxa"/>
          </w:tcPr>
          <w:p w14:paraId="65FE7238" w14:textId="77777777" w:rsidR="007B106F" w:rsidRPr="006A1EC7" w:rsidRDefault="007B106F" w:rsidP="003176B3">
            <w:pPr>
              <w:rPr>
                <w:sz w:val="18"/>
                <w:szCs w:val="18"/>
              </w:rPr>
            </w:pPr>
            <w:r w:rsidRPr="006A1EC7">
              <w:rPr>
                <w:color w:val="000000" w:themeColor="text1"/>
                <w:sz w:val="18"/>
                <w:szCs w:val="18"/>
              </w:rPr>
              <w:t>Data collected using the instrument are difficult to use in clinical practice</w:t>
            </w:r>
          </w:p>
        </w:tc>
        <w:tc>
          <w:tcPr>
            <w:tcW w:w="1097" w:type="dxa"/>
          </w:tcPr>
          <w:p w14:paraId="6D70B43E"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w:t>
            </w:r>
          </w:p>
        </w:tc>
        <w:tc>
          <w:tcPr>
            <w:tcW w:w="1119" w:type="dxa"/>
          </w:tcPr>
          <w:p w14:paraId="17BFAFED"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w:t>
            </w:r>
          </w:p>
        </w:tc>
        <w:tc>
          <w:tcPr>
            <w:tcW w:w="1984" w:type="dxa"/>
          </w:tcPr>
          <w:p w14:paraId="2FCCE540"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w:t>
            </w:r>
          </w:p>
        </w:tc>
        <w:tc>
          <w:tcPr>
            <w:tcW w:w="1177" w:type="dxa"/>
          </w:tcPr>
          <w:p w14:paraId="62838D08"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5</w:t>
            </w:r>
          </w:p>
        </w:tc>
        <w:tc>
          <w:tcPr>
            <w:tcW w:w="1187" w:type="dxa"/>
          </w:tcPr>
          <w:p w14:paraId="6BC6625E" w14:textId="77777777" w:rsidR="007B106F" w:rsidRPr="006A1EC7" w:rsidRDefault="007B106F" w:rsidP="003176B3">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w:t>
            </w:r>
          </w:p>
        </w:tc>
      </w:tr>
      <w:tr w:rsidR="007B106F" w:rsidRPr="006A1EC7" w14:paraId="3B9BB051" w14:textId="77777777" w:rsidTr="007B1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Pr>
          <w:p w14:paraId="27925513" w14:textId="77777777" w:rsidR="007B106F" w:rsidRPr="006A1EC7" w:rsidRDefault="007B106F" w:rsidP="003176B3">
            <w:pPr>
              <w:rPr>
                <w:sz w:val="18"/>
                <w:szCs w:val="18"/>
              </w:rPr>
            </w:pPr>
            <w:r w:rsidRPr="006A1EC7">
              <w:rPr>
                <w:color w:val="000000" w:themeColor="text1"/>
                <w:sz w:val="18"/>
                <w:szCs w:val="18"/>
              </w:rPr>
              <w:t>The overall resources and costs involved in using the instrument are too great</w:t>
            </w:r>
          </w:p>
        </w:tc>
        <w:tc>
          <w:tcPr>
            <w:tcW w:w="1097" w:type="dxa"/>
          </w:tcPr>
          <w:p w14:paraId="33D67DCA"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w:t>
            </w:r>
          </w:p>
        </w:tc>
        <w:tc>
          <w:tcPr>
            <w:tcW w:w="1119" w:type="dxa"/>
          </w:tcPr>
          <w:p w14:paraId="46A47796"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w:t>
            </w:r>
          </w:p>
        </w:tc>
        <w:tc>
          <w:tcPr>
            <w:tcW w:w="1984" w:type="dxa"/>
          </w:tcPr>
          <w:p w14:paraId="2E8CA117"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w:t>
            </w:r>
          </w:p>
        </w:tc>
        <w:tc>
          <w:tcPr>
            <w:tcW w:w="1177" w:type="dxa"/>
          </w:tcPr>
          <w:p w14:paraId="640CC2E6"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w:t>
            </w:r>
          </w:p>
        </w:tc>
        <w:tc>
          <w:tcPr>
            <w:tcW w:w="1187" w:type="dxa"/>
          </w:tcPr>
          <w:p w14:paraId="589DDFB3" w14:textId="77777777" w:rsidR="007B106F" w:rsidRPr="006A1EC7" w:rsidRDefault="007B106F" w:rsidP="003176B3">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w:t>
            </w:r>
          </w:p>
        </w:tc>
      </w:tr>
    </w:tbl>
    <w:p w14:paraId="25BE15DB" w14:textId="77777777" w:rsidR="007B106F" w:rsidRPr="006A1EC7" w:rsidRDefault="007B106F" w:rsidP="007B106F"/>
    <w:p w14:paraId="08592A3C" w14:textId="77777777" w:rsidR="007B106F" w:rsidRPr="006A1EC7" w:rsidRDefault="007B106F" w:rsidP="007B106F">
      <w:pPr>
        <w:sectPr w:rsidR="007B106F" w:rsidRPr="006A1EC7" w:rsidSect="00744A8E">
          <w:pgSz w:w="11900" w:h="16840"/>
          <w:pgMar w:top="1440" w:right="1701" w:bottom="1440" w:left="1701" w:header="720" w:footer="720" w:gutter="0"/>
          <w:cols w:space="720"/>
          <w:docGrid w:linePitch="360"/>
        </w:sectPr>
      </w:pPr>
    </w:p>
    <w:p w14:paraId="21983127" w14:textId="06A40425" w:rsidR="007B106F" w:rsidRPr="006A1EC7" w:rsidRDefault="007B106F" w:rsidP="007B106F">
      <w:pPr>
        <w:pStyle w:val="Heading3"/>
        <w:rPr>
          <w:rFonts w:ascii="Times New Roman" w:hAnsi="Times New Roman" w:cs="Times New Roman"/>
        </w:rPr>
      </w:pPr>
      <w:r w:rsidRPr="006A1EC7">
        <w:rPr>
          <w:rFonts w:ascii="Times New Roman" w:hAnsi="Times New Roman" w:cs="Times New Roman"/>
        </w:rPr>
        <w:lastRenderedPageBreak/>
        <w:t>Qualitative comments</w:t>
      </w:r>
    </w:p>
    <w:p w14:paraId="264E12DE" w14:textId="77777777" w:rsidR="00686B64" w:rsidRPr="006A1EC7" w:rsidRDefault="00686B64" w:rsidP="00686B64">
      <w:pPr>
        <w:spacing w:line="360" w:lineRule="auto"/>
        <w:ind w:firstLine="720"/>
      </w:pPr>
    </w:p>
    <w:p w14:paraId="434F42B6" w14:textId="772DE049" w:rsidR="007B106F" w:rsidRPr="006A1EC7" w:rsidRDefault="007B106F" w:rsidP="00744A8E">
      <w:pPr>
        <w:spacing w:line="360" w:lineRule="auto"/>
        <w:ind w:firstLine="720"/>
      </w:pPr>
      <w:r w:rsidRPr="006A1EC7">
        <w:t xml:space="preserve">In this part of the questionnaire, clinicians were invited to make recommendations for changes and improvements to the COA by answering three questions (“Do you have any comments or suggestions to make about the instrument or the report that the instrument provides?”, “Do you feel that any important areas, issues, symptoms or conditions were missed out?“ &amp; “Do you have any comments or suggestions to make about the instrument?”). Not all clinicians gave answers to all questions. Answers were analysed using Content Analysis, and five themes were identified. These were General comments, Length, Things to add, Things to change and Recommendations for future research. Graphic 16 gives an overview of these themes. </w:t>
      </w:r>
      <w:r w:rsidRPr="006A1EC7">
        <w:br/>
      </w:r>
    </w:p>
    <w:p w14:paraId="71D78557" w14:textId="3BD4B847" w:rsidR="007B106F" w:rsidRPr="006A1EC7" w:rsidRDefault="007B106F" w:rsidP="00CB3F3B">
      <w:pPr>
        <w:pStyle w:val="Heading3"/>
        <w:rPr>
          <w:rFonts w:ascii="Times New Roman" w:hAnsi="Times New Roman" w:cs="Times New Roman"/>
        </w:rPr>
      </w:pPr>
      <w:bookmarkStart w:id="217" w:name="_Toc39270373"/>
      <w:bookmarkStart w:id="218" w:name="_Toc39270715"/>
      <w:bookmarkStart w:id="219" w:name="_Toc40173072"/>
      <w:r w:rsidRPr="006A1EC7">
        <w:rPr>
          <w:rFonts w:ascii="Times New Roman" w:hAnsi="Times New Roman" w:cs="Times New Roman"/>
        </w:rPr>
        <w:t xml:space="preserve">Graphic </w:t>
      </w:r>
      <w:r w:rsidR="00881375" w:rsidRPr="006A1EC7">
        <w:rPr>
          <w:rFonts w:ascii="Times New Roman" w:hAnsi="Times New Roman" w:cs="Times New Roman"/>
        </w:rPr>
        <w:fldChar w:fldCharType="begin"/>
      </w:r>
      <w:r w:rsidR="00881375" w:rsidRPr="006A1EC7">
        <w:rPr>
          <w:rFonts w:ascii="Times New Roman" w:hAnsi="Times New Roman" w:cs="Times New Roman"/>
        </w:rPr>
        <w:instrText xml:space="preserve"> SEQ Graphic \* ARABIC </w:instrText>
      </w:r>
      <w:r w:rsidR="00881375" w:rsidRPr="006A1EC7">
        <w:rPr>
          <w:rFonts w:ascii="Times New Roman" w:hAnsi="Times New Roman" w:cs="Times New Roman"/>
        </w:rPr>
        <w:fldChar w:fldCharType="separate"/>
      </w:r>
      <w:r w:rsidR="001C21FC" w:rsidRPr="006A1EC7">
        <w:rPr>
          <w:rFonts w:ascii="Times New Roman" w:hAnsi="Times New Roman" w:cs="Times New Roman"/>
        </w:rPr>
        <w:t>16</w:t>
      </w:r>
      <w:r w:rsidR="00881375" w:rsidRPr="006A1EC7">
        <w:rPr>
          <w:rFonts w:ascii="Times New Roman" w:hAnsi="Times New Roman" w:cs="Times New Roman"/>
        </w:rPr>
        <w:fldChar w:fldCharType="end"/>
      </w:r>
      <w:r w:rsidRPr="006A1EC7">
        <w:rPr>
          <w:rFonts w:ascii="Times New Roman" w:hAnsi="Times New Roman" w:cs="Times New Roman"/>
        </w:rPr>
        <w:t>: Graphic representation of themes</w:t>
      </w:r>
      <w:bookmarkEnd w:id="217"/>
      <w:bookmarkEnd w:id="218"/>
      <w:bookmarkEnd w:id="219"/>
    </w:p>
    <w:p w14:paraId="26731891" w14:textId="5D3FB3F7" w:rsidR="003677C2" w:rsidRPr="006A1EC7" w:rsidRDefault="007B106F" w:rsidP="008B1FBF">
      <w:pPr>
        <w:spacing w:line="276" w:lineRule="auto"/>
      </w:pPr>
      <w:r w:rsidRPr="006A1EC7">
        <w:rPr>
          <w:noProof/>
          <w:lang w:eastAsia="en-GB"/>
        </w:rPr>
        <w:drawing>
          <wp:inline distT="0" distB="0" distL="0" distR="0" wp14:anchorId="1B3BAD27" wp14:editId="5B6E61B8">
            <wp:extent cx="3863182" cy="2513714"/>
            <wp:effectExtent l="0" t="0" r="0" b="1270"/>
            <wp:docPr id="36" name="Picture 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76920" cy="2522653"/>
                    </a:xfrm>
                    <a:prstGeom prst="rect">
                      <a:avLst/>
                    </a:prstGeom>
                  </pic:spPr>
                </pic:pic>
              </a:graphicData>
            </a:graphic>
          </wp:inline>
        </w:drawing>
      </w:r>
    </w:p>
    <w:p w14:paraId="1B9DA1A4" w14:textId="77777777" w:rsidR="007B106F" w:rsidRPr="006A1EC7" w:rsidRDefault="007B106F" w:rsidP="007B106F">
      <w:pPr>
        <w:pStyle w:val="NoSpacing"/>
      </w:pPr>
    </w:p>
    <w:p w14:paraId="094ECE53" w14:textId="77777777" w:rsidR="007B106F" w:rsidRPr="006A1EC7" w:rsidRDefault="007B106F" w:rsidP="007B106F">
      <w:pPr>
        <w:pStyle w:val="Heading5"/>
        <w:spacing w:line="360" w:lineRule="auto"/>
        <w:rPr>
          <w:rFonts w:ascii="Times New Roman" w:hAnsi="Times New Roman" w:cs="Times New Roman"/>
        </w:rPr>
      </w:pPr>
      <w:r w:rsidRPr="006A1EC7">
        <w:rPr>
          <w:rFonts w:ascii="Times New Roman" w:hAnsi="Times New Roman" w:cs="Times New Roman"/>
        </w:rPr>
        <w:t>General comments</w:t>
      </w:r>
    </w:p>
    <w:p w14:paraId="2F4DED0B" w14:textId="77777777" w:rsidR="007B106F" w:rsidRPr="006A1EC7" w:rsidRDefault="007B106F" w:rsidP="007B106F">
      <w:pPr>
        <w:spacing w:line="360" w:lineRule="auto"/>
        <w:ind w:firstLine="720"/>
      </w:pPr>
      <w:r w:rsidRPr="006A1EC7">
        <w:t>Overall, comments were positive and constructive. One participant remarked that “</w:t>
      </w:r>
      <w:r w:rsidRPr="006A1EC7">
        <w:rPr>
          <w:i/>
        </w:rPr>
        <w:t>Overall, I think this is an excellent instrument for assessing WHS patients and does a good job at getting at the medical problems and features that these patients have in a straightforward fashion.”</w:t>
      </w:r>
      <w:r w:rsidRPr="006A1EC7">
        <w:t xml:space="preserve"> (C1). </w:t>
      </w:r>
    </w:p>
    <w:p w14:paraId="5B8B7CE3" w14:textId="77777777" w:rsidR="007B106F" w:rsidRPr="006A1EC7" w:rsidRDefault="007B106F" w:rsidP="007B106F">
      <w:pPr>
        <w:spacing w:line="360" w:lineRule="auto"/>
        <w:ind w:firstLine="720"/>
      </w:pPr>
      <w:r w:rsidRPr="006A1EC7">
        <w:t>One qualitative comment (“</w:t>
      </w:r>
      <w:r w:rsidRPr="006A1EC7">
        <w:rPr>
          <w:i/>
        </w:rPr>
        <w:t xml:space="preserve">What is purpose &amp; who is intended to complete (clinician or family)?”, </w:t>
      </w:r>
      <w:r w:rsidRPr="006A1EC7">
        <w:t xml:space="preserve">Participant C7) to the question “Do you have any comments or suggestions to make about the instrument” warrants discussion. The initial email sent to the participants and the information page (first page of the Qualtrics online study) emphasised that the clinician would be rating a patient; however, due to time constraints on clinicians, it is possible that </w:t>
      </w:r>
      <w:r w:rsidRPr="006A1EC7">
        <w:lastRenderedPageBreak/>
        <w:t>this was over-looked or skim read and therefore participation of Participant C7 was not fully informed. Taking this forward, an extra paragraph will be added to the first page of the Clinical Outcome Assessment to clearly explain the purpose and intended administration method (i.e. health care professional/clinician).</w:t>
      </w:r>
    </w:p>
    <w:p w14:paraId="1142EBA8" w14:textId="77777777" w:rsidR="007B106F" w:rsidRPr="006A1EC7" w:rsidRDefault="007B106F" w:rsidP="007B106F">
      <w:pPr>
        <w:spacing w:line="360" w:lineRule="auto"/>
      </w:pPr>
    </w:p>
    <w:p w14:paraId="4F5741AE" w14:textId="77777777" w:rsidR="007B106F" w:rsidRPr="006A1EC7" w:rsidRDefault="007B106F" w:rsidP="007B106F">
      <w:pPr>
        <w:pStyle w:val="Heading5"/>
        <w:spacing w:line="360" w:lineRule="auto"/>
        <w:rPr>
          <w:rFonts w:ascii="Times New Roman" w:hAnsi="Times New Roman" w:cs="Times New Roman"/>
        </w:rPr>
      </w:pPr>
      <w:r w:rsidRPr="006A1EC7">
        <w:rPr>
          <w:rFonts w:ascii="Times New Roman" w:hAnsi="Times New Roman" w:cs="Times New Roman"/>
        </w:rPr>
        <w:t xml:space="preserve">Length </w:t>
      </w:r>
    </w:p>
    <w:p w14:paraId="617F8C25" w14:textId="678FC0C2" w:rsidR="007B106F" w:rsidRPr="006A1EC7" w:rsidRDefault="007B106F" w:rsidP="007B106F">
      <w:pPr>
        <w:spacing w:line="360" w:lineRule="auto"/>
        <w:ind w:firstLine="720"/>
      </w:pPr>
      <w:r w:rsidRPr="006A1EC7">
        <w:t>Two participants commented on the length of the COA (C2, C3); their worries were that the COA was too long and potentially difficult to complete in a clinic setting. However, no HCP made any comments what could reduce the length of the COA or suggested that any items were not necessary for a comprehensive assessment of WHS; instead, adding multiple items were suggested.</w:t>
      </w:r>
    </w:p>
    <w:p w14:paraId="753062C5" w14:textId="77777777" w:rsidR="007B106F" w:rsidRPr="006A1EC7" w:rsidRDefault="007B106F" w:rsidP="007B106F">
      <w:pPr>
        <w:spacing w:line="360" w:lineRule="auto"/>
      </w:pPr>
    </w:p>
    <w:p w14:paraId="5C4A1F05" w14:textId="77777777" w:rsidR="007B106F" w:rsidRPr="006A1EC7" w:rsidRDefault="007B106F" w:rsidP="007B106F">
      <w:pPr>
        <w:pStyle w:val="Heading5"/>
        <w:spacing w:line="360" w:lineRule="auto"/>
        <w:rPr>
          <w:rFonts w:ascii="Times New Roman" w:hAnsi="Times New Roman" w:cs="Times New Roman"/>
        </w:rPr>
      </w:pPr>
      <w:r w:rsidRPr="006A1EC7">
        <w:rPr>
          <w:rFonts w:ascii="Times New Roman" w:hAnsi="Times New Roman" w:cs="Times New Roman"/>
        </w:rPr>
        <w:t>Things to change</w:t>
      </w:r>
    </w:p>
    <w:p w14:paraId="2294DB9C" w14:textId="77777777" w:rsidR="007B106F" w:rsidRPr="006A1EC7" w:rsidRDefault="007B106F" w:rsidP="007B106F">
      <w:pPr>
        <w:spacing w:line="360" w:lineRule="auto"/>
        <w:ind w:firstLine="720"/>
        <w:rPr>
          <w:i/>
        </w:rPr>
      </w:pPr>
      <w:r w:rsidRPr="006A1EC7">
        <w:t>C3 remarked that some questions may be difficult to answer and recommended adding a ‘not applicable’ or ‘not appropriate’ answer option to some questions; however, the participant did not specify this further. The clinician further specified why a N/A answer option would be appropriate: “</w:t>
      </w:r>
      <w:r w:rsidRPr="006A1EC7">
        <w:rPr>
          <w:i/>
        </w:rPr>
        <w:t xml:space="preserve">The instrument tries to cover too much ground. Most patients I see with WHS are young babies shortly after diagnosis, so many of the questions would not apply” (C3). </w:t>
      </w:r>
      <w:r w:rsidRPr="006A1EC7">
        <w:t xml:space="preserve">The clinical researcher team (KV, AM) addressed these comments by adding these options to several items. </w:t>
      </w:r>
    </w:p>
    <w:p w14:paraId="43B9AC84" w14:textId="10E2C5F2" w:rsidR="007B106F" w:rsidRPr="006A1EC7" w:rsidRDefault="007B106F" w:rsidP="007B106F">
      <w:pPr>
        <w:spacing w:line="360" w:lineRule="auto"/>
        <w:ind w:firstLine="720"/>
      </w:pPr>
      <w:r w:rsidRPr="006A1EC7">
        <w:t xml:space="preserve">Participant C1 pointed out two discrepancies for language use between the United Kingdom and the United States: firstly, it was remarked that “U.S. providers may not be as familiar with the term “talipes” and “may code it wrong”. To address this, the question wording was changed to talipes/clubfoot. Furthermore, C1 raised issues around the use of “frequent infections” and suggested re-naming the categories: </w:t>
      </w:r>
    </w:p>
    <w:p w14:paraId="451C0A50" w14:textId="77777777" w:rsidR="007B106F" w:rsidRPr="006A1EC7" w:rsidRDefault="007B106F" w:rsidP="007B106F">
      <w:pPr>
        <w:spacing w:line="360" w:lineRule="auto"/>
        <w:ind w:firstLine="720"/>
      </w:pPr>
    </w:p>
    <w:p w14:paraId="5FC4680B" w14:textId="77777777" w:rsidR="007B106F" w:rsidRPr="006A1EC7" w:rsidRDefault="007B106F" w:rsidP="007B106F">
      <w:pPr>
        <w:ind w:left="720"/>
      </w:pPr>
      <w:r w:rsidRPr="006A1EC7">
        <w:rPr>
          <w:i/>
        </w:rPr>
        <w:t xml:space="preserve">“The three options included are: “frequent infections (more than 5/year)” for 5 points, “infrequent infections (3/year excluding the common cold)” for 3 points and “neither frequent nor infrequent infections” for 0 points. I think there is a U.S. language usage issue here. In the U.S, “infrequent” is often used as a synonym for “rare” – i.e. hardly ever happens. “Neither frequent nor infrequent” would be considered intermediate between frequent and infrequent – moderately frequent. It’s clear by the numerical scoring that the instrument means “neither frequent nor infrequent” to mean fewer illnesses than infrequent. Unfortunately, this phrasing is likely to confuse U.S. audiences. If I were trying to get U.S. colleagues to use this instrument, I would call the categories “frequent infections (more than 5/year </w:t>
      </w:r>
      <w:r w:rsidRPr="006A1EC7">
        <w:rPr>
          <w:i/>
        </w:rPr>
        <w:lastRenderedPageBreak/>
        <w:t>excluding the common cold)”, “infrequent infections (3-5/year excluding the common cold)” and “rare infections (&lt;3/year excluding the common cold”</w:t>
      </w:r>
      <w:r w:rsidRPr="006A1EC7">
        <w:t xml:space="preserve"> (C1).</w:t>
      </w:r>
    </w:p>
    <w:p w14:paraId="0CD844B1" w14:textId="77777777" w:rsidR="007B106F" w:rsidRPr="006A1EC7" w:rsidRDefault="007B106F" w:rsidP="007B106F">
      <w:pPr>
        <w:spacing w:line="360" w:lineRule="auto"/>
      </w:pPr>
    </w:p>
    <w:p w14:paraId="5FCFF3D8" w14:textId="77777777" w:rsidR="007B106F" w:rsidRPr="006A1EC7" w:rsidRDefault="007B106F" w:rsidP="00744A8E">
      <w:pPr>
        <w:spacing w:line="360" w:lineRule="auto"/>
        <w:ind w:firstLine="720"/>
      </w:pPr>
      <w:r w:rsidRPr="006A1EC7">
        <w:t xml:space="preserve">The wording was changed in accordance with these comments. </w:t>
      </w:r>
    </w:p>
    <w:p w14:paraId="648C9AB6" w14:textId="77777777" w:rsidR="007B106F" w:rsidRPr="006A1EC7" w:rsidRDefault="007B106F" w:rsidP="007B106F">
      <w:pPr>
        <w:spacing w:line="360" w:lineRule="auto"/>
      </w:pPr>
    </w:p>
    <w:p w14:paraId="5883F621" w14:textId="500B0DFE" w:rsidR="007B106F" w:rsidRPr="006A1EC7" w:rsidRDefault="007B106F" w:rsidP="00744A8E">
      <w:pPr>
        <w:spacing w:line="360" w:lineRule="auto"/>
        <w:rPr>
          <w:u w:val="single"/>
        </w:rPr>
      </w:pPr>
      <w:r w:rsidRPr="006A1EC7">
        <w:tab/>
        <w:t>Two spelling mistakes/typing errors were identified by C5; these were on Item F5 scoring 4 for highest point instead of 3 and Item9D “form” not “fom”. Participant C5 also suggested using the terminology brain ‘abnormalities’ rather than ‘disease’ and to specific investigations, such as “MRI/CAT scan”. These changes were made.</w:t>
      </w:r>
    </w:p>
    <w:p w14:paraId="598640E7" w14:textId="02D20E90" w:rsidR="007B106F" w:rsidRPr="006A1EC7" w:rsidRDefault="007B106F" w:rsidP="007B106F">
      <w:pPr>
        <w:spacing w:line="360" w:lineRule="auto"/>
        <w:ind w:firstLine="720"/>
      </w:pPr>
      <w:r w:rsidRPr="006A1EC7">
        <w:t>There was some discussion around the section on “facial dysmorphism”: While one person suggested reducing the answer possibilities from four options to 2 (“only have dysmorphic versus non-dysmorphic as answer possibilities for 1”, C3); others disagreed with reducing the options further. In fact, the current facial dysmorphism section was criticised by three raters as “too vague” (C8), the rating “very subjective” (C1, C7) and having low clinical utility (C1). Both participant C1 and C7 suggest “a list of key distinctive features of WHS” (C1) or a “checklist” (C7) whereby absence or presence of a feature can be indicated. Taking the</w:t>
      </w:r>
      <w:r w:rsidR="00B5139F" w:rsidRPr="006A1EC7">
        <w:t>se</w:t>
      </w:r>
      <w:r w:rsidRPr="006A1EC7">
        <w:t xml:space="preserve"> suggestions together, the following list was compiled and items added to the COA in response, these items represented the first domain on the COA.</w:t>
      </w:r>
      <w:r w:rsidRPr="006A1EC7">
        <w:br/>
      </w:r>
    </w:p>
    <w:p w14:paraId="0E74D3DC" w14:textId="77777777" w:rsidR="007B106F" w:rsidRPr="006A1EC7" w:rsidRDefault="007B106F" w:rsidP="007B106F">
      <w:pPr>
        <w:spacing w:line="360" w:lineRule="auto"/>
      </w:pPr>
      <w:r w:rsidRPr="006A1EC7">
        <w:t>1. broad, prominent nasal bridge (absent/present) (C1)</w:t>
      </w:r>
    </w:p>
    <w:p w14:paraId="32F04EA7" w14:textId="77777777" w:rsidR="007B106F" w:rsidRPr="006A1EC7" w:rsidRDefault="007B106F" w:rsidP="007B106F">
      <w:pPr>
        <w:spacing w:line="360" w:lineRule="auto"/>
      </w:pPr>
      <w:r w:rsidRPr="006A1EC7">
        <w:t>2. prominent glabella (absent/present) (C1)</w:t>
      </w:r>
    </w:p>
    <w:p w14:paraId="48062B31" w14:textId="77777777" w:rsidR="007B106F" w:rsidRPr="006A1EC7" w:rsidRDefault="007B106F" w:rsidP="007B106F">
      <w:pPr>
        <w:spacing w:line="360" w:lineRule="auto"/>
      </w:pPr>
      <w:r w:rsidRPr="006A1EC7">
        <w:t>3. highly arched eyebrows (absent/present) (C1)</w:t>
      </w:r>
    </w:p>
    <w:p w14:paraId="2FB3DE6E" w14:textId="4F85691A" w:rsidR="007B106F" w:rsidRPr="006A1EC7" w:rsidRDefault="007B106F" w:rsidP="007B106F">
      <w:pPr>
        <w:spacing w:line="360" w:lineRule="auto"/>
      </w:pPr>
      <w:r w:rsidRPr="006A1EC7">
        <w:t xml:space="preserve">4. prominent, </w:t>
      </w:r>
      <w:r w:rsidR="00B5139F" w:rsidRPr="006A1EC7">
        <w:t>widely spaced</w:t>
      </w:r>
      <w:r w:rsidRPr="006A1EC7">
        <w:t xml:space="preserve"> eyes (hypertelorism) (absent/present) (C1, C7)</w:t>
      </w:r>
    </w:p>
    <w:p w14:paraId="2268DD75" w14:textId="77777777" w:rsidR="007B106F" w:rsidRPr="006A1EC7" w:rsidRDefault="007B106F" w:rsidP="007B106F">
      <w:pPr>
        <w:spacing w:line="360" w:lineRule="auto"/>
      </w:pPr>
      <w:r w:rsidRPr="006A1EC7">
        <w:t>5. short philtrum (absent/present) (C1)</w:t>
      </w:r>
    </w:p>
    <w:p w14:paraId="2C048D86" w14:textId="77777777" w:rsidR="007B106F" w:rsidRPr="006A1EC7" w:rsidRDefault="007B106F" w:rsidP="007B106F">
      <w:pPr>
        <w:spacing w:line="360" w:lineRule="auto"/>
      </w:pPr>
      <w:r w:rsidRPr="006A1EC7">
        <w:t>6. downturned corners of the mouth (absent/present) (C1)</w:t>
      </w:r>
    </w:p>
    <w:p w14:paraId="45B6141D" w14:textId="77777777" w:rsidR="007B106F" w:rsidRPr="006A1EC7" w:rsidRDefault="007B106F" w:rsidP="007B106F">
      <w:pPr>
        <w:spacing w:line="360" w:lineRule="auto"/>
      </w:pPr>
      <w:r w:rsidRPr="006A1EC7">
        <w:t>7. Greek warrior helmet appearance(absent/present) (C7)</w:t>
      </w:r>
    </w:p>
    <w:p w14:paraId="752E6C7B" w14:textId="77777777" w:rsidR="007B106F" w:rsidRPr="006A1EC7" w:rsidRDefault="007B106F" w:rsidP="007B106F">
      <w:pPr>
        <w:spacing w:line="360" w:lineRule="auto"/>
      </w:pPr>
      <w:r w:rsidRPr="006A1EC7">
        <w:t>8. Microcephaly (absent/present) (C7)</w:t>
      </w:r>
    </w:p>
    <w:p w14:paraId="1104A39F" w14:textId="77777777" w:rsidR="007B106F" w:rsidRPr="006A1EC7" w:rsidRDefault="007B106F" w:rsidP="007B106F">
      <w:pPr>
        <w:spacing w:line="360" w:lineRule="auto"/>
      </w:pPr>
      <w:r w:rsidRPr="006A1EC7">
        <w:t>9. High hairline (absent/present) (C7)</w:t>
      </w:r>
    </w:p>
    <w:p w14:paraId="7A05C4D4" w14:textId="77777777" w:rsidR="007B106F" w:rsidRPr="006A1EC7" w:rsidRDefault="007B106F" w:rsidP="007B106F">
      <w:pPr>
        <w:spacing w:line="360" w:lineRule="auto"/>
      </w:pPr>
      <w:r w:rsidRPr="006A1EC7">
        <w:t>10. Cleft lip (absent/present), if present, height of clefting: (C7)</w:t>
      </w:r>
    </w:p>
    <w:p w14:paraId="4A5CF073" w14:textId="77777777" w:rsidR="007B106F" w:rsidRPr="006A1EC7" w:rsidRDefault="007B106F" w:rsidP="007B106F">
      <w:pPr>
        <w:spacing w:line="360" w:lineRule="auto"/>
      </w:pPr>
      <w:r w:rsidRPr="006A1EC7">
        <w:t>11. Cleft palate (C7), if present, height of clefting: (C7)</w:t>
      </w:r>
    </w:p>
    <w:p w14:paraId="6A815A4B" w14:textId="77777777" w:rsidR="007B106F" w:rsidRPr="006A1EC7" w:rsidRDefault="007B106F" w:rsidP="007B106F">
      <w:pPr>
        <w:spacing w:line="360" w:lineRule="auto"/>
      </w:pPr>
    </w:p>
    <w:p w14:paraId="7F71EC5F" w14:textId="3307DEF8" w:rsidR="007B106F" w:rsidRPr="006A1EC7" w:rsidRDefault="007B106F" w:rsidP="007B106F">
      <w:pPr>
        <w:spacing w:line="360" w:lineRule="auto"/>
        <w:ind w:firstLine="720"/>
      </w:pPr>
      <w:r w:rsidRPr="006A1EC7">
        <w:t>One participant (C8) remarked that “</w:t>
      </w:r>
      <w:r w:rsidRPr="006A1EC7">
        <w:rPr>
          <w:i/>
        </w:rPr>
        <w:t>subjects are very inattentive, have a severe ADHD phenotype</w:t>
      </w:r>
      <w:r w:rsidRPr="006A1EC7">
        <w:t xml:space="preserve">”; however, it was not clear where the participant was suggesting adding a </w:t>
      </w:r>
      <w:r w:rsidRPr="006A1EC7">
        <w:lastRenderedPageBreak/>
        <w:t xml:space="preserve">question about this in the COA. </w:t>
      </w:r>
      <w:r w:rsidR="00B5139F" w:rsidRPr="006A1EC7">
        <w:t>As</w:t>
      </w:r>
      <w:r w:rsidRPr="006A1EC7">
        <w:t xml:space="preserve"> no other clinician commented on this, the author team believe that Items/Sections already capture this aspect of WHS.</w:t>
      </w:r>
    </w:p>
    <w:p w14:paraId="508605C0" w14:textId="77777777" w:rsidR="007B106F" w:rsidRPr="006A1EC7" w:rsidRDefault="007B106F" w:rsidP="007B106F">
      <w:pPr>
        <w:spacing w:line="360" w:lineRule="auto"/>
      </w:pPr>
    </w:p>
    <w:p w14:paraId="40977FBA" w14:textId="77777777" w:rsidR="007B106F" w:rsidRPr="006A1EC7" w:rsidRDefault="007B106F" w:rsidP="007B106F">
      <w:pPr>
        <w:pStyle w:val="Heading5"/>
        <w:spacing w:line="360" w:lineRule="auto"/>
        <w:rPr>
          <w:rFonts w:ascii="Times New Roman" w:hAnsi="Times New Roman" w:cs="Times New Roman"/>
        </w:rPr>
      </w:pPr>
      <w:r w:rsidRPr="006A1EC7">
        <w:rPr>
          <w:rFonts w:ascii="Times New Roman" w:hAnsi="Times New Roman" w:cs="Times New Roman"/>
        </w:rPr>
        <w:t>Things to add</w:t>
      </w:r>
    </w:p>
    <w:p w14:paraId="3AAEAC55" w14:textId="77777777" w:rsidR="00B5139F" w:rsidRPr="006A1EC7" w:rsidRDefault="007B106F" w:rsidP="007B106F">
      <w:pPr>
        <w:spacing w:line="360" w:lineRule="auto"/>
        <w:ind w:firstLine="720"/>
      </w:pPr>
      <w:r w:rsidRPr="006A1EC7">
        <w:t xml:space="preserve">It was recommended to add further items to the cover page with demographic details, these were age, born at gestational week, size and extent of 4p deletion, presence of any other genetic re-arrangement/translocation (C9) and the occipitofrontal circumference (OFC) (C5). </w:t>
      </w:r>
      <w:r w:rsidR="00B5139F" w:rsidRPr="006A1EC7">
        <w:t xml:space="preserve">This was added. </w:t>
      </w:r>
    </w:p>
    <w:p w14:paraId="08D0565A" w14:textId="3B8D66D4" w:rsidR="00B5139F" w:rsidRPr="006A1EC7" w:rsidRDefault="007B106F" w:rsidP="007B106F">
      <w:pPr>
        <w:spacing w:line="360" w:lineRule="auto"/>
        <w:ind w:firstLine="720"/>
      </w:pPr>
      <w:r w:rsidRPr="006A1EC7">
        <w:t xml:space="preserve">C1 requested a “free-answer section where I could fill in the specific brain anomaly (if known) similar to what is included in the renal section”; this was added in response. Two clinicians suggested adding a section asking whether the patient has ever had status epilepticus (C1; C5); but that “the rest captures everything clinician would want to know in a consultation” (C5). </w:t>
      </w:r>
      <w:r w:rsidR="00B5139F" w:rsidRPr="006A1EC7">
        <w:t>This was added.</w:t>
      </w:r>
    </w:p>
    <w:p w14:paraId="19100E97" w14:textId="6A742CD3" w:rsidR="00B5139F" w:rsidRPr="006A1EC7" w:rsidRDefault="007B106F" w:rsidP="007B106F">
      <w:pPr>
        <w:spacing w:line="360" w:lineRule="auto"/>
        <w:ind w:firstLine="720"/>
      </w:pPr>
      <w:r w:rsidRPr="006A1EC7">
        <w:t xml:space="preserve">C9 suggested asking for “the exact structural defect of the eye” and about any tumours or malignancies, in particular liver adenomas. </w:t>
      </w:r>
      <w:r w:rsidR="00B5139F" w:rsidRPr="006A1EC7">
        <w:t>This was added.</w:t>
      </w:r>
    </w:p>
    <w:p w14:paraId="593F3274" w14:textId="77777777" w:rsidR="00B5139F" w:rsidRPr="006A1EC7" w:rsidRDefault="007B106F" w:rsidP="00B5139F">
      <w:pPr>
        <w:spacing w:line="360" w:lineRule="auto"/>
        <w:ind w:firstLine="720"/>
      </w:pPr>
      <w:r w:rsidRPr="006A1EC7">
        <w:t xml:space="preserve">Participant C7 suggested adding a question regarding skin findings. Therefore, an item about skin-findings was added. </w:t>
      </w:r>
    </w:p>
    <w:p w14:paraId="5213FC58" w14:textId="740177B1" w:rsidR="007B106F" w:rsidRPr="006A1EC7" w:rsidRDefault="007B106F" w:rsidP="00744A8E">
      <w:pPr>
        <w:spacing w:line="360" w:lineRule="auto"/>
        <w:ind w:firstLine="720"/>
      </w:pPr>
      <w:r w:rsidRPr="006A1EC7">
        <w:t xml:space="preserve">Participant C7 suggested asking questions about pre- and postnatal growth and when developmental milestones, such as being able “to roll over (back to front, front to back), sit without support, cruise, walk, first words,”, were reached. In addition, this participant also suggested asking about the level of engagement with support services, such as physiotherapy services. </w:t>
      </w:r>
      <w:r w:rsidR="00B5139F" w:rsidRPr="006A1EC7">
        <w:t>After discussion, this</w:t>
      </w:r>
      <w:r w:rsidRPr="006A1EC7">
        <w:t xml:space="preserve"> was seen as exceeding the remit of this COA</w:t>
      </w:r>
      <w:r w:rsidR="00B5139F" w:rsidRPr="006A1EC7">
        <w:t>; however, these aspects could be noted in the free-text section on the last page of the COA.</w:t>
      </w:r>
    </w:p>
    <w:p w14:paraId="63C4AF82" w14:textId="77777777" w:rsidR="007B106F" w:rsidRPr="006A1EC7" w:rsidRDefault="007B106F" w:rsidP="007B106F">
      <w:pPr>
        <w:spacing w:line="360" w:lineRule="auto"/>
      </w:pPr>
    </w:p>
    <w:p w14:paraId="0B8DEB84" w14:textId="77777777" w:rsidR="007B106F" w:rsidRPr="006A1EC7" w:rsidRDefault="007B106F" w:rsidP="007B106F">
      <w:pPr>
        <w:pStyle w:val="Heading5"/>
        <w:spacing w:line="360" w:lineRule="auto"/>
        <w:rPr>
          <w:rFonts w:ascii="Times New Roman" w:hAnsi="Times New Roman" w:cs="Times New Roman"/>
        </w:rPr>
      </w:pPr>
      <w:r w:rsidRPr="006A1EC7">
        <w:rPr>
          <w:rFonts w:ascii="Times New Roman" w:hAnsi="Times New Roman" w:cs="Times New Roman"/>
        </w:rPr>
        <w:t>Recommendations for future research</w:t>
      </w:r>
    </w:p>
    <w:p w14:paraId="5E90DFE6" w14:textId="453C9368" w:rsidR="007B106F" w:rsidRPr="006A1EC7" w:rsidRDefault="007B106F" w:rsidP="007B106F">
      <w:pPr>
        <w:spacing w:line="360" w:lineRule="auto"/>
        <w:ind w:firstLine="720"/>
      </w:pPr>
      <w:r w:rsidRPr="006A1EC7">
        <w:t>One participant (C9) made the recommendation to, in the future, develop a 4p-specific quality of life instrument that can be filled out by a parent of a child/adults with WHS. Participant C3 suggested developing an electronic resource as a “family version that a family could fill out prior to appointments/on an iPad while waiting/as part of research studies”; but that to get to this point</w:t>
      </w:r>
      <w:r w:rsidR="00B5139F" w:rsidRPr="006A1EC7">
        <w:t>,</w:t>
      </w:r>
      <w:r w:rsidRPr="006A1EC7">
        <w:t xml:space="preserve"> the medical jargon must be reduced. </w:t>
      </w:r>
      <w:r w:rsidRPr="006A1EC7">
        <w:br/>
      </w:r>
    </w:p>
    <w:p w14:paraId="3FEFD652" w14:textId="77777777" w:rsidR="00B5139F" w:rsidRPr="006A1EC7" w:rsidRDefault="00B5139F" w:rsidP="00D06D0D">
      <w:pPr>
        <w:spacing w:line="360" w:lineRule="auto"/>
      </w:pPr>
    </w:p>
    <w:p w14:paraId="435C01E7" w14:textId="1029B43B" w:rsidR="00B5139F" w:rsidRPr="006A1EC7" w:rsidRDefault="007B106F" w:rsidP="00D06D0D">
      <w:pPr>
        <w:pStyle w:val="Heading2"/>
        <w:rPr>
          <w:rFonts w:ascii="Times New Roman" w:hAnsi="Times New Roman" w:cs="Times New Roman"/>
        </w:rPr>
      </w:pPr>
      <w:bookmarkStart w:id="220" w:name="_Toc17977933"/>
      <w:bookmarkStart w:id="221" w:name="_Toc23522733"/>
      <w:bookmarkStart w:id="222" w:name="_Toc38821454"/>
      <w:bookmarkStart w:id="223" w:name="_Toc40173008"/>
      <w:r w:rsidRPr="006A1EC7">
        <w:rPr>
          <w:rFonts w:ascii="Times New Roman" w:hAnsi="Times New Roman" w:cs="Times New Roman"/>
        </w:rPr>
        <w:lastRenderedPageBreak/>
        <w:t>Discussion</w:t>
      </w:r>
      <w:bookmarkEnd w:id="220"/>
      <w:bookmarkEnd w:id="221"/>
      <w:bookmarkEnd w:id="222"/>
      <w:bookmarkEnd w:id="223"/>
      <w:r w:rsidRPr="006A1EC7">
        <w:rPr>
          <w:rFonts w:ascii="Times New Roman" w:hAnsi="Times New Roman" w:cs="Times New Roman"/>
        </w:rPr>
        <w:t xml:space="preserve"> </w:t>
      </w:r>
      <w:r w:rsidR="00B5139F" w:rsidRPr="006A1EC7">
        <w:rPr>
          <w:rFonts w:ascii="Times New Roman" w:hAnsi="Times New Roman" w:cs="Times New Roman"/>
        </w:rPr>
        <w:tab/>
      </w:r>
    </w:p>
    <w:p w14:paraId="383643DE" w14:textId="5FB370A4" w:rsidR="00D06D0D" w:rsidRPr="006A1EC7" w:rsidRDefault="007B106F" w:rsidP="00D06D0D">
      <w:pPr>
        <w:spacing w:line="360" w:lineRule="auto"/>
      </w:pPr>
      <w:r w:rsidRPr="006A1EC7">
        <w:t>This online survey study was conducted to document the face and content validity of the instrument and to have the suitability, applicability and utility of the COA scrutinised by a group of international experts on WHS. Overall, comments received were constructive and a number of valuable changes were made to the instrument.</w:t>
      </w:r>
      <w:r w:rsidR="00B5139F" w:rsidRPr="006A1EC7">
        <w:tab/>
      </w:r>
    </w:p>
    <w:p w14:paraId="046587F4" w14:textId="01F52B5C" w:rsidR="00B5139F" w:rsidRPr="006A1EC7" w:rsidRDefault="007B106F" w:rsidP="00D06D0D">
      <w:pPr>
        <w:spacing w:line="360" w:lineRule="auto"/>
        <w:ind w:firstLine="360"/>
      </w:pPr>
      <w:r w:rsidRPr="006A1EC7">
        <w:t xml:space="preserve">A distinct strength of the current study is the international spread of participants; especially participants from different English-speaking countries, which were the United Kingdom, United States of America, Australia and New Zealand. This spread of participant locations and country of practice has helped not just to evaluate COA content but also the use, acceptability and appropriateness of language in the COA. Discrepancies in the meaning of words between the UK and especially the US are common in the field of health (assessment); for example in the UK the word ‘sick’ is typically used to indicate feelings of nausea while in the US, it is used as a synonym for ‘ill’ </w:t>
      </w:r>
      <w:r w:rsidRPr="006A1EC7">
        <w:fldChar w:fldCharType="begin" w:fldLock="1"/>
      </w:r>
      <w:r w:rsidR="00AD67F5"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Applications","type":"book"},"locator":"139","uris":["http://www.mendeley.com/documents/?uuid=0316ab82-7ed3-4f19-b5e0-edf860dc28e5"]}],"mendeley":{"formattedCitation":"(DeVellis, 2017, p. 139)","manualFormatting":"(DeVellis, 2017)","plainTextFormattedCitation":"(DeVellis, 2017, p. 139)","previouslyFormattedCitation":"(DeVellis, 2017, p. 139)"},"properties":{"noteIndex":0},"schema":"https://github.com/citation-style-language/schema/raw/master/csl-citation.json"}</w:instrText>
      </w:r>
      <w:r w:rsidRPr="006A1EC7">
        <w:fldChar w:fldCharType="separate"/>
      </w:r>
      <w:r w:rsidRPr="006A1EC7">
        <w:rPr>
          <w:noProof/>
        </w:rPr>
        <w:t>(DeVellis, 2017)</w:t>
      </w:r>
      <w:r w:rsidRPr="006A1EC7">
        <w:fldChar w:fldCharType="end"/>
      </w:r>
      <w:r w:rsidRPr="006A1EC7">
        <w:t xml:space="preserve">. While English-language discrepancies were perhaps less obvious compared to the sick-ill example, one US participant did nonetheless point out a number of issues around understanding and utility for speakers of American-English (e.g. issues around the use of the words ‘frequent’ and ‘talipes’). </w:t>
      </w:r>
    </w:p>
    <w:p w14:paraId="16BA0A73" w14:textId="77777777" w:rsidR="007C5C30" w:rsidRPr="006A1EC7" w:rsidRDefault="007B106F" w:rsidP="00B5139F">
      <w:pPr>
        <w:spacing w:line="360" w:lineRule="auto"/>
        <w:ind w:firstLine="360"/>
      </w:pPr>
      <w:r w:rsidRPr="006A1EC7">
        <w:t>Therefore, having participants from different English -speaking countries can help ensure that the COA’s language is appropriate for the majority of English-speaking countries, and thus more valid as well as meaningful. Unfortunately, no participant from Canada was recruited, however, due to close proximity to the US, it is hoped that Canadian clinicians will be able to find the COA useful and applicable in the same manner as other countries.</w:t>
      </w:r>
    </w:p>
    <w:p w14:paraId="2B1B21B9" w14:textId="358D0B7D" w:rsidR="007C5C30" w:rsidRPr="006A1EC7" w:rsidRDefault="007B106F" w:rsidP="007C5C30">
      <w:pPr>
        <w:spacing w:line="360" w:lineRule="auto"/>
        <w:ind w:firstLine="360"/>
      </w:pPr>
      <w:r w:rsidRPr="006A1EC7">
        <w:t>The expert participants suggested the extension of the facial dysmorphism section into the well-described individual factors, such as “Greek warrior helmet appearance” or “wide nasal bridge”. The COA was changed in accordance with this as it was felt that this was a good suggestion. Changing and extending this domain/section furthermore makes the assessment of facial features more objective, rather than relying on a subjective binary assessment of ‘dysmorphic’ versus ‘non-dysmorphic’. Having a range of items within this section may also be useful in assessing the degree of dysmorphism, rather than absence versus presence of dysmorphic features.</w:t>
      </w:r>
    </w:p>
    <w:p w14:paraId="6269B18C" w14:textId="17765310" w:rsidR="007C5C30" w:rsidRPr="006A1EC7" w:rsidRDefault="007B106F" w:rsidP="007C5C30">
      <w:pPr>
        <w:spacing w:line="360" w:lineRule="auto"/>
        <w:ind w:firstLine="360"/>
      </w:pPr>
      <w:r w:rsidRPr="006A1EC7">
        <w:t xml:space="preserve">Items that were suggested to be added include a question on Dermatology, which was previously excluded due to it being a negative subtheme. Due to this occurring in both the interview study and the expert study, an item on dermatological findings was added. An item on tumours and malignancies was also added; this had not been discussed in the interviews. </w:t>
      </w:r>
    </w:p>
    <w:p w14:paraId="143A4A53" w14:textId="315D3DF7" w:rsidR="00D06D0D" w:rsidRPr="006A1EC7" w:rsidRDefault="007B106F" w:rsidP="00D06D0D">
      <w:pPr>
        <w:spacing w:line="360" w:lineRule="auto"/>
      </w:pPr>
      <w:r w:rsidRPr="006A1EC7">
        <w:lastRenderedPageBreak/>
        <w:t xml:space="preserve">The length of the COA was also commented on by the participants; while results from the QI-10 indicated that participants found it neither too long nor too short, some qualitative comments were made about it being too long. However, no recommendations for shortening or reducing the number of items were made; instead, recommendations for additions, and extensions (i.e. facial features) were made. It is widely recognised that shorter scales are preferred in clinic and research environments, as longer administration may increase burden on staff as well as patient; especially when administered alongside other scales </w:t>
      </w:r>
      <w:r w:rsidRPr="006A1EC7">
        <w:fldChar w:fldCharType="begin" w:fldLock="1"/>
      </w:r>
      <w:r w:rsidRPr="006A1EC7">
        <w:instrText>ADDIN CSL_CITATION {"citationItems":[{"id":"ITEM-1","itemData":{"DOI":"10.1186/1477-7525-1-27","ISSN":"14777525","abstract":"Background: Although health-related quality of life (HRQOL) instruments may offer satisfactory results, their length often limits the extent to which they are actually applied in clinical practice. Efforts to develop short questionnaires have largely focused on reducing existing instruments. The approaches most frequently employed for this purpose rely on statistical procedures that are considered exponents of Classical Test Theory (CTT). Despite the popularity of CTT, two major conceptual limitations have been pointed out: the lack of an explicit ordered continuum of items that represent a unidimensional construct, and the lack of additivity of rating scale data. In contrast to the CTT approach, the Rasch model provides an alternative scaling methodology that enables the examination of the hierarchical structure, unidimensionality and additivity of HRQOL measures. Methods: In order to empirically compare CTT and Rasch Analysis (RA) results, this paper presents the parallel reduction of a 38-item questionnaire, the Nottingham Health Profile (NHP), through the analysis of the responses of a sample of 9,419 individuals. Results: CTT resulted in 20 items (4 dimensions) whereas RA in 22 items (2 dimensions). Both instruments showed similar characteristics under CTT requirements: item-total correlation ranged 0.45-0.75 for NHP20 and 0.46-0.68 for NHP22, while reliability ranged 0.82-0.93 and 0.87-94 respectively. Conclusions: Despite the differences in content, NHP20 and NHP22 convergent scores also showed high degrees of association (0.78-0.95). Although the unidimensional view of health of the NHP20 and NHP22 composite scores was also confirmed by RA, NHP20 dimensions failed to meet the goodness-of fit criteria established by the Rasch model, precluding the interval-level of measurement of its scores. © 2003 Prieto et al; licensee BioMed Central Ltd.","author":[{"dropping-particle":"","family":"Prieto","given":"Luis","non-dropping-particle":"","parse-names":false,"suffix":""},{"dropping-particle":"","family":"Alonso","given":"Jordi","non-dropping-particle":"","parse-names":false,"suffix":""},{"dropping-particle":"","family":"Lamarca","given":"Rosa","non-dropping-particle":"","parse-names":false,"suffix":""}],"container-title":"Health and Quality of Life Outcomes","id":"ITEM-1","issued":{"date-parts":[["2003"]]},"page":"1-13","title":"Classical test theory versus Rasch analysis for quality of life questionnaire reduction","type":"article-journal","volume":"1"},"uris":["http://www.mendeley.com/documents/?uuid=d6403304-7b82-4344-a1a0-80cd823069d9"]}],"mendeley":{"formattedCitation":"(Prieto, Alonso, &amp; Lamarca, 2003)","plainTextFormattedCitation":"(Prieto, Alonso, &amp; Lamarca, 2003)","previouslyFormattedCitation":"(Prieto, Alonso, &amp; Lamarca, 2003)"},"properties":{"noteIndex":0},"schema":"https://github.com/citation-style-language/schema/raw/master/csl-citation.json"}</w:instrText>
      </w:r>
      <w:r w:rsidRPr="006A1EC7">
        <w:fldChar w:fldCharType="separate"/>
      </w:r>
      <w:r w:rsidRPr="006A1EC7">
        <w:rPr>
          <w:noProof/>
        </w:rPr>
        <w:t>(Prieto, Alonso, &amp; Lamarca, 2003)</w:t>
      </w:r>
      <w:r w:rsidRPr="006A1EC7">
        <w:fldChar w:fldCharType="end"/>
      </w:r>
      <w:r w:rsidRPr="006A1EC7">
        <w:t>. WHS is a heterogeneous illness and not all patients will present with all clinical features, which is why the logic flow of the COA was developed to help guide assessments and avoid redundant/ inappropriate items being administered. Furthermore, due to the comprehensive nature of the COA, it is unlikely that other questionnaires or scales would be needed to assess features of WHS. The logic flow as well as the comprehensive nature of the COA should therefore work in favour of the instrument’s length</w:t>
      </w:r>
      <w:r w:rsidR="007C5C30" w:rsidRPr="006A1EC7">
        <w:t>.</w:t>
      </w:r>
    </w:p>
    <w:p w14:paraId="4C9D97E8" w14:textId="3660105A" w:rsidR="001C353B" w:rsidRPr="006A1EC7" w:rsidRDefault="00D06D0D" w:rsidP="001C353B">
      <w:pPr>
        <w:spacing w:line="360" w:lineRule="auto"/>
        <w:ind w:firstLine="720"/>
        <w:rPr>
          <w:color w:val="000000" w:themeColor="text1"/>
        </w:rPr>
      </w:pPr>
      <w:r w:rsidRPr="006A1EC7">
        <w:t>Further, t</w:t>
      </w:r>
      <w:r w:rsidR="007B106F" w:rsidRPr="006A1EC7">
        <w:t xml:space="preserve">wo aspects of clinical utility were assessed in this study: the utility to the clinician and the utility for the patient. In terms of its utility for clinicians, mean responses revealed that clinicians would be </w:t>
      </w:r>
      <w:r w:rsidR="007B106F" w:rsidRPr="006A1EC7">
        <w:rPr>
          <w:color w:val="000000" w:themeColor="text1"/>
        </w:rPr>
        <w:t>happy to use this instrument as part of an initial patient assessment.</w:t>
      </w:r>
      <w:r w:rsidRPr="006A1EC7">
        <w:rPr>
          <w:color w:val="000000" w:themeColor="text1"/>
        </w:rPr>
        <w:t xml:space="preserve"> The majority of </w:t>
      </w:r>
      <w:r w:rsidR="007B106F" w:rsidRPr="006A1EC7">
        <w:rPr>
          <w:color w:val="000000" w:themeColor="text1"/>
        </w:rPr>
        <w:t xml:space="preserve">clinicians did </w:t>
      </w:r>
      <w:r w:rsidRPr="006A1EC7">
        <w:rPr>
          <w:color w:val="000000" w:themeColor="text1"/>
        </w:rPr>
        <w:t xml:space="preserve">not </w:t>
      </w:r>
      <w:r w:rsidR="007B106F" w:rsidRPr="006A1EC7">
        <w:rPr>
          <w:color w:val="000000" w:themeColor="text1"/>
        </w:rPr>
        <w:t xml:space="preserve">perceive the COA as difficult to use in their practice, and further perceived the collected data as applicable and useful for their practice (and thus patient care). </w:t>
      </w:r>
      <w:r w:rsidRPr="006A1EC7">
        <w:rPr>
          <w:color w:val="000000" w:themeColor="text1"/>
        </w:rPr>
        <w:t>However, there were some individual differences in the responses (as is reflected in the means and frequencies); and discourse around the intended purpose and clinical utility was also obvious in the qualitative comments. It could be suggested that these participants are highly specialised and experts in the area of WHS; and may therefore perceive the clinical utility of this COA differently (and perhaps as less so) than less-specialised colleagues or colleagues from other professions who do not regularly come into contact with patients with WHS</w:t>
      </w:r>
      <w:r w:rsidR="001C353B" w:rsidRPr="006A1EC7">
        <w:rPr>
          <w:color w:val="000000" w:themeColor="text1"/>
        </w:rPr>
        <w:t xml:space="preserve"> . The respondents are experts on WHS, and thus very familiar with the disease. It could thus also be suggested that the perceived utility of the COA may depend on the exact clinical work conducted by the individual. Furthermore, clinical utility of the COA may also depend on the type of work and assessment being conducted, for example some HCPs may not need to undertake such detailed evaluations of patients as the COA suggests or only need to assess one specific aspect of the patient’s health, and may therefore, not find it as useful.</w:t>
      </w:r>
    </w:p>
    <w:p w14:paraId="10B1DDF2" w14:textId="7F31D65C" w:rsidR="007C5C30" w:rsidRPr="006A1EC7" w:rsidRDefault="007B106F" w:rsidP="00744A8E">
      <w:pPr>
        <w:spacing w:line="360" w:lineRule="auto"/>
        <w:ind w:firstLine="720"/>
      </w:pPr>
      <w:r w:rsidRPr="006A1EC7">
        <w:rPr>
          <w:color w:val="000000" w:themeColor="text1"/>
        </w:rPr>
        <w:t xml:space="preserve">In terms of utility to the patient, results revealed that clinicians were not sure whether the </w:t>
      </w:r>
      <w:r w:rsidRPr="006A1EC7">
        <w:t>instrument would help make patients make the best decision for themselves</w:t>
      </w:r>
      <w:r w:rsidR="00D06D0D" w:rsidRPr="006A1EC7">
        <w:t>. T</w:t>
      </w:r>
      <w:r w:rsidRPr="006A1EC7">
        <w:t xml:space="preserve">his is </w:t>
      </w:r>
      <w:r w:rsidRPr="006A1EC7">
        <w:lastRenderedPageBreak/>
        <w:t xml:space="preserve">unsurprising considering the presence of limited cognitive ability of patients with WHS and the fact that caregivers and medical professionals are responsible for making health-related decisions for patients with WHS. Therefore, </w:t>
      </w:r>
      <w:r w:rsidR="00D06D0D" w:rsidRPr="006A1EC7">
        <w:t>t</w:t>
      </w:r>
      <w:r w:rsidRPr="006A1EC7">
        <w:t>his is not an unexpected result. The inclusion of the item (“T</w:t>
      </w:r>
      <w:r w:rsidRPr="006A1EC7">
        <w:rPr>
          <w:color w:val="000000" w:themeColor="text1"/>
        </w:rPr>
        <w:t>he instrument helps patients to make the best decisions for themselves”)</w:t>
      </w:r>
      <w:r w:rsidRPr="006A1EC7">
        <w:t xml:space="preserve"> in the QI-10 is warranted perhaps for the patients group it was initially developed for (patients with gynaecological conditions); but less useful to patient groups defined by severe cognitive deficits.</w:t>
      </w:r>
    </w:p>
    <w:p w14:paraId="1AE0664B" w14:textId="43197CC0" w:rsidR="007B106F" w:rsidRPr="006A1EC7" w:rsidRDefault="007C5C30" w:rsidP="007C5C30">
      <w:pPr>
        <w:spacing w:line="360" w:lineRule="auto"/>
        <w:ind w:firstLine="720"/>
      </w:pPr>
      <w:r w:rsidRPr="006A1EC7">
        <w:t>In</w:t>
      </w:r>
      <w:r w:rsidR="007B106F" w:rsidRPr="006A1EC7">
        <w:t xml:space="preserve"> the qualitative comments section, it became evident that not all respondents understood the principles of scale development or the rationale behind its development (e.g. “</w:t>
      </w:r>
      <w:r w:rsidR="007B106F" w:rsidRPr="006A1EC7">
        <w:rPr>
          <w:i/>
        </w:rPr>
        <w:t>The instrument tries to cover too much ground:” or “What is purpose &amp; who is intended to complete (clinician or family)?”</w:t>
      </w:r>
      <w:r w:rsidR="007B106F" w:rsidRPr="006A1EC7">
        <w:t>). Participants were told the purpose (assessment of patients with WHS) and intended delivery (clinician-rated) of the scale in both the email invitation to participate and the information sheet (first page of Qualtrics survey), however, the understanding of the rationale behind the study and development of COA was limited. Perhaps, to some degree, a lack of time may be an explanation for this; i.e. participants not having or taking enough time to read the brief or the information sheet; yet consenting to participate under the premise of being able to give full-informed consent. This was also addressed by adding a Section at the beginning of the COA, detailing “Instructions for assessors”.</w:t>
      </w:r>
    </w:p>
    <w:p w14:paraId="2DC0FC07" w14:textId="77777777" w:rsidR="007B106F" w:rsidRPr="006A1EC7" w:rsidRDefault="007B106F" w:rsidP="007B106F">
      <w:pPr>
        <w:spacing w:line="360" w:lineRule="auto"/>
        <w:ind w:firstLine="720"/>
      </w:pPr>
      <w:r w:rsidRPr="006A1EC7">
        <w:t xml:space="preserve">The participants in this study were highly qualified in their subject area, and time pressures on senior doctors are an issue for clinical practice as well as extra activities these HCPs participate in, whether it is their own research or participating in others’ research. Lack of time for extra activities, on top of their own clinical load, may also explain why response rates to the study were relatively low and the return of completed questionnaires took longer than anticipated. Nonetheless, participation and time invested was received with grateful thanks; it has been of great value and helped develop the COA further. </w:t>
      </w:r>
    </w:p>
    <w:p w14:paraId="658B3D10" w14:textId="275F9494" w:rsidR="007B106F" w:rsidRPr="006A1EC7" w:rsidRDefault="007B106F" w:rsidP="00744A8E">
      <w:pPr>
        <w:spacing w:line="360" w:lineRule="auto"/>
        <w:ind w:firstLine="720"/>
      </w:pPr>
      <w:r w:rsidRPr="006A1EC7">
        <w:t>Further limitations of the current study must be discussed. First</w:t>
      </w:r>
      <w:r w:rsidR="00D06D0D" w:rsidRPr="006A1EC7">
        <w:t xml:space="preserve">ly, </w:t>
      </w:r>
      <w:r w:rsidRPr="006A1EC7">
        <w:t xml:space="preserve">these limitations include a potential selection-bias of participants, participants were selected to participate in this study by KV and AM. However, great care was taken to ensure participants had previously worked with WHS and had sufficient expert knowledge of the condition. </w:t>
      </w:r>
    </w:p>
    <w:p w14:paraId="29B275EA" w14:textId="0B09A69A" w:rsidR="007B106F" w:rsidRPr="006A1EC7" w:rsidRDefault="007B106F" w:rsidP="007B106F">
      <w:pPr>
        <w:spacing w:line="360" w:lineRule="auto"/>
        <w:ind w:firstLine="720"/>
      </w:pPr>
      <w:r w:rsidRPr="006A1EC7">
        <w:t>Second</w:t>
      </w:r>
      <w:r w:rsidR="00D06D0D" w:rsidRPr="006A1EC7">
        <w:t>ly</w:t>
      </w:r>
      <w:r w:rsidRPr="006A1EC7">
        <w:t xml:space="preserve">, due to the number of items in the COA and the time required to rate all individual items for relevance to WHS, participants were not asked to complete exercises to calculate the CVI (i.e. rating the relevance of every single item in the scale). A further reason against deciding to ask participants to undertake this exercise was the extreme heterogeneity </w:t>
      </w:r>
      <w:r w:rsidRPr="006A1EC7">
        <w:lastRenderedPageBreak/>
        <w:t xml:space="preserve">patients with WHS present with, and while one (set of) item(s) may be applicable and relevant to one patient, it may not be relevant to the next. This exercise therefore did not seem plausible or suitable for the current study. Furthermore, attrition and participant retainment throughout the QQ-10 was challenging, this was anticipated due to factors, such as (clinical) time pressures. It is likely to suggest that attrition would have been significantly higher had it involved a more elaborate and complex task. Nonetheless, overall, participants made constructive comments and allowed for positive changes to be made to the COA. The results of this study are both an amended Conceptual Framework for </w:t>
      </w:r>
      <w:r w:rsidR="009F0718" w:rsidRPr="006A1EC7">
        <w:t>WHS</w:t>
      </w:r>
      <w:r w:rsidRPr="006A1EC7">
        <w:t xml:space="preserve"> (Graphic 15) and an amended version of the COA (Appendix 6.7). The new version of the COA is now ready to be trialled and validated; which is described and evaluated in </w:t>
      </w:r>
      <w:r w:rsidR="0001579B" w:rsidRPr="006A1EC7">
        <w:t>Chapter 7.</w:t>
      </w:r>
      <w:r w:rsidRPr="006A1EC7">
        <w:t>.</w:t>
      </w:r>
      <w:r w:rsidRPr="006A1EC7">
        <w:br/>
      </w:r>
    </w:p>
    <w:p w14:paraId="3E626973" w14:textId="77777777" w:rsidR="007B106F" w:rsidRPr="006A1EC7" w:rsidRDefault="007B106F" w:rsidP="007B106F"/>
    <w:p w14:paraId="3DF1BCF7" w14:textId="77777777" w:rsidR="00827A95" w:rsidRPr="006A1EC7" w:rsidRDefault="00827A95" w:rsidP="008B1FBF">
      <w:pPr>
        <w:spacing w:line="276" w:lineRule="auto"/>
        <w:sectPr w:rsidR="00827A95" w:rsidRPr="006A1EC7" w:rsidSect="006C7209">
          <w:pgSz w:w="11900" w:h="16840"/>
          <w:pgMar w:top="1440" w:right="1440" w:bottom="1440" w:left="1440" w:header="720" w:footer="720" w:gutter="0"/>
          <w:cols w:space="720"/>
          <w:docGrid w:linePitch="360"/>
        </w:sectPr>
      </w:pPr>
    </w:p>
    <w:p w14:paraId="03398AA6" w14:textId="78260EB4" w:rsidR="007B106F" w:rsidRPr="006A1EC7" w:rsidRDefault="007B106F" w:rsidP="00CB3F3B">
      <w:pPr>
        <w:pStyle w:val="Heading3"/>
        <w:rPr>
          <w:rFonts w:ascii="Times New Roman" w:hAnsi="Times New Roman" w:cs="Times New Roman"/>
        </w:rPr>
      </w:pPr>
      <w:bookmarkStart w:id="224" w:name="_Toc39270374"/>
      <w:bookmarkStart w:id="225" w:name="_Toc39270717"/>
      <w:bookmarkStart w:id="226" w:name="_Toc40173073"/>
      <w:r w:rsidRPr="006A1EC7">
        <w:rPr>
          <w:rFonts w:ascii="Times New Roman" w:hAnsi="Times New Roman" w:cs="Times New Roman"/>
        </w:rPr>
        <w:lastRenderedPageBreak/>
        <w:t xml:space="preserve">Graphic </w:t>
      </w:r>
      <w:r w:rsidR="00881375" w:rsidRPr="006A1EC7">
        <w:rPr>
          <w:rFonts w:ascii="Times New Roman" w:hAnsi="Times New Roman" w:cs="Times New Roman"/>
        </w:rPr>
        <w:fldChar w:fldCharType="begin"/>
      </w:r>
      <w:r w:rsidR="00881375" w:rsidRPr="006A1EC7">
        <w:rPr>
          <w:rFonts w:ascii="Times New Roman" w:hAnsi="Times New Roman" w:cs="Times New Roman"/>
        </w:rPr>
        <w:instrText xml:space="preserve"> SEQ Graphic \* ARABIC </w:instrText>
      </w:r>
      <w:r w:rsidR="00881375" w:rsidRPr="006A1EC7">
        <w:rPr>
          <w:rFonts w:ascii="Times New Roman" w:hAnsi="Times New Roman" w:cs="Times New Roman"/>
        </w:rPr>
        <w:fldChar w:fldCharType="separate"/>
      </w:r>
      <w:r w:rsidR="001C21FC" w:rsidRPr="006A1EC7">
        <w:rPr>
          <w:rFonts w:ascii="Times New Roman" w:hAnsi="Times New Roman" w:cs="Times New Roman"/>
          <w:noProof/>
        </w:rPr>
        <w:t>17</w:t>
      </w:r>
      <w:r w:rsidR="00881375" w:rsidRPr="006A1EC7">
        <w:rPr>
          <w:rFonts w:ascii="Times New Roman" w:hAnsi="Times New Roman" w:cs="Times New Roman"/>
          <w:noProof/>
        </w:rPr>
        <w:fldChar w:fldCharType="end"/>
      </w:r>
      <w:r w:rsidRPr="006A1EC7">
        <w:rPr>
          <w:rFonts w:ascii="Times New Roman" w:hAnsi="Times New Roman" w:cs="Times New Roman"/>
        </w:rPr>
        <w:t xml:space="preserve">: </w:t>
      </w:r>
      <w:r w:rsidR="00827A95" w:rsidRPr="006A1EC7">
        <w:rPr>
          <w:rFonts w:ascii="Times New Roman" w:hAnsi="Times New Roman" w:cs="Times New Roman"/>
        </w:rPr>
        <w:t>Conceptual Framework post expert study</w:t>
      </w:r>
      <w:bookmarkEnd w:id="224"/>
      <w:bookmarkEnd w:id="225"/>
      <w:bookmarkEnd w:id="226"/>
    </w:p>
    <w:p w14:paraId="409E0513" w14:textId="27A35C2E" w:rsidR="00372B50" w:rsidRPr="006A1EC7" w:rsidRDefault="00827A95" w:rsidP="008B1FBF">
      <w:pPr>
        <w:spacing w:line="276" w:lineRule="auto"/>
      </w:pPr>
      <w:r w:rsidRPr="006A1EC7">
        <w:rPr>
          <w:noProof/>
        </w:rPr>
        <w:drawing>
          <wp:inline distT="0" distB="0" distL="0" distR="0" wp14:anchorId="41142634" wp14:editId="578DAE8A">
            <wp:extent cx="6133514" cy="5401164"/>
            <wp:effectExtent l="0" t="0" r="635" b="0"/>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4-28 at 08.59.58.png"/>
                    <pic:cNvPicPr/>
                  </pic:nvPicPr>
                  <pic:blipFill>
                    <a:blip r:embed="rId30">
                      <a:extLst>
                        <a:ext uri="{28A0092B-C50C-407E-A947-70E740481C1C}">
                          <a14:useLocalDpi xmlns:a14="http://schemas.microsoft.com/office/drawing/2010/main" val="0"/>
                        </a:ext>
                      </a:extLst>
                    </a:blip>
                    <a:stretch>
                      <a:fillRect/>
                    </a:stretch>
                  </pic:blipFill>
                  <pic:spPr>
                    <a:xfrm>
                      <a:off x="0" y="0"/>
                      <a:ext cx="6155584" cy="5420599"/>
                    </a:xfrm>
                    <a:prstGeom prst="rect">
                      <a:avLst/>
                    </a:prstGeom>
                  </pic:spPr>
                </pic:pic>
              </a:graphicData>
            </a:graphic>
          </wp:inline>
        </w:drawing>
      </w:r>
    </w:p>
    <w:p w14:paraId="43AC006F" w14:textId="716DB7FA" w:rsidR="00827A95" w:rsidRPr="006A1EC7" w:rsidRDefault="00827A95" w:rsidP="008B1FBF">
      <w:pPr>
        <w:spacing w:line="276" w:lineRule="auto"/>
        <w:sectPr w:rsidR="00827A95" w:rsidRPr="006A1EC7" w:rsidSect="00827A95">
          <w:pgSz w:w="16840" w:h="11900" w:orient="landscape"/>
          <w:pgMar w:top="1440" w:right="1440" w:bottom="1440" w:left="1440" w:header="720" w:footer="720" w:gutter="0"/>
          <w:cols w:space="720"/>
          <w:docGrid w:linePitch="360"/>
        </w:sectPr>
      </w:pPr>
    </w:p>
    <w:p w14:paraId="373B3EB4" w14:textId="77777777" w:rsidR="00F53CB4" w:rsidRPr="006A1EC7" w:rsidRDefault="00F53CB4" w:rsidP="00F53CB4">
      <w:pPr>
        <w:pStyle w:val="Heading1"/>
        <w:rPr>
          <w:rFonts w:ascii="Times New Roman" w:hAnsi="Times New Roman" w:cs="Times New Roman"/>
        </w:rPr>
      </w:pPr>
      <w:bookmarkStart w:id="227" w:name="_Toc23522734"/>
      <w:bookmarkStart w:id="228" w:name="_Toc38821455"/>
      <w:bookmarkStart w:id="229" w:name="_Toc40173009"/>
      <w:r w:rsidRPr="006A1EC7">
        <w:rPr>
          <w:rFonts w:ascii="Times New Roman" w:hAnsi="Times New Roman" w:cs="Times New Roman"/>
        </w:rPr>
        <w:lastRenderedPageBreak/>
        <w:t>Chapter 7: Assessment of Measurement Properties of the Clinical Outcome Assessment (Reliability, Validity)</w:t>
      </w:r>
      <w:bookmarkEnd w:id="229"/>
    </w:p>
    <w:p w14:paraId="76E1442C" w14:textId="77777777" w:rsidR="00F53CB4" w:rsidRPr="006A1EC7" w:rsidRDefault="00F53CB4" w:rsidP="00F53CB4"/>
    <w:p w14:paraId="3B014272" w14:textId="77777777" w:rsidR="00F53CB4" w:rsidRPr="006A1EC7" w:rsidRDefault="00F53CB4" w:rsidP="00F53CB4"/>
    <w:p w14:paraId="3A5EEFFF" w14:textId="77777777" w:rsidR="00F53CB4" w:rsidRPr="006A1EC7" w:rsidRDefault="00F53CB4" w:rsidP="00F53CB4">
      <w:pPr>
        <w:pStyle w:val="Heading2"/>
        <w:rPr>
          <w:rFonts w:ascii="Times New Roman" w:hAnsi="Times New Roman" w:cs="Times New Roman"/>
        </w:rPr>
      </w:pPr>
      <w:bookmarkStart w:id="230" w:name="_Toc40173010"/>
      <w:r w:rsidRPr="006A1EC7">
        <w:rPr>
          <w:rFonts w:ascii="Times New Roman" w:hAnsi="Times New Roman" w:cs="Times New Roman"/>
        </w:rPr>
        <w:t>Introduction</w:t>
      </w:r>
      <w:bookmarkEnd w:id="230"/>
    </w:p>
    <w:p w14:paraId="6729E8A5" w14:textId="77777777" w:rsidR="00F53CB4" w:rsidRPr="006A1EC7" w:rsidRDefault="00F53CB4" w:rsidP="00F53CB4">
      <w:pPr>
        <w:spacing w:line="360" w:lineRule="auto"/>
        <w:ind w:firstLine="720"/>
      </w:pPr>
      <w:r w:rsidRPr="006A1EC7">
        <w:t xml:space="preserve">In keeping with information presented in Chapter 2, the next steps in </w:t>
      </w:r>
    </w:p>
    <w:p w14:paraId="4DCEE811" w14:textId="1541BCA0" w:rsidR="00F53CB4" w:rsidRPr="006A1EC7" w:rsidRDefault="00F53CB4" w:rsidP="00F53CB4">
      <w:pPr>
        <w:spacing w:line="360" w:lineRule="auto"/>
      </w:pPr>
      <w:r w:rsidRPr="006A1EC7">
        <w:t xml:space="preserve">assessing the COA’s measurement properties are investigations of reliability, validity and responsiveness (as well as interpretability) according to the COSMIN framework </w:t>
      </w:r>
      <w:r w:rsidRPr="006A1EC7">
        <w:fldChar w:fldCharType="begin" w:fldLock="1"/>
      </w:r>
      <w:r w:rsidR="00AD67F5" w:rsidRPr="006A1EC7">
        <w:instrText>ADDIN CSL_CITATION {"citationItems":[{"id":"ITEM-1","itemData":{"URL":"https://www.cosmin.nl/","accessed":{"date-parts":[["2019","11","12"]]},"author":[{"dropping-particle":"","family":"COnsensus-based Standards for the selection of health Measurement INstruments","given":"","non-dropping-particle":"","parse-names":false,"suffix":""}],"id":"ITEM-1","issued":{"date-parts":[["2019"]]},"title":"COnsensus-based Standards for the selection of health Measurement INstruments","type":"webpage"},"uris":["http://www.mendeley.com/documents/?uuid=880eeafc-e594-4990-8995-787f41c108f1"]},{"id":"ITEM-2","itemData":{"URL":"https://www.fda.gov/drugs/developmentapprovalprocess/drugdevelopmenttoolsqualificationprogram/ucm284077.htm","accessed":{"date-parts":[["2017","9","11"]]},"author":[{"dropping-particle":"","family":"U.S. Department of Health and Human Services: Food and Drug Administration","given":"","non-dropping-particle":"","parse-names":false,"suffix":""},{"dropping-particle":"","family":"U.S. Food and Drug Administration","given":"","non-dropping-particle":"","parse-names":false,"suffix":""}],"id":"ITEM-2","issued":{"date-parts":[["2017"]]},"title":"Clinical Outcome Assessment Qualification Program","type":"webpage"},"uris":["http://www.mendeley.com/documents/?uuid=9766beb7-1ed3-4a03-a387-dfb6c26d6b23"]}],"mendeley":{"formattedCitation":"(COnsensus-based Standards for the selection of health Measurement INstruments, 2019a; U.S. Department of Health and Human Services: Food and Drug Administration &amp; U.S. Food and Drug Administration, 2017)","plainTextFormattedCitation":"(COnsensus-based Standards for the selection of health Measurement INstruments, 2019a; U.S. Department of Health and Human Services: Food and Drug Administration &amp; U.S. Food and Drug Administration, 2017)","previouslyFormattedCitation":"(COnsensus-based Standards for the selection of health Measurement INstruments, 2019; U.S. Department of Health and Human Services: Food and Drug Administration &amp; U.S. Food and Drug Administration, 2017)"},"properties":{"noteIndex":0},"schema":"https://github.com/citation-style-language/schema/raw/master/csl-citation.json"}</w:instrText>
      </w:r>
      <w:r w:rsidRPr="006A1EC7">
        <w:fldChar w:fldCharType="separate"/>
      </w:r>
      <w:r w:rsidR="00AD67F5" w:rsidRPr="006A1EC7">
        <w:rPr>
          <w:noProof/>
        </w:rPr>
        <w:t>(COnsensus-based Standards for the selection of health Measurement INstruments, 2019a; U.S. Department of Health and Human Services: Food and Drug Administration &amp; U.S. Food and Drug Administration, 2017)</w:t>
      </w:r>
      <w:r w:rsidRPr="006A1EC7">
        <w:fldChar w:fldCharType="end"/>
      </w:r>
      <w:r w:rsidRPr="006A1EC7">
        <w:t>.</w:t>
      </w:r>
    </w:p>
    <w:p w14:paraId="15A9C41F" w14:textId="77777777" w:rsidR="00F53CB4" w:rsidRPr="006A1EC7" w:rsidRDefault="00F53CB4" w:rsidP="00F53CB4">
      <w:pPr>
        <w:spacing w:line="360" w:lineRule="auto"/>
        <w:ind w:firstLine="720"/>
      </w:pPr>
      <w:r w:rsidRPr="006A1EC7">
        <w:t xml:space="preserve">At this stage, the COA’s content and face validity have already been established and addressed (Chapter 6). This Chapter (Chapter 7) will focus on the assessment of the scale’s reliability and construct validity. </w:t>
      </w:r>
    </w:p>
    <w:p w14:paraId="2CD59AFA" w14:textId="77777777" w:rsidR="00F53CB4" w:rsidRPr="006A1EC7" w:rsidRDefault="00F53CB4" w:rsidP="00F53CB4">
      <w:pPr>
        <w:spacing w:line="360" w:lineRule="auto"/>
      </w:pPr>
    </w:p>
    <w:p w14:paraId="19A727C3" w14:textId="77777777" w:rsidR="00F53CB4" w:rsidRPr="006A1EC7" w:rsidRDefault="00F53CB4" w:rsidP="00F53CB4">
      <w:pPr>
        <w:pStyle w:val="Caption"/>
        <w:keepNext/>
      </w:pPr>
      <w:bookmarkStart w:id="231" w:name="_Toc39270375"/>
      <w:bookmarkStart w:id="232" w:name="_Toc40173074"/>
      <w:r w:rsidRPr="006A1EC7">
        <w:t xml:space="preserve">Graphic </w:t>
      </w:r>
      <w:fldSimple w:instr=" SEQ Graphic \* ARABIC ">
        <w:r w:rsidRPr="006A1EC7">
          <w:rPr>
            <w:noProof/>
          </w:rPr>
          <w:t>18</w:t>
        </w:r>
      </w:fldSimple>
      <w:r w:rsidRPr="006A1EC7">
        <w:t>: Measurement Properties of Outcome Measurement Instruments (COSMIN initiative)</w:t>
      </w:r>
      <w:bookmarkEnd w:id="231"/>
      <w:bookmarkEnd w:id="232"/>
    </w:p>
    <w:p w14:paraId="3CAD2D7F" w14:textId="77777777" w:rsidR="00F53CB4" w:rsidRPr="006A1EC7" w:rsidRDefault="00F53CB4" w:rsidP="00F53CB4">
      <w:pPr>
        <w:spacing w:line="360" w:lineRule="auto"/>
      </w:pPr>
      <w:r w:rsidRPr="006A1EC7">
        <w:rPr>
          <w:noProof/>
          <w:color w:val="747474"/>
          <w:lang w:eastAsia="en-GB"/>
        </w:rPr>
        <w:drawing>
          <wp:inline distT="0" distB="0" distL="0" distR="0" wp14:anchorId="1667548F" wp14:editId="1523ACFF">
            <wp:extent cx="5396230" cy="3813810"/>
            <wp:effectExtent l="0" t="0" r="0" b="0"/>
            <wp:docPr id="21" name="Picture 21" descr="https://cosmin.nl/wp-content/uploads/COSMIN_taxonomy_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smin.nl/wp-content/uploads/COSMIN_taxonomy_infographi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3813810"/>
                    </a:xfrm>
                    <a:prstGeom prst="rect">
                      <a:avLst/>
                    </a:prstGeom>
                    <a:noFill/>
                    <a:ln>
                      <a:noFill/>
                    </a:ln>
                  </pic:spPr>
                </pic:pic>
              </a:graphicData>
            </a:graphic>
          </wp:inline>
        </w:drawing>
      </w:r>
    </w:p>
    <w:p w14:paraId="5AB729D1" w14:textId="77777777" w:rsidR="00F53CB4" w:rsidRPr="006A1EC7" w:rsidRDefault="00F53CB4" w:rsidP="00F53CB4">
      <w:pPr>
        <w:spacing w:line="360" w:lineRule="auto"/>
      </w:pPr>
    </w:p>
    <w:p w14:paraId="3FCC181C" w14:textId="77777777" w:rsidR="00F53CB4" w:rsidRPr="006A1EC7" w:rsidRDefault="00F53CB4" w:rsidP="00F53CB4">
      <w:pPr>
        <w:pStyle w:val="Heading2"/>
        <w:rPr>
          <w:rFonts w:ascii="Times New Roman" w:hAnsi="Times New Roman" w:cs="Times New Roman"/>
        </w:rPr>
      </w:pPr>
      <w:bookmarkStart w:id="233" w:name="_Toc40173011"/>
      <w:r w:rsidRPr="006A1EC7">
        <w:rPr>
          <w:rFonts w:ascii="Times New Roman" w:hAnsi="Times New Roman" w:cs="Times New Roman"/>
        </w:rPr>
        <w:lastRenderedPageBreak/>
        <w:t>Reliability</w:t>
      </w:r>
      <w:bookmarkEnd w:id="233"/>
    </w:p>
    <w:p w14:paraId="13C5B434" w14:textId="1E2B2FBD" w:rsidR="00F53CB4" w:rsidRPr="006A1EC7" w:rsidRDefault="00F53CB4" w:rsidP="00F53CB4">
      <w:pPr>
        <w:spacing w:line="360" w:lineRule="auto"/>
        <w:ind w:firstLine="720"/>
      </w:pPr>
      <w:r w:rsidRPr="006A1EC7">
        <w:t xml:space="preserve">Assessments of reliability are at the core of evaluating measurement instruments and are typically investigated via the application of psychometric tests </w:t>
      </w:r>
      <w:r w:rsidRPr="006A1EC7">
        <w:fldChar w:fldCharType="begin" w:fldLock="1"/>
      </w:r>
      <w:r w:rsidR="00AD67F5" w:rsidRPr="006A1EC7">
        <w:instrText>ADDIN CSL_CITATION {"citationItems":[{"id":"ITEM-1","itemData":{"DOI":"10.3109/0142159X.2015.1060306","ISSN":"1466187X","abstract":"It is incumbent on medical schools to show, both to regulatory bodies and to the public at large, that their graduating students are \"fit for purpose\" as tomorrows doctors. Since students graduate by virtue of passing assessments, it is vital that schools quality assure their assessment procedures, standards, and outcomes. An important part of this quality assurance process is the appropriate use of psychometric analyses. This begins with development of an empowering, evidence-based culture in which assessment validity can be demonstrated. Preparation prior to an assessment requires the establishment of appropriate rules, test blueprinting and standard setting. When an assessment has been completed, the reporting of test results should consider reliability, assessor, demographic, and long-term analyses across multiple levels, in an integrated way to ensure the information conveyed to all stakeholders is meaningful.","author":[{"dropping-particle":"","family":"Coombes","given":"Lee","non-dropping-particle":"","parse-names":false,"suffix":""},{"dropping-particle":"","family":"Roberts","given":"Martin","non-dropping-particle":"","parse-names":false,"suffix":""},{"dropping-particle":"","family":"Zahra","given":"Daniel","non-dropping-particle":"","parse-names":false,"suffix":""},{"dropping-particle":"","family":"Burr","given":"Steven","non-dropping-particle":"","parse-names":false,"suffix":""}],"container-title":"Medical Teacher","id":"ITEM-1","issue":"3","issued":{"date-parts":[["2016"]]},"page":"250-254","title":"Twelve tips for assessment psychometrics","type":"article-journal","volume":"38"},"uris":["http://www.mendeley.com/documents/?uuid=c71d0edd-dc6c-4941-8866-906d09696362","http://www.mendeley.com/documents/?uuid=7ed4f739-cc21-4a2b-a9d9-7d8292490076"]},{"id":"ITEM-2","itemData":{"DOI":"10.5123/S1679-49742017000300022","ISSN":"22379622","abstract":"Instrumentos de medida desempenham um importante papel na pesquisa, na prática clínica e na avaliação de saúde. Estudos sobre a qualidade desses instrumentos fornecem evidências de como as propriedades de medida foram avaliadas, auxiliando o pesquisador na escolha da melhor ferramenta para utilização. A confiabilidade e a validade são consideradas as principais propriedades de medida de tais instrumentos. Confiabilidade é a capacidade em reproduzir um resultado de forma consistente, no tempo e no espaço. Validade refere-se à propriedade de um instrumento medir exatamente o que se propõe. Neste artigo são apresentados, discutidos e exemplificados os principais critérios e testes estatísticos empregados na avaliação da confiabilidade (estabilidade, consistência interna e equivalência) e validade (conteúdo, critério e construto) de instrumentos. A avaliação das propriedades de medida de instrumentos é útil para subsidiar a seleção de instrumentos válidos e confiáveis, de modo a assegurar a qualidade dos resultados dos estudos.","author":[{"dropping-particle":"de","family":"Souza","given":"Ana Cláudia","non-dropping-particle":"","parse-names":false,"suffix":""},{"dropping-particle":"","family":"Alexandre","given":"Neusa Maria Costa","non-dropping-particle":"","parse-names":false,"suffix":""},{"dropping-particle":"","family":"Guirardello","given":"Edinêis de Brito","non-dropping-particle":"","parse-names":false,"suffix":""}],"container-title":"Epidemiologia e servicos de saude : revista do Sistema Unico de Saude do Brasil","id":"ITEM-2","issue":"3","issued":{"date-parts":[["2017"]]},"page":"649-659","title":"Psychometric properties in instruments evaluation of reliability and validity","type":"article-journal","volume":"26"},"uris":["http://www.mendeley.com/documents/?uuid=0bc154d4-dd9f-437d-9353-a2f1b61d1fd9","http://www.mendeley.com/documents/?uuid=48d13d99-1156-4039-abb0-83e736891462"]},{"id":"ITEM-3","itemData":{"author":[{"dropping-particle":"","family":"Salmond","given":"S","non-dropping-particle":"","parse-names":false,"suffix":""}],"container-title":"Orthopaedic Nursing","id":"ITEM-3","issue":"1","issued":{"date-parts":[["2008"]]},"page":"28-30","title":"Evaluating the Reliability and Validity of Measurement Instruments","type":"article-journal","volume":"27"},"uris":["http://www.mendeley.com/documents/?uuid=12a64fc4-c9d0-4727-a4ca-90f8fcdc6eac","http://www.mendeley.com/documents/?uuid=f10338bf-89a3-41fd-b0eb-000c5643a6f6"]},{"id":"ITEM-4","itemData":{"URL":"https://www.cosmin.nl/","accessed":{"date-parts":[["2019","11","12"]]},"author":[{"dropping-particle":"","family":"COnsensus-based Standards for the selection of health Measurement INstruments","given":"","non-dropping-particle":"","parse-names":false,"suffix":""}],"id":"ITEM-4","issued":{"date-parts":[["2019"]]},"title":"COnsensus-based Standards for the selection of health Measurement INstruments","type":"webpage"},"uris":["http://www.mendeley.com/documents/?uuid=880eeafc-e594-4990-8995-787f41c108f1"]},{"id":"ITEM-5","itemData":{"DOI":"10.1016/j.jval.2015.09.2863","ISSN":"1098-3015","abstract":"An outcome assessment, the patient assessment used in an endpoint, is themeasuring instrument that provides a rating or score (categorical or continuous) that is intended to represent some aspect of the patient’s health status. Outcome assessments are used to define efficacy end- points when developing a therapy for a disease or condition. Most efficacy endpoints are based on specified clinical assessments of patients.When clinical assessments are used as clinical trial outcomes, they are called clinical outcome assessments (COAs). COAs include any assessment that may be influenced by human choices, judgment, or motivation. COAsmust be well-defined and possess adequatemeasure- ment properties to demonstrate (directly or indirectly) the benefits of a treatment. In contrast, a biomarker assessment is one that is subject to little, if any, patient motivational or rater judgmental influence. This is the first of two reports by the ISPOR Clinical Outcomes Assessment – Emerging Good Practices for Outcomes Research Task Force. This report provides foundational definitions important for an understanding of COA measurement principles. The foundation provided in this report includes what it means to demonstrate a beneficial effect, how assess- ments of patients relate to the objective of showing a treatment’s benefit, and how these assessments are used in clinical trial endpoints. In addition, this report describes intrinsic attributes of patient assess- ments and clinical trial factors that can affect the properties of the measurements. These factors should be considered when developing or refining assessments. These considerationswill aid investigators design- ing trials in their choice of using an existing assessment or developing a new outcome assessment. Although the focus of this report is on the development of a new COA to define endpoints in a clinical trial, these principles may be applied more generally. A critical element in apprais- ing or developing a COA is to describe the treatment’sintendedbenefit as an effect on a clearly identified aspect of how a patient feels or functions. This aspect must have importance to the patient and be part of the patient’s typical life. This meaningful health aspect can be measured directly or measured indirectly when it is impractical to evaluate it directly or when it is difficult to measure. For indirect measurement, a concept of interest (COI) can be identified. The COI must be related to how a patient feels or fu…","author":[{"dropping-particle":"","family":"Walton","given":"Marc K","non-dropping-particle":"","parse-names":false,"suffix":""},{"dropping-particle":"","family":"Iii","given":"John H Powers","non-dropping-particle":"","parse-names":false,"suffix":""},{"dropping-particle":"","family":"Hobart","given":"Jeremy","non-dropping-particle":"","parse-names":false,"suffix":""},{"dropping-particle":"","family":"Patrick","given":"Donald","non-dropping-particle":"","parse-names":false,"suffix":""},{"dropping-particle":"","family":"Marquis","given":"Patrick","non-dropping-particle":"","parse-names":false,"suffix":""},{"dropping-particle":"","family":"Vamvakas","given":"Spiros","non-dropping-particle":"","parse-names":false,"suffix":""},{"dropping-particle":"","family":"Isaac","given":"Maria","non-dropping-particle":"","parse-names":false,"suffix":""},{"dropping-particle":"","family":"Molsen","given":"Elizabeth","non-dropping-particle":"","parse-names":false,"suffix":""},{"dropping-particle":"","family":"Cano","given":"Stefan","non-dropping-particle":"","parse-names":false,"suffix":""},{"dropping-particle":"","family":"Burke","given":"Laurie B","non-dropping-particle":"","parse-names":false,"suffix":""}],"container-title":"Value in health","id":"ITEM-5","issued":{"date-parts":[["2015"]]},"page":"741-752","title":"Clinical Outcome Assessments: Conceptual Foundation — Report of the ISPOR Clinical Outcomes Assessment – Emerging Good Practices for Outcomes Research Task Force","type":"article-journal","volume":"18"},"uris":["http://www.mendeley.com/documents/?uuid=c5a0d9fc-1a0e-4762-ae19-7be7a21a8920"]},{"id":"ITEM-6","itemData":{"DOI":"10.1038/nmeth.2839.A","ISBN":"6462654600","ISSN":"1527-5418","PMID":"28299348","author":[{"dropping-particle":"","family":"Powers","given":"J.H.","non-dropping-particle":"","parse-names":false,"suffix":""}],"container-title":"Value in Health","id":"ITEM-6","issue":"1","issued":{"date-parts":[["2017"]]},"page":"139-148","title":"Clinician-reported outcome assessments of treatment benefit","type":"article-journal","volume":"4"},"uris":["http://www.mendeley.com/documents/?uuid=47414342-0910-47e5-ad14-d2dd8c709aec"]}],"mendeley":{"formattedCitation":"(COnsensus-based Standards for the selection of health Measurement INstruments, 2019a; Coombes, Roberts, Zahra, &amp; Burr, 2016; J. H. Powers, 2017; Salmond, 2008; Souza, Alexandre, &amp; Guirardello, 2017; Walton et al., 2015)","manualFormatting":"(COnsensus-based Standards for the selection of health Measurement INstruments, 2019a; Coombes, Roberts, Zahra, &amp; Burr, 2016; Powers, 2017; Salmond, 2008; Souza, Alexandre, &amp; Guirardello, 2017; Walton et al., 2015)","plainTextFormattedCitation":"(COnsensus-based Standards for the selection of health Measurement INstruments, 2019a; Coombes, Roberts, Zahra, &amp; Burr, 2016; J. H. Powers, 2017; Salmond, 2008; Souza, Alexandre, &amp; Guirardello, 2017; Walton et al., 2015)","previouslyFormattedCitation":"(COnsensus-based Standards for the selection of health Measurement INstruments, 2019; Coombes, Roberts, Zahra, &amp; Burr, 2016; Powers, 2017; Salmond, 2008; Souza, Alexandre, &amp; Guirardello, 2017; Walton et al., 2015)"},"properties":{"noteIndex":0},"schema":"https://github.com/citation-style-language/schema/raw/master/csl-citation.json"}</w:instrText>
      </w:r>
      <w:r w:rsidRPr="006A1EC7">
        <w:fldChar w:fldCharType="separate"/>
      </w:r>
      <w:r w:rsidRPr="006A1EC7">
        <w:rPr>
          <w:noProof/>
        </w:rPr>
        <w:t>(COnsensus-based Standards for the selection of health Measurement INstruments, 2019a; Coombes, Roberts, Zahra, &amp; Burr, 2016; Powers, 2017; Salmond, 2008; Souza, Alexandre, &amp; Guirardello, 2017; Walton et al., 2015)</w:t>
      </w:r>
      <w:r w:rsidRPr="006A1EC7">
        <w:fldChar w:fldCharType="end"/>
      </w:r>
      <w:r w:rsidRPr="006A1EC7">
        <w:t xml:space="preserve">. Reliability is important for all cases of scale development; however it is arguably most important in the fields of health care and medicine, as the use and application of unreliable measures can have serious consequences for patient health and care </w:t>
      </w:r>
      <w:r w:rsidRPr="006A1EC7">
        <w:fldChar w:fldCharType="begin" w:fldLock="1"/>
      </w:r>
      <w:r w:rsidR="00AD67F5" w:rsidRPr="006A1EC7">
        <w:instrText>ADDIN CSL_CITATION {"citationItems":[{"id":"ITEM-1","itemData":{"ISSN":"20083866","abstract":"OBJECTIVE(S) Reliability measures precision or the extent to which test results can be replicated. This is the first ever systematic review to identify statistical methods used to measure reliability of equipment measuring continuous variables. This studyalso aims to highlight the inappropriate statistical method used in the reliability analysis and its implication in the medical practice. MATERIALS AND METHODS In 2010, five electronic databases were searched between 2007 and 2009 to look for reliability studies. A total of 5,795 titles were initially identified. Only 282 titles were potentially related, and finally 42 fitted the inclusion criteria. RESULTS The Intra-class Correlation Coefficient (ICC) is the most popular method with 25 (60%) studies having used this method followed by the comparing means (8 or 19%). Out of 25 studies using the ICC, only 7 (28%) reported the confidence intervals and types of ICC used. Most studies (71%) also tested the agreement of instruments. CONCLUSION This study finds that the Intra-class Correlation Coefficient is the most popular method used to assess the reliability of medical instruments measuring continuous outcomes. There are also inappropriate applications and interpretations of statistical methods in some studies. It is important for medical researchers to be aware of this issue, and be able to correctly perform analysis in reliability studies.","author":[{"dropping-particle":"","family":"Zaki","given":"Rafdzah","non-dropping-particle":"","parse-names":false,"suffix":""},{"dropping-particle":"","family":"Bulgiba","given":"Awang","non-dropping-particle":"","parse-names":false,"suffix":""},{"dropping-particle":"","family":"Nordin","given":"Noorhaire","non-dropping-particle":"","parse-names":false,"suffix":""},{"dropping-particle":"","family":"Ismail","given":"Noor Azina","non-dropping-particle":"","parse-names":false,"suffix":""}],"container-title":"Iranian Journal of Basic Medical Sciences","id":"ITEM-1","issue":"6","issued":{"date-parts":[["2013"]]},"page":"803-807","title":"A systematic review of statistical methods used to test for reliability of medical instruments measuring continuous variables","type":"article-journal","volume":"16"},"uris":["http://www.mendeley.com/documents/?uuid=ef58876f-700f-4341-b4da-79517b0aa49e"]},{"id":"ITEM-2","itemData":{"DOI":"10.1007/s11205-010-9682-8","author":[{"dropping-particle":"","family":"Slocum-Gori","given":"S","non-dropping-particle":"","parse-names":false,"suffix":""},{"dropping-particle":"","family":"Zumbo","given":"B","non-dropping-particle":"","parse-names":false,"suffix":""}],"container-title":"Social Indicators Research","id":"ITEM-2","issue":"3","issued":{"date-parts":[["2011"]]},"page":"443-461","title":"Assessing the Unidimensionality of Psychological Scales : Using Multiple Criteria from Factor Analysis","type":"article-journal","volume":"102"},"uris":["http://www.mendeley.com/documents/?uuid=977d2192-0815-47e3-8baf-5381707c20eb"]}],"mendeley":{"formattedCitation":"(Slocum-Gori &amp; Zumbo, 2011; Zaki et al., 2013)","plainTextFormattedCitation":"(Slocum-Gori &amp; Zumbo, 2011; Zaki et al., 2013)","previouslyFormattedCitation":"(Slocum-Gori &amp; Zumbo, 2011; Zaki, Bulgiba, Nordin, &amp; Ismail, 2013)"},"properties":{"noteIndex":0},"schema":"https://github.com/citation-style-language/schema/raw/master/csl-citation.json"}</w:instrText>
      </w:r>
      <w:r w:rsidRPr="006A1EC7">
        <w:fldChar w:fldCharType="separate"/>
      </w:r>
      <w:r w:rsidR="00AD67F5" w:rsidRPr="006A1EC7">
        <w:rPr>
          <w:noProof/>
        </w:rPr>
        <w:t>(Slocum-Gori &amp; Zumbo, 2011; Zaki et al., 2013)</w:t>
      </w:r>
      <w:r w:rsidRPr="006A1EC7">
        <w:fldChar w:fldCharType="end"/>
      </w:r>
      <w:r w:rsidRPr="006A1EC7">
        <w:t>. Furthermore, as the intended purpose of the development of a measure for use in health care is to improve patient care and assessment; therefore, it would be counterintuitive to develop or use measures that are unsuitable or unreliable.</w:t>
      </w:r>
    </w:p>
    <w:p w14:paraId="229EF40D" w14:textId="522C760E" w:rsidR="00F53CB4" w:rsidRPr="006A1EC7" w:rsidRDefault="00F53CB4" w:rsidP="00F53CB4">
      <w:pPr>
        <w:spacing w:line="360" w:lineRule="auto"/>
        <w:ind w:firstLine="720"/>
      </w:pPr>
      <w:r w:rsidRPr="006A1EC7">
        <w:t xml:space="preserve">There are three aspects to reliability aiming to assess different questions: Internal consistency reliability (“How coherent are the items within a measure?”), equivalence (“How much agreement is there between one or more raters?”) and stability (“Does the measure obtain comparable results at more than one occasion?”) </w:t>
      </w:r>
      <w:r w:rsidRPr="006A1EC7">
        <w:fldChar w:fldCharType="begin" w:fldLock="1"/>
      </w:r>
      <w:r w:rsidR="00AD67F5" w:rsidRPr="006A1EC7">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Applications","type":"book"},"uris":["http://www.mendeley.com/documents/?uuid=0316ab82-7ed3-4f19-b5e0-edf860dc28e5"]},{"id":"ITEM-2","itemData":{"DOI":"10.1016/j.ijnurstu.2017.11.003","ISSN":"00207489","abstract":"Objectives This study aimed to evaluate the components of test-retest reliability including time interval, sample size, and statistical methods used in patient-reported outcome measures in older people and to provide suggestions on the methodology for calculating test-retest reliability for patient-reported outcomes in older people. Design This was a systematic literature review. Data sources MEDLINE, Embase, CINAHL, and PsycINFO were searched from January 1, 2000 to August 10, 2017 by an information specialist. Review methods This systematic review was guided by both the Preferred Reporting Items for Systematic Reviews and Meta-Analyses checklist and the guideline for systematic review published by the National Evidence-based Healthcare Collaborating Agency in Korea. The methodological quality was assessed by the Consensus-based Standards for the selection of health Measurement Instruments checklist box B. Results Ninety-five out of 12,641 studies were selected for the analysis. The median time interval for test-retest reliability was 14 days, and the ratio of sample size for test-retest reliability to the number of items in each measure ranged from 1:1 to 1:4. The most frequently used statistical methods for continuous scores was intraclass correlation coefficients (ICCs). Among the 63 studies that used ICCs, 21 studies presented models for ICC calculations and 30 studies reported 95% confidence intervals of the ICCs. Additional analyses using 17 studies that reported a strong ICC (&gt;0.09) showed that the mean time interval was 12.88 days and the mean ratio of the number of items to sample size was 1:5.37. Conclusions When researchers plan to assess the test-retest reliability of patient-reported outcome measures for older people, they need to consider an adequate time interval of approximately 13 days and the sample size of about 5 times the number of items. Particularly, statistical methods should not only be selected based on the types of scores of the patient-reported outcome measures, but should also be described clearly in the studies that report the results of test-retest reliability.","author":[{"dropping-particle":"","family":"Park","given":"Myung Sook","non-dropping-particle":"","parse-names":false,"suffix":""},{"dropping-particle":"","family":"Kang","given":"Kyung Ja","non-dropping-particle":"","parse-names":false,"suffix":""},{"dropping-particle":"","family":"Jang","given":"Sun Joo","non-dropping-particle":"","parse-names":false,"suffix":""},{"dropping-particle":"","family":"Lee","given":"Joo Yun","non-dropping-particle":"","parse-names":false,"suffix":""},{"dropping-particle":"","family":"Chang","given":"Sun Ju","non-dropping-particle":"","parse-names":false,"suffix":""}],"container-title":"International Journal of Nursing Studies","id":"ITEM-2","issue":"November 2017","issued":{"date-parts":[["2018"]]},"page":"58-69","publisher":"Elsevier","title":"Evaluating test-retest reliability in patient-reported outcome measures for older people: A systematic review","type":"article-journal","volume":"79"},"uris":["http://www.mendeley.com/documents/?uuid=558fdc03-7977-42d7-8a12-41fc3c98df9c"]},{"id":"ITEM-3","itemData":{"author":[{"dropping-particle":"","family":"Kline","given":"P","non-dropping-particle":"","parse-names":false,"suffix":""}],"id":"ITEM-3","issued":{"date-parts":[["1998"]]},"publisher":"Routledge","publisher-place":"New York","title":"The New Psychometrics : Science, Psychology and Measurement.","type":"book"},"locator":"30","uris":["http://www.mendeley.com/documents/?uuid=eec22be8-8c7b-47cc-ba18-e37787dd833f"]},{"id":"ITEM-4","itemData":{"author":[{"dropping-particle":"","family":"Salmond","given":"S","non-dropping-particle":"","parse-names":false,"suffix":""}],"container-title":"Orthopaedic Nursing","id":"ITEM-4","issue":"1","issued":{"date-parts":[["2008"]]},"page":"28-30","title":"Evaluating the Reliability and Validity of Measurement Instruments","type":"article-journal","volume":"27"},"uris":["http://www.mendeley.com/documents/?uuid=f10338bf-89a3-41fd-b0eb-000c5643a6f6","http://www.mendeley.com/documents/?uuid=12a64fc4-c9d0-4727-a4ca-90f8fcdc6eac"]}],"mendeley":{"formattedCitation":"(DeVellis, 2017; Kline, 1998, p. 30; Park et al., 2018; Salmond, 2008)","manualFormatting":"(DeVellis, 2017; Kline, 1998; Park et al., 2018; Salmond, 2008)","plainTextFormattedCitation":"(DeVellis, 2017; Kline, 1998, p. 30; Park et al., 2018; Salmond, 2008)","previouslyFormattedCitation":"(DeVellis, 2017; Kline, 1998, p. 30; Park, Kang, Jang, Lee, &amp; Chang, 2018; Salmond, 2008)"},"properties":{"noteIndex":0},"schema":"https://github.com/citation-style-language/schema/raw/master/csl-citation.json"}</w:instrText>
      </w:r>
      <w:r w:rsidRPr="006A1EC7">
        <w:fldChar w:fldCharType="separate"/>
      </w:r>
      <w:r w:rsidRPr="006A1EC7">
        <w:rPr>
          <w:noProof/>
        </w:rPr>
        <w:t>(DeVellis, 2017; Kline, 1998; Park et al., 2018; Salmond, 2008)</w:t>
      </w:r>
      <w:r w:rsidRPr="006A1EC7">
        <w:fldChar w:fldCharType="end"/>
      </w:r>
      <w:r w:rsidRPr="006A1EC7">
        <w:t xml:space="preserve">. </w:t>
      </w:r>
    </w:p>
    <w:p w14:paraId="4705634D" w14:textId="77777777" w:rsidR="00F53CB4" w:rsidRPr="006A1EC7" w:rsidRDefault="00F53CB4" w:rsidP="00F53CB4">
      <w:pPr>
        <w:spacing w:line="360" w:lineRule="auto"/>
        <w:ind w:firstLine="720"/>
      </w:pPr>
    </w:p>
    <w:p w14:paraId="34BF4CE0" w14:textId="77777777" w:rsidR="00F53CB4" w:rsidRPr="006A1EC7" w:rsidRDefault="00F53CB4" w:rsidP="00F53CB4">
      <w:pPr>
        <w:pStyle w:val="Heading5"/>
        <w:rPr>
          <w:rFonts w:ascii="Times New Roman" w:hAnsi="Times New Roman" w:cs="Times New Roman"/>
        </w:rPr>
      </w:pPr>
      <w:r w:rsidRPr="006A1EC7">
        <w:rPr>
          <w:rFonts w:ascii="Times New Roman" w:hAnsi="Times New Roman" w:cs="Times New Roman"/>
        </w:rPr>
        <w:t xml:space="preserve">Internal consistency reliability </w:t>
      </w:r>
    </w:p>
    <w:p w14:paraId="29F5074A" w14:textId="77777777" w:rsidR="00F53CB4" w:rsidRPr="006A1EC7" w:rsidRDefault="00F53CB4" w:rsidP="00F53CB4">
      <w:pPr>
        <w:spacing w:line="360" w:lineRule="auto"/>
        <w:ind w:firstLine="720"/>
      </w:pPr>
      <w:r w:rsidRPr="006A1EC7">
        <w:t xml:space="preserve">Internal consistency reliability relates to the idea that, if all items on a scale measure the same underlying latent variable (i.e. Wolf-Hirschhorn syndrome), then all variables should be highly correlated. It is usually assessed via calculations of Cronbach’s α, which can take on values between 0 and 1. </w:t>
      </w:r>
      <w:r w:rsidRPr="006A1EC7">
        <w:rPr>
          <w:color w:val="000000" w:themeColor="text1"/>
        </w:rPr>
        <w:fldChar w:fldCharType="begin" w:fldLock="1"/>
      </w:r>
      <w:r w:rsidRPr="006A1EC7">
        <w:rPr>
          <w:color w:val="000000" w:themeColor="text1"/>
        </w:rPr>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uris":["http://www.mendeley.com/documents/?uuid=0316ab82-7ed3-4f19-b5e0-edf860dc28e5"]},{"id":"ITEM-2","itemData":{"author":[{"dropping-particle":"","family":"Kline","given":"P","non-dropping-particle":"","parse-names":false,"suffix":""}],"id":"ITEM-2","issued":{"date-parts":[["1998"]]},"publisher":"Routledge","publisher-place":"New York","title":"The New Psychometrics : Science, Psychology and Measurement.","type":"book"},"uris":["http://www.mendeley.com/documents/?uuid=eec22be8-8c7b-47cc-ba18-e37787dd833f"]}],"mendeley":{"formattedCitation":"(DeVellis, 2017; Kline, 1998)","plainTextFormattedCitation":"(DeVellis, 2017; Kline, 1998)","previouslyFormattedCitation":"(DeVellis, 2017; Kline, 1998)"},"properties":{"noteIndex":0},"schema":"https://github.com/citation-style-language/schema/raw/master/csl-citation.json"}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(DeVellis, 2017; Kline, 1998)</w:t>
      </w:r>
      <w:r w:rsidRPr="006A1EC7">
        <w:rPr>
          <w:color w:val="000000" w:themeColor="text1"/>
        </w:rPr>
        <w:fldChar w:fldCharType="end"/>
      </w:r>
      <w:r w:rsidRPr="006A1EC7">
        <w:rPr>
          <w:color w:val="000000" w:themeColor="text1"/>
        </w:rPr>
        <w:t xml:space="preserve">. In its most basic form, the underlying consideration is that two items will be highly correlated because they either have the same cause (e.g. learning disability) or because Item 1 (e.g. seizures) has an effect on Item B (e.g. seizure after-care) </w:t>
      </w:r>
      <w:r w:rsidRPr="006A1EC7">
        <w:rPr>
          <w:color w:val="000000" w:themeColor="text1"/>
        </w:rPr>
        <w:fldChar w:fldCharType="begin" w:fldLock="1"/>
      </w:r>
      <w:r w:rsidRPr="006A1EC7">
        <w:rPr>
          <w:color w:val="000000" w:themeColor="text1"/>
        </w:rPr>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Applications","type":"book"},"locator":"95","uris":["http://www.mendeley.com/documents/?uuid=0316ab82-7ed3-4f19-b5e0-edf860dc28e5"]}],"mendeley":{"formattedCitation":"(DeVellis, 2017, p. 95)","manualFormatting":"(DeVellis, 2017, p. 53)","plainTextFormattedCitation":"(DeVellis, 2017, p. 95)","previouslyFormattedCitation":"(DeVellis, 2017, p. 95)"},"properties":{"noteIndex":0},"schema":"https://github.com/citation-style-language/schema/raw/master/csl-citation.json"}</w:instrText>
      </w:r>
      <w:r w:rsidRPr="006A1EC7">
        <w:rPr>
          <w:color w:val="000000" w:themeColor="text1"/>
        </w:rPr>
        <w:fldChar w:fldCharType="separate"/>
      </w:r>
      <w:r w:rsidRPr="006A1EC7">
        <w:rPr>
          <w:noProof/>
          <w:color w:val="000000" w:themeColor="text1"/>
        </w:rPr>
        <w:t>(DeVellis, 2017, p. 53)</w:t>
      </w:r>
      <w:r w:rsidRPr="006A1EC7">
        <w:rPr>
          <w:color w:val="000000" w:themeColor="text1"/>
        </w:rPr>
        <w:fldChar w:fldCharType="end"/>
      </w:r>
      <w:r w:rsidRPr="006A1EC7">
        <w:t xml:space="preserve">. </w:t>
      </w:r>
    </w:p>
    <w:p w14:paraId="38257A86" w14:textId="77777777" w:rsidR="00F53CB4" w:rsidRPr="006A1EC7" w:rsidRDefault="00F53CB4" w:rsidP="00F53CB4">
      <w:pPr>
        <w:spacing w:line="360" w:lineRule="auto"/>
        <w:ind w:firstLine="720"/>
        <w:rPr>
          <w:color w:val="000000" w:themeColor="text1"/>
        </w:rPr>
      </w:pPr>
      <w:r w:rsidRPr="006A1EC7">
        <w:t xml:space="preserve">There are two different approaches to internal consistency reliability, and their application depends on the dimensionality of a (developed) COA. First, for unidimensional scales, it is often sufficient to calculate one value for </w:t>
      </w:r>
      <w:r w:rsidRPr="006A1EC7">
        <w:rPr>
          <w:color w:val="000000" w:themeColor="text1"/>
        </w:rPr>
        <w:t xml:space="preserve">Cronbach’s α. Second, for multidimensional scales, </w:t>
      </w:r>
      <w:r w:rsidRPr="006A1EC7">
        <w:t>one could argue that the calculation of one Cronbach’s α coefficient is not sufficient, or meaningful, for a COA assessing a multidimensional concept; therefore</w:t>
      </w:r>
      <w:r w:rsidRPr="006A1EC7">
        <w:rPr>
          <w:color w:val="000000" w:themeColor="text1"/>
        </w:rPr>
        <w:t xml:space="preserve"> a number of Cronbach’s α may be calculated (one for each domain, or sub-construct) </w:t>
      </w:r>
      <w:r w:rsidRPr="006A1EC7">
        <w:fldChar w:fldCharType="begin" w:fldLock="1"/>
      </w:r>
      <w:r w:rsidRPr="006A1EC7">
        <w:instrText>ADDIN CSL_CITATION {"citationItems":[{"id":"ITEM-1","itemData":{"DOI":"10.1016/j.imr.2018.02.001","ISSN":"22134220","abstract":"BACKGROUND\nThe Sasang constitutional analysis tool (SCAT) is an integrated Sasang constitutional analysis system developed by the Korea Institute of Oriental Medicine. This study aimed to evaluate the reliability of a questionnaire for measuring personality and pathophysiological symptoms that is one of the components of the SCAT. \n\nMETHODS\nIn this study, data were collected from university students in their twenties. Tests were administered twice, with an interval of 4 weeks between tests. Test-retest data from 176 students were collected and used for analysis. Internal consistency reliability was analyzed by using Cronbach's alpha coefficient, and test-retest reliability was analyzed by using Spearman's rank correlation coefficient. \n\nRESULTS\nCronbach's alpha coefficient was 0.788 for personality, 0.511 for eating habits, 0.718 for digestion, 0.667 for heat- or cold-wise penchant, and 0.612 for water ingestion. Spearman's rank correlation coefficients, which were used to assess correlations between test and retest results, ranged from 0.444 to 0.828. \n\nCONCLUSION\nThe internal consistency and test-retest reliability of the SCAT questionnaire were found to be satisfactory.","author":[{"dropping-particle":"","family":"Lee","given":"Jeongyun","non-dropping-particle":"","parse-names":false,"suffix":""},{"dropping-particle":"","family":"Yim","given":"Mi Hong","non-dropping-particle":"","parse-names":false,"suffix":""},{"dropping-particle":"","family":"Kim","given":"Jong Yeol","non-dropping-particle":"","parse-names":false,"suffix":""}],"container-title":"Integrative Medicine Research","id":"ITEM-1","issue":"2","issued":{"date-parts":[["2018"]]},"page":"136-140","publisher":"Korea Institute of Oriental Medicine","title":"Test-retest reliability of the questionnaire in the Sasang constitutional analysis tool (SCAT)","type":"article-journal","volume":"7"},"uris":["http://www.mendeley.com/documents/?uuid=d4fa9f74-5858-476a-8e54-d533ab5c39f2"]},{"id":"ITEM-2","itemData":{"author":[{"dropping-particle":"","family":"Kline","given":"P","non-dropping-particle":"","parse-names":false,"suffix":""}],"id":"ITEM-2","issued":{"date-parts":[["1998"]]},"publisher":"Routledge","publisher-place":"New York","title":"The New Psychometrics : Science, Psychology and Measurement.","type":"book"},"uris":["http://www.mendeley.com/documents/?uuid=eec22be8-8c7b-47cc-ba18-e37787dd833f"]}],"mendeley":{"formattedCitation":"(Kline, 1998; Lee, Yim, &amp; Kim, 2018)","plainTextFormattedCitation":"(Kline, 1998; Lee, Yim, &amp; Kim, 2018)","previouslyFormattedCitation":"(Kline, 1998; Lee, Yim, &amp; Kim, 2018)"},"properties":{"noteIndex":0},"schema":"https://github.com/citation-style-language/schema/raw/master/csl-citation.json"}</w:instrText>
      </w:r>
      <w:r w:rsidRPr="006A1EC7">
        <w:fldChar w:fldCharType="separate"/>
      </w:r>
      <w:r w:rsidRPr="006A1EC7">
        <w:rPr>
          <w:noProof/>
        </w:rPr>
        <w:t>(Kline, 1998; Lee, Yim, &amp; Kim, 2018)</w:t>
      </w:r>
      <w:r w:rsidRPr="006A1EC7">
        <w:fldChar w:fldCharType="end"/>
      </w:r>
      <w:r w:rsidRPr="006A1EC7">
        <w:t xml:space="preserve">. Applying </w:t>
      </w:r>
      <w:r w:rsidRPr="006A1EC7">
        <w:lastRenderedPageBreak/>
        <w:t xml:space="preserve">this to the current project: due to the </w:t>
      </w:r>
      <w:r w:rsidRPr="006A1EC7">
        <w:rPr>
          <w:color w:val="000000" w:themeColor="text1"/>
        </w:rPr>
        <w:t xml:space="preserve">highly diverse clinical features patients with WHS present with, and the multidimensional nature of the COA, one overall correlation would not be an appropriate or meaningful way of assessing internal consistency for the current COA. </w:t>
      </w:r>
    </w:p>
    <w:p w14:paraId="10DA3BF4" w14:textId="3B636A4C" w:rsidR="00F53CB4" w:rsidRPr="006A1EC7" w:rsidRDefault="00F53CB4" w:rsidP="00F53CB4">
      <w:pPr>
        <w:spacing w:line="360" w:lineRule="auto"/>
        <w:ind w:firstLine="720"/>
        <w:rPr>
          <w:color w:val="000000" w:themeColor="text1"/>
        </w:rPr>
      </w:pPr>
      <w:r w:rsidRPr="006A1EC7">
        <w:rPr>
          <w:color w:val="000000" w:themeColor="text1"/>
        </w:rPr>
        <w:t xml:space="preserve">Two Clinician-rated COAs that have also been developed for rare diseases are the Unified Wolfram Rating Scale and the Unified Batten Disease Scale </w:t>
      </w:r>
      <w:r w:rsidRPr="006A1EC7">
        <w:rPr>
          <w:color w:val="000000" w:themeColor="text1"/>
        </w:rPr>
        <w:fldChar w:fldCharType="begin" w:fldLock="1"/>
      </w:r>
      <w:r w:rsidR="00AD67F5" w:rsidRPr="006A1EC7">
        <w:rPr>
          <w:color w:val="000000" w:themeColor="text1"/>
        </w:rPr>
        <w:instrText>ADDIN CSL_CITATION {"citationItems":[{"id":"ITEM-1","itemData":{"DOI":"10.1186/1750-1172-7-89","ISBN":"1750-1172","ISSN":"1750-1172","PMID":"23148655","abstract":"BACKGROUND Wolfram syndrome (WFS) is a rare, neurodegenerative disease that typically presents with childhood onset insulin dependent diabetes mellitus, followed by optic atrophy, diabetes insipidus, deafness, and neurological and psychiatric dysfunction. There is no cure for the disease, but recent advances in research have improved understanding of the disease course. Measuring disease severity and progression with reliable and validated tools is a prerequisite for clinical trials of any new intervention for neurodegenerative conditions. To this end, we developed the Wolfram Unified Rating Scale (WURS) to measure the severity and individual variability of WFS symptoms. The aim of this study is to develop and test the reliability and validity of the Wolfram Unified Rating Scale (WURS). METHODS A rating scale of disease severity in WFS was developed by modifying a standardized assessment for another neurodegenerative condition (Batten disease). WFS experts scored the representativeness of WURS items for the disease. The WURS was administered to 13 individuals with WFS (6-25 years of age). Motor, balance, mood and quality of life were also evaluated with standard instruments. Inter-rater reliability, internal consistency reliability, concurrent, predictive and content validity of the WURS were calculated. RESULTS The WURS had high inter-rater reliability (ICCs&gt;.93), moderate to high internal consistency reliability (Cronbach's α = 0.78-0.91) and demonstrated good concurrent and predictive validity. There were significant correlations between the WURS Physical Assessment and motor and balance tests (rs&gt;.67, p&lt;.03), between the WURS Behavioral Scale and reports of mood and behavior (rs&gt;.76, p&lt;.04) and between WURS Total scores and quality of life (rs=-.86, p=.001). The WURS demonstrated acceptable content validity (Scale-Content Validity Index=0.83). CONCLUSIONS These preliminary findings demonstrate that the WURS has acceptable reliability and validity and captures individual differences in disease severity in children and young adults with WFS.","author":[{"dropping-particle":"","family":"Nguyen","given":"Chau","non-dropping-particle":"","parse-names":false,"suffix":""},{"dropping-particle":"","family":"Foster","given":"Erin R","non-dropping-particle":"","parse-names":false,"suffix":""},{"dropping-particle":"","family":"Paciorkowski","given":"Alexander R","non-dropping-particle":"","parse-names":false,"suffix":""},{"dropping-particle":"","family":"Viehoever","given":"Amy","non-dropping-particle":"","parse-names":false,"suffix":""},{"dropping-particle":"","family":"Considine","given":"Colleen","non-dropping-particle":"","parse-names":false,"suffix":""},{"dropping-particle":"","family":"Bondurant","given":"Aidena","non-dropping-particle":"","parse-names":false,"suffix":""},{"dropping-particle":"","family":"Marshall","given":"Bess A","non-dropping-particle":"","parse-names":false,"suffix":""},{"dropping-particle":"","family":"Hershey","given":"Tamara","non-dropping-particle":"","parse-names":false,"suffix":""},{"dropping-particle":"","family":"Washington University Wolfram Study Group","given":"","non-dropping-particle":"","parse-names":false,"suffix":""}],"container-title":"Orphanet journal of rare diseases","id":"ITEM-1","issued":{"date-parts":[["2012"]]},"page":"89","title":"Reliability and validity of the Wolfram Unified Rating Scale (WURS).","type":"article-journal","volume":"7"},"uris":["http://www.mendeley.com/documents/?uuid=30b3ce8a-f45d-4852-b667-0a5c05dc2eeb"]},{"id":"ITEM-2","itemData":{"DOI":"10.1212/01.wnl.0000169019.41332.8a","ISSN":"00283878","abstract":"Background: Batten disease (juvenile neuronal ceroid lipofuscinosis [JNCL]) is an autosomal recessive neurodegenerative disorder characterized by blindness, seizures, and relentless decline in cognitive, motor, and behavioral function. Onset is in the early school years, with progression to death typically by late adolescence. Development of a clinical instrument to quantify severity of illness is a prerequisite to eventual assessment of experimental therapeutic interventions Objective: To develop a clinical rating instrument to assess motor, behavioral, and functional capability in JNCL. Methods: A clinical rating instrument, the Unified Batten Disease Rating Scale (UBDRS), was developed by the authors to assess motor, behavioral, and functional capability in JNCL. Children with verified JNCL were evaluated independently by three neurologists. Intraclass correlation coefficients (ICCs) were used to estimate the interrater reliability for total scores in each domain. Interrater reliability for scale items was assessed with weighted κ statistics Results: Thirty-one children with confirmed JNCL (10 boys, 21 girls) were evaluated. The mean age at symptom onset was 6.1 ± 1.6 years, and the mean duration of illness was 9.0 ± 4.4 years. The ICCs for the domains were as follows: motor = 0.83, behavioral = 0.68, and functional capability = 0.85. Conclusions: The Unified Batten Disease Rating Scale (UBDRS) is a reliable instrument that effectively tests for neurologic function in blind and demented patients. In its current form, the UBDRS is useful for monitoring the diverse clinical findings seen in Batten disease. Copyright © 2005 by AAN Enterprises, Inc.","author":[{"dropping-particle":"","family":"Marshall","given":"F. J.","non-dropping-particle":"","parse-names":false,"suffix":""},{"dropping-particle":"","family":"Blieck","given":"E.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A.","non-dropping-particle":"","parse-names":false,"suffix":""}],"container-title":"Neurology","id":"ITEM-2","issue":"2","issued":{"date-parts":[["2005"]]},"page":"275-279","title":"A clinical rating scale for Batten disease: Reliable and relevant for clinical trials","type":"article-journal","volume":"65"},"uris":["http://www.mendeley.com/documents/?uuid=62ddd9a5-2d0a-46dc-ac0b-db02857c56bd"]}],"mendeley":{"formattedCitation":"(F. J. Marshall, De Blieck, et al., 2005; Nguyen et al., 2012)","manualFormatting":"(Marshall et al., 2005; Nguyen et al., 2012)","plainTextFormattedCitation":"(F. J. Marshall, De Blieck, et al., 2005; Nguyen et al., 2012)","previouslyFormattedCitation":"(Marshall, De Blieck, et al., 2005; Nguyen et al., 2012)"},"properties":{"noteIndex":0},"schema":"https://github.com/citation-style-language/schema/raw/master/csl-citation.json"}</w:instrText>
      </w:r>
      <w:r w:rsidRPr="006A1EC7">
        <w:rPr>
          <w:color w:val="000000" w:themeColor="text1"/>
        </w:rPr>
        <w:fldChar w:fldCharType="separate"/>
      </w:r>
      <w:r w:rsidRPr="006A1EC7">
        <w:rPr>
          <w:noProof/>
          <w:color w:val="000000" w:themeColor="text1"/>
        </w:rPr>
        <w:t>(Marshall et al., 2005; Nguyen et al., 2012)</w:t>
      </w:r>
      <w:r w:rsidRPr="006A1EC7">
        <w:rPr>
          <w:color w:val="000000" w:themeColor="text1"/>
        </w:rPr>
        <w:fldChar w:fldCharType="end"/>
      </w:r>
      <w:r w:rsidRPr="006A1EC7">
        <w:rPr>
          <w:color w:val="000000" w:themeColor="text1"/>
        </w:rPr>
        <w:t xml:space="preserve">. The authors of the Unified Wolfram Rating Scale calculated </w:t>
      </w:r>
      <w:r w:rsidRPr="006A1EC7">
        <w:t xml:space="preserve">Cronbach’s α values for their two identified domains, which were Physical assessment α (α = .91) and Behavioural assessment (α = .78). These values indicate moderate to high internal consistency reliability </w:t>
      </w:r>
      <w:r w:rsidRPr="006A1EC7">
        <w:rPr>
          <w:color w:val="000000" w:themeColor="text1"/>
        </w:rPr>
        <w:fldChar w:fldCharType="begin" w:fldLock="1"/>
      </w:r>
      <w:r w:rsidRPr="006A1EC7">
        <w:rPr>
          <w:color w:val="000000" w:themeColor="text1"/>
        </w:rPr>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uris":["http://www.mendeley.com/documents/?uuid=0316ab82-7ed3-4f19-b5e0-edf860dc28e5"]},{"id":"ITEM-2","itemData":{"author":[{"dropping-particle":"","family":"Kline","given":"P","non-dropping-particle":"","parse-names":false,"suffix":""}],"id":"ITEM-2","issued":{"date-parts":[["1998"]]},"publisher":"Routledge","publisher-place":"New York","title":"The New Psychometrics : Science, Psychology and Measurement.","type":"book"},"uris":["http://www.mendeley.com/documents/?uuid=eec22be8-8c7b-47cc-ba18-e37787dd833f"]}],"mendeley":{"formattedCitation":"(DeVellis, 2017; Kline, 1998)","plainTextFormattedCitation":"(DeVellis, 2017; Kline, 1998)","previouslyFormattedCitation":"(DeVellis, 2017; Kline, 1998)"},"properties":{"noteIndex":0},"schema":"https://github.com/citation-style-language/schema/raw/master/csl-citation.json"}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(DeVellis, 2017; Kline, 1998)</w:t>
      </w:r>
      <w:r w:rsidRPr="006A1EC7">
        <w:rPr>
          <w:color w:val="000000" w:themeColor="text1"/>
        </w:rPr>
        <w:fldChar w:fldCharType="end"/>
      </w:r>
      <w:r w:rsidRPr="006A1EC7">
        <w:rPr>
          <w:color w:val="000000" w:themeColor="text1"/>
        </w:rPr>
        <w:t xml:space="preserve">. Internal consistency reliability was not reported for the Unified Batten Disease Scale; no reasons were given for this lack of internal consistency reliability calculation. However, it could be suggested that the increased multidimensionality of the Unified Batten Disease Scale with seven functional domains, rather than two as in the Unified Wolfram Rating Scale, may have been the reason for this; as there is a loss of meaning in these coefficients. The Unified Batten Disease Scale has seven domains (n=7) </w:t>
      </w:r>
      <w:r w:rsidRPr="006A1EC7">
        <w:rPr>
          <w:color w:val="000000" w:themeColor="text1"/>
        </w:rPr>
        <w:fldChar w:fldCharType="begin" w:fldLock="1"/>
      </w:r>
      <w:r w:rsidR="00AD67F5" w:rsidRPr="006A1EC7">
        <w:rPr>
          <w:color w:val="000000" w:themeColor="text1"/>
        </w:rPr>
        <w:instrText>ADDIN CSL_CITATION {"citationItems":[{"id":"ITEM-1","itemData":{"DOI":"10.1212/01.wnl.0000169019.41332.8a","ISSN":"00283878","abstract":"Background: Batten disease (juvenile neuronal ceroid lipofuscinosis [JNCL]) is an autosomal recessive neurodegenerative disorder characterized by blindness, seizures, and relentless decline in cognitive, motor, and behavioral function. Onset is in the early school years, with progression to death typically by late adolescence. Development of a clinical instrument to quantify severity of illness is a prerequisite to eventual assessment of experimental therapeutic interventions Objective: To develop a clinical rating instrument to assess motor, behavioral, and functional capability in JNCL. Methods: A clinical rating instrument, the Unified Batten Disease Rating Scale (UBDRS), was developed by the authors to assess motor, behavioral, and functional capability in JNCL. Children with verified JNCL were evaluated independently by three neurologists. Intraclass correlation coefficients (ICCs) were used to estimate the interrater reliability for total scores in each domain. Interrater reliability for scale items was assessed with weighted κ statistics Results: Thirty-one children with confirmed JNCL (10 boys, 21 girls) were evaluated. The mean age at symptom onset was 6.1 ± 1.6 years, and the mean duration of illness was 9.0 ± 4.4 years. The ICCs for the domains were as follows: motor = 0.83, behavioral = 0.68, and functional capability = 0.85. Conclusions: The Unified Batten Disease Rating Scale (UBDRS) is a reliable instrument that effectively tests for neurologic function in blind and demented patients. In its current form, the UBDRS is useful for monitoring the diverse clinical findings seen in Batten disease. Copyright © 2005 by AAN Enterprises, Inc.","author":[{"dropping-particle":"","family":"Marshall","given":"F. J.","non-dropping-particle":"","parse-names":false,"suffix":""},{"dropping-particle":"","family":"Blieck","given":"E.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A.","non-dropping-particle":"","parse-names":false,"suffix":""}],"container-title":"Neurology","id":"ITEM-1","issue":"2","issued":{"date-parts":[["2005"]]},"page":"275-279","title":"A clinical rating scale for Batten disease: Reliable and relevant for clinical trials","type":"article-journal","volume":"65"},"uris":["http://www.mendeley.com/documents/?uuid=62ddd9a5-2d0a-46dc-ac0b-db02857c56bd"]}],"mendeley":{"formattedCitation":"(F. J. Marshall, De Blieck, et al., 2005)","manualFormatting":"(Marshall, De Blieck, et al., 2005)","plainTextFormattedCitation":"(F. J. Marshall, De Blieck, et al., 2005)","previouslyFormattedCitation":"(Marshall, De Blieck, et al., 2005)"},"properties":{"noteIndex":0},"schema":"https://github.com/citation-style-language/schema/raw/master/csl-citation.json"}</w:instrText>
      </w:r>
      <w:r w:rsidRPr="006A1EC7">
        <w:rPr>
          <w:color w:val="000000" w:themeColor="text1"/>
        </w:rPr>
        <w:fldChar w:fldCharType="separate"/>
      </w:r>
      <w:r w:rsidRPr="006A1EC7">
        <w:rPr>
          <w:noProof/>
          <w:color w:val="000000" w:themeColor="text1"/>
        </w:rPr>
        <w:t>(Marshall, De Blieck, et al., 2005)</w:t>
      </w:r>
      <w:r w:rsidRPr="006A1EC7">
        <w:rPr>
          <w:color w:val="000000" w:themeColor="text1"/>
        </w:rPr>
        <w:fldChar w:fldCharType="end"/>
      </w:r>
      <w:r w:rsidRPr="006A1EC7">
        <w:rPr>
          <w:color w:val="000000" w:themeColor="text1"/>
        </w:rPr>
        <w:t xml:space="preserve">, which is a similar number to the current COA (n=9). </w:t>
      </w:r>
      <w:r w:rsidRPr="006A1EC7">
        <w:rPr>
          <w:color w:val="000000" w:themeColor="text1"/>
        </w:rPr>
        <w:br/>
      </w:r>
      <w:r w:rsidRPr="006A1EC7">
        <w:rPr>
          <w:color w:val="000000" w:themeColor="text1"/>
        </w:rPr>
        <w:tab/>
        <w:t xml:space="preserve">The variety and clinical heterogeneity found in the current COA for WHS, even within just one functional domain, is likely to cause statistical issues regarding correlations </w:t>
      </w:r>
      <w:r w:rsidRPr="006A1EC7">
        <w:t xml:space="preserve">and make this type of analysis inappropriate and, potentially, devoid of practical meaning. For example, the gastrointestinal domain includes hypospadias but also feeding and bowel movements; these are not necessarily statistically related but it is clinically meaningful to assess these together within one domain. </w:t>
      </w:r>
      <w:r w:rsidRPr="006A1EC7">
        <w:rPr>
          <w:color w:val="000000" w:themeColor="text1"/>
        </w:rPr>
        <w:t xml:space="preserve">It becomes obvious that a plethora of issues arise for the current project in terms of statistical analyses to assess the reliability of the current scale. This means, due to the overall heterogeneity found within WHS and within different functional domains/bodily systems affected; calculating internal consistency reliability may not yield meaningful insights. Taken these considerations together, it has been decided by the author of this theses as well as her supervisor team that internal consistency reliability will not be assessed. </w:t>
      </w:r>
    </w:p>
    <w:p w14:paraId="1F3AA7E1" w14:textId="77777777" w:rsidR="00F53CB4" w:rsidRPr="006A1EC7" w:rsidRDefault="00F53CB4" w:rsidP="00F53CB4">
      <w:pPr>
        <w:spacing w:line="360" w:lineRule="auto"/>
        <w:ind w:firstLine="720"/>
        <w:rPr>
          <w:color w:val="000000" w:themeColor="text1"/>
        </w:rPr>
      </w:pPr>
    </w:p>
    <w:p w14:paraId="28472AF9" w14:textId="77777777" w:rsidR="00F53CB4" w:rsidRPr="006A1EC7" w:rsidRDefault="00F53CB4" w:rsidP="00F53CB4">
      <w:pPr>
        <w:pStyle w:val="Heading5"/>
        <w:rPr>
          <w:rFonts w:ascii="Times New Roman" w:hAnsi="Times New Roman" w:cs="Times New Roman"/>
        </w:rPr>
      </w:pPr>
      <w:r w:rsidRPr="006A1EC7">
        <w:rPr>
          <w:rFonts w:ascii="Times New Roman" w:hAnsi="Times New Roman" w:cs="Times New Roman"/>
        </w:rPr>
        <w:t xml:space="preserve">Equivalence: Inter-rater reliability </w:t>
      </w:r>
    </w:p>
    <w:p w14:paraId="4D4849D4" w14:textId="77777777" w:rsidR="00F53CB4" w:rsidRPr="006A1EC7" w:rsidRDefault="00F53CB4" w:rsidP="00F53CB4">
      <w:pPr>
        <w:spacing w:line="360" w:lineRule="auto"/>
        <w:ind w:firstLine="720"/>
      </w:pPr>
      <w:r w:rsidRPr="006A1EC7">
        <w:t xml:space="preserve">Next, inter-rater reliability refers to the extent or degree of agreement between different raters (or judges) of the same subject; and whether the clinical results obtained are reproducible from one participant to the other </w:t>
      </w:r>
      <w:r w:rsidRPr="006A1EC7">
        <w:fldChar w:fldCharType="begin" w:fldLock="1"/>
      </w:r>
      <w:r w:rsidRPr="006A1EC7">
        <w:instrText>ADDIN CSL_CITATION {"citationItems":[{"id":"ITEM-1","itemData":{"DOI":"10.1002/9780471462422.eoct631","ISBN":"9780471462422","author":[{"dropping-particle":"","family":"Gwet","given":"Kilem Li","non-dropping-particle":"","parse-names":false,"suffix":""}],"container-title":"WileyEncyclopedia of Clinical Trials,","id":"ITEM-1","issued":{"date-parts":[["2008"]]},"publisher":"John Wiley &amp; Sons","title":"Intrarater Reliability","type":"chapter"},"uris":["http://www.mendeley.com/documents/?uuid=26d839b1-3770-4710-96e0-f91b61ebd431","http://www.mendeley.com/documents/?uuid=94e0d649-e630-48cb-94a6-aa6689a3dd22"]}],"mendeley":{"formattedCitation":"(Gwet, 2008)","plainTextFormattedCitation":"(Gwet, 2008)","previouslyFormattedCitation":"(Gwet, 2008)"},"properties":{"noteIndex":0},"schema":"https://github.com/citation-style-language/schema/raw/master/csl-citation.json"}</w:instrText>
      </w:r>
      <w:r w:rsidRPr="006A1EC7">
        <w:fldChar w:fldCharType="separate"/>
      </w:r>
      <w:r w:rsidRPr="006A1EC7">
        <w:rPr>
          <w:noProof/>
        </w:rPr>
        <w:t>(Gwet, 2008)</w:t>
      </w:r>
      <w:r w:rsidRPr="006A1EC7">
        <w:fldChar w:fldCharType="end"/>
      </w:r>
      <w:r w:rsidRPr="006A1EC7">
        <w:t xml:space="preserve">. Being able to </w:t>
      </w:r>
      <w:r w:rsidRPr="006A1EC7">
        <w:lastRenderedPageBreak/>
        <w:t xml:space="preserve">confidently gain reproducible results is essential for any COA as it instils trust in the outcome/s </w:t>
      </w:r>
      <w:r w:rsidRPr="006A1EC7">
        <w:fldChar w:fldCharType="begin" w:fldLock="1"/>
      </w:r>
      <w:r w:rsidRPr="006A1EC7">
        <w:instrText>ADDIN CSL_CITATION {"citationItems":[{"id":"ITEM-1","itemData":{"DOI":"10.3233/WOR-182754","ISSN":"10519815","abstract":"BACKGROUND: OccuPro's functional capacity evaluation (FCE) is used for assessing the client's readiness to return to work and three separate intra-rater and inter-rater reliability studies are explored here. OBJECTIVE: Three separate studies were conducted on injured and un-injured adults to evaluate the inter-rater and intra-rater reliability of the OccuPro FCE (upper extremity and material handling subtests). All three studies are summarized in this publication. METHODS: In study one, twenty participants completed firm grasp, simple grasp, pinch, fine motor, and gross motor testing. The participants included subjects with an orthopedic or musculoskeletal disorder affecting the upper extremities. In study two and three, 62 participants completed occasional squat lifts, occasional power lifts, occasional carrying, frequent squat lifts, frequent power lifts, and frequent carrying. The participants in all three studies were adult subjects between 20 and 70 years of age. Study one subjects had a previous illness or injury while subjects in study two and three had no history of injury. RESULTS: Results from study one showed that the OccuPro FCE's four upper extremity subtests have moderate to excellent inter-rater reliability. In study two and three, results showed that the intra-rater reliability of these subtests were excellent and the inter-reliability of these subtests were moderate to good. CONCLUSIONS: These three studies establish inter-rater and intra-rater reliability for the four upper extremity subtests and material handling testing within the OccuPro FCE system. This allows for multiple therapists to use OccuPro's FCE system with the same patient or multiple patients while having the confidence they will achieve consistent results and make sound return-to work or residual functional capacity decisions.","author":[{"dropping-particle":"","family":"Scheel","given":"Carrie","non-dropping-particle":"","parse-names":false,"suffix":""},{"dropping-particle":"","family":"Mecham","given":"Jim","non-dropping-particle":"","parse-names":false,"suffix":""},{"dropping-particle":"","family":"Zuccarello","given":"Vic","non-dropping-particle":"","parse-names":false,"suffix":""},{"dropping-particle":"","family":"Mattes","given":"Ryan","non-dropping-particle":"","parse-names":false,"suffix":""}],"container-title":"Work","id":"ITEM-1","issue":"3","issued":{"date-parts":[["2018"]]},"page":"465-473","title":"An evaluation of the inter-rater and intra-rater reliability of OccuPro's functional capacity evaluation","type":"article-journal","volume":"60"},"uris":["http://www.mendeley.com/documents/?uuid=7c89fceb-4fa8-4d0a-9f27-0fc9e4706b27","http://www.mendeley.com/documents/?uuid=d3400a70-6527-4caa-b778-479fc9c50b0e"]}],"mendeley":{"formattedCitation":"(Scheel, Mecham, Zuccarello, &amp; Mattes, 2018)","plainTextFormattedCitation":"(Scheel, Mecham, Zuccarello, &amp; Mattes, 2018)","previouslyFormattedCitation":"(Scheel, Mecham, Zuccarello, &amp; Mattes, 2018)"},"properties":{"noteIndex":0},"schema":"https://github.com/citation-style-language/schema/raw/master/csl-citation.json"}</w:instrText>
      </w:r>
      <w:r w:rsidRPr="006A1EC7">
        <w:fldChar w:fldCharType="separate"/>
      </w:r>
      <w:r w:rsidRPr="006A1EC7">
        <w:rPr>
          <w:noProof/>
        </w:rPr>
        <w:t>(Scheel, Mecham, Zuccarello, &amp; Mattes, 2018)</w:t>
      </w:r>
      <w:r w:rsidRPr="006A1EC7">
        <w:fldChar w:fldCharType="end"/>
      </w:r>
      <w:r w:rsidRPr="006A1EC7">
        <w:t>. This is especially important for the assessment of patients with potentially life-limiting or life-threatening illness.</w:t>
      </w:r>
    </w:p>
    <w:p w14:paraId="69452CC5" w14:textId="77777777" w:rsidR="00F53CB4" w:rsidRPr="006A1EC7" w:rsidRDefault="00F53CB4" w:rsidP="00F53CB4">
      <w:pPr>
        <w:spacing w:line="360" w:lineRule="auto"/>
        <w:ind w:firstLine="720"/>
      </w:pPr>
      <w:r w:rsidRPr="006A1EC7">
        <w:t xml:space="preserve">Arguably, the most straight-forward, and easiest, assessment of agreement of ratings of the same (set of) item(s) is the calculation of percent of agreement. These results are generally seen as intuitive, and easy to understand </w:t>
      </w:r>
      <w:r w:rsidRPr="006A1EC7">
        <w:fldChar w:fldCharType="begin" w:fldLock="1"/>
      </w:r>
      <w:r w:rsidRPr="006A1EC7">
        <w:instrText>ADDIN CSL_CITATION {"citationItems":[{"id":"ITEM-1","itemData":{"author":[{"dropping-particle":"","family":"Leppink","given":"J","non-dropping-particle":"","parse-names":false,"suffix":""}],"edition":"1st","id":"ITEM-1","issued":{"date-parts":[["2019"]]},"publisher":"Springer","publisher-place":"Cham, Switzerland","title":"Statistical Methods for Experimental Research in Education and Psychology","type":"book"},"locator":"59","uris":["http://www.mendeley.com/documents/?uuid=c67d13d3-8f45-406f-83cc-86cfcc71f8ae"]},{"id":"ITEM-2","itemData":{"DOI":"10.4135/9781412995627.d5","ISBN":"9781412940658","author":[{"dropping-particle":"","family":"Stemler","given":"Steven E.","non-dropping-particle":"","parse-names":false,"suffix":""},{"dropping-particle":"","family":"Tsai","given":"Jessica","non-dropping-particle":"","parse-names":false,"suffix":""}],"container-title":"Best Practices in Quantitative Methods","editor":[{"dropping-particle":"","family":"Osborne","given":"Jason","non-dropping-particle":"","parse-names":false,"suffix":""}],"id":"ITEM-2","issued":{"date-parts":[["2011"]]},"page":"29-49","publisher":"Sage Publication","publisher-place":"Thousand Oaks","title":"Best Practices in Interrater Reliability Three Common Approaches","type":"chapter"},"uris":["http://www.mendeley.com/documents/?uuid=eaa107a7-868b-4d9f-8e5a-4af37e4d67b0"]}],"mendeley":{"formattedCitation":"(Leppink, 2019, p. 59; Stemler &amp; Tsai, 2011)","manualFormatting":"(Leppink, 2019; Stemler &amp; Tsai, 2011)","plainTextFormattedCitation":"(Leppink, 2019, p. 59; Stemler &amp; Tsai, 2011)","previouslyFormattedCitation":"(Leppink, 2019, p. 59; Stemler &amp; Tsai, 2011)"},"properties":{"noteIndex":0},"schema":"https://github.com/citation-style-language/schema/raw/master/csl-citation.json"}</w:instrText>
      </w:r>
      <w:r w:rsidRPr="006A1EC7">
        <w:fldChar w:fldCharType="separate"/>
      </w:r>
      <w:r w:rsidRPr="006A1EC7">
        <w:rPr>
          <w:noProof/>
        </w:rPr>
        <w:t>(Leppink, 2019; Stemler &amp; Tsai, 2011)</w:t>
      </w:r>
      <w:r w:rsidRPr="006A1EC7">
        <w:fldChar w:fldCharType="end"/>
      </w:r>
      <w:r w:rsidRPr="006A1EC7">
        <w:t xml:space="preserve">. However, due to its simplicity, this approach fails to indicate any degree of chance or random error (such as guessing) in responses, which can be an issue in measurement </w:t>
      </w:r>
      <w:r w:rsidRPr="006A1EC7">
        <w:fldChar w:fldCharType="begin" w:fldLock="1"/>
      </w:r>
      <w:r w:rsidRPr="006A1EC7">
        <w:instrText>ADDIN CSL_CITATION {"citationItems":[{"id":"ITEM-1","itemData":{"DOI":"10.4135/9781412995627.d5","ISBN":"9781412940658","author":[{"dropping-particle":"","family":"Stemler","given":"Steven E.","non-dropping-particle":"","parse-names":false,"suffix":""},{"dropping-particle":"","family":"Tsai","given":"Jessica","non-dropping-particle":"","parse-names":false,"suffix":""}],"container-title":"Best Practices in Quantitative Methods","editor":[{"dropping-particle":"","family":"Osborne","given":"Jason","non-dropping-particle":"","parse-names":false,"suffix":""}],"id":"ITEM-1","issued":{"date-parts":[["2011"]]},"page":"29-49","publisher":"Sage Publication","publisher-place":"Thousand Oaks","title":"Best Practices in Interrater Reliability Three Common Approaches","type":"chapter"},"uris":["http://www.mendeley.com/documents/?uuid=eaa107a7-868b-4d9f-8e5a-4af37e4d67b0"]}],"mendeley":{"formattedCitation":"(Stemler &amp; Tsai, 2011)","plainTextFormattedCitation":"(Stemler &amp; Tsai, 2011)","previouslyFormattedCitation":"(Stemler &amp; Tsai, 2011)"},"properties":{"noteIndex":0},"schema":"https://github.com/citation-style-language/schema/raw/master/csl-citation.json"}</w:instrText>
      </w:r>
      <w:r w:rsidRPr="006A1EC7">
        <w:fldChar w:fldCharType="separate"/>
      </w:r>
      <w:r w:rsidRPr="006A1EC7">
        <w:rPr>
          <w:noProof/>
        </w:rPr>
        <w:t>(Stemler &amp; Tsai, 2011)</w:t>
      </w:r>
      <w:r w:rsidRPr="006A1EC7">
        <w:fldChar w:fldCharType="end"/>
      </w:r>
      <w:r w:rsidRPr="006A1EC7">
        <w:t xml:space="preserve">. </w:t>
      </w:r>
    </w:p>
    <w:p w14:paraId="1DD36AD8" w14:textId="77777777" w:rsidR="00F53CB4" w:rsidRPr="006A1EC7" w:rsidRDefault="00F53CB4" w:rsidP="00F53CB4">
      <w:pPr>
        <w:spacing w:line="360" w:lineRule="auto"/>
        <w:ind w:firstLine="720"/>
        <w:rPr>
          <w:color w:val="000000" w:themeColor="text1"/>
        </w:rPr>
      </w:pPr>
      <w:r w:rsidRPr="006A1EC7">
        <w:t xml:space="preserve">An extension to percent of agreement, is either Cohen’s kappa coefficient or weighted kappa coefficients, which reflects “the degree of agreement after accounting for the agreement that would occur by chance” depending on variable type (categorical: nominal or ordinal) </w:t>
      </w:r>
      <w:r w:rsidRPr="006A1EC7">
        <w:rPr>
          <w:color w:val="000000" w:themeColor="text1"/>
        </w:rPr>
        <w:fldChar w:fldCharType="begin" w:fldLock="1"/>
      </w:r>
      <w:r w:rsidRPr="006A1EC7">
        <w:rPr>
          <w:color w:val="000000" w:themeColor="text1"/>
        </w:rPr>
        <w:instrText>ADDIN CSL_CITATION {"citationItems":[{"id":"ITEM-1","itemData":{"author":[{"dropping-particle":"","family":"Moyer","given":"V","non-dropping-particle":"","parse-names":false,"suffix":""},{"dropping-particle":"","family":"Elliot","given":"E","non-dropping-particle":"","parse-names":false,"suffix":""}],"edition":"2nd","id":"ITEM-1","issued":{"date-parts":[["2008"]]},"publisher":"John Wiley &amp; Sons","publisher-place":"Oxford","title":"Evidence-based Pediatrics and Child Health","type":"book"},"locator":"93","uris":["http://www.mendeley.com/documents/?uuid=158313b0-6d82-4b93-9184-19938f6c51f8"]},{"id":"ITEM-2","itemData":{"author":[{"dropping-particle":"","family":"Leppink","given":"J","non-dropping-particle":"","parse-names":false,"suffix":""}],"edition":"1st","id":"ITEM-2","issued":{"date-parts":[["2019"]]},"publisher":"Springer","publisher-place":"Cham, Switzerland","title":"Statistical Methods for Experimental Research in Education and Psychology","type":"book"},"locator":"59","uris":["http://www.mendeley.com/documents/?uuid=c67d13d3-8f45-406f-83cc-86cfcc71f8ae"]}],"mendeley":{"formattedCitation":"(Leppink, 2019, p. 59; Moyer &amp; Elliot, 2008, p. 93)","manualFormatting":"(Leppink, 2019; Moyer &amp; Elliot, 2008, p. 93)","plainTextFormattedCitation":"(Leppink, 2019, p. 59; Moyer &amp; Elliot, 2008, p. 93)","previouslyFormattedCitation":"(Leppink, 2019, p. 59; Moyer &amp; Elliot, 2008, p. 93)"},"properties":{"noteIndex":0},"schema":"https://github.com/citation-style-language/schema/raw/master/csl-citation.json"}</w:instrText>
      </w:r>
      <w:r w:rsidRPr="006A1EC7">
        <w:rPr>
          <w:color w:val="000000" w:themeColor="text1"/>
        </w:rPr>
        <w:fldChar w:fldCharType="separate"/>
      </w:r>
      <w:r w:rsidRPr="006A1EC7">
        <w:rPr>
          <w:noProof/>
          <w:color w:val="000000" w:themeColor="text1"/>
        </w:rPr>
        <w:t>(Leppink, 2019; Moyer &amp; Elliot, 2008, p. 93)</w:t>
      </w:r>
      <w:r w:rsidRPr="006A1EC7">
        <w:rPr>
          <w:color w:val="000000" w:themeColor="text1"/>
        </w:rPr>
        <w:fldChar w:fldCharType="end"/>
      </w:r>
      <w:r w:rsidRPr="006A1EC7">
        <w:rPr>
          <w:color w:val="000000" w:themeColor="text1"/>
        </w:rPr>
        <w:t>. In simple terms, these coefficients reflect the ratio of</w:t>
      </w:r>
      <w:r w:rsidRPr="006A1EC7">
        <w:t xml:space="preserve"> actual versus potential agreement. If response categories on a scale go beyond binary data, i.e. are not limited to two options or are ordered categories, an adjusted kappa (the weighted kappa coefficient) can be calculated. Weighted kappa can also indicate ‘</w:t>
      </w:r>
      <w:r w:rsidRPr="006A1EC7">
        <w:rPr>
          <w:i/>
          <w:iCs/>
        </w:rPr>
        <w:t>partial</w:t>
      </w:r>
      <w:r w:rsidRPr="006A1EC7">
        <w:t xml:space="preserve">’ agreement when close, but not identical, scores are given (e.g. 3 instead of 4 is given) </w:t>
      </w:r>
      <w:r w:rsidRPr="006A1EC7">
        <w:rPr>
          <w:color w:val="000000" w:themeColor="text1"/>
        </w:rPr>
        <w:fldChar w:fldCharType="begin" w:fldLock="1"/>
      </w:r>
      <w:r w:rsidRPr="006A1EC7">
        <w:rPr>
          <w:color w:val="000000" w:themeColor="text1"/>
        </w:rPr>
        <w:instrText>ADDIN CSL_CITATION {"citationItems":[{"id":"ITEM-1","itemData":{"author":[{"dropping-particle":"","family":"Moyer","given":"V","non-dropping-particle":"","parse-names":false,"suffix":""},{"dropping-particle":"","family":"Elliot","given":"E","non-dropping-particle":"","parse-names":false,"suffix":""}],"edition":"2nd","id":"ITEM-1","issued":{"date-parts":[["2008"]]},"publisher":"John Wiley &amp; Sons","publisher-place":"Oxford","title":"Evidence-based Pediatrics and Child Health","type":"book"},"locator":"93","uris":["http://www.mendeley.com/documents/?uuid=158313b0-6d82-4b93-9184-19938f6c51f8"]}],"mendeley":{"formattedCitation":"(Moyer &amp; Elliot, 2008, p. 93)","plainTextFormattedCitation":"(Moyer &amp; Elliot, 2008, p. 93)","previouslyFormattedCitation":"(Moyer &amp; Elliot, 2008, p. 93)"},"properties":{"noteIndex":0},"schema":"https://github.com/citation-style-language/schema/raw/master/csl-citation.json"}</w:instrText>
      </w:r>
      <w:r w:rsidRPr="006A1EC7">
        <w:rPr>
          <w:color w:val="000000" w:themeColor="text1"/>
        </w:rPr>
        <w:fldChar w:fldCharType="separate"/>
      </w:r>
      <w:r w:rsidRPr="006A1EC7">
        <w:rPr>
          <w:noProof/>
          <w:color w:val="000000" w:themeColor="text1"/>
        </w:rPr>
        <w:t>(Moyer &amp; Elliot, 2008, p. 93)</w:t>
      </w:r>
      <w:r w:rsidRPr="006A1EC7">
        <w:rPr>
          <w:color w:val="000000" w:themeColor="text1"/>
        </w:rPr>
        <w:fldChar w:fldCharType="end"/>
      </w:r>
      <w:r w:rsidRPr="006A1EC7">
        <w:rPr>
          <w:color w:val="000000" w:themeColor="text1"/>
        </w:rPr>
        <w:t xml:space="preserve">. However, for the use and applicability of weighted or Cohen’s kappa coefficient, data has to be categorical </w:t>
      </w:r>
      <w:r w:rsidRPr="006A1EC7">
        <w:rPr>
          <w:color w:val="000000" w:themeColor="text1"/>
        </w:rPr>
        <w:fldChar w:fldCharType="begin" w:fldLock="1"/>
      </w:r>
      <w:r w:rsidRPr="006A1EC7">
        <w:rPr>
          <w:color w:val="000000" w:themeColor="text1"/>
        </w:rPr>
        <w:instrText>ADDIN CSL_CITATION {"citationItems":[{"id":"ITEM-1","itemData":{"author":[{"dropping-particle":"","family":"Ranganathan","given":"P","non-dropping-particle":"","parse-names":false,"suffix":""},{"dropping-particle":"","family":"Pramesh","given":"C","non-dropping-particle":"","parse-names":false,"suffix":""},{"dropping-particle":"","family":"Aggarwal","given":"R","non-dropping-particle":"","parse-names":false,"suffix":""}],"container-title":"Perspectives in Clinical Research","id":"ITEM-1","issued":{"date-parts":[["2017"]]},"page":"187-191","title":"Common pitfalls in statistical analysis: Measures of agreement","type":"article-journal","volume":"8"},"uris":["http://www.mendeley.com/documents/?uuid=a5365301-6438-4346-be65-d576a9f90204"]}],"mendeley":{"formattedCitation":"(Ranganathan, Pramesh, &amp; Aggarwal, 2017)","plainTextFormattedCitation":"(Ranganathan, Pramesh, &amp; Aggarwal, 2017)","previouslyFormattedCitation":"(Ranganathan, Pramesh, &amp; Aggarwal, 2017)"},"properties":{"noteIndex":0},"schema":"https://github.com/citation-style-language/schema/raw/master/csl-citation.json"}</w:instrText>
      </w:r>
      <w:r w:rsidRPr="006A1EC7">
        <w:rPr>
          <w:color w:val="000000" w:themeColor="text1"/>
        </w:rPr>
        <w:fldChar w:fldCharType="separate"/>
      </w:r>
      <w:r w:rsidRPr="006A1EC7">
        <w:rPr>
          <w:noProof/>
          <w:color w:val="000000" w:themeColor="text1"/>
        </w:rPr>
        <w:t>(Ranganathan, Pramesh, &amp; Aggarwal, 2017)</w:t>
      </w:r>
      <w:r w:rsidRPr="006A1EC7">
        <w:rPr>
          <w:color w:val="000000" w:themeColor="text1"/>
        </w:rPr>
        <w:fldChar w:fldCharType="end"/>
      </w:r>
      <w:r w:rsidRPr="006A1EC7">
        <w:rPr>
          <w:color w:val="000000" w:themeColor="text1"/>
        </w:rPr>
        <w:t>.</w:t>
      </w:r>
    </w:p>
    <w:p w14:paraId="52B69BD0" w14:textId="142DAA1D" w:rsidR="00F53CB4" w:rsidRPr="006A1EC7" w:rsidRDefault="00F53CB4" w:rsidP="00F53CB4">
      <w:pPr>
        <w:spacing w:line="360" w:lineRule="auto"/>
        <w:ind w:firstLine="720"/>
      </w:pPr>
      <w:r w:rsidRPr="006A1EC7">
        <w:t xml:space="preserve">An alternative is the calculation of Intra Class Correlation Coefficients (ICCs) </w:t>
      </w:r>
      <w:r w:rsidRPr="006A1EC7">
        <w:fldChar w:fldCharType="begin" w:fldLock="1"/>
      </w:r>
      <w:r w:rsidRPr="006A1EC7">
        <w:instrText>ADDIN CSL_CITATION {"citationItems":[{"id":"ITEM-1","itemData":{"DOI":"10.3389/fpsyg.2014.00509","abstract":"This report has two main purposes. First, we combine well-known analytical approaches to conduct a comprehensive assessment of agreement and correlation of rating-pairs and to dis-entangle these often confused concepts, providing a best-practice example on concrete data and a tutorial for future reference. Second, we explore whether a screening questionnaire developed for use with parents can be reliably employed with daycare teachers when assessing early expressive vocabulary. A total of 53 vocabulary rating pairs (34 parent–teacher and 19 mother–father pairs) collected for two-year-old children (12 bilingual) are evaluated. First, inter-rater reliability both within and across subgroups is assessed using the intra-class correlation coefficient (ICC). Next, based on this analysis of reliability and on the test-retest reliability of the employed tool, inter-rater agreement is analyzed, magnitude and direction of rating differences are considered. Finally, Pearson correlation coefficients of standardized vocabulary scores are calculated and compared across subgroups. The results underline the necessity to distinguish between reliability measures, agreement and correlation. They also demonstrate the impact of the employed reliability on agreement evaluations. This study provides evidence that parent–teacher ratings of children's early vocabulary can achieve agreement and correlation comparable to those of mother–father ratings on the assessed vocabulary scale. Bilingualism of the evaluated child decreased the likelihood of raters' agreement. We conclude that future reports of agreement, correlation and reliability of ratings will benefit from better definition of terms and stricter methodological approaches. The methodological tutorial provided here holds the potential to increase comparability across empirical reports and can help improve research practices and knowledge transfer to educational and therapeutic settings.","author":[{"dropping-particle":"","family":"Stolarova","given":"Margarita","non-dropping-particle":"","parse-names":false,"suffix":""},{"dropping-particle":"","family":"Wolf","given":"Corinna","non-dropping-particle":"","parse-names":false,"suffix":""},{"dropping-particle":"","family":"Rinker","given":"Tanja","non-dropping-particle":"","parse-names":false,"suffix":""},{"dropping-particle":"","family":"Brielmann","given":"Aenne","non-dropping-particle":"","parse-names":false,"suffix":""}],"container-title":"Frontiers in Psychology","id":"ITEM-1","issued":{"date-parts":[["2014"]]},"title":"How to assess and compare inter-rater reliability, agreement and correlation of ratings: an exemplary analysis of mother-father and parent-teacher expressive vocabulary rating pairs","type":"article-journal","volume":"5"},"uris":["http://www.mendeley.com/documents/?uuid=94400330-8626-4f5e-b113-d919d1ad3c4a"]},{"id":"ITEM-2","itemData":{"DOI":"10.1016/j.jcm.2016.02.012","ISSN":"1556-3707","PMID":"27330520","abstract":"Objective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medicine","id":"ITEM-2","issue":"2","issued":{"date-parts":[["2016"]]},"page":"155-63","publisher":"Elsevier B.V.","title":"A Guideline of Selecting and Reporting Intraclass Correlation Coefficients for Reliability Research.","type":"article-journal","volume":"15"},"uris":["http://www.mendeley.com/documents/?uuid=d94a0f16-37a1-46b5-a7e4-f74cae73a94f"]},{"id":"ITEM-3","itemData":{"DOI":"10.4135/9781412961288.n198","ISBN":"9781412961271","author":[{"dropping-particle":"","family":"Howell","given":"David","non-dropping-particle":"","parse-names":false,"suffix":""}],"container-title":"Encyclopedia of Research Design","editor":[{"dropping-particle":"","family":"Salkind","given":"N","non-dropping-particle":"","parse-names":false,"suffix":""}],"id":"ITEM-3","issued":{"date-parts":[["2012"]]},"page":"637-641","publisher":"Sage Publication","publisher-place":"Thousand","title":"Intraclass Correlation","type":"chapter"},"uris":["http://www.mendeley.com/documents/?uuid=fbc414ad-c51e-4973-90d7-4f1a5c084f12"]},{"id":"ITEM-4","itemData":{"ISBN":"9780761988540","author":[{"dropping-particle":"","family":"Vogt","given":"Paul","non-dropping-particle":"","parse-names":false,"suffix":""}],"container-title":"Dictionary of Statistics &amp; Methodology","id":"ITEM-4","issued":{"date-parts":[["2011"]]},"title":"Intraclass Correlation ( ICC )","type":"chapter"},"uris":["http://www.mendeley.com/documents/?uuid=d239c708-20ce-4642-bf25-5b125e0363d3"]}],"mendeley":{"formattedCitation":"(Howell, 2012; Koo &amp; Li, 2016a; Stolarova, Wolf, Rinker, &amp; Brielmann, 2014; Vogt, 2011)","manualFormatting":"(Howell, 2012; Koo &amp; Li, 2016; Stolarova, Wolf, Rinker, &amp; Brielmann, 2014; Vogt, 2011)","plainTextFormattedCitation":"(Howell, 2012; Koo &amp; Li, 2016a; Stolarova, Wolf, Rinker, &amp; Brielmann, 2014; Vogt, 2011)","previouslyFormattedCitation":"(Howell, 2012; Koo &amp; Li, 2016a; Stolarova, Wolf, Rinker, &amp; Brielmann, 2014; Vogt, 2011)"},"properties":{"noteIndex":0},"schema":"https://github.com/citation-style-language/schema/raw/master/csl-citation.json"}</w:instrText>
      </w:r>
      <w:r w:rsidRPr="006A1EC7">
        <w:fldChar w:fldCharType="separate"/>
      </w:r>
      <w:r w:rsidRPr="006A1EC7">
        <w:rPr>
          <w:noProof/>
        </w:rPr>
        <w:t>(Howell, 2012; Koo &amp; Li, 2016; Stolarova, Wolf, Rinker, &amp; Brielmann, 2014; Vogt, 2011)</w:t>
      </w:r>
      <w:r w:rsidRPr="006A1EC7">
        <w:fldChar w:fldCharType="end"/>
      </w:r>
      <w:r w:rsidRPr="006A1EC7">
        <w:t xml:space="preserve">. ICCs are coefficients that reflect both relationships between variables </w:t>
      </w:r>
      <w:r w:rsidRPr="006A1EC7">
        <w:fldChar w:fldCharType="begin" w:fldLock="1"/>
      </w:r>
      <w:r w:rsidRPr="006A1EC7">
        <w:instrText>ADDIN CSL_CITATION {"citationItems":[{"id":"ITEM-1","itemData":{"DOI":"10.4135/9781412961288.n198","ISBN":"9781412961271","author":[{"dropping-particle":"","family":"Howell","given":"David","non-dropping-particle":"","parse-names":false,"suffix":""}],"container-title":"Encyclopedia of Research Design","editor":[{"dropping-particle":"","family":"Salkind","given":"N","non-dropping-particle":"","parse-names":false,"suffix":""}],"id":"ITEM-1","issued":{"date-parts":[["2012"]]},"page":"637-641","publisher":"Sage Publication","publisher-place":"Thousand","title":"Intraclass Correlation","type":"chapter"},"uris":["http://www.mendeley.com/documents/?uuid=fbc414ad-c51e-4973-90d7-4f1a5c084f12"]}],"mendeley":{"formattedCitation":"(Howell, 2012)","plainTextFormattedCitation":"(Howell, 2012)","previouslyFormattedCitation":"(Howell, 2012)"},"properties":{"noteIndex":0},"schema":"https://github.com/citation-style-language/schema/raw/master/csl-citation.json"}</w:instrText>
      </w:r>
      <w:r w:rsidRPr="006A1EC7">
        <w:fldChar w:fldCharType="separate"/>
      </w:r>
      <w:r w:rsidRPr="006A1EC7">
        <w:rPr>
          <w:noProof/>
        </w:rPr>
        <w:t>(Howell, 2012)</w:t>
      </w:r>
      <w:r w:rsidRPr="006A1EC7">
        <w:fldChar w:fldCharType="end"/>
      </w:r>
      <w:r w:rsidRPr="006A1EC7">
        <w:t xml:space="preserve"> and relationships between scores given by multiple raters on the same subject. ICCs calculate the fraction of variance in within-subject scores that are the result of ‘true’ differences in scores given by the raters </w:t>
      </w:r>
      <w:r w:rsidRPr="006A1EC7">
        <w:fldChar w:fldCharType="begin" w:fldLock="1"/>
      </w:r>
      <w:r w:rsidR="00AD67F5" w:rsidRPr="006A1EC7">
        <w:instrText>ADDIN CSL_CITATION {"citationItems":[{"id":"ITEM-1","itemData":{"DOI":"10.4135/9781849209250.n7","ISBN":"9780761974024","author":[{"dropping-particle":"","family":"Peat","given":"Jennifer","non-dropping-particle":"","parse-names":false,"suffix":""}],"container-title":"Health Science Research","id":"ITEM-1","issued":{"date-parts":[["2016"]]},"number-of-pages":"203-266","title":"Reporting the Results","type":"book"},"uris":["http://www.mendeley.com/documents/?uuid=34813a99-18dd-416e-8e9e-b7e4302ddb20"]}],"mendeley":{"formattedCitation":"(Jennifer Peat, 2016)","manualFormatting":"(Peat, 2016)","plainTextFormattedCitation":"(Jennifer Peat, 2016)","previouslyFormattedCitation":"(Peat, 2016)"},"properties":{"noteIndex":0},"schema":"https://github.com/citation-style-language/schema/raw/master/csl-citation.json"}</w:instrText>
      </w:r>
      <w:r w:rsidRPr="006A1EC7">
        <w:fldChar w:fldCharType="separate"/>
      </w:r>
      <w:r w:rsidRPr="006A1EC7">
        <w:rPr>
          <w:noProof/>
        </w:rPr>
        <w:t>(Peat, 2016)</w:t>
      </w:r>
      <w:r w:rsidRPr="006A1EC7">
        <w:fldChar w:fldCharType="end"/>
      </w:r>
      <w:r w:rsidRPr="006A1EC7">
        <w:t xml:space="preserve">; and are therefore reliability coefficients </w:t>
      </w:r>
      <w:r w:rsidRPr="006A1EC7">
        <w:fldChar w:fldCharType="begin" w:fldLock="1"/>
      </w:r>
      <w:r w:rsidR="00AD67F5" w:rsidRPr="006A1EC7">
        <w:instrText>ADDIN CSL_CITATION {"citationItems":[{"id":"ITEM-1","itemData":{"DOI":"10.4135/9781849209250.n7","ISBN":"9780761974024","author":[{"dropping-particle":"","family":"Peat","given":"Jennifer","non-dropping-particle":"","parse-names":false,"suffix":""}],"container-title":"Health Science Research","id":"ITEM-1","issued":{"date-parts":[["2016"]]},"number-of-pages":"203-266","title":"Reporting the Results","type":"book"},"uris":["http://www.mendeley.com/documents/?uuid=34813a99-18dd-416e-8e9e-b7e4302ddb20"]},{"id":"ITEM-2","itemData":{"DOI":"10.1186/s12874-018-0550-6","ISBN":"1287401805","ISSN":"14712288","abstract":"Intraclass correlation coefficients (ICC) are recommended for the assessment of the reliability of measurement scales. However, the ICC is subject to a variety of statistical assumptions such as normality and stable variance, which are rarely considered in health applications.","author":[{"dropping-particle":"","family":"Bobak","given":"Carly A.","non-dropping-particle":"","parse-names":false,"suffix":""},{"dropping-particle":"","family":"Barr","given":"Paul J.","non-dropping-particle":"","parse-names":false,"suffix":""},{"dropping-particle":"","family":"O'Malley","given":"A. James","non-dropping-particle":"","parse-names":false,"suffix":""}],"container-title":"BMC Medical Research Methodology","id":"ITEM-2","issue":"1","issued":{"date-parts":[["2018"]]},"page":"1-11","publisher":"BMC Medical Research Methodology","title":"Estimation of an inter-rater intra-class correlation coefficient that overcomes common assumption violations in the assessment of health measurement scales","type":"article-journal","volume":"18"},"uris":["http://www.mendeley.com/documents/?uuid=5ea856e1-265f-4e21-b5b6-0a110b439e1f"]}],"mendeley":{"formattedCitation":"(Bobak, Barr, &amp; O’Malley, 2018; Jennifer Peat, 2016)","manualFormatting":"(for a review, see Bobak, Barr, &amp; O’Malley, 2018; Peat, 2016)","plainTextFormattedCitation":"(Bobak, Barr, &amp; O’Malley, 2018; Jennifer Peat, 2016)","previouslyFormattedCitation":"(Bobak, Barr, &amp; O’Malley, 2018; Peat, 2016)"},"properties":{"noteIndex":0},"schema":"https://github.com/citation-style-language/schema/raw/master/csl-citation.json"}</w:instrText>
      </w:r>
      <w:r w:rsidRPr="006A1EC7">
        <w:fldChar w:fldCharType="separate"/>
      </w:r>
      <w:r w:rsidRPr="006A1EC7">
        <w:rPr>
          <w:noProof/>
        </w:rPr>
        <w:t>(for a review, see Bobak, Barr, &amp; O’Malley, 2018; Peat, 2016)</w:t>
      </w:r>
      <w:r w:rsidRPr="006A1EC7">
        <w:fldChar w:fldCharType="end"/>
      </w:r>
      <w:r w:rsidRPr="006A1EC7">
        <w:t xml:space="preserve">. ICCs were, for example, used to investigate inter-rater reliability during the development of the Unified Batten Disease Scale. Marshall et al (2005) calculated inter-rater reliability for three of their seven domains (although it was not clear why only three out of seven domains were chosen). Their participants were three neurologists (n = 3), who rated 32 children with Batten disease (n = 32). However, due to missing and incomplete data, the obtained reliability analyses results (0.68-0.85) were only based on data from ten </w:t>
      </w:r>
      <w:r w:rsidRPr="006A1EC7">
        <w:lastRenderedPageBreak/>
        <w:t xml:space="preserve">patients. This significantly limits their utility to the validation of the scale, and their meaning to the validation </w:t>
      </w:r>
      <w:r w:rsidRPr="006A1EC7">
        <w:fldChar w:fldCharType="begin" w:fldLock="1"/>
      </w:r>
      <w:r w:rsidR="00AD67F5" w:rsidRPr="006A1EC7">
        <w:instrText>ADDIN CSL_CITATION {"citationItems":[{"id":"ITEM-1","itemData":{"DOI":"10.1212/01.wnl.0000169019.41332.8a","ISSN":"0028-3878","PMID":"16043799","author":[{"dropping-particle":"","family":"Marshall","given":"F. J.","non-dropping-particle":"","parse-names":false,"suffix":""},{"dropping-particle":"","family":"Blieck","given":"E.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A.","non-dropping-particle":"","parse-names":false,"suffix":""},{"dropping-particle":"","family":"Blieck","given":"A","non-dropping-particle":"de","parse-names":false,"suffix":""},{"dropping-particle":"","family":"Mink","given":"J.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A.","non-dropping-particle":"","parse-names":false,"suffix":""}],"container-title":"Neurology","id":"ITEM-1","issue":"2","issued":{"date-parts":[["2005","7","26"]]},"page":"275-279","title":"A clinical rating scale for Batten disease - Reliable and relevant for clinical trials","type":"article-journal","volume":"65"},"uris":["http://www.mendeley.com/documents/?uuid=c9f50261-d3cf-4817-8e76-d48524a5d6c3"]}],"mendeley":{"formattedCitation":"(F. J. Marshall, de Blieck, et al., 2005b)","manualFormatting":"(Marshall et al., 2005)","plainTextFormattedCitation":"(F. J. Marshall, de Blieck, et al., 2005b)","previouslyFormattedCitation":"(Marshall, de Blieck, et al., 2005)"},"properties":{"noteIndex":0},"schema":"https://github.com/citation-style-language/schema/raw/master/csl-citation.json"}</w:instrText>
      </w:r>
      <w:r w:rsidRPr="006A1EC7">
        <w:fldChar w:fldCharType="separate"/>
      </w:r>
      <w:r w:rsidRPr="006A1EC7">
        <w:rPr>
          <w:noProof/>
        </w:rPr>
        <w:t>(Marshall et al., 2005)</w:t>
      </w:r>
      <w:r w:rsidRPr="006A1EC7">
        <w:fldChar w:fldCharType="end"/>
      </w:r>
      <w:r w:rsidRPr="006A1EC7">
        <w:t xml:space="preserve">. </w:t>
      </w:r>
    </w:p>
    <w:p w14:paraId="42844F02" w14:textId="77777777" w:rsidR="00F53CB4" w:rsidRPr="006A1EC7" w:rsidRDefault="00F53CB4" w:rsidP="00F53CB4">
      <w:pPr>
        <w:spacing w:line="360" w:lineRule="auto"/>
      </w:pPr>
    </w:p>
    <w:p w14:paraId="68D7CE66" w14:textId="77777777" w:rsidR="00F53CB4" w:rsidRPr="006A1EC7" w:rsidRDefault="00F53CB4" w:rsidP="00F53CB4">
      <w:pPr>
        <w:pStyle w:val="Heading5"/>
        <w:rPr>
          <w:rFonts w:ascii="Times New Roman" w:hAnsi="Times New Roman" w:cs="Times New Roman"/>
        </w:rPr>
      </w:pPr>
      <w:r w:rsidRPr="006A1EC7">
        <w:rPr>
          <w:rFonts w:ascii="Times New Roman" w:hAnsi="Times New Roman" w:cs="Times New Roman"/>
        </w:rPr>
        <w:t>Stability over time: intra-rater reliability</w:t>
      </w:r>
    </w:p>
    <w:p w14:paraId="3A16149E" w14:textId="77777777" w:rsidR="00F53CB4" w:rsidRPr="006A1EC7" w:rsidRDefault="00F53CB4" w:rsidP="00F53CB4">
      <w:pPr>
        <w:spacing w:line="360" w:lineRule="auto"/>
        <w:ind w:firstLine="720"/>
      </w:pPr>
      <w:r w:rsidRPr="006A1EC7">
        <w:t xml:space="preserve">Third, stability over time, referred to as intra-rater reliability, refers to how similar ratings on a specific scale are between administrations by the same person </w:t>
      </w:r>
      <w:r w:rsidRPr="006A1EC7">
        <w:fldChar w:fldCharType="begin" w:fldLock="1"/>
      </w:r>
      <w:r w:rsidRPr="006A1EC7">
        <w:instrText>ADDIN CSL_CITATION {"citationItems":[{"id":"ITEM-1","itemData":{"DOI":"10.1371/journal.pone.0151881","ISSN":"19326203","abstract":"© 2016 van Lummel et al. This is an open access article distributed under the terms of the Creative Commons Attribution License, which permits unrestricted use, distribution, and reproduction in anymedium, provided the original author and source are credited.Background The \"Timed Up and Go\" (TUG) is a widely used measure of physical functioning in older people and in neurological populations, including Parkinson's Disease. When using an inertial sensor measurement system (instrumented TUG [iTUG]), the individual components of the iTUG and the trunk kinematics can be measured separately, which may provide relevant additional information. Objective The aim of this study was to determine intra-rater, inter-rater and test-retest reliability of the iTUG in patients with Parkinson's Disease. Methods Twenty eight PD patients, aged 50 years or older, were included. For the iTUG the DynaPort Hybrid (McRoberts, The Hague, The Netherlands) was worn at the lower back. The device measured acceleration and angular velocity in three directions at a rate of 100 samples/s. Patients performed the iTUG five times on two consecutive days. Repeated measurements by the same rater on the same day were used to calculate intra-rater reliability. Repeated measurements by different raters on the same day were used to calculate intra-rater and inter-rater reliability. Repeated measurements by the same rater on different days were used to calculate test-retest reliability. Results Nineteen ICC values (15%) were ≥ 0.9 which is considered as excellent reliability. Sixty four ICC values (49%) were ≥ 0.70 and &lt; 0.90 which is considered as good reliability. Thirty one ICC values (24%) were ≥ 0.50 and &lt; 0.70, indicating moderate reliability. Sixteen ICC values (12%) were ≥ 0.30 and &lt; 0.50 indicating poor reliability. Two ICT values (2%) were &lt; 0.30 indicating very poor reliability. Conclusions In conclusion, in patients with Parkinson's disease the intra-rater, inter-rater, and test-retest reliability of the individual components of the instrumented TUG (iTUG) was excellent to good for total duration and for turning durations, and good to low for the sub durations and for the kinematics of the SiSt and StSi. The results of this fully automated analysis of instrumented TUG movements demonstrate that several reliable TUG parameters can be identified that provide a basis for a more precise, quantitative use of the TUG test, in clinical practice.","author":[{"dropping-particle":"","family":"Lummel","given":"Rob C.","non-dropping-particle":"Van","parse-names":false,"suffix":""},{"dropping-particle":"","family":"Walgaard","given":"Stefan","non-dropping-particle":"","parse-names":false,"suffix":""},{"dropping-particle":"","family":"Hobert","given":"Markus A.","non-dropping-particle":"","parse-names":false,"suffix":""},{"dropping-particle":"","family":"Maetzler","given":"Walter","non-dropping-particle":"","parse-names":false,"suffix":""},{"dropping-particle":"","family":"Dieën","given":"Jaap H.","non-dropping-particle":"Van","parse-names":false,"suffix":""},{"dropping-particle":"","family":"Galindo-Garre","given":"Francisca","non-dropping-particle":"","parse-names":false,"suffix":""},{"dropping-particle":"","family":"Terwee","given":"Caroline B.","non-dropping-particle":"","parse-names":false,"suffix":""}],"container-title":"PLoS ONE","id":"ITEM-1","issue":"3","issued":{"date-parts":[["2016"]]},"title":"Intra-rater, inter-rater and test-retest reliability of an instrumented timed up and Go (iTUG) test in patients with Parkinson's disease","type":"article-journal","volume":"11"},"uris":["http://www.mendeley.com/documents/?uuid=5f9f46b1-50ee-4a8a-a4bf-7cda764b7c42"]}],"mendeley":{"formattedCitation":"(Van Lummel et al., 2016)","plainTextFormattedCitation":"(Van Lummel et al., 2016)","previouslyFormattedCitation":"(Van Lummel et al., 2016)"},"properties":{"noteIndex":0},"schema":"https://github.com/citation-style-language/schema/raw/master/csl-citation.json"}</w:instrText>
      </w:r>
      <w:r w:rsidRPr="006A1EC7">
        <w:fldChar w:fldCharType="separate"/>
      </w:r>
      <w:r w:rsidRPr="006A1EC7">
        <w:rPr>
          <w:noProof/>
        </w:rPr>
        <w:t>(Van Lummel et al., 2016)</w:t>
      </w:r>
      <w:r w:rsidRPr="006A1EC7">
        <w:fldChar w:fldCharType="end"/>
      </w:r>
      <w:r w:rsidRPr="006A1EC7">
        <w:t xml:space="preserve">. To assess this, research participants are usually asked to perform the same test under the same conditions. A scale has high intra-rater reliability if similar scores are given across a minimum of two time points, providing the patient’s health status is stable. </w:t>
      </w:r>
    </w:p>
    <w:p w14:paraId="7C21CB02" w14:textId="77777777" w:rsidR="00F53CB4" w:rsidRPr="006A1EC7" w:rsidRDefault="00F53CB4" w:rsidP="00F53CB4">
      <w:pPr>
        <w:spacing w:line="360" w:lineRule="auto"/>
        <w:ind w:firstLine="720"/>
      </w:pPr>
      <w:r w:rsidRPr="006A1EC7">
        <w:t xml:space="preserve">Although often used interchangeably, intra-rater reliability is not synonymous with test-re-test reliability. While both attempt to measure stability over time, different methods are used to achieve this goal </w:t>
      </w:r>
      <w:r w:rsidRPr="006A1EC7">
        <w:fldChar w:fldCharType="begin" w:fldLock="1"/>
      </w:r>
      <w:r w:rsidRPr="006A1EC7">
        <w:instrText>ADDIN CSL_CITATION {"citationItems":[{"id":"ITEM-1","itemData":{"DOI":"10.1371/journal.pone.0151881","ISSN":"19326203","abstract":"© 2016 van Lummel et al. This is an open access article distributed under the terms of the Creative Commons Attribution License, which permits unrestricted use, distribution, and reproduction in anymedium, provided the original author and source are credited.Background The \"Timed Up and Go\" (TUG) is a widely used measure of physical functioning in older people and in neurological populations, including Parkinson's Disease. When using an inertial sensor measurement system (instrumented TUG [iTUG]), the individual components of the iTUG and the trunk kinematics can be measured separately, which may provide relevant additional information. Objective The aim of this study was to determine intra-rater, inter-rater and test-retest reliability of the iTUG in patients with Parkinson's Disease. Methods Twenty eight PD patients, aged 50 years or older, were included. For the iTUG the DynaPort Hybrid (McRoberts, The Hague, The Netherlands) was worn at the lower back. The device measured acceleration and angular velocity in three directions at a rate of 100 samples/s. Patients performed the iTUG five times on two consecutive days. Repeated measurements by the same rater on the same day were used to calculate intra-rater reliability. Repeated measurements by different raters on the same day were used to calculate intra-rater and inter-rater reliability. Repeated measurements by the same rater on different days were used to calculate test-retest reliability. Results Nineteen ICC values (15%) were ≥ 0.9 which is considered as excellent reliability. Sixty four ICC values (49%) were ≥ 0.70 and &lt; 0.90 which is considered as good reliability. Thirty one ICC values (24%) were ≥ 0.50 and &lt; 0.70, indicating moderate reliability. Sixteen ICC values (12%) were ≥ 0.30 and &lt; 0.50 indicating poor reliability. Two ICT values (2%) were &lt; 0.30 indicating very poor reliability. Conclusions In conclusion, in patients with Parkinson's disease the intra-rater, inter-rater, and test-retest reliability of the individual components of the instrumented TUG (iTUG) was excellent to good for total duration and for turning durations, and good to low for the sub durations and for the kinematics of the SiSt and StSi. The results of this fully automated analysis of instrumented TUG movements demonstrate that several reliable TUG parameters can be identified that provide a basis for a more precise, quantitative use of the TUG test, in clinical practice.","author":[{"dropping-particle":"","family":"Lummel","given":"Rob C.","non-dropping-particle":"Van","parse-names":false,"suffix":""},{"dropping-particle":"","family":"Walgaard","given":"Stefan","non-dropping-particle":"","parse-names":false,"suffix":""},{"dropping-particle":"","family":"Hobert","given":"Markus A.","non-dropping-particle":"","parse-names":false,"suffix":""},{"dropping-particle":"","family":"Maetzler","given":"Walter","non-dropping-particle":"","parse-names":false,"suffix":""},{"dropping-particle":"","family":"Dieën","given":"Jaap H.","non-dropping-particle":"Van","parse-names":false,"suffix":""},{"dropping-particle":"","family":"Galindo-Garre","given":"Francisca","non-dropping-particle":"","parse-names":false,"suffix":""},{"dropping-particle":"","family":"Terwee","given":"Caroline B.","non-dropping-particle":"","parse-names":false,"suffix":""}],"container-title":"PLoS ONE","id":"ITEM-1","issue":"3","issued":{"date-parts":[["2016"]]},"title":"Intra-rater, inter-rater and test-retest reliability of an instrumented timed up and Go (iTUG) test in patients with Parkinson's disease","type":"article-journal","volume":"11"},"uris":["http://www.mendeley.com/documents/?uuid=5f9f46b1-50ee-4a8a-a4bf-7cda764b7c42"]}],"mendeley":{"formattedCitation":"(Van Lummel et al., 2016)","plainTextFormattedCitation":"(Van Lummel et al., 2016)","previouslyFormattedCitation":"(Van Lummel et al., 2016)"},"properties":{"noteIndex":0},"schema":"https://github.com/citation-style-language/schema/raw/master/csl-citation.json"}</w:instrText>
      </w:r>
      <w:r w:rsidRPr="006A1EC7">
        <w:fldChar w:fldCharType="separate"/>
      </w:r>
      <w:r w:rsidRPr="006A1EC7">
        <w:rPr>
          <w:noProof/>
        </w:rPr>
        <w:t>(Van Lummel et al., 2016)</w:t>
      </w:r>
      <w:r w:rsidRPr="006A1EC7">
        <w:fldChar w:fldCharType="end"/>
      </w:r>
      <w:r w:rsidRPr="006A1EC7">
        <w:t xml:space="preserve">. Test re-test reliability would refer to subjects completing self-assessments, while intra-rater reliability refers to ratings obtained by ‘raters’ about someone else </w:t>
      </w:r>
      <w:r w:rsidRPr="006A1EC7">
        <w:fldChar w:fldCharType="begin" w:fldLock="1"/>
      </w:r>
      <w:r w:rsidRPr="006A1EC7">
        <w:instrText>ADDIN CSL_CITATION {"citationItems":[{"id":"ITEM-1","itemData":{"DOI":"10.1016/j.jcm.2016.02.012","ISSN":"1556-3707","PMID":"27330520","abstract":"Objective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medicine","id":"ITEM-1","issue":"2","issued":{"date-parts":[["2016"]]},"page":"155-63","title":"A Guideline of Selecting and Reporting Intraclass Correlation Coefficients for Reliability Research.","type":"article-journal","volume":"15"},"uris":["http://www.mendeley.com/documents/?uuid=f83ff027-460f-4b9e-b0cf-0fdcf74b4aa7"]}],"mendeley":{"formattedCitation":"(Koo &amp; Li, 2016b)","plainTextFormattedCitation":"(Koo &amp; Li, 2016b)","previouslyFormattedCitation":"(Koo &amp; Li, 2016b)"},"properties":{"noteIndex":0},"schema":"https://github.com/citation-style-language/schema/raw/master/csl-citation.json"}</w:instrText>
      </w:r>
      <w:r w:rsidRPr="006A1EC7">
        <w:fldChar w:fldCharType="separate"/>
      </w:r>
      <w:r w:rsidRPr="006A1EC7">
        <w:rPr>
          <w:noProof/>
        </w:rPr>
        <w:t>(Koo &amp; Li, 2016b)</w:t>
      </w:r>
      <w:r w:rsidRPr="006A1EC7">
        <w:fldChar w:fldCharType="end"/>
      </w:r>
      <w:r w:rsidRPr="006A1EC7">
        <w:t xml:space="preserve">, such as health status, functioning, state of mind. </w:t>
      </w:r>
    </w:p>
    <w:p w14:paraId="37761539" w14:textId="77777777" w:rsidR="00F53CB4" w:rsidRPr="006A1EC7" w:rsidRDefault="00F53CB4" w:rsidP="00F53CB4">
      <w:pPr>
        <w:spacing w:line="360" w:lineRule="auto"/>
        <w:ind w:firstLine="720"/>
      </w:pPr>
      <w:r w:rsidRPr="006A1EC7">
        <w:t xml:space="preserve">Intra-rater reliability can be calculated in a number of ways; and there is no ‘gold standard test’ for intra-rater reliability. The choice of tests largely depends on the data and context of analyses </w:t>
      </w:r>
      <w:r w:rsidRPr="006A1EC7">
        <w:fldChar w:fldCharType="begin" w:fldLock="1"/>
      </w:r>
      <w:r w:rsidRPr="006A1EC7">
        <w:instrText>ADDIN CSL_CITATION {"citationItems":[{"id":"ITEM-1","itemData":{"DOI":"10.4135/9781412995627.d5","ISBN":"9781412940658","author":[{"dropping-particle":"","family":"Stemler","given":"Steven E.","non-dropping-particle":"","parse-names":false,"suffix":""},{"dropping-particle":"","family":"Tsai","given":"Jessica","non-dropping-particle":"","parse-names":false,"suffix":""}],"container-title":"Best Practices in Quantitative Methods","editor":[{"dropping-particle":"","family":"Osborne","given":"Jason","non-dropping-particle":"","parse-names":false,"suffix":""}],"id":"ITEM-1","issued":{"date-parts":[["2011"]]},"page":"29-49","publisher":"Sage Publication","publisher-place":"Thousand Oaks","title":"Best Practices in Interrater Reliability Three Common Approaches","type":"chapter"},"uris":["http://www.mendeley.com/documents/?uuid=eaa107a7-868b-4d9f-8e5a-4af37e4d67b0"]}],"mendeley":{"formattedCitation":"(Stemler &amp; Tsai, 2011)","plainTextFormattedCitation":"(Stemler &amp; Tsai, 2011)","previouslyFormattedCitation":"(Stemler &amp; Tsai, 2011)"},"properties":{"noteIndex":0},"schema":"https://github.com/citation-style-language/schema/raw/master/csl-citation.json"}</w:instrText>
      </w:r>
      <w:r w:rsidRPr="006A1EC7">
        <w:fldChar w:fldCharType="separate"/>
      </w:r>
      <w:r w:rsidRPr="006A1EC7">
        <w:rPr>
          <w:noProof/>
        </w:rPr>
        <w:t>(Stemler &amp; Tsai, 2011)</w:t>
      </w:r>
      <w:r w:rsidRPr="006A1EC7">
        <w:fldChar w:fldCharType="end"/>
      </w:r>
      <w:r w:rsidRPr="006A1EC7">
        <w:t xml:space="preserve">. Generally, there are three approaches for assessing intra-rater reliability: In the first instance, one may simply wish to compare the means of scores obtained at time 1 with those compared at time 2 </w:t>
      </w:r>
      <w:r w:rsidRPr="006A1EC7">
        <w:fldChar w:fldCharType="begin" w:fldLock="1"/>
      </w:r>
      <w:r w:rsidRPr="006A1EC7">
        <w:instrText>ADDIN CSL_CITATION {"citationItems":[{"id":"ITEM-1","itemData":{"ISSN":"20083866","abstract":"OBJECTIVE(S) Reliability measures precision or the extent to which test results can be replicated. This is the first ever systematic review to identify statistical methods used to measure reliability of equipment measuring continuous variables. This studyalso aims to highlight the inappropriate statistical method used in the reliability analysis and its implication in the medical practice. MATERIALS AND METHODS In 2010, five electronic databases were searched between 2007 and 2009 to look for reliability studies. A total of 5,795 titles were initially identified. Only 282 titles were potentially related, and finally 42 fitted the inclusion criteria. RESULTS The Intra-class Correlation Coefficient (ICC) is the most popular method with 25 (60%) studies having used this method followed by the comparing means (8 or 19%). Out of 25 studies using the ICC, only 7 (28%) reported the confidence intervals and types of ICC used. Most studies (71%) also tested the agreement of instruments. CONCLUSION This study finds that the Intra-class Correlation Coefficient is the most popular method used to assess the reliability of medical instruments measuring continuous outcomes. There are also inappropriate applications and interpretations of statistical methods in some studies. It is important for medical researchers to be aware of this issue, and be able to correctly perform analysis in reliability studies.","author":[{"dropping-particle":"","family":"Zaki","given":"Rafdzah","non-dropping-particle":"","parse-names":false,"suffix":""},{"dropping-particle":"","family":"Bulgiba","given":"Awang","non-dropping-particle":"","parse-names":false,"suffix":""},{"dropping-particle":"","family":"Nordin","given":"Noorhaire","non-dropping-particle":"","parse-names":false,"suffix":""},{"dropping-particle":"","family":"Ismail","given":"Noor Azina","non-dropping-particle":"","parse-names":false,"suffix":""}],"container-title":"Iranian Journal of Basic Medical Sciences","id":"ITEM-1","issue":"6","issued":{"date-parts":[["2013"]]},"page":"803-807","title":"A systematic review of statistical methods used to test for reliability of medical instruments measuring continuous variables","type":"article-journal","volume":"16"},"uris":["http://www.mendeley.com/documents/?uuid=ef58876f-700f-4341-b4da-79517b0aa49e"]}],"mendeley":{"formattedCitation":"(Zaki et al., 2013)","plainTextFormattedCitation":"(Zaki et al., 2013)","previouslyFormattedCitation":"(Zaki et al., 2013)"},"properties":{"noteIndex":0},"schema":"https://github.com/citation-style-language/schema/raw/master/csl-citation.json"}</w:instrText>
      </w:r>
      <w:r w:rsidRPr="006A1EC7">
        <w:fldChar w:fldCharType="separate"/>
      </w:r>
      <w:r w:rsidRPr="006A1EC7">
        <w:rPr>
          <w:noProof/>
        </w:rPr>
        <w:t>(Zaki et al., 2013)</w:t>
      </w:r>
      <w:r w:rsidRPr="006A1EC7">
        <w:fldChar w:fldCharType="end"/>
      </w:r>
      <w:r w:rsidRPr="006A1EC7">
        <w:t xml:space="preserve"> and calculate a percentage of agreement for each rater. However, as before, the limitations of potential loss of meaning and simplicity also apply. Alternatives are the calculation of correlation coefficients (both Pearson’s r and Spearman’s rho) or the use of ICCs </w:t>
      </w:r>
      <w:r w:rsidRPr="006A1EC7">
        <w:fldChar w:fldCharType="begin" w:fldLock="1"/>
      </w:r>
      <w:r w:rsidRPr="006A1EC7">
        <w:instrText>ADDIN CSL_CITATION {"citationItems":[{"id":"ITEM-1","itemData":{"ISSN":"20083866","abstract":"OBJECTIVE(S) Reliability measures precision or the extent to which test results can be replicated. This is the first ever systematic review to identify statistical methods used to measure reliability of equipment measuring continuous variables. This studyalso aims to highlight the inappropriate statistical method used in the reliability analysis and its implication in the medical practice. MATERIALS AND METHODS In 2010, five electronic databases were searched between 2007 and 2009 to look for reliability studies. A total of 5,795 titles were initially identified. Only 282 titles were potentially related, and finally 42 fitted the inclusion criteria. RESULTS The Intra-class Correlation Coefficient (ICC) is the most popular method with 25 (60%) studies having used this method followed by the comparing means (8 or 19%). Out of 25 studies using the ICC, only 7 (28%) reported the confidence intervals and types of ICC used. Most studies (71%) also tested the agreement of instruments. CONCLUSION This study finds that the Intra-class Correlation Coefficient is the most popular method used to assess the reliability of medical instruments measuring continuous outcomes. There are also inappropriate applications and interpretations of statistical methods in some studies. It is important for medical researchers to be aware of this issue, and be able to correctly perform analysis in reliability studies.","author":[{"dropping-particle":"","family":"Zaki","given":"Rafdzah","non-dropping-particle":"","parse-names":false,"suffix":""},{"dropping-particle":"","family":"Bulgiba","given":"Awang","non-dropping-particle":"","parse-names":false,"suffix":""},{"dropping-particle":"","family":"Nordin","given":"Noorhaire","non-dropping-particle":"","parse-names":false,"suffix":""},{"dropping-particle":"","family":"Ismail","given":"Noor Azina","non-dropping-particle":"","parse-names":false,"suffix":""}],"container-title":"Iranian Journal of Basic Medical Sciences","id":"ITEM-1","issue":"6","issued":{"date-parts":[["2013"]]},"page":"803-807","title":"A systematic review of statistical methods used to test for reliability of medical instruments measuring continuous variables","type":"article-journal","volume":"16"},"uris":["http://www.mendeley.com/documents/?uuid=ef58876f-700f-4341-b4da-79517b0aa49e"]},{"id":"ITEM-2","itemData":{"DOI":"10.1371/journal.pone.0151881","ISSN":"19326203","abstract":"© 2016 van Lummel et al. This is an open access article distributed under the terms of the Creative Commons Attribution License, which permits unrestricted use, distribution, and reproduction in anymedium, provided the original author and source are credited.Background The \"Timed Up and Go\" (TUG) is a widely used measure of physical functioning in older people and in neurological populations, including Parkinson's Disease. When using an inertial sensor measurement system (instrumented TUG [iTUG]), the individual components of the iTUG and the trunk kinematics can be measured separately, which may provide relevant additional information. Objective The aim of this study was to determine intra-rater, inter-rater and test-retest reliability of the iTUG in patients with Parkinson's Disease. Methods Twenty eight PD patients, aged 50 years or older, were included. For the iTUG the DynaPort Hybrid (McRoberts, The Hague, The Netherlands) was worn at the lower back. The device measured acceleration and angular velocity in three directions at a rate of 100 samples/s. Patients performed the iTUG five times on two consecutive days. Repeated measurements by the same rater on the same day were used to calculate intra-rater reliability. Repeated measurements by different raters on the same day were used to calculate intra-rater and inter-rater reliability. Repeated measurements by the same rater on different days were used to calculate test-retest reliability. Results Nineteen ICC values (15%) were ≥ 0.9 which is considered as excellent reliability. Sixty four ICC values (49%) were ≥ 0.70 and &lt; 0.90 which is considered as good reliability. Thirty one ICC values (24%) were ≥ 0.50 and &lt; 0.70, indicating moderate reliability. Sixteen ICC values (12%) were ≥ 0.30 and &lt; 0.50 indicating poor reliability. Two ICT values (2%) were &lt; 0.30 indicating very poor reliability. Conclusions In conclusion, in patients with Parkinson's disease the intra-rater, inter-rater, and test-retest reliability of the individual components of the instrumented TUG (iTUG) was excellent to good for total duration and for turning durations, and good to low for the sub durations and for the kinematics of the SiSt and StSi. The results of this fully automated analysis of instrumented TUG movements demonstrate that several reliable TUG parameters can be identified that provide a basis for a more precise, quantitative use of the TUG test, in clinical practice.","author":[{"dropping-particle":"","family":"Lummel","given":"Rob C.","non-dropping-particle":"Van","parse-names":false,"suffix":""},{"dropping-particle":"","family":"Walgaard","given":"Stefan","non-dropping-particle":"","parse-names":false,"suffix":""},{"dropping-particle":"","family":"Hobert","given":"Markus A.","non-dropping-particle":"","parse-names":false,"suffix":""},{"dropping-particle":"","family":"Maetzler","given":"Walter","non-dropping-particle":"","parse-names":false,"suffix":""},{"dropping-particle":"","family":"Dieën","given":"Jaap H.","non-dropping-particle":"Van","parse-names":false,"suffix":""},{"dropping-particle":"","family":"Galindo-Garre","given":"Francisca","non-dropping-particle":"","parse-names":false,"suffix":""},{"dropping-particle":"","family":"Terwee","given":"Caroline B.","non-dropping-particle":"","parse-names":false,"suffix":""}],"container-title":"PLoS ONE","id":"ITEM-2","issue":"3","issued":{"date-parts":[["2016"]]},"title":"Intra-rater, inter-rater and test-retest reliability of an instrumented timed up and Go (iTUG) test in patients with Parkinson's disease","type":"article-journal","volume":"11"},"uris":["http://www.mendeley.com/documents/?uuid=5f9f46b1-50ee-4a8a-a4bf-7cda764b7c42"]},{"id":"ITEM-3","itemData":{"DOI":"10.3389/fpsyg.2014.00509","abstract":"This report has two main purposes. First, we combine well-known analytical approaches to conduct a comprehensive assessment of agreement and correlation of rating-pairs and to dis-entangle these often confused concepts, providing a best-practice example on concrete data and a tutorial for future reference. Second, we explore whether a screening questionnaire developed for use with parents can be reliably employed with daycare teachers when assessing early expressive vocabulary. A total of 53 vocabulary rating pairs (34 parent–teacher and 19 mother–father pairs) collected for two-year-old children (12 bilingual) are evaluated. First, inter-rater reliability both within and across subgroups is assessed using the intra-class correlation coefficient (ICC). Next, based on this analysis of reliability and on the test-retest reliability of the employed tool, inter-rater agreement is analyzed, magnitude and direction of rating differences are considered. Finally, Pearson correlation coefficients of standardized vocabulary scores are calculated and compared across subgroups. The results underline the necessity to distinguish between reliability measures, agreement and correlation. They also demonstrate the impact of the employed reliability on agreement evaluations. This study provides evidence that parent–teacher ratings of children's early vocabulary can achieve agreement and correlation comparable to those of mother–father ratings on the assessed vocabulary scale. Bilingualism of the evaluated child decreased the likelihood of raters' agreement. We conclude that future reports of agreement, correlation and reliability of ratings will benefit from better definition of terms and stricter methodological approaches. The methodological tutorial provided here holds the potential to increase comparability across empirical reports and can help improve research practices and knowledge transfer to educational and therapeutic settings.","author":[{"dropping-particle":"","family":"Stolarova","given":"Margarita","non-dropping-particle":"","parse-names":false,"suffix":""},{"dropping-particle":"","family":"Wolf","given":"Corinna","non-dropping-particle":"","parse-names":false,"suffix":""},{"dropping-particle":"","family":"Rinker","given":"Tanja","non-dropping-particle":"","parse-names":false,"suffix":""},{"dropping-particle":"","family":"Brielmann","given":"Aenne","non-dropping-particle":"","parse-names":false,"suffix":""}],"container-title":"Frontiers in Psychology","id":"ITEM-3","issued":{"date-parts":[["2014"]]},"title":"How to assess and compare inter-rater reliability, agreement and correlation of ratings: an exemplary analysis of mother-father and parent-teacher expressive vocabulary rating pairs","type":"article-journal","volume":"5"},"uris":["http://www.mendeley.com/documents/?uuid=94400330-8626-4f5e-b113-d919d1ad3c4a"]}],"mendeley":{"formattedCitation":"(Stolarova et al., 2014; Van Lummel et al., 2016; Zaki et al., 2013)","plainTextFormattedCitation":"(Stolarova et al., 2014; Van Lummel et al., 2016; Zaki et al., 2013)","previouslyFormattedCitation":"(Stolarova et al., 2014; Van Lummel et al., 2016; Zaki et al., 2013)"},"properties":{"noteIndex":0},"schema":"https://github.com/citation-style-language/schema/raw/master/csl-citation.json"}</w:instrText>
      </w:r>
      <w:r w:rsidRPr="006A1EC7">
        <w:fldChar w:fldCharType="separate"/>
      </w:r>
      <w:r w:rsidRPr="006A1EC7">
        <w:rPr>
          <w:noProof/>
        </w:rPr>
        <w:t>(Stolarova et al., 2014; Van Lummel et al., 2016; Zaki et al., 2013)</w:t>
      </w:r>
      <w:r w:rsidRPr="006A1EC7">
        <w:fldChar w:fldCharType="end"/>
      </w:r>
      <w:r w:rsidRPr="006A1EC7">
        <w:t xml:space="preserve">. </w:t>
      </w:r>
    </w:p>
    <w:p w14:paraId="4818EB2C" w14:textId="77777777" w:rsidR="00F53CB4" w:rsidRPr="006A1EC7" w:rsidRDefault="00F53CB4" w:rsidP="00F53CB4">
      <w:pPr>
        <w:spacing w:line="360" w:lineRule="auto"/>
      </w:pPr>
    </w:p>
    <w:p w14:paraId="7F02CB0D" w14:textId="77777777" w:rsidR="00F53CB4" w:rsidRPr="006A1EC7" w:rsidRDefault="00F53CB4" w:rsidP="00F53CB4">
      <w:pPr>
        <w:pStyle w:val="Heading4"/>
        <w:rPr>
          <w:rFonts w:ascii="Times New Roman" w:hAnsi="Times New Roman" w:cs="Times New Roman"/>
        </w:rPr>
      </w:pPr>
      <w:r w:rsidRPr="006A1EC7">
        <w:rPr>
          <w:rFonts w:ascii="Times New Roman" w:hAnsi="Times New Roman" w:cs="Times New Roman"/>
        </w:rPr>
        <w:t>Construct Validity</w:t>
      </w:r>
    </w:p>
    <w:p w14:paraId="2934AA49" w14:textId="77777777" w:rsidR="00F53CB4" w:rsidRPr="006A1EC7" w:rsidRDefault="00F53CB4" w:rsidP="00F53CB4">
      <w:pPr>
        <w:spacing w:line="360" w:lineRule="auto"/>
        <w:ind w:firstLine="720"/>
        <w:rPr>
          <w:color w:val="000000" w:themeColor="text1"/>
        </w:rPr>
      </w:pPr>
      <w:r w:rsidRPr="006A1EC7">
        <w:rPr>
          <w:color w:val="000000" w:themeColor="text1"/>
        </w:rPr>
        <w:t xml:space="preserve">The concept of validity has been discussed repeatedly throughout this thesis, and efforts have been taken to demonstrate validity during its development. Content and face validity have already been documented (Chapter 6). After assessment of content validity, the construct validity of the current instrument will be assessed in this chapter. Construct validity refers to how well responses are made in relation to pre-set predictions or expectations </w:t>
      </w:r>
      <w:r w:rsidRPr="006A1EC7">
        <w:rPr>
          <w:color w:val="000000" w:themeColor="text1"/>
        </w:rPr>
        <w:fldChar w:fldCharType="begin" w:fldLock="1"/>
      </w:r>
      <w:r w:rsidRPr="006A1EC7">
        <w:rPr>
          <w:color w:val="000000" w:themeColor="text1"/>
        </w:rPr>
        <w:instrText>ADDIN CSL_CITATION {"citationItems":[{"id":"ITEM-1","itemData":{"author":[{"dropping-particle":"","family":"DeVellis","given":"Robert F","non-dropping-particle":"","parse-names":false,"suffix":""}],"edition":"4th","id":"ITEM-1","issued":{"date-parts":[["2017"]]},"publisher":"SAGE Publications Inc.","publisher-place":"Los Angeles","title":"Scale development: Theory and Applications","type":"book"},"locator":"95","uris":["http://www.mendeley.com/documents/?uuid=0316ab82-7ed3-4f19-b5e0-edf860dc28e5"]}],"mendeley":{"formattedCitation":"(DeVellis, 2017, p. 95)","manualFormatting":"(DeVellis, 2017)","plainTextFormattedCitation":"(DeVellis, 2017, p. 95)","previouslyFormattedCitation":"(DeVellis, 2017, p. 95)"},"properties":{"noteIndex":0},"schema":"https://github.com/citation-style-language/schema/raw/master/csl-citation.json"}</w:instrText>
      </w:r>
      <w:r w:rsidRPr="006A1EC7">
        <w:rPr>
          <w:color w:val="000000" w:themeColor="text1"/>
        </w:rPr>
        <w:fldChar w:fldCharType="separate"/>
      </w:r>
      <w:r w:rsidRPr="006A1EC7">
        <w:rPr>
          <w:noProof/>
          <w:color w:val="000000" w:themeColor="text1"/>
        </w:rPr>
        <w:t>(DeVellis, 2017)</w:t>
      </w:r>
      <w:r w:rsidRPr="006A1EC7">
        <w:rPr>
          <w:color w:val="000000" w:themeColor="text1"/>
        </w:rPr>
        <w:fldChar w:fldCharType="end"/>
      </w:r>
      <w:r w:rsidRPr="006A1EC7">
        <w:rPr>
          <w:color w:val="000000" w:themeColor="text1"/>
        </w:rPr>
        <w:t xml:space="preserve">, and relies on the researcher to make </w:t>
      </w:r>
      <w:r w:rsidRPr="006A1EC7">
        <w:rPr>
          <w:color w:val="000000" w:themeColor="text1"/>
        </w:rPr>
        <w:lastRenderedPageBreak/>
        <w:t xml:space="preserve">predictions, or hypotheses, about potential scores on an outcome measure for particular situations, or relationships between variables </w:t>
      </w:r>
      <w:r w:rsidRPr="006A1EC7">
        <w:rPr>
          <w:color w:val="000000" w:themeColor="text1"/>
        </w:rPr>
        <w:fldChar w:fldCharType="begin" w:fldLock="1"/>
      </w:r>
      <w:r w:rsidRPr="006A1EC7">
        <w:rPr>
          <w:color w:val="000000" w:themeColor="text1"/>
        </w:rPr>
        <w:instrText>ADDIN CSL_CITATION {"citationItems":[{"id":"ITEM-1","itemData":{"ISBN":"9780761926092","author":[{"dropping-particle":"","family":"Mathison","given":"Sandra","non-dropping-particle":"","parse-names":false,"suffix":""}],"container-title":"Encyclopedia of Evaluation","id":"ITEM-1","issued":{"date-parts":[["2019"]]},"publisher":"Sage Publication","publisher-place":"Thousand Oaks, California","title":"Construct Validity","type":"chapter"},"uris":["http://www.mendeley.com/documents/?uuid=1334b2b2-f6ec-48bb-813a-bde9e90d7bd1"]},{"id":"ITEM-2","itemData":{"author":[{"dropping-particle":"","family":"Sireci","given":"Stephen G","non-dropping-particle":"","parse-names":false,"suffix":""}],"container-title":"Social Indicators Research","id":"ITEM-2","issued":{"date-parts":[["1998"]]},"page":"83-117","title":"The Construct of Content Validity","type":"article-journal","volume":"45"},"uris":["http://www.mendeley.com/documents/?uuid=1ff67bf0-b4e6-4460-9d98-251cfeeba984"]}],"mendeley":{"formattedCitation":"(Mathison, 2019; Sireci, 1998)","plainTextFormattedCitation":"(Mathison, 2019; Sireci, 1998)","previouslyFormattedCitation":"(Mathison, 2019; Sireci, 1998)"},"properties":{"noteIndex":0},"schema":"https://github.com/citation-style-language/schema/raw/master/csl-citation.json"}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(Mathison, 2019; Sireci, 1998)</w:t>
      </w:r>
      <w:r w:rsidRPr="006A1EC7">
        <w:rPr>
          <w:color w:val="000000" w:themeColor="text1"/>
        </w:rPr>
        <w:fldChar w:fldCharType="end"/>
      </w:r>
      <w:r w:rsidRPr="006A1EC7">
        <w:rPr>
          <w:color w:val="000000" w:themeColor="text1"/>
        </w:rPr>
        <w:t xml:space="preserve">. </w:t>
      </w:r>
    </w:p>
    <w:p w14:paraId="64757009" w14:textId="77777777" w:rsidR="00F53CB4" w:rsidRPr="006A1EC7" w:rsidRDefault="00F53CB4" w:rsidP="00F53CB4">
      <w:pPr>
        <w:spacing w:line="360" w:lineRule="auto"/>
        <w:rPr>
          <w:color w:val="000000" w:themeColor="text1"/>
        </w:rPr>
      </w:pPr>
      <w:r w:rsidRPr="006A1EC7">
        <w:rPr>
          <w:color w:val="000000" w:themeColor="text1"/>
        </w:rPr>
        <w:t xml:space="preserve">In a sense, the developed CF already provides an overview of (hypothesised) relationships between Wolf-Hirschhorn syndrome and its underlying factors or, as they are called in the CF, domains. However, so far, the relationships between CF and underlying factors are not statistically supported. </w:t>
      </w:r>
    </w:p>
    <w:p w14:paraId="0857E7FC" w14:textId="77777777" w:rsidR="00F53CB4" w:rsidRPr="006A1EC7" w:rsidRDefault="00F53CB4" w:rsidP="00F53CB4">
      <w:pPr>
        <w:spacing w:line="360" w:lineRule="auto"/>
        <w:ind w:firstLine="720"/>
        <w:rPr>
          <w:color w:val="000000" w:themeColor="text1"/>
        </w:rPr>
      </w:pPr>
      <w:r w:rsidRPr="006A1EC7">
        <w:rPr>
          <w:color w:val="000000" w:themeColor="text1"/>
        </w:rPr>
        <w:t xml:space="preserve">One way to assess the construct validity of the measure is to explore the underlying factor structure is via the application of statistical tests such as Factor Analysis (FA) </w:t>
      </w:r>
      <w:r w:rsidRPr="006A1EC7">
        <w:fldChar w:fldCharType="begin" w:fldLock="1"/>
      </w:r>
      <w:r w:rsidRPr="006A1EC7">
        <w:instrText>ADDIN CSL_CITATION {"citationItems":[{"id":"ITEM-1","itemData":{"DOI":"10.1590/0034-7167.2016690412i","ISSN":"0034-7167","author":[{"dropping-particle":"","family":"Pedrosa","given":"Rafaela Batista Dos Santos","non-dropping-particle":"","parse-names":false,"suffix":""},{"dropping-particle":"","family":"Rodrigues","given":"Roberta Cunha Matheus","non-dropping-particle":"","parse-names":false,"suffix":""},{"dropping-particle":"","family":"Alexandre","given":"Neusa Maria Costa","non-dropping-particle":"","parse-names":false,"suffix":""},{"dropping-particle":"","family":"Padilha","given":"Kátia Melissa","non-dropping-particle":"","parse-names":false,"suffix":""},{"dropping-particle":"","family":"Gallani","given":"Maria Cecília Bueno Jayme","non-dropping-particle":"","parse-names":false,"suffix":""}],"container-title":"Revista brasileira de enfermagem","id":"ITEM-1","issue":"4","issued":{"date-parts":[["2016"]]},"page":"697-704","title":"Factor analysis of an instrument to measure the impact of disease on daily life","type":"article-journal","volume":"69"},"uris":["http://www.mendeley.com/documents/?uuid=e878f48e-44e4-4457-9afb-91ff08d15bdf"]},{"id":"ITEM-2","itemData":{"DOI":"10.1200/jco.2010.28.15_suppl.e19505","ISSN":"0732-183X","author":[{"dropping-particle":"","family":"Atkinson","given":"T. M.","non-dropping-particle":"","parse-names":false,"suffix":""},{"dropping-particle":"","family":"Sit","given":"L.","non-dropping-particle":"","parse-names":false,"suffix":""},{"dropping-particle":"","family":"Mendoza","given":"T. R.","non-dropping-particle":"","parse-names":false,"suffix":""},{"dropping-particle":"","family":"Fruscione","given":"M.","non-dropping-particle":"","parse-names":false,"suffix":""},{"dropping-particle":"","family":"Lavene","given":"D.","non-dropping-particle":"","parse-names":false,"suffix":""},{"dropping-particle":"","family":"Shaw","given":"M.","non-dropping-particle":"","parse-names":false,"suffix":""},{"dropping-particle":"","family":"Breitbart","given":"W.","non-dropping-particle":"","parse-names":false,"suffix":""},{"dropping-particle":"","family":"Rosenfeld","given":"B.","non-dropping-particle":"","parse-names":false,"suffix":""},{"dropping-particle":"","family":"Cleeland","given":"C. S.","non-dropping-particle":"","parse-names":false,"suffix":""},{"dropping-particle":"","family":"Basch","given":"E. M.","non-dropping-particle":"","parse-names":false,"suffix":""}],"container-title":"Journal of Clinical Oncology","id":"ITEM-2","issue":"15_suppl","issued":{"date-parts":[["2017"]]},"page":"e19505-e19505","title":"Confirmatory factor analysis to evaluate construct validity of the Brief Pain Inventory (BPI).","type":"article-journal","volume":"28"},"uris":["http://www.mendeley.com/documents/?uuid=b59d3619-2c0e-4689-b532-2a0b327748e3"]},{"id":"ITEM-3","itemData":{"author":[{"dropping-particle":"","family":"Young","given":"T","non-dropping-particle":"","parse-names":false,"suffix":""},{"dropping-particle":"","family":"Brazier","given":"J","non-dropping-particle":"","parse-names":false,"suffix":""},{"dropping-particle":"","family":"Tsuchiya","given":"A","non-dropping-particle":"","parse-names":false,"suffix":""},{"dropping-particle":"","family":"Coyne","given":"K","non-dropping-particle":"","parse-names":false,"suffix":""}],"container-title":"Quality of Life Research","id":"ITEM-3","issued":{"date-parts":[["2009"]]},"title":"Making Rasch decisions: The use of Rasch analysis in the consturction for preference based health related quality of life instruments.","type":"article-journal"},"uris":["http://www.mendeley.com/documents/?uuid=53b1fa6d-56a3-4eed-b718-451b8e1c80e2"]}],"mendeley":{"formattedCitation":"(Atkinson et al., 2017; Pedrosa, Rodrigues, Alexandre, Padilha, &amp; Gallani, 2016; Young, Brazier, Tsuchiya, &amp; Coyne, 2009)","plainTextFormattedCitation":"(Atkinson et al., 2017; Pedrosa, Rodrigues, Alexandre, Padilha, &amp; Gallani, 2016; Young, Brazier, Tsuchiya, &amp; Coyne, 2009)","previouslyFormattedCitation":"(Atkinson et al., 2017; Pedrosa, Rodrigues, Alexandre, Padilha, &amp; Gallani, 2016; Young, Brazier, Tsuchiya, &amp; Coyne, 2009)"},"properties":{"noteIndex":0},"schema":"https://github.com/citation-style-language/schema/raw/master/csl-citation.json"}</w:instrText>
      </w:r>
      <w:r w:rsidRPr="006A1EC7">
        <w:fldChar w:fldCharType="separate"/>
      </w:r>
      <w:r w:rsidRPr="006A1EC7">
        <w:rPr>
          <w:noProof/>
        </w:rPr>
        <w:t>(Atkinson et al., 2017; Pedrosa, Rodrigues, Alexandre, Padilha, &amp; Gallani, 2016; Young, Brazier, Tsuchiya, &amp; Coyne, 2009)</w:t>
      </w:r>
      <w:r w:rsidRPr="006A1EC7">
        <w:fldChar w:fldCharType="end"/>
      </w:r>
      <w:r w:rsidRPr="006A1EC7">
        <w:t xml:space="preserve">. </w:t>
      </w:r>
      <w:r w:rsidRPr="006A1EC7">
        <w:rPr>
          <w:color w:val="000000" w:themeColor="text1"/>
        </w:rPr>
        <w:t xml:space="preserve">The goal of applying such tests is to gain further understanding as to which factors (or domains) statistically constitute the concept of interest, as well as to statistically be able to explain relationships between these domains </w:t>
      </w:r>
      <w:r w:rsidRPr="006A1EC7">
        <w:rPr>
          <w:color w:val="000000" w:themeColor="text1"/>
        </w:rPr>
        <w:fldChar w:fldCharType="begin" w:fldLock="1"/>
      </w:r>
      <w:r w:rsidRPr="006A1EC7">
        <w:rPr>
          <w:color w:val="000000" w:themeColor="text1"/>
        </w:rPr>
        <w:instrText>ADDIN CSL_CITATION {"citationItems":[{"id":"ITEM-1","itemData":{"DOI":"10.1007/s11205-010-9682-8","author":[{"dropping-particle":"","family":"Slocum-Gori","given":"S","non-dropping-particle":"","parse-names":false,"suffix":""},{"dropping-particle":"","family":"Zumbo","given":"B","non-dropping-particle":"","parse-names":false,"suffix":""}],"container-title":"Social Indicators Research","id":"ITEM-1","issue":"3","issued":{"date-parts":[["2011"]]},"page":"443-461","title":"Assessing the Unidimensionality of Psychological Scales : Using Multiple Criteria from Factor Analysis","type":"article-journal","volume":"102"},"uris":["http://www.mendeley.com/documents/?uuid=977d2192-0815-47e3-8baf-5381707c20eb"]}],"mendeley":{"formattedCitation":"(Slocum-Gori &amp; Zumbo, 2011)","plainTextFormattedCitation":"(Slocum-Gori &amp; Zumbo, 2011)","previouslyFormattedCitation":"(Slocum-Gori &amp; Zumbo, 2011)"},"properties":{"noteIndex":0},"schema":"https://github.com/citation-style-language/schema/raw/master/csl-citation.json"}</w:instrText>
      </w:r>
      <w:r w:rsidRPr="006A1EC7">
        <w:rPr>
          <w:color w:val="000000" w:themeColor="text1"/>
        </w:rPr>
        <w:fldChar w:fldCharType="separate"/>
      </w:r>
      <w:r w:rsidRPr="006A1EC7">
        <w:rPr>
          <w:noProof/>
          <w:color w:val="000000" w:themeColor="text1"/>
        </w:rPr>
        <w:t>(Slocum-Gori &amp; Zumbo, 2011)</w:t>
      </w:r>
      <w:r w:rsidRPr="006A1EC7">
        <w:rPr>
          <w:color w:val="000000" w:themeColor="text1"/>
        </w:rPr>
        <w:fldChar w:fldCharType="end"/>
      </w:r>
      <w:r w:rsidRPr="006A1EC7">
        <w:rPr>
          <w:color w:val="000000" w:themeColor="text1"/>
        </w:rPr>
        <w:t xml:space="preserve">. </w:t>
      </w:r>
      <w:r w:rsidRPr="006A1EC7">
        <w:t xml:space="preserve">In the current case, the appropriate structural equation modelling technique to assess the underlying factor structure of the COA would be Confirmatory Factor Analysis (CFA) due to </w:t>
      </w:r>
      <w:r w:rsidRPr="006A1EC7">
        <w:rPr>
          <w:color w:val="000000" w:themeColor="text1"/>
        </w:rPr>
        <w:t xml:space="preserve">pre-formulated hypotheses about the correlations between items and the underlying correlation patterns of a scale </w:t>
      </w:r>
      <w:r w:rsidRPr="006A1EC7">
        <w:rPr>
          <w:color w:val="000000" w:themeColor="text1"/>
        </w:rPr>
        <w:fldChar w:fldCharType="begin" w:fldLock="1"/>
      </w:r>
      <w:r w:rsidRPr="006A1EC7">
        <w:rPr>
          <w:color w:val="000000" w:themeColor="text1"/>
        </w:rPr>
        <w:instrText>ADDIN CSL_CITATION {"citationItems":[{"id":"ITEM-1","itemData":{"DOI":"10.1200/jco.2010.28.15_suppl.e19505","ISSN":"0732-183X","author":[{"dropping-particle":"","family":"Atkinson","given":"T. M.","non-dropping-particle":"","parse-names":false,"suffix":""},{"dropping-particle":"","family":"Sit","given":"L.","non-dropping-particle":"","parse-names":false,"suffix":""},{"dropping-particle":"","family":"Mendoza","given":"T. R.","non-dropping-particle":"","parse-names":false,"suffix":""},{"dropping-particle":"","family":"Fruscione","given":"M.","non-dropping-particle":"","parse-names":false,"suffix":""},{"dropping-particle":"","family":"Lavene","given":"D.","non-dropping-particle":"","parse-names":false,"suffix":""},{"dropping-particle":"","family":"Shaw","given":"M.","non-dropping-particle":"","parse-names":false,"suffix":""},{"dropping-particle":"","family":"Breitbart","given":"W.","non-dropping-particle":"","parse-names":false,"suffix":""},{"dropping-particle":"","family":"Rosenfeld","given":"B.","non-dropping-particle":"","parse-names":false,"suffix":""},{"dropping-particle":"","family":"Cleeland","given":"C. S.","non-dropping-particle":"","parse-names":false,"suffix":""},{"dropping-particle":"","family":"Basch","given":"E. M.","non-dropping-particle":"","parse-names":false,"suffix":""}],"container-title":"Journal of Clinical Oncology","id":"ITEM-1","issue":"15_suppl","issued":{"date-parts":[["2017"]]},"page":"e19505-e19505","title":"Confirmatory factor analysis to evaluate construct validity of the Brief Pain Inventory (BPI).","type":"article-journal","volume":"28"},"uris":["http://www.mendeley.com/documents/?uuid=b59d3619-2c0e-4689-b532-2a0b327748e3"]}],"mendeley":{"formattedCitation":"(Atkinson et al., 2017)","plainTextFormattedCitation":"(Atkinson et al., 2017)","previouslyFormattedCitation":"(Atkinson et al., 2017)"},"properties":{"noteIndex":0},"schema":"https://github.com/citation-style-language/schema/raw/master/csl-citation.json"}</w:instrText>
      </w:r>
      <w:r w:rsidRPr="006A1EC7">
        <w:rPr>
          <w:color w:val="000000" w:themeColor="text1"/>
        </w:rPr>
        <w:fldChar w:fldCharType="separate"/>
      </w:r>
      <w:r w:rsidRPr="006A1EC7">
        <w:rPr>
          <w:noProof/>
          <w:color w:val="000000" w:themeColor="text1"/>
        </w:rPr>
        <w:t>(Atkinson et al., 2017)</w:t>
      </w:r>
      <w:r w:rsidRPr="006A1EC7">
        <w:rPr>
          <w:color w:val="000000" w:themeColor="text1"/>
        </w:rPr>
        <w:fldChar w:fldCharType="end"/>
      </w:r>
      <w:r w:rsidRPr="006A1EC7">
        <w:rPr>
          <w:color w:val="000000" w:themeColor="text1"/>
        </w:rPr>
        <w:t xml:space="preserve">, i.e. it is assumed that items within different domains of the Clinical outcome assessment will be correlated. If no hypotheses about any relationships or factor structure had been made, Exploratory Factor Analysis (EFA) would have been one of the appropriate statistical models. In addition, CFA (but also EFA) is used to both reduce the total number of items on a scale as well as to group the items of a scale into smaller factors or constructs. The underlying idea of grouping items into constructs is that these factors are individually as well as collectively, indicators of the latent variable (i.e. Wolf-Hirschhorn syndrome). Another benefit of reducing the number of scale items is that, this way, briefer scales can be developed, with only the most relevant items included </w:t>
      </w:r>
      <w:r w:rsidRPr="006A1EC7">
        <w:rPr>
          <w:color w:val="000000" w:themeColor="text1"/>
        </w:rPr>
        <w:fldChar w:fldCharType="begin" w:fldLock="1"/>
      </w:r>
      <w:r w:rsidRPr="006A1EC7">
        <w:rPr>
          <w:color w:val="000000" w:themeColor="text1"/>
        </w:rPr>
        <w:instrText>ADDIN CSL_CITATION {"citationItems":[{"id":"ITEM-1","itemData":{"DOI":"10.1200/jco.2010.28.15_suppl.e19505","ISSN":"0732-183X","author":[{"dropping-particle":"","family":"Atkinson","given":"T. M.","non-dropping-particle":"","parse-names":false,"suffix":""},{"dropping-particle":"","family":"Sit","given":"L.","non-dropping-particle":"","parse-names":false,"suffix":""},{"dropping-particle":"","family":"Mendoza","given":"T. R.","non-dropping-particle":"","parse-names":false,"suffix":""},{"dropping-particle":"","family":"Fruscione","given":"M.","non-dropping-particle":"","parse-names":false,"suffix":""},{"dropping-particle":"","family":"Lavene","given":"D.","non-dropping-particle":"","parse-names":false,"suffix":""},{"dropping-particle":"","family":"Shaw","given":"M.","non-dropping-particle":"","parse-names":false,"suffix":""},{"dropping-particle":"","family":"Breitbart","given":"W.","non-dropping-particle":"","parse-names":false,"suffix":""},{"dropping-particle":"","family":"Rosenfeld","given":"B.","non-dropping-particle":"","parse-names":false,"suffix":""},{"dropping-particle":"","family":"Cleeland","given":"C. S.","non-dropping-particle":"","parse-names":false,"suffix":""},{"dropping-particle":"","family":"Basch","given":"E. M.","non-dropping-particle":"","parse-names":false,"suffix":""}],"container-title":"Journal of Clinical Oncology","id":"ITEM-1","issue":"15_suppl","issued":{"date-parts":[["2017"]]},"page":"e19505-e19505","title":"Confirmatory factor analysis to evaluate construct validity of the Brief Pain Inventory (BPI).","type":"article-journal","volume":"28"},"uris":["http://www.mendeley.com/documents/?uuid=b59d3619-2c0e-4689-b532-2a0b327748e3"]}],"mendeley":{"formattedCitation":"(Atkinson et al., 2017)","plainTextFormattedCitation":"(Atkinson et al., 2017)","previouslyFormattedCitation":"(Atkinson et al., 2017)"},"properties":{"noteIndex":0},"schema":"https://github.com/citation-style-language/schema/raw/master/csl-citation.json"}</w:instrText>
      </w:r>
      <w:r w:rsidRPr="006A1EC7">
        <w:rPr>
          <w:color w:val="000000" w:themeColor="text1"/>
        </w:rPr>
        <w:fldChar w:fldCharType="separate"/>
      </w:r>
      <w:r w:rsidRPr="006A1EC7">
        <w:rPr>
          <w:noProof/>
          <w:color w:val="000000" w:themeColor="text1"/>
        </w:rPr>
        <w:t>(Atkinson et al., 2017)</w:t>
      </w:r>
      <w:r w:rsidRPr="006A1EC7">
        <w:rPr>
          <w:color w:val="000000" w:themeColor="text1"/>
        </w:rPr>
        <w:fldChar w:fldCharType="end"/>
      </w:r>
      <w:r w:rsidRPr="006A1EC7">
        <w:rPr>
          <w:color w:val="000000" w:themeColor="text1"/>
        </w:rPr>
        <w:t xml:space="preserve">. Briefer scales also decrease participant or administrator burden and are more time effective. Further advantages of CFA are that, compared to EFA, it reduces error, allows for a comparison of a-prior hypotheses about the underlying factor structure of a scale for one group as well as  comparison of alternative models for either different patient groups or subgroups </w:t>
      </w:r>
      <w:r w:rsidRPr="006A1EC7">
        <w:rPr>
          <w:color w:val="000000" w:themeColor="text1"/>
        </w:rPr>
        <w:fldChar w:fldCharType="begin" w:fldLock="1"/>
      </w:r>
      <w:r w:rsidRPr="006A1EC7">
        <w:rPr>
          <w:color w:val="000000" w:themeColor="text1"/>
        </w:rPr>
        <w:instrText>ADDIN CSL_CITATION {"citationItems":[{"id":"ITEM-1","itemData":{"DOI":"10.1200/jco.2010.28.15_suppl.e19505","ISSN":"0732-183X","author":[{"dropping-particle":"","family":"Atkinson","given":"T. M.","non-dropping-particle":"","parse-names":false,"suffix":""},{"dropping-particle":"","family":"Sit","given":"L.","non-dropping-particle":"","parse-names":false,"suffix":""},{"dropping-particle":"","family":"Mendoza","given":"T. R.","non-dropping-particle":"","parse-names":false,"suffix":""},{"dropping-particle":"","family":"Fruscione","given":"M.","non-dropping-particle":"","parse-names":false,"suffix":""},{"dropping-particle":"","family":"Lavene","given":"D.","non-dropping-particle":"","parse-names":false,"suffix":""},{"dropping-particle":"","family":"Shaw","given":"M.","non-dropping-particle":"","parse-names":false,"suffix":""},{"dropping-particle":"","family":"Breitbart","given":"W.","non-dropping-particle":"","parse-names":false,"suffix":""},{"dropping-particle":"","family":"Rosenfeld","given":"B.","non-dropping-particle":"","parse-names":false,"suffix":""},{"dropping-particle":"","family":"Cleeland","given":"C. S.","non-dropping-particle":"","parse-names":false,"suffix":""},{"dropping-particle":"","family":"Basch","given":"E. M.","non-dropping-particle":"","parse-names":false,"suffix":""}],"container-title":"Journal of Clinical Oncology","id":"ITEM-1","issue":"15_suppl","issued":{"date-parts":[["2017"]]},"page":"e19505-e19505","title":"Confirmatory factor analysis to evaluate construct validity of the Brief Pain Inventory (BPI).","type":"article-journal","volume":"28"},"uris":["http://www.mendeley.com/documents/?uuid=b59d3619-2c0e-4689-b532-2a0b327748e3"]}],"mendeley":{"formattedCitation":"(Atkinson et al., 2017)","plainTextFormattedCitation":"(Atkinson et al., 2017)","previouslyFormattedCitation":"(Atkinson et al., 2017)"},"properties":{"noteIndex":0},"schema":"https://github.com/citation-style-language/schema/raw/master/csl-citation.json"}</w:instrText>
      </w:r>
      <w:r w:rsidRPr="006A1EC7">
        <w:rPr>
          <w:color w:val="000000" w:themeColor="text1"/>
        </w:rPr>
        <w:fldChar w:fldCharType="separate"/>
      </w:r>
      <w:r w:rsidRPr="006A1EC7">
        <w:rPr>
          <w:noProof/>
          <w:color w:val="000000" w:themeColor="text1"/>
        </w:rPr>
        <w:t>(Atkinson et al., 2017)</w:t>
      </w:r>
      <w:r w:rsidRPr="006A1EC7">
        <w:rPr>
          <w:color w:val="000000" w:themeColor="text1"/>
        </w:rPr>
        <w:fldChar w:fldCharType="end"/>
      </w:r>
      <w:r w:rsidRPr="006A1EC7">
        <w:rPr>
          <w:color w:val="000000" w:themeColor="text1"/>
        </w:rPr>
        <w:t xml:space="preserve">. </w:t>
      </w:r>
    </w:p>
    <w:p w14:paraId="2F6B5270" w14:textId="6FEC85EB" w:rsidR="00F53CB4" w:rsidRPr="006A1EC7" w:rsidRDefault="00F53CB4" w:rsidP="00F53CB4">
      <w:pPr>
        <w:spacing w:line="360" w:lineRule="auto"/>
        <w:ind w:firstLine="720"/>
        <w:rPr>
          <w:color w:val="000000" w:themeColor="text1"/>
        </w:rPr>
      </w:pPr>
      <w:r w:rsidRPr="006A1EC7">
        <w:rPr>
          <w:color w:val="000000" w:themeColor="text1"/>
        </w:rPr>
        <w:t xml:space="preserve">However, while – in theory – the application of CFA to the current project sounds appropriate, there are serious challenges for the current project and for the study of rare and complex health conditions: firstly, FA usually requires large sample sizes; </w:t>
      </w:r>
      <w:r w:rsidRPr="006A1EC7">
        <w:rPr>
          <w:color w:val="000000" w:themeColor="text1"/>
        </w:rPr>
        <w:lastRenderedPageBreak/>
        <w:t xml:space="preserve">achieving these are an inherent issue in the study of rare disease </w:t>
      </w:r>
      <w:r w:rsidRPr="006A1EC7">
        <w:rPr>
          <w:color w:val="000000" w:themeColor="text1"/>
        </w:rPr>
        <w:fldChar w:fldCharType="begin" w:fldLock="1"/>
      </w:r>
      <w:r w:rsidRPr="006A1EC7">
        <w:rPr>
          <w:color w:val="000000" w:themeColor="text1"/>
        </w:rPr>
        <w:instrText>ADDIN CSL_CITATION {"citationItems":[{"id":"ITEM-1","itemData":{"DOI":"10.3310/hta5040","ISSN":"13665278","PMID":"11262421","abstract":"SCOPE OF THE REPORT This report is concerned with the evaluation of measures broadly designed to measure quality of life (QoL) in children and adolescents, either by self-report or proxy raters. Four research questions were identified: (1) To what extent are adult measures used in the evaluation of healthcare interventions in children? (2) How appropriate are adult measures for use with children? (3) To what extent do child self-reports correspond with assessments made by parents and carers? (4) How feasible and reliable are proxy measures of QoL in different disease contexts? OBJECTIVES (1) To review the state of the art with regard to measurement of QoL for children. (2) To make recommendations regarding the value of currently available measures for different purposes. (3) To identify further research needs. METHOD Electronic databases were searched for the period 1980-July 1999 for articles relating to measures of QoL, health status or well-being in children (under 18 years) with chronic disease. Handsearching of relevant journals and cross-referencing with reference lists in identified articles was also carried out. Key workers in the field were contacted for additional information, and the Internet was searched for relevant websites. RESULTS Forty-three measures were identified (19 generic and 24 disease-specific). Sixteen measures allowed for completion by children and parent/caregiver; seven only allowed for completion by a proxy, and the remainder (n = 17) allowed only for child completion. The measures were described as QoL (n = 30), health status, (n = 2), perception of illness (n = 1), life satisfaction (n = 1) and quality of well-being (n = 1). RESULTS - TO WHAT EXTENT ARE ADULT MEASURES USED IN THE EVALUATION OF HEALTHCARE INTERVENTIONS IN CHILDREN?: Three studies were identified where adult measures were used with very few changes made for children. In 11 studies involving nine separate measures of QoL, adult measures were used as a model for work with children. RESULTS - HOW APPROPRIATE ARE ADULT MEASURES FOR USE WITH CHILDREN?: Adult measures may fail to tap the specific aspects of QoL that are important to the child. Measures based on adult work impose considerable response burden for children, in terms of length, reading skills and response scale. Wording and format of adult measures may need to be modified to account for children's cognitive and language skills. More basic research is needed to determine the level of response burden t…","author":[{"dropping-particle":"","family":"Eiser","given":"C.","non-dropping-particle":"","parse-names":false,"suffix":""},{"dropping-particle":"","family":"Morse","given":"R.","non-dropping-particle":"","parse-names":false,"suffix":""}],"container-title":"Health Technology Assessment","id":"ITEM-1","issued":{"date-parts":[["2001"]]},"title":"Quality-of-life measures in chronic diseases of childhood","type":"article"},"uris":["http://www.mendeley.com/documents/?uuid=72321888-4be1-4013-a863-c5fef44fb010","http://www.mendeley.com/documents/?uuid=4dd63b8b-8423-409c-99fa-79f4daa27531"]}],"mendeley":{"formattedCitation":"(Eiser &amp; Morse, 2001)","plainTextFormattedCitation":"(Eiser &amp; Morse, 2001)","previouslyFormattedCitation":"(Eiser &amp; Morse, 2001)"},"properties":{"noteIndex":0},"schema":"https://github.com/citation-style-language/schema/raw/master/csl-citation.json"}</w:instrText>
      </w:r>
      <w:r w:rsidRPr="006A1EC7">
        <w:rPr>
          <w:color w:val="000000" w:themeColor="text1"/>
        </w:rPr>
        <w:fldChar w:fldCharType="separate"/>
      </w:r>
      <w:r w:rsidRPr="006A1EC7">
        <w:rPr>
          <w:noProof/>
          <w:color w:val="000000" w:themeColor="text1"/>
        </w:rPr>
        <w:t>(Eiser &amp; Morse, 2001)</w:t>
      </w:r>
      <w:r w:rsidRPr="006A1EC7">
        <w:rPr>
          <w:color w:val="000000" w:themeColor="text1"/>
        </w:rPr>
        <w:fldChar w:fldCharType="end"/>
      </w:r>
      <w:r w:rsidRPr="006A1EC7">
        <w:rPr>
          <w:color w:val="000000" w:themeColor="text1"/>
        </w:rPr>
        <w:t xml:space="preserve">. While there is some debate around the exact required sample size, it is widely acknowledged that 100 participants are the general minimum sample size for any FA, CFA and EFA included, </w:t>
      </w:r>
      <w:r w:rsidRPr="006A1EC7">
        <w:rPr>
          <w:color w:val="000000" w:themeColor="text1"/>
        </w:rPr>
        <w:fldChar w:fldCharType="begin" w:fldLock="1"/>
      </w:r>
      <w:r w:rsidRPr="006A1EC7">
        <w:rPr>
          <w:color w:val="000000" w:themeColor="text1"/>
        </w:rPr>
        <w:instrText>ADDIN CSL_CITATION {"citationItems":[{"id":"ITEM-1","itemData":{"DOI":"10.1007/BF02294248","ISSN":"00333123","abstract":"three types of problems are dealt with: nonconvergence, improper solutions, and choice of start- ing values. The purpose of the paper is to illustrate why and to what extent these problems are of importance for users of LISREL. The ways in which these issues may affect the design and con- clusions of robustness research is also discussed. In the framework of a robustness study on maximum likelihood estimation with LISREL","author":[{"dropping-particle":"","family":"Boomsma","given":"Anne","non-dropping-particle":"","parse-names":false,"suffix":""}],"container-title":"Psychometrika","id":"ITEM-1","issued":{"date-parts":[["1985"]]},"title":"Nonconvergence, improper solutions, and starting values in lisrel maximum likelihood estimation","type":"article-journal"},"uris":["http://www.mendeley.com/documents/?uuid=656e9050-3909-4efc-8469-3f52e7aafdfb"]}],"mendeley":{"formattedCitation":"(Boomsma, 1985)","plainTextFormattedCitation":"(Boomsma, 1985)","previouslyFormattedCitation":"(Boomsma, 1985)"},"properties":{"noteIndex":0},"schema":"https://github.com/citation-style-language/schema/raw/master/csl-citation.json"}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(Boomsma, 1985)</w:t>
      </w:r>
      <w:r w:rsidRPr="006A1EC7">
        <w:rPr>
          <w:color w:val="000000" w:themeColor="text1"/>
        </w:rPr>
        <w:fldChar w:fldCharType="end"/>
      </w:r>
      <w:r w:rsidRPr="006A1EC7">
        <w:rPr>
          <w:color w:val="000000" w:themeColor="text1"/>
        </w:rPr>
        <w:t xml:space="preserve">; with other scholars suggesting numbers as high as 400 – 500 participants are needed for achieving the most reliable results </w:t>
      </w:r>
      <w:r w:rsidRPr="006A1EC7">
        <w:rPr>
          <w:color w:val="000000" w:themeColor="text1"/>
        </w:rPr>
        <w:fldChar w:fldCharType="begin" w:fldLock="1"/>
      </w:r>
      <w:r w:rsidR="00AD67F5" w:rsidRPr="006A1EC7">
        <w:rPr>
          <w:color w:val="000000" w:themeColor="text1"/>
        </w:rPr>
        <w:instrText>ADDIN CSL_CITATION {"citationItems":[{"id":"ITEM-1","itemData":{"DOI":"10.1177/0013164413495237.Sample","ISBN":"2122633255","ISSN":"0013-1644","PMID":"25705052","author":[{"dropping-particle":"","family":"Wolf","given":"E","non-dropping-particle":"","parse-names":false,"suffix":""},{"dropping-particle":"","family":"Harrington","given":"K","non-dropping-particle":"","parse-names":false,"suffix":""},{"dropping-particle":"","family":"Willer","given":"M","non-dropping-particle":"","parse-names":false,"suffix":""}],"container-title":"Educational and Psychological Measurement","id":"ITEM-1","issue":"6","issued":{"date-parts":[["2013"]]},"page":"913 - 934","title":"Sample Size Requirements for Structural Equation Models: An Evaluation of Power, Bias, and Solution Propriety","type":"article-journal","volume":"76"},"uris":["http://www.mendeley.com/documents/?uuid=86a6e288-9735-4479-a934-de42d1663640"]},{"id":"ITEM-2","itemData":{"DOI":"10.1037/1082-989X.4.1.84","ISSN":"1082989X","abstract":"The factor analysis literature includes a range of recommendations regarding the minimum sample size necessary to obtain factor solutions that are adequately stable and that correspond closely to population factors. A fundamental misconception about this issue is that the minimum sample size, or the minimum ratio of sample size to the number of variables, is invariant across studies. In fact, necessary sample size is dependent on several aspects of any given study, including the level of communality of the variables and the level of overdetermination of the factors. The authors present a theoretical and mathematical framework that provides a basis for understanding and predicting these effects. The hypothesized effects are verified by a sampling study using artificial data. Results demonstrate the lack of validity of common rules of thumb and provide a basis for establishing guidelines for sample size in factor analysis.","author":[{"dropping-particle":"","family":"MacCallum","given":"Robert C.","non-dropping-particle":"","parse-names":false,"suffix":""},{"dropping-particle":"","family":"Widaman","given":"Keith F.","non-dropping-particle":"","parse-names":false,"suffix":""},{"dropping-particle":"","family":"Zhang","given":"Shaobo","non-dropping-particle":"","parse-names":false,"suffix":""},{"dropping-particle":"","family":"Hong","given":"Sehee","non-dropping-particle":"","parse-names":false,"suffix":""}],"container-title":"Psychological Methods","id":"ITEM-2","issue":"1","issued":{"date-parts":[["1999"]]},"page":"84-99","title":"Sample size in factor analysis","type":"article-journal","volume":"4"},"uris":["http://www.mendeley.com/documents/?uuid=4a9eee55-e0f9-4c0f-972b-eea3d037fca1"]}],"mendeley":{"formattedCitation":"(MacCallum, Widaman, Zhang, &amp; Hong, 1999; E. Wolf, Harrington, &amp; Willer, 2013)","manualFormatting":"(MacCallum, Widaman, Zhang, &amp; Hong, 1999; Wolf, Harrington, &amp; Willer, 2013)","plainTextFormattedCitation":"(MacCallum, Widaman, Zhang, &amp; Hong, 1999; E. Wolf, Harrington, &amp; Willer, 2013)","previouslyFormattedCitation":"(MacCallum, Widaman, Zhang, &amp; Hong, 1999; Wolf, Harrington, &amp; Willer, 2013)"},"properties":{"noteIndex":0},"schema":"https://github.com/citation-style-language/schema/raw/master/csl-citation.json"}</w:instrText>
      </w:r>
      <w:r w:rsidRPr="006A1EC7">
        <w:rPr>
          <w:color w:val="000000" w:themeColor="text1"/>
        </w:rPr>
        <w:fldChar w:fldCharType="separate"/>
      </w:r>
      <w:r w:rsidRPr="006A1EC7">
        <w:rPr>
          <w:noProof/>
          <w:color w:val="000000" w:themeColor="text1"/>
        </w:rPr>
        <w:t>(MacCallum, Widaman, Zhang, &amp; Hong, 1999; Wolf, Harrington, &amp; Willer, 2013)</w:t>
      </w:r>
      <w:r w:rsidRPr="006A1EC7">
        <w:rPr>
          <w:color w:val="000000" w:themeColor="text1"/>
        </w:rPr>
        <w:fldChar w:fldCharType="end"/>
      </w:r>
      <w:r w:rsidRPr="006A1EC7">
        <w:rPr>
          <w:color w:val="000000" w:themeColor="text1"/>
        </w:rPr>
        <w:t xml:space="preserve">. An alternative rule of thumb, which is widely applied, is the calculation of the required sample size based on the number of variables in the scale; the suggested ratio is 10 subjects per item </w:t>
      </w:r>
      <w:r w:rsidRPr="006A1EC7">
        <w:rPr>
          <w:noProof/>
          <w:color w:val="000000" w:themeColor="text1"/>
        </w:rPr>
        <w:t>(Nunnally &amp; Bernstein, 1994)</w:t>
      </w:r>
      <w:r w:rsidRPr="006A1EC7">
        <w:rPr>
          <w:color w:val="000000" w:themeColor="text1"/>
        </w:rPr>
        <w:t xml:space="preserve">. For the current COA, this would mean aiming to recruit a sample of 700-800 participants for the purpose of this statistical test. </w:t>
      </w:r>
      <w:r w:rsidRPr="006A1EC7">
        <w:t>However, achieving a number this high is unrealistic for patients with WHS due to their rarity. The national WHS UK Trust, for example,</w:t>
      </w:r>
      <w:r w:rsidRPr="006A1EC7">
        <w:rPr>
          <w:color w:val="000000" w:themeColor="text1"/>
        </w:rPr>
        <w:t xml:space="preserve"> holds a database of 120 individuals with WHS</w:t>
      </w:r>
      <w:r w:rsidRPr="006A1EC7">
        <w:rPr>
          <w:rStyle w:val="FootnoteReference"/>
          <w:color w:val="000000" w:themeColor="text1"/>
        </w:rPr>
        <w:footnoteReference w:id="21"/>
      </w:r>
      <w:r w:rsidRPr="006A1EC7">
        <w:rPr>
          <w:color w:val="000000" w:themeColor="text1"/>
        </w:rPr>
        <w:t xml:space="preserve"> living all over the UK, and clinical geneticists based at </w:t>
      </w:r>
      <w:r w:rsidRPr="006A1EC7">
        <w:t xml:space="preserve">Sheffield NHS Teaching Hospitals (where the study is being conducted and the scale developed) see </w:t>
      </w:r>
      <w:r w:rsidRPr="006A1EC7">
        <w:rPr>
          <w:color w:val="000000" w:themeColor="text1"/>
        </w:rPr>
        <w:t>about 3 patients</w:t>
      </w:r>
      <w:r w:rsidRPr="006A1EC7">
        <w:rPr>
          <w:rStyle w:val="FootnoteReference"/>
          <w:color w:val="000000" w:themeColor="text1"/>
        </w:rPr>
        <w:footnoteReference w:id="22"/>
      </w:r>
      <w:r w:rsidRPr="006A1EC7">
        <w:rPr>
          <w:color w:val="000000" w:themeColor="text1"/>
        </w:rPr>
        <w:t xml:space="preserve"> a year with WHS in their service. Furthermore, some of the patient families known to the WHS trust have already been involved in this research and may not want to participate again. Opening recruitment to other English-speaking countries, such as Ireland or the United States, was not pursued for the reason that the COA was, first and foremost, developed to be used in NHS settings and to improve NHS patient assessment, as well as for practical reasons. Therefore, it becomes obvious that achieving the required sample size for CFA was neither achievable nor realistic for assessing the psychometric properties of the current COA. </w:t>
      </w:r>
    </w:p>
    <w:p w14:paraId="43466CC0" w14:textId="65059898" w:rsidR="00F53CB4" w:rsidRPr="006A1EC7" w:rsidRDefault="00F53CB4" w:rsidP="00F53CB4">
      <w:pPr>
        <w:spacing w:line="360" w:lineRule="auto"/>
        <w:ind w:firstLine="720"/>
        <w:rPr>
          <w:color w:val="000000" w:themeColor="text1"/>
        </w:rPr>
      </w:pPr>
      <w:r w:rsidRPr="006A1EC7">
        <w:t xml:space="preserve">It is well reported in the literature that due the rarity of rare diseases and their (likely) </w:t>
      </w:r>
      <w:r w:rsidRPr="006A1EC7">
        <w:rPr>
          <w:color w:val="000000" w:themeColor="text1"/>
        </w:rPr>
        <w:t xml:space="preserve">geographic disparity </w:t>
      </w:r>
      <w:r w:rsidRPr="006A1EC7">
        <w:rPr>
          <w:color w:val="000000" w:themeColor="text1"/>
        </w:rPr>
        <w:fldChar w:fldCharType="begin" w:fldLock="1"/>
      </w:r>
      <w:r w:rsidRPr="006A1EC7">
        <w:rPr>
          <w:color w:val="000000" w:themeColor="text1"/>
        </w:rPr>
        <w:instrText>ADDIN CSL_CITATION {"citationItems":[{"id":"ITEM-1","itemData":{"DOI":"10.1016/j.jval.2018.03.004","abstract":"Background: Successful development of new treatments for rare diseases (RDs) and their sustainable patient access require overcoming a series of challenges related to research and health technology assessment (HTA). These impediments, which may be unique to RDs or also apply to common diseases but are particularly pertinent in RDs, are diverse and interrelated. Objective: To develop for the first time a catalog of primary impediments to RD research and HTA, and to describe the cause and effect of individual challenges. Methods: Challenges were identified by an international 22-person expert working group and qualitative outreach to colleagues with relevant expertise. A broad range of stakeholder perspectives is represented. Draft results were presented at annual European and North American International Society for Pharmacoeconomics and Outcomes Research (ISPOR) congresses, and written comments were received by the 385-strong ISPOR Rare Disease Review Group from two rounds of review. Findings were refined and confirmed via targeted literature search. Results: Research-related challenges linked to the low prevalence of RDs were categorized into those pertaining to disease recognition and diagnosis, evaluation of treatment effect, and patient recruitment for clinical research. HTA-related challenges were classified into issues relating to the lack of a tailored HTA method for RD treatments and uncertainty for HTA agencies and health care payers. Conclusions: Identifying and highlighting diverse, but interrelated, key challenges in RD research and HTA is an essential first step toward developing implement-able and sustainable solutions. A collaborative multistakeholder effort is required to enable faster and less costly development of safe, efficacious, and appropriate new RD therapies that offer value for money. A L T H 2 1 (2 0 1 8) 4 9 3-5 0 0 reviewed challenges faced by those engaged in research and health technology assessment (HTA) in RDs and their treatments. The goal of the working group was to evaluate these challenges and disseminate the findings via publication and presentations. An outline was initially developed by working group members representing different stakeholder perspectives from Europe and the United States, and sequential drafts were reviewed and modified during monthly tele-conferences among the coauthors. Further feedback was obtained during work-to-date presentations given at annual ISPOR European congresses in Dublin, Amsterdam…","author":[{"dropping-particle":"","family":"Nestler-Parr","given":"Sandra","non-dropping-particle":"","parse-names":false,"suffix":""},{"dropping-particle":"","family":"Korchagina","given":"Daria","non-dropping-particle":"","parse-names":false,"suffix":""},{"dropping-particle":"","family":"Toumi","given":"Mondher","non-dropping-particle":"","parse-names":false,"suffix":""},{"dropping-particle":"","family":"Pashos","given":"Chris L","non-dropping-particle":"","parse-names":false,"suffix":""},{"dropping-particle":"","family":"Blanchette","given":"Christopher","non-dropping-particle":"","parse-names":false,"suffix":""},{"dropping-particle":"","family":"Molsen","given":"Elizabeth","non-dropping-particle":"","parse-names":false,"suffix":""},{"dropping-particle":"","family":"Morel","given":"Thomas","non-dropping-particle":"","parse-names":false,"suffix":""},{"dropping-particle":"","family":"Simoens","given":"Steven","non-dropping-particle":"","parse-names":false,"suffix":""},{"dropping-particle":"","family":"Kaló","given":"Zoltán","non-dropping-particle":"","parse-names":false,"suffix":""},{"dropping-particle":"","family":"Gatermann","given":"Ruediger","non-dropping-particle":"","parse-names":false,"suffix":""},{"dropping-particle":"","family":"Redekop","given":"William","non-dropping-particle":"","parse-names":false,"suffix":""}],"container-title":"Value in Health","id":"ITEM-1","issued":{"date-parts":[["2018"]]},"page":"493-500","title":"Challenges in Research and Health Technology Assessment of","type":"article-journal","volume":"21"},"uris":["http://www.mendeley.com/documents/?uuid=ff0ca843-b78f-4583-9c9e-8ec3d6b9061a"]}],"mendeley":{"formattedCitation":"(Nestler-Parr et al., 2018)","plainTextFormattedCitation":"(Nestler-Parr et al., 2018)","previouslyFormattedCitation":"(Nestler-Parr et al., 2018)"},"properties":{"noteIndex":0},"schema":"https://github.com/citation-style-language/schema/raw/master/csl-citation.json"}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(Nestler-Parr et al., 2018)</w:t>
      </w:r>
      <w:r w:rsidRPr="006A1EC7">
        <w:rPr>
          <w:color w:val="000000" w:themeColor="text1"/>
        </w:rPr>
        <w:fldChar w:fldCharType="end"/>
      </w:r>
      <w:r w:rsidRPr="006A1EC7">
        <w:rPr>
          <w:color w:val="000000" w:themeColor="text1"/>
        </w:rPr>
        <w:t xml:space="preserve">, recruiting large sample sizes for research is challenging and often unattainable. This is also reflected in the development papers of the Unified Wolfram Rating Scale and the Unified Batten Disease Scale; their sample sizes for assessment of psychometric properties were 13 and 31 respectively </w:t>
      </w:r>
      <w:r w:rsidRPr="006A1EC7">
        <w:rPr>
          <w:color w:val="000000" w:themeColor="text1"/>
        </w:rPr>
        <w:fldChar w:fldCharType="begin" w:fldLock="1"/>
      </w:r>
      <w:r w:rsidR="00AD67F5" w:rsidRPr="006A1EC7">
        <w:rPr>
          <w:color w:val="000000" w:themeColor="text1"/>
        </w:rPr>
        <w:instrText>ADDIN CSL_CITATION {"citationItems":[{"id":"ITEM-1","itemData":{"DOI":"10.1186/1750-1172-7-89","ISBN":"1750-1172","ISSN":"1750-1172","PMID":"23148655","abstract":"BACKGROUND Wolfram syndrome (WFS) is a rare, neurodegenerative disease that typically presents with childhood onset insulin dependent diabetes mellitus, followed by optic atrophy, diabetes insipidus, deafness, and neurological and psychiatric dysfunction. There is no cure for the disease, but recent advances in research have improved understanding of the disease course. Measuring disease severity and progression with reliable and validated tools is a prerequisite for clinical trials of any new intervention for neurodegenerative conditions. To this end, we developed the Wolfram Unified Rating Scale (WURS) to measure the severity and individual variability of WFS symptoms. The aim of this study is to develop and test the reliability and validity of the Wolfram Unified Rating Scale (WURS). METHODS A rating scale of disease severity in WFS was developed by modifying a standardized assessment for another neurodegenerative condition (Batten disease). WFS experts scored the representativeness of WURS items for the disease. The WURS was administered to 13 individuals with WFS (6-25 years of age). Motor, balance, mood and quality of life were also evaluated with standard instruments. Inter-rater reliability, internal consistency reliability, concurrent, predictive and content validity of the WURS were calculated. RESULTS The WURS had high inter-rater reliability (ICCs&gt;.93), moderate to high internal consistency reliability (Cronbach's α = 0.78-0.91) and demonstrated good concurrent and predictive validity. There were significant correlations between the WURS Physical Assessment and motor and balance tests (rs&gt;.67, p&lt;.03), between the WURS Behavioral Scale and reports of mood and behavior (rs&gt;.76, p&lt;.04) and between WURS Total scores and quality of life (rs=-.86, p=.001). The WURS demonstrated acceptable content validity (Scale-Content Validity Index=0.83). CONCLUSIONS These preliminary findings demonstrate that the WURS has acceptable reliability and validity and captures individual differences in disease severity in children and young adults with WFS.","author":[{"dropping-particle":"","family":"Nguyen","given":"Chau","non-dropping-particle":"","parse-names":false,"suffix":""},{"dropping-particle":"","family":"Foster","given":"Erin R","non-dropping-particle":"","parse-names":false,"suffix":""},{"dropping-particle":"","family":"Paciorkowski","given":"Alexander R","non-dropping-particle":"","parse-names":false,"suffix":""},{"dropping-particle":"","family":"Viehoever","given":"Amy","non-dropping-particle":"","parse-names":false,"suffix":""},{"dropping-particle":"","family":"Considine","given":"Colleen","non-dropping-particle":"","parse-names":false,"suffix":""},{"dropping-particle":"","family":"Bondurant","given":"Aidena","non-dropping-particle":"","parse-names":false,"suffix":""},{"dropping-particle":"","family":"Marshall","given":"Bess A","non-dropping-particle":"","parse-names":false,"suffix":""},{"dropping-particle":"","family":"Hershey","given":"Tamara","non-dropping-particle":"","parse-names":false,"suffix":""},{"dropping-particle":"","family":"Washington University Wolfram Study Group","given":"","non-dropping-particle":"","parse-names":false,"suffix":""}],"container-title":"Orphanet journal of rare diseases","id":"ITEM-1","issued":{"date-parts":[["2012"]]},"page":"89","title":"Reliability and validity of the Wolfram Unified Rating Scale (WURS).","type":"article-journal","volume":"7"},"uris":["http://www.mendeley.com/documents/?uuid=30b3ce8a-f45d-4852-b667-0a5c05dc2eeb"]},{"id":"ITEM-2","itemData":{"DOI":"10.1212/01.wnl.0000169019.41332.8a","ISSN":"00283878","abstract":"Background: Batten disease (juvenile neuronal ceroid lipofuscinosis [JNCL]) is an autosomal recessive neurodegenerative disorder characterized by blindness, seizures, and relentless decline in cognitive, motor, and behavioral function. Onset is in the early school years, with progression to death typically by late adolescence. Development of a clinical instrument to quantify severity of illness is a prerequisite to eventual assessment of experimental therapeutic interventions Objective: To develop a clinical rating instrument to assess motor, behavioral, and functional capability in JNCL. Methods: A clinical rating instrument, the Unified Batten Disease Rating Scale (UBDRS), was developed by the authors to assess motor, behavioral, and functional capability in JNCL. Children with verified JNCL were evaluated independently by three neurologists. Intraclass correlation coefficients (ICCs) were used to estimate the interrater reliability for total scores in each domain. Interrater reliability for scale items was assessed with weighted κ statistics Results: Thirty-one children with confirmed JNCL (10 boys, 21 girls) were evaluated. The mean age at symptom onset was 6.1 ± 1.6 years, and the mean duration of illness was 9.0 ± 4.4 years. The ICCs for the domains were as follows: motor = 0.83, behavioral = 0.68, and functional capability = 0.85. Conclusions: The Unified Batten Disease Rating Scale (UBDRS) is a reliable instrument that effectively tests for neurologic function in blind and demented patients. In its current form, the UBDRS is useful for monitoring the diverse clinical findings seen in Batten disease. Copyright © 2005 by AAN Enterprises, Inc.","author":[{"dropping-particle":"","family":"Marshall","given":"F. J.","non-dropping-particle":"","parse-names":false,"suffix":""},{"dropping-particle":"","family":"Blieck","given":"E. A.","non-dropping-particle":"De","parse-names":false,"suffix":""},{"dropping-particle":"","family":"Mink","given":"J. W.","non-dropping-particle":"","parse-names":false,"suffix":""},{"dropping-particle":"","family":"Dure","given":"L.","non-dropping-particle":"","parse-names":false,"suffix":""},{"dropping-particle":"","family":"Adams","given":"H.","non-dropping-particle":"","parse-names":false,"suffix":""},{"dropping-particle":"","family":"Messing","given":"S.","non-dropping-particle":"","parse-names":false,"suffix":""},{"dropping-particle":"","family":"Rothberg","given":"P. G.","non-dropping-particle":"","parse-names":false,"suffix":""},{"dropping-particle":"","family":"Levy","given":"E.","non-dropping-particle":"","parse-names":false,"suffix":""},{"dropping-particle":"","family":"McDonough","given":"T.","non-dropping-particle":"","parse-names":false,"suffix":""},{"dropping-particle":"","family":"DeYoung","given":"J.","non-dropping-particle":"","parse-names":false,"suffix":""},{"dropping-particle":"","family":"Wang","given":"M.","non-dropping-particle":"","parse-names":false,"suffix":""},{"dropping-particle":"","family":"Ramirez-Montealegre","given":"D.","non-dropping-particle":"","parse-names":false,"suffix":""},{"dropping-particle":"","family":"Kwon","given":"J. M.","non-dropping-particle":"","parse-names":false,"suffix":""},{"dropping-particle":"","family":"Pearce","given":"D. A.","non-dropping-particle":"","parse-names":false,"suffix":""}],"container-title":"Neurology","id":"ITEM-2","issue":"2","issued":{"date-parts":[["2005"]]},"page":"275-279","title":"A clinical rating scale for Batten disease: Reliable and relevant for clinical trials","type":"article-journal","volume":"65"},"uris":["http://www.mendeley.com/documents/?uuid=62ddd9a5-2d0a-46dc-ac0b-db02857c56bd"]}],"mendeley":{"formattedCitation":"(F. J. Marshall, De Blieck, et al., 2005; Nguyen et al., 2012)","manualFormatting":"(Marshall, De Blieck, et al., 2005; Nguyen et al., 2012)","plainTextFormattedCitation":"(F. J. Marshall, De Blieck, et al., 2005; Nguyen et al., 2012)","previouslyFormattedCitation":"(Marshall, De Blieck, et al., 2005; Nguyen et al., 2012)"},"properties":{"noteIndex":0},"schema":"https://github.com/citation-style-language/schema/raw/master/csl-citation.json"}</w:instrText>
      </w:r>
      <w:r w:rsidRPr="006A1EC7">
        <w:rPr>
          <w:color w:val="000000" w:themeColor="text1"/>
        </w:rPr>
        <w:fldChar w:fldCharType="separate"/>
      </w:r>
      <w:r w:rsidRPr="006A1EC7">
        <w:rPr>
          <w:noProof/>
          <w:color w:val="000000" w:themeColor="text1"/>
        </w:rPr>
        <w:t>(Marshall, De Blieck, et al., 2005; Nguyen et al., 2012)</w:t>
      </w:r>
      <w:r w:rsidRPr="006A1EC7">
        <w:rPr>
          <w:color w:val="000000" w:themeColor="text1"/>
        </w:rPr>
        <w:fldChar w:fldCharType="end"/>
      </w:r>
      <w:r w:rsidRPr="006A1EC7">
        <w:rPr>
          <w:color w:val="000000" w:themeColor="text1"/>
        </w:rPr>
        <w:t xml:space="preserve">. The Medical Research Council’s Prion Disease Rating Scale (a scale developed to assess patients with a number of neurodegenerative diseases involving the cellular prion proton) is an exception to this. The reason Thomspon et al (2013) were able to recruit a very large </w:t>
      </w:r>
      <w:r w:rsidRPr="006A1EC7">
        <w:rPr>
          <w:color w:val="000000" w:themeColor="text1"/>
        </w:rPr>
        <w:lastRenderedPageBreak/>
        <w:t xml:space="preserve">sample to conduct their psychometric assessment on was, firstly, due to a much larger patient cohort (despite Prion diseases being classed as ‘rare’) and, secondly, due to the existence of a national referral system since 2004. This referral system allowed structured access to patients. No such national registry, other than the voluntary registration with the UK WHS Trust exists for WHS. </w:t>
      </w:r>
    </w:p>
    <w:p w14:paraId="7FC6E853" w14:textId="77777777" w:rsidR="00F53CB4" w:rsidRPr="006A1EC7" w:rsidRDefault="00F53CB4" w:rsidP="00F53CB4">
      <w:pPr>
        <w:spacing w:line="360" w:lineRule="auto"/>
        <w:rPr>
          <w:color w:val="000000" w:themeColor="text1"/>
        </w:rPr>
      </w:pPr>
      <w:r w:rsidRPr="006A1EC7">
        <w:rPr>
          <w:color w:val="000000" w:themeColor="text1"/>
        </w:rPr>
        <w:t xml:space="preserve">Unfortunately, utilising national registries was the only productive solution to the problem of recruiting patients for rare disease research, offered by a recent review on maximising the use and utility of COAs for rare diseases </w:t>
      </w:r>
      <w:r w:rsidRPr="006A1EC7">
        <w:rPr>
          <w:color w:val="000000" w:themeColor="text1"/>
        </w:rPr>
        <w:fldChar w:fldCharType="begin" w:fldLock="1"/>
      </w:r>
      <w:r w:rsidRPr="006A1EC7">
        <w:rPr>
          <w:color w:val="000000" w:themeColor="text1"/>
        </w:rPr>
        <w:instrText>ADDIN CSL_CITATION {"citationItems":[{"id":"ITEM-1","itemData":{"DOI":"10.1186/s13023-018-0810-x","ISSN":"17501172","PMID":"29688860","abstract":"Rare diseases can lead to a significant reduction in quality of life for patients and their families. Ensuring the patients voice is central to clinical decision making is key to delivering, evaluating and understanding the efficacy of therapeutic interventions. Patient reported outcome measures (PROMs) are used to capture the patient’s views about their health status and facilitate our understanding of the impact of these diseases and their treatments on patient’s quality of life and symptoms. This review explores some of the current issues around the utilisation of PROMs in rare diseases, including small patient populations and dearth of valid PROMs. Difficulties in validating new or current PROMs for use in clinical trials and research are discussed. The review highlights potential solutions for some of the issues outlined in the review and the implementation of PROMs in research and clinical practice are discussed. Patient input throughout the development of PROMs including qualitative research is essential to ensure that outcomes that matter to people living with rare disease are appropriately captured. Given the large number of rare diseases, small numbers of patients living with each condition and the cost of instrument development, creative and pragmatic solutions to PROM development and use may be necessary. Solutions include qualitative interviews, modern psychometrics and resources such as item banking and computer adaptive testing. Use of PROMs in rare disease research and clinical practice offers the potential to improve patient care and clinical outcomes.","author":[{"dropping-particle":"","family":"Slade","given":"Anita","non-dropping-particle":"","parse-names":false,"suffix":""},{"dropping-particle":"","family":"Isa","given":"Fatima","non-dropping-particle":"","parse-names":false,"suffix":""},{"dropping-particle":"","family":"Kyte","given":"Derek","non-dropping-particle":"","parse-names":false,"suffix":""},{"dropping-particle":"","family":"Pankhurst","given":"Tanya","non-dropping-particle":"","parse-names":false,"suffix":""},{"dropping-particle":"","family":"Kerecuk","given":"Larissa","non-dropping-particle":"","parse-names":false,"suffix":""},{"dropping-particle":"","family":"Ferguson","given":"James","non-dropping-particle":"","parse-names":false,"suffix":""},{"dropping-particle":"","family":"Lipkin","given":"Graham","non-dropping-particle":"","parse-names":false,"suffix":""},{"dropping-particle":"","family":"Calvert","given":"Melanie","non-dropping-particle":"","parse-names":false,"suffix":""}],"container-title":"Orphanet Journal of Rare Diseases","id":"ITEM-1","issue":"1","issued":{"date-parts":[["2018"]]},"page":"1-9","publisher":"Orphanet Journal of Rare Diseases","title":"Patient reported outcome measures in rare diseases: A narrative review","type":"article-journal","volume":"13"},"uris":["http://www.mendeley.com/documents/?uuid=aa040719-d005-4e61-b178-183c7293c6eb"]}],"mendeley":{"formattedCitation":"(Slade et al., 2018)","plainTextFormattedCitation":"(Slade et al., 2018)","previouslyFormattedCitation":"(Slade et al., 2018)"},"properties":{"noteIndex":0},"schema":"https://github.com/citation-style-language/schema/raw/master/csl-citation.json"}</w:instrText>
      </w:r>
      <w:r w:rsidRPr="006A1EC7">
        <w:rPr>
          <w:color w:val="000000" w:themeColor="text1"/>
        </w:rPr>
        <w:fldChar w:fldCharType="separate"/>
      </w:r>
      <w:r w:rsidRPr="006A1EC7">
        <w:rPr>
          <w:noProof/>
          <w:color w:val="000000" w:themeColor="text1"/>
        </w:rPr>
        <w:t>(Slade et al., 2018)</w:t>
      </w:r>
      <w:r w:rsidRPr="006A1EC7">
        <w:rPr>
          <w:color w:val="000000" w:themeColor="text1"/>
        </w:rPr>
        <w:fldChar w:fldCharType="end"/>
      </w:r>
      <w:r w:rsidRPr="006A1EC7">
        <w:rPr>
          <w:color w:val="000000" w:themeColor="text1"/>
        </w:rPr>
        <w:t xml:space="preserve">. </w:t>
      </w:r>
    </w:p>
    <w:p w14:paraId="0CCBAB8C" w14:textId="101A8247" w:rsidR="00F53CB4" w:rsidRPr="006A1EC7" w:rsidRDefault="00F53CB4" w:rsidP="00F53CB4">
      <w:pPr>
        <w:spacing w:line="360" w:lineRule="auto"/>
        <w:ind w:firstLine="720"/>
        <w:rPr>
          <w:color w:val="000000" w:themeColor="text1"/>
        </w:rPr>
      </w:pPr>
      <w:r w:rsidRPr="006A1EC7">
        <w:rPr>
          <w:color w:val="000000" w:themeColor="text1"/>
        </w:rPr>
        <w:t xml:space="preserve">For completion, it is important to mention that there are some sources and scholarly works that have suggested that samples of 30-40 subjects may be sufficient for CFAE/EFA; however, these small numbers have predominantly been used for unidimensional scales with small numbers of items </w:t>
      </w:r>
      <w:r w:rsidRPr="006A1EC7">
        <w:rPr>
          <w:color w:val="000000" w:themeColor="text1"/>
        </w:rPr>
        <w:fldChar w:fldCharType="begin" w:fldLock="1"/>
      </w:r>
      <w:r w:rsidR="00AD67F5" w:rsidRPr="006A1EC7">
        <w:rPr>
          <w:color w:val="000000" w:themeColor="text1"/>
        </w:rPr>
        <w:instrText>ADDIN CSL_CITATION {"citationItems":[{"id":"ITEM-1","itemData":{"DOI":"10.1177/0013164413495237.Sample","ISBN":"2122633255","ISSN":"0013-1644","PMID":"25705052","author":[{"dropping-particle":"","family":"Wolf","given":"E","non-dropping-particle":"","parse-names":false,"suffix":""},{"dropping-particle":"","family":"Harrington","given":"K","non-dropping-particle":"","parse-names":false,"suffix":""},{"dropping-particle":"","family":"Willer","given":"M","non-dropping-particle":"","parse-names":false,"suffix":""}],"container-title":"Educational and Psychological Measurement","id":"ITEM-1","issue":"6","issued":{"date-parts":[["2013"]]},"page":"913 - 934","title":"Sample Size Requirements for Structural Equation Models: An Evaluation of Power, Bias, and Solution Propriety","type":"article-journal","volume":"76"},"uris":["http://www.mendeley.com/documents/?uuid=86a6e288-9735-4479-a934-de42d1663640"]},{"id":"ITEM-2","itemData":{"DOI":"10.1037/1082-989X.4.1.84","ISSN":"1082989X","abstract":"The factor analysis literature includes a range of recommendations regarding the minimum sample size necessary to obtain factor solutions that are adequately stable and that correspond closely to population factors. A fundamental misconception about this issue is that the minimum sample size, or the minimum ratio of sample size to the number of variables, is invariant across studies. In fact, necessary sample size is dependent on several aspects of any given study, including the level of communality of the variables and the level of overdetermination of the factors. The authors present a theoretical and mathematical framework that provides a basis for understanding and predicting these effects. The hypothesized effects are verified by a sampling study using artificial data. Results demonstrate the lack of validity of common rules of thumb and provide a basis for establishing guidelines for sample size in factor analysis.","author":[{"dropping-particle":"","family":"MacCallum","given":"Robert C.","non-dropping-particle":"","parse-names":false,"suffix":""},{"dropping-particle":"","family":"Widaman","given":"Keith F.","non-dropping-particle":"","parse-names":false,"suffix":""},{"dropping-particle":"","family":"Zhang","given":"Shaobo","non-dropping-particle":"","parse-names":false,"suffix":""},{"dropping-particle":"","family":"Hong","given":"Sehee","non-dropping-particle":"","parse-names":false,"suffix":""}],"container-title":"Psychological Methods","id":"ITEM-2","issue":"1","issued":{"date-parts":[["1999"]]},"page":"84-99","title":"Sample size in factor analysis","type":"article-journal","volume":"4"},"uris":["http://www.mendeley.com/documents/?uuid=4a9eee55-e0f9-4c0f-972b-eea3d037fca1"]}],"mendeley":{"formattedCitation":"(MacCallum et al., 1999; E. Wolf et al., 2013)","manualFormatting":"(MacCallum, Widaman, Zhang, &amp; Hong, 1999; Wolf, Harrington, &amp; Willer, 2013)","plainTextFormattedCitation":"(MacCallum et al., 1999; E. Wolf et al., 2013)","previouslyFormattedCitation":"(MacCallum et al., 1999; Wolf et al., 2013)"},"properties":{"noteIndex":0},"schema":"https://github.com/citation-style-language/schema/raw/master/csl-citation.json"}</w:instrText>
      </w:r>
      <w:r w:rsidRPr="006A1EC7">
        <w:rPr>
          <w:color w:val="000000" w:themeColor="text1"/>
        </w:rPr>
        <w:fldChar w:fldCharType="separate"/>
      </w:r>
      <w:r w:rsidRPr="006A1EC7">
        <w:rPr>
          <w:noProof/>
          <w:color w:val="000000" w:themeColor="text1"/>
        </w:rPr>
        <w:t>(MacCallum, Widaman, Zhang, &amp; Hong, 1999; Wolf, Harrington, &amp; Willer, 2013)</w:t>
      </w:r>
      <w:r w:rsidRPr="006A1EC7">
        <w:rPr>
          <w:color w:val="000000" w:themeColor="text1"/>
        </w:rPr>
        <w:fldChar w:fldCharType="end"/>
      </w:r>
      <w:r w:rsidRPr="006A1EC7">
        <w:rPr>
          <w:color w:val="000000" w:themeColor="text1"/>
        </w:rPr>
        <w:t xml:space="preserve">; which does not apply to the current study as the number of items is significantly higher (n = 70+) and the COA assesses WHS as a multidimensional concept. Although a smaller number of participants (n = 30 – 40) would be significantly easier and achievable in terms of patient recruitment, the heterogeneous nature of Wolf-Hirschhorn syndrome and profound individual differences can be used as a counter argument to the use of such a small sample. It is unlikely that using just 30 participants with WHS will enable meaningful statistical analyses to be conducted, meaningful correlations/results to be obtained and factors to be extracted. Therefore, an alternative approach to demonstrating construct validity was needed that did not require the recruitment of such a large, and unattainable, sample size. </w:t>
      </w:r>
    </w:p>
    <w:p w14:paraId="7C80C2D7" w14:textId="5BC48DBC" w:rsidR="00F53CB4" w:rsidRPr="006A1EC7" w:rsidRDefault="00F53CB4" w:rsidP="00F53CB4">
      <w:pPr>
        <w:spacing w:line="360" w:lineRule="auto"/>
        <w:ind w:firstLine="720"/>
        <w:rPr>
          <w:color w:val="000000" w:themeColor="text1"/>
        </w:rPr>
      </w:pPr>
      <w:r w:rsidRPr="006A1EC7">
        <w:rPr>
          <w:color w:val="000000" w:themeColor="text1"/>
        </w:rPr>
        <w:t xml:space="preserve">While there is still no statistical evidence to support the factor (domain) structure of the developed Clinical Outcome Assessment </w:t>
      </w:r>
      <w:r w:rsidRPr="006A1EC7">
        <w:rPr>
          <w:color w:val="000000" w:themeColor="text1"/>
        </w:rPr>
        <w:fldChar w:fldCharType="begin" w:fldLock="1"/>
      </w:r>
      <w:r w:rsidRPr="006A1EC7">
        <w:rPr>
          <w:color w:val="000000" w:themeColor="text1"/>
        </w:rPr>
        <w:instrText>ADDIN CSL_CITATION {"citationItems":[{"id":"ITEM-1","itemData":{"DOI":"10.5937/fizkul1301001t","ISSN":"0350-3828","abstract":"Structural modelling techniques and application of models that extract latent variables are recent predominant techniques in the applied multivariate statistical procedures in social sciences. We believe that correlation studies can provide adequate findings if they are supported by logical analysis or causal modelling procedures. It is important to emphasize that factor analysis methods alone do not reveal the cause of covariability and that the final result of factor analytical investigation depends, in part, on the decisions and interpretations of the researcher. The question of the minimum sample size in factor analysis, ambiguousness of results obtained by FA and mathematical problems in the use of FA is particularly scrupulously discussed in this paper. Furthermore, the effect of the factor analysis of data obtained from experiments on the scientific paradigm was analyzed, with emphasis on the current problems with its application in social sciences research. Neither method, including factor analysis, is sufficient to answer all problem issues in the field of psychology and kinesiology. Therefore, it is necessary to combine complementary methods within the research which will allow a more comprehensive analysis of the researched phenomena and a greater validity of empirical results. Finally, reducing theories in psychology to a psychometric method and theories in kinesiology to a kinesiometric method is an anomaly of numerous quantitative studies within these scientific disciplines, making identification, instead of explanation of multi-causal nature of psychological and kinesiological phenomena, a primary focus of the research.","author":[{"dropping-particle":"","family":"Trninic","given":"Viktorija","non-dropping-particle":"","parse-names":false,"suffix":""},{"dropping-particle":"","family":"Jelaska","given":"Igor","non-dropping-particle":"","parse-names":false,"suffix":""},{"dropping-particle":"","family":"Stalec","given":"Janez","non-dropping-particle":"","parse-names":false,"suffix":""}],"container-title":"Fizicka kultura","id":"ITEM-1","issue":"1","issued":{"date-parts":[["2013"]]},"page":"1-17","title":"Appropriateness and limitations of factor analysis methods utilized in psychology and kinesiology: Part II","type":"article-journal","volume":"67"},"uris":["http://www.mendeley.com/documents/?uuid=a77a922e-c89d-4931-86df-cb775377162f"]}],"mendeley":{"formattedCitation":"(Trninic, Jelaska, &amp; Stalec, 2013)","manualFormatting":"(Trninic, Jelaska, &amp; Stalec, 2013)","plainTextFormattedCitation":"(Trninic, Jelaska, &amp; Stalec, 2013)","previouslyFormattedCitation":"(Trninic, Jelaska, &amp; Stalec, 2013)"},"properties":{"noteIndex":0},"schema":"https://github.com/citation-style-language/schema/raw/master/csl-citation.json"}</w:instrText>
      </w:r>
      <w:r w:rsidRPr="006A1EC7">
        <w:rPr>
          <w:color w:val="000000" w:themeColor="text1"/>
        </w:rPr>
        <w:fldChar w:fldCharType="separate"/>
      </w:r>
      <w:r w:rsidRPr="006A1EC7">
        <w:rPr>
          <w:noProof/>
          <w:color w:val="000000" w:themeColor="text1"/>
        </w:rPr>
        <w:t>(Trninic, Jelaska, &amp; Stalec, 2013)</w:t>
      </w:r>
      <w:r w:rsidRPr="006A1EC7">
        <w:rPr>
          <w:color w:val="000000" w:themeColor="text1"/>
        </w:rPr>
        <w:fldChar w:fldCharType="end"/>
      </w:r>
      <w:r w:rsidRPr="006A1EC7">
        <w:rPr>
          <w:color w:val="000000" w:themeColor="text1"/>
        </w:rPr>
        <w:t xml:space="preserve"> at this point, it can be argued that the domain structure is nonetheless empirically supported as it has been developed in accordance with the literature, family caregiver expertise (‘</w:t>
      </w:r>
      <w:r w:rsidRPr="006A1EC7">
        <w:rPr>
          <w:i/>
          <w:iCs/>
          <w:color w:val="000000" w:themeColor="text1"/>
        </w:rPr>
        <w:t>expertise by experience’</w:t>
      </w:r>
      <w:r w:rsidRPr="006A1EC7">
        <w:rPr>
          <w:color w:val="000000" w:themeColor="text1"/>
        </w:rPr>
        <w:t xml:space="preserve">) as well as the input of international experts on WHS. Therefore, an alternative methodology to test, and demonstrate, construct validity was sought that would circumvent the need for a large sample. An alternative method is the application and testing of a priori-set hypotheses that can be tested </w:t>
      </w:r>
      <w:r w:rsidRPr="006A1EC7">
        <w:rPr>
          <w:noProof/>
          <w:color w:val="000000" w:themeColor="text1"/>
        </w:rPr>
        <w:t>(DeVellis, 2017, p. 95</w:t>
      </w:r>
      <w:r w:rsidRPr="006A1EC7">
        <w:rPr>
          <w:noProof/>
          <w:color w:val="000000" w:themeColor="text1"/>
        </w:rPr>
        <w:fldChar w:fldCharType="begin" w:fldLock="1"/>
      </w:r>
      <w:r w:rsidR="00AD67F5" w:rsidRPr="006A1EC7">
        <w:rPr>
          <w:noProof/>
          <w:color w:val="000000" w:themeColor="text1"/>
        </w:rPr>
        <w:instrText>ADDIN CSL_CITATION {"citationItems":[{"id":"ITEM-1","itemData":{"DOI":"10.1016/j.jclinepi.2010.02.006","ISBN":"3120444677","ISSN":"08954356","PMID":"20494804","abstract":"Objective: Lack of consensus on taxonomy, terminology, and definitions has led to confusion about which measurement properties are relevant and which concepts they represent. The aim was to clarify and standardize terminology and definitions of measurement properties by reaching consensus among a group of experts and to develop a taxonomy of measurement properties relevant for evaluating health instruments. Study Design and Setting: An international Delphi study with four written rounds was performed. Participating experts had a background in epidemiology, statistics, psychology, and clinical medicine. The panel was asked to rate their (dis)agreement about proposals on a five-point scale. Consensus was considered to be reached when at least 67% of the panel agreed. Results: Of 91 invited experts, 57 agreed to participate and 43 actually participated. Consensus was reached on positions of measurement properties in the taxonomy (68-84%), terminology (74-88%, except for structural validity [56%]), and definitions of measurement properties (68-88%). The panel extensively discussed the positions of internal consistency and responsiveness in the taxonomy, the terms \"reliability\" and \"structural validity,\" and the definitions of internal consistency and reliability. Conclusions: Consensus on taxonomy, terminology, and definitions of measurement properties was reached. Hopefully, this will lead to a more uniform use of terms and definitions in the literature on measurement properties. © 2010 Elsevier Inc. All rights reserved.","author":[{"dropping-particle":"","family":"Mokkink","given":"Lidwine B.","non-dropping-particle":"","parse-names":false,"suffix":""},{"dropping-particle":"","family":"Terwee","given":"Caroline B.","non-dropping-particle":"","parse-names":false,"suffix":""},{"dropping-particle":"","family":"Patrick","given":"Donald L.","non-dropping-particle":"","parse-names":false,"suffix":""},{"dropping-particle":"","family":"Alonso","given":"Jordi","non-dropping-particle":"","parse-names":false,"suffix":""},{"dropping-particle":"","family":"Stratford","given":"Paul W.","non-dropping-particle":"","parse-names":false,"suffix":""},{"dropping-particle":"","family":"Knol","given":"Dirk L.","non-dropping-particle":"","parse-names":false,"suffix":""},{"dropping-particle":"","family":"Bouter","given":"Lex M.","non-dropping-particle":"","parse-names":false,"suffix":""},{"dropping-particle":"","family":"Vet","given":"Henrica C.W. W.","non-dropping-particle":"de","parse-names":false,"suffix":""},{"dropping-particle":"","family":"Prinsen","given":"Cicilia A. C.","non-dropping-particle":"","parse-names":false,"suffix":""},{"dropping-particle":"","family":"Mokkink","given":"Lidwine B.","non-dropping-particle":"","parse-names":false,"suffix":""},{"dropping-particle":"","family":"Vet","given":"Henrica C.W. W.","non-dropping-particle":"de","parse-names":false,"suffix":""}],"container-title":"Quality of Life Research","id":"ITEM-1","issue":"7","issued":{"date-parts":[["2014"]]},"page":"32","title":"The COSMIN checklist for evaluating the methodological quality of studies on measurement properties","type":"article-journal","volume":"63"},"uris":["http://www.mendeley.com/documents/?uuid=4397b4e2-e735-4ca4-b9ac-78effe00e60e"]}],"mendeley":{"formattedCitation":"(Lidwine B. Mokkink et al., 2014)","manualFormatting":"' Mokkink et al., 2014)","plainTextFormattedCitation":"(Lidwine B. Mokkink et al., 2014)","previouslyFormattedCitation":"(Mokkink et al., 2014)"},"properties":{"noteIndex":0},"schema":"https://github.com/citation-style-language/schema/raw/master/csl-citation.json"}</w:instrText>
      </w:r>
      <w:r w:rsidRPr="006A1EC7">
        <w:rPr>
          <w:noProof/>
          <w:color w:val="000000" w:themeColor="text1"/>
        </w:rPr>
        <w:fldChar w:fldCharType="separate"/>
      </w:r>
      <w:r w:rsidRPr="006A1EC7">
        <w:rPr>
          <w:noProof/>
          <w:color w:val="000000" w:themeColor="text1"/>
        </w:rPr>
        <w:t>' Mokkink et al., 2014)</w:t>
      </w:r>
      <w:r w:rsidRPr="006A1EC7">
        <w:rPr>
          <w:noProof/>
          <w:color w:val="000000" w:themeColor="text1"/>
        </w:rPr>
        <w:fldChar w:fldCharType="end"/>
      </w:r>
      <w:r w:rsidRPr="006A1EC7">
        <w:rPr>
          <w:color w:val="000000" w:themeColor="text1"/>
        </w:rPr>
        <w:t xml:space="preserve"> once data has been collected </w:t>
      </w:r>
      <w:r w:rsidRPr="006A1EC7">
        <w:rPr>
          <w:color w:val="000000" w:themeColor="text1"/>
        </w:rPr>
        <w:fldChar w:fldCharType="begin" w:fldLock="1"/>
      </w:r>
      <w:r w:rsidRPr="006A1EC7">
        <w:rPr>
          <w:color w:val="000000" w:themeColor="text1"/>
        </w:rPr>
        <w:instrText>ADDIN CSL_CITATION {"citationItems":[{"id":"ITEM-1","itemData":{"DOI":"10.1007/s11136-014-0677-9","ISSN":"15732649","abstract":"The validity of the SF-6D, a preference-based measure of health-related quality of life, is not well explored in the context of spinal cord injury (SCI). The aim of this analysis was to assess appropriate measurement properties of the SF-6D in a sample of individuals living with SCI. Longitudinal data from the Rick Hansen Spinal Cord Injury Registry were used. Responses to the 36-item short-form health survey were transformed into SF-6D utility scores. We investigated practicality, floor and ceiling effects, and responsiveness to change. Responsiveness to change was explored using three different anchors that reflected changes in self-reported health, functional independence, and life satisfaction. Discriminative validity was assessed by ten a priori defined hypotheses, with a distinction made between 'strong' and 'weak' hypotheses. Three hundred and fifty-eight individuals with SCI were included in this analysis. Practicality was deemed acceptable based on a completion rate of 94%. The SF-6D showed low responsiveness to detect important health changes over time, and differences in responsiveness were found between individuals with paraplegia and tetraplegia. All five strong hypotheses and three weak hypotheses were confirmed. The SF-6D demonstrated good practicality and discriminative validity in this sample. The failure to detect self-reported and clinically important health changes requires further consideration. Comparative performance of the SF-6D (i.e., how the SF-6D performs against other preference-based measures) is unknown in the SCI context and requires further research.","author":[{"dropping-particle":"","family":"Engel","given":"Lidia","non-dropping-particle":"","parse-names":false,"suffix":""},{"dropping-particle":"","family":"Bryan","given":"Stirling","non-dropping-particle":"","parse-names":false,"suffix":""},{"dropping-particle":"","family":"Evers","given":"Silvia M.A.A.","non-dropping-particle":"","parse-names":false,"suffix":""},{"dropping-particle":"","family":"Dirksen","given":"Carmen D.","non-dropping-particle":"","parse-names":false,"suffix":""},{"dropping-particle":"","family":"Noonan","given":"Vanessa K.","non-dropping-particle":"","parse-names":false,"suffix":""},{"dropping-particle":"","family":"Whitehurst","given":"David G.T.","non-dropping-particle":"","parse-names":false,"suffix":""}],"container-title":"Quality of life research : an international journal of quality of life aspects of treatment, care and rehabilitation","id":"ITEM-1","issue":"8","issued":{"date-parts":[["2014"]]},"page":"2383-2393","title":"Exploring psychometric properties of the SF-6D, a preference-based health-related quality of life measure, in the context of spinal cord injury.","type":"article-journal","volume":"23"},"uris":["http://www.mendeley.com/documents/?uuid=0204e972-379b-4960-8a90-fe9fcc1ab82d"]},{"id":"ITEM-2","itemData":{"DOI":"10.1186/s12891-016-0963-5","ISSN":"14712474","abstract":"BACKGROUND: The purpose of this study was to assess the reliability and construct validity of the Spanish version of the 6-item carpal tunnel syndrome (CTS) symptoms scale (CTS-6). METHODS: In this cross-sectional study 40 patients diagnosed with CTS based on clinical and neurophysiologic criteria, completed the standard Spanish versions of the CTS-6 and the disabilities of the arm, shoulder and hand (QuickDASH) scales on two occasions with a 1-week interval. Internal-consistency reliability was assessed with the Cronbach alpha coefficient and test-retest reliability with the intraclass correlation coefficient, two way random effect model and absolute agreement definition (ICC2,1). Cross-sectional precision was analyzed with the Standard Error of the Measurement (SEM). Longitudinal precision for test-retest reliability coefficient was assessed with the Standard Error of the Measurement difference (SEMdiff) and the Minimal Detectable Change at 95 % confidence level (MDC95). For assessing construct validity it was hypothesized that the CTS-6 would have a strong positive correlation with the QuickDASH, analyzed with the Pearson correlation coefficient (r). RESULTS: The standard Spanish version of the CTS-6 presented a Cronbach alpha of 0.81 with a SEM of 0.3. Test-retest reliability showed an ICC of 0.85 with a SRMdiff of 0.36 and a MDC95 of 0.7. The correlation between CTS-6 and the QuickDASH was concordant with the a priori formulated construct hypothesis (r 0.69) CONCLUSIONS: The standard Spanish version of the 6-item CTS symptoms scale showed good internal consistency, test-retest reliability and construct validity for outcomes assessment in CTS. The CTS-6 will be useful to clinicians and researchers in Spanish speaking parts of the world. The use of standardized outcome measures across countries also will facilitate comparison of research results in carpal tunnel syndrome.","author":[{"dropping-particle":"","family":"Rosales","given":"Roberto S.","non-dropping-particle":"","parse-names":false,"suffix":""},{"dropping-particle":"","family":"Martin-Hidalgo","given":"Yolanda","non-dropping-particle":"","parse-names":false,"suffix":""},{"dropping-particle":"","family":"Reboso-Morales","given":"Luis","non-dropping-particle":"","parse-names":false,"suffix":""},{"dropping-particle":"","family":"Atroshi","given":"Isam","non-dropping-particle":"","parse-names":false,"suffix":""}],"container-title":"BMC Musculoskeletal Disorders","id":"ITEM-2","issue":"1","issued":{"date-parts":[["2016"]]},"page":"17-20","publisher":"BMC Musculoskeletal Disorders","title":"Reliability and construct validity of the Spanish version of the 6-item CTS symptoms scale for outcomes assessment in carpal tunnel syndrome","type":"article-journal","volume":"17"},"uris":["http://www.mendeley.com/documents/?uuid=142f047c-5898-4566-a3f7-f09abf4c905f"]},{"id":"ITEM-3","itemData":{"DOI":"10.1186/s12889-015-1894-z","ISBN":"1288901518","ISSN":"14712458","abstract":"© 2015 Brouwers et al.; licensee BioMed Central. Background: Most validated sustainable employability questionnaires are extensive and difficult to obtain. Our objective was to develop a usable and valid tool, a Vitality Scan, to determine possible signs of stagnation in one's functioning related to sustainable employability and to establish the instrument's internal consistency and construct validity. Methods: A literature review was performed and expert input was obtained to develop an online survey of 31 items. A sample of 1722 Dutch employees was recruited. Internal consistency was assessed by Cronbach's alpha. The underlying theoretical concepts were extracted by factor analysis using a principal component method. For construct validity, a priori hypotheses were defined for expected differences between known subgroups: 1) older workers would report more stagnation than younger workers, and 2) less educated workers would report more problems than the highly educated ones. Both hypotheses were statistically tested using ANOVA. Results: Internal consistency measures and factor analysis resulted in five subscales with acceptable to good reliability (Cronbach's alpha 0.72-0.87). These subscales included: balance and competence, motivation and involvement, resilience, mental and physical health, and social support at work. Three items were removed following these analyses. In accordance with our a priori hypothesis 1, the ANOVA showed that older workers reported the most problems, while younger workers reported the least problems. However, hypothesis 2 was not confirmed: no significant differences were found for education level. Conclusions: The developed Vitality Scan - with the 28 remaining items - showed good measurement properties. It is applicable as a user-friendly, evaluative instrument for worker's sustainable employability. The scan's value for determining whether or not the employee is at risk for a decrease in functioning during present and future work, should be further tested.","author":[{"dropping-particle":"","family":"Brouwers","given":"Livia A.M.","non-dropping-particle":"","parse-names":false,"suffix":""},{"dropping-particle":"","family":"Engels","given":"Josephine A.","non-dropping-particle":"","parse-names":false,"suffix":""},{"dropping-particle":"","family":"Heerkens","given":"Yvonne F.","non-dropping-particle":"","parse-names":false,"suffix":""},{"dropping-particle":"","family":"Beek","given":"Allard J.","non-dropping-particle":"Van Der","parse-names":false,"suffix":""}],"container-title":"BMC Public Health","id":"ITEM-3","issue":"1","issued":{"date-parts":[["2015"]]},"page":"1-8","publisher":"BMC Public Health","title":"Development of a Vitality Scan related to workers' sustainable employability: A study assessing its internal consistency and construct validity","type":"article-journal","volume":"15"},"uris":["http://www.mendeley.com/documents/?uuid=4867e282-5a59-4a82-a24d-ab2ff91473f0"]}],"mendeley":{"formattedCitation":"(Brouwers, Engels, Heerkens, &amp; Van Der Beek, 2015; Engel et al., 2014; Rosales, Martin-Hidalgo, Reboso-Morales, &amp; Atroshi, 2016)","plainTextFormattedCitation":"(Brouwers, Engels, Heerkens, &amp; Van Der Beek, 2015; Engel et al., 2014; Rosales, Martin-Hidalgo, Reboso-Morales, &amp; Atroshi, 2016)","previouslyFormattedCitation":"(Brouwers, Engels, Heerkens, &amp; Van Der Beek, 2015; Engel et al., 2014; Rosales, Martin-Hidalgo, Reboso-Morales, &amp; Atroshi, 2016)"},"properties":{"noteIndex":0},"schema":"https://github.com/citation-style-language/schema/raw/master/csl-citation.json"}</w:instrText>
      </w:r>
      <w:r w:rsidRPr="006A1EC7">
        <w:rPr>
          <w:color w:val="000000" w:themeColor="text1"/>
        </w:rPr>
        <w:fldChar w:fldCharType="separate"/>
      </w:r>
      <w:r w:rsidRPr="006A1EC7">
        <w:rPr>
          <w:noProof/>
          <w:color w:val="000000" w:themeColor="text1"/>
        </w:rPr>
        <w:t>(Brouwers, Engels, Heerkens, &amp; Van Der Beek, 2015; Engel et al., 2014; Rosales, Martin-Hidalgo, Reboso-Morales, &amp; Atroshi, 2016)</w:t>
      </w:r>
      <w:r w:rsidRPr="006A1EC7">
        <w:rPr>
          <w:color w:val="000000" w:themeColor="text1"/>
        </w:rPr>
        <w:fldChar w:fldCharType="end"/>
      </w:r>
      <w:r w:rsidRPr="006A1EC7">
        <w:rPr>
          <w:color w:val="000000" w:themeColor="text1"/>
        </w:rPr>
        <w:t xml:space="preserve">. This way, construct validity can be assessed, circumventing the need </w:t>
      </w:r>
      <w:r w:rsidRPr="006A1EC7">
        <w:rPr>
          <w:color w:val="000000" w:themeColor="text1"/>
        </w:rPr>
        <w:lastRenderedPageBreak/>
        <w:t xml:space="preserve">for a large patient sample for the conduction of Factor Analysis. However, three essential issues remain: Who would assess the patients? How would the patients be assessed? And, how can one make meaningful predictions considering the heterogeneity in syndrome severity and presentation in WHS? </w:t>
      </w:r>
    </w:p>
    <w:p w14:paraId="72BFC004" w14:textId="77777777" w:rsidR="00F53CB4" w:rsidRPr="006A1EC7" w:rsidRDefault="00F53CB4" w:rsidP="00F53CB4">
      <w:pPr>
        <w:spacing w:line="360" w:lineRule="auto"/>
        <w:ind w:firstLine="720"/>
      </w:pPr>
      <w:r w:rsidRPr="006A1EC7">
        <w:rPr>
          <w:color w:val="000000" w:themeColor="text1"/>
        </w:rPr>
        <w:t xml:space="preserve">It is widely recognised that studying and collecting data on patients with rare diseases is challenging (e.g. </w:t>
      </w:r>
      <w:r w:rsidRPr="006A1EC7">
        <w:rPr>
          <w:color w:val="000000" w:themeColor="text1"/>
        </w:rPr>
        <w:fldChar w:fldCharType="begin" w:fldLock="1"/>
      </w:r>
      <w:r w:rsidRPr="006A1EC7">
        <w:rPr>
          <w:color w:val="000000" w:themeColor="text1"/>
        </w:rPr>
        <w:instrText>ADDIN CSL_CITATION {"citationItems":[{"id":"ITEM-1","itemData":{"DOI":"10.1136/bmj.g6802","ISSN":"17561833","abstract":"OBJECTIVE: To examine methods for generating evidence on health outcomes in patients with rare diseases. DESIGN: Methodological review of existing literature. SETTING: PubMed, Embase, and Academic Search Premier searched for articles describing innovative approaches to randomized trial design and analysis methods and methods for conducting observational research in patients with rare diseases. MAIN OUTCOME MEASURES: We assessed information related to the proposed methods, the specific rare disease being studied, and outcomes from the application of the methods. We summarize methods with respect to their advantages in studying health outcomes in rare diseases and provide examples of their application. RESULTS: We identified 46 articles that proposed or described methods for studying patient health outcomes in rare diseases. Articles covered a wide range of rare diseases and most (72%) were published in 2008 or later. We identified 16 research strategies for studying rare disease. Innovative clinical trial methods minimize sample size requirements (n=4) and maximize the proportion of patients who receive active treatment (n=2), strategies crucial to studying small populations of patients with limited treatment choices. No studies describing unique methods for conducting observational studies in patients with rare diseases were identified. CONCLUSIONS: Though numerous studies apply unique clinical trial designs and considerations to assess patient health outcomes in rare diseases, less attention has been paid to innovative methods for studying rare diseases using observational data.","author":[{"dropping-particle":"","family":"Gagne","given":"Joshua J.","non-dropping-particle":"","parse-names":false,"suffix":""},{"dropping-particle":"","family":"Thompson","given":"Lauren","non-dropping-particle":"","parse-names":false,"suffix":""},{"dropping-particle":"","family":"O'Keefe","given":"Kelly","non-dropping-particle":"","parse-names":false,"suffix":""},{"dropping-particle":"","family":"Kesselheim","given":"Aaron S.","non-dropping-particle":"","parse-names":false,"suffix":""}],"container-title":"BMJ (Online)","id":"ITEM-1","issue":"November","issued":{"date-parts":[["2014"]]},"page":"1-10","title":"Innovative research methods for studying treatments for rare diseases: Methodological review","type":"article-journal","volume":"349"},"uris":["http://www.mendeley.com/documents/?uuid=e17520e8-ddb8-4d65-ac58-c18af15eca2b"]}],"mendeley":{"formattedCitation":"(Gagne, Thompson, O’Keefe, &amp; Kesselheim, 2014)","manualFormatting":"Gagne, Thompson, O’Keefe and Kesselheim, 2014)","plainTextFormattedCitation":"(Gagne, Thompson, O’Keefe, &amp; Kesselheim, 2014)","previouslyFormattedCitation":"(Gagne, Thompson, O’Keefe, &amp; Kesselheim, 2014)"},"properties":{"noteIndex":0},"schema":"https://github.com/citation-style-language/schema/raw/master/csl-citation.json"}</w:instrText>
      </w:r>
      <w:r w:rsidRPr="006A1EC7">
        <w:rPr>
          <w:color w:val="000000" w:themeColor="text1"/>
        </w:rPr>
        <w:fldChar w:fldCharType="separate"/>
      </w:r>
      <w:r w:rsidRPr="006A1EC7">
        <w:rPr>
          <w:noProof/>
          <w:color w:val="000000" w:themeColor="text1"/>
        </w:rPr>
        <w:t>Gagne, Thompson, O’Keefe and Kesselheim, 2014)</w:t>
      </w:r>
      <w:r w:rsidRPr="006A1EC7">
        <w:rPr>
          <w:color w:val="000000" w:themeColor="text1"/>
        </w:rPr>
        <w:fldChar w:fldCharType="end"/>
      </w:r>
      <w:r w:rsidRPr="006A1EC7">
        <w:rPr>
          <w:color w:val="000000" w:themeColor="text1"/>
        </w:rPr>
        <w:t>. While the scale development literature emphasises the importance of the development of accurate and reliable scales for (rare) diseases, t</w:t>
      </w:r>
      <w:r w:rsidRPr="006A1EC7">
        <w:t>he guidance fails to</w:t>
      </w:r>
      <w:r w:rsidRPr="006A1EC7">
        <w:rPr>
          <w:color w:val="000000" w:themeColor="text1"/>
        </w:rPr>
        <w:t xml:space="preserve"> provide guidance on what to do in situations where typically used validation methods and psychometric tests</w:t>
      </w:r>
      <w:r w:rsidRPr="006A1EC7">
        <w:t xml:space="preserve"> are not within the realms of possibility</w:t>
      </w:r>
      <w:r w:rsidRPr="006A1EC7">
        <w:rPr>
          <w:color w:val="000000" w:themeColor="text1"/>
        </w:rPr>
        <w:t>; this includes the FDA,</w:t>
      </w:r>
      <w:r w:rsidRPr="006A1EC7">
        <w:rPr>
          <w:color w:val="000000"/>
          <w:spacing w:val="2"/>
          <w:shd w:val="clear" w:color="auto" w:fill="FFFFFF"/>
        </w:rPr>
        <w:t xml:space="preserve"> </w:t>
      </w:r>
      <w:r w:rsidRPr="006A1EC7">
        <w:rPr>
          <w:color w:val="000000" w:themeColor="text1"/>
        </w:rPr>
        <w:t>ISPOR and ISOQOL guidelines.</w:t>
      </w:r>
      <w:r w:rsidRPr="006A1EC7">
        <w:t xml:space="preserve"> </w:t>
      </w:r>
    </w:p>
    <w:p w14:paraId="41365ADB" w14:textId="77777777" w:rsidR="00F53CB4" w:rsidRPr="006A1EC7" w:rsidRDefault="00F53CB4" w:rsidP="00F53CB4">
      <w:pPr>
        <w:spacing w:line="360" w:lineRule="auto"/>
        <w:ind w:firstLine="720"/>
      </w:pPr>
      <w:r w:rsidRPr="006A1EC7">
        <w:t xml:space="preserve">These challenges are recognised and new, creative and innovative methods are called for to tackle these limitations and achieve advances in this field </w:t>
      </w:r>
      <w:r w:rsidRPr="006A1EC7">
        <w:fldChar w:fldCharType="begin" w:fldLock="1"/>
      </w:r>
      <w:r w:rsidRPr="006A1EC7">
        <w:instrText>ADDIN CSL_CITATION {"citationItems":[{"id":"ITEM-1","itemData":{"DOI":"10.1136/bmj.g6802","ISSN":"17561833","abstract":"OBJECTIVE: To examine methods for generating evidence on health outcomes in patients with rare diseases. DESIGN: Methodological review of existing literature. SETTING: PubMed, Embase, and Academic Search Premier searched for articles describing innovative approaches to randomized trial design and analysis methods and methods for conducting observational research in patients with rare diseases. MAIN OUTCOME MEASURES: We assessed information related to the proposed methods, the specific rare disease being studied, and outcomes from the application of the methods. We summarize methods with respect to their advantages in studying health outcomes in rare diseases and provide examples of their application. RESULTS: We identified 46 articles that proposed or described methods for studying patient health outcomes in rare diseases. Articles covered a wide range of rare diseases and most (72%) were published in 2008 or later. We identified 16 research strategies for studying rare disease. Innovative clinical trial methods minimize sample size requirements (n=4) and maximize the proportion of patients who receive active treatment (n=2), strategies crucial to studying small populations of patients with limited treatment choices. No studies describing unique methods for conducting observational studies in patients with rare diseases were identified. CONCLUSIONS: Though numerous studies apply unique clinical trial designs and considerations to assess patient health outcomes in rare diseases, less attention has been paid to innovative methods for studying rare diseases using observational data.","author":[{"dropping-particle":"","family":"Gagne","given":"Joshua J.","non-dropping-particle":"","parse-names":false,"suffix":""},{"dropping-particle":"","family":"Thompson","given":"Lauren","non-dropping-particle":"","parse-names":false,"suffix":""},{"dropping-particle":"","family":"O'Keefe","given":"Kelly","non-dropping-particle":"","parse-names":false,"suffix":""},{"dropping-particle":"","family":"Kesselheim","given":"Aaron S.","non-dropping-particle":"","parse-names":false,"suffix":""}],"container-title":"BMJ (Online)","id":"ITEM-1","issue":"November","issued":{"date-parts":[["2014"]]},"page":"1-10","title":"Innovative research methods for studying treatments for rare diseases: Methodological review","type":"article-journal","volume":"349"},"uris":["http://www.mendeley.com/documents/?uuid=e17520e8-ddb8-4d65-ac58-c18af15eca2b"]}],"mendeley":{"formattedCitation":"(Gagne et al., 2014)","plainTextFormattedCitation":"(Gagne et al., 2014)","previouslyFormattedCitation":"(Gagne et al., 2014)"},"properties":{"noteIndex":0},"schema":"https://github.com/citation-style-language/schema/raw/master/csl-citation.json"}</w:instrText>
      </w:r>
      <w:r w:rsidRPr="006A1EC7">
        <w:fldChar w:fldCharType="separate"/>
      </w:r>
      <w:r w:rsidRPr="006A1EC7">
        <w:rPr>
          <w:noProof/>
        </w:rPr>
        <w:t>(Gagne et al., 2014)</w:t>
      </w:r>
      <w:r w:rsidRPr="006A1EC7">
        <w:fldChar w:fldCharType="end"/>
      </w:r>
      <w:r w:rsidRPr="006A1EC7">
        <w:t>. However, little progress has been made in developing or disseminating these approaches. Patient numbers, and thus recruitment for validation studies therefore epitomises a significant issue; with direct consequence being a lack of validated measures being potentially used to make clinical health care decisions.</w:t>
      </w:r>
    </w:p>
    <w:p w14:paraId="5D4851B5" w14:textId="77777777" w:rsidR="00F53CB4" w:rsidRPr="006A1EC7" w:rsidRDefault="00F53CB4" w:rsidP="00F53CB4">
      <w:pPr>
        <w:spacing w:line="360" w:lineRule="auto"/>
        <w:rPr>
          <w:color w:val="000000" w:themeColor="text1"/>
        </w:rPr>
      </w:pPr>
    </w:p>
    <w:p w14:paraId="3A7377E7" w14:textId="77777777" w:rsidR="00F53CB4" w:rsidRPr="006A1EC7" w:rsidRDefault="00F53CB4" w:rsidP="00F53CB4">
      <w:pPr>
        <w:pStyle w:val="Heading4"/>
        <w:rPr>
          <w:rFonts w:ascii="Times New Roman" w:hAnsi="Times New Roman" w:cs="Times New Roman"/>
        </w:rPr>
      </w:pPr>
      <w:r w:rsidRPr="006A1EC7">
        <w:rPr>
          <w:rFonts w:ascii="Times New Roman" w:hAnsi="Times New Roman" w:cs="Times New Roman"/>
        </w:rPr>
        <w:t>The use of vignettes to establish validity and reliability of the COA</w:t>
      </w:r>
    </w:p>
    <w:p w14:paraId="7ACBA903" w14:textId="77777777" w:rsidR="00F53CB4" w:rsidRPr="006A1EC7" w:rsidRDefault="00F53CB4" w:rsidP="00F53CB4">
      <w:pPr>
        <w:spacing w:line="360" w:lineRule="auto"/>
        <w:ind w:firstLine="720"/>
        <w:rPr>
          <w:color w:val="000000" w:themeColor="text1"/>
        </w:rPr>
      </w:pPr>
      <w:r w:rsidRPr="006A1EC7">
        <w:rPr>
          <w:color w:val="000000" w:themeColor="text1"/>
        </w:rPr>
        <w:t xml:space="preserve">As aforementioned, the literature does not propose a method or technique to address this issue; therefore, the research team developed the following method, with the following underlying considerations : </w:t>
      </w:r>
    </w:p>
    <w:p w14:paraId="721FDEF5" w14:textId="77777777" w:rsidR="00F53CB4" w:rsidRPr="006A1EC7" w:rsidRDefault="00F53CB4" w:rsidP="00F53CB4">
      <w:pPr>
        <w:spacing w:line="360" w:lineRule="auto"/>
        <w:ind w:firstLine="720"/>
        <w:rPr>
          <w:color w:val="000000" w:themeColor="text1"/>
        </w:rPr>
      </w:pPr>
      <w:r w:rsidRPr="006A1EC7">
        <w:t>When</w:t>
      </w:r>
      <w:r w:rsidRPr="006A1EC7">
        <w:rPr>
          <w:color w:val="000000" w:themeColor="text1"/>
        </w:rPr>
        <w:t xml:space="preserve"> validating a COA that is clinician-rated, studies must not only recruit patients with the disease, but also clinicians to rate the patients, using the COA (to avoid any conflicts of interest, scale developers should not be involved in the active part of scale development). While there was a potentially exhaustive pool of local clinicians who could participate in this study as assessors due to this research being conducted at a large UK Medical School/Teaching Hospitals Trust which encourages research engagement and participation, there was still a lack of ‘real’ patients with WHS. </w:t>
      </w:r>
    </w:p>
    <w:p w14:paraId="4BB95B68" w14:textId="77777777" w:rsidR="00F53CB4" w:rsidRPr="006A1EC7" w:rsidRDefault="00F53CB4" w:rsidP="00F53CB4">
      <w:pPr>
        <w:spacing w:line="360" w:lineRule="auto"/>
        <w:ind w:firstLine="720"/>
        <w:rPr>
          <w:color w:val="000000" w:themeColor="text1"/>
        </w:rPr>
      </w:pPr>
      <w:r w:rsidRPr="006A1EC7">
        <w:rPr>
          <w:color w:val="000000" w:themeColor="text1"/>
        </w:rPr>
        <w:t xml:space="preserve">Therefore, it was decided that the COA would be trialled via a number of fictional, yet plausible vignettes (or case studies). This allows the researchers a degree of predictability and control over the variables; and to make meaningful predictions regarding likely scores. </w:t>
      </w:r>
      <w:r w:rsidRPr="006A1EC7">
        <w:t xml:space="preserve">Vignettes have long been a tool for research, although predominantly in social sciences research and medical education. Most commonly, </w:t>
      </w:r>
      <w:r w:rsidRPr="006A1EC7">
        <w:lastRenderedPageBreak/>
        <w:t xml:space="preserve">vignettes have been applied to assess beliefs and values to study behaviour change </w:t>
      </w:r>
      <w:r w:rsidRPr="006A1EC7">
        <w:fldChar w:fldCharType="begin" w:fldLock="1"/>
      </w:r>
      <w:r w:rsidRPr="006A1EC7">
        <w:instrText>ADDIN CSL_CITATION {"citationItems":[{"id":"ITEM-1","itemData":{"DOI":"10.1177/1468794109356737","author":[{"dropping-particle":"","family":"Jenkins","given":"N","non-dropping-particle":"","parse-names":false,"suffix":""},{"dropping-particle":"","family":"Bloor","given":"M","non-dropping-particle":"","parse-names":false,"suffix":""},{"dropping-particle":"","family":"Fischer","given":"J","non-dropping-particle":"","parse-names":false,"suffix":""},{"dropping-particle":"","family":"Berney","given":"L","non-dropping-particle":"","parse-names":false,"suffix":""},{"dropping-particle":"","family":"Neale","given":"J","non-dropping-particle":"","parse-names":false,"suffix":""}],"container-title":"Qualitative Research","id":"ITEM-1","issue":"2","issued":{"date-parts":[["2010"]]},"page":"175-198","title":"Putting it in context: the use of vignettes in qualitative interviewing","type":"article-journal","volume":"10"},"uris":["http://www.mendeley.com/documents/?uuid=fe706bce-afb0-4ff7-b6c5-2583d4468624"]}],"mendeley":{"formattedCitation":"(Jenkins, Bloor, Fischer, Berney, &amp; Neale, 2010)","plainTextFormattedCitation":"(Jenkins, Bloor, Fischer, Berney, &amp; Neale, 2010)","previouslyFormattedCitation":"(Jenkins, Bloor, Fischer, Berney, &amp; Neale, 2010)"},"properties":{"noteIndex":0},"schema":"https://github.com/citation-style-language/schema/raw/master/csl-citation.json"}</w:instrText>
      </w:r>
      <w:r w:rsidRPr="006A1EC7">
        <w:fldChar w:fldCharType="separate"/>
      </w:r>
      <w:r w:rsidRPr="006A1EC7">
        <w:rPr>
          <w:noProof/>
        </w:rPr>
        <w:t>(Jenkins, Bloor, Fischer, Berney, &amp; Neale, 2010)</w:t>
      </w:r>
      <w:r w:rsidRPr="006A1EC7">
        <w:fldChar w:fldCharType="end"/>
      </w:r>
      <w:r w:rsidRPr="006A1EC7">
        <w:t xml:space="preserve"> and to investigate professional decision-making or judgement </w:t>
      </w:r>
      <w:r w:rsidRPr="006A1EC7">
        <w:fldChar w:fldCharType="begin" w:fldLock="1"/>
      </w:r>
      <w:r w:rsidRPr="006A1EC7">
        <w:instrText>ADDIN CSL_CITATION {"citationItems":[{"id":"ITEM-1","itemData":{"DOI":"10.1093/bjsw/bch345","ISBN":"0045-3102\\r1468-263X","ISSN":"00453102","abstract":"Decision making is becoming an increasingly central feature of social work practice, yet there is limited research on the topic. Experimental methods of investigating decision making tend to be constrained by practical and ethical difficulties, whilst questions about validity and generalizability surround ethnographic and other descriptive meth-ods. It is argued here that the factorial survey addresses these methodological difficult-ies as a research design to study the way that professionals make decisions in real life. In this research design, true-to-life vignettes (case scenarios or paper cases) are pre-sented to social workers or other staff to make a judgement about a familiar type of scenario. The randomized factors within the vignettes, combined with the randomiza-tion of the selection of vignettes for each decision maker, give the factorial survey a unique capability to investigate the effect of multiple factors in complex decisions, unlike the more common factorial experiment. The method is explained, and prospects and issues for the development of this research design to study professional judgement within social work are discussed. The factorial survey has potential as a method for rig-orous study of the impact of client, family and context factors on decisions by social work and social care staff.","author":[{"dropping-particle":"","family":"Taylor","given":"Brian J.","non-dropping-particle":"","parse-names":false,"suffix":""}],"container-title":"British Journal of Social Work","id":"ITEM-1","issue":"7","issued":{"date-parts":[["2006"]]},"page":"1187-1207","title":"Factorial surveys: Using vignettes to study professional judgement","type":"article-journal","volume":"36"},"uris":["http://www.mendeley.com/documents/?uuid=8475490c-1a07-4d2e-b71a-ba8b5c15a096"]}],"mendeley":{"formattedCitation":"(Taylor, 2006)","plainTextFormattedCitation":"(Taylor, 2006)","previouslyFormattedCitation":"(Taylor, 2006)"},"properties":{"noteIndex":0},"schema":"https://github.com/citation-style-language/schema/raw/master/csl-citation.json"}</w:instrText>
      </w:r>
      <w:r w:rsidRPr="006A1EC7">
        <w:fldChar w:fldCharType="separate"/>
      </w:r>
      <w:r w:rsidRPr="006A1EC7">
        <w:rPr>
          <w:noProof/>
        </w:rPr>
        <w:t>(Taylor, 2006)</w:t>
      </w:r>
      <w:r w:rsidRPr="006A1EC7">
        <w:fldChar w:fldCharType="end"/>
      </w:r>
      <w:r w:rsidRPr="006A1EC7">
        <w:t xml:space="preserve">. Vignettes are brief, hypothetical scenarios and accounts of a person in specific circumstances </w:t>
      </w:r>
      <w:r w:rsidRPr="006A1EC7">
        <w:fldChar w:fldCharType="begin" w:fldLock="1"/>
      </w:r>
      <w:r w:rsidRPr="006A1EC7">
        <w:instrText>ADDIN CSL_CITATION {"citationItems":[{"id":"ITEM-1","itemData":{"author":[{"dropping-particle":"","family":"Finch","given":"Janet","non-dropping-particle":"","parse-names":false,"suffix":""}],"container-title":"Sociology","id":"ITEM-1","issue":"1","issued":{"date-parts":[["1987"]]},"page":"105 -114","title":"Research Note: The Vignette Technique in Survey Research","type":"article-journal","volume":"21"},"uris":["http://www.mendeley.com/documents/?uuid=e2f67347-fe06-492f-b4be-322ec3bcdd13"]}],"mendeley":{"formattedCitation":"(Finch, 1987)","plainTextFormattedCitation":"(Finch, 1987)","previouslyFormattedCitation":"(Finch, 1987)"},"properties":{"noteIndex":0},"schema":"https://github.com/citation-style-language/schema/raw/master/csl-citation.json"}</w:instrText>
      </w:r>
      <w:r w:rsidRPr="006A1EC7">
        <w:fldChar w:fldCharType="separate"/>
      </w:r>
      <w:r w:rsidRPr="006A1EC7">
        <w:rPr>
          <w:noProof/>
        </w:rPr>
        <w:t>(Finch, 1987)</w:t>
      </w:r>
      <w:r w:rsidRPr="006A1EC7">
        <w:fldChar w:fldCharType="end"/>
      </w:r>
      <w:r w:rsidRPr="006A1EC7">
        <w:t xml:space="preserve">; i.e. a person with WHS. The vignettes, or case studies, contain information about factors that are relevant to the specific context </w:t>
      </w:r>
      <w:r w:rsidRPr="006A1EC7">
        <w:fldChar w:fldCharType="begin" w:fldLock="1"/>
      </w:r>
      <w:r w:rsidRPr="006A1EC7">
        <w:instrText>ADDIN CSL_CITATION {"citationItems":[{"id":"ITEM-1","itemData":{"DOI":"10.1093/bjsw/bch345","ISBN":"0045-3102\\r1468-263X","ISSN":"00453102","abstract":"Decision making is becoming an increasingly central feature of social work practice, yet there is limited research on the topic. Experimental methods of investigating decision making tend to be constrained by practical and ethical difficulties, whilst questions about validity and generalizability surround ethnographic and other descriptive meth-ods. It is argued here that the factorial survey addresses these methodological difficult-ies as a research design to study the way that professionals make decisions in real life. In this research design, true-to-life vignettes (case scenarios or paper cases) are pre-sented to social workers or other staff to make a judgement about a familiar type of scenario. The randomized factors within the vignettes, combined with the randomiza-tion of the selection of vignettes for each decision maker, give the factorial survey a unique capability to investigate the effect of multiple factors in complex decisions, unlike the more common factorial experiment. The method is explained, and prospects and issues for the development of this research design to study professional judgement within social work are discussed. The factorial survey has potential as a method for rig-orous study of the impact of client, family and context factors on decisions by social work and social care staff.","author":[{"dropping-particle":"","family":"Taylor","given":"Brian J.","non-dropping-particle":"","parse-names":false,"suffix":""}],"container-title":"British Journal of Social Work","id":"ITEM-1","issue":"7","issued":{"date-parts":[["2006"]]},"page":"1187-1207","title":"Factorial surveys: Using vignettes to study professional judgement","type":"article-journal","volume":"36"},"uris":["http://www.mendeley.com/documents/?uuid=8475490c-1a07-4d2e-b71a-ba8b5c15a096"]}],"mendeley":{"formattedCitation":"(Taylor, 2006)","plainTextFormattedCitation":"(Taylor, 2006)","previouslyFormattedCitation":"(Taylor, 2006)"},"properties":{"noteIndex":0},"schema":"https://github.com/citation-style-language/schema/raw/master/csl-citation.json"}</w:instrText>
      </w:r>
      <w:r w:rsidRPr="006A1EC7">
        <w:fldChar w:fldCharType="separate"/>
      </w:r>
      <w:r w:rsidRPr="006A1EC7">
        <w:rPr>
          <w:noProof/>
        </w:rPr>
        <w:t>(Taylor, 2006)</w:t>
      </w:r>
      <w:r w:rsidRPr="006A1EC7">
        <w:fldChar w:fldCharType="end"/>
      </w:r>
      <w:r w:rsidRPr="006A1EC7">
        <w:t>; i.e. details about the patient’s health status. Giving clinician volunteers a number of vignettes describing different patients with WHS therefore circumvents the need for a patient sample and allows for a priori hypotheses to be tested once data has been collected. These hypotheses must be made carefully and considerately. This way, as aforementioned, construct validity of the COA can be established.</w:t>
      </w:r>
    </w:p>
    <w:p w14:paraId="20F48F1B" w14:textId="77777777" w:rsidR="00F53CB4" w:rsidRPr="006A1EC7" w:rsidRDefault="00F53CB4" w:rsidP="00F53CB4">
      <w:pPr>
        <w:spacing w:line="360" w:lineRule="auto"/>
        <w:ind w:firstLine="720"/>
      </w:pPr>
      <w:r w:rsidRPr="006A1EC7">
        <w:t xml:space="preserve">Research utilising vignettes is referred to as factorial survey research. The factors described in vignettes are independent variables and there are no limits to the number of independent variables contained within a vignette, or the types of independent variables suitable </w:t>
      </w:r>
      <w:r w:rsidRPr="006A1EC7">
        <w:fldChar w:fldCharType="begin" w:fldLock="1"/>
      </w:r>
      <w:r w:rsidRPr="006A1EC7">
        <w:instrText>ADDIN CSL_CITATION {"citationItems":[{"id":"ITEM-1","itemData":{"DOI":"10.1093/bjsw/bch345","ISBN":"0045-3102\\r1468-263X","ISSN":"00453102","abstract":"Decision making is becoming an increasingly central feature of social work practice, yet there is limited research on the topic. Experimental methods of investigating decision making tend to be constrained by practical and ethical difficulties, whilst questions about validity and generalizability surround ethnographic and other descriptive meth-ods. It is argued here that the factorial survey addresses these methodological difficult-ies as a research design to study the way that professionals make decisions in real life. In this research design, true-to-life vignettes (case scenarios or paper cases) are pre-sented to social workers or other staff to make a judgement about a familiar type of scenario. The randomized factors within the vignettes, combined with the randomiza-tion of the selection of vignettes for each decision maker, give the factorial survey a unique capability to investigate the effect of multiple factors in complex decisions, unlike the more common factorial experiment. The method is explained, and prospects and issues for the development of this research design to study professional judgement within social work are discussed. The factorial survey has potential as a method for rig-orous study of the impact of client, family and context factors on decisions by social work and social care staff.","author":[{"dropping-particle":"","family":"Taylor","given":"Brian J.","non-dropping-particle":"","parse-names":false,"suffix":""}],"container-title":"British Journal of Social Work","id":"ITEM-1","issue":"7","issued":{"date-parts":[["2006"]]},"page":"1187-1207","title":"Factorial surveys: Using vignettes to study professional judgement","type":"article-journal","volume":"36"},"uris":["http://www.mendeley.com/documents/?uuid=8475490c-1a07-4d2e-b71a-ba8b5c15a096"]}],"mendeley":{"formattedCitation":"(Taylor, 2006)","plainTextFormattedCitation":"(Taylor, 2006)","previouslyFormattedCitation":"(Taylor, 2006)"},"properties":{"noteIndex":0},"schema":"https://github.com/citation-style-language/schema/raw/master/csl-citation.json"}</w:instrText>
      </w:r>
      <w:r w:rsidRPr="006A1EC7">
        <w:fldChar w:fldCharType="separate"/>
      </w:r>
      <w:r w:rsidRPr="006A1EC7">
        <w:rPr>
          <w:noProof/>
        </w:rPr>
        <w:t>(Taylor, 2006)</w:t>
      </w:r>
      <w:r w:rsidRPr="006A1EC7">
        <w:fldChar w:fldCharType="end"/>
      </w:r>
      <w:r w:rsidRPr="006A1EC7">
        <w:t>. This is a strength of this factorial research design for the current study, as the COA has a large number of items (70+) due to the large number of WHS’s clinical features. However, two things must be considered: firstly, when used in the context of decision-making, vignettes should contain enough information on the independent variables to enable participants to make informed decisions. Secondly, it is important to raise the issue that with an increasing number of independent variables, the statistical power of the analysis may be weakened. However, this may be counteracted with larger samples.</w:t>
      </w:r>
    </w:p>
    <w:p w14:paraId="6122CEFB" w14:textId="77777777" w:rsidR="00F53CB4" w:rsidRPr="006A1EC7" w:rsidRDefault="00F53CB4" w:rsidP="00F53CB4">
      <w:pPr>
        <w:spacing w:line="360" w:lineRule="auto"/>
        <w:ind w:firstLine="720"/>
      </w:pPr>
      <w:r w:rsidRPr="006A1EC7">
        <w:t xml:space="preserve">Technically, factorial survey research can be classed as an experimental research design as the vignettes are randomly assigned to participants and the exposure to the independent variables (= factors contained in the vignettes) is controlled by the researcher. Provided the vignettes are realistic, the factorial survey should reflect the outcomes of decisions the clinicians would usually make in their everyday professional life. While factorial survey research has elsewhere been criticised as being too reliant on subjective interpretation </w:t>
      </w:r>
      <w:r w:rsidRPr="006A1EC7">
        <w:fldChar w:fldCharType="begin" w:fldLock="1"/>
      </w:r>
      <w:r w:rsidRPr="006A1EC7">
        <w:instrText>ADDIN CSL_CITATION {"citationItems":[{"id":"ITEM-1","itemData":{"author":[{"dropping-particle":"","family":"Finch","given":"Janet","non-dropping-particle":"","parse-names":false,"suffix":""}],"container-title":"Sociology","id":"ITEM-1","issue":"1","issued":{"date-parts":[["1987"]]},"page":"105 -114","title":"Research Note: The Vignette Technique in Survey Research","type":"article-journal","volume":"21"},"uris":["http://www.mendeley.com/documents/?uuid=e2f67347-fe06-492f-b4be-322ec3bcdd13"]}],"mendeley":{"formattedCitation":"(Finch, 1987)","plainTextFormattedCitation":"(Finch, 1987)","previouslyFormattedCitation":"(Finch, 1987)"},"properties":{"noteIndex":0},"schema":"https://github.com/citation-style-language/schema/raw/master/csl-citation.json"}</w:instrText>
      </w:r>
      <w:r w:rsidRPr="006A1EC7">
        <w:fldChar w:fldCharType="separate"/>
      </w:r>
      <w:r w:rsidRPr="006A1EC7">
        <w:rPr>
          <w:noProof/>
        </w:rPr>
        <w:t>(Finch, 1987)</w:t>
      </w:r>
      <w:r w:rsidRPr="006A1EC7">
        <w:fldChar w:fldCharType="end"/>
      </w:r>
      <w:r w:rsidRPr="006A1EC7">
        <w:t>, this criticism simultaneously acknowledges the subjectivity that occurs in a clinical assessment, often based on clinician-judgement; and therefore, works in support of using this methodology for the current study.</w:t>
      </w:r>
    </w:p>
    <w:p w14:paraId="0F6B5AAA" w14:textId="77777777" w:rsidR="00F53CB4" w:rsidRPr="006A1EC7" w:rsidRDefault="00F53CB4" w:rsidP="00F53CB4">
      <w:pPr>
        <w:spacing w:line="360" w:lineRule="auto"/>
        <w:ind w:firstLine="720"/>
      </w:pPr>
      <w:r w:rsidRPr="006A1EC7">
        <w:t xml:space="preserve">Using vignettes also allows the assessment of intra-rater as well as inter-rater reliability; as it allows comparisons (in the form of percentage agreement) of scores given both by one rater on the same case study (if administered at a minimum of two </w:t>
      </w:r>
      <w:r w:rsidRPr="006A1EC7">
        <w:lastRenderedPageBreak/>
        <w:t>timepoints) as well as comparisons of scores given by different raters on the same vignette.</w:t>
      </w:r>
    </w:p>
    <w:p w14:paraId="2481D951" w14:textId="77777777" w:rsidR="00F53CB4" w:rsidRPr="006A1EC7" w:rsidRDefault="00F53CB4" w:rsidP="00F53CB4">
      <w:pPr>
        <w:spacing w:line="360" w:lineRule="auto"/>
        <w:ind w:firstLine="720"/>
      </w:pPr>
      <w:r w:rsidRPr="006A1EC7">
        <w:t xml:space="preserve">While the use of vignettes as a novel approach to validate COAs may have much to offer to this field, the assessment of internal consistency remains an issue. In this context, it was decided that assessment of intra- and inter-rater reliability would take precedence over the calculation of a (likely meaningless) set of Cronbach’s α values. Cronbach’s α values will therefore not be not calculated for the COA. </w:t>
      </w:r>
    </w:p>
    <w:p w14:paraId="247ABCB0" w14:textId="77777777" w:rsidR="00F53CB4" w:rsidRPr="006A1EC7" w:rsidRDefault="00F53CB4" w:rsidP="00F53CB4">
      <w:pPr>
        <w:spacing w:line="360" w:lineRule="auto"/>
      </w:pPr>
    </w:p>
    <w:p w14:paraId="13A571A0" w14:textId="77777777" w:rsidR="00F53CB4" w:rsidRPr="006A1EC7" w:rsidRDefault="00F53CB4" w:rsidP="00F53CB4">
      <w:pPr>
        <w:pStyle w:val="Heading2"/>
        <w:rPr>
          <w:rFonts w:ascii="Times New Roman" w:hAnsi="Times New Roman" w:cs="Times New Roman"/>
        </w:rPr>
      </w:pPr>
      <w:bookmarkStart w:id="234" w:name="_Toc40173012"/>
      <w:r w:rsidRPr="006A1EC7">
        <w:rPr>
          <w:rFonts w:ascii="Times New Roman" w:hAnsi="Times New Roman" w:cs="Times New Roman"/>
        </w:rPr>
        <w:t>Objective</w:t>
      </w:r>
      <w:bookmarkEnd w:id="234"/>
    </w:p>
    <w:p w14:paraId="4D04B7C1" w14:textId="77777777" w:rsidR="00F53CB4" w:rsidRPr="006A1EC7" w:rsidRDefault="00F53CB4" w:rsidP="00F53CB4">
      <w:pPr>
        <w:spacing w:line="360" w:lineRule="auto"/>
        <w:ind w:firstLine="360"/>
      </w:pPr>
      <w:r w:rsidRPr="006A1EC7">
        <w:t xml:space="preserve"> </w:t>
      </w:r>
    </w:p>
    <w:p w14:paraId="490A3C88" w14:textId="77777777" w:rsidR="00F53CB4" w:rsidRPr="006A1EC7" w:rsidRDefault="00F53CB4" w:rsidP="00F53CB4">
      <w:pPr>
        <w:spacing w:line="360" w:lineRule="auto"/>
        <w:ind w:firstLine="360"/>
      </w:pPr>
      <w:r w:rsidRPr="006A1EC7">
        <w:t>The aim of this study was to assess the psychometric properties of reliability (intra-rater, inter-rater reliability) and construct validity (via a priori hypotheses) of the developed COA.</w:t>
      </w:r>
    </w:p>
    <w:p w14:paraId="28C109F2" w14:textId="77777777" w:rsidR="00F53CB4" w:rsidRPr="006A1EC7" w:rsidRDefault="00F53CB4" w:rsidP="00F53CB4">
      <w:pPr>
        <w:spacing w:line="360" w:lineRule="auto"/>
        <w:ind w:firstLine="360"/>
      </w:pPr>
    </w:p>
    <w:p w14:paraId="10A748E8" w14:textId="77777777" w:rsidR="00F53CB4" w:rsidRPr="006A1EC7" w:rsidRDefault="00F53CB4" w:rsidP="00F53CB4">
      <w:pPr>
        <w:pStyle w:val="Heading2"/>
        <w:rPr>
          <w:rFonts w:ascii="Times New Roman" w:hAnsi="Times New Roman" w:cs="Times New Roman"/>
        </w:rPr>
      </w:pPr>
      <w:bookmarkStart w:id="235" w:name="_Toc40173013"/>
      <w:r w:rsidRPr="006A1EC7">
        <w:rPr>
          <w:rFonts w:ascii="Times New Roman" w:hAnsi="Times New Roman" w:cs="Times New Roman"/>
        </w:rPr>
        <w:t>Rationale</w:t>
      </w:r>
      <w:bookmarkEnd w:id="235"/>
      <w:r w:rsidRPr="006A1EC7">
        <w:rPr>
          <w:rFonts w:ascii="Times New Roman" w:hAnsi="Times New Roman" w:cs="Times New Roman"/>
        </w:rPr>
        <w:t xml:space="preserve"> </w:t>
      </w:r>
    </w:p>
    <w:p w14:paraId="7CA4A466" w14:textId="4128CBC8" w:rsidR="00F53CB4" w:rsidRPr="006A1EC7" w:rsidRDefault="00F53CB4" w:rsidP="00F53CB4">
      <w:pPr>
        <w:spacing w:line="360" w:lineRule="auto"/>
        <w:ind w:firstLine="360"/>
      </w:pPr>
      <w:r w:rsidRPr="006A1EC7">
        <w:t>The underlying rationale of its conduction is that, due to the lack of patients with WHS to psychometrically validate the COA on, the COA will be trialled using vignettes of fictional patients with WHS and ask a range of medical professionals, as participants, to rate these patients. This study hopes therefore to assess</w:t>
      </w:r>
      <w:r w:rsidR="00D56051" w:rsidRPr="006A1EC7">
        <w:t xml:space="preserve"> intra- and inter-rater</w:t>
      </w:r>
      <w:r w:rsidRPr="006A1EC7">
        <w:t xml:space="preserve"> reliability </w:t>
      </w:r>
      <w:r w:rsidR="00D56051" w:rsidRPr="006A1EC7">
        <w:t xml:space="preserve">as well as </w:t>
      </w:r>
      <w:r w:rsidRPr="006A1EC7">
        <w:t>construct validity, and to present the development of a creative</w:t>
      </w:r>
      <w:r w:rsidRPr="006A1EC7">
        <w:rPr>
          <w:rStyle w:val="FootnoteReference"/>
        </w:rPr>
        <w:footnoteReference w:id="23"/>
      </w:r>
      <w:r w:rsidRPr="006A1EC7">
        <w:t xml:space="preserve"> method to potentially aid validation of COAs for rare diseases.</w:t>
      </w:r>
    </w:p>
    <w:p w14:paraId="5343DF21" w14:textId="77777777" w:rsidR="00F53CB4" w:rsidRPr="006A1EC7" w:rsidRDefault="00F53CB4" w:rsidP="00F53CB4">
      <w:pPr>
        <w:spacing w:line="360" w:lineRule="auto"/>
      </w:pPr>
    </w:p>
    <w:p w14:paraId="6DD3DB6A" w14:textId="77777777" w:rsidR="00F53CB4" w:rsidRPr="006A1EC7" w:rsidRDefault="00F53CB4" w:rsidP="00F53CB4">
      <w:pPr>
        <w:spacing w:line="360" w:lineRule="auto"/>
      </w:pPr>
    </w:p>
    <w:p w14:paraId="739556F5" w14:textId="77777777" w:rsidR="00F53CB4" w:rsidRPr="006A1EC7" w:rsidRDefault="00F53CB4" w:rsidP="00F53CB4">
      <w:pPr>
        <w:spacing w:line="360" w:lineRule="auto"/>
      </w:pPr>
    </w:p>
    <w:p w14:paraId="4335F31C" w14:textId="77777777" w:rsidR="00F53CB4" w:rsidRPr="006A1EC7" w:rsidRDefault="00F53CB4" w:rsidP="00F53CB4">
      <w:pPr>
        <w:pStyle w:val="Heading2"/>
        <w:rPr>
          <w:rFonts w:ascii="Times New Roman" w:hAnsi="Times New Roman" w:cs="Times New Roman"/>
        </w:rPr>
        <w:sectPr w:rsidR="00F53CB4" w:rsidRPr="006A1EC7" w:rsidSect="00AC2435">
          <w:footerReference w:type="default" r:id="rId31"/>
          <w:pgSz w:w="11900" w:h="16840"/>
          <w:pgMar w:top="1440" w:right="1701" w:bottom="1440" w:left="1701" w:header="709" w:footer="709" w:gutter="0"/>
          <w:cols w:space="708"/>
          <w:docGrid w:linePitch="360"/>
        </w:sectPr>
      </w:pPr>
    </w:p>
    <w:p w14:paraId="07BC47A0" w14:textId="77777777" w:rsidR="00F53CB4" w:rsidRPr="006A1EC7" w:rsidRDefault="00F53CB4" w:rsidP="00F53CB4">
      <w:pPr>
        <w:pStyle w:val="Heading2"/>
        <w:rPr>
          <w:rFonts w:ascii="Times New Roman" w:hAnsi="Times New Roman" w:cs="Times New Roman"/>
        </w:rPr>
      </w:pPr>
      <w:bookmarkStart w:id="236" w:name="_Toc40173014"/>
      <w:r w:rsidRPr="006A1EC7">
        <w:rPr>
          <w:rFonts w:ascii="Times New Roman" w:hAnsi="Times New Roman" w:cs="Times New Roman"/>
        </w:rPr>
        <w:lastRenderedPageBreak/>
        <w:t>Methodology</w:t>
      </w:r>
      <w:bookmarkEnd w:id="236"/>
    </w:p>
    <w:p w14:paraId="5D147F6B" w14:textId="77777777" w:rsidR="00F53CB4" w:rsidRPr="006A1EC7" w:rsidRDefault="00F53CB4" w:rsidP="00F53CB4"/>
    <w:p w14:paraId="766911D8" w14:textId="77777777" w:rsidR="00F53CB4" w:rsidRPr="006A1EC7" w:rsidRDefault="00F53CB4" w:rsidP="00F53CB4">
      <w:pPr>
        <w:pStyle w:val="Heading3"/>
        <w:rPr>
          <w:rFonts w:ascii="Times New Roman" w:hAnsi="Times New Roman" w:cs="Times New Roman"/>
        </w:rPr>
      </w:pPr>
      <w:r w:rsidRPr="006A1EC7">
        <w:rPr>
          <w:rFonts w:ascii="Times New Roman" w:hAnsi="Times New Roman" w:cs="Times New Roman"/>
        </w:rPr>
        <w:t>Ethics approval</w:t>
      </w:r>
    </w:p>
    <w:p w14:paraId="37DE93D7" w14:textId="77777777" w:rsidR="00F53CB4" w:rsidRPr="006A1EC7" w:rsidRDefault="00F53CB4" w:rsidP="00F53CB4">
      <w:pPr>
        <w:pStyle w:val="NormalWeb"/>
        <w:spacing w:line="360" w:lineRule="auto"/>
        <w:ind w:firstLine="720"/>
      </w:pPr>
      <w:r w:rsidRPr="006A1EC7">
        <w:t>Ethical approval was granted by the NHS Research Authority, as well as the University of Sheffield (Reference Number 023782, on 11/01/2019) (Appendix 7.1).</w:t>
      </w:r>
    </w:p>
    <w:p w14:paraId="70DA690F" w14:textId="77777777" w:rsidR="00F53CB4" w:rsidRPr="006A1EC7" w:rsidRDefault="00F53CB4" w:rsidP="00F53CB4">
      <w:pPr>
        <w:pStyle w:val="Heading3"/>
        <w:rPr>
          <w:rFonts w:ascii="Times New Roman" w:hAnsi="Times New Roman" w:cs="Times New Roman"/>
        </w:rPr>
      </w:pPr>
      <w:r w:rsidRPr="006A1EC7">
        <w:rPr>
          <w:rFonts w:ascii="Times New Roman" w:hAnsi="Times New Roman" w:cs="Times New Roman"/>
        </w:rPr>
        <w:t>Measures</w:t>
      </w:r>
    </w:p>
    <w:p w14:paraId="05FD4902" w14:textId="77777777" w:rsidR="00F53CB4" w:rsidRPr="006A1EC7" w:rsidRDefault="00F53CB4" w:rsidP="00F53CB4">
      <w:pPr>
        <w:spacing w:line="360" w:lineRule="auto"/>
      </w:pPr>
      <w:r w:rsidRPr="006A1EC7">
        <w:tab/>
        <w:t>For the purpose of this study, five different vignettes were developed. These contained information about five fictional patients with Wolf-Hirschhorn syndrome (Appendix 7.2). These were developed based on the expertise of KV and AM: Case Study 1: Joshua (Appendix 7.2A), Case Study 2: Bronagh (Appendix 7.B), Case Study 3: Emma (Appendix 7.2C), Case Study 4: Fineen (Appendix 7.2D), Case Study 5: Alessandro (Appendix 7.2E). GJ provided feedback on their content. The case studies differed in terms of symptom profile and severity of WHS. Afterwards, KV and AM completed a COA each for each vignette; for later analyses and comparisons.</w:t>
      </w:r>
    </w:p>
    <w:p w14:paraId="60E67C36" w14:textId="77777777" w:rsidR="00F53CB4" w:rsidRPr="006A1EC7" w:rsidRDefault="00F53CB4" w:rsidP="00F53CB4">
      <w:pPr>
        <w:spacing w:line="360" w:lineRule="auto"/>
        <w:ind w:firstLine="720"/>
      </w:pPr>
      <w:r w:rsidRPr="006A1EC7">
        <w:t>Furthermore, thirty-two a priori hypotheses were recorded about predicted relationships/variation of severity of clinical features between the case studies for later analyses. Further two hypotheses were made about ratings on the scale, obtained via different participant groups (Appendix 7.3A, 7.3B). These hypotheses (total n = 34) were developed by KV and AM.</w:t>
      </w:r>
    </w:p>
    <w:p w14:paraId="0537FD16" w14:textId="77777777" w:rsidR="00F53CB4" w:rsidRPr="006A1EC7" w:rsidRDefault="00F53CB4" w:rsidP="00F53CB4">
      <w:pPr>
        <w:spacing w:line="360" w:lineRule="auto"/>
        <w:ind w:firstLine="720"/>
      </w:pPr>
      <w:r w:rsidRPr="006A1EC7">
        <w:t xml:space="preserve">Information sheets and consent forms were created (Appendix 7.4, 7.5). A participant characteristics questionnaire was developed, asking participants about their age, medical qualification, whether they had previously heard of WHS, whether they had ever worked with WHS, or held a job where they regularly assessed children and adults with developmental disabilities (Appendix 7.5). There was also space to leave feedback on the COA. </w:t>
      </w:r>
    </w:p>
    <w:p w14:paraId="4FF4E3D2" w14:textId="77777777" w:rsidR="00F53CB4" w:rsidRPr="006A1EC7" w:rsidRDefault="00F53CB4" w:rsidP="00F53CB4">
      <w:pPr>
        <w:spacing w:line="360" w:lineRule="auto"/>
        <w:ind w:firstLine="720"/>
      </w:pPr>
      <w:r w:rsidRPr="006A1EC7">
        <w:t xml:space="preserve">Study packs were made up in large A4 folders with randomly assigned ID numbers on; these packs contained an information sheet, consent form, instruction to participants, participant questionnaire, two copies of the COA and two randomly assigned case studies. On the consent form, participants were able to indicate whether they wanted to complete the vignettes/COA at one time point or twice (2-weeks later). </w:t>
      </w:r>
      <w:r w:rsidRPr="006A1EC7">
        <w:rPr>
          <w:color w:val="000000" w:themeColor="text1"/>
        </w:rPr>
        <w:t>An Excel spread sheet was created to keep an overview of which participant received which material, whether they had returned a study pack or when a reminder must be sent.</w:t>
      </w:r>
    </w:p>
    <w:p w14:paraId="00D4DD4A" w14:textId="77777777" w:rsidR="00F53CB4" w:rsidRPr="006A1EC7" w:rsidRDefault="00F53CB4" w:rsidP="00F53CB4">
      <w:pPr>
        <w:pStyle w:val="Heading3"/>
        <w:rPr>
          <w:rFonts w:ascii="Times New Roman" w:hAnsi="Times New Roman" w:cs="Times New Roman"/>
        </w:rPr>
      </w:pPr>
      <w:r w:rsidRPr="006A1EC7">
        <w:rPr>
          <w:rFonts w:ascii="Times New Roman" w:hAnsi="Times New Roman" w:cs="Times New Roman"/>
        </w:rPr>
        <w:lastRenderedPageBreak/>
        <w:t>Participant recruitment</w:t>
      </w:r>
    </w:p>
    <w:p w14:paraId="013A05E0" w14:textId="77777777" w:rsidR="00F53CB4" w:rsidRPr="006A1EC7" w:rsidRDefault="00F53CB4" w:rsidP="00F53CB4">
      <w:pPr>
        <w:spacing w:line="360" w:lineRule="auto"/>
        <w:rPr>
          <w:color w:val="000000" w:themeColor="text1"/>
        </w:rPr>
      </w:pPr>
      <w:r w:rsidRPr="006A1EC7">
        <w:rPr>
          <w:color w:val="000000" w:themeColor="text1"/>
        </w:rPr>
        <w:tab/>
        <w:t xml:space="preserve">Different health care professionals were eligible to participate in the study. Initially, only final year Medical students (who would shortly be junior doctors, and who are familiar with using case studies as part of their medical education), junior doctors and more senior health care professionals (Clinical Nurse Specialist, Registrar, Consultant) were eligible to participate. However, recruitment was later also opened to other (allied) health professionals, such as genetic counsellors, staff nurses and paramedics. This was done to further investigate whether there would be differences in ratings between different participant groups. As it is one aim of the COA to enable HCPs, who are not familiar with WHS to assess patients accurately and comprehensively, this was an important step, giving insight into the COA’s </w:t>
      </w:r>
    </w:p>
    <w:p w14:paraId="2A001960" w14:textId="77777777" w:rsidR="00F53CB4" w:rsidRPr="006A1EC7" w:rsidRDefault="00F53CB4" w:rsidP="00F53CB4">
      <w:pPr>
        <w:spacing w:line="360" w:lineRule="auto"/>
        <w:rPr>
          <w:color w:val="000000" w:themeColor="text1"/>
        </w:rPr>
      </w:pPr>
      <w:r w:rsidRPr="006A1EC7">
        <w:rPr>
          <w:color w:val="000000" w:themeColor="text1"/>
        </w:rPr>
        <w:t>usability. A volunteer sample was therefore used for this study.</w:t>
      </w:r>
    </w:p>
    <w:p w14:paraId="60DA4349" w14:textId="77777777" w:rsidR="00F53CB4" w:rsidRPr="006A1EC7" w:rsidRDefault="00F53CB4" w:rsidP="00F53CB4">
      <w:pPr>
        <w:spacing w:line="360" w:lineRule="auto"/>
        <w:rPr>
          <w:color w:val="000000" w:themeColor="text1"/>
        </w:rPr>
      </w:pPr>
    </w:p>
    <w:p w14:paraId="30543D0C" w14:textId="77777777" w:rsidR="00F53CB4" w:rsidRPr="006A1EC7" w:rsidRDefault="00F53CB4" w:rsidP="00F53CB4">
      <w:pPr>
        <w:pStyle w:val="Heading3"/>
        <w:rPr>
          <w:rFonts w:ascii="Times New Roman" w:hAnsi="Times New Roman" w:cs="Times New Roman"/>
        </w:rPr>
      </w:pPr>
      <w:r w:rsidRPr="006A1EC7">
        <w:rPr>
          <w:rFonts w:ascii="Times New Roman" w:hAnsi="Times New Roman" w:cs="Times New Roman"/>
        </w:rPr>
        <w:t>Methods</w:t>
      </w:r>
    </w:p>
    <w:p w14:paraId="2AB6B859" w14:textId="77777777" w:rsidR="00F53CB4" w:rsidRPr="006A1EC7" w:rsidRDefault="00F53CB4" w:rsidP="00F53CB4">
      <w:pPr>
        <w:spacing w:line="360" w:lineRule="auto"/>
        <w:ind w:firstLine="720"/>
        <w:rPr>
          <w:color w:val="000000" w:themeColor="text1"/>
        </w:rPr>
      </w:pPr>
      <w:r w:rsidRPr="006A1EC7">
        <w:rPr>
          <w:color w:val="000000" w:themeColor="text1"/>
        </w:rPr>
        <w:t xml:space="preserve">Participants were recruited via word-of-mouth, posters in the medical school and snowball sampling. If an individual was interested in participating, they were asked to email KV who would then arrange a study pack to be either posted to the participant or to meet the participant on campus to deliver the study pack. Participants were instructed to either post the completed pack back to the researcher (pre-paid envelope included in pack), or to email the researcher to arrange a mutually convenient time to collect the study pack. When a participant had indicated that they were willing to complete the study twice, a follow up study pack (with their ID number and the suffix -2, the same case studies as before, and two copies of the COA) were given to the participant (either via mail, or in person). A reminder email was sent to participants had their study pack not been returned within two weeks. </w:t>
      </w:r>
    </w:p>
    <w:p w14:paraId="3ECAF0A5" w14:textId="77777777" w:rsidR="00F53CB4" w:rsidRPr="006A1EC7" w:rsidRDefault="00F53CB4" w:rsidP="00F53CB4">
      <w:pPr>
        <w:spacing w:line="360" w:lineRule="auto"/>
        <w:rPr>
          <w:color w:val="000000" w:themeColor="text1"/>
        </w:rPr>
      </w:pPr>
      <w:r w:rsidRPr="006A1EC7">
        <w:rPr>
          <w:color w:val="000000" w:themeColor="text1"/>
        </w:rPr>
        <w:t xml:space="preserve">When the researcher received study packs back, the consent forms were filed away in a locked cabinet, the Excel sheet updated. The participant characteristics sheet was stapled to the COA, the quantitative data (scores on the COAs) as well as the participant characteristics were typed into SPSS and if any qualitative comments were made, they were added to a large Word Document to be later analysed using content analysis. Once the recruitment had closed, the Excel sheet was deleted. </w:t>
      </w:r>
    </w:p>
    <w:p w14:paraId="0A7EBA45" w14:textId="77777777" w:rsidR="00F53CB4" w:rsidRPr="006A1EC7" w:rsidRDefault="00F53CB4" w:rsidP="00F53CB4">
      <w:pPr>
        <w:spacing w:line="360" w:lineRule="auto"/>
        <w:rPr>
          <w:color w:val="000000" w:themeColor="text1"/>
        </w:rPr>
      </w:pPr>
    </w:p>
    <w:p w14:paraId="3ABC91C1" w14:textId="77777777" w:rsidR="00F53CB4" w:rsidRPr="006A1EC7" w:rsidRDefault="00F53CB4" w:rsidP="00F53CB4">
      <w:pPr>
        <w:spacing w:line="360" w:lineRule="auto"/>
        <w:rPr>
          <w:color w:val="000000" w:themeColor="text1"/>
        </w:rPr>
      </w:pPr>
    </w:p>
    <w:p w14:paraId="6F3064CA" w14:textId="77777777" w:rsidR="00F53CB4" w:rsidRPr="006A1EC7" w:rsidRDefault="00F53CB4" w:rsidP="00F53CB4">
      <w:pPr>
        <w:pStyle w:val="Heading4"/>
        <w:rPr>
          <w:rFonts w:ascii="Times New Roman" w:hAnsi="Times New Roman" w:cs="Times New Roman"/>
        </w:rPr>
      </w:pPr>
      <w:r w:rsidRPr="006A1EC7">
        <w:rPr>
          <w:rFonts w:ascii="Times New Roman" w:hAnsi="Times New Roman" w:cs="Times New Roman"/>
        </w:rPr>
        <w:lastRenderedPageBreak/>
        <w:t>A priori directional hypotheses</w:t>
      </w:r>
    </w:p>
    <w:p w14:paraId="2E9784C2" w14:textId="77777777" w:rsidR="00F53CB4" w:rsidRPr="006A1EC7" w:rsidRDefault="00F53CB4" w:rsidP="00F53CB4"/>
    <w:p w14:paraId="05CCC532" w14:textId="77777777" w:rsidR="00F53CB4" w:rsidRPr="006A1EC7" w:rsidRDefault="00F53CB4" w:rsidP="00F53CB4">
      <w:pPr>
        <w:spacing w:line="360" w:lineRule="auto"/>
        <w:ind w:firstLine="720"/>
      </w:pPr>
      <w:r w:rsidRPr="006A1EC7">
        <w:t xml:space="preserve">A total of 34 directional hypotheses were made before testing began. </w:t>
      </w:r>
    </w:p>
    <w:p w14:paraId="1BB5C3EB" w14:textId="77777777" w:rsidR="00F53CB4" w:rsidRPr="006A1EC7" w:rsidRDefault="00F53CB4" w:rsidP="00F53CB4">
      <w:pPr>
        <w:spacing w:line="360" w:lineRule="auto"/>
        <w:ind w:firstLine="720"/>
      </w:pPr>
    </w:p>
    <w:p w14:paraId="2729BD0E" w14:textId="77777777" w:rsidR="00F53CB4" w:rsidRPr="006A1EC7" w:rsidRDefault="00F53CB4" w:rsidP="00F53CB4">
      <w:pPr>
        <w:spacing w:line="360" w:lineRule="auto"/>
        <w:ind w:firstLine="720"/>
      </w:pPr>
      <w:r w:rsidRPr="006A1EC7">
        <w:rPr>
          <w:i/>
        </w:rPr>
        <w:t>Firstly (i),</w:t>
      </w:r>
      <w:r w:rsidRPr="006A1EC7">
        <w:t xml:space="preserve"> it was predicted that there would be no differences in scores on the vignettes given by more experienced medical professionals compared (Registrars and Consultants) to less experienced medical professionals (all other participants). </w:t>
      </w:r>
    </w:p>
    <w:p w14:paraId="07467BC9" w14:textId="77777777" w:rsidR="00F53CB4" w:rsidRPr="006A1EC7" w:rsidRDefault="00F53CB4" w:rsidP="00F53CB4">
      <w:pPr>
        <w:spacing w:line="360" w:lineRule="auto"/>
        <w:ind w:firstLine="720"/>
      </w:pPr>
      <w:r w:rsidRPr="006A1EC7">
        <w:rPr>
          <w:i/>
        </w:rPr>
        <w:t>Secondly</w:t>
      </w:r>
      <w:r w:rsidRPr="006A1EC7">
        <w:t xml:space="preserve"> (ii), it was also predicted that there would be no differences in scores given by those who have previously heard of WHS and those who have not. </w:t>
      </w:r>
    </w:p>
    <w:p w14:paraId="36077C40" w14:textId="77777777" w:rsidR="00F53CB4" w:rsidRPr="006A1EC7" w:rsidRDefault="00F53CB4" w:rsidP="00F53CB4">
      <w:pPr>
        <w:spacing w:line="360" w:lineRule="auto"/>
        <w:ind w:firstLine="720"/>
      </w:pPr>
      <w:r w:rsidRPr="006A1EC7">
        <w:t>The reason for the directionality of hypotheses (i) and (ii) was that the COA was designed with the aim that all medical professionals would be able to asses WHS patients, based on the information given in the scale and regardless of their level of medical training or whether they have heard of WHS before. This was done to enable HCPs to assess patients with WHS correctly and adequately, which is currently an unmet need (as identified and discussed repeatedly throughout this thesis).</w:t>
      </w:r>
    </w:p>
    <w:p w14:paraId="58367FDC" w14:textId="77777777" w:rsidR="00F53CB4" w:rsidRPr="006A1EC7" w:rsidRDefault="00F53CB4" w:rsidP="00F53CB4">
      <w:pPr>
        <w:spacing w:line="360" w:lineRule="auto"/>
        <w:ind w:firstLine="720"/>
      </w:pPr>
      <w:r w:rsidRPr="006A1EC7">
        <w:rPr>
          <w:i/>
        </w:rPr>
        <w:t>Thirdly (iii)</w:t>
      </w:r>
      <w:r w:rsidRPr="006A1EC7">
        <w:t xml:space="preserve">, thirty-two (n = 32) directional hypotheses were developed for testing the relationships between the vignettes (Appendix 7.3), and to assess construct validity. A minimum of four hypotheses per domain were made, to ensure all vignettes and domains were covered in the predictions. With the exception of the facial domain as there was little information in the vignettes about this and it was deemed too challenging to assess this adequately without seeing the patient, therefore there are only two hypotheses for the facial domain. </w:t>
      </w:r>
    </w:p>
    <w:p w14:paraId="3DD4083E" w14:textId="77777777" w:rsidR="00F53CB4" w:rsidRPr="006A1EC7" w:rsidRDefault="00F53CB4" w:rsidP="00F53CB4">
      <w:pPr>
        <w:spacing w:line="360" w:lineRule="auto"/>
      </w:pPr>
    </w:p>
    <w:p w14:paraId="0A4D0CE4" w14:textId="77777777" w:rsidR="00F53CB4" w:rsidRPr="006A1EC7" w:rsidRDefault="00F53CB4" w:rsidP="00F53CB4">
      <w:pPr>
        <w:pStyle w:val="Heading3"/>
        <w:rPr>
          <w:rFonts w:ascii="Times New Roman" w:hAnsi="Times New Roman" w:cs="Times New Roman"/>
        </w:rPr>
      </w:pPr>
      <w:r w:rsidRPr="006A1EC7">
        <w:rPr>
          <w:rFonts w:ascii="Times New Roman" w:hAnsi="Times New Roman" w:cs="Times New Roman"/>
        </w:rPr>
        <w:t>Analysis</w:t>
      </w:r>
      <w:r w:rsidRPr="006A1EC7">
        <w:rPr>
          <w:rFonts w:ascii="Times New Roman" w:hAnsi="Times New Roman" w:cs="Times New Roman"/>
        </w:rPr>
        <w:br/>
      </w:r>
    </w:p>
    <w:p w14:paraId="48F43C8D" w14:textId="77777777" w:rsidR="00F53CB4" w:rsidRPr="006A1EC7" w:rsidRDefault="00F53CB4" w:rsidP="00F53CB4">
      <w:pPr>
        <w:spacing w:line="360" w:lineRule="auto"/>
      </w:pPr>
      <w:r w:rsidRPr="006A1EC7">
        <w:t xml:space="preserve">Quantitative data was entered and analysed in SPSS (Version 25). </w:t>
      </w:r>
    </w:p>
    <w:p w14:paraId="5CC3D020" w14:textId="77777777" w:rsidR="00F53CB4" w:rsidRPr="006A1EC7" w:rsidRDefault="00F53CB4" w:rsidP="00F53CB4">
      <w:pPr>
        <w:spacing w:line="360" w:lineRule="auto"/>
      </w:pPr>
    </w:p>
    <w:p w14:paraId="5F1452D6" w14:textId="56C3ED61" w:rsidR="00F53CB4" w:rsidRPr="006A1EC7" w:rsidRDefault="00F53CB4" w:rsidP="00F53CB4">
      <w:pPr>
        <w:pStyle w:val="ListParagraph"/>
        <w:numPr>
          <w:ilvl w:val="0"/>
          <w:numId w:val="42"/>
        </w:numPr>
        <w:spacing w:line="360" w:lineRule="auto"/>
        <w:rPr>
          <w:rFonts w:ascii="Times New Roman" w:hAnsi="Times New Roman" w:cs="Times New Roman"/>
        </w:rPr>
      </w:pPr>
      <w:r w:rsidRPr="006A1EC7">
        <w:rPr>
          <w:rFonts w:ascii="Times New Roman" w:hAnsi="Times New Roman" w:cs="Times New Roman"/>
        </w:rPr>
        <w:t>Descriptive Statistics were calculated for participant demographics, scale scores (per individual vignette and sub-scale) for Time 1 and Time 2</w:t>
      </w:r>
      <w:r w:rsidR="00D56051" w:rsidRPr="006A1EC7">
        <w:rPr>
          <w:rFonts w:ascii="Times New Roman" w:hAnsi="Times New Roman" w:cs="Times New Roman"/>
        </w:rPr>
        <w:br/>
      </w:r>
    </w:p>
    <w:p w14:paraId="29BAB535" w14:textId="551E92FE" w:rsidR="00F53CB4" w:rsidRPr="006A1EC7" w:rsidRDefault="00F53CB4" w:rsidP="00F53CB4">
      <w:pPr>
        <w:pStyle w:val="ListParagraph"/>
        <w:numPr>
          <w:ilvl w:val="0"/>
          <w:numId w:val="42"/>
        </w:numPr>
        <w:spacing w:line="360" w:lineRule="auto"/>
        <w:rPr>
          <w:rFonts w:ascii="Times New Roman" w:hAnsi="Times New Roman" w:cs="Times New Roman"/>
        </w:rPr>
      </w:pPr>
      <w:r w:rsidRPr="006A1EC7">
        <w:rPr>
          <w:rFonts w:ascii="Times New Roman" w:hAnsi="Times New Roman" w:cs="Times New Roman"/>
        </w:rPr>
        <w:t xml:space="preserve">Inter-rater reliability was assessed using One-Sample t-tests. Mean scores given by participants (per vignette, per subscale) were compared to the mean score given by the developers (KV, AM). This was to assess whether participants perceived the individual vignettes to be similar in terms of severity and scoring; </w:t>
      </w:r>
      <w:r w:rsidRPr="006A1EC7">
        <w:rPr>
          <w:rFonts w:ascii="Times New Roman" w:hAnsi="Times New Roman" w:cs="Times New Roman"/>
        </w:rPr>
        <w:lastRenderedPageBreak/>
        <w:t xml:space="preserve">as the developers intended. The p value was adjusted to .001 (.05/50 =.001); to allow for multiple comparisons and a reduction in likelihood of making a type-I error. At the same time, this study design and p-value adjustment may mean an increased likelihood of making a type-II error; naturally, this is a limitation of the study design </w:t>
      </w:r>
      <w:r w:rsidRPr="006A1EC7">
        <w:rPr>
          <w:rFonts w:ascii="Times New Roman" w:hAnsi="Times New Roman" w:cs="Times New Roman"/>
        </w:rPr>
        <w:fldChar w:fldCharType="begin" w:fldLock="1"/>
      </w:r>
      <w:r w:rsidRPr="006A1EC7">
        <w:rPr>
          <w:rFonts w:ascii="Times New Roman" w:hAnsi="Times New Roman" w:cs="Times New Roman"/>
        </w:rPr>
        <w:instrText>ADDIN CSL_CITATION {"citationItems":[{"id":"ITEM-1","itemData":{"DOI":"10.1186/1471-2288-2-8","ISSN":"14712288","PMID":"12069695","abstract":"Background: Readers may question the interpretation of findings in clinical trials when multiple outcome measures are used without adjustment of the p-value. This question arises because of the increased risk of Type I errors (findings of false \"significance\") when multiple simultaneous hypotheses are tested at set p-values. The primary aim of this study was to estimate the need to make appropriate p-value adjustments in clinical trials to compensate for a possible increased risk in committing Type I errors when multiple outcome measures are used. Discussion: The classicists believe that the chance of finding at least one test statistically significant due to chance and incorrectly declaring a difference increases as the number of comparisons increases. The rationalists have the following objections to that theory: 1) P-value adjustments are calculated based on how many tests are to be considered, and that number has been defined arbitrarily and variably; 2) P-value adjustments reduce the chance of making type I errors, but they increase the chance of making type II errors or needing to increase the sample size. Summary: Readers should balance a study's statistical significance with the magnitude of effect, the quality of the study and with findings from other studies. Researchers facing multiple outcome measures might want to either select a primary outcome measure or use a global assessment measure, rather than adjusting the p-value.","author":[{"dropping-particle":"","family":"Feise","given":"Ronald J.","non-dropping-particle":"","parse-names":false,"suffix":""}],"container-title":"BMC Medical Research Methodology","id":"ITEM-1","issued":{"date-parts":[["2002"]]},"page":"1-4","title":"Do multiple outcome measures require p-value adjustment?","type":"article-journal","volume":"2"},"uris":["http://www.mendeley.com/documents/?uuid=b589cd2e-dde9-4203-b5b1-83450d6492cb"]}],"mendeley":{"formattedCitation":"(Feise, 2002)","plainTextFormattedCitation":"(Feise, 2002)","previouslyFormattedCitation":"(Feise, 2002)"},"properties":{"noteIndex":0},"schema":"https://github.com/citation-style-language/schema/raw/master/csl-citation.json"}</w:instrText>
      </w:r>
      <w:r w:rsidRPr="006A1EC7">
        <w:rPr>
          <w:rFonts w:ascii="Times New Roman" w:hAnsi="Times New Roman" w:cs="Times New Roman"/>
        </w:rPr>
        <w:fldChar w:fldCharType="separate"/>
      </w:r>
      <w:r w:rsidRPr="006A1EC7">
        <w:rPr>
          <w:rFonts w:ascii="Times New Roman" w:hAnsi="Times New Roman" w:cs="Times New Roman"/>
          <w:noProof/>
        </w:rPr>
        <w:t>(Feise, 2002)</w:t>
      </w:r>
      <w:r w:rsidRPr="006A1EC7">
        <w:rPr>
          <w:rFonts w:ascii="Times New Roman" w:hAnsi="Times New Roman" w:cs="Times New Roman"/>
        </w:rPr>
        <w:fldChar w:fldCharType="end"/>
      </w:r>
      <w:r w:rsidRPr="006A1EC7">
        <w:rPr>
          <w:rFonts w:ascii="Times New Roman" w:hAnsi="Times New Roman" w:cs="Times New Roman"/>
        </w:rPr>
        <w:t>. This will be reviewed .</w:t>
      </w:r>
    </w:p>
    <w:p w14:paraId="7AC68772" w14:textId="77777777" w:rsidR="00F53CB4" w:rsidRPr="006A1EC7" w:rsidRDefault="00F53CB4" w:rsidP="00F53CB4"/>
    <w:p w14:paraId="2D470E69" w14:textId="272EFC77" w:rsidR="00F53CB4" w:rsidRPr="006A1EC7" w:rsidRDefault="00F53CB4" w:rsidP="00F53CB4">
      <w:pPr>
        <w:pStyle w:val="ListParagraph"/>
        <w:numPr>
          <w:ilvl w:val="0"/>
          <w:numId w:val="33"/>
        </w:numPr>
        <w:spacing w:line="360" w:lineRule="auto"/>
        <w:rPr>
          <w:rFonts w:ascii="Times New Roman" w:hAnsi="Times New Roman" w:cs="Times New Roman"/>
        </w:rPr>
      </w:pPr>
      <w:r w:rsidRPr="006A1EC7">
        <w:rPr>
          <w:rFonts w:ascii="Times New Roman" w:hAnsi="Times New Roman" w:cs="Times New Roman"/>
        </w:rPr>
        <w:t xml:space="preserve">Intra-rater reliability was calculated via Percent of Agreement scores </w:t>
      </w:r>
      <w:r w:rsidRPr="006A1EC7">
        <w:rPr>
          <w:rFonts w:ascii="Times New Roman" w:hAnsi="Times New Roman" w:cs="Times New Roman"/>
        </w:rPr>
        <w:fldChar w:fldCharType="begin" w:fldLock="1"/>
      </w:r>
      <w:r w:rsidRPr="006A1EC7">
        <w:rPr>
          <w:rFonts w:ascii="Times New Roman" w:hAnsi="Times New Roman" w:cs="Times New Roman"/>
        </w:rPr>
        <w:instrText>ADDIN CSL_CITATION {"citationItems":[{"id":"ITEM-1","itemData":{"DOI":"10.4135/9781483381411.n260","ISBN":"9781483381435","author":[{"dropping-particle":"","family":"Allen","given":"Mike","non-dropping-particle":"","parse-names":false,"suffix":""}],"container-title":"The SAGE Encyclopedia of Communication Research Methods","editor":[{"dropping-particle":"","family":"Roche","given":"D","non-dropping-particle":"","parse-names":false,"suffix":""}],"id":"ITEM-1","issued":{"date-parts":[["2018"]]},"publisher":"Sage Publications Inc.","publisher-place":"Thousand Oaks, California","title":"Intercoder Reliability Techniques: Percent Agreement","type":"chapter"},"uris":["http://www.mendeley.com/documents/?uuid=a55afaf5-17ec-4614-8b74-f2746c813180"]},{"id":"ITEM-2","itemData":{"DOI":"10.4135/9781483381411.n260","ISBN":"9781483381435","author":[{"dropping-particle":"","family":"Roache","given":"D","non-dropping-particle":"","parse-names":false,"suffix":""}],"container-title":"The SAGE Encyclopedia of Communication Research Methods","editor":[{"dropping-particle":"","family":"Allen","given":"Mike","non-dropping-particle":"","parse-names":false,"suffix":""}],"id":"ITEM-2","issued":{"date-parts":[["2018"]]},"publisher":"Sage Publication","publisher-place":"Thousand Oaks","title":"Intercoder Reliability Techniques: Percent Agreement","type":"chapter"},"uris":["http://www.mendeley.com/documents/?uuid=27e5e1d2-26fa-41cc-a61e-a64fa493ad81"]}],"mendeley":{"formattedCitation":"(Allen, 2018; Roache, 2018)","plainTextFormattedCitation":"(Allen, 2018; Roache, 2018)","previouslyFormattedCitation":"(Allen, 2018; Roache, 2018)"},"properties":{"noteIndex":0},"schema":"https://github.com/citation-style-language/schema/raw/master/csl-citation.json"}</w:instrText>
      </w:r>
      <w:r w:rsidRPr="006A1EC7">
        <w:rPr>
          <w:rFonts w:ascii="Times New Roman" w:hAnsi="Times New Roman" w:cs="Times New Roman"/>
        </w:rPr>
        <w:fldChar w:fldCharType="separate"/>
      </w:r>
      <w:r w:rsidRPr="006A1EC7">
        <w:rPr>
          <w:rFonts w:ascii="Times New Roman" w:hAnsi="Times New Roman" w:cs="Times New Roman"/>
          <w:noProof/>
        </w:rPr>
        <w:t>(Allen, 2018; Roache, 2018)</w:t>
      </w:r>
      <w:r w:rsidRPr="006A1EC7">
        <w:rPr>
          <w:rFonts w:ascii="Times New Roman" w:hAnsi="Times New Roman" w:cs="Times New Roman"/>
        </w:rPr>
        <w:fldChar w:fldCharType="end"/>
      </w:r>
      <w:r w:rsidRPr="006A1EC7">
        <w:rPr>
          <w:rFonts w:ascii="Times New Roman" w:hAnsi="Times New Roman" w:cs="Times New Roman"/>
        </w:rPr>
        <w:t xml:space="preserve"> for participants who completed the vignettes at Time 1 and Time 2; per subscale per vignette. While this approach has been criticised for being reductionist and not taking account of random error, and thus possibly over-estimating the agreement </w:t>
      </w:r>
      <w:r w:rsidRPr="006A1EC7">
        <w:rPr>
          <w:rFonts w:ascii="Times New Roman" w:hAnsi="Times New Roman" w:cs="Times New Roman"/>
        </w:rPr>
        <w:fldChar w:fldCharType="begin" w:fldLock="1"/>
      </w:r>
      <w:r w:rsidRPr="006A1EC7">
        <w:rPr>
          <w:rFonts w:ascii="Times New Roman" w:hAnsi="Times New Roman" w:cs="Times New Roman"/>
        </w:rPr>
        <w:instrText>ADDIN CSL_CITATION {"citationItems":[{"id":"ITEM-1","itemData":{"author":[{"dropping-particle":"","family":"Hallgren","given":"K","non-dropping-particle":"","parse-names":false,"suffix":""}],"container-title":"Tutor Quant Methods Psychol","id":"ITEM-1","issue":"1","issued":{"date-parts":[["2012"]]},"page":"23-34","title":"Computing Inter-Rater Reliability for Observational Data: An Overview and Tutorial Kevin","type":"article-journal","volume":"8"},"uris":["http://www.mendeley.com/documents/?uuid=8faa4420-f914-4fd0-b0f4-b283600c1907"]}],"mendeley":{"formattedCitation":"(Hallgren, 2012)","plainTextFormattedCitation":"(Hallgren, 2012)","previouslyFormattedCitation":"(Hallgren, 2012)"},"properties":{"noteIndex":0},"schema":"https://github.com/citation-style-language/schema/raw/master/csl-citation.json"}</w:instrText>
      </w:r>
      <w:r w:rsidRPr="006A1EC7">
        <w:rPr>
          <w:rFonts w:ascii="Times New Roman" w:hAnsi="Times New Roman" w:cs="Times New Roman"/>
        </w:rPr>
        <w:fldChar w:fldCharType="separate"/>
      </w:r>
      <w:r w:rsidRPr="006A1EC7">
        <w:rPr>
          <w:rFonts w:ascii="Times New Roman" w:hAnsi="Times New Roman" w:cs="Times New Roman"/>
          <w:noProof/>
        </w:rPr>
        <w:t>(Hallgren, 2012)</w:t>
      </w:r>
      <w:r w:rsidRPr="006A1EC7">
        <w:rPr>
          <w:rFonts w:ascii="Times New Roman" w:hAnsi="Times New Roman" w:cs="Times New Roman"/>
        </w:rPr>
        <w:fldChar w:fldCharType="end"/>
      </w:r>
      <w:r w:rsidRPr="006A1EC7">
        <w:rPr>
          <w:rFonts w:ascii="Times New Roman" w:hAnsi="Times New Roman" w:cs="Times New Roman"/>
        </w:rPr>
        <w:t xml:space="preserve">, this was the most appropriate assessment method. Due to the nature of the collected data, ICCs were not appropriate as not all raters rated all vignettes/patients  </w:t>
      </w:r>
      <w:r w:rsidRPr="006A1EC7">
        <w:rPr>
          <w:rFonts w:ascii="Times New Roman" w:hAnsi="Times New Roman" w:cs="Times New Roman"/>
        </w:rPr>
        <w:fldChar w:fldCharType="begin" w:fldLock="1"/>
      </w:r>
      <w:r w:rsidR="00AD67F5" w:rsidRPr="006A1EC7">
        <w:rPr>
          <w:rFonts w:ascii="Times New Roman" w:hAnsi="Times New Roman" w:cs="Times New Roman"/>
        </w:rPr>
        <w:instrText>ADDIN CSL_CITATION {"citationItems":[{"id":"ITEM-1","itemData":{"DOI":"10.1016/j.jcm.2016.02.012","ISSN":"1556-3707","PMID":"27330520","abstract":"Objective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medicine","id":"ITEM-1","issue":"2","issued":{"date-parts":[["2016"]]},"page":"155-63","title":"A Guideline of Selecting and Reporting Intraclass Correlation Coefficients for Reliability Research.","type":"article-journal","volume":"15"},"uris":["http://www.mendeley.com/documents/?uuid=f83ff027-460f-4b9e-b0cf-0fdcf74b4aa7"]}],"mendeley":{"formattedCitation":"(Koo &amp; Li, 2016b)","manualFormatting":"(Koo &amp; Li, 2016)","plainTextFormattedCitation":"(Koo &amp; Li, 2016b)","previouslyFormattedCitation":"(Koo &amp; Li, 2016b)"},"properties":{"noteIndex":0},"schema":"https://github.com/citation-style-language/schema/raw/master/csl-citation.json"}</w:instrText>
      </w:r>
      <w:r w:rsidRPr="006A1EC7">
        <w:rPr>
          <w:rFonts w:ascii="Times New Roman" w:hAnsi="Times New Roman" w:cs="Times New Roman"/>
        </w:rPr>
        <w:fldChar w:fldCharType="separate"/>
      </w:r>
      <w:r w:rsidRPr="006A1EC7">
        <w:rPr>
          <w:rFonts w:ascii="Times New Roman" w:hAnsi="Times New Roman" w:cs="Times New Roman"/>
          <w:noProof/>
        </w:rPr>
        <w:t>(Koo &amp; Li, 2016)</w:t>
      </w:r>
      <w:r w:rsidRPr="006A1EC7">
        <w:rPr>
          <w:rFonts w:ascii="Times New Roman" w:hAnsi="Times New Roman" w:cs="Times New Roman"/>
        </w:rPr>
        <w:fldChar w:fldCharType="end"/>
      </w:r>
      <w:r w:rsidRPr="006A1EC7">
        <w:rPr>
          <w:rFonts w:ascii="Times New Roman" w:hAnsi="Times New Roman" w:cs="Times New Roman"/>
        </w:rPr>
        <w:t xml:space="preserve">. Furthermore, these results would not be indicative of ‘real’ intra-rater reliability and likely under-powered </w:t>
      </w:r>
      <w:r w:rsidRPr="006A1EC7">
        <w:rPr>
          <w:rFonts w:ascii="Times New Roman" w:hAnsi="Times New Roman" w:cs="Times New Roman"/>
        </w:rPr>
        <w:fldChar w:fldCharType="begin" w:fldLock="1"/>
      </w:r>
      <w:r w:rsidR="00AD67F5" w:rsidRPr="006A1EC7">
        <w:rPr>
          <w:rFonts w:ascii="Times New Roman" w:hAnsi="Times New Roman" w:cs="Times New Roman"/>
        </w:rPr>
        <w:instrText>ADDIN CSL_CITATION {"citationItems":[{"id":"ITEM-1","itemData":{"ISSN":"22317163","abstract":"Intraclass correlation coefficient (ICC) measures the extent of agreement and consistency among raters for two or more numerical or quantitative variables. This review paper aimed to present several tables that could illustrate the minimum sample sizes required for estimating the desired effect size of ICC, which is a measurement of the magnitude of an agreement. Determination of the minimum sample size under such circumstances is based on the two fundamentally important parameters, namely the actual value of the ICC and the number of observations made by each subject. The sample size calculations are derived from Power Analysis and Sample Size (PASS) software where the alpha and minimum required power is fixed at 0.05 and higher than 0.80 respectively. A discussion on how to use these tables for determining sample sizes required for each of the various scenarios and the limitations associated with their use in each of these scenarios is provided.","author":[{"dropping-particle":"","family":"Bujang","given":"Mohamad Adam","non-dropping-particle":"","parse-names":false,"suffix":""},{"dropping-particle":"","family":"Baharum","given":"Nurakmal","non-dropping-particle":"","parse-names":false,"suffix":""}],"container-title":"Archives of Orofacial Sciences","id":"ITEM-1","issue":"1","issued":{"date-parts":[["2017"]]},"page":"1-11","title":"A simplified guide to determination of sample size requirements for estimating the value of intraclass correlation coefficient: A review","type":"article-journal","volume":"12"},"uris":["http://www.mendeley.com/documents/?uuid=91454bfd-91b0-41b4-9171-d514422c8284"]}],"mendeley":{"formattedCitation":"(Bujang &amp; Baharum, 2017)","plainTextFormattedCitation":"(Bujang &amp; Baharum, 2017)","previouslyFormattedCitation":"(Bujang &amp; Baharum, 2017a)"},"properties":{"noteIndex":0},"schema":"https://github.com/citation-style-language/schema/raw/master/csl-citation.json"}</w:instrText>
      </w:r>
      <w:r w:rsidRPr="006A1EC7">
        <w:rPr>
          <w:rFonts w:ascii="Times New Roman" w:hAnsi="Times New Roman" w:cs="Times New Roman"/>
        </w:rPr>
        <w:fldChar w:fldCharType="separate"/>
      </w:r>
      <w:r w:rsidR="00AD67F5" w:rsidRPr="006A1EC7">
        <w:rPr>
          <w:rFonts w:ascii="Times New Roman" w:hAnsi="Times New Roman" w:cs="Times New Roman"/>
          <w:noProof/>
        </w:rPr>
        <w:t>(Bujang &amp; Baharum, 2017)</w:t>
      </w:r>
      <w:r w:rsidRPr="006A1EC7">
        <w:rPr>
          <w:rFonts w:ascii="Times New Roman" w:hAnsi="Times New Roman" w:cs="Times New Roman"/>
        </w:rPr>
        <w:fldChar w:fldCharType="end"/>
      </w:r>
      <w:r w:rsidRPr="006A1EC7">
        <w:rPr>
          <w:rFonts w:ascii="Times New Roman" w:hAnsi="Times New Roman" w:cs="Times New Roman"/>
        </w:rPr>
        <w:t xml:space="preserve">. A two-step approach to Percent of Agreement were used: </w:t>
      </w:r>
    </w:p>
    <w:p w14:paraId="1A009E80" w14:textId="77777777" w:rsidR="00F53CB4" w:rsidRPr="006A1EC7" w:rsidRDefault="00F53CB4" w:rsidP="00F53CB4">
      <w:pPr>
        <w:pStyle w:val="ListParagraph"/>
        <w:numPr>
          <w:ilvl w:val="1"/>
          <w:numId w:val="33"/>
        </w:numPr>
        <w:spacing w:line="360" w:lineRule="auto"/>
        <w:rPr>
          <w:rFonts w:ascii="Times New Roman" w:hAnsi="Times New Roman" w:cs="Times New Roman"/>
        </w:rPr>
      </w:pPr>
      <w:r w:rsidRPr="006A1EC7">
        <w:rPr>
          <w:rFonts w:ascii="Times New Roman" w:hAnsi="Times New Roman" w:cs="Times New Roman"/>
        </w:rPr>
        <w:t xml:space="preserve">Firstly, exact agreement was assessed, by comparing each participant’s scores at Time 1 and Time 2. If the same rating was given on a (sub)scale at Time 1 and 2, a participant was given one point for each (maximum points: 10, 9 subscales plus 1 total score). The scores were then added up and converted into percent of exact agreement for each participant (0-100%). </w:t>
      </w:r>
    </w:p>
    <w:p w14:paraId="24CD4B80" w14:textId="77777777" w:rsidR="00F53CB4" w:rsidRPr="006A1EC7" w:rsidRDefault="00F53CB4" w:rsidP="00F53CB4">
      <w:pPr>
        <w:pStyle w:val="ListParagraph"/>
        <w:numPr>
          <w:ilvl w:val="1"/>
          <w:numId w:val="33"/>
        </w:numPr>
        <w:spacing w:line="360" w:lineRule="auto"/>
        <w:rPr>
          <w:rFonts w:ascii="Times New Roman" w:hAnsi="Times New Roman" w:cs="Times New Roman"/>
        </w:rPr>
      </w:pPr>
      <w:r w:rsidRPr="006A1EC7">
        <w:rPr>
          <w:rFonts w:ascii="Times New Roman" w:hAnsi="Times New Roman" w:cs="Times New Roman"/>
        </w:rPr>
        <w:t xml:space="preserve">Secondly, agreement was deemed given when scores were given within +/- one point of each other. This is in accordance with some of the testing literature suggesting that using adjacent response categories in ordinal data analysis is possible. Underlying this second approach is the idea that exact agreement is not always achievable; however, if scores are within one point of each other, there is still a degree of agreement. Disregarding this degree of agreement (+/- one point) by classing it as disagreement, means a loss of meaningful data in the analysis </w:t>
      </w:r>
      <w:r w:rsidRPr="006A1EC7">
        <w:rPr>
          <w:rFonts w:ascii="Times New Roman" w:hAnsi="Times New Roman" w:cs="Times New Roman"/>
        </w:rPr>
        <w:fldChar w:fldCharType="begin" w:fldLock="1"/>
      </w:r>
      <w:r w:rsidRPr="006A1EC7">
        <w:rPr>
          <w:rFonts w:ascii="Times New Roman" w:hAnsi="Times New Roman" w:cs="Times New Roman"/>
        </w:rPr>
        <w:instrText>ADDIN CSL_CITATION {"citationItems":[{"id":"ITEM-1","itemData":{"DOI":"10.4135/9781412995627.d5","ISBN":"9781412940658","author":[{"dropping-particle":"","family":"Stemler","given":"Steven E.","non-dropping-particle":"","parse-names":false,"suffix":""},{"dropping-particle":"","family":"Tsai","given":"Jessica","non-dropping-particle":"","parse-names":false,"suffix":""}],"container-title":"Best Practices in Quantitative Methods","editor":[{"dropping-particle":"","family":"Osborne","given":"Jason","non-dropping-particle":"","parse-names":false,"suffix":""}],"id":"ITEM-1","issued":{"date-parts":[["2011"]]},"page":"29-49","publisher":"Sage Publication","publisher-place":"Thousand Oaks","title":"Best Practices in Interrater Reliability Three Common Approaches","type":"chapter"},"uris":["http://www.mendeley.com/documents/?uuid=eaa107a7-868b-4d9f-8e5a-4af37e4d67b0"]}],"mendeley":{"formattedCitation":"(Stemler &amp; Tsai, 2011)","plainTextFormattedCitation":"(Stemler &amp; Tsai, 2011)","previouslyFormattedCitation":"(Stemler &amp; Tsai, 2011)"},"properties":{"noteIndex":0},"schema":"https://github.com/citation-style-language/schema/raw/master/csl-citation.json"}</w:instrText>
      </w:r>
      <w:r w:rsidRPr="006A1EC7">
        <w:rPr>
          <w:rFonts w:ascii="Times New Roman" w:hAnsi="Times New Roman" w:cs="Times New Roman"/>
        </w:rPr>
        <w:fldChar w:fldCharType="separate"/>
      </w:r>
      <w:r w:rsidRPr="006A1EC7">
        <w:rPr>
          <w:rFonts w:ascii="Times New Roman" w:hAnsi="Times New Roman" w:cs="Times New Roman"/>
          <w:noProof/>
        </w:rPr>
        <w:t>(Stemler &amp; Tsai, 2011)</w:t>
      </w:r>
      <w:r w:rsidRPr="006A1EC7">
        <w:rPr>
          <w:rFonts w:ascii="Times New Roman" w:hAnsi="Times New Roman" w:cs="Times New Roman"/>
        </w:rPr>
        <w:fldChar w:fldCharType="end"/>
      </w:r>
      <w:r w:rsidRPr="006A1EC7">
        <w:rPr>
          <w:rFonts w:ascii="Times New Roman" w:hAnsi="Times New Roman" w:cs="Times New Roman"/>
        </w:rPr>
        <w:t xml:space="preserve"> </w:t>
      </w:r>
    </w:p>
    <w:p w14:paraId="72D62D69" w14:textId="77777777" w:rsidR="00F53CB4" w:rsidRPr="006A1EC7" w:rsidRDefault="00F53CB4" w:rsidP="00F53CB4">
      <w:pPr>
        <w:pStyle w:val="ListParagraph"/>
        <w:spacing w:line="360" w:lineRule="auto"/>
        <w:ind w:left="1440"/>
        <w:rPr>
          <w:rFonts w:ascii="Times New Roman" w:hAnsi="Times New Roman" w:cs="Times New Roman"/>
        </w:rPr>
      </w:pPr>
    </w:p>
    <w:p w14:paraId="1D991307" w14:textId="77777777" w:rsidR="00F53CB4" w:rsidRPr="006A1EC7" w:rsidRDefault="00F53CB4" w:rsidP="00F53CB4">
      <w:pPr>
        <w:pStyle w:val="ListParagraph"/>
        <w:numPr>
          <w:ilvl w:val="0"/>
          <w:numId w:val="33"/>
        </w:numPr>
        <w:spacing w:line="360" w:lineRule="auto"/>
        <w:rPr>
          <w:rFonts w:ascii="Times New Roman" w:hAnsi="Times New Roman" w:cs="Times New Roman"/>
        </w:rPr>
      </w:pPr>
      <w:r w:rsidRPr="006A1EC7">
        <w:rPr>
          <w:rFonts w:ascii="Times New Roman" w:hAnsi="Times New Roman" w:cs="Times New Roman"/>
        </w:rPr>
        <w:lastRenderedPageBreak/>
        <w:t>Construct validity, via pre-hypothesised hypotheses, was assesses using paired sample t-tests, with an adjusted p-value of 0.0016 (Bonferroni correction:0.05/32).</w:t>
      </w:r>
    </w:p>
    <w:p w14:paraId="147BAD04" w14:textId="77777777" w:rsidR="00F53CB4" w:rsidRPr="006A1EC7" w:rsidRDefault="00F53CB4" w:rsidP="00F53CB4">
      <w:pPr>
        <w:spacing w:line="360" w:lineRule="auto"/>
      </w:pPr>
    </w:p>
    <w:p w14:paraId="67A93224" w14:textId="77777777" w:rsidR="00F53CB4" w:rsidRPr="006A1EC7" w:rsidRDefault="00F53CB4" w:rsidP="00F53CB4">
      <w:pPr>
        <w:spacing w:line="360" w:lineRule="auto"/>
      </w:pPr>
      <w:r w:rsidRPr="006A1EC7">
        <w:t xml:space="preserve">Qualitative comments were collated in a Word document and then analysed using Content Analysis </w:t>
      </w:r>
      <w:r w:rsidRPr="006A1EC7">
        <w:fldChar w:fldCharType="begin" w:fldLock="1"/>
      </w:r>
      <w:r w:rsidRPr="006A1EC7">
        <w:instrText>ADDIN CSL_CITATION {"citationItems":[{"id":"ITEM-1","itemData":{"DOI":"10.1111/nhs.12048","ISBN":"1442-2018 (Electronic)\\r1441-0745 (Linking)","ISSN":"14410745","PMID":"23480423","abstract":"Qualitative content analysis and thematic analysis are two commonly used approaches in data analysis of nursing research, but boundaries between the two have not been clearly specified. In other words, they are being used interchangeably and it seems difficult for the researcher to choose between them. In this respect, this paper describes and discusses the boundaries between qualitative content analysis and thematic analysis and presents implications to improve the consistency between the purpose of related studies and the method of data analyses. This is a discussion paper, comprising an analytical overview and discussion of the definitions, aims, philosophical background, data gathering, and analysis of content analysis and thematic analysis, and addressing their methodological subtleties. It is concluded that in spite of many similarities between the approaches, including cutting across data and searching for patterns and themes, their main difference lies in the opportunity for quantification of data. It means that measuring the frequency of different categories and themes is possible in content analysis with caution as a proxy for significance.","author":[{"dropping-particle":"","family":"Vaismoradi","given":"Mojtaba","non-dropping-particle":"","parse-names":false,"suffix":""},{"dropping-particle":"","family":"Turunen","given":"Hannele","non-dropping-particle":"","parse-names":false,"suffix":""},{"dropping-particle":"","family":"Bondas","given":"Terese","non-dropping-particle":"","parse-names":false,"suffix":""}],"container-title":"Nursing and Health Sciences","id":"ITEM-1","issue":"3","issued":{"date-parts":[["2013"]]},"page":"398-405","title":"Content analysis and thematic analysis: Implications for conducting a qualitative descriptive study","type":"article-journal","volume":"15"},"uris":["http://www.mendeley.com/documents/?uuid=cb107e3f-e36c-4d1e-8de4-1a5caa35bc45"]},{"id":"ITEM-2","itemData":{"author":[{"dropping-particle":"","family":"Joffe","given":"Helen","non-dropping-particle":"","parse-names":false,"suffix":""}],"editor":[{"dropping-particle":"","family":"Harper","given":"David","non-dropping-particle":"","parse-names":false,"suffix":""},{"dropping-particle":"","family":"Thompson","given":"Andrew","non-dropping-particle":"","parse-names":false,"suffix":""}],"id":"ITEM-2","issued":{"date-parts":[["2012"]]},"publisher":"Blackwell Publishing","publisher-place":"Chichester","title":"Qualitative Research Methods in Mental Health and Psychotherapy: A Guide for Students and Practitioners","type":"book"},"uris":["http://www.mendeley.com/documents/?uuid=81bd7f30-0961-4d4a-9994-3dd729ea1645"]},{"id":"ITEM-3","itemData":{"DOI":"dx.doi.org/10.4135/9781849209793","ISBN":"0761971912","abstract":"List of contributors viii Preface and acknowledgements ix 1 Introduction to research methods in clinical and health psychology 1 Lucy Yardley and David F. Marks 2 Getting started: the practicalities of doing research 21 Nichola Rumsey and David F. Marks 3 Qualitative data collection: interviews and focus groups 39 Sue Wilkinson, HeÂleÁne Joffe and Lucy Yardley 4 Content and thematic analysis 56 HeÂleÁne Joffe and Lucy Yardley 5 Qualitative analysis of experience: grounded theory and case studies 69 Kerry Chamberlain, Paul Camic and Lucy Yardley 6 Qualitative analysis of talk and text: discourse and narrative analysis 90 Lucy Yardley and Michael Murray 7 Observation and action research 102 Claire Ballinger, Lucy Yardley and Sheila Payne 8 Questionnaires and surveys 122 David F. Marks 9 Analysis of questionnaire and survey data 145 David Clark-Carter and David F. Marks 10 Intervention studies: design and analysis 166 David Clark-Carter and David F. Marks 11 Synthesising evidence: systematic reviews, meta-analysis and preference analysis 185 David F. Marks and Catherine Marie Sykes Glossary 210 Bibliography 225 Index 240","author":[{"dropping-particle":"","family":"Yardley","given":"Lucy","non-dropping-particle":"","parse-names":false,"suffix":""},{"dropping-particle":"","family":"Marks","given":"David F","non-dropping-particle":"","parse-names":false,"suffix":""}],"container-title":"Research Methods for Clinical and Health Psychology","id":"ITEM-3","issued":{"date-parts":[["2011"]]},"publisher":"Sage Publications","title":"Research Methods for Clinical and Health Psychology","type":"chapter"},"uris":["http://www.mendeley.com/documents/?uuid=1053f643-4ba1-4730-9fae-11c85957b80b"]},{"id":"ITEM-4","itemData":{"DOI":"10.1111/j.1365-2648.2007.04569.x","ISSN":"03092402","abstract":"AIM This paper is a description of inductive and deductive content analysis. BACKGROUND Content analysis is a method that may be used with either qualitative or quantitative data and in an inductive or deductive way. Qualitative content analysis is commonly used in nursing studies but little has been published on the analysis process and many research books generally only provide a short description of this method. DISCUSSION When using content analysis, the aim was to build a model to describe the phenomenon in a conceptual form. Both inductive and deductive analysis processes are represented as three main phases: preparation, organizing and reporting. The preparation phase is similar in both approaches. The concepts are derived from the data in inductive content analysis. Deductive content analysis is used when the structure of analysis is operationalized on the basis of previous knowledge. CONCLUSION Inductive content analysis is used in cases where there are no previous studies dealing with the phenomenon or when it is fragmented. A deductive approach is useful if the general aim was to test a previous theory in a different situation or to compare categories at different time periods.","author":[{"dropping-particle":"","family":"Elo","given":"Satu","non-dropping-particle":"","parse-names":false,"suffix":""},{"dropping-particle":"","family":"Kyngäs","given":"Helvi","non-dropping-particle":"","parse-names":false,"suffix":""}],"container-title":"Journal of Advanced Nursing","id":"ITEM-4","issue":"1","issued":{"date-parts":[["2008"]]},"page":"107-115","title":"The qualitative content analysis process","type":"article-journal","volume":"62"},"uris":["http://www.mendeley.com/documents/?uuid=d5fd358b-9d3d-4d73-b05c-29212f39838e"]}],"mendeley":{"formattedCitation":"(Elo &amp; Kyngäs, 2008; Joffe, 2012; Vaismoradi, Turunen, &amp; Bondas, 2013; Yardley &amp; Marks, 2011)","plainTextFormattedCitation":"(Elo &amp; Kyngäs, 2008; Joffe, 2012; Vaismoradi, Turunen, &amp; Bondas, 2013; Yardley &amp; Marks, 2011)","previouslyFormattedCitation":"(Elo &amp; Kyngäs, 2008; Joffe, 2012; Vaismoradi, Turunen, &amp; Bondas, 2013; Yardley &amp; Marks, 2011)"},"properties":{"noteIndex":0},"schema":"https://github.com/citation-style-language/schema/raw/master/csl-citation.json"}</w:instrText>
      </w:r>
      <w:r w:rsidRPr="006A1EC7">
        <w:fldChar w:fldCharType="separate"/>
      </w:r>
      <w:r w:rsidRPr="006A1EC7">
        <w:rPr>
          <w:noProof/>
        </w:rPr>
        <w:t>(Elo &amp; Kyngäs, 2008; Joffe, 2012; Vaismoradi, Turunen, &amp; Bondas, 2013; Yardley &amp; Marks, 2011)</w:t>
      </w:r>
      <w:r w:rsidRPr="006A1EC7">
        <w:fldChar w:fldCharType="end"/>
      </w:r>
      <w:r w:rsidRPr="006A1EC7">
        <w:t xml:space="preserve"> (see Chapter 6). The reason content analysis was favoured over other qualitative analysis methods was, as for Chapter 6, was the systematic data collection and nature of the data lending itself more to content analysis than other qualitative research methods. </w:t>
      </w:r>
    </w:p>
    <w:p w14:paraId="60F5780D" w14:textId="77777777" w:rsidR="00F53CB4" w:rsidRPr="006A1EC7" w:rsidRDefault="00F53CB4" w:rsidP="00F53CB4">
      <w:pPr>
        <w:spacing w:line="360" w:lineRule="auto"/>
        <w:sectPr w:rsidR="00F53CB4" w:rsidRPr="006A1EC7" w:rsidSect="00AC2435">
          <w:type w:val="nextColumn"/>
          <w:pgSz w:w="11900" w:h="16840"/>
          <w:pgMar w:top="1440" w:right="1701" w:bottom="1440" w:left="1701" w:header="709" w:footer="709" w:gutter="0"/>
          <w:cols w:space="708"/>
          <w:docGrid w:linePitch="360"/>
        </w:sectPr>
      </w:pPr>
    </w:p>
    <w:p w14:paraId="440B76EB" w14:textId="77777777" w:rsidR="00F53CB4" w:rsidRPr="006A1EC7" w:rsidRDefault="00F53CB4" w:rsidP="00F53CB4">
      <w:pPr>
        <w:spacing w:line="360" w:lineRule="auto"/>
      </w:pPr>
    </w:p>
    <w:p w14:paraId="06DDFA4E" w14:textId="77777777" w:rsidR="00F53CB4" w:rsidRPr="006A1EC7" w:rsidRDefault="00F53CB4" w:rsidP="00F53CB4">
      <w:pPr>
        <w:pStyle w:val="Heading2"/>
        <w:rPr>
          <w:rFonts w:ascii="Times New Roman" w:hAnsi="Times New Roman" w:cs="Times New Roman"/>
        </w:rPr>
      </w:pPr>
      <w:bookmarkStart w:id="237" w:name="_Toc40173015"/>
      <w:r w:rsidRPr="006A1EC7">
        <w:rPr>
          <w:rFonts w:ascii="Times New Roman" w:hAnsi="Times New Roman" w:cs="Times New Roman"/>
        </w:rPr>
        <w:t>Results</w:t>
      </w:r>
      <w:bookmarkEnd w:id="237"/>
    </w:p>
    <w:p w14:paraId="0CD82927" w14:textId="77777777" w:rsidR="00F53CB4" w:rsidRPr="006A1EC7" w:rsidRDefault="00F53CB4" w:rsidP="00F53CB4">
      <w:pPr>
        <w:spacing w:line="360" w:lineRule="auto"/>
      </w:pPr>
    </w:p>
    <w:p w14:paraId="5BAF7417" w14:textId="77777777" w:rsidR="00F53CB4" w:rsidRPr="006A1EC7" w:rsidRDefault="00F53CB4" w:rsidP="00F53CB4">
      <w:pPr>
        <w:pStyle w:val="Heading2"/>
        <w:rPr>
          <w:rFonts w:ascii="Times New Roman" w:hAnsi="Times New Roman" w:cs="Times New Roman"/>
        </w:rPr>
      </w:pPr>
      <w:bookmarkStart w:id="238" w:name="_Toc40173016"/>
      <w:r w:rsidRPr="006A1EC7">
        <w:rPr>
          <w:rFonts w:ascii="Times New Roman" w:hAnsi="Times New Roman" w:cs="Times New Roman"/>
        </w:rPr>
        <w:t>Participant characteristics</w:t>
      </w:r>
      <w:bookmarkEnd w:id="238"/>
    </w:p>
    <w:p w14:paraId="750575A9" w14:textId="77777777" w:rsidR="00F53CB4" w:rsidRPr="006A1EC7" w:rsidRDefault="00F53CB4" w:rsidP="00F53CB4">
      <w:pPr>
        <w:spacing w:line="360" w:lineRule="auto"/>
      </w:pPr>
    </w:p>
    <w:p w14:paraId="6D7FD665" w14:textId="77777777" w:rsidR="00F53CB4" w:rsidRPr="006A1EC7" w:rsidRDefault="00F53CB4" w:rsidP="00F53CB4">
      <w:pPr>
        <w:spacing w:line="360" w:lineRule="auto"/>
      </w:pPr>
      <w:r w:rsidRPr="006A1EC7">
        <w:rPr>
          <w:i/>
        </w:rPr>
        <w:t>Gender.</w:t>
      </w:r>
      <w:r w:rsidRPr="006A1EC7">
        <w:t xml:space="preserve"> A total of 91 participants took part; there were 69 female (76%) and 20 male (22%) participants; two did not answer this question (2%).</w:t>
      </w:r>
    </w:p>
    <w:p w14:paraId="5C50C039" w14:textId="77777777" w:rsidR="00F53CB4" w:rsidRPr="006A1EC7" w:rsidRDefault="00F53CB4" w:rsidP="00F53CB4">
      <w:pPr>
        <w:spacing w:line="360" w:lineRule="auto"/>
        <w:rPr>
          <w:i/>
        </w:rPr>
      </w:pPr>
    </w:p>
    <w:p w14:paraId="20EB3B54" w14:textId="77777777" w:rsidR="00F53CB4" w:rsidRPr="006A1EC7" w:rsidRDefault="00F53CB4" w:rsidP="00F53CB4">
      <w:pPr>
        <w:spacing w:line="360" w:lineRule="auto"/>
      </w:pPr>
      <w:r w:rsidRPr="006A1EC7">
        <w:rPr>
          <w:i/>
        </w:rPr>
        <w:t>Ages.</w:t>
      </w:r>
      <w:r w:rsidRPr="006A1EC7">
        <w:t xml:space="preserve"> Ages of participants ranged from 22-61 years, with a mean of 29.6 (SD: 8.5) (n = 87, missing n = 4). </w:t>
      </w:r>
    </w:p>
    <w:p w14:paraId="7B4FB936" w14:textId="77777777" w:rsidR="00F53CB4" w:rsidRPr="006A1EC7" w:rsidRDefault="00F53CB4" w:rsidP="00F53CB4">
      <w:pPr>
        <w:spacing w:line="360" w:lineRule="auto"/>
        <w:rPr>
          <w:i/>
        </w:rPr>
      </w:pPr>
    </w:p>
    <w:p w14:paraId="3C81598F" w14:textId="77777777" w:rsidR="00F53CB4" w:rsidRPr="006A1EC7" w:rsidRDefault="00F53CB4" w:rsidP="00F53CB4">
      <w:pPr>
        <w:spacing w:line="360" w:lineRule="auto"/>
      </w:pPr>
      <w:r w:rsidRPr="006A1EC7">
        <w:rPr>
          <w:i/>
        </w:rPr>
        <w:t xml:space="preserve">Experience with Wolf-Hirschhorn syndrome and other developmental disabilities. </w:t>
      </w:r>
      <w:r w:rsidRPr="006A1EC7">
        <w:t>Only 21 participants (23%) had previously heard of WHS, 70 had not (77%). Only two had previously managed patients with WHS (2%), the remaining had not (98%, n = 89). Sixteen participants (18%) had previously held, or currently hold, roles in which they routinely assessed, or assess, children and adults with developmental disabilities; 75 have not (82%).</w:t>
      </w:r>
    </w:p>
    <w:p w14:paraId="4955900D" w14:textId="77777777" w:rsidR="00F53CB4" w:rsidRPr="006A1EC7" w:rsidRDefault="00F53CB4" w:rsidP="00F53CB4">
      <w:pPr>
        <w:spacing w:line="360" w:lineRule="auto"/>
        <w:rPr>
          <w:i/>
        </w:rPr>
      </w:pPr>
    </w:p>
    <w:p w14:paraId="7284190A" w14:textId="77777777" w:rsidR="00F53CB4" w:rsidRPr="006A1EC7" w:rsidRDefault="00F53CB4" w:rsidP="00F53CB4">
      <w:pPr>
        <w:spacing w:line="360" w:lineRule="auto"/>
      </w:pPr>
      <w:r w:rsidRPr="006A1EC7">
        <w:rPr>
          <w:i/>
        </w:rPr>
        <w:t>Number of times completed</w:t>
      </w:r>
      <w:r w:rsidRPr="006A1EC7">
        <w:t>. Sixty-nine participants completed the clinical outcome assessments once (76%), and 22 completed it twice (24%). Graphic 17 illustrates the breakdown of completions for Time 1 and Time 2, per vignette.</w:t>
      </w:r>
      <w:r w:rsidRPr="006A1EC7">
        <w:br/>
      </w:r>
    </w:p>
    <w:p w14:paraId="50C17810" w14:textId="77777777" w:rsidR="00F53CB4" w:rsidRPr="006A1EC7" w:rsidRDefault="00F53CB4" w:rsidP="00F53CB4">
      <w:pPr>
        <w:pStyle w:val="Caption"/>
        <w:keepNext/>
        <w:rPr>
          <w:sz w:val="24"/>
        </w:rPr>
      </w:pPr>
      <w:bookmarkStart w:id="239" w:name="_Toc39270376"/>
      <w:bookmarkStart w:id="240" w:name="_Toc40173075"/>
      <w:r w:rsidRPr="006A1EC7">
        <w:rPr>
          <w:sz w:val="24"/>
        </w:rPr>
        <w:t xml:space="preserve">Graphic </w:t>
      </w:r>
      <w:r w:rsidRPr="006A1EC7">
        <w:rPr>
          <w:sz w:val="24"/>
        </w:rPr>
        <w:fldChar w:fldCharType="begin"/>
      </w:r>
      <w:r w:rsidRPr="006A1EC7">
        <w:rPr>
          <w:sz w:val="24"/>
        </w:rPr>
        <w:instrText xml:space="preserve"> SEQ Graphic \* ARABIC </w:instrText>
      </w:r>
      <w:r w:rsidRPr="006A1EC7">
        <w:rPr>
          <w:sz w:val="24"/>
        </w:rPr>
        <w:fldChar w:fldCharType="separate"/>
      </w:r>
      <w:r w:rsidRPr="006A1EC7">
        <w:rPr>
          <w:noProof/>
          <w:sz w:val="24"/>
        </w:rPr>
        <w:t>19</w:t>
      </w:r>
      <w:r w:rsidRPr="006A1EC7">
        <w:rPr>
          <w:sz w:val="24"/>
        </w:rPr>
        <w:fldChar w:fldCharType="end"/>
      </w:r>
      <w:r w:rsidRPr="006A1EC7">
        <w:rPr>
          <w:sz w:val="24"/>
        </w:rPr>
        <w:t>: Number of completions per vignette, per time point</w:t>
      </w:r>
      <w:bookmarkEnd w:id="239"/>
      <w:bookmarkEnd w:id="240"/>
    </w:p>
    <w:p w14:paraId="2927D927" w14:textId="77777777" w:rsidR="00F53CB4" w:rsidRPr="006A1EC7" w:rsidRDefault="00F53CB4" w:rsidP="00F53CB4">
      <w:r w:rsidRPr="006A1EC7">
        <w:rPr>
          <w:noProof/>
          <w:lang w:eastAsia="en-GB"/>
        </w:rPr>
        <w:drawing>
          <wp:inline distT="0" distB="0" distL="0" distR="0" wp14:anchorId="14B06B36" wp14:editId="4F0DAF6A">
            <wp:extent cx="5727700" cy="1686284"/>
            <wp:effectExtent l="0" t="0" r="6350" b="9525"/>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1686284"/>
                    </a:xfrm>
                    <a:prstGeom prst="rect">
                      <a:avLst/>
                    </a:prstGeom>
                  </pic:spPr>
                </pic:pic>
              </a:graphicData>
            </a:graphic>
          </wp:inline>
        </w:drawing>
      </w:r>
    </w:p>
    <w:p w14:paraId="78C270C0" w14:textId="77777777" w:rsidR="00F53CB4" w:rsidRPr="006A1EC7" w:rsidRDefault="00F53CB4" w:rsidP="00F53CB4">
      <w:pPr>
        <w:spacing w:line="360" w:lineRule="auto"/>
      </w:pPr>
    </w:p>
    <w:p w14:paraId="566C6FCF" w14:textId="77777777" w:rsidR="00F53CB4" w:rsidRPr="006A1EC7" w:rsidRDefault="00F53CB4" w:rsidP="00F53CB4">
      <w:pPr>
        <w:spacing w:line="360" w:lineRule="auto"/>
      </w:pPr>
    </w:p>
    <w:p w14:paraId="190A2DFF" w14:textId="77777777" w:rsidR="00F53CB4" w:rsidRPr="006A1EC7" w:rsidRDefault="00F53CB4" w:rsidP="00F53CB4">
      <w:pPr>
        <w:spacing w:line="360" w:lineRule="auto"/>
      </w:pPr>
      <w:r w:rsidRPr="006A1EC7">
        <w:rPr>
          <w:i/>
        </w:rPr>
        <w:t>Types of medical professionals taking part.</w:t>
      </w:r>
      <w:r w:rsidRPr="006A1EC7">
        <w:t xml:space="preserve"> Table 12 provides a breakdown of which medical professionals took part, and across which specialities (if applicable or </w:t>
      </w:r>
      <w:r w:rsidRPr="006A1EC7">
        <w:lastRenderedPageBreak/>
        <w:t>mentioned) they worked. Graphic 21 provides a further, but simplified, graphical overview of participating medical professionals.</w:t>
      </w:r>
    </w:p>
    <w:p w14:paraId="3693424A" w14:textId="77777777" w:rsidR="00F53CB4" w:rsidRPr="006A1EC7" w:rsidRDefault="00F53CB4" w:rsidP="00F53CB4">
      <w:pPr>
        <w:spacing w:line="360" w:lineRule="auto"/>
        <w:rPr>
          <w:i/>
        </w:rPr>
      </w:pPr>
    </w:p>
    <w:p w14:paraId="4A62E2A1" w14:textId="77777777" w:rsidR="00F53CB4" w:rsidRPr="006A1EC7" w:rsidRDefault="00F53CB4" w:rsidP="00F53CB4">
      <w:pPr>
        <w:pStyle w:val="Caption"/>
        <w:keepNext/>
        <w:rPr>
          <w:sz w:val="24"/>
          <w:szCs w:val="24"/>
        </w:rPr>
      </w:pPr>
      <w:bookmarkStart w:id="241" w:name="_Toc40173038"/>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13</w:t>
      </w:r>
      <w:r w:rsidRPr="006A1EC7">
        <w:rPr>
          <w:sz w:val="24"/>
          <w:szCs w:val="24"/>
        </w:rPr>
        <w:fldChar w:fldCharType="end"/>
      </w:r>
      <w:r w:rsidRPr="006A1EC7">
        <w:rPr>
          <w:sz w:val="24"/>
          <w:szCs w:val="24"/>
        </w:rPr>
        <w:t>: Overview of professions of participants</w:t>
      </w:r>
      <w:bookmarkEnd w:id="241"/>
    </w:p>
    <w:tbl>
      <w:tblPr>
        <w:tblStyle w:val="PlainTable4"/>
        <w:tblW w:w="0" w:type="auto"/>
        <w:tblLook w:val="04A0" w:firstRow="1" w:lastRow="0" w:firstColumn="1" w:lastColumn="0" w:noHBand="0" w:noVBand="1"/>
      </w:tblPr>
      <w:tblGrid>
        <w:gridCol w:w="2986"/>
        <w:gridCol w:w="2496"/>
        <w:gridCol w:w="3016"/>
      </w:tblGrid>
      <w:tr w:rsidR="00F53CB4" w:rsidRPr="006A1EC7" w14:paraId="674B82E1"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4E9D1AD8" w14:textId="77777777" w:rsidR="00F53CB4" w:rsidRPr="006A1EC7" w:rsidRDefault="00F53CB4" w:rsidP="00AC2435">
            <w:pPr>
              <w:rPr>
                <w:sz w:val="18"/>
                <w:szCs w:val="18"/>
              </w:rPr>
            </w:pPr>
            <w:r w:rsidRPr="006A1EC7">
              <w:rPr>
                <w:sz w:val="18"/>
                <w:szCs w:val="18"/>
              </w:rPr>
              <w:t>Medical Professional</w:t>
            </w:r>
          </w:p>
        </w:tc>
        <w:tc>
          <w:tcPr>
            <w:tcW w:w="2688" w:type="dxa"/>
          </w:tcPr>
          <w:p w14:paraId="7C1BC0EF"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N (Total %)</w:t>
            </w:r>
          </w:p>
        </w:tc>
        <w:tc>
          <w:tcPr>
            <w:tcW w:w="3205" w:type="dxa"/>
          </w:tcPr>
          <w:p w14:paraId="4FC58350"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Specialities, if applicable or reported</w:t>
            </w:r>
          </w:p>
        </w:tc>
      </w:tr>
      <w:tr w:rsidR="00F53CB4" w:rsidRPr="006A1EC7" w14:paraId="666C889B" w14:textId="77777777" w:rsidTr="00AC24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117" w:type="dxa"/>
            <w:vMerge w:val="restart"/>
          </w:tcPr>
          <w:p w14:paraId="56E8E461" w14:textId="77777777" w:rsidR="00F53CB4" w:rsidRPr="006A1EC7" w:rsidRDefault="00F53CB4" w:rsidP="00AC2435">
            <w:pPr>
              <w:rPr>
                <w:sz w:val="18"/>
                <w:szCs w:val="18"/>
              </w:rPr>
            </w:pPr>
            <w:r w:rsidRPr="006A1EC7">
              <w:rPr>
                <w:sz w:val="18"/>
                <w:szCs w:val="18"/>
              </w:rPr>
              <w:t>Junior Doctors</w:t>
            </w:r>
          </w:p>
        </w:tc>
        <w:tc>
          <w:tcPr>
            <w:tcW w:w="2688" w:type="dxa"/>
          </w:tcPr>
          <w:p w14:paraId="3F8E33A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37 (41%)</w:t>
            </w:r>
          </w:p>
        </w:tc>
        <w:tc>
          <w:tcPr>
            <w:tcW w:w="3205" w:type="dxa"/>
            <w:vMerge w:val="restart"/>
          </w:tcPr>
          <w:p w14:paraId="4D5F91E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p>
        </w:tc>
      </w:tr>
      <w:tr w:rsidR="00F53CB4" w:rsidRPr="006A1EC7" w14:paraId="5D2301F6" w14:textId="77777777" w:rsidTr="00AC2435">
        <w:trPr>
          <w:trHeight w:val="393"/>
        </w:trPr>
        <w:tc>
          <w:tcPr>
            <w:cnfStyle w:val="001000000000" w:firstRow="0" w:lastRow="0" w:firstColumn="1" w:lastColumn="0" w:oddVBand="0" w:evenVBand="0" w:oddHBand="0" w:evenHBand="0" w:firstRowFirstColumn="0" w:firstRowLastColumn="0" w:lastRowFirstColumn="0" w:lastRowLastColumn="0"/>
            <w:tcW w:w="3117" w:type="dxa"/>
            <w:vMerge/>
          </w:tcPr>
          <w:p w14:paraId="6CC185A9" w14:textId="77777777" w:rsidR="00F53CB4" w:rsidRPr="006A1EC7" w:rsidRDefault="00F53CB4" w:rsidP="00AC2435">
            <w:pPr>
              <w:rPr>
                <w:sz w:val="18"/>
                <w:szCs w:val="18"/>
              </w:rPr>
            </w:pPr>
          </w:p>
        </w:tc>
        <w:tc>
          <w:tcPr>
            <w:tcW w:w="2688" w:type="dxa"/>
          </w:tcPr>
          <w:p w14:paraId="57319F0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i/>
                <w:iCs/>
                <w:sz w:val="18"/>
                <w:szCs w:val="18"/>
              </w:rPr>
            </w:pPr>
            <w:r w:rsidRPr="006A1EC7">
              <w:rPr>
                <w:i/>
                <w:iCs/>
                <w:sz w:val="18"/>
                <w:szCs w:val="18"/>
              </w:rPr>
              <w:t>Further split:</w:t>
            </w:r>
          </w:p>
        </w:tc>
        <w:tc>
          <w:tcPr>
            <w:tcW w:w="3205" w:type="dxa"/>
            <w:vMerge/>
          </w:tcPr>
          <w:p w14:paraId="25AF9CE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p>
        </w:tc>
      </w:tr>
      <w:tr w:rsidR="00F53CB4" w:rsidRPr="006A1EC7" w14:paraId="294C22AA" w14:textId="77777777" w:rsidTr="00AC243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117" w:type="dxa"/>
            <w:vMerge/>
          </w:tcPr>
          <w:p w14:paraId="230F357A" w14:textId="77777777" w:rsidR="00F53CB4" w:rsidRPr="006A1EC7" w:rsidRDefault="00F53CB4" w:rsidP="00AC2435">
            <w:pPr>
              <w:rPr>
                <w:sz w:val="18"/>
                <w:szCs w:val="18"/>
              </w:rPr>
            </w:pPr>
          </w:p>
        </w:tc>
        <w:tc>
          <w:tcPr>
            <w:tcW w:w="2688" w:type="dxa"/>
          </w:tcPr>
          <w:p w14:paraId="19834D8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i/>
                <w:iCs/>
                <w:sz w:val="18"/>
                <w:szCs w:val="18"/>
              </w:rPr>
            </w:pPr>
            <w:r w:rsidRPr="006A1EC7">
              <w:rPr>
                <w:i/>
                <w:iCs/>
                <w:sz w:val="18"/>
                <w:szCs w:val="18"/>
              </w:rPr>
              <w:t>First Year: 16 (18%)</w:t>
            </w:r>
          </w:p>
        </w:tc>
        <w:tc>
          <w:tcPr>
            <w:tcW w:w="3205" w:type="dxa"/>
            <w:vMerge/>
          </w:tcPr>
          <w:p w14:paraId="5D4132F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p>
        </w:tc>
      </w:tr>
      <w:tr w:rsidR="00F53CB4" w:rsidRPr="006A1EC7" w14:paraId="28191A9D" w14:textId="77777777" w:rsidTr="00AC2435">
        <w:tc>
          <w:tcPr>
            <w:cnfStyle w:val="001000000000" w:firstRow="0" w:lastRow="0" w:firstColumn="1" w:lastColumn="0" w:oddVBand="0" w:evenVBand="0" w:oddHBand="0" w:evenHBand="0" w:firstRowFirstColumn="0" w:firstRowLastColumn="0" w:lastRowFirstColumn="0" w:lastRowLastColumn="0"/>
            <w:tcW w:w="3117" w:type="dxa"/>
            <w:vMerge/>
          </w:tcPr>
          <w:p w14:paraId="68DAA8CD" w14:textId="77777777" w:rsidR="00F53CB4" w:rsidRPr="006A1EC7" w:rsidRDefault="00F53CB4" w:rsidP="00AC2435">
            <w:pPr>
              <w:rPr>
                <w:sz w:val="18"/>
                <w:szCs w:val="18"/>
              </w:rPr>
            </w:pPr>
          </w:p>
        </w:tc>
        <w:tc>
          <w:tcPr>
            <w:tcW w:w="2688" w:type="dxa"/>
          </w:tcPr>
          <w:p w14:paraId="278AA08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i/>
                <w:iCs/>
                <w:sz w:val="18"/>
                <w:szCs w:val="18"/>
              </w:rPr>
            </w:pPr>
            <w:r w:rsidRPr="006A1EC7">
              <w:rPr>
                <w:i/>
                <w:iCs/>
                <w:sz w:val="18"/>
                <w:szCs w:val="18"/>
              </w:rPr>
              <w:t>Second Year: 7 (8%)</w:t>
            </w:r>
          </w:p>
        </w:tc>
        <w:tc>
          <w:tcPr>
            <w:tcW w:w="3205" w:type="dxa"/>
            <w:vMerge/>
          </w:tcPr>
          <w:p w14:paraId="0C3D560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p>
        </w:tc>
      </w:tr>
      <w:tr w:rsidR="00F53CB4" w:rsidRPr="006A1EC7" w14:paraId="790766E0"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vMerge/>
          </w:tcPr>
          <w:p w14:paraId="661EBFFE" w14:textId="77777777" w:rsidR="00F53CB4" w:rsidRPr="006A1EC7" w:rsidRDefault="00F53CB4" w:rsidP="00AC2435">
            <w:pPr>
              <w:rPr>
                <w:sz w:val="18"/>
                <w:szCs w:val="18"/>
              </w:rPr>
            </w:pPr>
          </w:p>
        </w:tc>
        <w:tc>
          <w:tcPr>
            <w:tcW w:w="2688" w:type="dxa"/>
          </w:tcPr>
          <w:p w14:paraId="44B84DA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i/>
                <w:iCs/>
                <w:sz w:val="18"/>
                <w:szCs w:val="18"/>
              </w:rPr>
            </w:pPr>
            <w:r w:rsidRPr="006A1EC7">
              <w:rPr>
                <w:i/>
                <w:iCs/>
                <w:sz w:val="18"/>
                <w:szCs w:val="18"/>
              </w:rPr>
              <w:t>Third Year: 10 (11%)</w:t>
            </w:r>
          </w:p>
        </w:tc>
        <w:tc>
          <w:tcPr>
            <w:tcW w:w="3205" w:type="dxa"/>
            <w:vMerge/>
          </w:tcPr>
          <w:p w14:paraId="6D87424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p>
        </w:tc>
      </w:tr>
      <w:tr w:rsidR="00F53CB4" w:rsidRPr="006A1EC7" w14:paraId="1862CB34" w14:textId="77777777" w:rsidTr="00AC2435">
        <w:tc>
          <w:tcPr>
            <w:cnfStyle w:val="001000000000" w:firstRow="0" w:lastRow="0" w:firstColumn="1" w:lastColumn="0" w:oddVBand="0" w:evenVBand="0" w:oddHBand="0" w:evenHBand="0" w:firstRowFirstColumn="0" w:firstRowLastColumn="0" w:lastRowFirstColumn="0" w:lastRowLastColumn="0"/>
            <w:tcW w:w="3117" w:type="dxa"/>
            <w:vMerge/>
          </w:tcPr>
          <w:p w14:paraId="2C029696" w14:textId="77777777" w:rsidR="00F53CB4" w:rsidRPr="006A1EC7" w:rsidRDefault="00F53CB4" w:rsidP="00AC2435">
            <w:pPr>
              <w:rPr>
                <w:sz w:val="18"/>
                <w:szCs w:val="18"/>
              </w:rPr>
            </w:pPr>
          </w:p>
        </w:tc>
        <w:tc>
          <w:tcPr>
            <w:tcW w:w="2688" w:type="dxa"/>
          </w:tcPr>
          <w:p w14:paraId="7A57D20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i/>
                <w:iCs/>
                <w:sz w:val="18"/>
                <w:szCs w:val="18"/>
              </w:rPr>
            </w:pPr>
            <w:r w:rsidRPr="006A1EC7">
              <w:rPr>
                <w:i/>
                <w:iCs/>
                <w:sz w:val="18"/>
                <w:szCs w:val="18"/>
              </w:rPr>
              <w:t>Fourth Year: 3 (3%)</w:t>
            </w:r>
          </w:p>
        </w:tc>
        <w:tc>
          <w:tcPr>
            <w:tcW w:w="3205" w:type="dxa"/>
            <w:vMerge/>
          </w:tcPr>
          <w:p w14:paraId="1621591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p>
        </w:tc>
      </w:tr>
      <w:tr w:rsidR="00F53CB4" w:rsidRPr="006A1EC7" w14:paraId="1C6350AB"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vMerge/>
          </w:tcPr>
          <w:p w14:paraId="211A3E31" w14:textId="77777777" w:rsidR="00F53CB4" w:rsidRPr="006A1EC7" w:rsidRDefault="00F53CB4" w:rsidP="00AC2435">
            <w:pPr>
              <w:rPr>
                <w:sz w:val="18"/>
                <w:szCs w:val="18"/>
              </w:rPr>
            </w:pPr>
          </w:p>
        </w:tc>
        <w:tc>
          <w:tcPr>
            <w:tcW w:w="2688" w:type="dxa"/>
          </w:tcPr>
          <w:p w14:paraId="06D0AF6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i/>
                <w:iCs/>
                <w:sz w:val="18"/>
                <w:szCs w:val="18"/>
              </w:rPr>
            </w:pPr>
            <w:r w:rsidRPr="006A1EC7">
              <w:rPr>
                <w:i/>
                <w:iCs/>
                <w:sz w:val="18"/>
                <w:szCs w:val="18"/>
              </w:rPr>
              <w:t>Fifth Year: 1 (1%)</w:t>
            </w:r>
          </w:p>
        </w:tc>
        <w:tc>
          <w:tcPr>
            <w:tcW w:w="3205" w:type="dxa"/>
            <w:vMerge/>
          </w:tcPr>
          <w:p w14:paraId="0EE5AE7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p>
        </w:tc>
      </w:tr>
      <w:tr w:rsidR="00F53CB4" w:rsidRPr="006A1EC7" w14:paraId="20B3A646" w14:textId="77777777" w:rsidTr="00AC2435">
        <w:tc>
          <w:tcPr>
            <w:cnfStyle w:val="001000000000" w:firstRow="0" w:lastRow="0" w:firstColumn="1" w:lastColumn="0" w:oddVBand="0" w:evenVBand="0" w:oddHBand="0" w:evenHBand="0" w:firstRowFirstColumn="0" w:firstRowLastColumn="0" w:lastRowFirstColumn="0" w:lastRowLastColumn="0"/>
            <w:tcW w:w="3117" w:type="dxa"/>
          </w:tcPr>
          <w:p w14:paraId="291A7B80" w14:textId="77777777" w:rsidR="00F53CB4" w:rsidRPr="006A1EC7" w:rsidRDefault="00F53CB4" w:rsidP="00AC2435">
            <w:pPr>
              <w:rPr>
                <w:sz w:val="18"/>
                <w:szCs w:val="18"/>
              </w:rPr>
            </w:pPr>
            <w:r w:rsidRPr="006A1EC7">
              <w:rPr>
                <w:sz w:val="18"/>
                <w:szCs w:val="18"/>
              </w:rPr>
              <w:t>Final Year Medical Students</w:t>
            </w:r>
          </w:p>
        </w:tc>
        <w:tc>
          <w:tcPr>
            <w:tcW w:w="2688" w:type="dxa"/>
          </w:tcPr>
          <w:p w14:paraId="7800ACF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20 (22%)</w:t>
            </w:r>
          </w:p>
        </w:tc>
        <w:tc>
          <w:tcPr>
            <w:tcW w:w="3205" w:type="dxa"/>
            <w:vMerge/>
          </w:tcPr>
          <w:p w14:paraId="4CF9A82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p>
        </w:tc>
      </w:tr>
      <w:tr w:rsidR="00F53CB4" w:rsidRPr="006A1EC7" w14:paraId="33DF0A6D"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26FE8C52" w14:textId="77777777" w:rsidR="00F53CB4" w:rsidRPr="006A1EC7" w:rsidRDefault="00F53CB4" w:rsidP="00AC2435">
            <w:pPr>
              <w:rPr>
                <w:sz w:val="18"/>
                <w:szCs w:val="18"/>
              </w:rPr>
            </w:pPr>
            <w:r w:rsidRPr="006A1EC7">
              <w:rPr>
                <w:sz w:val="18"/>
                <w:szCs w:val="18"/>
              </w:rPr>
              <w:t>General Practitioners</w:t>
            </w:r>
          </w:p>
        </w:tc>
        <w:tc>
          <w:tcPr>
            <w:tcW w:w="2688" w:type="dxa"/>
          </w:tcPr>
          <w:p w14:paraId="0E59E4C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8 (9%)</w:t>
            </w:r>
          </w:p>
        </w:tc>
        <w:tc>
          <w:tcPr>
            <w:tcW w:w="3205" w:type="dxa"/>
            <w:vMerge/>
          </w:tcPr>
          <w:p w14:paraId="29AB837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p>
        </w:tc>
      </w:tr>
      <w:tr w:rsidR="00F53CB4" w:rsidRPr="006A1EC7" w14:paraId="3064050F" w14:textId="77777777" w:rsidTr="00AC2435">
        <w:tc>
          <w:tcPr>
            <w:cnfStyle w:val="001000000000" w:firstRow="0" w:lastRow="0" w:firstColumn="1" w:lastColumn="0" w:oddVBand="0" w:evenVBand="0" w:oddHBand="0" w:evenHBand="0" w:firstRowFirstColumn="0" w:firstRowLastColumn="0" w:lastRowFirstColumn="0" w:lastRowLastColumn="0"/>
            <w:tcW w:w="3117" w:type="dxa"/>
          </w:tcPr>
          <w:p w14:paraId="0E9FD928" w14:textId="77777777" w:rsidR="00F53CB4" w:rsidRPr="006A1EC7" w:rsidRDefault="00F53CB4" w:rsidP="00AC2435">
            <w:pPr>
              <w:rPr>
                <w:sz w:val="18"/>
                <w:szCs w:val="18"/>
              </w:rPr>
            </w:pPr>
            <w:r w:rsidRPr="006A1EC7">
              <w:rPr>
                <w:sz w:val="18"/>
                <w:szCs w:val="18"/>
              </w:rPr>
              <w:t>Consultants</w:t>
            </w:r>
          </w:p>
        </w:tc>
        <w:tc>
          <w:tcPr>
            <w:tcW w:w="2688" w:type="dxa"/>
          </w:tcPr>
          <w:p w14:paraId="255A9A0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3 (3%)</w:t>
            </w:r>
          </w:p>
        </w:tc>
        <w:tc>
          <w:tcPr>
            <w:tcW w:w="3205" w:type="dxa"/>
          </w:tcPr>
          <w:p w14:paraId="1FD4488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Paediatrics (n = 1)</w:t>
            </w:r>
          </w:p>
          <w:p w14:paraId="2DF017A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Genetics (n = 1)</w:t>
            </w:r>
          </w:p>
          <w:p w14:paraId="6EC9022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Histopathology (n = 1)</w:t>
            </w:r>
          </w:p>
        </w:tc>
      </w:tr>
      <w:tr w:rsidR="00F53CB4" w:rsidRPr="006A1EC7" w14:paraId="4AAABC97"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0822CC2C" w14:textId="77777777" w:rsidR="00F53CB4" w:rsidRPr="006A1EC7" w:rsidRDefault="00F53CB4" w:rsidP="00AC2435">
            <w:pPr>
              <w:rPr>
                <w:sz w:val="18"/>
                <w:szCs w:val="18"/>
              </w:rPr>
            </w:pPr>
            <w:r w:rsidRPr="006A1EC7">
              <w:rPr>
                <w:sz w:val="18"/>
                <w:szCs w:val="18"/>
              </w:rPr>
              <w:t>Registrars</w:t>
            </w:r>
          </w:p>
        </w:tc>
        <w:tc>
          <w:tcPr>
            <w:tcW w:w="2688" w:type="dxa"/>
          </w:tcPr>
          <w:p w14:paraId="39FF5E8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 (11%)</w:t>
            </w:r>
          </w:p>
        </w:tc>
        <w:tc>
          <w:tcPr>
            <w:tcW w:w="3205" w:type="dxa"/>
          </w:tcPr>
          <w:p w14:paraId="14DADAE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General Practice (n = 2)</w:t>
            </w:r>
          </w:p>
          <w:p w14:paraId="2B0DAD8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Emergency Medicine (n = 1)</w:t>
            </w:r>
          </w:p>
          <w:p w14:paraId="46C728C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Paediatrics (n = 2)</w:t>
            </w:r>
          </w:p>
          <w:p w14:paraId="6174231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Endocrinology and Diabetes (n = 1)</w:t>
            </w:r>
          </w:p>
          <w:p w14:paraId="3F744B6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Clinical Genetics (n = 1)</w:t>
            </w:r>
          </w:p>
          <w:p w14:paraId="6B7CB06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Medical Oncology (n = 1)</w:t>
            </w:r>
          </w:p>
          <w:p w14:paraId="2987B23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Infectious Diseases (n = 1)</w:t>
            </w:r>
          </w:p>
          <w:p w14:paraId="55CD93C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i/>
                <w:iCs/>
                <w:sz w:val="18"/>
                <w:szCs w:val="18"/>
              </w:rPr>
            </w:pPr>
            <w:r w:rsidRPr="006A1EC7">
              <w:rPr>
                <w:i/>
                <w:iCs/>
                <w:sz w:val="18"/>
                <w:szCs w:val="18"/>
              </w:rPr>
              <w:t>(Missing n = 1)</w:t>
            </w:r>
          </w:p>
        </w:tc>
      </w:tr>
      <w:tr w:rsidR="00F53CB4" w:rsidRPr="006A1EC7" w14:paraId="1D85C68B" w14:textId="77777777" w:rsidTr="00AC2435">
        <w:trPr>
          <w:trHeight w:val="916"/>
        </w:trPr>
        <w:tc>
          <w:tcPr>
            <w:cnfStyle w:val="001000000000" w:firstRow="0" w:lastRow="0" w:firstColumn="1" w:lastColumn="0" w:oddVBand="0" w:evenVBand="0" w:oddHBand="0" w:evenHBand="0" w:firstRowFirstColumn="0" w:firstRowLastColumn="0" w:lastRowFirstColumn="0" w:lastRowLastColumn="0"/>
            <w:tcW w:w="3117" w:type="dxa"/>
            <w:vMerge w:val="restart"/>
          </w:tcPr>
          <w:p w14:paraId="1311C666" w14:textId="77777777" w:rsidR="00F53CB4" w:rsidRPr="006A1EC7" w:rsidRDefault="00F53CB4" w:rsidP="00AC2435">
            <w:pPr>
              <w:rPr>
                <w:sz w:val="18"/>
                <w:szCs w:val="18"/>
              </w:rPr>
            </w:pPr>
            <w:r w:rsidRPr="006A1EC7">
              <w:rPr>
                <w:sz w:val="18"/>
                <w:szCs w:val="18"/>
              </w:rPr>
              <w:t>Core Medical Trainees</w:t>
            </w:r>
          </w:p>
        </w:tc>
        <w:tc>
          <w:tcPr>
            <w:tcW w:w="2688" w:type="dxa"/>
          </w:tcPr>
          <w:p w14:paraId="2BF4ECD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3 (3%)</w:t>
            </w:r>
            <w:r w:rsidRPr="006A1EC7">
              <w:rPr>
                <w:sz w:val="18"/>
                <w:szCs w:val="18"/>
              </w:rPr>
              <w:br/>
            </w:r>
          </w:p>
          <w:p w14:paraId="6E2F511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i/>
                <w:iCs/>
                <w:sz w:val="18"/>
                <w:szCs w:val="18"/>
              </w:rPr>
              <w:t>Further split:</w:t>
            </w:r>
          </w:p>
        </w:tc>
        <w:tc>
          <w:tcPr>
            <w:tcW w:w="3205" w:type="dxa"/>
            <w:vMerge w:val="restart"/>
          </w:tcPr>
          <w:p w14:paraId="2845EC4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p>
        </w:tc>
      </w:tr>
      <w:tr w:rsidR="00F53CB4" w:rsidRPr="006A1EC7" w14:paraId="2C4D532E" w14:textId="77777777" w:rsidTr="00AC243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117" w:type="dxa"/>
            <w:vMerge/>
          </w:tcPr>
          <w:p w14:paraId="301E942B" w14:textId="77777777" w:rsidR="00F53CB4" w:rsidRPr="006A1EC7" w:rsidRDefault="00F53CB4" w:rsidP="00AC2435">
            <w:pPr>
              <w:rPr>
                <w:sz w:val="18"/>
                <w:szCs w:val="18"/>
              </w:rPr>
            </w:pPr>
          </w:p>
        </w:tc>
        <w:tc>
          <w:tcPr>
            <w:tcW w:w="2688" w:type="dxa"/>
          </w:tcPr>
          <w:p w14:paraId="20270F0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First Year: 2</w:t>
            </w:r>
          </w:p>
        </w:tc>
        <w:tc>
          <w:tcPr>
            <w:tcW w:w="3205" w:type="dxa"/>
            <w:vMerge/>
          </w:tcPr>
          <w:p w14:paraId="1577B45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p>
        </w:tc>
      </w:tr>
      <w:tr w:rsidR="00F53CB4" w:rsidRPr="006A1EC7" w14:paraId="3A04E9D8" w14:textId="77777777" w:rsidTr="00AC2435">
        <w:trPr>
          <w:trHeight w:val="387"/>
        </w:trPr>
        <w:tc>
          <w:tcPr>
            <w:cnfStyle w:val="001000000000" w:firstRow="0" w:lastRow="0" w:firstColumn="1" w:lastColumn="0" w:oddVBand="0" w:evenVBand="0" w:oddHBand="0" w:evenHBand="0" w:firstRowFirstColumn="0" w:firstRowLastColumn="0" w:lastRowFirstColumn="0" w:lastRowLastColumn="0"/>
            <w:tcW w:w="3117" w:type="dxa"/>
            <w:vMerge/>
          </w:tcPr>
          <w:p w14:paraId="2D7CD7B1" w14:textId="77777777" w:rsidR="00F53CB4" w:rsidRPr="006A1EC7" w:rsidRDefault="00F53CB4" w:rsidP="00AC2435">
            <w:pPr>
              <w:rPr>
                <w:sz w:val="18"/>
                <w:szCs w:val="18"/>
              </w:rPr>
            </w:pPr>
          </w:p>
        </w:tc>
        <w:tc>
          <w:tcPr>
            <w:tcW w:w="2688" w:type="dxa"/>
          </w:tcPr>
          <w:p w14:paraId="296B5BD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Second Year: 1</w:t>
            </w:r>
          </w:p>
        </w:tc>
        <w:tc>
          <w:tcPr>
            <w:tcW w:w="3205" w:type="dxa"/>
            <w:vMerge/>
          </w:tcPr>
          <w:p w14:paraId="16AE5BD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p>
        </w:tc>
      </w:tr>
      <w:tr w:rsidR="00F53CB4" w:rsidRPr="006A1EC7" w14:paraId="3D318E33"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698BCE8B" w14:textId="77777777" w:rsidR="00F53CB4" w:rsidRPr="006A1EC7" w:rsidRDefault="00F53CB4" w:rsidP="00AC2435">
            <w:pPr>
              <w:rPr>
                <w:sz w:val="18"/>
                <w:szCs w:val="18"/>
              </w:rPr>
            </w:pPr>
            <w:r w:rsidRPr="006A1EC7">
              <w:rPr>
                <w:sz w:val="18"/>
                <w:szCs w:val="18"/>
              </w:rPr>
              <w:t>Research Associate/Assistant in Genetics/Neurology</w:t>
            </w:r>
          </w:p>
        </w:tc>
        <w:tc>
          <w:tcPr>
            <w:tcW w:w="2688" w:type="dxa"/>
          </w:tcPr>
          <w:p w14:paraId="337FAAD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 (2%)</w:t>
            </w:r>
          </w:p>
        </w:tc>
        <w:tc>
          <w:tcPr>
            <w:tcW w:w="3205" w:type="dxa"/>
            <w:vMerge/>
          </w:tcPr>
          <w:p w14:paraId="43CA267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p>
        </w:tc>
      </w:tr>
      <w:tr w:rsidR="00F53CB4" w:rsidRPr="006A1EC7" w14:paraId="13B5C4F0" w14:textId="77777777" w:rsidTr="00AC2435">
        <w:tc>
          <w:tcPr>
            <w:cnfStyle w:val="001000000000" w:firstRow="0" w:lastRow="0" w:firstColumn="1" w:lastColumn="0" w:oddVBand="0" w:evenVBand="0" w:oddHBand="0" w:evenHBand="0" w:firstRowFirstColumn="0" w:firstRowLastColumn="0" w:lastRowFirstColumn="0" w:lastRowLastColumn="0"/>
            <w:tcW w:w="3117" w:type="dxa"/>
          </w:tcPr>
          <w:p w14:paraId="31290981" w14:textId="77777777" w:rsidR="00F53CB4" w:rsidRPr="006A1EC7" w:rsidRDefault="00F53CB4" w:rsidP="00AC2435">
            <w:pPr>
              <w:rPr>
                <w:sz w:val="18"/>
                <w:szCs w:val="18"/>
              </w:rPr>
            </w:pPr>
            <w:r w:rsidRPr="006A1EC7">
              <w:rPr>
                <w:sz w:val="18"/>
                <w:szCs w:val="18"/>
              </w:rPr>
              <w:t>Advanced Nurse Practitioner</w:t>
            </w:r>
          </w:p>
        </w:tc>
        <w:tc>
          <w:tcPr>
            <w:tcW w:w="2688" w:type="dxa"/>
          </w:tcPr>
          <w:p w14:paraId="0E5E5E9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 (2%)</w:t>
            </w:r>
          </w:p>
        </w:tc>
        <w:tc>
          <w:tcPr>
            <w:tcW w:w="3205" w:type="dxa"/>
          </w:tcPr>
          <w:p w14:paraId="555EF68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Research (n = 1)</w:t>
            </w:r>
          </w:p>
          <w:p w14:paraId="3724A40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Genitourinary practice (n = 1)</w:t>
            </w:r>
          </w:p>
        </w:tc>
      </w:tr>
      <w:tr w:rsidR="00F53CB4" w:rsidRPr="006A1EC7" w14:paraId="2C1FBADC"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3F50F298" w14:textId="77777777" w:rsidR="00F53CB4" w:rsidRPr="006A1EC7" w:rsidRDefault="00F53CB4" w:rsidP="00AC2435">
            <w:pPr>
              <w:rPr>
                <w:sz w:val="18"/>
                <w:szCs w:val="18"/>
              </w:rPr>
            </w:pPr>
            <w:r w:rsidRPr="006A1EC7">
              <w:rPr>
                <w:sz w:val="18"/>
                <w:szCs w:val="18"/>
              </w:rPr>
              <w:t>Radiographer</w:t>
            </w:r>
          </w:p>
        </w:tc>
        <w:tc>
          <w:tcPr>
            <w:tcW w:w="2688" w:type="dxa"/>
          </w:tcPr>
          <w:p w14:paraId="1F778F0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 (1%)</w:t>
            </w:r>
          </w:p>
        </w:tc>
        <w:tc>
          <w:tcPr>
            <w:tcW w:w="3205" w:type="dxa"/>
            <w:vMerge w:val="restart"/>
          </w:tcPr>
          <w:p w14:paraId="48B6E94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p>
        </w:tc>
      </w:tr>
      <w:tr w:rsidR="00F53CB4" w:rsidRPr="006A1EC7" w14:paraId="0D9294E6" w14:textId="77777777" w:rsidTr="00AC2435">
        <w:tc>
          <w:tcPr>
            <w:cnfStyle w:val="001000000000" w:firstRow="0" w:lastRow="0" w:firstColumn="1" w:lastColumn="0" w:oddVBand="0" w:evenVBand="0" w:oddHBand="0" w:evenHBand="0" w:firstRowFirstColumn="0" w:firstRowLastColumn="0" w:lastRowFirstColumn="0" w:lastRowLastColumn="0"/>
            <w:tcW w:w="3117" w:type="dxa"/>
          </w:tcPr>
          <w:p w14:paraId="585045A3" w14:textId="77777777" w:rsidR="00F53CB4" w:rsidRPr="006A1EC7" w:rsidRDefault="00F53CB4" w:rsidP="00AC2435">
            <w:r w:rsidRPr="006A1EC7">
              <w:t>Senior Physiotherapist</w:t>
            </w:r>
          </w:p>
        </w:tc>
        <w:tc>
          <w:tcPr>
            <w:tcW w:w="2688" w:type="dxa"/>
          </w:tcPr>
          <w:p w14:paraId="1A8C758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 (1%)</w:t>
            </w:r>
          </w:p>
        </w:tc>
        <w:tc>
          <w:tcPr>
            <w:tcW w:w="3205" w:type="dxa"/>
            <w:vMerge/>
          </w:tcPr>
          <w:p w14:paraId="19848FE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p>
        </w:tc>
      </w:tr>
      <w:tr w:rsidR="00F53CB4" w:rsidRPr="006A1EC7" w14:paraId="2533FE51"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4B67038F" w14:textId="77777777" w:rsidR="00F53CB4" w:rsidRPr="006A1EC7" w:rsidRDefault="00F53CB4" w:rsidP="00AC2435">
            <w:r w:rsidRPr="006A1EC7">
              <w:t>University lecturer with clinical background in nursing</w:t>
            </w:r>
          </w:p>
        </w:tc>
        <w:tc>
          <w:tcPr>
            <w:tcW w:w="2688" w:type="dxa"/>
          </w:tcPr>
          <w:p w14:paraId="4A00742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 (1%)</w:t>
            </w:r>
          </w:p>
        </w:tc>
        <w:tc>
          <w:tcPr>
            <w:tcW w:w="3205" w:type="dxa"/>
            <w:vMerge/>
          </w:tcPr>
          <w:p w14:paraId="0E74783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p>
        </w:tc>
      </w:tr>
      <w:tr w:rsidR="00F53CB4" w:rsidRPr="006A1EC7" w14:paraId="6FEC55FD" w14:textId="77777777" w:rsidTr="00AC2435">
        <w:tc>
          <w:tcPr>
            <w:cnfStyle w:val="001000000000" w:firstRow="0" w:lastRow="0" w:firstColumn="1" w:lastColumn="0" w:oddVBand="0" w:evenVBand="0" w:oddHBand="0" w:evenHBand="0" w:firstRowFirstColumn="0" w:firstRowLastColumn="0" w:lastRowFirstColumn="0" w:lastRowLastColumn="0"/>
            <w:tcW w:w="3117" w:type="dxa"/>
          </w:tcPr>
          <w:p w14:paraId="56B02F55" w14:textId="77777777" w:rsidR="00F53CB4" w:rsidRPr="006A1EC7" w:rsidRDefault="00F53CB4" w:rsidP="00AC2435">
            <w:r w:rsidRPr="006A1EC7">
              <w:t>Staff nurse</w:t>
            </w:r>
          </w:p>
        </w:tc>
        <w:tc>
          <w:tcPr>
            <w:tcW w:w="2688" w:type="dxa"/>
          </w:tcPr>
          <w:p w14:paraId="4014BBC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 (1%)</w:t>
            </w:r>
          </w:p>
        </w:tc>
        <w:tc>
          <w:tcPr>
            <w:tcW w:w="3205" w:type="dxa"/>
            <w:vMerge/>
          </w:tcPr>
          <w:p w14:paraId="76748A5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p>
        </w:tc>
      </w:tr>
      <w:tr w:rsidR="00F53CB4" w:rsidRPr="006A1EC7" w14:paraId="57BD0ABC"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58ABCD36" w14:textId="77777777" w:rsidR="00F53CB4" w:rsidRPr="006A1EC7" w:rsidRDefault="00F53CB4" w:rsidP="00AC2435">
            <w:r w:rsidRPr="006A1EC7">
              <w:t>Paramedic</w:t>
            </w:r>
          </w:p>
        </w:tc>
        <w:tc>
          <w:tcPr>
            <w:tcW w:w="2688" w:type="dxa"/>
          </w:tcPr>
          <w:p w14:paraId="51EC65A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 (1%)</w:t>
            </w:r>
          </w:p>
        </w:tc>
        <w:tc>
          <w:tcPr>
            <w:tcW w:w="3205" w:type="dxa"/>
            <w:vMerge/>
          </w:tcPr>
          <w:p w14:paraId="7504E47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p>
        </w:tc>
      </w:tr>
      <w:tr w:rsidR="00F53CB4" w:rsidRPr="006A1EC7" w14:paraId="0B4DC411" w14:textId="77777777" w:rsidTr="00AC2435">
        <w:tc>
          <w:tcPr>
            <w:cnfStyle w:val="001000000000" w:firstRow="0" w:lastRow="0" w:firstColumn="1" w:lastColumn="0" w:oddVBand="0" w:evenVBand="0" w:oddHBand="0" w:evenHBand="0" w:firstRowFirstColumn="0" w:firstRowLastColumn="0" w:lastRowFirstColumn="0" w:lastRowLastColumn="0"/>
            <w:tcW w:w="3117" w:type="dxa"/>
          </w:tcPr>
          <w:p w14:paraId="0A51AAFD" w14:textId="77777777" w:rsidR="00F53CB4" w:rsidRPr="006A1EC7" w:rsidRDefault="00F53CB4" w:rsidP="00AC2435">
            <w:r w:rsidRPr="006A1EC7">
              <w:lastRenderedPageBreak/>
              <w:t>Genetic Counsellor (previously Health Visitor)</w:t>
            </w:r>
          </w:p>
        </w:tc>
        <w:tc>
          <w:tcPr>
            <w:tcW w:w="2688" w:type="dxa"/>
          </w:tcPr>
          <w:p w14:paraId="7A19537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 (1%)</w:t>
            </w:r>
          </w:p>
        </w:tc>
        <w:tc>
          <w:tcPr>
            <w:tcW w:w="3205" w:type="dxa"/>
            <w:vMerge/>
          </w:tcPr>
          <w:p w14:paraId="38A41F3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p>
        </w:tc>
      </w:tr>
    </w:tbl>
    <w:p w14:paraId="4167802A" w14:textId="77777777" w:rsidR="00F53CB4" w:rsidRPr="006A1EC7" w:rsidRDefault="00F53CB4" w:rsidP="00F53CB4"/>
    <w:p w14:paraId="3AACA9BE" w14:textId="77777777" w:rsidR="00F53CB4" w:rsidRPr="006A1EC7" w:rsidRDefault="00F53CB4" w:rsidP="00F53CB4">
      <w:pPr>
        <w:pStyle w:val="Caption"/>
        <w:keepNext/>
        <w:rPr>
          <w:sz w:val="24"/>
        </w:rPr>
      </w:pPr>
      <w:bookmarkStart w:id="242" w:name="_Toc39270377"/>
      <w:bookmarkStart w:id="243" w:name="_Toc40173076"/>
      <w:r w:rsidRPr="006A1EC7">
        <w:rPr>
          <w:sz w:val="24"/>
        </w:rPr>
        <w:t xml:space="preserve">Graphic </w:t>
      </w:r>
      <w:r w:rsidRPr="006A1EC7">
        <w:rPr>
          <w:sz w:val="24"/>
        </w:rPr>
        <w:fldChar w:fldCharType="begin"/>
      </w:r>
      <w:r w:rsidRPr="006A1EC7">
        <w:rPr>
          <w:sz w:val="24"/>
        </w:rPr>
        <w:instrText xml:space="preserve"> SEQ Graphic \* ARABIC </w:instrText>
      </w:r>
      <w:r w:rsidRPr="006A1EC7">
        <w:rPr>
          <w:sz w:val="24"/>
        </w:rPr>
        <w:fldChar w:fldCharType="separate"/>
      </w:r>
      <w:r w:rsidRPr="006A1EC7">
        <w:rPr>
          <w:noProof/>
          <w:sz w:val="24"/>
        </w:rPr>
        <w:t>20</w:t>
      </w:r>
      <w:r w:rsidRPr="006A1EC7">
        <w:rPr>
          <w:sz w:val="24"/>
        </w:rPr>
        <w:fldChar w:fldCharType="end"/>
      </w:r>
      <w:r w:rsidRPr="006A1EC7">
        <w:rPr>
          <w:sz w:val="24"/>
        </w:rPr>
        <w:t>: Participant Overview in the form of a pie chart</w:t>
      </w:r>
      <w:bookmarkEnd w:id="242"/>
      <w:bookmarkEnd w:id="243"/>
    </w:p>
    <w:p w14:paraId="0CF8B9BD" w14:textId="77777777" w:rsidR="00F53CB4" w:rsidRPr="006A1EC7" w:rsidRDefault="00F53CB4" w:rsidP="00F53CB4">
      <w:r w:rsidRPr="006A1EC7">
        <w:rPr>
          <w:noProof/>
          <w:lang w:eastAsia="en-GB"/>
        </w:rPr>
        <w:drawing>
          <wp:inline distT="0" distB="0" distL="0" distR="0" wp14:anchorId="5B0F4335" wp14:editId="73922FF4">
            <wp:extent cx="5727700" cy="3818467"/>
            <wp:effectExtent l="0" t="0" r="0" b="4445"/>
            <wp:docPr id="23" name="Picture 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ta-chart-3.jpeg"/>
                    <pic:cNvPicPr/>
                  </pic:nvPicPr>
                  <pic:blipFill>
                    <a:blip r:embed="rId33">
                      <a:extLst>
                        <a:ext uri="{28A0092B-C50C-407E-A947-70E740481C1C}">
                          <a14:useLocalDpi xmlns:a14="http://schemas.microsoft.com/office/drawing/2010/main" val="0"/>
                        </a:ext>
                      </a:extLst>
                    </a:blip>
                    <a:stretch>
                      <a:fillRect/>
                    </a:stretch>
                  </pic:blipFill>
                  <pic:spPr>
                    <a:xfrm>
                      <a:off x="0" y="0"/>
                      <a:ext cx="5727700" cy="3818467"/>
                    </a:xfrm>
                    <a:prstGeom prst="rect">
                      <a:avLst/>
                    </a:prstGeom>
                  </pic:spPr>
                </pic:pic>
              </a:graphicData>
            </a:graphic>
          </wp:inline>
        </w:drawing>
      </w:r>
    </w:p>
    <w:p w14:paraId="3CFA47B9" w14:textId="77777777" w:rsidR="00F53CB4" w:rsidRPr="006A1EC7" w:rsidRDefault="00F53CB4" w:rsidP="00F53CB4">
      <w:pPr>
        <w:spacing w:line="360" w:lineRule="auto"/>
        <w:rPr>
          <w:color w:val="FF0000"/>
        </w:rPr>
      </w:pPr>
    </w:p>
    <w:p w14:paraId="689E69A8" w14:textId="77777777" w:rsidR="00F53CB4" w:rsidRPr="006A1EC7" w:rsidRDefault="00F53CB4" w:rsidP="00F53CB4">
      <w:pPr>
        <w:pStyle w:val="Heading4"/>
        <w:rPr>
          <w:rFonts w:ascii="Times New Roman" w:hAnsi="Times New Roman" w:cs="Times New Roman"/>
        </w:rPr>
      </w:pPr>
      <w:r w:rsidRPr="006A1EC7">
        <w:rPr>
          <w:rFonts w:ascii="Times New Roman" w:hAnsi="Times New Roman" w:cs="Times New Roman"/>
        </w:rPr>
        <w:t>Descriptive statistics: means, medians and modes</w:t>
      </w:r>
    </w:p>
    <w:p w14:paraId="20484FFD" w14:textId="77777777" w:rsidR="00F53CB4" w:rsidRPr="006A1EC7" w:rsidRDefault="00F53CB4" w:rsidP="00F53CB4">
      <w:pPr>
        <w:spacing w:line="360" w:lineRule="auto"/>
      </w:pPr>
    </w:p>
    <w:p w14:paraId="11315D5A" w14:textId="77777777" w:rsidR="00F53CB4" w:rsidRPr="006A1EC7" w:rsidRDefault="00F53CB4" w:rsidP="00F53CB4">
      <w:pPr>
        <w:spacing w:line="360" w:lineRule="auto"/>
        <w:sectPr w:rsidR="00F53CB4" w:rsidRPr="006A1EC7" w:rsidSect="00AC2435">
          <w:type w:val="nextColumn"/>
          <w:pgSz w:w="11900" w:h="16840"/>
          <w:pgMar w:top="1440" w:right="1701" w:bottom="1440" w:left="1701" w:header="709" w:footer="709" w:gutter="0"/>
          <w:cols w:space="708"/>
          <w:docGrid w:linePitch="360"/>
        </w:sectPr>
      </w:pPr>
      <w:r w:rsidRPr="006A1EC7">
        <w:t xml:space="preserve">Firstly, means, standard deviations, medians and modes were calculated for every case study, across every domain and time point (Time 1 and 2, Tables 13 - 17). The analyses revealed that domain scores were relatively stable over time, with scores (medians, mean, modes) being relatively close together. </w:t>
      </w:r>
    </w:p>
    <w:p w14:paraId="2DD70144" w14:textId="77777777" w:rsidR="00F53CB4" w:rsidRPr="006A1EC7" w:rsidRDefault="00F53CB4" w:rsidP="00F53CB4">
      <w:pPr>
        <w:pStyle w:val="Caption"/>
        <w:keepNext/>
        <w:rPr>
          <w:sz w:val="24"/>
          <w:szCs w:val="24"/>
        </w:rPr>
      </w:pPr>
      <w:bookmarkStart w:id="244" w:name="_Toc40173039"/>
      <w:r w:rsidRPr="006A1EC7">
        <w:rPr>
          <w:sz w:val="24"/>
          <w:szCs w:val="24"/>
        </w:rPr>
        <w:lastRenderedPageBreak/>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14</w:t>
      </w:r>
      <w:r w:rsidRPr="006A1EC7">
        <w:rPr>
          <w:sz w:val="24"/>
          <w:szCs w:val="24"/>
        </w:rPr>
        <w:fldChar w:fldCharType="end"/>
      </w:r>
      <w:r w:rsidRPr="006A1EC7">
        <w:rPr>
          <w:sz w:val="24"/>
          <w:szCs w:val="24"/>
        </w:rPr>
        <w:t>: Descriptive statistics for Case Study 1 (Time 1-Time 2)</w:t>
      </w:r>
      <w:bookmarkEnd w:id="244"/>
    </w:p>
    <w:tbl>
      <w:tblPr>
        <w:tblStyle w:val="PlainTable4"/>
        <w:tblW w:w="0" w:type="auto"/>
        <w:tblLook w:val="04A0" w:firstRow="1" w:lastRow="0" w:firstColumn="1" w:lastColumn="0" w:noHBand="0" w:noVBand="1"/>
      </w:tblPr>
      <w:tblGrid>
        <w:gridCol w:w="984"/>
        <w:gridCol w:w="1178"/>
        <w:gridCol w:w="1198"/>
        <w:gridCol w:w="1004"/>
        <w:gridCol w:w="1137"/>
        <w:gridCol w:w="1199"/>
        <w:gridCol w:w="1003"/>
        <w:gridCol w:w="1118"/>
        <w:gridCol w:w="1523"/>
        <w:gridCol w:w="1457"/>
        <w:gridCol w:w="785"/>
        <w:gridCol w:w="852"/>
      </w:tblGrid>
      <w:tr w:rsidR="00F53CB4" w:rsidRPr="006A1EC7" w14:paraId="4734671C"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850B1" w14:textId="77777777" w:rsidR="00F53CB4" w:rsidRPr="006A1EC7" w:rsidRDefault="00F53CB4" w:rsidP="00AC2435">
            <w:r w:rsidRPr="006A1EC7">
              <w:t>Joshua</w:t>
            </w:r>
          </w:p>
        </w:tc>
        <w:tc>
          <w:tcPr>
            <w:tcW w:w="0" w:type="auto"/>
          </w:tcPr>
          <w:p w14:paraId="531C589D"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p>
        </w:tc>
        <w:tc>
          <w:tcPr>
            <w:tcW w:w="0" w:type="auto"/>
          </w:tcPr>
          <w:p w14:paraId="01804F5D"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Total</w:t>
            </w:r>
          </w:p>
        </w:tc>
        <w:tc>
          <w:tcPr>
            <w:tcW w:w="0" w:type="auto"/>
          </w:tcPr>
          <w:p w14:paraId="32714B79"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Face</w:t>
            </w:r>
          </w:p>
        </w:tc>
        <w:tc>
          <w:tcPr>
            <w:tcW w:w="0" w:type="auto"/>
          </w:tcPr>
          <w:p w14:paraId="3F692CA3"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Epilepsy</w:t>
            </w:r>
          </w:p>
        </w:tc>
        <w:tc>
          <w:tcPr>
            <w:tcW w:w="0" w:type="auto"/>
          </w:tcPr>
          <w:p w14:paraId="40E239BA"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Gastro*</w:t>
            </w:r>
          </w:p>
        </w:tc>
        <w:tc>
          <w:tcPr>
            <w:tcW w:w="0" w:type="auto"/>
          </w:tcPr>
          <w:p w14:paraId="41CD61E6"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Cardio</w:t>
            </w:r>
          </w:p>
        </w:tc>
        <w:tc>
          <w:tcPr>
            <w:tcW w:w="0" w:type="auto"/>
          </w:tcPr>
          <w:p w14:paraId="7F317969"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CNS</w:t>
            </w:r>
          </w:p>
        </w:tc>
        <w:tc>
          <w:tcPr>
            <w:tcW w:w="0" w:type="auto"/>
          </w:tcPr>
          <w:p w14:paraId="280BAE94"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Immunology</w:t>
            </w:r>
          </w:p>
        </w:tc>
        <w:tc>
          <w:tcPr>
            <w:tcW w:w="0" w:type="auto"/>
          </w:tcPr>
          <w:p w14:paraId="633519F0"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Functioning</w:t>
            </w:r>
          </w:p>
        </w:tc>
        <w:tc>
          <w:tcPr>
            <w:tcW w:w="0" w:type="auto"/>
          </w:tcPr>
          <w:p w14:paraId="0730F28B"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Sleep</w:t>
            </w:r>
          </w:p>
        </w:tc>
        <w:tc>
          <w:tcPr>
            <w:tcW w:w="0" w:type="auto"/>
          </w:tcPr>
          <w:p w14:paraId="7BD5769D"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Care</w:t>
            </w:r>
          </w:p>
        </w:tc>
      </w:tr>
      <w:tr w:rsidR="00F53CB4" w:rsidRPr="006A1EC7" w14:paraId="792485D4"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648399" w14:textId="77777777" w:rsidR="00F53CB4" w:rsidRPr="006A1EC7" w:rsidRDefault="00F53CB4" w:rsidP="00AC2435">
            <w:r w:rsidRPr="006A1EC7">
              <w:t>Time 1</w:t>
            </w:r>
          </w:p>
          <w:p w14:paraId="6B196A08" w14:textId="77777777" w:rsidR="00F53CB4" w:rsidRPr="006A1EC7" w:rsidRDefault="00F53CB4" w:rsidP="00AC2435">
            <w:r w:rsidRPr="006A1EC7">
              <w:t>(n = 31)</w:t>
            </w:r>
          </w:p>
        </w:tc>
        <w:tc>
          <w:tcPr>
            <w:tcW w:w="0" w:type="auto"/>
          </w:tcPr>
          <w:p w14:paraId="4905B2D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0" w:type="auto"/>
          </w:tcPr>
          <w:p w14:paraId="7AAB88C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58.45 (3.88)</w:t>
            </w:r>
          </w:p>
        </w:tc>
        <w:tc>
          <w:tcPr>
            <w:tcW w:w="0" w:type="auto"/>
          </w:tcPr>
          <w:p w14:paraId="21ABE30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3.32 (.77)</w:t>
            </w:r>
          </w:p>
        </w:tc>
        <w:tc>
          <w:tcPr>
            <w:tcW w:w="0" w:type="auto"/>
          </w:tcPr>
          <w:p w14:paraId="5A30A8F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12.6 (.70)</w:t>
            </w:r>
          </w:p>
        </w:tc>
        <w:tc>
          <w:tcPr>
            <w:tcW w:w="0" w:type="auto"/>
          </w:tcPr>
          <w:p w14:paraId="17CE81B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17.5 (1.32)</w:t>
            </w:r>
          </w:p>
        </w:tc>
        <w:tc>
          <w:tcPr>
            <w:tcW w:w="0" w:type="auto"/>
          </w:tcPr>
          <w:p w14:paraId="6852301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.61 (.75)</w:t>
            </w:r>
          </w:p>
        </w:tc>
        <w:tc>
          <w:tcPr>
            <w:tcW w:w="0" w:type="auto"/>
          </w:tcPr>
          <w:p w14:paraId="340C364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11.7 (1.32)</w:t>
            </w:r>
          </w:p>
        </w:tc>
        <w:tc>
          <w:tcPr>
            <w:tcW w:w="0" w:type="auto"/>
          </w:tcPr>
          <w:p w14:paraId="538A292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 (.51)</w:t>
            </w:r>
          </w:p>
        </w:tc>
        <w:tc>
          <w:tcPr>
            <w:tcW w:w="0" w:type="auto"/>
          </w:tcPr>
          <w:p w14:paraId="765A0A0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10.8 (1.20)</w:t>
            </w:r>
          </w:p>
        </w:tc>
        <w:tc>
          <w:tcPr>
            <w:tcW w:w="0" w:type="auto"/>
          </w:tcPr>
          <w:p w14:paraId="773F52E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 (.0)</w:t>
            </w:r>
          </w:p>
        </w:tc>
        <w:tc>
          <w:tcPr>
            <w:tcW w:w="0" w:type="auto"/>
          </w:tcPr>
          <w:p w14:paraId="535B85B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1.7 (.4)</w:t>
            </w:r>
          </w:p>
        </w:tc>
      </w:tr>
      <w:tr w:rsidR="00F53CB4" w:rsidRPr="006A1EC7" w14:paraId="434B5FF0" w14:textId="77777777" w:rsidTr="00AC2435">
        <w:tc>
          <w:tcPr>
            <w:cnfStyle w:val="001000000000" w:firstRow="0" w:lastRow="0" w:firstColumn="1" w:lastColumn="0" w:oddVBand="0" w:evenVBand="0" w:oddHBand="0" w:evenHBand="0" w:firstRowFirstColumn="0" w:firstRowLastColumn="0" w:lastRowFirstColumn="0" w:lastRowLastColumn="0"/>
            <w:tcW w:w="0" w:type="auto"/>
          </w:tcPr>
          <w:p w14:paraId="092F0E81" w14:textId="77777777" w:rsidR="00F53CB4" w:rsidRPr="006A1EC7" w:rsidRDefault="00F53CB4" w:rsidP="00AC2435"/>
        </w:tc>
        <w:tc>
          <w:tcPr>
            <w:tcW w:w="0" w:type="auto"/>
          </w:tcPr>
          <w:p w14:paraId="6D4C215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0" w:type="auto"/>
          </w:tcPr>
          <w:p w14:paraId="1CA7BC1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59.0</w:t>
            </w:r>
          </w:p>
        </w:tc>
        <w:tc>
          <w:tcPr>
            <w:tcW w:w="0" w:type="auto"/>
          </w:tcPr>
          <w:p w14:paraId="69E825F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3.0</w:t>
            </w:r>
          </w:p>
        </w:tc>
        <w:tc>
          <w:tcPr>
            <w:tcW w:w="0" w:type="auto"/>
          </w:tcPr>
          <w:p w14:paraId="0A05132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13.0</w:t>
            </w:r>
          </w:p>
        </w:tc>
        <w:tc>
          <w:tcPr>
            <w:tcW w:w="0" w:type="auto"/>
          </w:tcPr>
          <w:p w14:paraId="7FBC8F4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18.0</w:t>
            </w:r>
          </w:p>
        </w:tc>
        <w:tc>
          <w:tcPr>
            <w:tcW w:w="0" w:type="auto"/>
          </w:tcPr>
          <w:p w14:paraId="7FD1043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0" w:type="auto"/>
          </w:tcPr>
          <w:p w14:paraId="109B63A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12.0</w:t>
            </w:r>
          </w:p>
        </w:tc>
        <w:tc>
          <w:tcPr>
            <w:tcW w:w="0" w:type="auto"/>
          </w:tcPr>
          <w:p w14:paraId="344B0E5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0" w:type="auto"/>
          </w:tcPr>
          <w:p w14:paraId="3E72893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11.0</w:t>
            </w:r>
          </w:p>
        </w:tc>
        <w:tc>
          <w:tcPr>
            <w:tcW w:w="0" w:type="auto"/>
          </w:tcPr>
          <w:p w14:paraId="4B0783E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0" w:type="auto"/>
          </w:tcPr>
          <w:p w14:paraId="7A5C559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2.0</w:t>
            </w:r>
          </w:p>
        </w:tc>
      </w:tr>
      <w:tr w:rsidR="00F53CB4" w:rsidRPr="006A1EC7" w14:paraId="219F6AB2"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AC3FF2" w14:textId="77777777" w:rsidR="00F53CB4" w:rsidRPr="006A1EC7" w:rsidRDefault="00F53CB4" w:rsidP="00AC2435"/>
        </w:tc>
        <w:tc>
          <w:tcPr>
            <w:tcW w:w="0" w:type="auto"/>
          </w:tcPr>
          <w:p w14:paraId="141E04E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0" w:type="auto"/>
          </w:tcPr>
          <w:p w14:paraId="5EADD6A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60</w:t>
            </w:r>
          </w:p>
        </w:tc>
        <w:tc>
          <w:tcPr>
            <w:tcW w:w="0" w:type="auto"/>
          </w:tcPr>
          <w:p w14:paraId="4E11616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0" w:type="auto"/>
          </w:tcPr>
          <w:p w14:paraId="0BD2428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13.0</w:t>
            </w:r>
          </w:p>
        </w:tc>
        <w:tc>
          <w:tcPr>
            <w:tcW w:w="0" w:type="auto"/>
          </w:tcPr>
          <w:p w14:paraId="1C4ED89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18.0</w:t>
            </w:r>
          </w:p>
        </w:tc>
        <w:tc>
          <w:tcPr>
            <w:tcW w:w="0" w:type="auto"/>
          </w:tcPr>
          <w:p w14:paraId="17D6C38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0" w:type="auto"/>
          </w:tcPr>
          <w:p w14:paraId="2518339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12</w:t>
            </w:r>
          </w:p>
        </w:tc>
        <w:tc>
          <w:tcPr>
            <w:tcW w:w="0" w:type="auto"/>
          </w:tcPr>
          <w:p w14:paraId="2C7FF30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0" w:type="auto"/>
          </w:tcPr>
          <w:p w14:paraId="439A74A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w:t>
            </w:r>
          </w:p>
        </w:tc>
        <w:tc>
          <w:tcPr>
            <w:tcW w:w="0" w:type="auto"/>
          </w:tcPr>
          <w:p w14:paraId="177B391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0" w:type="auto"/>
          </w:tcPr>
          <w:p w14:paraId="6D48EC5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w:t>
            </w:r>
          </w:p>
        </w:tc>
      </w:tr>
      <w:tr w:rsidR="00F53CB4" w:rsidRPr="006A1EC7" w14:paraId="6A245673" w14:textId="77777777" w:rsidTr="00AC2435">
        <w:tc>
          <w:tcPr>
            <w:cnfStyle w:val="001000000000" w:firstRow="0" w:lastRow="0" w:firstColumn="1" w:lastColumn="0" w:oddVBand="0" w:evenVBand="0" w:oddHBand="0" w:evenHBand="0" w:firstRowFirstColumn="0" w:firstRowLastColumn="0" w:lastRowFirstColumn="0" w:lastRowLastColumn="0"/>
            <w:tcW w:w="0" w:type="auto"/>
          </w:tcPr>
          <w:p w14:paraId="7BCD0534" w14:textId="77777777" w:rsidR="00F53CB4" w:rsidRPr="006A1EC7" w:rsidRDefault="00F53CB4" w:rsidP="00AC2435"/>
        </w:tc>
        <w:tc>
          <w:tcPr>
            <w:tcW w:w="0" w:type="auto"/>
          </w:tcPr>
          <w:p w14:paraId="034D943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0" w:type="auto"/>
          </w:tcPr>
          <w:p w14:paraId="523C441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21</w:t>
            </w:r>
          </w:p>
        </w:tc>
        <w:tc>
          <w:tcPr>
            <w:tcW w:w="0" w:type="auto"/>
          </w:tcPr>
          <w:p w14:paraId="6D0E24F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0" w:type="auto"/>
          </w:tcPr>
          <w:p w14:paraId="52AC0D9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0" w:type="auto"/>
          </w:tcPr>
          <w:p w14:paraId="2D91294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7</w:t>
            </w:r>
          </w:p>
        </w:tc>
        <w:tc>
          <w:tcPr>
            <w:tcW w:w="0" w:type="auto"/>
          </w:tcPr>
          <w:p w14:paraId="34E8513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0" w:type="auto"/>
          </w:tcPr>
          <w:p w14:paraId="4F80AA6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6</w:t>
            </w:r>
          </w:p>
        </w:tc>
        <w:tc>
          <w:tcPr>
            <w:tcW w:w="0" w:type="auto"/>
          </w:tcPr>
          <w:p w14:paraId="16173D0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0" w:type="auto"/>
          </w:tcPr>
          <w:p w14:paraId="148D84D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7</w:t>
            </w:r>
          </w:p>
        </w:tc>
        <w:tc>
          <w:tcPr>
            <w:tcW w:w="0" w:type="auto"/>
          </w:tcPr>
          <w:p w14:paraId="142F297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0" w:type="auto"/>
          </w:tcPr>
          <w:p w14:paraId="70578F6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r>
      <w:tr w:rsidR="00F53CB4" w:rsidRPr="006A1EC7" w14:paraId="7C4B95D6"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156E4B" w14:textId="77777777" w:rsidR="00F53CB4" w:rsidRPr="006A1EC7" w:rsidRDefault="00F53CB4" w:rsidP="00AC2435">
            <w:r w:rsidRPr="006A1EC7">
              <w:t>Time 2</w:t>
            </w:r>
          </w:p>
          <w:p w14:paraId="4434F808" w14:textId="77777777" w:rsidR="00F53CB4" w:rsidRPr="006A1EC7" w:rsidRDefault="00F53CB4" w:rsidP="00AC2435">
            <w:r w:rsidRPr="006A1EC7">
              <w:t>(n = 9)</w:t>
            </w:r>
          </w:p>
        </w:tc>
        <w:tc>
          <w:tcPr>
            <w:tcW w:w="0" w:type="auto"/>
          </w:tcPr>
          <w:p w14:paraId="3F1C1B0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0" w:type="auto"/>
          </w:tcPr>
          <w:p w14:paraId="3444D5D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58.63</w:t>
            </w:r>
          </w:p>
          <w:p w14:paraId="4FCDA40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(1.77)</w:t>
            </w:r>
          </w:p>
        </w:tc>
        <w:tc>
          <w:tcPr>
            <w:tcW w:w="0" w:type="auto"/>
          </w:tcPr>
          <w:p w14:paraId="1F1B70F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3.33 (.50)</w:t>
            </w:r>
          </w:p>
        </w:tc>
        <w:tc>
          <w:tcPr>
            <w:tcW w:w="0" w:type="auto"/>
          </w:tcPr>
          <w:p w14:paraId="7AC9C9A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12.6 (.52)</w:t>
            </w:r>
          </w:p>
        </w:tc>
        <w:tc>
          <w:tcPr>
            <w:tcW w:w="0" w:type="auto"/>
          </w:tcPr>
          <w:p w14:paraId="2A4A43F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17.1 (1.36)</w:t>
            </w:r>
          </w:p>
        </w:tc>
        <w:tc>
          <w:tcPr>
            <w:tcW w:w="0" w:type="auto"/>
          </w:tcPr>
          <w:p w14:paraId="7E1F3AD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.33 (.50)</w:t>
            </w:r>
          </w:p>
        </w:tc>
        <w:tc>
          <w:tcPr>
            <w:tcW w:w="0" w:type="auto"/>
          </w:tcPr>
          <w:p w14:paraId="0F20521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12.1 (1.12)</w:t>
            </w:r>
          </w:p>
        </w:tc>
        <w:tc>
          <w:tcPr>
            <w:tcW w:w="0" w:type="auto"/>
          </w:tcPr>
          <w:p w14:paraId="65F956F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 (.00)</w:t>
            </w:r>
          </w:p>
        </w:tc>
        <w:tc>
          <w:tcPr>
            <w:tcW w:w="0" w:type="auto"/>
          </w:tcPr>
          <w:p w14:paraId="298A97E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11.0 (.00)</w:t>
            </w:r>
          </w:p>
        </w:tc>
        <w:tc>
          <w:tcPr>
            <w:tcW w:w="0" w:type="auto"/>
          </w:tcPr>
          <w:p w14:paraId="44F14B2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 (.0)</w:t>
            </w:r>
          </w:p>
        </w:tc>
        <w:tc>
          <w:tcPr>
            <w:tcW w:w="0" w:type="auto"/>
          </w:tcPr>
          <w:p w14:paraId="77DD351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1.7 (.5)</w:t>
            </w:r>
          </w:p>
        </w:tc>
      </w:tr>
      <w:tr w:rsidR="00F53CB4" w:rsidRPr="006A1EC7" w14:paraId="59484A05" w14:textId="77777777" w:rsidTr="00AC2435">
        <w:tc>
          <w:tcPr>
            <w:cnfStyle w:val="001000000000" w:firstRow="0" w:lastRow="0" w:firstColumn="1" w:lastColumn="0" w:oddVBand="0" w:evenVBand="0" w:oddHBand="0" w:evenHBand="0" w:firstRowFirstColumn="0" w:firstRowLastColumn="0" w:lastRowFirstColumn="0" w:lastRowLastColumn="0"/>
            <w:tcW w:w="0" w:type="auto"/>
          </w:tcPr>
          <w:p w14:paraId="7AC04021" w14:textId="77777777" w:rsidR="00F53CB4" w:rsidRPr="006A1EC7" w:rsidRDefault="00F53CB4" w:rsidP="00AC2435"/>
        </w:tc>
        <w:tc>
          <w:tcPr>
            <w:tcW w:w="0" w:type="auto"/>
          </w:tcPr>
          <w:p w14:paraId="3C6928E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0" w:type="auto"/>
          </w:tcPr>
          <w:p w14:paraId="2952E39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59.0</w:t>
            </w:r>
          </w:p>
        </w:tc>
        <w:tc>
          <w:tcPr>
            <w:tcW w:w="0" w:type="auto"/>
          </w:tcPr>
          <w:p w14:paraId="6BF1B7C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3.0</w:t>
            </w:r>
          </w:p>
        </w:tc>
        <w:tc>
          <w:tcPr>
            <w:tcW w:w="0" w:type="auto"/>
          </w:tcPr>
          <w:p w14:paraId="33240F4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13.0</w:t>
            </w:r>
          </w:p>
        </w:tc>
        <w:tc>
          <w:tcPr>
            <w:tcW w:w="0" w:type="auto"/>
          </w:tcPr>
          <w:p w14:paraId="096BFE3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18.0</w:t>
            </w:r>
          </w:p>
        </w:tc>
        <w:tc>
          <w:tcPr>
            <w:tcW w:w="0" w:type="auto"/>
          </w:tcPr>
          <w:p w14:paraId="0F04B73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0" w:type="auto"/>
          </w:tcPr>
          <w:p w14:paraId="42F558A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12.0</w:t>
            </w:r>
          </w:p>
        </w:tc>
        <w:tc>
          <w:tcPr>
            <w:tcW w:w="0" w:type="auto"/>
          </w:tcPr>
          <w:p w14:paraId="5957B85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0" w:type="auto"/>
          </w:tcPr>
          <w:p w14:paraId="1546E29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11.0</w:t>
            </w:r>
          </w:p>
        </w:tc>
        <w:tc>
          <w:tcPr>
            <w:tcW w:w="0" w:type="auto"/>
          </w:tcPr>
          <w:p w14:paraId="5B700C5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0" w:type="auto"/>
          </w:tcPr>
          <w:p w14:paraId="7496D3C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2.0</w:t>
            </w:r>
          </w:p>
        </w:tc>
      </w:tr>
      <w:tr w:rsidR="00F53CB4" w:rsidRPr="006A1EC7" w14:paraId="4A3C7232"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4C870B" w14:textId="77777777" w:rsidR="00F53CB4" w:rsidRPr="006A1EC7" w:rsidRDefault="00F53CB4" w:rsidP="00AC2435"/>
        </w:tc>
        <w:tc>
          <w:tcPr>
            <w:tcW w:w="0" w:type="auto"/>
          </w:tcPr>
          <w:p w14:paraId="23E59A0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0" w:type="auto"/>
          </w:tcPr>
          <w:p w14:paraId="3A538B2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57</w:t>
            </w:r>
          </w:p>
        </w:tc>
        <w:tc>
          <w:tcPr>
            <w:tcW w:w="0" w:type="auto"/>
          </w:tcPr>
          <w:p w14:paraId="320E84B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0" w:type="auto"/>
          </w:tcPr>
          <w:p w14:paraId="7205BAF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13.0</w:t>
            </w:r>
          </w:p>
        </w:tc>
        <w:tc>
          <w:tcPr>
            <w:tcW w:w="0" w:type="auto"/>
          </w:tcPr>
          <w:p w14:paraId="60E1895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18.0</w:t>
            </w:r>
          </w:p>
        </w:tc>
        <w:tc>
          <w:tcPr>
            <w:tcW w:w="0" w:type="auto"/>
          </w:tcPr>
          <w:p w14:paraId="475DB34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0" w:type="auto"/>
          </w:tcPr>
          <w:p w14:paraId="70B3963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12</w:t>
            </w:r>
          </w:p>
        </w:tc>
        <w:tc>
          <w:tcPr>
            <w:tcW w:w="0" w:type="auto"/>
          </w:tcPr>
          <w:p w14:paraId="34978E2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0" w:type="auto"/>
          </w:tcPr>
          <w:p w14:paraId="35347E7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11.0</w:t>
            </w:r>
          </w:p>
        </w:tc>
        <w:tc>
          <w:tcPr>
            <w:tcW w:w="0" w:type="auto"/>
          </w:tcPr>
          <w:p w14:paraId="39E3E24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0" w:type="auto"/>
          </w:tcPr>
          <w:p w14:paraId="766CE28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w:t>
            </w:r>
          </w:p>
        </w:tc>
      </w:tr>
      <w:tr w:rsidR="00F53CB4" w:rsidRPr="006A1EC7" w14:paraId="0D7252EB" w14:textId="77777777" w:rsidTr="00AC2435">
        <w:tc>
          <w:tcPr>
            <w:cnfStyle w:val="001000000000" w:firstRow="0" w:lastRow="0" w:firstColumn="1" w:lastColumn="0" w:oddVBand="0" w:evenVBand="0" w:oddHBand="0" w:evenHBand="0" w:firstRowFirstColumn="0" w:firstRowLastColumn="0" w:lastRowFirstColumn="0" w:lastRowLastColumn="0"/>
            <w:tcW w:w="0" w:type="auto"/>
          </w:tcPr>
          <w:p w14:paraId="0BF5D7E3" w14:textId="77777777" w:rsidR="00F53CB4" w:rsidRPr="006A1EC7" w:rsidRDefault="00F53CB4" w:rsidP="00AC2435"/>
        </w:tc>
        <w:tc>
          <w:tcPr>
            <w:tcW w:w="0" w:type="auto"/>
          </w:tcPr>
          <w:p w14:paraId="7167CC4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0" w:type="auto"/>
          </w:tcPr>
          <w:p w14:paraId="361464B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0" w:type="auto"/>
          </w:tcPr>
          <w:p w14:paraId="476948E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0" w:type="auto"/>
          </w:tcPr>
          <w:p w14:paraId="2D1EA02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0" w:type="auto"/>
          </w:tcPr>
          <w:p w14:paraId="0AF2068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w:t>
            </w:r>
          </w:p>
        </w:tc>
        <w:tc>
          <w:tcPr>
            <w:tcW w:w="0" w:type="auto"/>
          </w:tcPr>
          <w:p w14:paraId="01F047A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0" w:type="auto"/>
          </w:tcPr>
          <w:p w14:paraId="79F97B6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w:t>
            </w:r>
          </w:p>
        </w:tc>
        <w:tc>
          <w:tcPr>
            <w:tcW w:w="0" w:type="auto"/>
          </w:tcPr>
          <w:p w14:paraId="72FFFEE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0" w:type="auto"/>
          </w:tcPr>
          <w:p w14:paraId="61E3B93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0" w:type="auto"/>
          </w:tcPr>
          <w:p w14:paraId="78455B3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0" w:type="auto"/>
          </w:tcPr>
          <w:p w14:paraId="17C8CD2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r>
    </w:tbl>
    <w:p w14:paraId="75E3B25F" w14:textId="77777777" w:rsidR="00F53CB4" w:rsidRPr="006A1EC7" w:rsidRDefault="00F53CB4" w:rsidP="00F53CB4"/>
    <w:p w14:paraId="3B3EDEC6" w14:textId="77777777" w:rsidR="00F53CB4" w:rsidRPr="006A1EC7" w:rsidRDefault="00F53CB4" w:rsidP="00F53CB4"/>
    <w:p w14:paraId="75F519EF" w14:textId="77777777" w:rsidR="00F53CB4" w:rsidRPr="006A1EC7" w:rsidRDefault="00F53CB4" w:rsidP="00F53CB4">
      <w:pPr>
        <w:pStyle w:val="Caption"/>
        <w:keepNext/>
        <w:rPr>
          <w:sz w:val="24"/>
          <w:szCs w:val="24"/>
        </w:rPr>
      </w:pPr>
      <w:bookmarkStart w:id="245" w:name="_Toc40173040"/>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15</w:t>
      </w:r>
      <w:r w:rsidRPr="006A1EC7">
        <w:rPr>
          <w:sz w:val="24"/>
          <w:szCs w:val="24"/>
        </w:rPr>
        <w:fldChar w:fldCharType="end"/>
      </w:r>
      <w:r w:rsidRPr="006A1EC7">
        <w:rPr>
          <w:sz w:val="24"/>
          <w:szCs w:val="24"/>
        </w:rPr>
        <w:t>: Descriptive statistics for Case Study 2 (Time 1-Time 2)</w:t>
      </w:r>
      <w:bookmarkEnd w:id="245"/>
    </w:p>
    <w:tbl>
      <w:tblPr>
        <w:tblStyle w:val="PlainTable4"/>
        <w:tblW w:w="0" w:type="auto"/>
        <w:tblLayout w:type="fixed"/>
        <w:tblLook w:val="04A0" w:firstRow="1" w:lastRow="0" w:firstColumn="1" w:lastColumn="0" w:noHBand="0" w:noVBand="1"/>
      </w:tblPr>
      <w:tblGrid>
        <w:gridCol w:w="1193"/>
        <w:gridCol w:w="1193"/>
        <w:gridCol w:w="1193"/>
        <w:gridCol w:w="1193"/>
        <w:gridCol w:w="1193"/>
        <w:gridCol w:w="1193"/>
        <w:gridCol w:w="1193"/>
        <w:gridCol w:w="1193"/>
        <w:gridCol w:w="1193"/>
        <w:gridCol w:w="1193"/>
        <w:gridCol w:w="1193"/>
        <w:gridCol w:w="1194"/>
      </w:tblGrid>
      <w:tr w:rsidR="00F53CB4" w:rsidRPr="006A1EC7" w14:paraId="17326840" w14:textId="77777777" w:rsidTr="00AC2435">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193" w:type="dxa"/>
          </w:tcPr>
          <w:p w14:paraId="56F0D504" w14:textId="77777777" w:rsidR="00F53CB4" w:rsidRPr="006A1EC7" w:rsidRDefault="00F53CB4" w:rsidP="00AC2435">
            <w:r w:rsidRPr="006A1EC7">
              <w:t>Bronagh</w:t>
            </w:r>
          </w:p>
        </w:tc>
        <w:tc>
          <w:tcPr>
            <w:tcW w:w="1193" w:type="dxa"/>
          </w:tcPr>
          <w:p w14:paraId="7028E992"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p>
        </w:tc>
        <w:tc>
          <w:tcPr>
            <w:tcW w:w="1193" w:type="dxa"/>
          </w:tcPr>
          <w:p w14:paraId="6C956E30"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Total</w:t>
            </w:r>
          </w:p>
        </w:tc>
        <w:tc>
          <w:tcPr>
            <w:tcW w:w="1193" w:type="dxa"/>
          </w:tcPr>
          <w:p w14:paraId="3BB113DC"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Face</w:t>
            </w:r>
          </w:p>
        </w:tc>
        <w:tc>
          <w:tcPr>
            <w:tcW w:w="1193" w:type="dxa"/>
          </w:tcPr>
          <w:p w14:paraId="1353B278"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Epilepsy</w:t>
            </w:r>
          </w:p>
        </w:tc>
        <w:tc>
          <w:tcPr>
            <w:tcW w:w="1193" w:type="dxa"/>
          </w:tcPr>
          <w:p w14:paraId="0CF26D61"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Gastro</w:t>
            </w:r>
          </w:p>
        </w:tc>
        <w:tc>
          <w:tcPr>
            <w:tcW w:w="1193" w:type="dxa"/>
          </w:tcPr>
          <w:p w14:paraId="4B5AD62A"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Cardio</w:t>
            </w:r>
          </w:p>
        </w:tc>
        <w:tc>
          <w:tcPr>
            <w:tcW w:w="1193" w:type="dxa"/>
          </w:tcPr>
          <w:p w14:paraId="76D6DE60"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CNS</w:t>
            </w:r>
          </w:p>
        </w:tc>
        <w:tc>
          <w:tcPr>
            <w:tcW w:w="1193" w:type="dxa"/>
          </w:tcPr>
          <w:p w14:paraId="2C1DEFE7"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Immunology</w:t>
            </w:r>
          </w:p>
        </w:tc>
        <w:tc>
          <w:tcPr>
            <w:tcW w:w="1193" w:type="dxa"/>
          </w:tcPr>
          <w:p w14:paraId="13894178"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Functioning</w:t>
            </w:r>
          </w:p>
        </w:tc>
        <w:tc>
          <w:tcPr>
            <w:tcW w:w="1193" w:type="dxa"/>
          </w:tcPr>
          <w:p w14:paraId="13A15630"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Sleep</w:t>
            </w:r>
          </w:p>
        </w:tc>
        <w:tc>
          <w:tcPr>
            <w:tcW w:w="1194" w:type="dxa"/>
          </w:tcPr>
          <w:p w14:paraId="2F742EC1"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Care</w:t>
            </w:r>
          </w:p>
        </w:tc>
      </w:tr>
      <w:tr w:rsidR="00F53CB4" w:rsidRPr="006A1EC7" w14:paraId="2A95B416"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dxa"/>
          </w:tcPr>
          <w:p w14:paraId="03D61354" w14:textId="77777777" w:rsidR="00F53CB4" w:rsidRPr="006A1EC7" w:rsidRDefault="00F53CB4" w:rsidP="00AC2435">
            <w:r w:rsidRPr="006A1EC7">
              <w:t>Time 1 (n=36)</w:t>
            </w:r>
          </w:p>
        </w:tc>
        <w:tc>
          <w:tcPr>
            <w:tcW w:w="1193" w:type="dxa"/>
          </w:tcPr>
          <w:p w14:paraId="46B03A3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1193" w:type="dxa"/>
          </w:tcPr>
          <w:p w14:paraId="71B5E20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21.8 (2.2)</w:t>
            </w:r>
          </w:p>
        </w:tc>
        <w:tc>
          <w:tcPr>
            <w:tcW w:w="1193" w:type="dxa"/>
          </w:tcPr>
          <w:p w14:paraId="69AD6AD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 (.5)</w:t>
            </w:r>
          </w:p>
        </w:tc>
        <w:tc>
          <w:tcPr>
            <w:tcW w:w="1193" w:type="dxa"/>
          </w:tcPr>
          <w:p w14:paraId="3CE9298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1.7 (1.1)</w:t>
            </w:r>
          </w:p>
        </w:tc>
        <w:tc>
          <w:tcPr>
            <w:tcW w:w="1193" w:type="dxa"/>
          </w:tcPr>
          <w:p w14:paraId="57E9FA7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9.3 (1.6)</w:t>
            </w:r>
          </w:p>
        </w:tc>
        <w:tc>
          <w:tcPr>
            <w:tcW w:w="1193" w:type="dxa"/>
          </w:tcPr>
          <w:p w14:paraId="4639FDA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3.2 (.7)</w:t>
            </w:r>
          </w:p>
        </w:tc>
        <w:tc>
          <w:tcPr>
            <w:tcW w:w="1193" w:type="dxa"/>
          </w:tcPr>
          <w:p w14:paraId="39C4840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.8 (.8)</w:t>
            </w:r>
          </w:p>
        </w:tc>
        <w:tc>
          <w:tcPr>
            <w:tcW w:w="1193" w:type="dxa"/>
          </w:tcPr>
          <w:p w14:paraId="430AA9C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 (.7)</w:t>
            </w:r>
          </w:p>
        </w:tc>
        <w:tc>
          <w:tcPr>
            <w:tcW w:w="1193" w:type="dxa"/>
          </w:tcPr>
          <w:p w14:paraId="0B204D4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3.4 (1.3)</w:t>
            </w:r>
          </w:p>
        </w:tc>
        <w:tc>
          <w:tcPr>
            <w:tcW w:w="1193" w:type="dxa"/>
          </w:tcPr>
          <w:p w14:paraId="71424F2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1.5 (.7)</w:t>
            </w:r>
          </w:p>
        </w:tc>
        <w:tc>
          <w:tcPr>
            <w:tcW w:w="1194" w:type="dxa"/>
          </w:tcPr>
          <w:p w14:paraId="17E440C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.9 (.3)</w:t>
            </w:r>
          </w:p>
        </w:tc>
      </w:tr>
      <w:tr w:rsidR="00F53CB4" w:rsidRPr="006A1EC7" w14:paraId="4A6C6D33" w14:textId="77777777" w:rsidTr="00AC2435">
        <w:tc>
          <w:tcPr>
            <w:cnfStyle w:val="001000000000" w:firstRow="0" w:lastRow="0" w:firstColumn="1" w:lastColumn="0" w:oddVBand="0" w:evenVBand="0" w:oddHBand="0" w:evenHBand="0" w:firstRowFirstColumn="0" w:firstRowLastColumn="0" w:lastRowFirstColumn="0" w:lastRowLastColumn="0"/>
            <w:tcW w:w="1193" w:type="dxa"/>
          </w:tcPr>
          <w:p w14:paraId="4C2A86C2" w14:textId="77777777" w:rsidR="00F53CB4" w:rsidRPr="006A1EC7" w:rsidRDefault="00F53CB4" w:rsidP="00AC2435"/>
        </w:tc>
        <w:tc>
          <w:tcPr>
            <w:tcW w:w="1193" w:type="dxa"/>
          </w:tcPr>
          <w:p w14:paraId="1680A75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1193" w:type="dxa"/>
          </w:tcPr>
          <w:p w14:paraId="60A1109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21</w:t>
            </w:r>
          </w:p>
        </w:tc>
        <w:tc>
          <w:tcPr>
            <w:tcW w:w="1193" w:type="dxa"/>
          </w:tcPr>
          <w:p w14:paraId="1E067C7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c>
          <w:tcPr>
            <w:tcW w:w="1193" w:type="dxa"/>
          </w:tcPr>
          <w:p w14:paraId="79E10A7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c>
          <w:tcPr>
            <w:tcW w:w="1193" w:type="dxa"/>
          </w:tcPr>
          <w:p w14:paraId="495B440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9.0</w:t>
            </w:r>
          </w:p>
        </w:tc>
        <w:tc>
          <w:tcPr>
            <w:tcW w:w="1193" w:type="dxa"/>
          </w:tcPr>
          <w:p w14:paraId="4D4DC7C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193" w:type="dxa"/>
          </w:tcPr>
          <w:p w14:paraId="3BF664E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c>
          <w:tcPr>
            <w:tcW w:w="1193" w:type="dxa"/>
          </w:tcPr>
          <w:p w14:paraId="7689C78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193" w:type="dxa"/>
          </w:tcPr>
          <w:p w14:paraId="1EB9AA6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3.0</w:t>
            </w:r>
          </w:p>
        </w:tc>
        <w:tc>
          <w:tcPr>
            <w:tcW w:w="1193" w:type="dxa"/>
          </w:tcPr>
          <w:p w14:paraId="53CA987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c>
          <w:tcPr>
            <w:tcW w:w="1194" w:type="dxa"/>
          </w:tcPr>
          <w:p w14:paraId="1E47FAC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r>
      <w:tr w:rsidR="00F53CB4" w:rsidRPr="006A1EC7" w14:paraId="624B2090"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dxa"/>
          </w:tcPr>
          <w:p w14:paraId="3CA60D40" w14:textId="77777777" w:rsidR="00F53CB4" w:rsidRPr="006A1EC7" w:rsidRDefault="00F53CB4" w:rsidP="00AC2435"/>
        </w:tc>
        <w:tc>
          <w:tcPr>
            <w:tcW w:w="1193" w:type="dxa"/>
          </w:tcPr>
          <w:p w14:paraId="4957344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1193" w:type="dxa"/>
          </w:tcPr>
          <w:p w14:paraId="317D747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21</w:t>
            </w:r>
          </w:p>
        </w:tc>
        <w:tc>
          <w:tcPr>
            <w:tcW w:w="1193" w:type="dxa"/>
          </w:tcPr>
          <w:p w14:paraId="34E8D51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c>
          <w:tcPr>
            <w:tcW w:w="1193" w:type="dxa"/>
          </w:tcPr>
          <w:p w14:paraId="6342A1A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c>
          <w:tcPr>
            <w:tcW w:w="1193" w:type="dxa"/>
          </w:tcPr>
          <w:p w14:paraId="0E3F56A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9</w:t>
            </w:r>
          </w:p>
        </w:tc>
        <w:tc>
          <w:tcPr>
            <w:tcW w:w="1193" w:type="dxa"/>
          </w:tcPr>
          <w:p w14:paraId="2EEC5B9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193" w:type="dxa"/>
          </w:tcPr>
          <w:p w14:paraId="3C81E98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c>
          <w:tcPr>
            <w:tcW w:w="1193" w:type="dxa"/>
          </w:tcPr>
          <w:p w14:paraId="5EE797D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193" w:type="dxa"/>
          </w:tcPr>
          <w:p w14:paraId="75B8B96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193" w:type="dxa"/>
          </w:tcPr>
          <w:p w14:paraId="4AAD2A9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c>
          <w:tcPr>
            <w:tcW w:w="1194" w:type="dxa"/>
          </w:tcPr>
          <w:p w14:paraId="7046AC4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r>
      <w:tr w:rsidR="00F53CB4" w:rsidRPr="006A1EC7" w14:paraId="338427E6" w14:textId="77777777" w:rsidTr="00AC2435">
        <w:tc>
          <w:tcPr>
            <w:cnfStyle w:val="001000000000" w:firstRow="0" w:lastRow="0" w:firstColumn="1" w:lastColumn="0" w:oddVBand="0" w:evenVBand="0" w:oddHBand="0" w:evenHBand="0" w:firstRowFirstColumn="0" w:firstRowLastColumn="0" w:lastRowFirstColumn="0" w:lastRowLastColumn="0"/>
            <w:tcW w:w="1193" w:type="dxa"/>
          </w:tcPr>
          <w:p w14:paraId="772D2454" w14:textId="77777777" w:rsidR="00F53CB4" w:rsidRPr="006A1EC7" w:rsidRDefault="00F53CB4" w:rsidP="00AC2435"/>
        </w:tc>
        <w:tc>
          <w:tcPr>
            <w:tcW w:w="1193" w:type="dxa"/>
          </w:tcPr>
          <w:p w14:paraId="19D7999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1193" w:type="dxa"/>
          </w:tcPr>
          <w:p w14:paraId="7F2AE44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14</w:t>
            </w:r>
          </w:p>
        </w:tc>
        <w:tc>
          <w:tcPr>
            <w:tcW w:w="1193" w:type="dxa"/>
          </w:tcPr>
          <w:p w14:paraId="2B84762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w:t>
            </w:r>
          </w:p>
        </w:tc>
        <w:tc>
          <w:tcPr>
            <w:tcW w:w="1193" w:type="dxa"/>
          </w:tcPr>
          <w:p w14:paraId="13B466B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193" w:type="dxa"/>
          </w:tcPr>
          <w:p w14:paraId="0AD46F9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6</w:t>
            </w:r>
          </w:p>
        </w:tc>
        <w:tc>
          <w:tcPr>
            <w:tcW w:w="1193" w:type="dxa"/>
          </w:tcPr>
          <w:p w14:paraId="12C8CA4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193" w:type="dxa"/>
          </w:tcPr>
          <w:p w14:paraId="3C05771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193" w:type="dxa"/>
          </w:tcPr>
          <w:p w14:paraId="38B5762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193" w:type="dxa"/>
          </w:tcPr>
          <w:p w14:paraId="2482B21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6</w:t>
            </w:r>
          </w:p>
        </w:tc>
        <w:tc>
          <w:tcPr>
            <w:tcW w:w="1193" w:type="dxa"/>
          </w:tcPr>
          <w:p w14:paraId="44F7538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194" w:type="dxa"/>
          </w:tcPr>
          <w:p w14:paraId="5F4D4CB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r>
      <w:tr w:rsidR="00F53CB4" w:rsidRPr="006A1EC7" w14:paraId="64AC5E7C"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dxa"/>
          </w:tcPr>
          <w:p w14:paraId="6FFB7739" w14:textId="77777777" w:rsidR="00F53CB4" w:rsidRPr="006A1EC7" w:rsidRDefault="00F53CB4" w:rsidP="00AC2435">
            <w:r w:rsidRPr="006A1EC7">
              <w:t>Time 2 (n = 10)</w:t>
            </w:r>
          </w:p>
        </w:tc>
        <w:tc>
          <w:tcPr>
            <w:tcW w:w="1193" w:type="dxa"/>
          </w:tcPr>
          <w:p w14:paraId="1D19A94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1193" w:type="dxa"/>
          </w:tcPr>
          <w:p w14:paraId="7C803EC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18.9 (3.1)</w:t>
            </w:r>
          </w:p>
        </w:tc>
        <w:tc>
          <w:tcPr>
            <w:tcW w:w="1193" w:type="dxa"/>
          </w:tcPr>
          <w:p w14:paraId="5EF5D37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 (0)</w:t>
            </w:r>
          </w:p>
        </w:tc>
        <w:tc>
          <w:tcPr>
            <w:tcW w:w="1193" w:type="dxa"/>
          </w:tcPr>
          <w:p w14:paraId="17BDDD9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1.6 (1.3)</w:t>
            </w:r>
          </w:p>
        </w:tc>
        <w:tc>
          <w:tcPr>
            <w:tcW w:w="1193" w:type="dxa"/>
          </w:tcPr>
          <w:p w14:paraId="69EA922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7.8 (1.6)</w:t>
            </w:r>
          </w:p>
        </w:tc>
        <w:tc>
          <w:tcPr>
            <w:tcW w:w="1193" w:type="dxa"/>
          </w:tcPr>
          <w:p w14:paraId="66F64AD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3.2 (.4)</w:t>
            </w:r>
          </w:p>
        </w:tc>
        <w:tc>
          <w:tcPr>
            <w:tcW w:w="1193" w:type="dxa"/>
          </w:tcPr>
          <w:p w14:paraId="11A133E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 (.5)</w:t>
            </w:r>
          </w:p>
        </w:tc>
        <w:tc>
          <w:tcPr>
            <w:tcW w:w="1193" w:type="dxa"/>
          </w:tcPr>
          <w:p w14:paraId="7051080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 (.0)</w:t>
            </w:r>
          </w:p>
        </w:tc>
        <w:tc>
          <w:tcPr>
            <w:tcW w:w="1193" w:type="dxa"/>
          </w:tcPr>
          <w:p w14:paraId="6FAE9A1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3.1 (7)</w:t>
            </w:r>
          </w:p>
        </w:tc>
        <w:tc>
          <w:tcPr>
            <w:tcW w:w="1193" w:type="dxa"/>
          </w:tcPr>
          <w:p w14:paraId="185B17C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 (.8)</w:t>
            </w:r>
          </w:p>
        </w:tc>
        <w:tc>
          <w:tcPr>
            <w:tcW w:w="1194" w:type="dxa"/>
          </w:tcPr>
          <w:p w14:paraId="79AC5E5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 (.4)</w:t>
            </w:r>
          </w:p>
        </w:tc>
      </w:tr>
      <w:tr w:rsidR="00F53CB4" w:rsidRPr="006A1EC7" w14:paraId="1D00C6AC" w14:textId="77777777" w:rsidTr="00AC2435">
        <w:tc>
          <w:tcPr>
            <w:cnfStyle w:val="001000000000" w:firstRow="0" w:lastRow="0" w:firstColumn="1" w:lastColumn="0" w:oddVBand="0" w:evenVBand="0" w:oddHBand="0" w:evenHBand="0" w:firstRowFirstColumn="0" w:firstRowLastColumn="0" w:lastRowFirstColumn="0" w:lastRowLastColumn="0"/>
            <w:tcW w:w="1193" w:type="dxa"/>
          </w:tcPr>
          <w:p w14:paraId="43B1B973" w14:textId="77777777" w:rsidR="00F53CB4" w:rsidRPr="006A1EC7" w:rsidRDefault="00F53CB4" w:rsidP="00AC2435"/>
        </w:tc>
        <w:tc>
          <w:tcPr>
            <w:tcW w:w="1193" w:type="dxa"/>
          </w:tcPr>
          <w:p w14:paraId="14245B0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1193" w:type="dxa"/>
          </w:tcPr>
          <w:p w14:paraId="51C4E4B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18.0</w:t>
            </w:r>
          </w:p>
        </w:tc>
        <w:tc>
          <w:tcPr>
            <w:tcW w:w="1193" w:type="dxa"/>
          </w:tcPr>
          <w:p w14:paraId="09885EF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c>
          <w:tcPr>
            <w:tcW w:w="1193" w:type="dxa"/>
          </w:tcPr>
          <w:p w14:paraId="4FB0BD1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c>
          <w:tcPr>
            <w:tcW w:w="1193" w:type="dxa"/>
          </w:tcPr>
          <w:p w14:paraId="4A53098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8.0</w:t>
            </w:r>
          </w:p>
        </w:tc>
        <w:tc>
          <w:tcPr>
            <w:tcW w:w="1193" w:type="dxa"/>
          </w:tcPr>
          <w:p w14:paraId="6EA04DC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3.0</w:t>
            </w:r>
          </w:p>
        </w:tc>
        <w:tc>
          <w:tcPr>
            <w:tcW w:w="1193" w:type="dxa"/>
          </w:tcPr>
          <w:p w14:paraId="16D5138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193" w:type="dxa"/>
          </w:tcPr>
          <w:p w14:paraId="0759FC8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193" w:type="dxa"/>
          </w:tcPr>
          <w:p w14:paraId="2239978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3.0</w:t>
            </w:r>
          </w:p>
        </w:tc>
        <w:tc>
          <w:tcPr>
            <w:tcW w:w="1193" w:type="dxa"/>
          </w:tcPr>
          <w:p w14:paraId="16767FF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c>
          <w:tcPr>
            <w:tcW w:w="1194" w:type="dxa"/>
          </w:tcPr>
          <w:p w14:paraId="5B1703F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r>
      <w:tr w:rsidR="00F53CB4" w:rsidRPr="006A1EC7" w14:paraId="05A8E454"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dxa"/>
          </w:tcPr>
          <w:p w14:paraId="41D26C15" w14:textId="77777777" w:rsidR="00F53CB4" w:rsidRPr="006A1EC7" w:rsidRDefault="00F53CB4" w:rsidP="00AC2435"/>
        </w:tc>
        <w:tc>
          <w:tcPr>
            <w:tcW w:w="1193" w:type="dxa"/>
          </w:tcPr>
          <w:p w14:paraId="408932E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1193" w:type="dxa"/>
          </w:tcPr>
          <w:p w14:paraId="6A738B0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18</w:t>
            </w:r>
          </w:p>
        </w:tc>
        <w:tc>
          <w:tcPr>
            <w:tcW w:w="1193" w:type="dxa"/>
          </w:tcPr>
          <w:p w14:paraId="6DA8AE8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c>
          <w:tcPr>
            <w:tcW w:w="1193" w:type="dxa"/>
          </w:tcPr>
          <w:p w14:paraId="7B3D6DD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c>
          <w:tcPr>
            <w:tcW w:w="1193" w:type="dxa"/>
          </w:tcPr>
          <w:p w14:paraId="7EAB3BB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8</w:t>
            </w:r>
          </w:p>
        </w:tc>
        <w:tc>
          <w:tcPr>
            <w:tcW w:w="1193" w:type="dxa"/>
          </w:tcPr>
          <w:p w14:paraId="0A20179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193" w:type="dxa"/>
          </w:tcPr>
          <w:p w14:paraId="0C35791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193" w:type="dxa"/>
          </w:tcPr>
          <w:p w14:paraId="7A72FF2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193" w:type="dxa"/>
          </w:tcPr>
          <w:p w14:paraId="28B47EC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193" w:type="dxa"/>
          </w:tcPr>
          <w:p w14:paraId="2F703D8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c>
          <w:tcPr>
            <w:tcW w:w="1194" w:type="dxa"/>
          </w:tcPr>
          <w:p w14:paraId="7FF56EC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r>
      <w:tr w:rsidR="00F53CB4" w:rsidRPr="006A1EC7" w14:paraId="3DEC2906" w14:textId="77777777" w:rsidTr="00AC2435">
        <w:tc>
          <w:tcPr>
            <w:cnfStyle w:val="001000000000" w:firstRow="0" w:lastRow="0" w:firstColumn="1" w:lastColumn="0" w:oddVBand="0" w:evenVBand="0" w:oddHBand="0" w:evenHBand="0" w:firstRowFirstColumn="0" w:firstRowLastColumn="0" w:lastRowFirstColumn="0" w:lastRowLastColumn="0"/>
            <w:tcW w:w="1193" w:type="dxa"/>
          </w:tcPr>
          <w:p w14:paraId="3B4C17FF" w14:textId="77777777" w:rsidR="00F53CB4" w:rsidRPr="006A1EC7" w:rsidRDefault="00F53CB4" w:rsidP="00AC2435"/>
        </w:tc>
        <w:tc>
          <w:tcPr>
            <w:tcW w:w="1193" w:type="dxa"/>
          </w:tcPr>
          <w:p w14:paraId="7141754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1193" w:type="dxa"/>
          </w:tcPr>
          <w:p w14:paraId="773D880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8</w:t>
            </w:r>
          </w:p>
        </w:tc>
        <w:tc>
          <w:tcPr>
            <w:tcW w:w="1193" w:type="dxa"/>
          </w:tcPr>
          <w:p w14:paraId="0E99316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1193" w:type="dxa"/>
          </w:tcPr>
          <w:p w14:paraId="26098F7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1193" w:type="dxa"/>
          </w:tcPr>
          <w:p w14:paraId="57D2A26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1193" w:type="dxa"/>
          </w:tcPr>
          <w:p w14:paraId="46AD03C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1193" w:type="dxa"/>
          </w:tcPr>
          <w:p w14:paraId="767722F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1193" w:type="dxa"/>
          </w:tcPr>
          <w:p w14:paraId="53853B9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193" w:type="dxa"/>
          </w:tcPr>
          <w:p w14:paraId="394CE6C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w:t>
            </w:r>
          </w:p>
        </w:tc>
        <w:tc>
          <w:tcPr>
            <w:tcW w:w="1193" w:type="dxa"/>
          </w:tcPr>
          <w:p w14:paraId="563F2E7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w:t>
            </w:r>
          </w:p>
        </w:tc>
        <w:tc>
          <w:tcPr>
            <w:tcW w:w="1194" w:type="dxa"/>
          </w:tcPr>
          <w:p w14:paraId="50E6B64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r>
    </w:tbl>
    <w:p w14:paraId="27EE937D" w14:textId="77777777" w:rsidR="00F53CB4" w:rsidRPr="006A1EC7" w:rsidRDefault="00F53CB4" w:rsidP="00F53CB4"/>
    <w:p w14:paraId="069CE0C1" w14:textId="77777777" w:rsidR="00F53CB4" w:rsidRPr="006A1EC7" w:rsidRDefault="00F53CB4" w:rsidP="00F53CB4"/>
    <w:p w14:paraId="4B670462" w14:textId="77777777" w:rsidR="00F53CB4" w:rsidRPr="006A1EC7" w:rsidRDefault="00F53CB4" w:rsidP="00F53CB4">
      <w:pPr>
        <w:pStyle w:val="Caption"/>
        <w:keepNext/>
        <w:rPr>
          <w:sz w:val="24"/>
          <w:szCs w:val="24"/>
        </w:rPr>
      </w:pPr>
      <w:bookmarkStart w:id="246" w:name="_Toc40173041"/>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16</w:t>
      </w:r>
      <w:r w:rsidRPr="006A1EC7">
        <w:rPr>
          <w:sz w:val="24"/>
          <w:szCs w:val="24"/>
        </w:rPr>
        <w:fldChar w:fldCharType="end"/>
      </w:r>
      <w:r w:rsidRPr="006A1EC7">
        <w:rPr>
          <w:sz w:val="24"/>
          <w:szCs w:val="24"/>
        </w:rPr>
        <w:t>: Descriptive statistics for Case Study 3 (Time 1-Time 2)</w:t>
      </w:r>
      <w:bookmarkEnd w:id="246"/>
    </w:p>
    <w:tbl>
      <w:tblPr>
        <w:tblStyle w:val="PlainTable4"/>
        <w:tblW w:w="0" w:type="auto"/>
        <w:tblLayout w:type="fixed"/>
        <w:tblLook w:val="04A0" w:firstRow="1" w:lastRow="0" w:firstColumn="1" w:lastColumn="0" w:noHBand="0" w:noVBand="1"/>
      </w:tblPr>
      <w:tblGrid>
        <w:gridCol w:w="1204"/>
        <w:gridCol w:w="1205"/>
        <w:gridCol w:w="1205"/>
        <w:gridCol w:w="1205"/>
        <w:gridCol w:w="1205"/>
        <w:gridCol w:w="1205"/>
        <w:gridCol w:w="1205"/>
        <w:gridCol w:w="1205"/>
        <w:gridCol w:w="1205"/>
        <w:gridCol w:w="1205"/>
        <w:gridCol w:w="1205"/>
        <w:gridCol w:w="1205"/>
      </w:tblGrid>
      <w:tr w:rsidR="00F53CB4" w:rsidRPr="006A1EC7" w14:paraId="3BFE2A6F"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4A200D40" w14:textId="77777777" w:rsidR="00F53CB4" w:rsidRPr="006A1EC7" w:rsidRDefault="00F53CB4" w:rsidP="00AC2435">
            <w:r w:rsidRPr="006A1EC7">
              <w:t>Emma</w:t>
            </w:r>
          </w:p>
        </w:tc>
        <w:tc>
          <w:tcPr>
            <w:tcW w:w="1205" w:type="dxa"/>
          </w:tcPr>
          <w:p w14:paraId="4AA92E6F"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p>
        </w:tc>
        <w:tc>
          <w:tcPr>
            <w:tcW w:w="1205" w:type="dxa"/>
          </w:tcPr>
          <w:p w14:paraId="57673E86"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Total</w:t>
            </w:r>
          </w:p>
        </w:tc>
        <w:tc>
          <w:tcPr>
            <w:tcW w:w="1205" w:type="dxa"/>
          </w:tcPr>
          <w:p w14:paraId="2ED69198"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Face</w:t>
            </w:r>
          </w:p>
        </w:tc>
        <w:tc>
          <w:tcPr>
            <w:tcW w:w="1205" w:type="dxa"/>
          </w:tcPr>
          <w:p w14:paraId="789C31CF"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Epilepsy</w:t>
            </w:r>
          </w:p>
        </w:tc>
        <w:tc>
          <w:tcPr>
            <w:tcW w:w="1205" w:type="dxa"/>
          </w:tcPr>
          <w:p w14:paraId="1B2FB7E1"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Gastro</w:t>
            </w:r>
          </w:p>
        </w:tc>
        <w:tc>
          <w:tcPr>
            <w:tcW w:w="1205" w:type="dxa"/>
          </w:tcPr>
          <w:p w14:paraId="10ADF8F3"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Cardio</w:t>
            </w:r>
          </w:p>
        </w:tc>
        <w:tc>
          <w:tcPr>
            <w:tcW w:w="1205" w:type="dxa"/>
          </w:tcPr>
          <w:p w14:paraId="7D343D51"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CNS</w:t>
            </w:r>
          </w:p>
        </w:tc>
        <w:tc>
          <w:tcPr>
            <w:tcW w:w="1205" w:type="dxa"/>
          </w:tcPr>
          <w:p w14:paraId="582151B9"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Immunology</w:t>
            </w:r>
          </w:p>
        </w:tc>
        <w:tc>
          <w:tcPr>
            <w:tcW w:w="1205" w:type="dxa"/>
          </w:tcPr>
          <w:p w14:paraId="11490572"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Functioning</w:t>
            </w:r>
          </w:p>
        </w:tc>
        <w:tc>
          <w:tcPr>
            <w:tcW w:w="1205" w:type="dxa"/>
          </w:tcPr>
          <w:p w14:paraId="396294B8"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Sleep</w:t>
            </w:r>
          </w:p>
        </w:tc>
        <w:tc>
          <w:tcPr>
            <w:tcW w:w="1205" w:type="dxa"/>
          </w:tcPr>
          <w:p w14:paraId="15F03A6D"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Care</w:t>
            </w:r>
          </w:p>
        </w:tc>
      </w:tr>
      <w:tr w:rsidR="00F53CB4" w:rsidRPr="006A1EC7" w14:paraId="3BB17092"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20AEBF11" w14:textId="77777777" w:rsidR="00F53CB4" w:rsidRPr="006A1EC7" w:rsidRDefault="00F53CB4" w:rsidP="00AC2435">
            <w:r w:rsidRPr="006A1EC7">
              <w:t>Time 1 (n = 12)</w:t>
            </w:r>
          </w:p>
        </w:tc>
        <w:tc>
          <w:tcPr>
            <w:tcW w:w="1205" w:type="dxa"/>
          </w:tcPr>
          <w:p w14:paraId="6AE4A16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1205" w:type="dxa"/>
          </w:tcPr>
          <w:p w14:paraId="600FD48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51.1 (6.0)</w:t>
            </w:r>
          </w:p>
        </w:tc>
        <w:tc>
          <w:tcPr>
            <w:tcW w:w="1205" w:type="dxa"/>
          </w:tcPr>
          <w:p w14:paraId="5A5984E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 xml:space="preserve">.0 (.2) </w:t>
            </w:r>
          </w:p>
        </w:tc>
        <w:tc>
          <w:tcPr>
            <w:tcW w:w="1205" w:type="dxa"/>
          </w:tcPr>
          <w:p w14:paraId="374D6D4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11.0 (2.1)</w:t>
            </w:r>
          </w:p>
        </w:tc>
        <w:tc>
          <w:tcPr>
            <w:tcW w:w="1205" w:type="dxa"/>
          </w:tcPr>
          <w:p w14:paraId="306666A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18.5 (1.9)</w:t>
            </w:r>
          </w:p>
        </w:tc>
        <w:tc>
          <w:tcPr>
            <w:tcW w:w="1205" w:type="dxa"/>
          </w:tcPr>
          <w:p w14:paraId="637D0C6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3.8 (.8)</w:t>
            </w:r>
          </w:p>
        </w:tc>
        <w:tc>
          <w:tcPr>
            <w:tcW w:w="1205" w:type="dxa"/>
          </w:tcPr>
          <w:p w14:paraId="4F51AF4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2.5 (2.6)</w:t>
            </w:r>
          </w:p>
        </w:tc>
        <w:tc>
          <w:tcPr>
            <w:tcW w:w="1205" w:type="dxa"/>
          </w:tcPr>
          <w:p w14:paraId="0BBED55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3.2 (2.2)</w:t>
            </w:r>
          </w:p>
        </w:tc>
        <w:tc>
          <w:tcPr>
            <w:tcW w:w="1205" w:type="dxa"/>
          </w:tcPr>
          <w:p w14:paraId="330A750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8.8 (2.6)</w:t>
            </w:r>
          </w:p>
        </w:tc>
        <w:tc>
          <w:tcPr>
            <w:tcW w:w="1205" w:type="dxa"/>
          </w:tcPr>
          <w:p w14:paraId="3339011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 (1.1)</w:t>
            </w:r>
          </w:p>
        </w:tc>
        <w:tc>
          <w:tcPr>
            <w:tcW w:w="1205" w:type="dxa"/>
          </w:tcPr>
          <w:p w14:paraId="2CEA830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1.9 (.3)</w:t>
            </w:r>
          </w:p>
        </w:tc>
      </w:tr>
      <w:tr w:rsidR="00F53CB4" w:rsidRPr="006A1EC7" w14:paraId="0985234D" w14:textId="77777777" w:rsidTr="00AC2435">
        <w:tc>
          <w:tcPr>
            <w:cnfStyle w:val="001000000000" w:firstRow="0" w:lastRow="0" w:firstColumn="1" w:lastColumn="0" w:oddVBand="0" w:evenVBand="0" w:oddHBand="0" w:evenHBand="0" w:firstRowFirstColumn="0" w:firstRowLastColumn="0" w:lastRowFirstColumn="0" w:lastRowLastColumn="0"/>
            <w:tcW w:w="1204" w:type="dxa"/>
          </w:tcPr>
          <w:p w14:paraId="21386064" w14:textId="77777777" w:rsidR="00F53CB4" w:rsidRPr="006A1EC7" w:rsidRDefault="00F53CB4" w:rsidP="00AC2435"/>
        </w:tc>
        <w:tc>
          <w:tcPr>
            <w:tcW w:w="1205" w:type="dxa"/>
          </w:tcPr>
          <w:p w14:paraId="0AD69D8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1205" w:type="dxa"/>
          </w:tcPr>
          <w:p w14:paraId="6665ABD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51.0</w:t>
            </w:r>
          </w:p>
        </w:tc>
        <w:tc>
          <w:tcPr>
            <w:tcW w:w="1205" w:type="dxa"/>
          </w:tcPr>
          <w:p w14:paraId="657E3D9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05" w:type="dxa"/>
          </w:tcPr>
          <w:p w14:paraId="370E4FB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11.0</w:t>
            </w:r>
          </w:p>
        </w:tc>
        <w:tc>
          <w:tcPr>
            <w:tcW w:w="1205" w:type="dxa"/>
          </w:tcPr>
          <w:p w14:paraId="3B158C6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18.0</w:t>
            </w:r>
          </w:p>
        </w:tc>
        <w:tc>
          <w:tcPr>
            <w:tcW w:w="1205" w:type="dxa"/>
          </w:tcPr>
          <w:p w14:paraId="44B8329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4.0</w:t>
            </w:r>
          </w:p>
        </w:tc>
        <w:tc>
          <w:tcPr>
            <w:tcW w:w="1205" w:type="dxa"/>
          </w:tcPr>
          <w:p w14:paraId="6979CFA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2.0</w:t>
            </w:r>
          </w:p>
        </w:tc>
        <w:tc>
          <w:tcPr>
            <w:tcW w:w="1205" w:type="dxa"/>
          </w:tcPr>
          <w:p w14:paraId="011F283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5.0</w:t>
            </w:r>
          </w:p>
        </w:tc>
        <w:tc>
          <w:tcPr>
            <w:tcW w:w="1205" w:type="dxa"/>
          </w:tcPr>
          <w:p w14:paraId="235749F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10.0</w:t>
            </w:r>
          </w:p>
        </w:tc>
        <w:tc>
          <w:tcPr>
            <w:tcW w:w="1205" w:type="dxa"/>
          </w:tcPr>
          <w:p w14:paraId="66BE074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05" w:type="dxa"/>
          </w:tcPr>
          <w:p w14:paraId="23297BF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2.0</w:t>
            </w:r>
          </w:p>
        </w:tc>
      </w:tr>
      <w:tr w:rsidR="00F53CB4" w:rsidRPr="006A1EC7" w14:paraId="467014DD"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53A7E46A" w14:textId="77777777" w:rsidR="00F53CB4" w:rsidRPr="006A1EC7" w:rsidRDefault="00F53CB4" w:rsidP="00AC2435"/>
        </w:tc>
        <w:tc>
          <w:tcPr>
            <w:tcW w:w="1205" w:type="dxa"/>
          </w:tcPr>
          <w:p w14:paraId="6AF28D1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1205" w:type="dxa"/>
          </w:tcPr>
          <w:p w14:paraId="761CDD9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50</w:t>
            </w:r>
          </w:p>
        </w:tc>
        <w:tc>
          <w:tcPr>
            <w:tcW w:w="1205" w:type="dxa"/>
          </w:tcPr>
          <w:p w14:paraId="4C6CCE8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205" w:type="dxa"/>
          </w:tcPr>
          <w:p w14:paraId="053BFC9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w:t>
            </w:r>
          </w:p>
        </w:tc>
        <w:tc>
          <w:tcPr>
            <w:tcW w:w="1205" w:type="dxa"/>
          </w:tcPr>
          <w:p w14:paraId="6955134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18</w:t>
            </w:r>
          </w:p>
        </w:tc>
        <w:tc>
          <w:tcPr>
            <w:tcW w:w="1205" w:type="dxa"/>
          </w:tcPr>
          <w:p w14:paraId="7FD0708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w:t>
            </w:r>
          </w:p>
        </w:tc>
        <w:tc>
          <w:tcPr>
            <w:tcW w:w="1205" w:type="dxa"/>
          </w:tcPr>
          <w:p w14:paraId="7A7951D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w:t>
            </w:r>
          </w:p>
        </w:tc>
        <w:tc>
          <w:tcPr>
            <w:tcW w:w="1205" w:type="dxa"/>
          </w:tcPr>
          <w:p w14:paraId="1B468A4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w:t>
            </w:r>
          </w:p>
        </w:tc>
        <w:tc>
          <w:tcPr>
            <w:tcW w:w="1205" w:type="dxa"/>
          </w:tcPr>
          <w:p w14:paraId="7C340E3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w:t>
            </w:r>
          </w:p>
        </w:tc>
        <w:tc>
          <w:tcPr>
            <w:tcW w:w="1205" w:type="dxa"/>
          </w:tcPr>
          <w:p w14:paraId="74129CA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205" w:type="dxa"/>
          </w:tcPr>
          <w:p w14:paraId="091003D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w:t>
            </w:r>
          </w:p>
        </w:tc>
      </w:tr>
      <w:tr w:rsidR="00F53CB4" w:rsidRPr="006A1EC7" w14:paraId="32530114" w14:textId="77777777" w:rsidTr="00AC2435">
        <w:tc>
          <w:tcPr>
            <w:cnfStyle w:val="001000000000" w:firstRow="0" w:lastRow="0" w:firstColumn="1" w:lastColumn="0" w:oddVBand="0" w:evenVBand="0" w:oddHBand="0" w:evenHBand="0" w:firstRowFirstColumn="0" w:firstRowLastColumn="0" w:lastRowFirstColumn="0" w:lastRowLastColumn="0"/>
            <w:tcW w:w="1204" w:type="dxa"/>
          </w:tcPr>
          <w:p w14:paraId="54DD403F" w14:textId="77777777" w:rsidR="00F53CB4" w:rsidRPr="006A1EC7" w:rsidRDefault="00F53CB4" w:rsidP="00AC2435"/>
        </w:tc>
        <w:tc>
          <w:tcPr>
            <w:tcW w:w="1205" w:type="dxa"/>
          </w:tcPr>
          <w:p w14:paraId="46F6822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1205" w:type="dxa"/>
          </w:tcPr>
          <w:p w14:paraId="79ED21F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22</w:t>
            </w:r>
          </w:p>
        </w:tc>
        <w:tc>
          <w:tcPr>
            <w:tcW w:w="1205" w:type="dxa"/>
          </w:tcPr>
          <w:p w14:paraId="193DA36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1205" w:type="dxa"/>
          </w:tcPr>
          <w:p w14:paraId="6CB18A3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12</w:t>
            </w:r>
          </w:p>
        </w:tc>
        <w:tc>
          <w:tcPr>
            <w:tcW w:w="1205" w:type="dxa"/>
          </w:tcPr>
          <w:p w14:paraId="720F5E5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7</w:t>
            </w:r>
          </w:p>
        </w:tc>
        <w:tc>
          <w:tcPr>
            <w:tcW w:w="1205" w:type="dxa"/>
          </w:tcPr>
          <w:p w14:paraId="52A399E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1205" w:type="dxa"/>
          </w:tcPr>
          <w:p w14:paraId="695432D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12</w:t>
            </w:r>
          </w:p>
        </w:tc>
        <w:tc>
          <w:tcPr>
            <w:tcW w:w="1205" w:type="dxa"/>
          </w:tcPr>
          <w:p w14:paraId="5E2E7E7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1205" w:type="dxa"/>
          </w:tcPr>
          <w:p w14:paraId="38B5EBA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9</w:t>
            </w:r>
          </w:p>
        </w:tc>
        <w:tc>
          <w:tcPr>
            <w:tcW w:w="1205" w:type="dxa"/>
          </w:tcPr>
          <w:p w14:paraId="361E326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205" w:type="dxa"/>
          </w:tcPr>
          <w:p w14:paraId="3F80268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r>
      <w:tr w:rsidR="00F53CB4" w:rsidRPr="006A1EC7" w14:paraId="38E85FDC"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355D35A8" w14:textId="77777777" w:rsidR="00F53CB4" w:rsidRPr="006A1EC7" w:rsidRDefault="00F53CB4" w:rsidP="00AC2435">
            <w:r w:rsidRPr="006A1EC7">
              <w:t>Time 2</w:t>
            </w:r>
          </w:p>
          <w:p w14:paraId="53E03C41" w14:textId="77777777" w:rsidR="00F53CB4" w:rsidRPr="006A1EC7" w:rsidRDefault="00F53CB4" w:rsidP="00AC2435">
            <w:r w:rsidRPr="006A1EC7">
              <w:t>(n = 4)</w:t>
            </w:r>
          </w:p>
        </w:tc>
        <w:tc>
          <w:tcPr>
            <w:tcW w:w="1205" w:type="dxa"/>
          </w:tcPr>
          <w:p w14:paraId="5C747BB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1205" w:type="dxa"/>
          </w:tcPr>
          <w:p w14:paraId="7BBB80E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41.8 (11.6)</w:t>
            </w:r>
          </w:p>
        </w:tc>
        <w:tc>
          <w:tcPr>
            <w:tcW w:w="1205" w:type="dxa"/>
          </w:tcPr>
          <w:p w14:paraId="634D4B8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 (.0)</w:t>
            </w:r>
          </w:p>
        </w:tc>
        <w:tc>
          <w:tcPr>
            <w:tcW w:w="1205" w:type="dxa"/>
          </w:tcPr>
          <w:p w14:paraId="27574EA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10.6 (1.1)</w:t>
            </w:r>
          </w:p>
        </w:tc>
        <w:tc>
          <w:tcPr>
            <w:tcW w:w="1205" w:type="dxa"/>
          </w:tcPr>
          <w:p w14:paraId="5B709FD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16.4 (4.4)</w:t>
            </w:r>
          </w:p>
        </w:tc>
        <w:tc>
          <w:tcPr>
            <w:tcW w:w="1205" w:type="dxa"/>
          </w:tcPr>
          <w:p w14:paraId="0AB04EF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3.4 (1.3)</w:t>
            </w:r>
          </w:p>
        </w:tc>
        <w:tc>
          <w:tcPr>
            <w:tcW w:w="1205" w:type="dxa"/>
          </w:tcPr>
          <w:p w14:paraId="28D280D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1.4 (.6)</w:t>
            </w:r>
          </w:p>
        </w:tc>
        <w:tc>
          <w:tcPr>
            <w:tcW w:w="1205" w:type="dxa"/>
          </w:tcPr>
          <w:p w14:paraId="2EA4D46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2.0 (2.7)</w:t>
            </w:r>
          </w:p>
        </w:tc>
        <w:tc>
          <w:tcPr>
            <w:tcW w:w="1205" w:type="dxa"/>
          </w:tcPr>
          <w:p w14:paraId="047449C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7.5 (5.2)</w:t>
            </w:r>
          </w:p>
        </w:tc>
        <w:tc>
          <w:tcPr>
            <w:tcW w:w="1205" w:type="dxa"/>
          </w:tcPr>
          <w:p w14:paraId="7C3F4E8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 (.0)</w:t>
            </w:r>
          </w:p>
        </w:tc>
        <w:tc>
          <w:tcPr>
            <w:tcW w:w="1205" w:type="dxa"/>
          </w:tcPr>
          <w:p w14:paraId="23B3845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2.0 (.0)</w:t>
            </w:r>
          </w:p>
        </w:tc>
      </w:tr>
      <w:tr w:rsidR="00F53CB4" w:rsidRPr="006A1EC7" w14:paraId="595D1A70" w14:textId="77777777" w:rsidTr="00AC2435">
        <w:tc>
          <w:tcPr>
            <w:cnfStyle w:val="001000000000" w:firstRow="0" w:lastRow="0" w:firstColumn="1" w:lastColumn="0" w:oddVBand="0" w:evenVBand="0" w:oddHBand="0" w:evenHBand="0" w:firstRowFirstColumn="0" w:firstRowLastColumn="0" w:lastRowFirstColumn="0" w:lastRowLastColumn="0"/>
            <w:tcW w:w="1204" w:type="dxa"/>
          </w:tcPr>
          <w:p w14:paraId="45B2507D" w14:textId="77777777" w:rsidR="00F53CB4" w:rsidRPr="006A1EC7" w:rsidRDefault="00F53CB4" w:rsidP="00AC2435"/>
        </w:tc>
        <w:tc>
          <w:tcPr>
            <w:tcW w:w="1205" w:type="dxa"/>
          </w:tcPr>
          <w:p w14:paraId="64C6B5E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1205" w:type="dxa"/>
          </w:tcPr>
          <w:p w14:paraId="363C7D3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40.5</w:t>
            </w:r>
          </w:p>
        </w:tc>
        <w:tc>
          <w:tcPr>
            <w:tcW w:w="1205" w:type="dxa"/>
          </w:tcPr>
          <w:p w14:paraId="499C5FD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05" w:type="dxa"/>
          </w:tcPr>
          <w:p w14:paraId="0F1602D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11.0</w:t>
            </w:r>
          </w:p>
        </w:tc>
        <w:tc>
          <w:tcPr>
            <w:tcW w:w="1205" w:type="dxa"/>
          </w:tcPr>
          <w:p w14:paraId="5A78BBD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18.0</w:t>
            </w:r>
          </w:p>
        </w:tc>
        <w:tc>
          <w:tcPr>
            <w:tcW w:w="1205" w:type="dxa"/>
          </w:tcPr>
          <w:p w14:paraId="64CBF67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4.0</w:t>
            </w:r>
          </w:p>
        </w:tc>
        <w:tc>
          <w:tcPr>
            <w:tcW w:w="1205" w:type="dxa"/>
          </w:tcPr>
          <w:p w14:paraId="7FBBCDC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c>
          <w:tcPr>
            <w:tcW w:w="1205" w:type="dxa"/>
          </w:tcPr>
          <w:p w14:paraId="62D2709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05" w:type="dxa"/>
          </w:tcPr>
          <w:p w14:paraId="3E35F8F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9.5</w:t>
            </w:r>
          </w:p>
        </w:tc>
        <w:tc>
          <w:tcPr>
            <w:tcW w:w="1205" w:type="dxa"/>
          </w:tcPr>
          <w:p w14:paraId="379C163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05" w:type="dxa"/>
          </w:tcPr>
          <w:p w14:paraId="7A0CD53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2.0</w:t>
            </w:r>
          </w:p>
        </w:tc>
      </w:tr>
      <w:tr w:rsidR="00F53CB4" w:rsidRPr="006A1EC7" w14:paraId="37C9FE6B"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tcPr>
          <w:p w14:paraId="63CC2B01" w14:textId="77777777" w:rsidR="00F53CB4" w:rsidRPr="006A1EC7" w:rsidRDefault="00F53CB4" w:rsidP="00AC2435"/>
        </w:tc>
        <w:tc>
          <w:tcPr>
            <w:tcW w:w="1205" w:type="dxa"/>
          </w:tcPr>
          <w:p w14:paraId="2A9AA9E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1205" w:type="dxa"/>
          </w:tcPr>
          <w:p w14:paraId="0A756D1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31</w:t>
            </w:r>
          </w:p>
        </w:tc>
        <w:tc>
          <w:tcPr>
            <w:tcW w:w="1205" w:type="dxa"/>
          </w:tcPr>
          <w:p w14:paraId="55E6171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205" w:type="dxa"/>
          </w:tcPr>
          <w:p w14:paraId="770FC49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w:t>
            </w:r>
          </w:p>
        </w:tc>
        <w:tc>
          <w:tcPr>
            <w:tcW w:w="1205" w:type="dxa"/>
          </w:tcPr>
          <w:p w14:paraId="32F681E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w:t>
            </w:r>
          </w:p>
        </w:tc>
        <w:tc>
          <w:tcPr>
            <w:tcW w:w="1205" w:type="dxa"/>
          </w:tcPr>
          <w:p w14:paraId="35E2E7E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w:t>
            </w:r>
          </w:p>
        </w:tc>
        <w:tc>
          <w:tcPr>
            <w:tcW w:w="1205" w:type="dxa"/>
          </w:tcPr>
          <w:p w14:paraId="5CE7EA2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c>
          <w:tcPr>
            <w:tcW w:w="1205" w:type="dxa"/>
          </w:tcPr>
          <w:p w14:paraId="480EB47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205" w:type="dxa"/>
          </w:tcPr>
          <w:p w14:paraId="772DC19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w:t>
            </w:r>
          </w:p>
        </w:tc>
        <w:tc>
          <w:tcPr>
            <w:tcW w:w="1205" w:type="dxa"/>
          </w:tcPr>
          <w:p w14:paraId="3169D7C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205" w:type="dxa"/>
          </w:tcPr>
          <w:p w14:paraId="448830E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w:t>
            </w:r>
          </w:p>
        </w:tc>
      </w:tr>
      <w:tr w:rsidR="00F53CB4" w:rsidRPr="006A1EC7" w14:paraId="29342D53" w14:textId="77777777" w:rsidTr="00AC2435">
        <w:tc>
          <w:tcPr>
            <w:cnfStyle w:val="001000000000" w:firstRow="0" w:lastRow="0" w:firstColumn="1" w:lastColumn="0" w:oddVBand="0" w:evenVBand="0" w:oddHBand="0" w:evenHBand="0" w:firstRowFirstColumn="0" w:firstRowLastColumn="0" w:lastRowFirstColumn="0" w:lastRowLastColumn="0"/>
            <w:tcW w:w="1204" w:type="dxa"/>
          </w:tcPr>
          <w:p w14:paraId="5B320E2F" w14:textId="77777777" w:rsidR="00F53CB4" w:rsidRPr="006A1EC7" w:rsidRDefault="00F53CB4" w:rsidP="00AC2435"/>
        </w:tc>
        <w:tc>
          <w:tcPr>
            <w:tcW w:w="1205" w:type="dxa"/>
          </w:tcPr>
          <w:p w14:paraId="2A570D9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1205" w:type="dxa"/>
          </w:tcPr>
          <w:p w14:paraId="68B0747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24</w:t>
            </w:r>
          </w:p>
        </w:tc>
        <w:tc>
          <w:tcPr>
            <w:tcW w:w="1205" w:type="dxa"/>
          </w:tcPr>
          <w:p w14:paraId="54714F6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05" w:type="dxa"/>
          </w:tcPr>
          <w:p w14:paraId="19FEF4A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205" w:type="dxa"/>
          </w:tcPr>
          <w:p w14:paraId="64FCC89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11</w:t>
            </w:r>
          </w:p>
        </w:tc>
        <w:tc>
          <w:tcPr>
            <w:tcW w:w="1205" w:type="dxa"/>
          </w:tcPr>
          <w:p w14:paraId="50A92B5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205" w:type="dxa"/>
          </w:tcPr>
          <w:p w14:paraId="04F08F9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1205" w:type="dxa"/>
          </w:tcPr>
          <w:p w14:paraId="1BC02A7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1205" w:type="dxa"/>
          </w:tcPr>
          <w:p w14:paraId="3629854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11</w:t>
            </w:r>
          </w:p>
        </w:tc>
        <w:tc>
          <w:tcPr>
            <w:tcW w:w="1205" w:type="dxa"/>
          </w:tcPr>
          <w:p w14:paraId="71E9AB4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05" w:type="dxa"/>
          </w:tcPr>
          <w:p w14:paraId="2C5DE55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r>
    </w:tbl>
    <w:p w14:paraId="51BB8026" w14:textId="77777777" w:rsidR="00F53CB4" w:rsidRPr="006A1EC7" w:rsidRDefault="00F53CB4" w:rsidP="00F53CB4">
      <w:pPr>
        <w:pStyle w:val="Caption"/>
        <w:keepNext/>
        <w:rPr>
          <w:sz w:val="24"/>
          <w:szCs w:val="24"/>
        </w:rPr>
      </w:pPr>
    </w:p>
    <w:p w14:paraId="21301816" w14:textId="77777777" w:rsidR="00F53CB4" w:rsidRPr="006A1EC7" w:rsidRDefault="00F53CB4" w:rsidP="00F53CB4">
      <w:pPr>
        <w:rPr>
          <w:i/>
          <w:iCs/>
          <w:color w:val="44546A" w:themeColor="text2"/>
        </w:rPr>
      </w:pPr>
      <w:r w:rsidRPr="006A1EC7">
        <w:br w:type="page"/>
      </w:r>
    </w:p>
    <w:p w14:paraId="4D18B525" w14:textId="77777777" w:rsidR="00F53CB4" w:rsidRPr="006A1EC7" w:rsidRDefault="00F53CB4" w:rsidP="00F53CB4">
      <w:pPr>
        <w:pStyle w:val="Caption"/>
        <w:keepNext/>
        <w:rPr>
          <w:sz w:val="24"/>
          <w:szCs w:val="24"/>
        </w:rPr>
      </w:pPr>
      <w:bookmarkStart w:id="247" w:name="_Toc40173042"/>
      <w:r w:rsidRPr="006A1EC7">
        <w:rPr>
          <w:sz w:val="24"/>
          <w:szCs w:val="24"/>
        </w:rPr>
        <w:lastRenderedPageBreak/>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17</w:t>
      </w:r>
      <w:r w:rsidRPr="006A1EC7">
        <w:rPr>
          <w:sz w:val="24"/>
          <w:szCs w:val="24"/>
        </w:rPr>
        <w:fldChar w:fldCharType="end"/>
      </w:r>
      <w:r w:rsidRPr="006A1EC7">
        <w:rPr>
          <w:sz w:val="24"/>
          <w:szCs w:val="24"/>
        </w:rPr>
        <w:t>: Descriptive statistics for Case Study 4 (Time 1-Time 2)</w:t>
      </w:r>
      <w:bookmarkEnd w:id="247"/>
    </w:p>
    <w:tbl>
      <w:tblPr>
        <w:tblStyle w:val="PlainTable4"/>
        <w:tblW w:w="0" w:type="auto"/>
        <w:tblLayout w:type="fixed"/>
        <w:tblLook w:val="04A0" w:firstRow="1" w:lastRow="0" w:firstColumn="1" w:lastColumn="0" w:noHBand="0" w:noVBand="1"/>
      </w:tblPr>
      <w:tblGrid>
        <w:gridCol w:w="1216"/>
        <w:gridCol w:w="1217"/>
        <w:gridCol w:w="1217"/>
        <w:gridCol w:w="1217"/>
        <w:gridCol w:w="1216"/>
        <w:gridCol w:w="1217"/>
        <w:gridCol w:w="1217"/>
        <w:gridCol w:w="1217"/>
        <w:gridCol w:w="1216"/>
        <w:gridCol w:w="1217"/>
        <w:gridCol w:w="1217"/>
        <w:gridCol w:w="1217"/>
      </w:tblGrid>
      <w:tr w:rsidR="00F53CB4" w:rsidRPr="006A1EC7" w14:paraId="66FEFE83"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47EA2C46" w14:textId="77777777" w:rsidR="00F53CB4" w:rsidRPr="006A1EC7" w:rsidRDefault="00F53CB4" w:rsidP="00AC2435">
            <w:r w:rsidRPr="006A1EC7">
              <w:t>Fineen</w:t>
            </w:r>
          </w:p>
        </w:tc>
        <w:tc>
          <w:tcPr>
            <w:tcW w:w="1217" w:type="dxa"/>
          </w:tcPr>
          <w:p w14:paraId="7DB15F7B"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p>
        </w:tc>
        <w:tc>
          <w:tcPr>
            <w:tcW w:w="1217" w:type="dxa"/>
          </w:tcPr>
          <w:p w14:paraId="18A8DAA9"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Total</w:t>
            </w:r>
          </w:p>
        </w:tc>
        <w:tc>
          <w:tcPr>
            <w:tcW w:w="1217" w:type="dxa"/>
          </w:tcPr>
          <w:p w14:paraId="20D94B4E"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Face</w:t>
            </w:r>
          </w:p>
        </w:tc>
        <w:tc>
          <w:tcPr>
            <w:tcW w:w="1216" w:type="dxa"/>
          </w:tcPr>
          <w:p w14:paraId="4B2AB4DE"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Epilepsy</w:t>
            </w:r>
          </w:p>
        </w:tc>
        <w:tc>
          <w:tcPr>
            <w:tcW w:w="1217" w:type="dxa"/>
          </w:tcPr>
          <w:p w14:paraId="40699811"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Gastro</w:t>
            </w:r>
          </w:p>
        </w:tc>
        <w:tc>
          <w:tcPr>
            <w:tcW w:w="1217" w:type="dxa"/>
          </w:tcPr>
          <w:p w14:paraId="2DFBA1D6"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Cardio</w:t>
            </w:r>
          </w:p>
        </w:tc>
        <w:tc>
          <w:tcPr>
            <w:tcW w:w="1217" w:type="dxa"/>
          </w:tcPr>
          <w:p w14:paraId="297C6A88"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CNS</w:t>
            </w:r>
          </w:p>
        </w:tc>
        <w:tc>
          <w:tcPr>
            <w:tcW w:w="1216" w:type="dxa"/>
          </w:tcPr>
          <w:p w14:paraId="250FAA71"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Immunology</w:t>
            </w:r>
          </w:p>
        </w:tc>
        <w:tc>
          <w:tcPr>
            <w:tcW w:w="1217" w:type="dxa"/>
          </w:tcPr>
          <w:p w14:paraId="650A6C04"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Functioning</w:t>
            </w:r>
          </w:p>
        </w:tc>
        <w:tc>
          <w:tcPr>
            <w:tcW w:w="1217" w:type="dxa"/>
          </w:tcPr>
          <w:p w14:paraId="5BDED3C8"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Sleep</w:t>
            </w:r>
          </w:p>
        </w:tc>
        <w:tc>
          <w:tcPr>
            <w:tcW w:w="1217" w:type="dxa"/>
          </w:tcPr>
          <w:p w14:paraId="0E6F82F1"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Care</w:t>
            </w:r>
          </w:p>
        </w:tc>
      </w:tr>
      <w:tr w:rsidR="00F53CB4" w:rsidRPr="006A1EC7" w14:paraId="4F662F49"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5F76D2D0" w14:textId="77777777" w:rsidR="00F53CB4" w:rsidRPr="006A1EC7" w:rsidRDefault="00F53CB4" w:rsidP="00AC2435">
            <w:r w:rsidRPr="006A1EC7">
              <w:t>Time 1</w:t>
            </w:r>
          </w:p>
          <w:p w14:paraId="6C824CA0" w14:textId="77777777" w:rsidR="00F53CB4" w:rsidRPr="006A1EC7" w:rsidRDefault="00F53CB4" w:rsidP="00AC2435">
            <w:r w:rsidRPr="006A1EC7">
              <w:t>(n = 36)</w:t>
            </w:r>
          </w:p>
        </w:tc>
        <w:tc>
          <w:tcPr>
            <w:tcW w:w="1217" w:type="dxa"/>
          </w:tcPr>
          <w:p w14:paraId="5DC298E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1217" w:type="dxa"/>
          </w:tcPr>
          <w:p w14:paraId="0D6FA1D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26.3 (3.6)</w:t>
            </w:r>
          </w:p>
        </w:tc>
        <w:tc>
          <w:tcPr>
            <w:tcW w:w="1217" w:type="dxa"/>
          </w:tcPr>
          <w:p w14:paraId="0EA188F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2.3 (.8)</w:t>
            </w:r>
          </w:p>
        </w:tc>
        <w:tc>
          <w:tcPr>
            <w:tcW w:w="1216" w:type="dxa"/>
          </w:tcPr>
          <w:p w14:paraId="6610DC0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 (.0)</w:t>
            </w:r>
          </w:p>
        </w:tc>
        <w:tc>
          <w:tcPr>
            <w:tcW w:w="1217" w:type="dxa"/>
          </w:tcPr>
          <w:p w14:paraId="2FD5C00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4.3 (1.6)</w:t>
            </w:r>
          </w:p>
        </w:tc>
        <w:tc>
          <w:tcPr>
            <w:tcW w:w="1217" w:type="dxa"/>
          </w:tcPr>
          <w:p w14:paraId="36348AF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4.5 (.8)</w:t>
            </w:r>
          </w:p>
        </w:tc>
        <w:tc>
          <w:tcPr>
            <w:tcW w:w="1217" w:type="dxa"/>
          </w:tcPr>
          <w:p w14:paraId="18C3BE9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4.5 (1.0)</w:t>
            </w:r>
          </w:p>
        </w:tc>
        <w:tc>
          <w:tcPr>
            <w:tcW w:w="1216" w:type="dxa"/>
          </w:tcPr>
          <w:p w14:paraId="287425D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3.6 (2.2)</w:t>
            </w:r>
          </w:p>
        </w:tc>
        <w:tc>
          <w:tcPr>
            <w:tcW w:w="1217" w:type="dxa"/>
          </w:tcPr>
          <w:p w14:paraId="0ADC614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3.8 (1.0)</w:t>
            </w:r>
          </w:p>
        </w:tc>
        <w:tc>
          <w:tcPr>
            <w:tcW w:w="1217" w:type="dxa"/>
          </w:tcPr>
          <w:p w14:paraId="438DA9A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2.3 (.9)</w:t>
            </w:r>
          </w:p>
        </w:tc>
        <w:tc>
          <w:tcPr>
            <w:tcW w:w="1217" w:type="dxa"/>
          </w:tcPr>
          <w:p w14:paraId="2CB24DF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 (.0)</w:t>
            </w:r>
          </w:p>
        </w:tc>
      </w:tr>
      <w:tr w:rsidR="00F53CB4" w:rsidRPr="006A1EC7" w14:paraId="5B24A5B7" w14:textId="77777777" w:rsidTr="00AC2435">
        <w:tc>
          <w:tcPr>
            <w:cnfStyle w:val="001000000000" w:firstRow="0" w:lastRow="0" w:firstColumn="1" w:lastColumn="0" w:oddVBand="0" w:evenVBand="0" w:oddHBand="0" w:evenHBand="0" w:firstRowFirstColumn="0" w:firstRowLastColumn="0" w:lastRowFirstColumn="0" w:lastRowLastColumn="0"/>
            <w:tcW w:w="1216" w:type="dxa"/>
          </w:tcPr>
          <w:p w14:paraId="1E30D797" w14:textId="77777777" w:rsidR="00F53CB4" w:rsidRPr="006A1EC7" w:rsidRDefault="00F53CB4" w:rsidP="00AC2435"/>
        </w:tc>
        <w:tc>
          <w:tcPr>
            <w:tcW w:w="1217" w:type="dxa"/>
          </w:tcPr>
          <w:p w14:paraId="52CB8E0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1217" w:type="dxa"/>
          </w:tcPr>
          <w:p w14:paraId="66156C8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26.0</w:t>
            </w:r>
          </w:p>
        </w:tc>
        <w:tc>
          <w:tcPr>
            <w:tcW w:w="1217" w:type="dxa"/>
          </w:tcPr>
          <w:p w14:paraId="5EF14EC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2.0</w:t>
            </w:r>
          </w:p>
        </w:tc>
        <w:tc>
          <w:tcPr>
            <w:tcW w:w="1216" w:type="dxa"/>
          </w:tcPr>
          <w:p w14:paraId="6A68436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3CEE536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4.0</w:t>
            </w:r>
          </w:p>
        </w:tc>
        <w:tc>
          <w:tcPr>
            <w:tcW w:w="1217" w:type="dxa"/>
          </w:tcPr>
          <w:p w14:paraId="1E019A5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5.0</w:t>
            </w:r>
          </w:p>
        </w:tc>
        <w:tc>
          <w:tcPr>
            <w:tcW w:w="1217" w:type="dxa"/>
          </w:tcPr>
          <w:p w14:paraId="3E8AB6E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4.0</w:t>
            </w:r>
          </w:p>
        </w:tc>
        <w:tc>
          <w:tcPr>
            <w:tcW w:w="1216" w:type="dxa"/>
          </w:tcPr>
          <w:p w14:paraId="6A967CD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5.0</w:t>
            </w:r>
          </w:p>
        </w:tc>
        <w:tc>
          <w:tcPr>
            <w:tcW w:w="1217" w:type="dxa"/>
          </w:tcPr>
          <w:p w14:paraId="2A4089F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4.0</w:t>
            </w:r>
          </w:p>
        </w:tc>
        <w:tc>
          <w:tcPr>
            <w:tcW w:w="1217" w:type="dxa"/>
          </w:tcPr>
          <w:p w14:paraId="08FAA41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2.0</w:t>
            </w:r>
          </w:p>
        </w:tc>
        <w:tc>
          <w:tcPr>
            <w:tcW w:w="1217" w:type="dxa"/>
          </w:tcPr>
          <w:p w14:paraId="1276303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r>
      <w:tr w:rsidR="00F53CB4" w:rsidRPr="006A1EC7" w14:paraId="68510EA3"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27F6415D" w14:textId="77777777" w:rsidR="00F53CB4" w:rsidRPr="006A1EC7" w:rsidRDefault="00F53CB4" w:rsidP="00AC2435"/>
        </w:tc>
        <w:tc>
          <w:tcPr>
            <w:tcW w:w="1217" w:type="dxa"/>
          </w:tcPr>
          <w:p w14:paraId="2D36452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1217" w:type="dxa"/>
          </w:tcPr>
          <w:p w14:paraId="1606F39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28</w:t>
            </w:r>
          </w:p>
        </w:tc>
        <w:tc>
          <w:tcPr>
            <w:tcW w:w="1217" w:type="dxa"/>
          </w:tcPr>
          <w:p w14:paraId="23BC5B6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w:t>
            </w:r>
          </w:p>
        </w:tc>
        <w:tc>
          <w:tcPr>
            <w:tcW w:w="1216" w:type="dxa"/>
          </w:tcPr>
          <w:p w14:paraId="0C0A321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217" w:type="dxa"/>
          </w:tcPr>
          <w:p w14:paraId="7E30696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w:t>
            </w:r>
          </w:p>
        </w:tc>
        <w:tc>
          <w:tcPr>
            <w:tcW w:w="1217" w:type="dxa"/>
          </w:tcPr>
          <w:p w14:paraId="2247A3F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w:t>
            </w:r>
          </w:p>
        </w:tc>
        <w:tc>
          <w:tcPr>
            <w:tcW w:w="1217" w:type="dxa"/>
          </w:tcPr>
          <w:p w14:paraId="316988E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w:t>
            </w:r>
          </w:p>
        </w:tc>
        <w:tc>
          <w:tcPr>
            <w:tcW w:w="1216" w:type="dxa"/>
          </w:tcPr>
          <w:p w14:paraId="38B5E7C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w:t>
            </w:r>
          </w:p>
        </w:tc>
        <w:tc>
          <w:tcPr>
            <w:tcW w:w="1217" w:type="dxa"/>
          </w:tcPr>
          <w:p w14:paraId="3589795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217" w:type="dxa"/>
          </w:tcPr>
          <w:p w14:paraId="75FFB87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217" w:type="dxa"/>
          </w:tcPr>
          <w:p w14:paraId="6E55B01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r>
      <w:tr w:rsidR="00F53CB4" w:rsidRPr="006A1EC7" w14:paraId="53F8A79C" w14:textId="77777777" w:rsidTr="00AC2435">
        <w:tc>
          <w:tcPr>
            <w:cnfStyle w:val="001000000000" w:firstRow="0" w:lastRow="0" w:firstColumn="1" w:lastColumn="0" w:oddVBand="0" w:evenVBand="0" w:oddHBand="0" w:evenHBand="0" w:firstRowFirstColumn="0" w:firstRowLastColumn="0" w:lastRowFirstColumn="0" w:lastRowLastColumn="0"/>
            <w:tcW w:w="1216" w:type="dxa"/>
          </w:tcPr>
          <w:p w14:paraId="08AB6A8B" w14:textId="77777777" w:rsidR="00F53CB4" w:rsidRPr="006A1EC7" w:rsidRDefault="00F53CB4" w:rsidP="00AC2435"/>
        </w:tc>
        <w:tc>
          <w:tcPr>
            <w:tcW w:w="1217" w:type="dxa"/>
          </w:tcPr>
          <w:p w14:paraId="33231C7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1217" w:type="dxa"/>
          </w:tcPr>
          <w:p w14:paraId="6508672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15</w:t>
            </w:r>
          </w:p>
        </w:tc>
        <w:tc>
          <w:tcPr>
            <w:tcW w:w="1217" w:type="dxa"/>
          </w:tcPr>
          <w:p w14:paraId="0E6B616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w:t>
            </w:r>
          </w:p>
        </w:tc>
        <w:tc>
          <w:tcPr>
            <w:tcW w:w="1216" w:type="dxa"/>
          </w:tcPr>
          <w:p w14:paraId="4883578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71C26E1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6</w:t>
            </w:r>
          </w:p>
        </w:tc>
        <w:tc>
          <w:tcPr>
            <w:tcW w:w="1217" w:type="dxa"/>
          </w:tcPr>
          <w:p w14:paraId="4B079A6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w:t>
            </w:r>
          </w:p>
        </w:tc>
        <w:tc>
          <w:tcPr>
            <w:tcW w:w="1217" w:type="dxa"/>
          </w:tcPr>
          <w:p w14:paraId="7DBBB7C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1216" w:type="dxa"/>
          </w:tcPr>
          <w:p w14:paraId="25868DB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1217" w:type="dxa"/>
          </w:tcPr>
          <w:p w14:paraId="35F743F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w:t>
            </w:r>
          </w:p>
        </w:tc>
        <w:tc>
          <w:tcPr>
            <w:tcW w:w="1217" w:type="dxa"/>
          </w:tcPr>
          <w:p w14:paraId="69F7A4E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217" w:type="dxa"/>
          </w:tcPr>
          <w:p w14:paraId="5C7D74D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r>
      <w:tr w:rsidR="00F53CB4" w:rsidRPr="006A1EC7" w14:paraId="06CAEE87"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0542F267" w14:textId="77777777" w:rsidR="00F53CB4" w:rsidRPr="006A1EC7" w:rsidRDefault="00F53CB4" w:rsidP="00AC2435">
            <w:r w:rsidRPr="006A1EC7">
              <w:t>Time 2</w:t>
            </w:r>
          </w:p>
          <w:p w14:paraId="745A0E04" w14:textId="77777777" w:rsidR="00F53CB4" w:rsidRPr="006A1EC7" w:rsidRDefault="00F53CB4" w:rsidP="00AC2435">
            <w:r w:rsidRPr="006A1EC7">
              <w:t>(n = 8)</w:t>
            </w:r>
          </w:p>
        </w:tc>
        <w:tc>
          <w:tcPr>
            <w:tcW w:w="1217" w:type="dxa"/>
          </w:tcPr>
          <w:p w14:paraId="3DD89CE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1217" w:type="dxa"/>
          </w:tcPr>
          <w:p w14:paraId="3A08F21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25.1 (3.8)</w:t>
            </w:r>
          </w:p>
        </w:tc>
        <w:tc>
          <w:tcPr>
            <w:tcW w:w="1217" w:type="dxa"/>
          </w:tcPr>
          <w:p w14:paraId="043CF6F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2.0 (.8)</w:t>
            </w:r>
          </w:p>
        </w:tc>
        <w:tc>
          <w:tcPr>
            <w:tcW w:w="1216" w:type="dxa"/>
          </w:tcPr>
          <w:p w14:paraId="31DC011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 (.0)</w:t>
            </w:r>
          </w:p>
        </w:tc>
        <w:tc>
          <w:tcPr>
            <w:tcW w:w="1217" w:type="dxa"/>
          </w:tcPr>
          <w:p w14:paraId="60224CC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4.9 (1.6)</w:t>
            </w:r>
          </w:p>
        </w:tc>
        <w:tc>
          <w:tcPr>
            <w:tcW w:w="1217" w:type="dxa"/>
          </w:tcPr>
          <w:p w14:paraId="1EE9744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4.5 (.9)</w:t>
            </w:r>
          </w:p>
        </w:tc>
        <w:tc>
          <w:tcPr>
            <w:tcW w:w="1217" w:type="dxa"/>
          </w:tcPr>
          <w:p w14:paraId="7D1F4BF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4.1 (1.9)</w:t>
            </w:r>
          </w:p>
        </w:tc>
        <w:tc>
          <w:tcPr>
            <w:tcW w:w="1216" w:type="dxa"/>
          </w:tcPr>
          <w:p w14:paraId="34B14F9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2.9 (2.5)</w:t>
            </w:r>
          </w:p>
        </w:tc>
        <w:tc>
          <w:tcPr>
            <w:tcW w:w="1217" w:type="dxa"/>
          </w:tcPr>
          <w:p w14:paraId="114640A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3.4 (1.9)</w:t>
            </w:r>
          </w:p>
        </w:tc>
        <w:tc>
          <w:tcPr>
            <w:tcW w:w="1217" w:type="dxa"/>
          </w:tcPr>
          <w:p w14:paraId="4F29F08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1.9 (.8)</w:t>
            </w:r>
          </w:p>
        </w:tc>
        <w:tc>
          <w:tcPr>
            <w:tcW w:w="1217" w:type="dxa"/>
          </w:tcPr>
          <w:p w14:paraId="16FD199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 (.0)</w:t>
            </w:r>
          </w:p>
        </w:tc>
      </w:tr>
      <w:tr w:rsidR="00F53CB4" w:rsidRPr="006A1EC7" w14:paraId="08D46143" w14:textId="77777777" w:rsidTr="00AC2435">
        <w:tc>
          <w:tcPr>
            <w:cnfStyle w:val="001000000000" w:firstRow="0" w:lastRow="0" w:firstColumn="1" w:lastColumn="0" w:oddVBand="0" w:evenVBand="0" w:oddHBand="0" w:evenHBand="0" w:firstRowFirstColumn="0" w:firstRowLastColumn="0" w:lastRowFirstColumn="0" w:lastRowLastColumn="0"/>
            <w:tcW w:w="1216" w:type="dxa"/>
          </w:tcPr>
          <w:p w14:paraId="322D6784" w14:textId="77777777" w:rsidR="00F53CB4" w:rsidRPr="006A1EC7" w:rsidRDefault="00F53CB4" w:rsidP="00AC2435"/>
        </w:tc>
        <w:tc>
          <w:tcPr>
            <w:tcW w:w="1217" w:type="dxa"/>
          </w:tcPr>
          <w:p w14:paraId="12E90ED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1217" w:type="dxa"/>
          </w:tcPr>
          <w:p w14:paraId="11EA35E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27</w:t>
            </w:r>
          </w:p>
        </w:tc>
        <w:tc>
          <w:tcPr>
            <w:tcW w:w="1217" w:type="dxa"/>
          </w:tcPr>
          <w:p w14:paraId="6123A24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2.0</w:t>
            </w:r>
          </w:p>
        </w:tc>
        <w:tc>
          <w:tcPr>
            <w:tcW w:w="1216" w:type="dxa"/>
          </w:tcPr>
          <w:p w14:paraId="2F16890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0E94246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5.0</w:t>
            </w:r>
          </w:p>
        </w:tc>
        <w:tc>
          <w:tcPr>
            <w:tcW w:w="1217" w:type="dxa"/>
          </w:tcPr>
          <w:p w14:paraId="6444EF6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5.5</w:t>
            </w:r>
          </w:p>
        </w:tc>
        <w:tc>
          <w:tcPr>
            <w:tcW w:w="1217" w:type="dxa"/>
          </w:tcPr>
          <w:p w14:paraId="43A17C3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5.0</w:t>
            </w:r>
          </w:p>
        </w:tc>
        <w:tc>
          <w:tcPr>
            <w:tcW w:w="1216" w:type="dxa"/>
          </w:tcPr>
          <w:p w14:paraId="25281BF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4.0</w:t>
            </w:r>
          </w:p>
        </w:tc>
        <w:tc>
          <w:tcPr>
            <w:tcW w:w="1217" w:type="dxa"/>
          </w:tcPr>
          <w:p w14:paraId="0EC654A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4.0</w:t>
            </w:r>
          </w:p>
        </w:tc>
        <w:tc>
          <w:tcPr>
            <w:tcW w:w="1217" w:type="dxa"/>
          </w:tcPr>
          <w:p w14:paraId="69A9ACA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2.0</w:t>
            </w:r>
          </w:p>
        </w:tc>
        <w:tc>
          <w:tcPr>
            <w:tcW w:w="1217" w:type="dxa"/>
          </w:tcPr>
          <w:p w14:paraId="2D509E4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r>
      <w:tr w:rsidR="00F53CB4" w:rsidRPr="006A1EC7" w14:paraId="7B6BDACC"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56A3F08D" w14:textId="77777777" w:rsidR="00F53CB4" w:rsidRPr="006A1EC7" w:rsidRDefault="00F53CB4" w:rsidP="00AC2435"/>
        </w:tc>
        <w:tc>
          <w:tcPr>
            <w:tcW w:w="1217" w:type="dxa"/>
          </w:tcPr>
          <w:p w14:paraId="6A50275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1217" w:type="dxa"/>
          </w:tcPr>
          <w:p w14:paraId="20011CF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27</w:t>
            </w:r>
          </w:p>
        </w:tc>
        <w:tc>
          <w:tcPr>
            <w:tcW w:w="1217" w:type="dxa"/>
          </w:tcPr>
          <w:p w14:paraId="65C07DE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w:t>
            </w:r>
          </w:p>
        </w:tc>
        <w:tc>
          <w:tcPr>
            <w:tcW w:w="1216" w:type="dxa"/>
          </w:tcPr>
          <w:p w14:paraId="24AAE8C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217" w:type="dxa"/>
          </w:tcPr>
          <w:p w14:paraId="4BB0D64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w:t>
            </w:r>
          </w:p>
        </w:tc>
        <w:tc>
          <w:tcPr>
            <w:tcW w:w="1217" w:type="dxa"/>
          </w:tcPr>
          <w:p w14:paraId="5A1A817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4</w:t>
            </w:r>
          </w:p>
        </w:tc>
        <w:tc>
          <w:tcPr>
            <w:tcW w:w="1217" w:type="dxa"/>
          </w:tcPr>
          <w:p w14:paraId="45E6B51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w:t>
            </w:r>
          </w:p>
        </w:tc>
        <w:tc>
          <w:tcPr>
            <w:tcW w:w="1216" w:type="dxa"/>
          </w:tcPr>
          <w:p w14:paraId="3EBDDF9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5.0</w:t>
            </w:r>
          </w:p>
        </w:tc>
        <w:tc>
          <w:tcPr>
            <w:tcW w:w="1217" w:type="dxa"/>
          </w:tcPr>
          <w:p w14:paraId="1536779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w:t>
            </w:r>
          </w:p>
        </w:tc>
        <w:tc>
          <w:tcPr>
            <w:tcW w:w="1217" w:type="dxa"/>
          </w:tcPr>
          <w:p w14:paraId="6596EBB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w:t>
            </w:r>
          </w:p>
        </w:tc>
        <w:tc>
          <w:tcPr>
            <w:tcW w:w="1217" w:type="dxa"/>
          </w:tcPr>
          <w:p w14:paraId="69DDC21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r>
      <w:tr w:rsidR="00F53CB4" w:rsidRPr="006A1EC7" w14:paraId="7DE69EDB" w14:textId="77777777" w:rsidTr="00AC2435">
        <w:tc>
          <w:tcPr>
            <w:cnfStyle w:val="001000000000" w:firstRow="0" w:lastRow="0" w:firstColumn="1" w:lastColumn="0" w:oddVBand="0" w:evenVBand="0" w:oddHBand="0" w:evenHBand="0" w:firstRowFirstColumn="0" w:firstRowLastColumn="0" w:lastRowFirstColumn="0" w:lastRowLastColumn="0"/>
            <w:tcW w:w="1216" w:type="dxa"/>
          </w:tcPr>
          <w:p w14:paraId="73B5BA45" w14:textId="77777777" w:rsidR="00F53CB4" w:rsidRPr="006A1EC7" w:rsidRDefault="00F53CB4" w:rsidP="00AC2435"/>
        </w:tc>
        <w:tc>
          <w:tcPr>
            <w:tcW w:w="1217" w:type="dxa"/>
          </w:tcPr>
          <w:p w14:paraId="1DB7D42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1217" w:type="dxa"/>
          </w:tcPr>
          <w:p w14:paraId="3052324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c>
          <w:tcPr>
            <w:tcW w:w="1217" w:type="dxa"/>
          </w:tcPr>
          <w:p w14:paraId="5C5FDFC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6" w:type="dxa"/>
          </w:tcPr>
          <w:p w14:paraId="6517C2A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5B93952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1217" w:type="dxa"/>
          </w:tcPr>
          <w:p w14:paraId="47CEB9A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217" w:type="dxa"/>
          </w:tcPr>
          <w:p w14:paraId="60B4775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w:t>
            </w:r>
          </w:p>
        </w:tc>
        <w:tc>
          <w:tcPr>
            <w:tcW w:w="1216" w:type="dxa"/>
          </w:tcPr>
          <w:p w14:paraId="0652DEE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1217" w:type="dxa"/>
          </w:tcPr>
          <w:p w14:paraId="343E3AC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w:t>
            </w:r>
          </w:p>
        </w:tc>
        <w:tc>
          <w:tcPr>
            <w:tcW w:w="1217" w:type="dxa"/>
          </w:tcPr>
          <w:p w14:paraId="5260DB1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217" w:type="dxa"/>
          </w:tcPr>
          <w:p w14:paraId="68C237E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r>
    </w:tbl>
    <w:p w14:paraId="13693BE3" w14:textId="77777777" w:rsidR="00F53CB4" w:rsidRPr="006A1EC7" w:rsidRDefault="00F53CB4" w:rsidP="00F53CB4"/>
    <w:p w14:paraId="472B1E8C" w14:textId="77777777" w:rsidR="00F53CB4" w:rsidRPr="006A1EC7" w:rsidRDefault="00F53CB4" w:rsidP="00F53CB4">
      <w:pPr>
        <w:pStyle w:val="Caption"/>
        <w:keepNext/>
        <w:rPr>
          <w:sz w:val="24"/>
          <w:szCs w:val="24"/>
        </w:rPr>
      </w:pPr>
      <w:bookmarkStart w:id="248" w:name="_Toc40173043"/>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18</w:t>
      </w:r>
      <w:r w:rsidRPr="006A1EC7">
        <w:rPr>
          <w:sz w:val="24"/>
          <w:szCs w:val="24"/>
        </w:rPr>
        <w:fldChar w:fldCharType="end"/>
      </w:r>
      <w:r w:rsidRPr="006A1EC7">
        <w:rPr>
          <w:sz w:val="24"/>
          <w:szCs w:val="24"/>
        </w:rPr>
        <w:t>: Descriptive statistics for Case Study 5 (Time 1-Time 2)</w:t>
      </w:r>
      <w:bookmarkEnd w:id="248"/>
    </w:p>
    <w:tbl>
      <w:tblPr>
        <w:tblStyle w:val="PlainTable4"/>
        <w:tblW w:w="0" w:type="auto"/>
        <w:tblLayout w:type="fixed"/>
        <w:tblLook w:val="04A0" w:firstRow="1" w:lastRow="0" w:firstColumn="1" w:lastColumn="0" w:noHBand="0" w:noVBand="1"/>
      </w:tblPr>
      <w:tblGrid>
        <w:gridCol w:w="1216"/>
        <w:gridCol w:w="1217"/>
        <w:gridCol w:w="1217"/>
        <w:gridCol w:w="1217"/>
        <w:gridCol w:w="1216"/>
        <w:gridCol w:w="1217"/>
        <w:gridCol w:w="1217"/>
        <w:gridCol w:w="1217"/>
        <w:gridCol w:w="1216"/>
        <w:gridCol w:w="1217"/>
        <w:gridCol w:w="1217"/>
        <w:gridCol w:w="1217"/>
      </w:tblGrid>
      <w:tr w:rsidR="00F53CB4" w:rsidRPr="006A1EC7" w14:paraId="2839B6A6"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5C3FCBB5" w14:textId="77777777" w:rsidR="00F53CB4" w:rsidRPr="006A1EC7" w:rsidRDefault="00F53CB4" w:rsidP="00AC2435">
            <w:r w:rsidRPr="006A1EC7">
              <w:t>Alessandro</w:t>
            </w:r>
          </w:p>
        </w:tc>
        <w:tc>
          <w:tcPr>
            <w:tcW w:w="1217" w:type="dxa"/>
          </w:tcPr>
          <w:p w14:paraId="1676B958"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p>
        </w:tc>
        <w:tc>
          <w:tcPr>
            <w:tcW w:w="1217" w:type="dxa"/>
          </w:tcPr>
          <w:p w14:paraId="63B12F98"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Total</w:t>
            </w:r>
          </w:p>
        </w:tc>
        <w:tc>
          <w:tcPr>
            <w:tcW w:w="1217" w:type="dxa"/>
          </w:tcPr>
          <w:p w14:paraId="1F7BD720"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Face</w:t>
            </w:r>
          </w:p>
        </w:tc>
        <w:tc>
          <w:tcPr>
            <w:tcW w:w="1216" w:type="dxa"/>
          </w:tcPr>
          <w:p w14:paraId="6CF8B898"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Epilepsy</w:t>
            </w:r>
          </w:p>
        </w:tc>
        <w:tc>
          <w:tcPr>
            <w:tcW w:w="1217" w:type="dxa"/>
          </w:tcPr>
          <w:p w14:paraId="1CCE947C"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Gastro</w:t>
            </w:r>
          </w:p>
        </w:tc>
        <w:tc>
          <w:tcPr>
            <w:tcW w:w="1217" w:type="dxa"/>
          </w:tcPr>
          <w:p w14:paraId="3C2316DD"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Cardio</w:t>
            </w:r>
          </w:p>
        </w:tc>
        <w:tc>
          <w:tcPr>
            <w:tcW w:w="1217" w:type="dxa"/>
          </w:tcPr>
          <w:p w14:paraId="2930F082"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CNS</w:t>
            </w:r>
          </w:p>
        </w:tc>
        <w:tc>
          <w:tcPr>
            <w:tcW w:w="1216" w:type="dxa"/>
          </w:tcPr>
          <w:p w14:paraId="558764FF"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Immunology</w:t>
            </w:r>
          </w:p>
        </w:tc>
        <w:tc>
          <w:tcPr>
            <w:tcW w:w="1217" w:type="dxa"/>
          </w:tcPr>
          <w:p w14:paraId="463A6633"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Functioning</w:t>
            </w:r>
          </w:p>
        </w:tc>
        <w:tc>
          <w:tcPr>
            <w:tcW w:w="1217" w:type="dxa"/>
          </w:tcPr>
          <w:p w14:paraId="496F8B04"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Sleep</w:t>
            </w:r>
          </w:p>
        </w:tc>
        <w:tc>
          <w:tcPr>
            <w:tcW w:w="1217" w:type="dxa"/>
          </w:tcPr>
          <w:p w14:paraId="57350626"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pPr>
            <w:r w:rsidRPr="006A1EC7">
              <w:t>Care</w:t>
            </w:r>
          </w:p>
        </w:tc>
      </w:tr>
      <w:tr w:rsidR="00F53CB4" w:rsidRPr="006A1EC7" w14:paraId="1ED1900F"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4920C5C9" w14:textId="77777777" w:rsidR="00F53CB4" w:rsidRPr="006A1EC7" w:rsidRDefault="00F53CB4" w:rsidP="00AC2435">
            <w:pPr>
              <w:rPr>
                <w:b w:val="0"/>
                <w:bCs w:val="0"/>
              </w:rPr>
            </w:pPr>
            <w:r w:rsidRPr="006A1EC7">
              <w:t xml:space="preserve">Time 1 </w:t>
            </w:r>
          </w:p>
          <w:p w14:paraId="095094CD" w14:textId="77777777" w:rsidR="00F53CB4" w:rsidRPr="006A1EC7" w:rsidRDefault="00F53CB4" w:rsidP="00AC2435">
            <w:pPr>
              <w:rPr>
                <w:b w:val="0"/>
                <w:bCs w:val="0"/>
              </w:rPr>
            </w:pPr>
            <w:r w:rsidRPr="006A1EC7">
              <w:t>(n = 24)</w:t>
            </w:r>
          </w:p>
        </w:tc>
        <w:tc>
          <w:tcPr>
            <w:tcW w:w="1217" w:type="dxa"/>
          </w:tcPr>
          <w:p w14:paraId="73693BB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1217" w:type="dxa"/>
          </w:tcPr>
          <w:p w14:paraId="27249AA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69.6 (3.4)</w:t>
            </w:r>
          </w:p>
        </w:tc>
        <w:tc>
          <w:tcPr>
            <w:tcW w:w="1217" w:type="dxa"/>
          </w:tcPr>
          <w:p w14:paraId="424D8A9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3.5 (.8)</w:t>
            </w:r>
          </w:p>
        </w:tc>
        <w:tc>
          <w:tcPr>
            <w:tcW w:w="1216" w:type="dxa"/>
          </w:tcPr>
          <w:p w14:paraId="33CA130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 (.80)</w:t>
            </w:r>
          </w:p>
        </w:tc>
        <w:tc>
          <w:tcPr>
            <w:tcW w:w="1217" w:type="dxa"/>
          </w:tcPr>
          <w:p w14:paraId="6A49B7E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21.0 (2.2)</w:t>
            </w:r>
          </w:p>
        </w:tc>
        <w:tc>
          <w:tcPr>
            <w:tcW w:w="1217" w:type="dxa"/>
          </w:tcPr>
          <w:p w14:paraId="2921257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5.0 (.2)</w:t>
            </w:r>
          </w:p>
        </w:tc>
        <w:tc>
          <w:tcPr>
            <w:tcW w:w="1217" w:type="dxa"/>
          </w:tcPr>
          <w:p w14:paraId="77A7D69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15.0 (1.6)</w:t>
            </w:r>
          </w:p>
        </w:tc>
        <w:tc>
          <w:tcPr>
            <w:tcW w:w="1216" w:type="dxa"/>
          </w:tcPr>
          <w:p w14:paraId="7CE0692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8.7 (.1)</w:t>
            </w:r>
          </w:p>
        </w:tc>
        <w:tc>
          <w:tcPr>
            <w:tcW w:w="1217" w:type="dxa"/>
          </w:tcPr>
          <w:p w14:paraId="482FA2D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10.3 (1.1)</w:t>
            </w:r>
          </w:p>
        </w:tc>
        <w:tc>
          <w:tcPr>
            <w:tcW w:w="1217" w:type="dxa"/>
          </w:tcPr>
          <w:p w14:paraId="6685D9B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3.0 (.0)</w:t>
            </w:r>
          </w:p>
        </w:tc>
        <w:tc>
          <w:tcPr>
            <w:tcW w:w="1217" w:type="dxa"/>
          </w:tcPr>
          <w:p w14:paraId="37FDCDE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1.14 (.3)</w:t>
            </w:r>
          </w:p>
        </w:tc>
      </w:tr>
      <w:tr w:rsidR="00F53CB4" w:rsidRPr="006A1EC7" w14:paraId="0D72E720" w14:textId="77777777" w:rsidTr="00AC2435">
        <w:tc>
          <w:tcPr>
            <w:cnfStyle w:val="001000000000" w:firstRow="0" w:lastRow="0" w:firstColumn="1" w:lastColumn="0" w:oddVBand="0" w:evenVBand="0" w:oddHBand="0" w:evenHBand="0" w:firstRowFirstColumn="0" w:firstRowLastColumn="0" w:lastRowFirstColumn="0" w:lastRowLastColumn="0"/>
            <w:tcW w:w="1216" w:type="dxa"/>
          </w:tcPr>
          <w:p w14:paraId="68904133" w14:textId="77777777" w:rsidR="00F53CB4" w:rsidRPr="006A1EC7" w:rsidRDefault="00F53CB4" w:rsidP="00AC2435"/>
        </w:tc>
        <w:tc>
          <w:tcPr>
            <w:tcW w:w="1217" w:type="dxa"/>
          </w:tcPr>
          <w:p w14:paraId="012232C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1217" w:type="dxa"/>
          </w:tcPr>
          <w:p w14:paraId="18018E7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70.0</w:t>
            </w:r>
          </w:p>
        </w:tc>
        <w:tc>
          <w:tcPr>
            <w:tcW w:w="1217" w:type="dxa"/>
          </w:tcPr>
          <w:p w14:paraId="0EC37D9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3.0</w:t>
            </w:r>
          </w:p>
        </w:tc>
        <w:tc>
          <w:tcPr>
            <w:tcW w:w="1216" w:type="dxa"/>
          </w:tcPr>
          <w:p w14:paraId="7CB4FF3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46AF2FB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21.0</w:t>
            </w:r>
          </w:p>
        </w:tc>
        <w:tc>
          <w:tcPr>
            <w:tcW w:w="1217" w:type="dxa"/>
          </w:tcPr>
          <w:p w14:paraId="49C65C2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5.0</w:t>
            </w:r>
          </w:p>
        </w:tc>
        <w:tc>
          <w:tcPr>
            <w:tcW w:w="1217" w:type="dxa"/>
          </w:tcPr>
          <w:p w14:paraId="59CAAB8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15.0</w:t>
            </w:r>
          </w:p>
        </w:tc>
        <w:tc>
          <w:tcPr>
            <w:tcW w:w="1216" w:type="dxa"/>
          </w:tcPr>
          <w:p w14:paraId="4F23F01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9.0</w:t>
            </w:r>
          </w:p>
        </w:tc>
        <w:tc>
          <w:tcPr>
            <w:tcW w:w="1217" w:type="dxa"/>
          </w:tcPr>
          <w:p w14:paraId="30BEF1E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11.0</w:t>
            </w:r>
          </w:p>
        </w:tc>
        <w:tc>
          <w:tcPr>
            <w:tcW w:w="1217" w:type="dxa"/>
          </w:tcPr>
          <w:p w14:paraId="285330A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3.0</w:t>
            </w:r>
          </w:p>
        </w:tc>
        <w:tc>
          <w:tcPr>
            <w:tcW w:w="1217" w:type="dxa"/>
          </w:tcPr>
          <w:p w14:paraId="1A7ECC5E"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r>
      <w:tr w:rsidR="00F53CB4" w:rsidRPr="006A1EC7" w14:paraId="0A0970B2"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0C197A37" w14:textId="77777777" w:rsidR="00F53CB4" w:rsidRPr="006A1EC7" w:rsidRDefault="00F53CB4" w:rsidP="00AC2435"/>
        </w:tc>
        <w:tc>
          <w:tcPr>
            <w:tcW w:w="1217" w:type="dxa"/>
          </w:tcPr>
          <w:p w14:paraId="48723D5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1217" w:type="dxa"/>
          </w:tcPr>
          <w:p w14:paraId="61A6FBC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69</w:t>
            </w:r>
          </w:p>
        </w:tc>
        <w:tc>
          <w:tcPr>
            <w:tcW w:w="1217" w:type="dxa"/>
          </w:tcPr>
          <w:p w14:paraId="5E15F9B4"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216" w:type="dxa"/>
          </w:tcPr>
          <w:p w14:paraId="0C19444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217" w:type="dxa"/>
          </w:tcPr>
          <w:p w14:paraId="405C77F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21</w:t>
            </w:r>
          </w:p>
        </w:tc>
        <w:tc>
          <w:tcPr>
            <w:tcW w:w="1217" w:type="dxa"/>
          </w:tcPr>
          <w:p w14:paraId="3672E5F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w:t>
            </w:r>
          </w:p>
        </w:tc>
        <w:tc>
          <w:tcPr>
            <w:tcW w:w="1217" w:type="dxa"/>
          </w:tcPr>
          <w:p w14:paraId="70EE220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15</w:t>
            </w:r>
          </w:p>
        </w:tc>
        <w:tc>
          <w:tcPr>
            <w:tcW w:w="1216" w:type="dxa"/>
          </w:tcPr>
          <w:p w14:paraId="7A9B6D4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9</w:t>
            </w:r>
          </w:p>
        </w:tc>
        <w:tc>
          <w:tcPr>
            <w:tcW w:w="1217" w:type="dxa"/>
          </w:tcPr>
          <w:p w14:paraId="37BD4DB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w:t>
            </w:r>
          </w:p>
        </w:tc>
        <w:tc>
          <w:tcPr>
            <w:tcW w:w="1217" w:type="dxa"/>
          </w:tcPr>
          <w:p w14:paraId="745BFDA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217" w:type="dxa"/>
          </w:tcPr>
          <w:p w14:paraId="081E35F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r>
      <w:tr w:rsidR="00F53CB4" w:rsidRPr="006A1EC7" w14:paraId="4FF38386" w14:textId="77777777" w:rsidTr="00AC2435">
        <w:tc>
          <w:tcPr>
            <w:cnfStyle w:val="001000000000" w:firstRow="0" w:lastRow="0" w:firstColumn="1" w:lastColumn="0" w:oddVBand="0" w:evenVBand="0" w:oddHBand="0" w:evenHBand="0" w:firstRowFirstColumn="0" w:firstRowLastColumn="0" w:lastRowFirstColumn="0" w:lastRowLastColumn="0"/>
            <w:tcW w:w="1216" w:type="dxa"/>
          </w:tcPr>
          <w:p w14:paraId="27350AF9" w14:textId="77777777" w:rsidR="00F53CB4" w:rsidRPr="006A1EC7" w:rsidRDefault="00F53CB4" w:rsidP="00AC2435"/>
        </w:tc>
        <w:tc>
          <w:tcPr>
            <w:tcW w:w="1217" w:type="dxa"/>
          </w:tcPr>
          <w:p w14:paraId="38F2AFA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1217" w:type="dxa"/>
          </w:tcPr>
          <w:p w14:paraId="514A42A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14</w:t>
            </w:r>
          </w:p>
        </w:tc>
        <w:tc>
          <w:tcPr>
            <w:tcW w:w="1217" w:type="dxa"/>
          </w:tcPr>
          <w:p w14:paraId="28ED0E5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w:t>
            </w:r>
          </w:p>
        </w:tc>
        <w:tc>
          <w:tcPr>
            <w:tcW w:w="1216" w:type="dxa"/>
          </w:tcPr>
          <w:p w14:paraId="294AEBA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w:t>
            </w:r>
          </w:p>
        </w:tc>
        <w:tc>
          <w:tcPr>
            <w:tcW w:w="1217" w:type="dxa"/>
          </w:tcPr>
          <w:p w14:paraId="3A3E4DCA"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11</w:t>
            </w:r>
          </w:p>
        </w:tc>
        <w:tc>
          <w:tcPr>
            <w:tcW w:w="1217" w:type="dxa"/>
          </w:tcPr>
          <w:p w14:paraId="033B111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w:t>
            </w:r>
          </w:p>
        </w:tc>
        <w:tc>
          <w:tcPr>
            <w:tcW w:w="1217" w:type="dxa"/>
          </w:tcPr>
          <w:p w14:paraId="0C0C00AB"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9</w:t>
            </w:r>
          </w:p>
        </w:tc>
        <w:tc>
          <w:tcPr>
            <w:tcW w:w="1216" w:type="dxa"/>
          </w:tcPr>
          <w:p w14:paraId="43825B0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4</w:t>
            </w:r>
          </w:p>
        </w:tc>
        <w:tc>
          <w:tcPr>
            <w:tcW w:w="1217" w:type="dxa"/>
          </w:tcPr>
          <w:p w14:paraId="7AEA907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217" w:type="dxa"/>
          </w:tcPr>
          <w:p w14:paraId="13B4347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034D84F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r>
      <w:tr w:rsidR="00F53CB4" w:rsidRPr="006A1EC7" w14:paraId="42EDF6DD"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4C098C90" w14:textId="77777777" w:rsidR="00F53CB4" w:rsidRPr="006A1EC7" w:rsidRDefault="00F53CB4" w:rsidP="00AC2435">
            <w:r w:rsidRPr="006A1EC7">
              <w:t xml:space="preserve">Time 2 </w:t>
            </w:r>
            <w:r w:rsidRPr="006A1EC7">
              <w:br/>
              <w:t>(n = 3)</w:t>
            </w:r>
          </w:p>
        </w:tc>
        <w:tc>
          <w:tcPr>
            <w:tcW w:w="1217" w:type="dxa"/>
          </w:tcPr>
          <w:p w14:paraId="25625BD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Mean (SD)</w:t>
            </w:r>
          </w:p>
        </w:tc>
        <w:tc>
          <w:tcPr>
            <w:tcW w:w="1217" w:type="dxa"/>
          </w:tcPr>
          <w:p w14:paraId="4969ED5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67.3 (1.0)</w:t>
            </w:r>
          </w:p>
        </w:tc>
        <w:tc>
          <w:tcPr>
            <w:tcW w:w="1217" w:type="dxa"/>
          </w:tcPr>
          <w:p w14:paraId="7FC22EB0"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3.1 (.7)</w:t>
            </w:r>
          </w:p>
        </w:tc>
        <w:tc>
          <w:tcPr>
            <w:tcW w:w="1216" w:type="dxa"/>
          </w:tcPr>
          <w:p w14:paraId="5786163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 (.0)</w:t>
            </w:r>
          </w:p>
        </w:tc>
        <w:tc>
          <w:tcPr>
            <w:tcW w:w="1217" w:type="dxa"/>
          </w:tcPr>
          <w:p w14:paraId="4E0F149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20.6 (1.1)</w:t>
            </w:r>
          </w:p>
        </w:tc>
        <w:tc>
          <w:tcPr>
            <w:tcW w:w="1217" w:type="dxa"/>
          </w:tcPr>
          <w:p w14:paraId="3396ED0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5.1 (.4)</w:t>
            </w:r>
          </w:p>
        </w:tc>
        <w:tc>
          <w:tcPr>
            <w:tcW w:w="1217" w:type="dxa"/>
          </w:tcPr>
          <w:p w14:paraId="40101A82"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14.7 (.5)</w:t>
            </w:r>
          </w:p>
        </w:tc>
        <w:tc>
          <w:tcPr>
            <w:tcW w:w="1216" w:type="dxa"/>
          </w:tcPr>
          <w:p w14:paraId="44D5B575"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8.6 (1.1)</w:t>
            </w:r>
          </w:p>
        </w:tc>
        <w:tc>
          <w:tcPr>
            <w:tcW w:w="1217" w:type="dxa"/>
          </w:tcPr>
          <w:p w14:paraId="559F273D"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11.0</w:t>
            </w:r>
          </w:p>
        </w:tc>
        <w:tc>
          <w:tcPr>
            <w:tcW w:w="1217" w:type="dxa"/>
          </w:tcPr>
          <w:p w14:paraId="55B131E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3.0 (.0)</w:t>
            </w:r>
          </w:p>
        </w:tc>
        <w:tc>
          <w:tcPr>
            <w:tcW w:w="1217" w:type="dxa"/>
          </w:tcPr>
          <w:p w14:paraId="09D4C749"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1.14 (.4)</w:t>
            </w:r>
          </w:p>
        </w:tc>
      </w:tr>
      <w:tr w:rsidR="00F53CB4" w:rsidRPr="006A1EC7" w14:paraId="248785A5" w14:textId="77777777" w:rsidTr="00AC2435">
        <w:tc>
          <w:tcPr>
            <w:cnfStyle w:val="001000000000" w:firstRow="0" w:lastRow="0" w:firstColumn="1" w:lastColumn="0" w:oddVBand="0" w:evenVBand="0" w:oddHBand="0" w:evenHBand="0" w:firstRowFirstColumn="0" w:firstRowLastColumn="0" w:lastRowFirstColumn="0" w:lastRowLastColumn="0"/>
            <w:tcW w:w="1216" w:type="dxa"/>
          </w:tcPr>
          <w:p w14:paraId="3E2450BB" w14:textId="77777777" w:rsidR="00F53CB4" w:rsidRPr="006A1EC7" w:rsidRDefault="00F53CB4" w:rsidP="00AC2435"/>
        </w:tc>
        <w:tc>
          <w:tcPr>
            <w:tcW w:w="1217" w:type="dxa"/>
          </w:tcPr>
          <w:p w14:paraId="1239E49D"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Median</w:t>
            </w:r>
          </w:p>
        </w:tc>
        <w:tc>
          <w:tcPr>
            <w:tcW w:w="1217" w:type="dxa"/>
          </w:tcPr>
          <w:p w14:paraId="520403D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67.5</w:t>
            </w:r>
          </w:p>
        </w:tc>
        <w:tc>
          <w:tcPr>
            <w:tcW w:w="1217" w:type="dxa"/>
          </w:tcPr>
          <w:p w14:paraId="7F155B9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3.0</w:t>
            </w:r>
          </w:p>
        </w:tc>
        <w:tc>
          <w:tcPr>
            <w:tcW w:w="1216" w:type="dxa"/>
          </w:tcPr>
          <w:p w14:paraId="7168EC4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613C5F7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21.0</w:t>
            </w:r>
          </w:p>
        </w:tc>
        <w:tc>
          <w:tcPr>
            <w:tcW w:w="1217" w:type="dxa"/>
          </w:tcPr>
          <w:p w14:paraId="6426463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5.0</w:t>
            </w:r>
          </w:p>
        </w:tc>
        <w:tc>
          <w:tcPr>
            <w:tcW w:w="1217" w:type="dxa"/>
          </w:tcPr>
          <w:p w14:paraId="2B5FC55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15.0</w:t>
            </w:r>
          </w:p>
        </w:tc>
        <w:tc>
          <w:tcPr>
            <w:tcW w:w="1216" w:type="dxa"/>
          </w:tcPr>
          <w:p w14:paraId="1422073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9.0</w:t>
            </w:r>
          </w:p>
        </w:tc>
        <w:tc>
          <w:tcPr>
            <w:tcW w:w="1217" w:type="dxa"/>
          </w:tcPr>
          <w:p w14:paraId="787B07A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11.0</w:t>
            </w:r>
          </w:p>
        </w:tc>
        <w:tc>
          <w:tcPr>
            <w:tcW w:w="1217" w:type="dxa"/>
          </w:tcPr>
          <w:p w14:paraId="22E10FC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3.0</w:t>
            </w:r>
          </w:p>
        </w:tc>
        <w:tc>
          <w:tcPr>
            <w:tcW w:w="1217" w:type="dxa"/>
          </w:tcPr>
          <w:p w14:paraId="2F27CA4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1.0</w:t>
            </w:r>
          </w:p>
        </w:tc>
      </w:tr>
      <w:tr w:rsidR="00F53CB4" w:rsidRPr="006A1EC7" w14:paraId="61B7F440"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7E1ED6D7" w14:textId="77777777" w:rsidR="00F53CB4" w:rsidRPr="006A1EC7" w:rsidRDefault="00F53CB4" w:rsidP="00AC2435"/>
        </w:tc>
        <w:tc>
          <w:tcPr>
            <w:tcW w:w="1217" w:type="dxa"/>
          </w:tcPr>
          <w:p w14:paraId="0024F66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Mode</w:t>
            </w:r>
          </w:p>
        </w:tc>
        <w:tc>
          <w:tcPr>
            <w:tcW w:w="1217" w:type="dxa"/>
          </w:tcPr>
          <w:p w14:paraId="250CE63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68</w:t>
            </w:r>
          </w:p>
        </w:tc>
        <w:tc>
          <w:tcPr>
            <w:tcW w:w="1217" w:type="dxa"/>
          </w:tcPr>
          <w:p w14:paraId="7AE9ADCA"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216" w:type="dxa"/>
          </w:tcPr>
          <w:p w14:paraId="71BD21B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0</w:t>
            </w:r>
          </w:p>
        </w:tc>
        <w:tc>
          <w:tcPr>
            <w:tcW w:w="1217" w:type="dxa"/>
          </w:tcPr>
          <w:p w14:paraId="7FC3ECC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21</w:t>
            </w:r>
          </w:p>
        </w:tc>
        <w:tc>
          <w:tcPr>
            <w:tcW w:w="1217" w:type="dxa"/>
          </w:tcPr>
          <w:p w14:paraId="1A608E0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5</w:t>
            </w:r>
          </w:p>
        </w:tc>
        <w:tc>
          <w:tcPr>
            <w:tcW w:w="1217" w:type="dxa"/>
          </w:tcPr>
          <w:p w14:paraId="053476E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15</w:t>
            </w:r>
          </w:p>
        </w:tc>
        <w:tc>
          <w:tcPr>
            <w:tcW w:w="1216" w:type="dxa"/>
          </w:tcPr>
          <w:p w14:paraId="48C1909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9</w:t>
            </w:r>
          </w:p>
        </w:tc>
        <w:tc>
          <w:tcPr>
            <w:tcW w:w="1217" w:type="dxa"/>
          </w:tcPr>
          <w:p w14:paraId="44D5F96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11</w:t>
            </w:r>
          </w:p>
        </w:tc>
        <w:tc>
          <w:tcPr>
            <w:tcW w:w="1217" w:type="dxa"/>
          </w:tcPr>
          <w:p w14:paraId="5FCDD5DC"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3</w:t>
            </w:r>
          </w:p>
        </w:tc>
        <w:tc>
          <w:tcPr>
            <w:tcW w:w="1217" w:type="dxa"/>
          </w:tcPr>
          <w:p w14:paraId="769232E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pPr>
            <w:r w:rsidRPr="006A1EC7">
              <w:t>1</w:t>
            </w:r>
          </w:p>
        </w:tc>
      </w:tr>
      <w:tr w:rsidR="00F53CB4" w:rsidRPr="006A1EC7" w14:paraId="5200537F" w14:textId="77777777" w:rsidTr="00AC2435">
        <w:tc>
          <w:tcPr>
            <w:cnfStyle w:val="001000000000" w:firstRow="0" w:lastRow="0" w:firstColumn="1" w:lastColumn="0" w:oddVBand="0" w:evenVBand="0" w:oddHBand="0" w:evenHBand="0" w:firstRowFirstColumn="0" w:firstRowLastColumn="0" w:lastRowFirstColumn="0" w:lastRowLastColumn="0"/>
            <w:tcW w:w="1216" w:type="dxa"/>
          </w:tcPr>
          <w:p w14:paraId="692232C2" w14:textId="77777777" w:rsidR="00F53CB4" w:rsidRPr="006A1EC7" w:rsidRDefault="00F53CB4" w:rsidP="00AC2435"/>
        </w:tc>
        <w:tc>
          <w:tcPr>
            <w:tcW w:w="1217" w:type="dxa"/>
          </w:tcPr>
          <w:p w14:paraId="600231D0"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Range</w:t>
            </w:r>
          </w:p>
        </w:tc>
        <w:tc>
          <w:tcPr>
            <w:tcW w:w="1217" w:type="dxa"/>
          </w:tcPr>
          <w:p w14:paraId="4F3DE3A2"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w:t>
            </w:r>
          </w:p>
        </w:tc>
        <w:tc>
          <w:tcPr>
            <w:tcW w:w="1217" w:type="dxa"/>
          </w:tcPr>
          <w:p w14:paraId="1452AD5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2</w:t>
            </w:r>
          </w:p>
        </w:tc>
        <w:tc>
          <w:tcPr>
            <w:tcW w:w="1216" w:type="dxa"/>
          </w:tcPr>
          <w:p w14:paraId="42D0ED9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6437DE3F"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217" w:type="dxa"/>
          </w:tcPr>
          <w:p w14:paraId="4E5604A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1217" w:type="dxa"/>
          </w:tcPr>
          <w:p w14:paraId="54FD7ED7"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c>
          <w:tcPr>
            <w:tcW w:w="1216" w:type="dxa"/>
          </w:tcPr>
          <w:p w14:paraId="1BF7E7D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3</w:t>
            </w:r>
          </w:p>
        </w:tc>
        <w:tc>
          <w:tcPr>
            <w:tcW w:w="1217" w:type="dxa"/>
          </w:tcPr>
          <w:p w14:paraId="1085952C"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6FB874B3"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0</w:t>
            </w:r>
          </w:p>
        </w:tc>
        <w:tc>
          <w:tcPr>
            <w:tcW w:w="1217" w:type="dxa"/>
          </w:tcPr>
          <w:p w14:paraId="1261EE51"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pPr>
            <w:r w:rsidRPr="006A1EC7">
              <w:t>1</w:t>
            </w:r>
          </w:p>
        </w:tc>
      </w:tr>
    </w:tbl>
    <w:p w14:paraId="71900035" w14:textId="77777777" w:rsidR="00F53CB4" w:rsidRPr="006A1EC7" w:rsidRDefault="00F53CB4" w:rsidP="00F53CB4">
      <w:pPr>
        <w:spacing w:line="360" w:lineRule="auto"/>
        <w:sectPr w:rsidR="00F53CB4" w:rsidRPr="006A1EC7" w:rsidSect="00AC2435">
          <w:type w:val="nextColumn"/>
          <w:pgSz w:w="16840" w:h="11900" w:orient="landscape"/>
          <w:pgMar w:top="1440" w:right="1701" w:bottom="1440" w:left="1701" w:header="709" w:footer="709" w:gutter="0"/>
          <w:cols w:space="708"/>
          <w:docGrid w:linePitch="360"/>
        </w:sectPr>
      </w:pPr>
    </w:p>
    <w:p w14:paraId="3C64DFA0" w14:textId="77777777" w:rsidR="00F53CB4" w:rsidRPr="006A1EC7" w:rsidRDefault="00F53CB4" w:rsidP="00F53CB4">
      <w:pPr>
        <w:pStyle w:val="Heading3"/>
        <w:rPr>
          <w:rFonts w:ascii="Times New Roman" w:hAnsi="Times New Roman" w:cs="Times New Roman"/>
        </w:rPr>
      </w:pPr>
      <w:r w:rsidRPr="006A1EC7">
        <w:rPr>
          <w:rFonts w:ascii="Times New Roman" w:hAnsi="Times New Roman" w:cs="Times New Roman"/>
        </w:rPr>
        <w:lastRenderedPageBreak/>
        <w:t>Inter-rater reliability: One sample t-tests</w:t>
      </w:r>
      <w:r w:rsidRPr="006A1EC7">
        <w:rPr>
          <w:rFonts w:ascii="Times New Roman" w:hAnsi="Times New Roman" w:cs="Times New Roman"/>
        </w:rPr>
        <w:tab/>
      </w:r>
    </w:p>
    <w:p w14:paraId="04E3C609" w14:textId="77777777" w:rsidR="00F53CB4" w:rsidRPr="006A1EC7" w:rsidRDefault="00F53CB4" w:rsidP="00F53CB4">
      <w:pPr>
        <w:spacing w:line="360" w:lineRule="auto"/>
      </w:pPr>
      <w:r w:rsidRPr="006A1EC7">
        <w:tab/>
        <w:t>In order to investigate whether participants scored the fictional patients in the same way as the developers of the scales/vignettes had intended for them to be scores as, one-sample t-tests were conducted (Appendix 7.9). The mean scores given by AM/KV were compared with mean participant score, per subscale per vignette. A total of 50 comparisons were made (10 subscales per vignette). The p value was adjusted to .001 (.05/50 =.001); to allow for multiple comparisons (Tables 19 – 23).</w:t>
      </w:r>
    </w:p>
    <w:p w14:paraId="3130F0A2" w14:textId="77777777" w:rsidR="00F53CB4" w:rsidRPr="006A1EC7" w:rsidRDefault="00F53CB4" w:rsidP="00F53CB4">
      <w:pPr>
        <w:spacing w:line="360" w:lineRule="auto"/>
        <w:ind w:firstLine="720"/>
      </w:pPr>
      <w:r w:rsidRPr="006A1EC7">
        <w:t xml:space="preserve">Out of the 50 comparisons (n = 50; one sample t-tests); 31 comparisons were not significant (n = 34; highlighted in grey), 16 comparisons were significant (n = 15; highlighted in pink) and three comparisons could (n = 3) not be calculated due to the value of the Standard Deviations of the sample mean (= 0). Overall, the majority of comparisons (70%) were not significant. The results therefore suggest that the scale has moderate to good inter-rater reliability (McHugh, 2012). </w:t>
      </w:r>
    </w:p>
    <w:p w14:paraId="3D8C3485" w14:textId="77777777" w:rsidR="00F53CB4" w:rsidRPr="006A1EC7" w:rsidRDefault="00F53CB4" w:rsidP="00F53CB4">
      <w:pPr>
        <w:spacing w:line="360" w:lineRule="auto"/>
        <w:ind w:firstLine="720"/>
        <w:sectPr w:rsidR="00F53CB4" w:rsidRPr="006A1EC7" w:rsidSect="00AC2435">
          <w:type w:val="nextColumn"/>
          <w:pgSz w:w="11900" w:h="16840"/>
          <w:pgMar w:top="1440" w:right="1701" w:bottom="1440" w:left="1701" w:header="709" w:footer="709" w:gutter="0"/>
          <w:cols w:space="708"/>
          <w:docGrid w:linePitch="360"/>
        </w:sectPr>
      </w:pPr>
      <w:r w:rsidRPr="006A1EC7">
        <w:t>.</w:t>
      </w:r>
    </w:p>
    <w:p w14:paraId="46C79899" w14:textId="77777777" w:rsidR="00F53CB4" w:rsidRPr="006A1EC7" w:rsidRDefault="00F53CB4" w:rsidP="00F53CB4">
      <w:pPr>
        <w:spacing w:line="360" w:lineRule="auto"/>
        <w:ind w:firstLine="720"/>
      </w:pPr>
    </w:p>
    <w:p w14:paraId="72360DF4" w14:textId="77777777" w:rsidR="00F53CB4" w:rsidRPr="006A1EC7" w:rsidRDefault="00F53CB4" w:rsidP="00F53CB4">
      <w:pPr>
        <w:pStyle w:val="Caption"/>
        <w:keepNext/>
        <w:rPr>
          <w:sz w:val="24"/>
          <w:szCs w:val="24"/>
        </w:rPr>
      </w:pPr>
      <w:bookmarkStart w:id="249" w:name="_Toc40173044"/>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20</w:t>
      </w:r>
      <w:r w:rsidRPr="006A1EC7">
        <w:rPr>
          <w:sz w:val="24"/>
          <w:szCs w:val="24"/>
        </w:rPr>
        <w:fldChar w:fldCharType="end"/>
      </w:r>
      <w:r w:rsidRPr="006A1EC7">
        <w:rPr>
          <w:sz w:val="24"/>
          <w:szCs w:val="24"/>
        </w:rPr>
        <w:t>: Case Study 1: Joshua</w:t>
      </w:r>
      <w:bookmarkEnd w:id="249"/>
    </w:p>
    <w:tbl>
      <w:tblPr>
        <w:tblStyle w:val="TableGrid"/>
        <w:tblW w:w="14879" w:type="dxa"/>
        <w:tblLook w:val="04A0" w:firstRow="1" w:lastRow="0" w:firstColumn="1" w:lastColumn="0" w:noHBand="0" w:noVBand="1"/>
      </w:tblPr>
      <w:tblGrid>
        <w:gridCol w:w="2125"/>
        <w:gridCol w:w="2126"/>
        <w:gridCol w:w="2125"/>
        <w:gridCol w:w="2126"/>
        <w:gridCol w:w="2125"/>
        <w:gridCol w:w="2126"/>
        <w:gridCol w:w="2126"/>
      </w:tblGrid>
      <w:tr w:rsidR="00F53CB4" w:rsidRPr="006A1EC7" w14:paraId="2875AC20" w14:textId="77777777" w:rsidTr="00AC2435">
        <w:trPr>
          <w:trHeight w:val="132"/>
        </w:trPr>
        <w:tc>
          <w:tcPr>
            <w:tcW w:w="2125" w:type="dxa"/>
            <w:shd w:val="clear" w:color="auto" w:fill="auto"/>
          </w:tcPr>
          <w:p w14:paraId="1EC24AD2" w14:textId="77777777" w:rsidR="00F53CB4" w:rsidRPr="006A1EC7" w:rsidRDefault="00F53CB4" w:rsidP="00AC2435">
            <w:pPr>
              <w:rPr>
                <w:sz w:val="18"/>
              </w:rPr>
            </w:pPr>
            <w:r w:rsidRPr="006A1EC7">
              <w:rPr>
                <w:sz w:val="18"/>
              </w:rPr>
              <w:t>Domain</w:t>
            </w:r>
          </w:p>
        </w:tc>
        <w:tc>
          <w:tcPr>
            <w:tcW w:w="2126" w:type="dxa"/>
            <w:shd w:val="clear" w:color="auto" w:fill="auto"/>
          </w:tcPr>
          <w:p w14:paraId="1EBD1376" w14:textId="77777777" w:rsidR="00F53CB4" w:rsidRPr="006A1EC7" w:rsidRDefault="00F53CB4" w:rsidP="00AC2435">
            <w:pPr>
              <w:rPr>
                <w:sz w:val="18"/>
              </w:rPr>
            </w:pPr>
            <w:r w:rsidRPr="006A1EC7">
              <w:rPr>
                <w:sz w:val="18"/>
              </w:rPr>
              <w:t>KV</w:t>
            </w:r>
          </w:p>
        </w:tc>
        <w:tc>
          <w:tcPr>
            <w:tcW w:w="2125" w:type="dxa"/>
            <w:shd w:val="clear" w:color="auto" w:fill="auto"/>
          </w:tcPr>
          <w:p w14:paraId="56A0600C" w14:textId="77777777" w:rsidR="00F53CB4" w:rsidRPr="006A1EC7" w:rsidRDefault="00F53CB4" w:rsidP="00AC2435">
            <w:pPr>
              <w:rPr>
                <w:sz w:val="18"/>
              </w:rPr>
            </w:pPr>
            <w:r w:rsidRPr="006A1EC7">
              <w:rPr>
                <w:sz w:val="18"/>
              </w:rPr>
              <w:t>AM</w:t>
            </w:r>
          </w:p>
        </w:tc>
        <w:tc>
          <w:tcPr>
            <w:tcW w:w="2126" w:type="dxa"/>
            <w:shd w:val="clear" w:color="auto" w:fill="auto"/>
          </w:tcPr>
          <w:p w14:paraId="61917F74" w14:textId="77777777" w:rsidR="00F53CB4" w:rsidRPr="006A1EC7" w:rsidRDefault="00F53CB4" w:rsidP="00AC2435">
            <w:pPr>
              <w:rPr>
                <w:sz w:val="18"/>
              </w:rPr>
            </w:pPr>
            <w:r w:rsidRPr="006A1EC7">
              <w:rPr>
                <w:sz w:val="18"/>
              </w:rPr>
              <w:t xml:space="preserve">KV/AM mean </w:t>
            </w:r>
          </w:p>
        </w:tc>
        <w:tc>
          <w:tcPr>
            <w:tcW w:w="2125" w:type="dxa"/>
            <w:shd w:val="clear" w:color="auto" w:fill="auto"/>
          </w:tcPr>
          <w:p w14:paraId="25D36FD7" w14:textId="77777777" w:rsidR="00F53CB4" w:rsidRPr="006A1EC7" w:rsidRDefault="00F53CB4" w:rsidP="00AC2435">
            <w:pPr>
              <w:rPr>
                <w:sz w:val="18"/>
              </w:rPr>
            </w:pPr>
            <w:r w:rsidRPr="006A1EC7">
              <w:rPr>
                <w:sz w:val="18"/>
              </w:rPr>
              <w:t>Sample mean</w:t>
            </w:r>
          </w:p>
        </w:tc>
        <w:tc>
          <w:tcPr>
            <w:tcW w:w="2126" w:type="dxa"/>
            <w:shd w:val="clear" w:color="auto" w:fill="auto"/>
          </w:tcPr>
          <w:p w14:paraId="3B7657C2" w14:textId="77777777" w:rsidR="00F53CB4" w:rsidRPr="006A1EC7" w:rsidRDefault="00F53CB4" w:rsidP="00AC2435">
            <w:pPr>
              <w:rPr>
                <w:sz w:val="18"/>
              </w:rPr>
            </w:pPr>
            <w:r w:rsidRPr="006A1EC7">
              <w:rPr>
                <w:sz w:val="18"/>
              </w:rPr>
              <w:t>t-value</w:t>
            </w:r>
          </w:p>
        </w:tc>
        <w:tc>
          <w:tcPr>
            <w:tcW w:w="2126" w:type="dxa"/>
            <w:shd w:val="clear" w:color="auto" w:fill="auto"/>
          </w:tcPr>
          <w:p w14:paraId="46118059" w14:textId="77777777" w:rsidR="00F53CB4" w:rsidRPr="006A1EC7" w:rsidRDefault="00F53CB4" w:rsidP="00AC2435">
            <w:pPr>
              <w:rPr>
                <w:sz w:val="18"/>
              </w:rPr>
            </w:pPr>
            <w:r w:rsidRPr="006A1EC7">
              <w:rPr>
                <w:sz w:val="18"/>
              </w:rPr>
              <w:t>p-value</w:t>
            </w:r>
            <w:r w:rsidRPr="006A1EC7">
              <w:rPr>
                <w:sz w:val="18"/>
              </w:rPr>
              <w:br/>
              <w:t>(Bonferroni correction; significant p now set at 001)</w:t>
            </w:r>
          </w:p>
        </w:tc>
      </w:tr>
      <w:tr w:rsidR="00F53CB4" w:rsidRPr="006A1EC7" w14:paraId="1C673704" w14:textId="77777777" w:rsidTr="00AC2435">
        <w:tc>
          <w:tcPr>
            <w:tcW w:w="2125" w:type="dxa"/>
            <w:shd w:val="clear" w:color="auto" w:fill="4472C4" w:themeFill="accent1"/>
          </w:tcPr>
          <w:p w14:paraId="455920A4" w14:textId="77777777" w:rsidR="00F53CB4" w:rsidRPr="006A1EC7" w:rsidRDefault="00F53CB4" w:rsidP="00AC2435">
            <w:pPr>
              <w:rPr>
                <w:sz w:val="18"/>
              </w:rPr>
            </w:pPr>
            <w:r w:rsidRPr="006A1EC7">
              <w:rPr>
                <w:sz w:val="18"/>
              </w:rPr>
              <w:t>Face</w:t>
            </w:r>
          </w:p>
        </w:tc>
        <w:tc>
          <w:tcPr>
            <w:tcW w:w="2126" w:type="dxa"/>
            <w:shd w:val="clear" w:color="auto" w:fill="4472C4" w:themeFill="accent1"/>
          </w:tcPr>
          <w:p w14:paraId="07460554" w14:textId="77777777" w:rsidR="00F53CB4" w:rsidRPr="006A1EC7" w:rsidRDefault="00F53CB4" w:rsidP="00AC2435">
            <w:pPr>
              <w:rPr>
                <w:sz w:val="18"/>
              </w:rPr>
            </w:pPr>
            <w:r w:rsidRPr="006A1EC7">
              <w:rPr>
                <w:sz w:val="18"/>
              </w:rPr>
              <w:t>3</w:t>
            </w:r>
          </w:p>
        </w:tc>
        <w:tc>
          <w:tcPr>
            <w:tcW w:w="2125" w:type="dxa"/>
            <w:shd w:val="clear" w:color="auto" w:fill="4472C4" w:themeFill="accent1"/>
          </w:tcPr>
          <w:p w14:paraId="24472183" w14:textId="77777777" w:rsidR="00F53CB4" w:rsidRPr="006A1EC7" w:rsidRDefault="00F53CB4" w:rsidP="00AC2435">
            <w:pPr>
              <w:rPr>
                <w:sz w:val="18"/>
              </w:rPr>
            </w:pPr>
            <w:r w:rsidRPr="006A1EC7">
              <w:rPr>
                <w:sz w:val="18"/>
              </w:rPr>
              <w:t>5</w:t>
            </w:r>
          </w:p>
        </w:tc>
        <w:tc>
          <w:tcPr>
            <w:tcW w:w="2126" w:type="dxa"/>
            <w:shd w:val="clear" w:color="auto" w:fill="4472C4" w:themeFill="accent1"/>
          </w:tcPr>
          <w:p w14:paraId="57DD68B1" w14:textId="77777777" w:rsidR="00F53CB4" w:rsidRPr="006A1EC7" w:rsidRDefault="00F53CB4" w:rsidP="00AC2435">
            <w:pPr>
              <w:rPr>
                <w:sz w:val="18"/>
              </w:rPr>
            </w:pPr>
            <w:r w:rsidRPr="006A1EC7">
              <w:rPr>
                <w:sz w:val="18"/>
              </w:rPr>
              <w:t>4</w:t>
            </w:r>
          </w:p>
        </w:tc>
        <w:tc>
          <w:tcPr>
            <w:tcW w:w="2125" w:type="dxa"/>
            <w:shd w:val="clear" w:color="auto" w:fill="4472C4" w:themeFill="accent1"/>
          </w:tcPr>
          <w:p w14:paraId="640640CA" w14:textId="77777777" w:rsidR="00F53CB4" w:rsidRPr="006A1EC7" w:rsidRDefault="00F53CB4" w:rsidP="00AC2435">
            <w:pPr>
              <w:rPr>
                <w:sz w:val="18"/>
              </w:rPr>
            </w:pPr>
            <w:r w:rsidRPr="006A1EC7">
              <w:rPr>
                <w:sz w:val="18"/>
              </w:rPr>
              <w:t>3.3</w:t>
            </w:r>
          </w:p>
        </w:tc>
        <w:tc>
          <w:tcPr>
            <w:tcW w:w="2126" w:type="dxa"/>
            <w:shd w:val="clear" w:color="auto" w:fill="4472C4" w:themeFill="accent1"/>
          </w:tcPr>
          <w:p w14:paraId="5EF07433" w14:textId="77777777" w:rsidR="00F53CB4" w:rsidRPr="006A1EC7" w:rsidRDefault="00F53CB4" w:rsidP="00AC2435">
            <w:pPr>
              <w:rPr>
                <w:sz w:val="18"/>
              </w:rPr>
            </w:pPr>
            <w:r w:rsidRPr="006A1EC7">
              <w:rPr>
                <w:sz w:val="18"/>
              </w:rPr>
              <w:t>-5.1</w:t>
            </w:r>
          </w:p>
        </w:tc>
        <w:tc>
          <w:tcPr>
            <w:tcW w:w="2126" w:type="dxa"/>
            <w:shd w:val="clear" w:color="auto" w:fill="4472C4" w:themeFill="accent1"/>
          </w:tcPr>
          <w:p w14:paraId="49A6BB2B" w14:textId="77777777" w:rsidR="00F53CB4" w:rsidRPr="006A1EC7" w:rsidRDefault="00F53CB4" w:rsidP="00AC2435">
            <w:pPr>
              <w:rPr>
                <w:sz w:val="18"/>
              </w:rPr>
            </w:pPr>
            <w:r w:rsidRPr="006A1EC7">
              <w:rPr>
                <w:sz w:val="18"/>
              </w:rPr>
              <w:t>p &lt;.001</w:t>
            </w:r>
          </w:p>
        </w:tc>
      </w:tr>
      <w:tr w:rsidR="00F53CB4" w:rsidRPr="006A1EC7" w14:paraId="2DE07CAD" w14:textId="77777777" w:rsidTr="00AC2435">
        <w:tc>
          <w:tcPr>
            <w:tcW w:w="2125" w:type="dxa"/>
            <w:shd w:val="clear" w:color="auto" w:fill="E7E6E6" w:themeFill="background2"/>
          </w:tcPr>
          <w:p w14:paraId="3EB6587D" w14:textId="77777777" w:rsidR="00F53CB4" w:rsidRPr="006A1EC7" w:rsidRDefault="00F53CB4" w:rsidP="00AC2435">
            <w:pPr>
              <w:rPr>
                <w:sz w:val="18"/>
              </w:rPr>
            </w:pPr>
            <w:r w:rsidRPr="006A1EC7">
              <w:rPr>
                <w:sz w:val="18"/>
              </w:rPr>
              <w:t>Epilepsy</w:t>
            </w:r>
          </w:p>
        </w:tc>
        <w:tc>
          <w:tcPr>
            <w:tcW w:w="2126" w:type="dxa"/>
            <w:shd w:val="clear" w:color="auto" w:fill="E7E6E6" w:themeFill="background2"/>
          </w:tcPr>
          <w:p w14:paraId="746D8A8D" w14:textId="77777777" w:rsidR="00F53CB4" w:rsidRPr="006A1EC7" w:rsidRDefault="00F53CB4" w:rsidP="00AC2435">
            <w:pPr>
              <w:rPr>
                <w:sz w:val="18"/>
              </w:rPr>
            </w:pPr>
            <w:r w:rsidRPr="006A1EC7">
              <w:rPr>
                <w:sz w:val="18"/>
              </w:rPr>
              <w:t>13</w:t>
            </w:r>
          </w:p>
        </w:tc>
        <w:tc>
          <w:tcPr>
            <w:tcW w:w="2125" w:type="dxa"/>
            <w:shd w:val="clear" w:color="auto" w:fill="E7E6E6" w:themeFill="background2"/>
          </w:tcPr>
          <w:p w14:paraId="29692694" w14:textId="77777777" w:rsidR="00F53CB4" w:rsidRPr="006A1EC7" w:rsidRDefault="00F53CB4" w:rsidP="00AC2435">
            <w:pPr>
              <w:rPr>
                <w:sz w:val="18"/>
              </w:rPr>
            </w:pPr>
            <w:r w:rsidRPr="006A1EC7">
              <w:rPr>
                <w:sz w:val="18"/>
              </w:rPr>
              <w:t>12</w:t>
            </w:r>
          </w:p>
        </w:tc>
        <w:tc>
          <w:tcPr>
            <w:tcW w:w="2126" w:type="dxa"/>
            <w:shd w:val="clear" w:color="auto" w:fill="E7E6E6" w:themeFill="background2"/>
          </w:tcPr>
          <w:p w14:paraId="41F9D036" w14:textId="77777777" w:rsidR="00F53CB4" w:rsidRPr="006A1EC7" w:rsidRDefault="00F53CB4" w:rsidP="00AC2435">
            <w:pPr>
              <w:rPr>
                <w:sz w:val="18"/>
              </w:rPr>
            </w:pPr>
            <w:r w:rsidRPr="006A1EC7">
              <w:rPr>
                <w:sz w:val="18"/>
              </w:rPr>
              <w:t>12.5</w:t>
            </w:r>
          </w:p>
        </w:tc>
        <w:tc>
          <w:tcPr>
            <w:tcW w:w="2125" w:type="dxa"/>
            <w:shd w:val="clear" w:color="auto" w:fill="E7E6E6" w:themeFill="background2"/>
          </w:tcPr>
          <w:p w14:paraId="27B5764B" w14:textId="77777777" w:rsidR="00F53CB4" w:rsidRPr="006A1EC7" w:rsidRDefault="00F53CB4" w:rsidP="00AC2435">
            <w:pPr>
              <w:rPr>
                <w:sz w:val="18"/>
              </w:rPr>
            </w:pPr>
            <w:r w:rsidRPr="006A1EC7">
              <w:rPr>
                <w:sz w:val="18"/>
              </w:rPr>
              <w:t>12.6</w:t>
            </w:r>
          </w:p>
        </w:tc>
        <w:tc>
          <w:tcPr>
            <w:tcW w:w="2126" w:type="dxa"/>
            <w:shd w:val="clear" w:color="auto" w:fill="E7E6E6" w:themeFill="background2"/>
          </w:tcPr>
          <w:p w14:paraId="7787EA71" w14:textId="77777777" w:rsidR="00F53CB4" w:rsidRPr="006A1EC7" w:rsidRDefault="00F53CB4" w:rsidP="00AC2435">
            <w:pPr>
              <w:rPr>
                <w:sz w:val="18"/>
              </w:rPr>
            </w:pPr>
            <w:r w:rsidRPr="006A1EC7">
              <w:rPr>
                <w:sz w:val="18"/>
              </w:rPr>
              <w:t>.7</w:t>
            </w:r>
          </w:p>
        </w:tc>
        <w:tc>
          <w:tcPr>
            <w:tcW w:w="2126" w:type="dxa"/>
            <w:shd w:val="clear" w:color="auto" w:fill="E7E6E6" w:themeFill="background2"/>
          </w:tcPr>
          <w:p w14:paraId="3439F108" w14:textId="77777777" w:rsidR="00F53CB4" w:rsidRPr="006A1EC7" w:rsidRDefault="00F53CB4" w:rsidP="00AC2435">
            <w:pPr>
              <w:rPr>
                <w:sz w:val="18"/>
              </w:rPr>
            </w:pPr>
            <w:r w:rsidRPr="006A1EC7">
              <w:rPr>
                <w:sz w:val="18"/>
              </w:rPr>
              <w:t>.47</w:t>
            </w:r>
          </w:p>
        </w:tc>
      </w:tr>
      <w:tr w:rsidR="00F53CB4" w:rsidRPr="006A1EC7" w14:paraId="719F53FC" w14:textId="77777777" w:rsidTr="00AC2435">
        <w:tc>
          <w:tcPr>
            <w:tcW w:w="2125" w:type="dxa"/>
            <w:shd w:val="clear" w:color="auto" w:fill="E7E6E6" w:themeFill="background2"/>
          </w:tcPr>
          <w:p w14:paraId="181BB83D" w14:textId="77777777" w:rsidR="00F53CB4" w:rsidRPr="006A1EC7" w:rsidRDefault="00F53CB4" w:rsidP="00AC2435">
            <w:pPr>
              <w:rPr>
                <w:sz w:val="18"/>
              </w:rPr>
            </w:pPr>
            <w:r w:rsidRPr="006A1EC7">
              <w:rPr>
                <w:sz w:val="18"/>
              </w:rPr>
              <w:t>Gastro</w:t>
            </w:r>
          </w:p>
        </w:tc>
        <w:tc>
          <w:tcPr>
            <w:tcW w:w="2126" w:type="dxa"/>
            <w:shd w:val="clear" w:color="auto" w:fill="E7E6E6" w:themeFill="background2"/>
          </w:tcPr>
          <w:p w14:paraId="7A77C942" w14:textId="77777777" w:rsidR="00F53CB4" w:rsidRPr="006A1EC7" w:rsidRDefault="00F53CB4" w:rsidP="00AC2435">
            <w:pPr>
              <w:rPr>
                <w:sz w:val="18"/>
              </w:rPr>
            </w:pPr>
            <w:r w:rsidRPr="006A1EC7">
              <w:rPr>
                <w:sz w:val="18"/>
              </w:rPr>
              <w:t>18</w:t>
            </w:r>
          </w:p>
        </w:tc>
        <w:tc>
          <w:tcPr>
            <w:tcW w:w="2125" w:type="dxa"/>
            <w:shd w:val="clear" w:color="auto" w:fill="E7E6E6" w:themeFill="background2"/>
          </w:tcPr>
          <w:p w14:paraId="6070E5A8" w14:textId="77777777" w:rsidR="00F53CB4" w:rsidRPr="006A1EC7" w:rsidRDefault="00F53CB4" w:rsidP="00AC2435">
            <w:pPr>
              <w:rPr>
                <w:sz w:val="18"/>
              </w:rPr>
            </w:pPr>
            <w:r w:rsidRPr="006A1EC7">
              <w:rPr>
                <w:sz w:val="18"/>
              </w:rPr>
              <w:t>18</w:t>
            </w:r>
          </w:p>
        </w:tc>
        <w:tc>
          <w:tcPr>
            <w:tcW w:w="2126" w:type="dxa"/>
            <w:shd w:val="clear" w:color="auto" w:fill="E7E6E6" w:themeFill="background2"/>
          </w:tcPr>
          <w:p w14:paraId="66274176" w14:textId="77777777" w:rsidR="00F53CB4" w:rsidRPr="006A1EC7" w:rsidRDefault="00F53CB4" w:rsidP="00AC2435">
            <w:pPr>
              <w:rPr>
                <w:sz w:val="18"/>
              </w:rPr>
            </w:pPr>
            <w:r w:rsidRPr="006A1EC7">
              <w:rPr>
                <w:sz w:val="18"/>
              </w:rPr>
              <w:t>18</w:t>
            </w:r>
          </w:p>
        </w:tc>
        <w:tc>
          <w:tcPr>
            <w:tcW w:w="2125" w:type="dxa"/>
            <w:shd w:val="clear" w:color="auto" w:fill="E7E6E6" w:themeFill="background2"/>
          </w:tcPr>
          <w:p w14:paraId="0B072722" w14:textId="77777777" w:rsidR="00F53CB4" w:rsidRPr="006A1EC7" w:rsidRDefault="00F53CB4" w:rsidP="00AC2435">
            <w:pPr>
              <w:rPr>
                <w:sz w:val="18"/>
              </w:rPr>
            </w:pPr>
            <w:r w:rsidRPr="006A1EC7">
              <w:rPr>
                <w:sz w:val="18"/>
              </w:rPr>
              <w:t>17.5</w:t>
            </w:r>
          </w:p>
        </w:tc>
        <w:tc>
          <w:tcPr>
            <w:tcW w:w="2126" w:type="dxa"/>
            <w:shd w:val="clear" w:color="auto" w:fill="E7E6E6" w:themeFill="background2"/>
          </w:tcPr>
          <w:p w14:paraId="2C74FFF8" w14:textId="77777777" w:rsidR="00F53CB4" w:rsidRPr="006A1EC7" w:rsidRDefault="00F53CB4" w:rsidP="00AC2435">
            <w:pPr>
              <w:rPr>
                <w:sz w:val="18"/>
              </w:rPr>
            </w:pPr>
            <w:r w:rsidRPr="006A1EC7">
              <w:rPr>
                <w:sz w:val="18"/>
              </w:rPr>
              <w:t>-2.0</w:t>
            </w:r>
          </w:p>
        </w:tc>
        <w:tc>
          <w:tcPr>
            <w:tcW w:w="2126" w:type="dxa"/>
            <w:shd w:val="clear" w:color="auto" w:fill="E7E6E6" w:themeFill="background2"/>
          </w:tcPr>
          <w:p w14:paraId="1F8CA4E9" w14:textId="77777777" w:rsidR="00F53CB4" w:rsidRPr="006A1EC7" w:rsidRDefault="00F53CB4" w:rsidP="00AC2435">
            <w:pPr>
              <w:rPr>
                <w:sz w:val="18"/>
              </w:rPr>
            </w:pPr>
            <w:r w:rsidRPr="006A1EC7">
              <w:rPr>
                <w:sz w:val="18"/>
              </w:rPr>
              <w:t>.053</w:t>
            </w:r>
          </w:p>
        </w:tc>
      </w:tr>
      <w:tr w:rsidR="00F53CB4" w:rsidRPr="006A1EC7" w14:paraId="5D69AED9" w14:textId="77777777" w:rsidTr="00AC2435">
        <w:tc>
          <w:tcPr>
            <w:tcW w:w="2125" w:type="dxa"/>
            <w:shd w:val="clear" w:color="auto" w:fill="4472C4" w:themeFill="accent1"/>
          </w:tcPr>
          <w:p w14:paraId="0865E67B" w14:textId="77777777" w:rsidR="00F53CB4" w:rsidRPr="006A1EC7" w:rsidRDefault="00F53CB4" w:rsidP="00AC2435">
            <w:pPr>
              <w:rPr>
                <w:sz w:val="18"/>
              </w:rPr>
            </w:pPr>
            <w:r w:rsidRPr="006A1EC7">
              <w:rPr>
                <w:sz w:val="18"/>
              </w:rPr>
              <w:t>Cardio &amp; respiratory</w:t>
            </w:r>
          </w:p>
        </w:tc>
        <w:tc>
          <w:tcPr>
            <w:tcW w:w="2126" w:type="dxa"/>
            <w:shd w:val="clear" w:color="auto" w:fill="4472C4" w:themeFill="accent1"/>
          </w:tcPr>
          <w:p w14:paraId="4847C0F1" w14:textId="77777777" w:rsidR="00F53CB4" w:rsidRPr="006A1EC7" w:rsidRDefault="00F53CB4" w:rsidP="00AC2435">
            <w:pPr>
              <w:rPr>
                <w:sz w:val="18"/>
              </w:rPr>
            </w:pPr>
            <w:r w:rsidRPr="006A1EC7">
              <w:rPr>
                <w:sz w:val="18"/>
              </w:rPr>
              <w:t>0</w:t>
            </w:r>
          </w:p>
        </w:tc>
        <w:tc>
          <w:tcPr>
            <w:tcW w:w="2125" w:type="dxa"/>
            <w:shd w:val="clear" w:color="auto" w:fill="4472C4" w:themeFill="accent1"/>
          </w:tcPr>
          <w:p w14:paraId="03C1C99A" w14:textId="77777777" w:rsidR="00F53CB4" w:rsidRPr="006A1EC7" w:rsidRDefault="00F53CB4" w:rsidP="00AC2435">
            <w:pPr>
              <w:rPr>
                <w:sz w:val="18"/>
              </w:rPr>
            </w:pPr>
            <w:r w:rsidRPr="006A1EC7">
              <w:rPr>
                <w:sz w:val="18"/>
              </w:rPr>
              <w:t>0</w:t>
            </w:r>
          </w:p>
        </w:tc>
        <w:tc>
          <w:tcPr>
            <w:tcW w:w="2126" w:type="dxa"/>
            <w:shd w:val="clear" w:color="auto" w:fill="4472C4" w:themeFill="accent1"/>
          </w:tcPr>
          <w:p w14:paraId="3C5FC993" w14:textId="77777777" w:rsidR="00F53CB4" w:rsidRPr="006A1EC7" w:rsidRDefault="00F53CB4" w:rsidP="00AC2435">
            <w:pPr>
              <w:rPr>
                <w:sz w:val="18"/>
              </w:rPr>
            </w:pPr>
            <w:r w:rsidRPr="006A1EC7">
              <w:rPr>
                <w:sz w:val="18"/>
              </w:rPr>
              <w:t>0</w:t>
            </w:r>
          </w:p>
        </w:tc>
        <w:tc>
          <w:tcPr>
            <w:tcW w:w="2125" w:type="dxa"/>
            <w:shd w:val="clear" w:color="auto" w:fill="4472C4" w:themeFill="accent1"/>
          </w:tcPr>
          <w:p w14:paraId="41C4E1D2" w14:textId="77777777" w:rsidR="00F53CB4" w:rsidRPr="006A1EC7" w:rsidRDefault="00F53CB4" w:rsidP="00AC2435">
            <w:pPr>
              <w:rPr>
                <w:sz w:val="18"/>
              </w:rPr>
            </w:pPr>
            <w:r w:rsidRPr="006A1EC7">
              <w:rPr>
                <w:sz w:val="18"/>
              </w:rPr>
              <w:t>.61</w:t>
            </w:r>
          </w:p>
        </w:tc>
        <w:tc>
          <w:tcPr>
            <w:tcW w:w="2126" w:type="dxa"/>
            <w:shd w:val="clear" w:color="auto" w:fill="4472C4" w:themeFill="accent1"/>
          </w:tcPr>
          <w:p w14:paraId="391811D4" w14:textId="77777777" w:rsidR="00F53CB4" w:rsidRPr="006A1EC7" w:rsidRDefault="00F53CB4" w:rsidP="00AC2435">
            <w:pPr>
              <w:rPr>
                <w:sz w:val="18"/>
              </w:rPr>
            </w:pPr>
            <w:r w:rsidRPr="006A1EC7">
              <w:rPr>
                <w:sz w:val="18"/>
              </w:rPr>
              <w:t>4.66</w:t>
            </w:r>
          </w:p>
        </w:tc>
        <w:tc>
          <w:tcPr>
            <w:tcW w:w="2126" w:type="dxa"/>
            <w:shd w:val="clear" w:color="auto" w:fill="4472C4" w:themeFill="accent1"/>
          </w:tcPr>
          <w:p w14:paraId="6B70B201" w14:textId="77777777" w:rsidR="00F53CB4" w:rsidRPr="006A1EC7" w:rsidRDefault="00F53CB4" w:rsidP="00AC2435">
            <w:pPr>
              <w:rPr>
                <w:sz w:val="18"/>
              </w:rPr>
            </w:pPr>
            <w:r w:rsidRPr="006A1EC7">
              <w:rPr>
                <w:sz w:val="18"/>
              </w:rPr>
              <w:t>p &lt;.001</w:t>
            </w:r>
          </w:p>
        </w:tc>
      </w:tr>
      <w:tr w:rsidR="00F53CB4" w:rsidRPr="006A1EC7" w14:paraId="7EBE0383" w14:textId="77777777" w:rsidTr="00AC2435">
        <w:tc>
          <w:tcPr>
            <w:tcW w:w="2125" w:type="dxa"/>
            <w:shd w:val="clear" w:color="auto" w:fill="E7E6E6" w:themeFill="background2"/>
          </w:tcPr>
          <w:p w14:paraId="3A65969F" w14:textId="77777777" w:rsidR="00F53CB4" w:rsidRPr="006A1EC7" w:rsidRDefault="00F53CB4" w:rsidP="00AC2435">
            <w:pPr>
              <w:rPr>
                <w:sz w:val="18"/>
              </w:rPr>
            </w:pPr>
            <w:r w:rsidRPr="006A1EC7">
              <w:rPr>
                <w:sz w:val="18"/>
              </w:rPr>
              <w:t>Central Nervous System</w:t>
            </w:r>
          </w:p>
        </w:tc>
        <w:tc>
          <w:tcPr>
            <w:tcW w:w="2126" w:type="dxa"/>
            <w:shd w:val="clear" w:color="auto" w:fill="E7E6E6" w:themeFill="background2"/>
          </w:tcPr>
          <w:p w14:paraId="665018CB" w14:textId="77777777" w:rsidR="00F53CB4" w:rsidRPr="006A1EC7" w:rsidRDefault="00F53CB4" w:rsidP="00AC2435">
            <w:pPr>
              <w:rPr>
                <w:sz w:val="18"/>
              </w:rPr>
            </w:pPr>
            <w:r w:rsidRPr="006A1EC7">
              <w:rPr>
                <w:sz w:val="18"/>
              </w:rPr>
              <w:t>12</w:t>
            </w:r>
          </w:p>
        </w:tc>
        <w:tc>
          <w:tcPr>
            <w:tcW w:w="2125" w:type="dxa"/>
            <w:shd w:val="clear" w:color="auto" w:fill="E7E6E6" w:themeFill="background2"/>
          </w:tcPr>
          <w:p w14:paraId="29D40514" w14:textId="77777777" w:rsidR="00F53CB4" w:rsidRPr="006A1EC7" w:rsidRDefault="00F53CB4" w:rsidP="00AC2435">
            <w:pPr>
              <w:rPr>
                <w:sz w:val="18"/>
              </w:rPr>
            </w:pPr>
            <w:r w:rsidRPr="006A1EC7">
              <w:rPr>
                <w:sz w:val="18"/>
              </w:rPr>
              <w:t>10</w:t>
            </w:r>
          </w:p>
        </w:tc>
        <w:tc>
          <w:tcPr>
            <w:tcW w:w="2126" w:type="dxa"/>
            <w:shd w:val="clear" w:color="auto" w:fill="E7E6E6" w:themeFill="background2"/>
          </w:tcPr>
          <w:p w14:paraId="45D3A83B" w14:textId="77777777" w:rsidR="00F53CB4" w:rsidRPr="006A1EC7" w:rsidRDefault="00F53CB4" w:rsidP="00AC2435">
            <w:pPr>
              <w:rPr>
                <w:sz w:val="18"/>
              </w:rPr>
            </w:pPr>
            <w:r w:rsidRPr="006A1EC7">
              <w:rPr>
                <w:sz w:val="18"/>
              </w:rPr>
              <w:t>11</w:t>
            </w:r>
          </w:p>
        </w:tc>
        <w:tc>
          <w:tcPr>
            <w:tcW w:w="2125" w:type="dxa"/>
            <w:shd w:val="clear" w:color="auto" w:fill="E7E6E6" w:themeFill="background2"/>
          </w:tcPr>
          <w:p w14:paraId="63E9C2B6" w14:textId="77777777" w:rsidR="00F53CB4" w:rsidRPr="006A1EC7" w:rsidRDefault="00F53CB4" w:rsidP="00AC2435">
            <w:pPr>
              <w:rPr>
                <w:sz w:val="18"/>
              </w:rPr>
            </w:pPr>
            <w:r w:rsidRPr="006A1EC7">
              <w:rPr>
                <w:sz w:val="18"/>
              </w:rPr>
              <w:t>11.68</w:t>
            </w:r>
          </w:p>
        </w:tc>
        <w:tc>
          <w:tcPr>
            <w:tcW w:w="2126" w:type="dxa"/>
            <w:shd w:val="clear" w:color="auto" w:fill="E7E6E6" w:themeFill="background2"/>
          </w:tcPr>
          <w:p w14:paraId="19DFB3CF" w14:textId="77777777" w:rsidR="00F53CB4" w:rsidRPr="006A1EC7" w:rsidRDefault="00F53CB4" w:rsidP="00AC2435">
            <w:pPr>
              <w:rPr>
                <w:sz w:val="18"/>
              </w:rPr>
            </w:pPr>
            <w:r w:rsidRPr="006A1EC7">
              <w:rPr>
                <w:sz w:val="18"/>
              </w:rPr>
              <w:t>2.99</w:t>
            </w:r>
          </w:p>
        </w:tc>
        <w:tc>
          <w:tcPr>
            <w:tcW w:w="2126" w:type="dxa"/>
            <w:shd w:val="clear" w:color="auto" w:fill="E7E6E6" w:themeFill="background2"/>
          </w:tcPr>
          <w:p w14:paraId="3601D10F" w14:textId="77777777" w:rsidR="00F53CB4" w:rsidRPr="006A1EC7" w:rsidRDefault="00F53CB4" w:rsidP="00AC2435">
            <w:pPr>
              <w:rPr>
                <w:sz w:val="18"/>
              </w:rPr>
            </w:pPr>
            <w:r w:rsidRPr="006A1EC7">
              <w:rPr>
                <w:sz w:val="18"/>
              </w:rPr>
              <w:t>.005</w:t>
            </w:r>
          </w:p>
        </w:tc>
      </w:tr>
      <w:tr w:rsidR="00F53CB4" w:rsidRPr="006A1EC7" w14:paraId="178902CE" w14:textId="77777777" w:rsidTr="00AC2435">
        <w:tc>
          <w:tcPr>
            <w:tcW w:w="2125" w:type="dxa"/>
            <w:shd w:val="clear" w:color="auto" w:fill="E7E6E6" w:themeFill="background2"/>
          </w:tcPr>
          <w:p w14:paraId="5A99BB57" w14:textId="77777777" w:rsidR="00F53CB4" w:rsidRPr="006A1EC7" w:rsidRDefault="00F53CB4" w:rsidP="00AC2435">
            <w:pPr>
              <w:rPr>
                <w:sz w:val="18"/>
              </w:rPr>
            </w:pPr>
            <w:r w:rsidRPr="006A1EC7">
              <w:rPr>
                <w:sz w:val="18"/>
              </w:rPr>
              <w:t>Functioning</w:t>
            </w:r>
          </w:p>
        </w:tc>
        <w:tc>
          <w:tcPr>
            <w:tcW w:w="2126" w:type="dxa"/>
            <w:shd w:val="clear" w:color="auto" w:fill="E7E6E6" w:themeFill="background2"/>
          </w:tcPr>
          <w:p w14:paraId="56B4D118" w14:textId="77777777" w:rsidR="00F53CB4" w:rsidRPr="006A1EC7" w:rsidRDefault="00F53CB4" w:rsidP="00AC2435">
            <w:pPr>
              <w:rPr>
                <w:sz w:val="18"/>
              </w:rPr>
            </w:pPr>
            <w:r w:rsidRPr="006A1EC7">
              <w:rPr>
                <w:sz w:val="18"/>
              </w:rPr>
              <w:t>11</w:t>
            </w:r>
          </w:p>
        </w:tc>
        <w:tc>
          <w:tcPr>
            <w:tcW w:w="2125" w:type="dxa"/>
            <w:shd w:val="clear" w:color="auto" w:fill="E7E6E6" w:themeFill="background2"/>
          </w:tcPr>
          <w:p w14:paraId="71C67369" w14:textId="77777777" w:rsidR="00F53CB4" w:rsidRPr="006A1EC7" w:rsidRDefault="00F53CB4" w:rsidP="00AC2435">
            <w:pPr>
              <w:rPr>
                <w:sz w:val="18"/>
              </w:rPr>
            </w:pPr>
            <w:r w:rsidRPr="006A1EC7">
              <w:rPr>
                <w:sz w:val="18"/>
              </w:rPr>
              <w:t>11</w:t>
            </w:r>
          </w:p>
        </w:tc>
        <w:tc>
          <w:tcPr>
            <w:tcW w:w="2126" w:type="dxa"/>
            <w:shd w:val="clear" w:color="auto" w:fill="E7E6E6" w:themeFill="background2"/>
          </w:tcPr>
          <w:p w14:paraId="65468059" w14:textId="77777777" w:rsidR="00F53CB4" w:rsidRPr="006A1EC7" w:rsidRDefault="00F53CB4" w:rsidP="00AC2435">
            <w:pPr>
              <w:rPr>
                <w:sz w:val="18"/>
              </w:rPr>
            </w:pPr>
            <w:r w:rsidRPr="006A1EC7">
              <w:rPr>
                <w:sz w:val="18"/>
              </w:rPr>
              <w:t>11</w:t>
            </w:r>
          </w:p>
        </w:tc>
        <w:tc>
          <w:tcPr>
            <w:tcW w:w="2125" w:type="dxa"/>
            <w:shd w:val="clear" w:color="auto" w:fill="E7E6E6" w:themeFill="background2"/>
          </w:tcPr>
          <w:p w14:paraId="5CB6C440" w14:textId="77777777" w:rsidR="00F53CB4" w:rsidRPr="006A1EC7" w:rsidRDefault="00F53CB4" w:rsidP="00AC2435">
            <w:pPr>
              <w:rPr>
                <w:sz w:val="18"/>
              </w:rPr>
            </w:pPr>
            <w:r w:rsidRPr="006A1EC7">
              <w:rPr>
                <w:sz w:val="18"/>
              </w:rPr>
              <w:t>10.79</w:t>
            </w:r>
          </w:p>
        </w:tc>
        <w:tc>
          <w:tcPr>
            <w:tcW w:w="2126" w:type="dxa"/>
            <w:shd w:val="clear" w:color="auto" w:fill="E7E6E6" w:themeFill="background2"/>
          </w:tcPr>
          <w:p w14:paraId="6A93B6FF" w14:textId="77777777" w:rsidR="00F53CB4" w:rsidRPr="006A1EC7" w:rsidRDefault="00F53CB4" w:rsidP="00AC2435">
            <w:pPr>
              <w:rPr>
                <w:sz w:val="18"/>
              </w:rPr>
            </w:pPr>
            <w:r w:rsidRPr="006A1EC7">
              <w:rPr>
                <w:sz w:val="18"/>
              </w:rPr>
              <w:t>-1.00</w:t>
            </w:r>
          </w:p>
        </w:tc>
        <w:tc>
          <w:tcPr>
            <w:tcW w:w="2126" w:type="dxa"/>
            <w:shd w:val="clear" w:color="auto" w:fill="E7E6E6" w:themeFill="background2"/>
          </w:tcPr>
          <w:p w14:paraId="3FE0361E" w14:textId="77777777" w:rsidR="00F53CB4" w:rsidRPr="006A1EC7" w:rsidRDefault="00F53CB4" w:rsidP="00AC2435">
            <w:pPr>
              <w:rPr>
                <w:sz w:val="18"/>
              </w:rPr>
            </w:pPr>
            <w:r w:rsidRPr="006A1EC7">
              <w:rPr>
                <w:sz w:val="18"/>
              </w:rPr>
              <w:t>.325</w:t>
            </w:r>
          </w:p>
        </w:tc>
      </w:tr>
      <w:tr w:rsidR="00F53CB4" w:rsidRPr="006A1EC7" w14:paraId="594B74A0" w14:textId="77777777" w:rsidTr="00AC2435">
        <w:tc>
          <w:tcPr>
            <w:tcW w:w="2125" w:type="dxa"/>
            <w:shd w:val="clear" w:color="auto" w:fill="E7E6E6" w:themeFill="background2"/>
          </w:tcPr>
          <w:p w14:paraId="7E3D4D82" w14:textId="77777777" w:rsidR="00F53CB4" w:rsidRPr="006A1EC7" w:rsidRDefault="00F53CB4" w:rsidP="00AC2435">
            <w:pPr>
              <w:rPr>
                <w:sz w:val="18"/>
              </w:rPr>
            </w:pPr>
            <w:r w:rsidRPr="006A1EC7">
              <w:rPr>
                <w:sz w:val="18"/>
              </w:rPr>
              <w:t>Immunology</w:t>
            </w:r>
          </w:p>
        </w:tc>
        <w:tc>
          <w:tcPr>
            <w:tcW w:w="2126" w:type="dxa"/>
            <w:shd w:val="clear" w:color="auto" w:fill="E7E6E6" w:themeFill="background2"/>
          </w:tcPr>
          <w:p w14:paraId="10D368AB" w14:textId="77777777" w:rsidR="00F53CB4" w:rsidRPr="006A1EC7" w:rsidRDefault="00F53CB4" w:rsidP="00AC2435">
            <w:pPr>
              <w:rPr>
                <w:sz w:val="18"/>
              </w:rPr>
            </w:pPr>
            <w:r w:rsidRPr="006A1EC7">
              <w:rPr>
                <w:sz w:val="18"/>
              </w:rPr>
              <w:t>0</w:t>
            </w:r>
          </w:p>
        </w:tc>
        <w:tc>
          <w:tcPr>
            <w:tcW w:w="2125" w:type="dxa"/>
            <w:shd w:val="clear" w:color="auto" w:fill="E7E6E6" w:themeFill="background2"/>
          </w:tcPr>
          <w:p w14:paraId="19632617" w14:textId="77777777" w:rsidR="00F53CB4" w:rsidRPr="006A1EC7" w:rsidRDefault="00F53CB4" w:rsidP="00AC2435">
            <w:pPr>
              <w:rPr>
                <w:sz w:val="18"/>
              </w:rPr>
            </w:pPr>
            <w:r w:rsidRPr="006A1EC7">
              <w:rPr>
                <w:sz w:val="18"/>
              </w:rPr>
              <w:t>0</w:t>
            </w:r>
          </w:p>
        </w:tc>
        <w:tc>
          <w:tcPr>
            <w:tcW w:w="2126" w:type="dxa"/>
            <w:shd w:val="clear" w:color="auto" w:fill="E7E6E6" w:themeFill="background2"/>
          </w:tcPr>
          <w:p w14:paraId="0BB8FC27" w14:textId="77777777" w:rsidR="00F53CB4" w:rsidRPr="006A1EC7" w:rsidRDefault="00F53CB4" w:rsidP="00AC2435">
            <w:pPr>
              <w:rPr>
                <w:sz w:val="18"/>
              </w:rPr>
            </w:pPr>
            <w:r w:rsidRPr="006A1EC7">
              <w:rPr>
                <w:sz w:val="18"/>
              </w:rPr>
              <w:t>0</w:t>
            </w:r>
          </w:p>
        </w:tc>
        <w:tc>
          <w:tcPr>
            <w:tcW w:w="2125" w:type="dxa"/>
            <w:shd w:val="clear" w:color="auto" w:fill="E7E6E6" w:themeFill="background2"/>
          </w:tcPr>
          <w:p w14:paraId="52AE15B2" w14:textId="77777777" w:rsidR="00F53CB4" w:rsidRPr="006A1EC7" w:rsidRDefault="00F53CB4" w:rsidP="00AC2435">
            <w:pPr>
              <w:rPr>
                <w:sz w:val="18"/>
              </w:rPr>
            </w:pPr>
            <w:r w:rsidRPr="006A1EC7">
              <w:rPr>
                <w:sz w:val="18"/>
              </w:rPr>
              <w:t>.09</w:t>
            </w:r>
          </w:p>
        </w:tc>
        <w:tc>
          <w:tcPr>
            <w:tcW w:w="2126" w:type="dxa"/>
            <w:shd w:val="clear" w:color="auto" w:fill="E7E6E6" w:themeFill="background2"/>
          </w:tcPr>
          <w:p w14:paraId="7B8329F9" w14:textId="77777777" w:rsidR="00F53CB4" w:rsidRPr="006A1EC7" w:rsidRDefault="00F53CB4" w:rsidP="00AC2435">
            <w:pPr>
              <w:rPr>
                <w:sz w:val="18"/>
              </w:rPr>
            </w:pPr>
            <w:r w:rsidRPr="006A1EC7">
              <w:rPr>
                <w:sz w:val="18"/>
              </w:rPr>
              <w:t>1.000</w:t>
            </w:r>
          </w:p>
        </w:tc>
        <w:tc>
          <w:tcPr>
            <w:tcW w:w="2126" w:type="dxa"/>
            <w:shd w:val="clear" w:color="auto" w:fill="E7E6E6" w:themeFill="background2"/>
          </w:tcPr>
          <w:p w14:paraId="71EE2D44" w14:textId="77777777" w:rsidR="00F53CB4" w:rsidRPr="006A1EC7" w:rsidRDefault="00F53CB4" w:rsidP="00AC2435">
            <w:pPr>
              <w:rPr>
                <w:sz w:val="18"/>
              </w:rPr>
            </w:pPr>
            <w:r w:rsidRPr="006A1EC7">
              <w:rPr>
                <w:sz w:val="18"/>
              </w:rPr>
              <w:t>.325</w:t>
            </w:r>
          </w:p>
        </w:tc>
      </w:tr>
      <w:tr w:rsidR="00F53CB4" w:rsidRPr="006A1EC7" w14:paraId="2090FDAC" w14:textId="77777777" w:rsidTr="00AC2435">
        <w:tc>
          <w:tcPr>
            <w:tcW w:w="2125" w:type="dxa"/>
            <w:shd w:val="clear" w:color="auto" w:fill="A5A5A5" w:themeFill="accent3"/>
          </w:tcPr>
          <w:p w14:paraId="3EC5FFC2" w14:textId="77777777" w:rsidR="00F53CB4" w:rsidRPr="006A1EC7" w:rsidRDefault="00F53CB4" w:rsidP="00AC2435">
            <w:pPr>
              <w:rPr>
                <w:sz w:val="18"/>
              </w:rPr>
            </w:pPr>
            <w:r w:rsidRPr="006A1EC7">
              <w:rPr>
                <w:sz w:val="18"/>
              </w:rPr>
              <w:t>Sleep</w:t>
            </w:r>
          </w:p>
        </w:tc>
        <w:tc>
          <w:tcPr>
            <w:tcW w:w="2126" w:type="dxa"/>
            <w:shd w:val="clear" w:color="auto" w:fill="A5A5A5" w:themeFill="accent3"/>
          </w:tcPr>
          <w:p w14:paraId="4CF182F4" w14:textId="77777777" w:rsidR="00F53CB4" w:rsidRPr="006A1EC7" w:rsidRDefault="00F53CB4" w:rsidP="00AC2435">
            <w:pPr>
              <w:rPr>
                <w:sz w:val="18"/>
              </w:rPr>
            </w:pPr>
            <w:r w:rsidRPr="006A1EC7">
              <w:rPr>
                <w:sz w:val="18"/>
              </w:rPr>
              <w:t>0</w:t>
            </w:r>
          </w:p>
        </w:tc>
        <w:tc>
          <w:tcPr>
            <w:tcW w:w="2125" w:type="dxa"/>
            <w:shd w:val="clear" w:color="auto" w:fill="A5A5A5" w:themeFill="accent3"/>
          </w:tcPr>
          <w:p w14:paraId="68399D6F" w14:textId="77777777" w:rsidR="00F53CB4" w:rsidRPr="006A1EC7" w:rsidRDefault="00F53CB4" w:rsidP="00AC2435">
            <w:pPr>
              <w:rPr>
                <w:sz w:val="18"/>
              </w:rPr>
            </w:pPr>
            <w:r w:rsidRPr="006A1EC7">
              <w:rPr>
                <w:sz w:val="18"/>
              </w:rPr>
              <w:t>0</w:t>
            </w:r>
          </w:p>
        </w:tc>
        <w:tc>
          <w:tcPr>
            <w:tcW w:w="2126" w:type="dxa"/>
            <w:shd w:val="clear" w:color="auto" w:fill="A5A5A5" w:themeFill="accent3"/>
          </w:tcPr>
          <w:p w14:paraId="0559A084" w14:textId="77777777" w:rsidR="00F53CB4" w:rsidRPr="006A1EC7" w:rsidRDefault="00F53CB4" w:rsidP="00AC2435">
            <w:pPr>
              <w:rPr>
                <w:sz w:val="18"/>
              </w:rPr>
            </w:pPr>
            <w:r w:rsidRPr="006A1EC7">
              <w:rPr>
                <w:sz w:val="18"/>
              </w:rPr>
              <w:t>0</w:t>
            </w:r>
          </w:p>
        </w:tc>
        <w:tc>
          <w:tcPr>
            <w:tcW w:w="2125" w:type="dxa"/>
            <w:shd w:val="clear" w:color="auto" w:fill="A5A5A5" w:themeFill="accent3"/>
          </w:tcPr>
          <w:p w14:paraId="5A6F9EB9" w14:textId="77777777" w:rsidR="00F53CB4" w:rsidRPr="006A1EC7" w:rsidRDefault="00F53CB4" w:rsidP="00AC2435">
            <w:pPr>
              <w:rPr>
                <w:sz w:val="18"/>
              </w:rPr>
            </w:pPr>
            <w:r w:rsidRPr="006A1EC7">
              <w:rPr>
                <w:sz w:val="18"/>
              </w:rPr>
              <w:t>.00</w:t>
            </w:r>
          </w:p>
        </w:tc>
        <w:tc>
          <w:tcPr>
            <w:tcW w:w="2126" w:type="dxa"/>
            <w:shd w:val="clear" w:color="auto" w:fill="A5A5A5" w:themeFill="accent3"/>
          </w:tcPr>
          <w:p w14:paraId="072916F2" w14:textId="77777777" w:rsidR="00F53CB4" w:rsidRPr="006A1EC7" w:rsidRDefault="00F53CB4" w:rsidP="00AC2435">
            <w:pPr>
              <w:rPr>
                <w:sz w:val="18"/>
              </w:rPr>
            </w:pPr>
            <w:r w:rsidRPr="006A1EC7">
              <w:rPr>
                <w:sz w:val="18"/>
              </w:rPr>
              <w:t xml:space="preserve">Cannot be calculates as SD = 0 </w:t>
            </w:r>
          </w:p>
        </w:tc>
        <w:tc>
          <w:tcPr>
            <w:tcW w:w="2126" w:type="dxa"/>
            <w:shd w:val="clear" w:color="auto" w:fill="A5A5A5" w:themeFill="accent3"/>
          </w:tcPr>
          <w:p w14:paraId="4E61FF6E" w14:textId="77777777" w:rsidR="00F53CB4" w:rsidRPr="006A1EC7" w:rsidRDefault="00F53CB4" w:rsidP="00AC2435">
            <w:pPr>
              <w:rPr>
                <w:sz w:val="18"/>
              </w:rPr>
            </w:pPr>
            <w:r w:rsidRPr="006A1EC7">
              <w:rPr>
                <w:sz w:val="18"/>
              </w:rPr>
              <w:t>-</w:t>
            </w:r>
          </w:p>
        </w:tc>
      </w:tr>
      <w:tr w:rsidR="00F53CB4" w:rsidRPr="006A1EC7" w14:paraId="3C127DEA" w14:textId="77777777" w:rsidTr="00AC2435">
        <w:tc>
          <w:tcPr>
            <w:tcW w:w="2125" w:type="dxa"/>
            <w:shd w:val="clear" w:color="auto" w:fill="E7E6E6" w:themeFill="background2"/>
          </w:tcPr>
          <w:p w14:paraId="756079BC" w14:textId="77777777" w:rsidR="00F53CB4" w:rsidRPr="006A1EC7" w:rsidRDefault="00F53CB4" w:rsidP="00AC2435">
            <w:pPr>
              <w:rPr>
                <w:sz w:val="18"/>
              </w:rPr>
            </w:pPr>
            <w:r w:rsidRPr="006A1EC7">
              <w:rPr>
                <w:sz w:val="18"/>
              </w:rPr>
              <w:t>Care</w:t>
            </w:r>
          </w:p>
        </w:tc>
        <w:tc>
          <w:tcPr>
            <w:tcW w:w="2126" w:type="dxa"/>
            <w:shd w:val="clear" w:color="auto" w:fill="E7E6E6" w:themeFill="background2"/>
          </w:tcPr>
          <w:p w14:paraId="112B21BA" w14:textId="77777777" w:rsidR="00F53CB4" w:rsidRPr="006A1EC7" w:rsidRDefault="00F53CB4" w:rsidP="00AC2435">
            <w:pPr>
              <w:rPr>
                <w:sz w:val="18"/>
              </w:rPr>
            </w:pPr>
            <w:r w:rsidRPr="006A1EC7">
              <w:rPr>
                <w:sz w:val="18"/>
              </w:rPr>
              <w:t>2</w:t>
            </w:r>
          </w:p>
        </w:tc>
        <w:tc>
          <w:tcPr>
            <w:tcW w:w="2125" w:type="dxa"/>
            <w:shd w:val="clear" w:color="auto" w:fill="E7E6E6" w:themeFill="background2"/>
          </w:tcPr>
          <w:p w14:paraId="3EB99CEF" w14:textId="77777777" w:rsidR="00F53CB4" w:rsidRPr="006A1EC7" w:rsidRDefault="00F53CB4" w:rsidP="00AC2435">
            <w:pPr>
              <w:rPr>
                <w:sz w:val="18"/>
              </w:rPr>
            </w:pPr>
            <w:r w:rsidRPr="006A1EC7">
              <w:rPr>
                <w:sz w:val="18"/>
              </w:rPr>
              <w:t>1</w:t>
            </w:r>
          </w:p>
        </w:tc>
        <w:tc>
          <w:tcPr>
            <w:tcW w:w="2126" w:type="dxa"/>
            <w:shd w:val="clear" w:color="auto" w:fill="E7E6E6" w:themeFill="background2"/>
          </w:tcPr>
          <w:p w14:paraId="71C657C9" w14:textId="77777777" w:rsidR="00F53CB4" w:rsidRPr="006A1EC7" w:rsidRDefault="00F53CB4" w:rsidP="00AC2435">
            <w:pPr>
              <w:rPr>
                <w:sz w:val="18"/>
              </w:rPr>
            </w:pPr>
            <w:r w:rsidRPr="006A1EC7">
              <w:rPr>
                <w:sz w:val="18"/>
              </w:rPr>
              <w:t>1.5</w:t>
            </w:r>
          </w:p>
        </w:tc>
        <w:tc>
          <w:tcPr>
            <w:tcW w:w="2125" w:type="dxa"/>
            <w:shd w:val="clear" w:color="auto" w:fill="E7E6E6" w:themeFill="background2"/>
          </w:tcPr>
          <w:p w14:paraId="6122A77D" w14:textId="77777777" w:rsidR="00F53CB4" w:rsidRPr="006A1EC7" w:rsidRDefault="00F53CB4" w:rsidP="00AC2435">
            <w:pPr>
              <w:rPr>
                <w:sz w:val="18"/>
              </w:rPr>
            </w:pPr>
            <w:r w:rsidRPr="006A1EC7">
              <w:rPr>
                <w:sz w:val="18"/>
              </w:rPr>
              <w:t>1.68</w:t>
            </w:r>
          </w:p>
        </w:tc>
        <w:tc>
          <w:tcPr>
            <w:tcW w:w="2126" w:type="dxa"/>
            <w:shd w:val="clear" w:color="auto" w:fill="E7E6E6" w:themeFill="background2"/>
          </w:tcPr>
          <w:p w14:paraId="09804ECA" w14:textId="77777777" w:rsidR="00F53CB4" w:rsidRPr="006A1EC7" w:rsidRDefault="00F53CB4" w:rsidP="00AC2435">
            <w:pPr>
              <w:rPr>
                <w:sz w:val="18"/>
              </w:rPr>
            </w:pPr>
            <w:r w:rsidRPr="006A1EC7">
              <w:rPr>
                <w:sz w:val="18"/>
              </w:rPr>
              <w:t>1.924</w:t>
            </w:r>
          </w:p>
        </w:tc>
        <w:tc>
          <w:tcPr>
            <w:tcW w:w="2126" w:type="dxa"/>
            <w:shd w:val="clear" w:color="auto" w:fill="E7E6E6" w:themeFill="background2"/>
          </w:tcPr>
          <w:p w14:paraId="1A5B4FD6" w14:textId="77777777" w:rsidR="00F53CB4" w:rsidRPr="006A1EC7" w:rsidRDefault="00F53CB4" w:rsidP="00AC2435">
            <w:pPr>
              <w:rPr>
                <w:sz w:val="18"/>
              </w:rPr>
            </w:pPr>
            <w:r w:rsidRPr="006A1EC7">
              <w:rPr>
                <w:sz w:val="18"/>
              </w:rPr>
              <w:t>.063</w:t>
            </w:r>
          </w:p>
        </w:tc>
      </w:tr>
      <w:tr w:rsidR="00F53CB4" w:rsidRPr="006A1EC7" w14:paraId="76B38BED" w14:textId="77777777" w:rsidTr="00AC2435">
        <w:tc>
          <w:tcPr>
            <w:tcW w:w="2125" w:type="dxa"/>
            <w:shd w:val="clear" w:color="auto" w:fill="E7E6E6" w:themeFill="background2"/>
          </w:tcPr>
          <w:p w14:paraId="2C754430" w14:textId="77777777" w:rsidR="00F53CB4" w:rsidRPr="006A1EC7" w:rsidRDefault="00F53CB4" w:rsidP="00AC2435">
            <w:pPr>
              <w:rPr>
                <w:sz w:val="18"/>
              </w:rPr>
            </w:pPr>
            <w:r w:rsidRPr="006A1EC7">
              <w:rPr>
                <w:sz w:val="18"/>
              </w:rPr>
              <w:t>Total</w:t>
            </w:r>
          </w:p>
        </w:tc>
        <w:tc>
          <w:tcPr>
            <w:tcW w:w="2126" w:type="dxa"/>
            <w:shd w:val="clear" w:color="auto" w:fill="E7E6E6" w:themeFill="background2"/>
          </w:tcPr>
          <w:p w14:paraId="29C5B889" w14:textId="77777777" w:rsidR="00F53CB4" w:rsidRPr="006A1EC7" w:rsidRDefault="00F53CB4" w:rsidP="00AC2435">
            <w:pPr>
              <w:rPr>
                <w:sz w:val="18"/>
              </w:rPr>
            </w:pPr>
            <w:r w:rsidRPr="006A1EC7">
              <w:rPr>
                <w:sz w:val="18"/>
              </w:rPr>
              <w:t>59</w:t>
            </w:r>
          </w:p>
        </w:tc>
        <w:tc>
          <w:tcPr>
            <w:tcW w:w="2125" w:type="dxa"/>
            <w:shd w:val="clear" w:color="auto" w:fill="E7E6E6" w:themeFill="background2"/>
          </w:tcPr>
          <w:p w14:paraId="2145241B" w14:textId="77777777" w:rsidR="00F53CB4" w:rsidRPr="006A1EC7" w:rsidRDefault="00F53CB4" w:rsidP="00AC2435">
            <w:pPr>
              <w:rPr>
                <w:sz w:val="18"/>
              </w:rPr>
            </w:pPr>
            <w:r w:rsidRPr="006A1EC7">
              <w:rPr>
                <w:sz w:val="18"/>
              </w:rPr>
              <w:t>58</w:t>
            </w:r>
          </w:p>
        </w:tc>
        <w:tc>
          <w:tcPr>
            <w:tcW w:w="2126" w:type="dxa"/>
            <w:shd w:val="clear" w:color="auto" w:fill="E7E6E6" w:themeFill="background2"/>
          </w:tcPr>
          <w:p w14:paraId="7486EC75" w14:textId="77777777" w:rsidR="00F53CB4" w:rsidRPr="006A1EC7" w:rsidRDefault="00F53CB4" w:rsidP="00AC2435">
            <w:pPr>
              <w:rPr>
                <w:sz w:val="18"/>
              </w:rPr>
            </w:pPr>
            <w:r w:rsidRPr="006A1EC7">
              <w:rPr>
                <w:sz w:val="18"/>
              </w:rPr>
              <w:t>58.5</w:t>
            </w:r>
          </w:p>
        </w:tc>
        <w:tc>
          <w:tcPr>
            <w:tcW w:w="2125" w:type="dxa"/>
            <w:shd w:val="clear" w:color="auto" w:fill="E7E6E6" w:themeFill="background2"/>
          </w:tcPr>
          <w:p w14:paraId="772A3DBC" w14:textId="77777777" w:rsidR="00F53CB4" w:rsidRPr="006A1EC7" w:rsidRDefault="00F53CB4" w:rsidP="00AC2435">
            <w:pPr>
              <w:rPr>
                <w:sz w:val="18"/>
              </w:rPr>
            </w:pPr>
            <w:r w:rsidRPr="006A1EC7">
              <w:rPr>
                <w:sz w:val="18"/>
              </w:rPr>
              <w:t>58.45</w:t>
            </w:r>
          </w:p>
        </w:tc>
        <w:tc>
          <w:tcPr>
            <w:tcW w:w="2126" w:type="dxa"/>
            <w:shd w:val="clear" w:color="auto" w:fill="E7E6E6" w:themeFill="background2"/>
          </w:tcPr>
          <w:p w14:paraId="2A8F519B" w14:textId="77777777" w:rsidR="00F53CB4" w:rsidRPr="006A1EC7" w:rsidRDefault="00F53CB4" w:rsidP="00AC2435">
            <w:pPr>
              <w:rPr>
                <w:sz w:val="18"/>
              </w:rPr>
            </w:pPr>
            <w:r w:rsidRPr="006A1EC7">
              <w:rPr>
                <w:sz w:val="18"/>
              </w:rPr>
              <w:t>-0.69</w:t>
            </w:r>
          </w:p>
        </w:tc>
        <w:tc>
          <w:tcPr>
            <w:tcW w:w="2126" w:type="dxa"/>
            <w:shd w:val="clear" w:color="auto" w:fill="E7E6E6" w:themeFill="background2"/>
          </w:tcPr>
          <w:p w14:paraId="573A67F8" w14:textId="77777777" w:rsidR="00F53CB4" w:rsidRPr="006A1EC7" w:rsidRDefault="00F53CB4" w:rsidP="00AC2435">
            <w:pPr>
              <w:rPr>
                <w:sz w:val="18"/>
              </w:rPr>
            </w:pPr>
            <w:r w:rsidRPr="006A1EC7">
              <w:rPr>
                <w:sz w:val="18"/>
              </w:rPr>
              <w:t>.945</w:t>
            </w:r>
          </w:p>
        </w:tc>
      </w:tr>
    </w:tbl>
    <w:p w14:paraId="610C0672" w14:textId="77777777" w:rsidR="00F53CB4" w:rsidRPr="006A1EC7" w:rsidRDefault="00F53CB4" w:rsidP="00F53CB4"/>
    <w:p w14:paraId="25602D4A" w14:textId="77777777" w:rsidR="00F53CB4" w:rsidRPr="006A1EC7" w:rsidRDefault="00F53CB4" w:rsidP="00F53CB4"/>
    <w:p w14:paraId="75B63C9B" w14:textId="77777777" w:rsidR="00F53CB4" w:rsidRPr="006A1EC7" w:rsidRDefault="00F53CB4" w:rsidP="00F53CB4"/>
    <w:p w14:paraId="6B400682" w14:textId="77777777" w:rsidR="00F53CB4" w:rsidRPr="006A1EC7" w:rsidRDefault="00F53CB4" w:rsidP="00F53CB4">
      <w:pPr>
        <w:pStyle w:val="Caption"/>
        <w:keepNext/>
        <w:rPr>
          <w:sz w:val="24"/>
          <w:szCs w:val="24"/>
        </w:rPr>
      </w:pPr>
      <w:bookmarkStart w:id="250" w:name="_Toc40173045"/>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21</w:t>
      </w:r>
      <w:r w:rsidRPr="006A1EC7">
        <w:rPr>
          <w:sz w:val="24"/>
          <w:szCs w:val="24"/>
        </w:rPr>
        <w:fldChar w:fldCharType="end"/>
      </w:r>
      <w:r w:rsidRPr="006A1EC7">
        <w:rPr>
          <w:sz w:val="24"/>
          <w:szCs w:val="24"/>
        </w:rPr>
        <w:t>: Case Study 2: Bronagh</w:t>
      </w:r>
      <w:bookmarkEnd w:id="250"/>
    </w:p>
    <w:tbl>
      <w:tblPr>
        <w:tblStyle w:val="TableGrid"/>
        <w:tblW w:w="14879" w:type="dxa"/>
        <w:tblLook w:val="04A0" w:firstRow="1" w:lastRow="0" w:firstColumn="1" w:lastColumn="0" w:noHBand="0" w:noVBand="1"/>
      </w:tblPr>
      <w:tblGrid>
        <w:gridCol w:w="2125"/>
        <w:gridCol w:w="2126"/>
        <w:gridCol w:w="2125"/>
        <w:gridCol w:w="2126"/>
        <w:gridCol w:w="2125"/>
        <w:gridCol w:w="2126"/>
        <w:gridCol w:w="2126"/>
      </w:tblGrid>
      <w:tr w:rsidR="00F53CB4" w:rsidRPr="006A1EC7" w14:paraId="488CDD5D" w14:textId="77777777" w:rsidTr="00AC2435">
        <w:trPr>
          <w:trHeight w:val="132"/>
        </w:trPr>
        <w:tc>
          <w:tcPr>
            <w:tcW w:w="2125" w:type="dxa"/>
            <w:shd w:val="clear" w:color="auto" w:fill="auto"/>
          </w:tcPr>
          <w:p w14:paraId="1246A157" w14:textId="77777777" w:rsidR="00F53CB4" w:rsidRPr="006A1EC7" w:rsidRDefault="00F53CB4" w:rsidP="00AC2435">
            <w:pPr>
              <w:rPr>
                <w:sz w:val="20"/>
              </w:rPr>
            </w:pPr>
            <w:r w:rsidRPr="006A1EC7">
              <w:rPr>
                <w:sz w:val="20"/>
              </w:rPr>
              <w:t>Domain</w:t>
            </w:r>
          </w:p>
        </w:tc>
        <w:tc>
          <w:tcPr>
            <w:tcW w:w="2126" w:type="dxa"/>
            <w:shd w:val="clear" w:color="auto" w:fill="auto"/>
          </w:tcPr>
          <w:p w14:paraId="3AA840AD" w14:textId="77777777" w:rsidR="00F53CB4" w:rsidRPr="006A1EC7" w:rsidRDefault="00F53CB4" w:rsidP="00AC2435">
            <w:pPr>
              <w:rPr>
                <w:sz w:val="20"/>
              </w:rPr>
            </w:pPr>
            <w:r w:rsidRPr="006A1EC7">
              <w:rPr>
                <w:sz w:val="20"/>
              </w:rPr>
              <w:t>KV</w:t>
            </w:r>
          </w:p>
        </w:tc>
        <w:tc>
          <w:tcPr>
            <w:tcW w:w="2125" w:type="dxa"/>
            <w:shd w:val="clear" w:color="auto" w:fill="auto"/>
          </w:tcPr>
          <w:p w14:paraId="63C5FDEB" w14:textId="77777777" w:rsidR="00F53CB4" w:rsidRPr="006A1EC7" w:rsidRDefault="00F53CB4" w:rsidP="00AC2435">
            <w:pPr>
              <w:rPr>
                <w:sz w:val="20"/>
              </w:rPr>
            </w:pPr>
            <w:r w:rsidRPr="006A1EC7">
              <w:rPr>
                <w:sz w:val="20"/>
              </w:rPr>
              <w:t>AM</w:t>
            </w:r>
          </w:p>
        </w:tc>
        <w:tc>
          <w:tcPr>
            <w:tcW w:w="2126" w:type="dxa"/>
            <w:shd w:val="clear" w:color="auto" w:fill="auto"/>
          </w:tcPr>
          <w:p w14:paraId="3DAB0EBE" w14:textId="77777777" w:rsidR="00F53CB4" w:rsidRPr="006A1EC7" w:rsidRDefault="00F53CB4" w:rsidP="00AC2435">
            <w:pPr>
              <w:rPr>
                <w:sz w:val="20"/>
              </w:rPr>
            </w:pPr>
            <w:r w:rsidRPr="006A1EC7">
              <w:rPr>
                <w:sz w:val="20"/>
              </w:rPr>
              <w:t>KV/AM mean</w:t>
            </w:r>
          </w:p>
        </w:tc>
        <w:tc>
          <w:tcPr>
            <w:tcW w:w="2125" w:type="dxa"/>
            <w:shd w:val="clear" w:color="auto" w:fill="auto"/>
          </w:tcPr>
          <w:p w14:paraId="666157DA" w14:textId="77777777" w:rsidR="00F53CB4" w:rsidRPr="006A1EC7" w:rsidRDefault="00F53CB4" w:rsidP="00AC2435">
            <w:pPr>
              <w:rPr>
                <w:sz w:val="20"/>
              </w:rPr>
            </w:pPr>
            <w:r w:rsidRPr="006A1EC7">
              <w:rPr>
                <w:sz w:val="20"/>
              </w:rPr>
              <w:t>Sample mean</w:t>
            </w:r>
          </w:p>
        </w:tc>
        <w:tc>
          <w:tcPr>
            <w:tcW w:w="2126" w:type="dxa"/>
            <w:shd w:val="clear" w:color="auto" w:fill="auto"/>
          </w:tcPr>
          <w:p w14:paraId="3F743550" w14:textId="77777777" w:rsidR="00F53CB4" w:rsidRPr="006A1EC7" w:rsidRDefault="00F53CB4" w:rsidP="00AC2435">
            <w:pPr>
              <w:rPr>
                <w:sz w:val="20"/>
              </w:rPr>
            </w:pPr>
            <w:r w:rsidRPr="006A1EC7">
              <w:rPr>
                <w:sz w:val="20"/>
              </w:rPr>
              <w:t>t- value</w:t>
            </w:r>
          </w:p>
        </w:tc>
        <w:tc>
          <w:tcPr>
            <w:tcW w:w="2126" w:type="dxa"/>
            <w:shd w:val="clear" w:color="auto" w:fill="auto"/>
          </w:tcPr>
          <w:p w14:paraId="682E2636" w14:textId="77777777" w:rsidR="00F53CB4" w:rsidRPr="006A1EC7" w:rsidRDefault="00F53CB4" w:rsidP="00AC2435">
            <w:pPr>
              <w:rPr>
                <w:sz w:val="20"/>
              </w:rPr>
            </w:pPr>
            <w:r w:rsidRPr="006A1EC7">
              <w:rPr>
                <w:sz w:val="20"/>
              </w:rPr>
              <w:t>p—value</w:t>
            </w:r>
          </w:p>
          <w:p w14:paraId="4D7CD1E3" w14:textId="77777777" w:rsidR="00F53CB4" w:rsidRPr="006A1EC7" w:rsidRDefault="00F53CB4" w:rsidP="00AC2435">
            <w:pPr>
              <w:rPr>
                <w:sz w:val="20"/>
              </w:rPr>
            </w:pPr>
            <w:r w:rsidRPr="006A1EC7">
              <w:rPr>
                <w:sz w:val="20"/>
              </w:rPr>
              <w:t>(Bonferroni correction; significant p now set at 001)</w:t>
            </w:r>
          </w:p>
        </w:tc>
      </w:tr>
      <w:tr w:rsidR="00F53CB4" w:rsidRPr="006A1EC7" w14:paraId="69B2C5C1" w14:textId="77777777" w:rsidTr="00AC2435">
        <w:trPr>
          <w:trHeight w:val="336"/>
        </w:trPr>
        <w:tc>
          <w:tcPr>
            <w:tcW w:w="2125" w:type="dxa"/>
            <w:shd w:val="clear" w:color="auto" w:fill="E7E6E6" w:themeFill="background2"/>
          </w:tcPr>
          <w:p w14:paraId="5F1501D7" w14:textId="77777777" w:rsidR="00F53CB4" w:rsidRPr="006A1EC7" w:rsidRDefault="00F53CB4" w:rsidP="00AC2435">
            <w:pPr>
              <w:rPr>
                <w:sz w:val="20"/>
              </w:rPr>
            </w:pPr>
            <w:r w:rsidRPr="006A1EC7">
              <w:rPr>
                <w:sz w:val="20"/>
              </w:rPr>
              <w:t>Face</w:t>
            </w:r>
          </w:p>
        </w:tc>
        <w:tc>
          <w:tcPr>
            <w:tcW w:w="2126" w:type="dxa"/>
            <w:shd w:val="clear" w:color="auto" w:fill="E7E6E6" w:themeFill="background2"/>
          </w:tcPr>
          <w:p w14:paraId="43F472C4" w14:textId="77777777" w:rsidR="00F53CB4" w:rsidRPr="006A1EC7" w:rsidRDefault="00F53CB4" w:rsidP="00AC2435">
            <w:pPr>
              <w:rPr>
                <w:sz w:val="20"/>
              </w:rPr>
            </w:pPr>
            <w:r w:rsidRPr="006A1EC7">
              <w:rPr>
                <w:sz w:val="20"/>
              </w:rPr>
              <w:t>1</w:t>
            </w:r>
          </w:p>
        </w:tc>
        <w:tc>
          <w:tcPr>
            <w:tcW w:w="2125" w:type="dxa"/>
            <w:shd w:val="clear" w:color="auto" w:fill="E7E6E6" w:themeFill="background2"/>
          </w:tcPr>
          <w:p w14:paraId="13E3A4FE" w14:textId="77777777" w:rsidR="00F53CB4" w:rsidRPr="006A1EC7" w:rsidRDefault="00F53CB4" w:rsidP="00AC2435">
            <w:pPr>
              <w:rPr>
                <w:sz w:val="20"/>
              </w:rPr>
            </w:pPr>
            <w:r w:rsidRPr="006A1EC7">
              <w:rPr>
                <w:sz w:val="20"/>
              </w:rPr>
              <w:t>1</w:t>
            </w:r>
          </w:p>
        </w:tc>
        <w:tc>
          <w:tcPr>
            <w:tcW w:w="2126" w:type="dxa"/>
            <w:shd w:val="clear" w:color="auto" w:fill="E7E6E6" w:themeFill="background2"/>
          </w:tcPr>
          <w:p w14:paraId="1F3D6B4F" w14:textId="77777777" w:rsidR="00F53CB4" w:rsidRPr="006A1EC7" w:rsidRDefault="00F53CB4" w:rsidP="00AC2435">
            <w:pPr>
              <w:rPr>
                <w:sz w:val="20"/>
              </w:rPr>
            </w:pPr>
            <w:r w:rsidRPr="006A1EC7">
              <w:rPr>
                <w:sz w:val="20"/>
              </w:rPr>
              <w:t>1</w:t>
            </w:r>
          </w:p>
        </w:tc>
        <w:tc>
          <w:tcPr>
            <w:tcW w:w="2125" w:type="dxa"/>
            <w:shd w:val="clear" w:color="auto" w:fill="E7E6E6" w:themeFill="background2"/>
          </w:tcPr>
          <w:p w14:paraId="124A70AC" w14:textId="77777777" w:rsidR="00F53CB4" w:rsidRPr="006A1EC7" w:rsidRDefault="00F53CB4" w:rsidP="00AC2435">
            <w:pPr>
              <w:rPr>
                <w:sz w:val="20"/>
              </w:rPr>
            </w:pPr>
            <w:r w:rsidRPr="006A1EC7">
              <w:rPr>
                <w:sz w:val="20"/>
              </w:rPr>
              <w:t>1.00</w:t>
            </w:r>
          </w:p>
        </w:tc>
        <w:tc>
          <w:tcPr>
            <w:tcW w:w="2126" w:type="dxa"/>
            <w:shd w:val="clear" w:color="auto" w:fill="E7E6E6" w:themeFill="background2"/>
          </w:tcPr>
          <w:p w14:paraId="4CD12816" w14:textId="77777777" w:rsidR="00F53CB4" w:rsidRPr="006A1EC7" w:rsidRDefault="00F53CB4" w:rsidP="00AC2435">
            <w:pPr>
              <w:rPr>
                <w:sz w:val="20"/>
              </w:rPr>
            </w:pPr>
            <w:r w:rsidRPr="006A1EC7">
              <w:rPr>
                <w:sz w:val="20"/>
              </w:rPr>
              <w:t>.00</w:t>
            </w:r>
          </w:p>
        </w:tc>
        <w:tc>
          <w:tcPr>
            <w:tcW w:w="2126" w:type="dxa"/>
            <w:shd w:val="clear" w:color="auto" w:fill="E7E6E6" w:themeFill="background2"/>
          </w:tcPr>
          <w:p w14:paraId="0EFBB747" w14:textId="77777777" w:rsidR="00F53CB4" w:rsidRPr="006A1EC7" w:rsidRDefault="00F53CB4" w:rsidP="00AC2435">
            <w:pPr>
              <w:rPr>
                <w:sz w:val="20"/>
              </w:rPr>
            </w:pPr>
            <w:r w:rsidRPr="006A1EC7">
              <w:rPr>
                <w:sz w:val="20"/>
              </w:rPr>
              <w:t>1.00</w:t>
            </w:r>
          </w:p>
        </w:tc>
      </w:tr>
      <w:tr w:rsidR="00F53CB4" w:rsidRPr="006A1EC7" w14:paraId="4794BB79" w14:textId="77777777" w:rsidTr="00AC2435">
        <w:tc>
          <w:tcPr>
            <w:tcW w:w="2125" w:type="dxa"/>
            <w:shd w:val="clear" w:color="auto" w:fill="4472C4" w:themeFill="accent1"/>
          </w:tcPr>
          <w:p w14:paraId="0A596857" w14:textId="77777777" w:rsidR="00F53CB4" w:rsidRPr="006A1EC7" w:rsidRDefault="00F53CB4" w:rsidP="00AC2435">
            <w:pPr>
              <w:rPr>
                <w:sz w:val="20"/>
              </w:rPr>
            </w:pPr>
            <w:r w:rsidRPr="006A1EC7">
              <w:rPr>
                <w:sz w:val="20"/>
              </w:rPr>
              <w:t>Epilepsy</w:t>
            </w:r>
          </w:p>
        </w:tc>
        <w:tc>
          <w:tcPr>
            <w:tcW w:w="2126" w:type="dxa"/>
            <w:shd w:val="clear" w:color="auto" w:fill="4472C4" w:themeFill="accent1"/>
          </w:tcPr>
          <w:p w14:paraId="23048250" w14:textId="77777777" w:rsidR="00F53CB4" w:rsidRPr="006A1EC7" w:rsidRDefault="00F53CB4" w:rsidP="00AC2435">
            <w:pPr>
              <w:rPr>
                <w:sz w:val="20"/>
              </w:rPr>
            </w:pPr>
            <w:r w:rsidRPr="006A1EC7">
              <w:rPr>
                <w:sz w:val="20"/>
              </w:rPr>
              <w:t>1</w:t>
            </w:r>
          </w:p>
        </w:tc>
        <w:tc>
          <w:tcPr>
            <w:tcW w:w="2125" w:type="dxa"/>
            <w:shd w:val="clear" w:color="auto" w:fill="4472C4" w:themeFill="accent1"/>
          </w:tcPr>
          <w:p w14:paraId="7F07ED15" w14:textId="77777777" w:rsidR="00F53CB4" w:rsidRPr="006A1EC7" w:rsidRDefault="00F53CB4" w:rsidP="00AC2435">
            <w:pPr>
              <w:rPr>
                <w:sz w:val="20"/>
              </w:rPr>
            </w:pPr>
            <w:r w:rsidRPr="006A1EC7">
              <w:rPr>
                <w:sz w:val="20"/>
              </w:rPr>
              <w:t>1</w:t>
            </w:r>
          </w:p>
        </w:tc>
        <w:tc>
          <w:tcPr>
            <w:tcW w:w="2126" w:type="dxa"/>
            <w:shd w:val="clear" w:color="auto" w:fill="4472C4" w:themeFill="accent1"/>
          </w:tcPr>
          <w:p w14:paraId="6E1F3D68" w14:textId="77777777" w:rsidR="00F53CB4" w:rsidRPr="006A1EC7" w:rsidRDefault="00F53CB4" w:rsidP="00AC2435">
            <w:pPr>
              <w:rPr>
                <w:sz w:val="20"/>
              </w:rPr>
            </w:pPr>
            <w:r w:rsidRPr="006A1EC7">
              <w:rPr>
                <w:sz w:val="20"/>
              </w:rPr>
              <w:t>1</w:t>
            </w:r>
          </w:p>
        </w:tc>
        <w:tc>
          <w:tcPr>
            <w:tcW w:w="2125" w:type="dxa"/>
            <w:shd w:val="clear" w:color="auto" w:fill="4472C4" w:themeFill="accent1"/>
          </w:tcPr>
          <w:p w14:paraId="3F83A582" w14:textId="77777777" w:rsidR="00F53CB4" w:rsidRPr="006A1EC7" w:rsidRDefault="00F53CB4" w:rsidP="00AC2435">
            <w:pPr>
              <w:rPr>
                <w:sz w:val="20"/>
              </w:rPr>
            </w:pPr>
            <w:r w:rsidRPr="006A1EC7">
              <w:rPr>
                <w:sz w:val="20"/>
              </w:rPr>
              <w:t>1.65</w:t>
            </w:r>
          </w:p>
        </w:tc>
        <w:tc>
          <w:tcPr>
            <w:tcW w:w="2126" w:type="dxa"/>
            <w:shd w:val="clear" w:color="auto" w:fill="4472C4" w:themeFill="accent1"/>
          </w:tcPr>
          <w:p w14:paraId="38714744" w14:textId="77777777" w:rsidR="00F53CB4" w:rsidRPr="006A1EC7" w:rsidRDefault="00F53CB4" w:rsidP="00AC2435">
            <w:pPr>
              <w:rPr>
                <w:sz w:val="20"/>
              </w:rPr>
            </w:pPr>
            <w:r w:rsidRPr="006A1EC7">
              <w:rPr>
                <w:sz w:val="20"/>
              </w:rPr>
              <w:t>3.47</w:t>
            </w:r>
          </w:p>
        </w:tc>
        <w:tc>
          <w:tcPr>
            <w:tcW w:w="2126" w:type="dxa"/>
            <w:shd w:val="clear" w:color="auto" w:fill="4472C4" w:themeFill="accent1"/>
          </w:tcPr>
          <w:p w14:paraId="6CC7C9C7" w14:textId="77777777" w:rsidR="00F53CB4" w:rsidRPr="006A1EC7" w:rsidRDefault="00F53CB4" w:rsidP="00AC2435">
            <w:pPr>
              <w:rPr>
                <w:sz w:val="20"/>
              </w:rPr>
            </w:pPr>
            <w:r w:rsidRPr="006A1EC7">
              <w:rPr>
                <w:sz w:val="20"/>
              </w:rPr>
              <w:t>.001</w:t>
            </w:r>
          </w:p>
        </w:tc>
      </w:tr>
      <w:tr w:rsidR="00F53CB4" w:rsidRPr="006A1EC7" w14:paraId="07F867D6" w14:textId="77777777" w:rsidTr="00AC2435">
        <w:tc>
          <w:tcPr>
            <w:tcW w:w="2125" w:type="dxa"/>
            <w:shd w:val="clear" w:color="auto" w:fill="4472C4" w:themeFill="accent1"/>
          </w:tcPr>
          <w:p w14:paraId="2FE8E541" w14:textId="77777777" w:rsidR="00F53CB4" w:rsidRPr="006A1EC7" w:rsidRDefault="00F53CB4" w:rsidP="00AC2435">
            <w:pPr>
              <w:rPr>
                <w:sz w:val="20"/>
              </w:rPr>
            </w:pPr>
            <w:r w:rsidRPr="006A1EC7">
              <w:rPr>
                <w:sz w:val="20"/>
              </w:rPr>
              <w:t>Gastro</w:t>
            </w:r>
          </w:p>
        </w:tc>
        <w:tc>
          <w:tcPr>
            <w:tcW w:w="2126" w:type="dxa"/>
            <w:shd w:val="clear" w:color="auto" w:fill="4472C4" w:themeFill="accent1"/>
          </w:tcPr>
          <w:p w14:paraId="14AFAF5B" w14:textId="77777777" w:rsidR="00F53CB4" w:rsidRPr="006A1EC7" w:rsidRDefault="00F53CB4" w:rsidP="00AC2435">
            <w:pPr>
              <w:rPr>
                <w:sz w:val="20"/>
              </w:rPr>
            </w:pPr>
            <w:r w:rsidRPr="006A1EC7">
              <w:rPr>
                <w:sz w:val="20"/>
              </w:rPr>
              <w:t>8</w:t>
            </w:r>
          </w:p>
        </w:tc>
        <w:tc>
          <w:tcPr>
            <w:tcW w:w="2125" w:type="dxa"/>
            <w:shd w:val="clear" w:color="auto" w:fill="4472C4" w:themeFill="accent1"/>
          </w:tcPr>
          <w:p w14:paraId="32E6E723" w14:textId="77777777" w:rsidR="00F53CB4" w:rsidRPr="006A1EC7" w:rsidRDefault="00F53CB4" w:rsidP="00AC2435">
            <w:pPr>
              <w:rPr>
                <w:sz w:val="20"/>
              </w:rPr>
            </w:pPr>
            <w:r w:rsidRPr="006A1EC7">
              <w:rPr>
                <w:sz w:val="20"/>
              </w:rPr>
              <w:t>6</w:t>
            </w:r>
          </w:p>
        </w:tc>
        <w:tc>
          <w:tcPr>
            <w:tcW w:w="2126" w:type="dxa"/>
            <w:shd w:val="clear" w:color="auto" w:fill="4472C4" w:themeFill="accent1"/>
          </w:tcPr>
          <w:p w14:paraId="5F3E0294" w14:textId="77777777" w:rsidR="00F53CB4" w:rsidRPr="006A1EC7" w:rsidRDefault="00F53CB4" w:rsidP="00AC2435">
            <w:pPr>
              <w:rPr>
                <w:sz w:val="20"/>
              </w:rPr>
            </w:pPr>
            <w:r w:rsidRPr="006A1EC7">
              <w:rPr>
                <w:sz w:val="20"/>
              </w:rPr>
              <w:t>7</w:t>
            </w:r>
          </w:p>
        </w:tc>
        <w:tc>
          <w:tcPr>
            <w:tcW w:w="2125" w:type="dxa"/>
            <w:shd w:val="clear" w:color="auto" w:fill="4472C4" w:themeFill="accent1"/>
          </w:tcPr>
          <w:p w14:paraId="68F5D1F0" w14:textId="77777777" w:rsidR="00F53CB4" w:rsidRPr="006A1EC7" w:rsidRDefault="00F53CB4" w:rsidP="00AC2435">
            <w:pPr>
              <w:rPr>
                <w:sz w:val="20"/>
              </w:rPr>
            </w:pPr>
            <w:r w:rsidRPr="006A1EC7">
              <w:rPr>
                <w:sz w:val="20"/>
              </w:rPr>
              <w:t>9.28</w:t>
            </w:r>
          </w:p>
        </w:tc>
        <w:tc>
          <w:tcPr>
            <w:tcW w:w="2126" w:type="dxa"/>
            <w:shd w:val="clear" w:color="auto" w:fill="4472C4" w:themeFill="accent1"/>
          </w:tcPr>
          <w:p w14:paraId="3983CCCA" w14:textId="77777777" w:rsidR="00F53CB4" w:rsidRPr="006A1EC7" w:rsidRDefault="00F53CB4" w:rsidP="00AC2435">
            <w:pPr>
              <w:rPr>
                <w:sz w:val="20"/>
              </w:rPr>
            </w:pPr>
            <w:r w:rsidRPr="006A1EC7">
              <w:rPr>
                <w:sz w:val="20"/>
              </w:rPr>
              <w:t>8.66</w:t>
            </w:r>
          </w:p>
        </w:tc>
        <w:tc>
          <w:tcPr>
            <w:tcW w:w="2126" w:type="dxa"/>
            <w:shd w:val="clear" w:color="auto" w:fill="4472C4" w:themeFill="accent1"/>
          </w:tcPr>
          <w:p w14:paraId="10542ABE" w14:textId="77777777" w:rsidR="00F53CB4" w:rsidRPr="006A1EC7" w:rsidRDefault="00F53CB4" w:rsidP="00AC2435">
            <w:pPr>
              <w:rPr>
                <w:sz w:val="20"/>
              </w:rPr>
            </w:pPr>
            <w:r w:rsidRPr="006A1EC7">
              <w:rPr>
                <w:sz w:val="20"/>
              </w:rPr>
              <w:t>p &lt;.001</w:t>
            </w:r>
          </w:p>
        </w:tc>
      </w:tr>
      <w:tr w:rsidR="00F53CB4" w:rsidRPr="006A1EC7" w14:paraId="3F295B80" w14:textId="77777777" w:rsidTr="00AC2435">
        <w:tc>
          <w:tcPr>
            <w:tcW w:w="2125" w:type="dxa"/>
            <w:shd w:val="clear" w:color="auto" w:fill="4472C4" w:themeFill="accent1"/>
          </w:tcPr>
          <w:p w14:paraId="5FB421AE" w14:textId="77777777" w:rsidR="00F53CB4" w:rsidRPr="006A1EC7" w:rsidRDefault="00F53CB4" w:rsidP="00AC2435">
            <w:pPr>
              <w:rPr>
                <w:sz w:val="20"/>
              </w:rPr>
            </w:pPr>
            <w:r w:rsidRPr="006A1EC7">
              <w:rPr>
                <w:sz w:val="20"/>
              </w:rPr>
              <w:t>Cardio &amp; respiratory</w:t>
            </w:r>
          </w:p>
        </w:tc>
        <w:tc>
          <w:tcPr>
            <w:tcW w:w="2126" w:type="dxa"/>
            <w:shd w:val="clear" w:color="auto" w:fill="4472C4" w:themeFill="accent1"/>
          </w:tcPr>
          <w:p w14:paraId="1C7CFF1B" w14:textId="77777777" w:rsidR="00F53CB4" w:rsidRPr="006A1EC7" w:rsidRDefault="00F53CB4" w:rsidP="00AC2435">
            <w:pPr>
              <w:rPr>
                <w:sz w:val="20"/>
              </w:rPr>
            </w:pPr>
            <w:r w:rsidRPr="006A1EC7">
              <w:rPr>
                <w:sz w:val="20"/>
              </w:rPr>
              <w:t>3</w:t>
            </w:r>
          </w:p>
        </w:tc>
        <w:tc>
          <w:tcPr>
            <w:tcW w:w="2125" w:type="dxa"/>
            <w:shd w:val="clear" w:color="auto" w:fill="4472C4" w:themeFill="accent1"/>
          </w:tcPr>
          <w:p w14:paraId="0253820F" w14:textId="77777777" w:rsidR="00F53CB4" w:rsidRPr="006A1EC7" w:rsidRDefault="00F53CB4" w:rsidP="00AC2435">
            <w:pPr>
              <w:rPr>
                <w:sz w:val="20"/>
              </w:rPr>
            </w:pPr>
            <w:r w:rsidRPr="006A1EC7">
              <w:rPr>
                <w:sz w:val="20"/>
              </w:rPr>
              <w:t>1</w:t>
            </w:r>
          </w:p>
        </w:tc>
        <w:tc>
          <w:tcPr>
            <w:tcW w:w="2126" w:type="dxa"/>
            <w:shd w:val="clear" w:color="auto" w:fill="4472C4" w:themeFill="accent1"/>
          </w:tcPr>
          <w:p w14:paraId="58B1255B" w14:textId="77777777" w:rsidR="00F53CB4" w:rsidRPr="006A1EC7" w:rsidRDefault="00F53CB4" w:rsidP="00AC2435">
            <w:pPr>
              <w:rPr>
                <w:sz w:val="20"/>
              </w:rPr>
            </w:pPr>
            <w:r w:rsidRPr="006A1EC7">
              <w:rPr>
                <w:sz w:val="20"/>
              </w:rPr>
              <w:t>2</w:t>
            </w:r>
          </w:p>
        </w:tc>
        <w:tc>
          <w:tcPr>
            <w:tcW w:w="2125" w:type="dxa"/>
            <w:shd w:val="clear" w:color="auto" w:fill="4472C4" w:themeFill="accent1"/>
          </w:tcPr>
          <w:p w14:paraId="1EF2FED6" w14:textId="77777777" w:rsidR="00F53CB4" w:rsidRPr="006A1EC7" w:rsidRDefault="00F53CB4" w:rsidP="00AC2435">
            <w:pPr>
              <w:rPr>
                <w:sz w:val="20"/>
              </w:rPr>
            </w:pPr>
            <w:r w:rsidRPr="006A1EC7">
              <w:rPr>
                <w:sz w:val="20"/>
              </w:rPr>
              <w:t>3.16</w:t>
            </w:r>
          </w:p>
        </w:tc>
        <w:tc>
          <w:tcPr>
            <w:tcW w:w="2126" w:type="dxa"/>
            <w:shd w:val="clear" w:color="auto" w:fill="4472C4" w:themeFill="accent1"/>
          </w:tcPr>
          <w:p w14:paraId="6B271C00" w14:textId="77777777" w:rsidR="00F53CB4" w:rsidRPr="006A1EC7" w:rsidRDefault="00F53CB4" w:rsidP="00AC2435">
            <w:pPr>
              <w:rPr>
                <w:sz w:val="20"/>
              </w:rPr>
            </w:pPr>
            <w:r w:rsidRPr="006A1EC7">
              <w:rPr>
                <w:sz w:val="20"/>
              </w:rPr>
              <w:t>9.72</w:t>
            </w:r>
          </w:p>
        </w:tc>
        <w:tc>
          <w:tcPr>
            <w:tcW w:w="2126" w:type="dxa"/>
            <w:shd w:val="clear" w:color="auto" w:fill="4472C4" w:themeFill="accent1"/>
          </w:tcPr>
          <w:p w14:paraId="566A180C" w14:textId="77777777" w:rsidR="00F53CB4" w:rsidRPr="006A1EC7" w:rsidRDefault="00F53CB4" w:rsidP="00AC2435">
            <w:pPr>
              <w:rPr>
                <w:sz w:val="20"/>
              </w:rPr>
            </w:pPr>
            <w:r w:rsidRPr="006A1EC7">
              <w:rPr>
                <w:sz w:val="20"/>
              </w:rPr>
              <w:t>p &lt;.001</w:t>
            </w:r>
          </w:p>
        </w:tc>
      </w:tr>
      <w:tr w:rsidR="00F53CB4" w:rsidRPr="006A1EC7" w14:paraId="118120FC" w14:textId="77777777" w:rsidTr="00AC2435">
        <w:tc>
          <w:tcPr>
            <w:tcW w:w="2125" w:type="dxa"/>
            <w:shd w:val="clear" w:color="auto" w:fill="E7E6E6" w:themeFill="background2"/>
          </w:tcPr>
          <w:p w14:paraId="30A820DB" w14:textId="77777777" w:rsidR="00F53CB4" w:rsidRPr="006A1EC7" w:rsidRDefault="00F53CB4" w:rsidP="00AC2435">
            <w:pPr>
              <w:rPr>
                <w:sz w:val="20"/>
              </w:rPr>
            </w:pPr>
            <w:r w:rsidRPr="006A1EC7">
              <w:rPr>
                <w:sz w:val="20"/>
              </w:rPr>
              <w:lastRenderedPageBreak/>
              <w:t>Central Nervous System</w:t>
            </w:r>
          </w:p>
        </w:tc>
        <w:tc>
          <w:tcPr>
            <w:tcW w:w="2126" w:type="dxa"/>
            <w:shd w:val="clear" w:color="auto" w:fill="E7E6E6" w:themeFill="background2"/>
          </w:tcPr>
          <w:p w14:paraId="3D0145DA" w14:textId="77777777" w:rsidR="00F53CB4" w:rsidRPr="006A1EC7" w:rsidRDefault="00F53CB4" w:rsidP="00AC2435">
            <w:pPr>
              <w:rPr>
                <w:sz w:val="20"/>
              </w:rPr>
            </w:pPr>
            <w:r w:rsidRPr="006A1EC7">
              <w:rPr>
                <w:sz w:val="20"/>
              </w:rPr>
              <w:t>1</w:t>
            </w:r>
          </w:p>
        </w:tc>
        <w:tc>
          <w:tcPr>
            <w:tcW w:w="2125" w:type="dxa"/>
            <w:shd w:val="clear" w:color="auto" w:fill="E7E6E6" w:themeFill="background2"/>
          </w:tcPr>
          <w:p w14:paraId="74E1A34B" w14:textId="77777777" w:rsidR="00F53CB4" w:rsidRPr="006A1EC7" w:rsidRDefault="00F53CB4" w:rsidP="00AC2435">
            <w:pPr>
              <w:rPr>
                <w:sz w:val="20"/>
              </w:rPr>
            </w:pPr>
            <w:r w:rsidRPr="006A1EC7">
              <w:rPr>
                <w:sz w:val="20"/>
              </w:rPr>
              <w:t>1</w:t>
            </w:r>
          </w:p>
        </w:tc>
        <w:tc>
          <w:tcPr>
            <w:tcW w:w="2126" w:type="dxa"/>
            <w:shd w:val="clear" w:color="auto" w:fill="E7E6E6" w:themeFill="background2"/>
          </w:tcPr>
          <w:p w14:paraId="0F42720E" w14:textId="77777777" w:rsidR="00F53CB4" w:rsidRPr="006A1EC7" w:rsidRDefault="00F53CB4" w:rsidP="00AC2435">
            <w:pPr>
              <w:rPr>
                <w:sz w:val="20"/>
              </w:rPr>
            </w:pPr>
            <w:r w:rsidRPr="006A1EC7">
              <w:rPr>
                <w:sz w:val="20"/>
              </w:rPr>
              <w:t>1</w:t>
            </w:r>
          </w:p>
        </w:tc>
        <w:tc>
          <w:tcPr>
            <w:tcW w:w="2125" w:type="dxa"/>
            <w:shd w:val="clear" w:color="auto" w:fill="E7E6E6" w:themeFill="background2"/>
          </w:tcPr>
          <w:p w14:paraId="031E35AB" w14:textId="77777777" w:rsidR="00F53CB4" w:rsidRPr="006A1EC7" w:rsidRDefault="00F53CB4" w:rsidP="00AC2435">
            <w:pPr>
              <w:rPr>
                <w:sz w:val="20"/>
              </w:rPr>
            </w:pPr>
            <w:r w:rsidRPr="006A1EC7">
              <w:rPr>
                <w:sz w:val="20"/>
              </w:rPr>
              <w:t>.78</w:t>
            </w:r>
          </w:p>
        </w:tc>
        <w:tc>
          <w:tcPr>
            <w:tcW w:w="2126" w:type="dxa"/>
            <w:shd w:val="clear" w:color="auto" w:fill="E7E6E6" w:themeFill="background2"/>
          </w:tcPr>
          <w:p w14:paraId="38FD8589" w14:textId="77777777" w:rsidR="00F53CB4" w:rsidRPr="006A1EC7" w:rsidRDefault="00F53CB4" w:rsidP="00AC2435">
            <w:pPr>
              <w:rPr>
                <w:sz w:val="20"/>
              </w:rPr>
            </w:pPr>
            <w:r w:rsidRPr="006A1EC7">
              <w:rPr>
                <w:sz w:val="20"/>
              </w:rPr>
              <w:t>-1.602</w:t>
            </w:r>
          </w:p>
        </w:tc>
        <w:tc>
          <w:tcPr>
            <w:tcW w:w="2126" w:type="dxa"/>
            <w:shd w:val="clear" w:color="auto" w:fill="E7E6E6" w:themeFill="background2"/>
          </w:tcPr>
          <w:p w14:paraId="70F8BD40" w14:textId="77777777" w:rsidR="00F53CB4" w:rsidRPr="006A1EC7" w:rsidRDefault="00F53CB4" w:rsidP="00AC2435">
            <w:pPr>
              <w:rPr>
                <w:sz w:val="20"/>
              </w:rPr>
            </w:pPr>
            <w:r w:rsidRPr="006A1EC7">
              <w:rPr>
                <w:sz w:val="20"/>
              </w:rPr>
              <w:t>.118</w:t>
            </w:r>
          </w:p>
        </w:tc>
      </w:tr>
      <w:tr w:rsidR="00F53CB4" w:rsidRPr="006A1EC7" w14:paraId="4C548E74" w14:textId="77777777" w:rsidTr="00AC2435">
        <w:tc>
          <w:tcPr>
            <w:tcW w:w="2125" w:type="dxa"/>
            <w:shd w:val="clear" w:color="auto" w:fill="E7E6E6" w:themeFill="background2"/>
          </w:tcPr>
          <w:p w14:paraId="21DB2A35" w14:textId="77777777" w:rsidR="00F53CB4" w:rsidRPr="006A1EC7" w:rsidRDefault="00F53CB4" w:rsidP="00AC2435">
            <w:pPr>
              <w:rPr>
                <w:sz w:val="20"/>
              </w:rPr>
            </w:pPr>
            <w:r w:rsidRPr="006A1EC7">
              <w:rPr>
                <w:sz w:val="20"/>
              </w:rPr>
              <w:t>Functioning</w:t>
            </w:r>
          </w:p>
        </w:tc>
        <w:tc>
          <w:tcPr>
            <w:tcW w:w="2126" w:type="dxa"/>
            <w:shd w:val="clear" w:color="auto" w:fill="E7E6E6" w:themeFill="background2"/>
          </w:tcPr>
          <w:p w14:paraId="6FEEF1BE" w14:textId="77777777" w:rsidR="00F53CB4" w:rsidRPr="006A1EC7" w:rsidRDefault="00F53CB4" w:rsidP="00AC2435">
            <w:pPr>
              <w:rPr>
                <w:sz w:val="20"/>
              </w:rPr>
            </w:pPr>
            <w:r w:rsidRPr="006A1EC7">
              <w:rPr>
                <w:sz w:val="20"/>
              </w:rPr>
              <w:t>3</w:t>
            </w:r>
          </w:p>
        </w:tc>
        <w:tc>
          <w:tcPr>
            <w:tcW w:w="2125" w:type="dxa"/>
            <w:shd w:val="clear" w:color="auto" w:fill="E7E6E6" w:themeFill="background2"/>
          </w:tcPr>
          <w:p w14:paraId="3CBCF298" w14:textId="77777777" w:rsidR="00F53CB4" w:rsidRPr="006A1EC7" w:rsidRDefault="00F53CB4" w:rsidP="00AC2435">
            <w:pPr>
              <w:rPr>
                <w:sz w:val="20"/>
              </w:rPr>
            </w:pPr>
            <w:r w:rsidRPr="006A1EC7">
              <w:rPr>
                <w:sz w:val="20"/>
              </w:rPr>
              <w:t>4</w:t>
            </w:r>
          </w:p>
        </w:tc>
        <w:tc>
          <w:tcPr>
            <w:tcW w:w="2126" w:type="dxa"/>
            <w:shd w:val="clear" w:color="auto" w:fill="E7E6E6" w:themeFill="background2"/>
          </w:tcPr>
          <w:p w14:paraId="37B392B4" w14:textId="77777777" w:rsidR="00F53CB4" w:rsidRPr="006A1EC7" w:rsidRDefault="00F53CB4" w:rsidP="00AC2435">
            <w:pPr>
              <w:rPr>
                <w:sz w:val="20"/>
              </w:rPr>
            </w:pPr>
            <w:r w:rsidRPr="006A1EC7">
              <w:rPr>
                <w:sz w:val="20"/>
              </w:rPr>
              <w:t>3.5</w:t>
            </w:r>
          </w:p>
        </w:tc>
        <w:tc>
          <w:tcPr>
            <w:tcW w:w="2125" w:type="dxa"/>
            <w:shd w:val="clear" w:color="auto" w:fill="E7E6E6" w:themeFill="background2"/>
          </w:tcPr>
          <w:p w14:paraId="7F0FC2ED" w14:textId="77777777" w:rsidR="00F53CB4" w:rsidRPr="006A1EC7" w:rsidRDefault="00F53CB4" w:rsidP="00AC2435">
            <w:pPr>
              <w:rPr>
                <w:sz w:val="20"/>
              </w:rPr>
            </w:pPr>
            <w:r w:rsidRPr="006A1EC7">
              <w:rPr>
                <w:sz w:val="20"/>
              </w:rPr>
              <w:t>3.41</w:t>
            </w:r>
          </w:p>
        </w:tc>
        <w:tc>
          <w:tcPr>
            <w:tcW w:w="2126" w:type="dxa"/>
            <w:shd w:val="clear" w:color="auto" w:fill="E7E6E6" w:themeFill="background2"/>
          </w:tcPr>
          <w:p w14:paraId="1AB5FF80" w14:textId="77777777" w:rsidR="00F53CB4" w:rsidRPr="006A1EC7" w:rsidRDefault="00F53CB4" w:rsidP="00AC2435">
            <w:pPr>
              <w:rPr>
                <w:sz w:val="20"/>
              </w:rPr>
            </w:pPr>
            <w:r w:rsidRPr="006A1EC7">
              <w:rPr>
                <w:sz w:val="20"/>
              </w:rPr>
              <w:t>-.450</w:t>
            </w:r>
          </w:p>
        </w:tc>
        <w:tc>
          <w:tcPr>
            <w:tcW w:w="2126" w:type="dxa"/>
            <w:shd w:val="clear" w:color="auto" w:fill="E7E6E6" w:themeFill="background2"/>
          </w:tcPr>
          <w:p w14:paraId="53179FA6" w14:textId="77777777" w:rsidR="00F53CB4" w:rsidRPr="006A1EC7" w:rsidRDefault="00F53CB4" w:rsidP="00AC2435">
            <w:pPr>
              <w:rPr>
                <w:sz w:val="20"/>
              </w:rPr>
            </w:pPr>
            <w:r w:rsidRPr="006A1EC7">
              <w:rPr>
                <w:sz w:val="20"/>
              </w:rPr>
              <w:t>.656</w:t>
            </w:r>
          </w:p>
        </w:tc>
      </w:tr>
      <w:tr w:rsidR="00F53CB4" w:rsidRPr="006A1EC7" w14:paraId="31750BFE" w14:textId="77777777" w:rsidTr="00AC2435">
        <w:tc>
          <w:tcPr>
            <w:tcW w:w="2125" w:type="dxa"/>
            <w:shd w:val="clear" w:color="auto" w:fill="E7E6E6" w:themeFill="background2"/>
          </w:tcPr>
          <w:p w14:paraId="62E9C83D" w14:textId="77777777" w:rsidR="00F53CB4" w:rsidRPr="006A1EC7" w:rsidRDefault="00F53CB4" w:rsidP="00AC2435">
            <w:pPr>
              <w:rPr>
                <w:sz w:val="20"/>
              </w:rPr>
            </w:pPr>
            <w:r w:rsidRPr="006A1EC7">
              <w:rPr>
                <w:sz w:val="20"/>
              </w:rPr>
              <w:t>Immunology</w:t>
            </w:r>
          </w:p>
        </w:tc>
        <w:tc>
          <w:tcPr>
            <w:tcW w:w="2126" w:type="dxa"/>
            <w:shd w:val="clear" w:color="auto" w:fill="E7E6E6" w:themeFill="background2"/>
          </w:tcPr>
          <w:p w14:paraId="3DB3ACAB" w14:textId="77777777" w:rsidR="00F53CB4" w:rsidRPr="006A1EC7" w:rsidRDefault="00F53CB4" w:rsidP="00AC2435">
            <w:pPr>
              <w:rPr>
                <w:sz w:val="20"/>
              </w:rPr>
            </w:pPr>
            <w:r w:rsidRPr="006A1EC7">
              <w:rPr>
                <w:sz w:val="20"/>
              </w:rPr>
              <w:t>0</w:t>
            </w:r>
          </w:p>
        </w:tc>
        <w:tc>
          <w:tcPr>
            <w:tcW w:w="2125" w:type="dxa"/>
            <w:shd w:val="clear" w:color="auto" w:fill="E7E6E6" w:themeFill="background2"/>
          </w:tcPr>
          <w:p w14:paraId="30F3F42A" w14:textId="77777777" w:rsidR="00F53CB4" w:rsidRPr="006A1EC7" w:rsidRDefault="00F53CB4" w:rsidP="00AC2435">
            <w:pPr>
              <w:rPr>
                <w:sz w:val="20"/>
              </w:rPr>
            </w:pPr>
            <w:r w:rsidRPr="006A1EC7">
              <w:rPr>
                <w:sz w:val="20"/>
              </w:rPr>
              <w:t>0</w:t>
            </w:r>
          </w:p>
        </w:tc>
        <w:tc>
          <w:tcPr>
            <w:tcW w:w="2126" w:type="dxa"/>
            <w:shd w:val="clear" w:color="auto" w:fill="E7E6E6" w:themeFill="background2"/>
          </w:tcPr>
          <w:p w14:paraId="19EAB325" w14:textId="77777777" w:rsidR="00F53CB4" w:rsidRPr="006A1EC7" w:rsidRDefault="00F53CB4" w:rsidP="00AC2435">
            <w:pPr>
              <w:rPr>
                <w:sz w:val="20"/>
              </w:rPr>
            </w:pPr>
            <w:r w:rsidRPr="006A1EC7">
              <w:rPr>
                <w:sz w:val="20"/>
              </w:rPr>
              <w:t>0</w:t>
            </w:r>
          </w:p>
        </w:tc>
        <w:tc>
          <w:tcPr>
            <w:tcW w:w="2125" w:type="dxa"/>
            <w:shd w:val="clear" w:color="auto" w:fill="E7E6E6" w:themeFill="background2"/>
          </w:tcPr>
          <w:p w14:paraId="5BE75BA5" w14:textId="77777777" w:rsidR="00F53CB4" w:rsidRPr="006A1EC7" w:rsidRDefault="00F53CB4" w:rsidP="00AC2435">
            <w:pPr>
              <w:rPr>
                <w:sz w:val="20"/>
              </w:rPr>
            </w:pPr>
            <w:r w:rsidRPr="006A1EC7">
              <w:rPr>
                <w:sz w:val="20"/>
              </w:rPr>
              <w:t>.16</w:t>
            </w:r>
          </w:p>
        </w:tc>
        <w:tc>
          <w:tcPr>
            <w:tcW w:w="2126" w:type="dxa"/>
            <w:shd w:val="clear" w:color="auto" w:fill="E7E6E6" w:themeFill="background2"/>
          </w:tcPr>
          <w:p w14:paraId="55B3B48A" w14:textId="77777777" w:rsidR="00F53CB4" w:rsidRPr="006A1EC7" w:rsidRDefault="00F53CB4" w:rsidP="00AC2435">
            <w:pPr>
              <w:rPr>
                <w:sz w:val="20"/>
              </w:rPr>
            </w:pPr>
            <w:r w:rsidRPr="006A1EC7">
              <w:rPr>
                <w:sz w:val="20"/>
              </w:rPr>
              <w:t>1.434</w:t>
            </w:r>
          </w:p>
        </w:tc>
        <w:tc>
          <w:tcPr>
            <w:tcW w:w="2126" w:type="dxa"/>
            <w:shd w:val="clear" w:color="auto" w:fill="E7E6E6" w:themeFill="background2"/>
          </w:tcPr>
          <w:p w14:paraId="6A21E5AD" w14:textId="77777777" w:rsidR="00F53CB4" w:rsidRPr="006A1EC7" w:rsidRDefault="00F53CB4" w:rsidP="00AC2435">
            <w:pPr>
              <w:rPr>
                <w:sz w:val="20"/>
              </w:rPr>
            </w:pPr>
            <w:r w:rsidRPr="006A1EC7">
              <w:rPr>
                <w:sz w:val="20"/>
              </w:rPr>
              <w:t>.160</w:t>
            </w:r>
          </w:p>
        </w:tc>
      </w:tr>
      <w:tr w:rsidR="00F53CB4" w:rsidRPr="006A1EC7" w14:paraId="76BF24B0" w14:textId="77777777" w:rsidTr="00AC2435">
        <w:tc>
          <w:tcPr>
            <w:tcW w:w="2125" w:type="dxa"/>
            <w:shd w:val="clear" w:color="auto" w:fill="E7E6E6" w:themeFill="background2"/>
          </w:tcPr>
          <w:p w14:paraId="7259E98F" w14:textId="77777777" w:rsidR="00F53CB4" w:rsidRPr="006A1EC7" w:rsidRDefault="00F53CB4" w:rsidP="00AC2435">
            <w:pPr>
              <w:rPr>
                <w:sz w:val="20"/>
              </w:rPr>
            </w:pPr>
            <w:r w:rsidRPr="006A1EC7">
              <w:rPr>
                <w:sz w:val="20"/>
              </w:rPr>
              <w:t>Sleep</w:t>
            </w:r>
          </w:p>
        </w:tc>
        <w:tc>
          <w:tcPr>
            <w:tcW w:w="2126" w:type="dxa"/>
            <w:shd w:val="clear" w:color="auto" w:fill="E7E6E6" w:themeFill="background2"/>
          </w:tcPr>
          <w:p w14:paraId="7E620E6D" w14:textId="77777777" w:rsidR="00F53CB4" w:rsidRPr="006A1EC7" w:rsidRDefault="00F53CB4" w:rsidP="00AC2435">
            <w:pPr>
              <w:rPr>
                <w:sz w:val="20"/>
              </w:rPr>
            </w:pPr>
            <w:r w:rsidRPr="006A1EC7">
              <w:rPr>
                <w:sz w:val="20"/>
              </w:rPr>
              <w:t>2</w:t>
            </w:r>
          </w:p>
        </w:tc>
        <w:tc>
          <w:tcPr>
            <w:tcW w:w="2125" w:type="dxa"/>
            <w:shd w:val="clear" w:color="auto" w:fill="E7E6E6" w:themeFill="background2"/>
          </w:tcPr>
          <w:p w14:paraId="12D078FE" w14:textId="77777777" w:rsidR="00F53CB4" w:rsidRPr="006A1EC7" w:rsidRDefault="00F53CB4" w:rsidP="00AC2435">
            <w:pPr>
              <w:rPr>
                <w:sz w:val="20"/>
              </w:rPr>
            </w:pPr>
            <w:r w:rsidRPr="006A1EC7">
              <w:rPr>
                <w:sz w:val="20"/>
              </w:rPr>
              <w:t>1</w:t>
            </w:r>
          </w:p>
        </w:tc>
        <w:tc>
          <w:tcPr>
            <w:tcW w:w="2126" w:type="dxa"/>
            <w:shd w:val="clear" w:color="auto" w:fill="E7E6E6" w:themeFill="background2"/>
          </w:tcPr>
          <w:p w14:paraId="62BE5275" w14:textId="77777777" w:rsidR="00F53CB4" w:rsidRPr="006A1EC7" w:rsidRDefault="00F53CB4" w:rsidP="00AC2435">
            <w:pPr>
              <w:rPr>
                <w:sz w:val="20"/>
              </w:rPr>
            </w:pPr>
            <w:r w:rsidRPr="006A1EC7">
              <w:rPr>
                <w:sz w:val="20"/>
              </w:rPr>
              <w:t>1.5</w:t>
            </w:r>
          </w:p>
        </w:tc>
        <w:tc>
          <w:tcPr>
            <w:tcW w:w="2125" w:type="dxa"/>
            <w:shd w:val="clear" w:color="auto" w:fill="E7E6E6" w:themeFill="background2"/>
          </w:tcPr>
          <w:p w14:paraId="3A6E3675" w14:textId="77777777" w:rsidR="00F53CB4" w:rsidRPr="006A1EC7" w:rsidRDefault="00F53CB4" w:rsidP="00AC2435">
            <w:pPr>
              <w:rPr>
                <w:sz w:val="20"/>
              </w:rPr>
            </w:pPr>
            <w:r w:rsidRPr="006A1EC7">
              <w:rPr>
                <w:sz w:val="20"/>
              </w:rPr>
              <w:t>1.47</w:t>
            </w:r>
          </w:p>
        </w:tc>
        <w:tc>
          <w:tcPr>
            <w:tcW w:w="2126" w:type="dxa"/>
            <w:shd w:val="clear" w:color="auto" w:fill="E7E6E6" w:themeFill="background2"/>
          </w:tcPr>
          <w:p w14:paraId="312C0C2F" w14:textId="77777777" w:rsidR="00F53CB4" w:rsidRPr="006A1EC7" w:rsidRDefault="00F53CB4" w:rsidP="00AC2435">
            <w:pPr>
              <w:rPr>
                <w:sz w:val="20"/>
              </w:rPr>
            </w:pPr>
            <w:r w:rsidRPr="006A1EC7">
              <w:rPr>
                <w:sz w:val="20"/>
              </w:rPr>
              <w:t>-2.39</w:t>
            </w:r>
          </w:p>
        </w:tc>
        <w:tc>
          <w:tcPr>
            <w:tcW w:w="2126" w:type="dxa"/>
            <w:shd w:val="clear" w:color="auto" w:fill="E7E6E6" w:themeFill="background2"/>
          </w:tcPr>
          <w:p w14:paraId="01DC2D36" w14:textId="77777777" w:rsidR="00F53CB4" w:rsidRPr="006A1EC7" w:rsidRDefault="00F53CB4" w:rsidP="00AC2435">
            <w:pPr>
              <w:rPr>
                <w:sz w:val="20"/>
              </w:rPr>
            </w:pPr>
            <w:r w:rsidRPr="006A1EC7">
              <w:rPr>
                <w:sz w:val="20"/>
              </w:rPr>
              <w:t>.812</w:t>
            </w:r>
          </w:p>
        </w:tc>
      </w:tr>
      <w:tr w:rsidR="00F53CB4" w:rsidRPr="006A1EC7" w14:paraId="323765AD" w14:textId="77777777" w:rsidTr="00AC2435">
        <w:tc>
          <w:tcPr>
            <w:tcW w:w="2125" w:type="dxa"/>
            <w:shd w:val="clear" w:color="auto" w:fill="E7E6E6" w:themeFill="background2"/>
          </w:tcPr>
          <w:p w14:paraId="1DEF7D5C" w14:textId="77777777" w:rsidR="00F53CB4" w:rsidRPr="006A1EC7" w:rsidRDefault="00F53CB4" w:rsidP="00AC2435">
            <w:pPr>
              <w:rPr>
                <w:sz w:val="20"/>
              </w:rPr>
            </w:pPr>
            <w:r w:rsidRPr="006A1EC7">
              <w:rPr>
                <w:sz w:val="20"/>
              </w:rPr>
              <w:t>Care</w:t>
            </w:r>
          </w:p>
        </w:tc>
        <w:tc>
          <w:tcPr>
            <w:tcW w:w="2126" w:type="dxa"/>
            <w:shd w:val="clear" w:color="auto" w:fill="E7E6E6" w:themeFill="background2"/>
          </w:tcPr>
          <w:p w14:paraId="07A901ED" w14:textId="77777777" w:rsidR="00F53CB4" w:rsidRPr="006A1EC7" w:rsidRDefault="00F53CB4" w:rsidP="00AC2435">
            <w:pPr>
              <w:rPr>
                <w:sz w:val="20"/>
              </w:rPr>
            </w:pPr>
            <w:r w:rsidRPr="006A1EC7">
              <w:rPr>
                <w:sz w:val="20"/>
              </w:rPr>
              <w:t>1</w:t>
            </w:r>
          </w:p>
        </w:tc>
        <w:tc>
          <w:tcPr>
            <w:tcW w:w="2125" w:type="dxa"/>
            <w:shd w:val="clear" w:color="auto" w:fill="E7E6E6" w:themeFill="background2"/>
          </w:tcPr>
          <w:p w14:paraId="79BB89DB" w14:textId="77777777" w:rsidR="00F53CB4" w:rsidRPr="006A1EC7" w:rsidRDefault="00F53CB4" w:rsidP="00AC2435">
            <w:pPr>
              <w:rPr>
                <w:sz w:val="20"/>
              </w:rPr>
            </w:pPr>
            <w:r w:rsidRPr="006A1EC7">
              <w:rPr>
                <w:sz w:val="20"/>
              </w:rPr>
              <w:t>1</w:t>
            </w:r>
          </w:p>
        </w:tc>
        <w:tc>
          <w:tcPr>
            <w:tcW w:w="2126" w:type="dxa"/>
            <w:shd w:val="clear" w:color="auto" w:fill="E7E6E6" w:themeFill="background2"/>
          </w:tcPr>
          <w:p w14:paraId="2AA48F92" w14:textId="77777777" w:rsidR="00F53CB4" w:rsidRPr="006A1EC7" w:rsidRDefault="00F53CB4" w:rsidP="00AC2435">
            <w:pPr>
              <w:rPr>
                <w:sz w:val="20"/>
              </w:rPr>
            </w:pPr>
            <w:r w:rsidRPr="006A1EC7">
              <w:rPr>
                <w:sz w:val="20"/>
              </w:rPr>
              <w:t>1</w:t>
            </w:r>
          </w:p>
        </w:tc>
        <w:tc>
          <w:tcPr>
            <w:tcW w:w="2125" w:type="dxa"/>
            <w:shd w:val="clear" w:color="auto" w:fill="E7E6E6" w:themeFill="background2"/>
          </w:tcPr>
          <w:p w14:paraId="06249501" w14:textId="77777777" w:rsidR="00F53CB4" w:rsidRPr="006A1EC7" w:rsidRDefault="00F53CB4" w:rsidP="00AC2435">
            <w:pPr>
              <w:rPr>
                <w:sz w:val="20"/>
              </w:rPr>
            </w:pPr>
            <w:r w:rsidRPr="006A1EC7">
              <w:rPr>
                <w:sz w:val="20"/>
              </w:rPr>
              <w:t>.92</w:t>
            </w:r>
          </w:p>
        </w:tc>
        <w:tc>
          <w:tcPr>
            <w:tcW w:w="2126" w:type="dxa"/>
            <w:shd w:val="clear" w:color="auto" w:fill="E7E6E6" w:themeFill="background2"/>
          </w:tcPr>
          <w:p w14:paraId="44750D59" w14:textId="77777777" w:rsidR="00F53CB4" w:rsidRPr="006A1EC7" w:rsidRDefault="00F53CB4" w:rsidP="00AC2435">
            <w:pPr>
              <w:rPr>
                <w:sz w:val="20"/>
              </w:rPr>
            </w:pPr>
            <w:r w:rsidRPr="006A1EC7">
              <w:rPr>
                <w:sz w:val="20"/>
              </w:rPr>
              <w:t>-1.78</w:t>
            </w:r>
          </w:p>
        </w:tc>
        <w:tc>
          <w:tcPr>
            <w:tcW w:w="2126" w:type="dxa"/>
            <w:shd w:val="clear" w:color="auto" w:fill="E7E6E6" w:themeFill="background2"/>
          </w:tcPr>
          <w:p w14:paraId="598DDBD5" w14:textId="77777777" w:rsidR="00F53CB4" w:rsidRPr="006A1EC7" w:rsidRDefault="00F53CB4" w:rsidP="00AC2435">
            <w:pPr>
              <w:rPr>
                <w:sz w:val="20"/>
              </w:rPr>
            </w:pPr>
            <w:r w:rsidRPr="006A1EC7">
              <w:rPr>
                <w:sz w:val="20"/>
              </w:rPr>
              <w:t>.083</w:t>
            </w:r>
          </w:p>
        </w:tc>
      </w:tr>
      <w:tr w:rsidR="00F53CB4" w:rsidRPr="006A1EC7" w14:paraId="6DEB229C" w14:textId="77777777" w:rsidTr="00AC2435">
        <w:tc>
          <w:tcPr>
            <w:tcW w:w="2125" w:type="dxa"/>
            <w:shd w:val="clear" w:color="auto" w:fill="4472C4" w:themeFill="accent1"/>
          </w:tcPr>
          <w:p w14:paraId="12447BE3" w14:textId="77777777" w:rsidR="00F53CB4" w:rsidRPr="006A1EC7" w:rsidRDefault="00F53CB4" w:rsidP="00AC2435">
            <w:pPr>
              <w:rPr>
                <w:sz w:val="20"/>
              </w:rPr>
            </w:pPr>
            <w:r w:rsidRPr="006A1EC7">
              <w:rPr>
                <w:sz w:val="20"/>
              </w:rPr>
              <w:t>Total</w:t>
            </w:r>
          </w:p>
        </w:tc>
        <w:tc>
          <w:tcPr>
            <w:tcW w:w="2126" w:type="dxa"/>
            <w:shd w:val="clear" w:color="auto" w:fill="4472C4" w:themeFill="accent1"/>
          </w:tcPr>
          <w:p w14:paraId="6851655D" w14:textId="77777777" w:rsidR="00F53CB4" w:rsidRPr="006A1EC7" w:rsidRDefault="00F53CB4" w:rsidP="00AC2435">
            <w:pPr>
              <w:rPr>
                <w:sz w:val="20"/>
              </w:rPr>
            </w:pPr>
            <w:r w:rsidRPr="006A1EC7">
              <w:rPr>
                <w:sz w:val="20"/>
              </w:rPr>
              <w:t>20</w:t>
            </w:r>
          </w:p>
        </w:tc>
        <w:tc>
          <w:tcPr>
            <w:tcW w:w="2125" w:type="dxa"/>
            <w:shd w:val="clear" w:color="auto" w:fill="4472C4" w:themeFill="accent1"/>
          </w:tcPr>
          <w:p w14:paraId="15AA9FF1" w14:textId="77777777" w:rsidR="00F53CB4" w:rsidRPr="006A1EC7" w:rsidRDefault="00F53CB4" w:rsidP="00AC2435">
            <w:pPr>
              <w:rPr>
                <w:sz w:val="20"/>
              </w:rPr>
            </w:pPr>
            <w:r w:rsidRPr="006A1EC7">
              <w:rPr>
                <w:sz w:val="20"/>
              </w:rPr>
              <w:t>15</w:t>
            </w:r>
          </w:p>
        </w:tc>
        <w:tc>
          <w:tcPr>
            <w:tcW w:w="2126" w:type="dxa"/>
            <w:shd w:val="clear" w:color="auto" w:fill="4472C4" w:themeFill="accent1"/>
          </w:tcPr>
          <w:p w14:paraId="4DC69D64" w14:textId="77777777" w:rsidR="00F53CB4" w:rsidRPr="006A1EC7" w:rsidRDefault="00F53CB4" w:rsidP="00AC2435">
            <w:pPr>
              <w:rPr>
                <w:sz w:val="20"/>
              </w:rPr>
            </w:pPr>
            <w:r w:rsidRPr="006A1EC7">
              <w:rPr>
                <w:sz w:val="20"/>
              </w:rPr>
              <w:t>17.5</w:t>
            </w:r>
          </w:p>
        </w:tc>
        <w:tc>
          <w:tcPr>
            <w:tcW w:w="2125" w:type="dxa"/>
            <w:shd w:val="clear" w:color="auto" w:fill="4472C4" w:themeFill="accent1"/>
          </w:tcPr>
          <w:p w14:paraId="5790F20C" w14:textId="77777777" w:rsidR="00F53CB4" w:rsidRPr="006A1EC7" w:rsidRDefault="00F53CB4" w:rsidP="00AC2435">
            <w:pPr>
              <w:rPr>
                <w:sz w:val="20"/>
              </w:rPr>
            </w:pPr>
            <w:r w:rsidRPr="006A1EC7">
              <w:rPr>
                <w:sz w:val="20"/>
              </w:rPr>
              <w:t>21.8</w:t>
            </w:r>
          </w:p>
        </w:tc>
        <w:tc>
          <w:tcPr>
            <w:tcW w:w="2126" w:type="dxa"/>
            <w:shd w:val="clear" w:color="auto" w:fill="4472C4" w:themeFill="accent1"/>
          </w:tcPr>
          <w:p w14:paraId="6EA2A5B3" w14:textId="77777777" w:rsidR="00F53CB4" w:rsidRPr="006A1EC7" w:rsidRDefault="00F53CB4" w:rsidP="00AC2435">
            <w:pPr>
              <w:rPr>
                <w:sz w:val="20"/>
              </w:rPr>
            </w:pPr>
            <w:r w:rsidRPr="006A1EC7">
              <w:rPr>
                <w:sz w:val="20"/>
              </w:rPr>
              <w:t>8.439</w:t>
            </w:r>
          </w:p>
        </w:tc>
        <w:tc>
          <w:tcPr>
            <w:tcW w:w="2126" w:type="dxa"/>
            <w:shd w:val="clear" w:color="auto" w:fill="4472C4" w:themeFill="accent1"/>
          </w:tcPr>
          <w:p w14:paraId="70BBC114" w14:textId="77777777" w:rsidR="00F53CB4" w:rsidRPr="006A1EC7" w:rsidRDefault="00F53CB4" w:rsidP="00AC2435">
            <w:pPr>
              <w:rPr>
                <w:sz w:val="20"/>
              </w:rPr>
            </w:pPr>
            <w:r w:rsidRPr="006A1EC7">
              <w:rPr>
                <w:sz w:val="20"/>
              </w:rPr>
              <w:t>p &lt;.001</w:t>
            </w:r>
          </w:p>
        </w:tc>
      </w:tr>
    </w:tbl>
    <w:p w14:paraId="709BAEBC" w14:textId="77777777" w:rsidR="00F53CB4" w:rsidRPr="006A1EC7" w:rsidRDefault="00F53CB4" w:rsidP="00F53CB4"/>
    <w:p w14:paraId="1F8B4A13" w14:textId="77777777" w:rsidR="00F53CB4" w:rsidRPr="006A1EC7" w:rsidRDefault="00F53CB4" w:rsidP="00F53CB4"/>
    <w:p w14:paraId="3DA58468" w14:textId="77777777" w:rsidR="00F53CB4" w:rsidRPr="006A1EC7" w:rsidRDefault="00F53CB4" w:rsidP="00F53CB4">
      <w:pPr>
        <w:pStyle w:val="Caption"/>
        <w:keepNext/>
        <w:rPr>
          <w:sz w:val="24"/>
          <w:szCs w:val="24"/>
        </w:rPr>
      </w:pPr>
      <w:bookmarkStart w:id="251" w:name="_Toc40173046"/>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22</w:t>
      </w:r>
      <w:r w:rsidRPr="006A1EC7">
        <w:rPr>
          <w:sz w:val="24"/>
          <w:szCs w:val="24"/>
        </w:rPr>
        <w:fldChar w:fldCharType="end"/>
      </w:r>
      <w:r w:rsidRPr="006A1EC7">
        <w:rPr>
          <w:sz w:val="24"/>
          <w:szCs w:val="24"/>
        </w:rPr>
        <w:t>: Case Study 3: Emma</w:t>
      </w:r>
      <w:bookmarkEnd w:id="251"/>
    </w:p>
    <w:tbl>
      <w:tblPr>
        <w:tblStyle w:val="TableGrid"/>
        <w:tblW w:w="14879" w:type="dxa"/>
        <w:tblLook w:val="04A0" w:firstRow="1" w:lastRow="0" w:firstColumn="1" w:lastColumn="0" w:noHBand="0" w:noVBand="1"/>
      </w:tblPr>
      <w:tblGrid>
        <w:gridCol w:w="2125"/>
        <w:gridCol w:w="2126"/>
        <w:gridCol w:w="2125"/>
        <w:gridCol w:w="2126"/>
        <w:gridCol w:w="2125"/>
        <w:gridCol w:w="2126"/>
        <w:gridCol w:w="2126"/>
      </w:tblGrid>
      <w:tr w:rsidR="00F53CB4" w:rsidRPr="006A1EC7" w14:paraId="4FC6A5CF" w14:textId="77777777" w:rsidTr="00AC2435">
        <w:trPr>
          <w:trHeight w:val="132"/>
        </w:trPr>
        <w:tc>
          <w:tcPr>
            <w:tcW w:w="2125" w:type="dxa"/>
            <w:shd w:val="clear" w:color="auto" w:fill="auto"/>
          </w:tcPr>
          <w:p w14:paraId="11D56AE4" w14:textId="77777777" w:rsidR="00F53CB4" w:rsidRPr="006A1EC7" w:rsidRDefault="00F53CB4" w:rsidP="00AC2435">
            <w:pPr>
              <w:rPr>
                <w:sz w:val="20"/>
              </w:rPr>
            </w:pPr>
            <w:r w:rsidRPr="006A1EC7">
              <w:rPr>
                <w:sz w:val="20"/>
              </w:rPr>
              <w:t>Domain</w:t>
            </w:r>
          </w:p>
        </w:tc>
        <w:tc>
          <w:tcPr>
            <w:tcW w:w="2126" w:type="dxa"/>
            <w:shd w:val="clear" w:color="auto" w:fill="auto"/>
          </w:tcPr>
          <w:p w14:paraId="43726FE4" w14:textId="77777777" w:rsidR="00F53CB4" w:rsidRPr="006A1EC7" w:rsidRDefault="00F53CB4" w:rsidP="00AC2435">
            <w:pPr>
              <w:rPr>
                <w:sz w:val="20"/>
              </w:rPr>
            </w:pPr>
            <w:r w:rsidRPr="006A1EC7">
              <w:rPr>
                <w:sz w:val="20"/>
              </w:rPr>
              <w:t>KV</w:t>
            </w:r>
          </w:p>
        </w:tc>
        <w:tc>
          <w:tcPr>
            <w:tcW w:w="2125" w:type="dxa"/>
            <w:shd w:val="clear" w:color="auto" w:fill="auto"/>
          </w:tcPr>
          <w:p w14:paraId="183B471C" w14:textId="77777777" w:rsidR="00F53CB4" w:rsidRPr="006A1EC7" w:rsidRDefault="00F53CB4" w:rsidP="00AC2435">
            <w:pPr>
              <w:rPr>
                <w:sz w:val="20"/>
              </w:rPr>
            </w:pPr>
            <w:r w:rsidRPr="006A1EC7">
              <w:rPr>
                <w:sz w:val="20"/>
              </w:rPr>
              <w:t>AM</w:t>
            </w:r>
          </w:p>
        </w:tc>
        <w:tc>
          <w:tcPr>
            <w:tcW w:w="2126" w:type="dxa"/>
            <w:shd w:val="clear" w:color="auto" w:fill="auto"/>
          </w:tcPr>
          <w:p w14:paraId="3523C960" w14:textId="77777777" w:rsidR="00F53CB4" w:rsidRPr="006A1EC7" w:rsidRDefault="00F53CB4" w:rsidP="00AC2435">
            <w:pPr>
              <w:rPr>
                <w:sz w:val="20"/>
              </w:rPr>
            </w:pPr>
            <w:r w:rsidRPr="006A1EC7">
              <w:rPr>
                <w:sz w:val="20"/>
              </w:rPr>
              <w:t>KV/AM mean</w:t>
            </w:r>
          </w:p>
        </w:tc>
        <w:tc>
          <w:tcPr>
            <w:tcW w:w="2125" w:type="dxa"/>
            <w:shd w:val="clear" w:color="auto" w:fill="auto"/>
          </w:tcPr>
          <w:p w14:paraId="38F1374D" w14:textId="77777777" w:rsidR="00F53CB4" w:rsidRPr="006A1EC7" w:rsidRDefault="00F53CB4" w:rsidP="00AC2435">
            <w:pPr>
              <w:rPr>
                <w:sz w:val="20"/>
              </w:rPr>
            </w:pPr>
            <w:r w:rsidRPr="006A1EC7">
              <w:rPr>
                <w:sz w:val="20"/>
              </w:rPr>
              <w:t>Sample mean</w:t>
            </w:r>
          </w:p>
        </w:tc>
        <w:tc>
          <w:tcPr>
            <w:tcW w:w="2126" w:type="dxa"/>
            <w:shd w:val="clear" w:color="auto" w:fill="auto"/>
          </w:tcPr>
          <w:p w14:paraId="18E34D22" w14:textId="77777777" w:rsidR="00F53CB4" w:rsidRPr="006A1EC7" w:rsidRDefault="00F53CB4" w:rsidP="00AC2435">
            <w:pPr>
              <w:rPr>
                <w:sz w:val="20"/>
              </w:rPr>
            </w:pPr>
            <w:r w:rsidRPr="006A1EC7">
              <w:rPr>
                <w:sz w:val="20"/>
              </w:rPr>
              <w:t>t-value</w:t>
            </w:r>
          </w:p>
        </w:tc>
        <w:tc>
          <w:tcPr>
            <w:tcW w:w="2126" w:type="dxa"/>
            <w:shd w:val="clear" w:color="auto" w:fill="auto"/>
          </w:tcPr>
          <w:p w14:paraId="6312C1C1" w14:textId="77777777" w:rsidR="00F53CB4" w:rsidRPr="006A1EC7" w:rsidRDefault="00F53CB4" w:rsidP="00AC2435">
            <w:pPr>
              <w:rPr>
                <w:sz w:val="20"/>
              </w:rPr>
            </w:pPr>
            <w:r w:rsidRPr="006A1EC7">
              <w:rPr>
                <w:sz w:val="20"/>
              </w:rPr>
              <w:t>p-value</w:t>
            </w:r>
          </w:p>
          <w:p w14:paraId="619FEFFD" w14:textId="77777777" w:rsidR="00F53CB4" w:rsidRPr="006A1EC7" w:rsidRDefault="00F53CB4" w:rsidP="00AC2435">
            <w:pPr>
              <w:rPr>
                <w:sz w:val="20"/>
              </w:rPr>
            </w:pPr>
            <w:r w:rsidRPr="006A1EC7">
              <w:rPr>
                <w:sz w:val="20"/>
              </w:rPr>
              <w:t>(Bonferroni correction; significant p now set at 001)</w:t>
            </w:r>
          </w:p>
        </w:tc>
      </w:tr>
      <w:tr w:rsidR="00F53CB4" w:rsidRPr="006A1EC7" w14:paraId="72D20089" w14:textId="77777777" w:rsidTr="00AC2435">
        <w:tc>
          <w:tcPr>
            <w:tcW w:w="2125" w:type="dxa"/>
            <w:shd w:val="clear" w:color="auto" w:fill="auto"/>
          </w:tcPr>
          <w:p w14:paraId="12D3DB6E" w14:textId="77777777" w:rsidR="00F53CB4" w:rsidRPr="006A1EC7" w:rsidRDefault="00F53CB4" w:rsidP="00AC2435">
            <w:pPr>
              <w:rPr>
                <w:sz w:val="20"/>
              </w:rPr>
            </w:pPr>
            <w:r w:rsidRPr="006A1EC7">
              <w:rPr>
                <w:sz w:val="20"/>
              </w:rPr>
              <w:t>Face</w:t>
            </w:r>
          </w:p>
        </w:tc>
        <w:tc>
          <w:tcPr>
            <w:tcW w:w="2126" w:type="dxa"/>
            <w:shd w:val="clear" w:color="auto" w:fill="auto"/>
          </w:tcPr>
          <w:p w14:paraId="6495CDA5" w14:textId="77777777" w:rsidR="00F53CB4" w:rsidRPr="006A1EC7" w:rsidRDefault="00F53CB4" w:rsidP="00AC2435">
            <w:pPr>
              <w:rPr>
                <w:sz w:val="20"/>
              </w:rPr>
            </w:pPr>
            <w:r w:rsidRPr="006A1EC7">
              <w:rPr>
                <w:sz w:val="20"/>
              </w:rPr>
              <w:t>0</w:t>
            </w:r>
          </w:p>
        </w:tc>
        <w:tc>
          <w:tcPr>
            <w:tcW w:w="2125" w:type="dxa"/>
            <w:shd w:val="clear" w:color="auto" w:fill="auto"/>
          </w:tcPr>
          <w:p w14:paraId="61FF261B" w14:textId="77777777" w:rsidR="00F53CB4" w:rsidRPr="006A1EC7" w:rsidRDefault="00F53CB4" w:rsidP="00AC2435">
            <w:pPr>
              <w:rPr>
                <w:sz w:val="20"/>
              </w:rPr>
            </w:pPr>
            <w:r w:rsidRPr="006A1EC7">
              <w:rPr>
                <w:sz w:val="20"/>
              </w:rPr>
              <w:t>0</w:t>
            </w:r>
          </w:p>
        </w:tc>
        <w:tc>
          <w:tcPr>
            <w:tcW w:w="2126" w:type="dxa"/>
            <w:shd w:val="clear" w:color="auto" w:fill="auto"/>
          </w:tcPr>
          <w:p w14:paraId="1465BA9E" w14:textId="77777777" w:rsidR="00F53CB4" w:rsidRPr="006A1EC7" w:rsidRDefault="00F53CB4" w:rsidP="00AC2435">
            <w:pPr>
              <w:rPr>
                <w:sz w:val="20"/>
              </w:rPr>
            </w:pPr>
            <w:r w:rsidRPr="006A1EC7">
              <w:rPr>
                <w:sz w:val="20"/>
              </w:rPr>
              <w:t>0</w:t>
            </w:r>
          </w:p>
        </w:tc>
        <w:tc>
          <w:tcPr>
            <w:tcW w:w="2125" w:type="dxa"/>
            <w:shd w:val="clear" w:color="auto" w:fill="auto"/>
          </w:tcPr>
          <w:p w14:paraId="1DB50CF4" w14:textId="77777777" w:rsidR="00F53CB4" w:rsidRPr="006A1EC7" w:rsidRDefault="00F53CB4" w:rsidP="00AC2435">
            <w:pPr>
              <w:rPr>
                <w:sz w:val="20"/>
              </w:rPr>
            </w:pPr>
            <w:r w:rsidRPr="006A1EC7">
              <w:rPr>
                <w:sz w:val="20"/>
              </w:rPr>
              <w:t>.03</w:t>
            </w:r>
          </w:p>
        </w:tc>
        <w:tc>
          <w:tcPr>
            <w:tcW w:w="2126" w:type="dxa"/>
            <w:shd w:val="clear" w:color="auto" w:fill="auto"/>
          </w:tcPr>
          <w:p w14:paraId="45BEA00B" w14:textId="77777777" w:rsidR="00F53CB4" w:rsidRPr="006A1EC7" w:rsidRDefault="00F53CB4" w:rsidP="00AC2435">
            <w:pPr>
              <w:rPr>
                <w:sz w:val="20"/>
              </w:rPr>
            </w:pPr>
            <w:r w:rsidRPr="006A1EC7">
              <w:rPr>
                <w:sz w:val="20"/>
              </w:rPr>
              <w:t>1.00</w:t>
            </w:r>
          </w:p>
        </w:tc>
        <w:tc>
          <w:tcPr>
            <w:tcW w:w="2126" w:type="dxa"/>
            <w:shd w:val="clear" w:color="auto" w:fill="auto"/>
          </w:tcPr>
          <w:p w14:paraId="3D0E90B3" w14:textId="77777777" w:rsidR="00F53CB4" w:rsidRPr="006A1EC7" w:rsidRDefault="00F53CB4" w:rsidP="00AC2435">
            <w:pPr>
              <w:rPr>
                <w:sz w:val="20"/>
              </w:rPr>
            </w:pPr>
            <w:r w:rsidRPr="006A1EC7">
              <w:rPr>
                <w:sz w:val="20"/>
              </w:rPr>
              <w:t>.325</w:t>
            </w:r>
          </w:p>
        </w:tc>
      </w:tr>
      <w:tr w:rsidR="00F53CB4" w:rsidRPr="006A1EC7" w14:paraId="09E71B33" w14:textId="77777777" w:rsidTr="00AC2435">
        <w:tc>
          <w:tcPr>
            <w:tcW w:w="2125" w:type="dxa"/>
            <w:shd w:val="clear" w:color="auto" w:fill="4472C4" w:themeFill="accent1"/>
          </w:tcPr>
          <w:p w14:paraId="7D6B7BFB" w14:textId="77777777" w:rsidR="00F53CB4" w:rsidRPr="006A1EC7" w:rsidRDefault="00F53CB4" w:rsidP="00AC2435">
            <w:pPr>
              <w:rPr>
                <w:sz w:val="20"/>
              </w:rPr>
            </w:pPr>
            <w:r w:rsidRPr="006A1EC7">
              <w:rPr>
                <w:sz w:val="20"/>
              </w:rPr>
              <w:t>Epilepsy</w:t>
            </w:r>
          </w:p>
        </w:tc>
        <w:tc>
          <w:tcPr>
            <w:tcW w:w="2126" w:type="dxa"/>
            <w:shd w:val="clear" w:color="auto" w:fill="4472C4" w:themeFill="accent1"/>
          </w:tcPr>
          <w:p w14:paraId="1F8041E6" w14:textId="77777777" w:rsidR="00F53CB4" w:rsidRPr="006A1EC7" w:rsidRDefault="00F53CB4" w:rsidP="00AC2435">
            <w:pPr>
              <w:rPr>
                <w:sz w:val="20"/>
              </w:rPr>
            </w:pPr>
            <w:r w:rsidRPr="006A1EC7">
              <w:rPr>
                <w:sz w:val="20"/>
              </w:rPr>
              <w:t>10</w:t>
            </w:r>
          </w:p>
        </w:tc>
        <w:tc>
          <w:tcPr>
            <w:tcW w:w="2125" w:type="dxa"/>
            <w:shd w:val="clear" w:color="auto" w:fill="4472C4" w:themeFill="accent1"/>
          </w:tcPr>
          <w:p w14:paraId="166CD5D2" w14:textId="77777777" w:rsidR="00F53CB4" w:rsidRPr="006A1EC7" w:rsidRDefault="00F53CB4" w:rsidP="00AC2435">
            <w:pPr>
              <w:rPr>
                <w:sz w:val="20"/>
              </w:rPr>
            </w:pPr>
            <w:r w:rsidRPr="006A1EC7">
              <w:rPr>
                <w:sz w:val="20"/>
              </w:rPr>
              <w:t>7</w:t>
            </w:r>
          </w:p>
        </w:tc>
        <w:tc>
          <w:tcPr>
            <w:tcW w:w="2126" w:type="dxa"/>
            <w:shd w:val="clear" w:color="auto" w:fill="4472C4" w:themeFill="accent1"/>
          </w:tcPr>
          <w:p w14:paraId="685394C8" w14:textId="77777777" w:rsidR="00F53CB4" w:rsidRPr="006A1EC7" w:rsidRDefault="00F53CB4" w:rsidP="00AC2435">
            <w:pPr>
              <w:rPr>
                <w:sz w:val="20"/>
              </w:rPr>
            </w:pPr>
            <w:r w:rsidRPr="006A1EC7">
              <w:rPr>
                <w:sz w:val="20"/>
              </w:rPr>
              <w:t>8.5</w:t>
            </w:r>
          </w:p>
        </w:tc>
        <w:tc>
          <w:tcPr>
            <w:tcW w:w="2125" w:type="dxa"/>
            <w:shd w:val="clear" w:color="auto" w:fill="4472C4" w:themeFill="accent1"/>
          </w:tcPr>
          <w:p w14:paraId="697F9F09" w14:textId="77777777" w:rsidR="00F53CB4" w:rsidRPr="006A1EC7" w:rsidRDefault="00F53CB4" w:rsidP="00AC2435">
            <w:pPr>
              <w:rPr>
                <w:sz w:val="20"/>
              </w:rPr>
            </w:pPr>
            <w:r w:rsidRPr="006A1EC7">
              <w:rPr>
                <w:sz w:val="20"/>
              </w:rPr>
              <w:t>11.0</w:t>
            </w:r>
          </w:p>
        </w:tc>
        <w:tc>
          <w:tcPr>
            <w:tcW w:w="2126" w:type="dxa"/>
            <w:shd w:val="clear" w:color="auto" w:fill="4472C4" w:themeFill="accent1"/>
          </w:tcPr>
          <w:p w14:paraId="60050910" w14:textId="77777777" w:rsidR="00F53CB4" w:rsidRPr="006A1EC7" w:rsidRDefault="00F53CB4" w:rsidP="00AC2435">
            <w:pPr>
              <w:rPr>
                <w:sz w:val="20"/>
              </w:rPr>
            </w:pPr>
            <w:r w:rsidRPr="006A1EC7">
              <w:rPr>
                <w:sz w:val="20"/>
              </w:rPr>
              <w:t>6.467</w:t>
            </w:r>
          </w:p>
        </w:tc>
        <w:tc>
          <w:tcPr>
            <w:tcW w:w="2126" w:type="dxa"/>
            <w:shd w:val="clear" w:color="auto" w:fill="4472C4" w:themeFill="accent1"/>
          </w:tcPr>
          <w:p w14:paraId="3C39A120" w14:textId="77777777" w:rsidR="00F53CB4" w:rsidRPr="006A1EC7" w:rsidRDefault="00F53CB4" w:rsidP="00AC2435">
            <w:pPr>
              <w:rPr>
                <w:sz w:val="20"/>
              </w:rPr>
            </w:pPr>
            <w:r w:rsidRPr="006A1EC7">
              <w:rPr>
                <w:sz w:val="20"/>
              </w:rPr>
              <w:t>p &lt;.001</w:t>
            </w:r>
          </w:p>
        </w:tc>
      </w:tr>
      <w:tr w:rsidR="00F53CB4" w:rsidRPr="006A1EC7" w14:paraId="60849087" w14:textId="77777777" w:rsidTr="00AC2435">
        <w:tc>
          <w:tcPr>
            <w:tcW w:w="2125" w:type="dxa"/>
            <w:shd w:val="clear" w:color="auto" w:fill="E7E6E6" w:themeFill="background2"/>
          </w:tcPr>
          <w:p w14:paraId="020B2D73" w14:textId="77777777" w:rsidR="00F53CB4" w:rsidRPr="006A1EC7" w:rsidRDefault="00F53CB4" w:rsidP="00AC2435">
            <w:pPr>
              <w:rPr>
                <w:sz w:val="20"/>
              </w:rPr>
            </w:pPr>
            <w:r w:rsidRPr="006A1EC7">
              <w:rPr>
                <w:sz w:val="20"/>
              </w:rPr>
              <w:t>Gastro</w:t>
            </w:r>
          </w:p>
        </w:tc>
        <w:tc>
          <w:tcPr>
            <w:tcW w:w="2126" w:type="dxa"/>
            <w:shd w:val="clear" w:color="auto" w:fill="E7E6E6" w:themeFill="background2"/>
          </w:tcPr>
          <w:p w14:paraId="01DB57EB" w14:textId="77777777" w:rsidR="00F53CB4" w:rsidRPr="006A1EC7" w:rsidRDefault="00F53CB4" w:rsidP="00AC2435">
            <w:pPr>
              <w:rPr>
                <w:sz w:val="20"/>
              </w:rPr>
            </w:pPr>
            <w:r w:rsidRPr="006A1EC7">
              <w:rPr>
                <w:sz w:val="20"/>
              </w:rPr>
              <w:t>18</w:t>
            </w:r>
          </w:p>
        </w:tc>
        <w:tc>
          <w:tcPr>
            <w:tcW w:w="2125" w:type="dxa"/>
            <w:shd w:val="clear" w:color="auto" w:fill="E7E6E6" w:themeFill="background2"/>
          </w:tcPr>
          <w:p w14:paraId="56C87C42" w14:textId="77777777" w:rsidR="00F53CB4" w:rsidRPr="006A1EC7" w:rsidRDefault="00F53CB4" w:rsidP="00AC2435">
            <w:pPr>
              <w:rPr>
                <w:sz w:val="20"/>
              </w:rPr>
            </w:pPr>
            <w:r w:rsidRPr="006A1EC7">
              <w:rPr>
                <w:sz w:val="20"/>
              </w:rPr>
              <w:t>17</w:t>
            </w:r>
          </w:p>
        </w:tc>
        <w:tc>
          <w:tcPr>
            <w:tcW w:w="2126" w:type="dxa"/>
            <w:shd w:val="clear" w:color="auto" w:fill="E7E6E6" w:themeFill="background2"/>
          </w:tcPr>
          <w:p w14:paraId="6453CF0E" w14:textId="77777777" w:rsidR="00F53CB4" w:rsidRPr="006A1EC7" w:rsidRDefault="00F53CB4" w:rsidP="00AC2435">
            <w:pPr>
              <w:rPr>
                <w:sz w:val="20"/>
              </w:rPr>
            </w:pPr>
            <w:r w:rsidRPr="006A1EC7">
              <w:rPr>
                <w:sz w:val="20"/>
              </w:rPr>
              <w:t>17.5</w:t>
            </w:r>
          </w:p>
        </w:tc>
        <w:tc>
          <w:tcPr>
            <w:tcW w:w="2125" w:type="dxa"/>
            <w:shd w:val="clear" w:color="auto" w:fill="E7E6E6" w:themeFill="background2"/>
          </w:tcPr>
          <w:p w14:paraId="7E3B3189" w14:textId="77777777" w:rsidR="00F53CB4" w:rsidRPr="006A1EC7" w:rsidRDefault="00F53CB4" w:rsidP="00AC2435">
            <w:pPr>
              <w:rPr>
                <w:sz w:val="20"/>
              </w:rPr>
            </w:pPr>
            <w:r w:rsidRPr="006A1EC7">
              <w:rPr>
                <w:sz w:val="20"/>
              </w:rPr>
              <w:t>18.43</w:t>
            </w:r>
          </w:p>
        </w:tc>
        <w:tc>
          <w:tcPr>
            <w:tcW w:w="2126" w:type="dxa"/>
            <w:shd w:val="clear" w:color="auto" w:fill="E7E6E6" w:themeFill="background2"/>
          </w:tcPr>
          <w:p w14:paraId="3FE852B9" w14:textId="77777777" w:rsidR="00F53CB4" w:rsidRPr="006A1EC7" w:rsidRDefault="00F53CB4" w:rsidP="00AC2435">
            <w:pPr>
              <w:rPr>
                <w:sz w:val="20"/>
              </w:rPr>
            </w:pPr>
            <w:r w:rsidRPr="006A1EC7">
              <w:rPr>
                <w:sz w:val="20"/>
              </w:rPr>
              <w:t>2.650</w:t>
            </w:r>
          </w:p>
        </w:tc>
        <w:tc>
          <w:tcPr>
            <w:tcW w:w="2126" w:type="dxa"/>
            <w:shd w:val="clear" w:color="auto" w:fill="E7E6E6" w:themeFill="background2"/>
          </w:tcPr>
          <w:p w14:paraId="4EBA6A15" w14:textId="77777777" w:rsidR="00F53CB4" w:rsidRPr="006A1EC7" w:rsidRDefault="00F53CB4" w:rsidP="00AC2435">
            <w:pPr>
              <w:rPr>
                <w:sz w:val="20"/>
              </w:rPr>
            </w:pPr>
            <w:r w:rsidRPr="006A1EC7">
              <w:rPr>
                <w:sz w:val="20"/>
              </w:rPr>
              <w:t>.013</w:t>
            </w:r>
          </w:p>
        </w:tc>
      </w:tr>
      <w:tr w:rsidR="00F53CB4" w:rsidRPr="006A1EC7" w14:paraId="20E6B5A1" w14:textId="77777777" w:rsidTr="00AC2435">
        <w:tc>
          <w:tcPr>
            <w:tcW w:w="2125" w:type="dxa"/>
            <w:shd w:val="clear" w:color="auto" w:fill="E7E6E6" w:themeFill="background2"/>
          </w:tcPr>
          <w:p w14:paraId="58A97045" w14:textId="77777777" w:rsidR="00F53CB4" w:rsidRPr="006A1EC7" w:rsidRDefault="00F53CB4" w:rsidP="00AC2435">
            <w:pPr>
              <w:rPr>
                <w:sz w:val="20"/>
              </w:rPr>
            </w:pPr>
            <w:r w:rsidRPr="006A1EC7">
              <w:rPr>
                <w:sz w:val="20"/>
              </w:rPr>
              <w:t>Cardio &amp; respiratory</w:t>
            </w:r>
          </w:p>
        </w:tc>
        <w:tc>
          <w:tcPr>
            <w:tcW w:w="2126" w:type="dxa"/>
            <w:shd w:val="clear" w:color="auto" w:fill="E7E6E6" w:themeFill="background2"/>
          </w:tcPr>
          <w:p w14:paraId="7744F01D" w14:textId="77777777" w:rsidR="00F53CB4" w:rsidRPr="006A1EC7" w:rsidRDefault="00F53CB4" w:rsidP="00AC2435">
            <w:pPr>
              <w:rPr>
                <w:sz w:val="20"/>
              </w:rPr>
            </w:pPr>
            <w:r w:rsidRPr="006A1EC7">
              <w:rPr>
                <w:sz w:val="20"/>
              </w:rPr>
              <w:t>4</w:t>
            </w:r>
          </w:p>
        </w:tc>
        <w:tc>
          <w:tcPr>
            <w:tcW w:w="2125" w:type="dxa"/>
            <w:shd w:val="clear" w:color="auto" w:fill="E7E6E6" w:themeFill="background2"/>
          </w:tcPr>
          <w:p w14:paraId="2ABC7BB4" w14:textId="77777777" w:rsidR="00F53CB4" w:rsidRPr="006A1EC7" w:rsidRDefault="00F53CB4" w:rsidP="00AC2435">
            <w:pPr>
              <w:rPr>
                <w:sz w:val="20"/>
              </w:rPr>
            </w:pPr>
            <w:r w:rsidRPr="006A1EC7">
              <w:rPr>
                <w:sz w:val="20"/>
              </w:rPr>
              <w:t>4</w:t>
            </w:r>
          </w:p>
        </w:tc>
        <w:tc>
          <w:tcPr>
            <w:tcW w:w="2126" w:type="dxa"/>
            <w:shd w:val="clear" w:color="auto" w:fill="E7E6E6" w:themeFill="background2"/>
          </w:tcPr>
          <w:p w14:paraId="1BE262EA" w14:textId="77777777" w:rsidR="00F53CB4" w:rsidRPr="006A1EC7" w:rsidRDefault="00F53CB4" w:rsidP="00AC2435">
            <w:pPr>
              <w:rPr>
                <w:sz w:val="20"/>
              </w:rPr>
            </w:pPr>
            <w:r w:rsidRPr="006A1EC7">
              <w:rPr>
                <w:sz w:val="20"/>
              </w:rPr>
              <w:t>4</w:t>
            </w:r>
          </w:p>
        </w:tc>
        <w:tc>
          <w:tcPr>
            <w:tcW w:w="2125" w:type="dxa"/>
            <w:shd w:val="clear" w:color="auto" w:fill="E7E6E6" w:themeFill="background2"/>
          </w:tcPr>
          <w:p w14:paraId="56F9592A" w14:textId="77777777" w:rsidR="00F53CB4" w:rsidRPr="006A1EC7" w:rsidRDefault="00F53CB4" w:rsidP="00AC2435">
            <w:pPr>
              <w:rPr>
                <w:sz w:val="20"/>
              </w:rPr>
            </w:pPr>
            <w:r w:rsidRPr="006A1EC7">
              <w:rPr>
                <w:sz w:val="20"/>
              </w:rPr>
              <w:t>3.77</w:t>
            </w:r>
          </w:p>
        </w:tc>
        <w:tc>
          <w:tcPr>
            <w:tcW w:w="2126" w:type="dxa"/>
            <w:shd w:val="clear" w:color="auto" w:fill="E7E6E6" w:themeFill="background2"/>
          </w:tcPr>
          <w:p w14:paraId="36DE75E7" w14:textId="77777777" w:rsidR="00F53CB4" w:rsidRPr="006A1EC7" w:rsidRDefault="00F53CB4" w:rsidP="00AC2435">
            <w:pPr>
              <w:rPr>
                <w:sz w:val="20"/>
              </w:rPr>
            </w:pPr>
            <w:r w:rsidRPr="006A1EC7">
              <w:rPr>
                <w:sz w:val="20"/>
              </w:rPr>
              <w:t>-1.563</w:t>
            </w:r>
          </w:p>
        </w:tc>
        <w:tc>
          <w:tcPr>
            <w:tcW w:w="2126" w:type="dxa"/>
            <w:shd w:val="clear" w:color="auto" w:fill="E7E6E6" w:themeFill="background2"/>
          </w:tcPr>
          <w:p w14:paraId="0F5DEA00" w14:textId="77777777" w:rsidR="00F53CB4" w:rsidRPr="006A1EC7" w:rsidRDefault="00F53CB4" w:rsidP="00AC2435">
            <w:pPr>
              <w:rPr>
                <w:sz w:val="20"/>
              </w:rPr>
            </w:pPr>
            <w:r w:rsidRPr="006A1EC7">
              <w:rPr>
                <w:sz w:val="20"/>
              </w:rPr>
              <w:t>.129</w:t>
            </w:r>
          </w:p>
        </w:tc>
      </w:tr>
      <w:tr w:rsidR="00F53CB4" w:rsidRPr="006A1EC7" w14:paraId="5665A1BF" w14:textId="77777777" w:rsidTr="00AC2435">
        <w:tc>
          <w:tcPr>
            <w:tcW w:w="2125" w:type="dxa"/>
            <w:shd w:val="clear" w:color="auto" w:fill="E7E6E6" w:themeFill="background2"/>
          </w:tcPr>
          <w:p w14:paraId="4DD29ABC" w14:textId="77777777" w:rsidR="00F53CB4" w:rsidRPr="006A1EC7" w:rsidRDefault="00F53CB4" w:rsidP="00AC2435">
            <w:pPr>
              <w:rPr>
                <w:sz w:val="20"/>
              </w:rPr>
            </w:pPr>
            <w:r w:rsidRPr="006A1EC7">
              <w:rPr>
                <w:sz w:val="20"/>
              </w:rPr>
              <w:t>Central Nervous System</w:t>
            </w:r>
          </w:p>
        </w:tc>
        <w:tc>
          <w:tcPr>
            <w:tcW w:w="2126" w:type="dxa"/>
            <w:shd w:val="clear" w:color="auto" w:fill="E7E6E6" w:themeFill="background2"/>
          </w:tcPr>
          <w:p w14:paraId="2386EF72" w14:textId="77777777" w:rsidR="00F53CB4" w:rsidRPr="006A1EC7" w:rsidRDefault="00F53CB4" w:rsidP="00AC2435">
            <w:pPr>
              <w:rPr>
                <w:sz w:val="20"/>
              </w:rPr>
            </w:pPr>
            <w:r w:rsidRPr="006A1EC7">
              <w:rPr>
                <w:sz w:val="20"/>
              </w:rPr>
              <w:t>2</w:t>
            </w:r>
          </w:p>
        </w:tc>
        <w:tc>
          <w:tcPr>
            <w:tcW w:w="2125" w:type="dxa"/>
            <w:shd w:val="clear" w:color="auto" w:fill="E7E6E6" w:themeFill="background2"/>
          </w:tcPr>
          <w:p w14:paraId="0A9CB764" w14:textId="77777777" w:rsidR="00F53CB4" w:rsidRPr="006A1EC7" w:rsidRDefault="00F53CB4" w:rsidP="00AC2435">
            <w:pPr>
              <w:rPr>
                <w:sz w:val="20"/>
              </w:rPr>
            </w:pPr>
            <w:r w:rsidRPr="006A1EC7">
              <w:rPr>
                <w:sz w:val="20"/>
              </w:rPr>
              <w:t>2</w:t>
            </w:r>
          </w:p>
        </w:tc>
        <w:tc>
          <w:tcPr>
            <w:tcW w:w="2126" w:type="dxa"/>
            <w:shd w:val="clear" w:color="auto" w:fill="E7E6E6" w:themeFill="background2"/>
          </w:tcPr>
          <w:p w14:paraId="39343C0A" w14:textId="77777777" w:rsidR="00F53CB4" w:rsidRPr="006A1EC7" w:rsidRDefault="00F53CB4" w:rsidP="00AC2435">
            <w:pPr>
              <w:rPr>
                <w:sz w:val="20"/>
              </w:rPr>
            </w:pPr>
            <w:r w:rsidRPr="006A1EC7">
              <w:rPr>
                <w:sz w:val="20"/>
              </w:rPr>
              <w:t>2</w:t>
            </w:r>
          </w:p>
        </w:tc>
        <w:tc>
          <w:tcPr>
            <w:tcW w:w="2125" w:type="dxa"/>
            <w:shd w:val="clear" w:color="auto" w:fill="E7E6E6" w:themeFill="background2"/>
          </w:tcPr>
          <w:p w14:paraId="23F014C4" w14:textId="77777777" w:rsidR="00F53CB4" w:rsidRPr="006A1EC7" w:rsidRDefault="00F53CB4" w:rsidP="00AC2435">
            <w:pPr>
              <w:rPr>
                <w:sz w:val="20"/>
              </w:rPr>
            </w:pPr>
            <w:r w:rsidRPr="006A1EC7">
              <w:rPr>
                <w:sz w:val="20"/>
              </w:rPr>
              <w:t>2.5</w:t>
            </w:r>
          </w:p>
        </w:tc>
        <w:tc>
          <w:tcPr>
            <w:tcW w:w="2126" w:type="dxa"/>
            <w:shd w:val="clear" w:color="auto" w:fill="E7E6E6" w:themeFill="background2"/>
          </w:tcPr>
          <w:p w14:paraId="4C596178" w14:textId="77777777" w:rsidR="00F53CB4" w:rsidRPr="006A1EC7" w:rsidRDefault="00F53CB4" w:rsidP="00AC2435">
            <w:pPr>
              <w:rPr>
                <w:sz w:val="20"/>
              </w:rPr>
            </w:pPr>
            <w:r w:rsidRPr="006A1EC7">
              <w:rPr>
                <w:sz w:val="20"/>
              </w:rPr>
              <w:t>1.055</w:t>
            </w:r>
          </w:p>
        </w:tc>
        <w:tc>
          <w:tcPr>
            <w:tcW w:w="2126" w:type="dxa"/>
            <w:shd w:val="clear" w:color="auto" w:fill="E7E6E6" w:themeFill="background2"/>
          </w:tcPr>
          <w:p w14:paraId="1BFD1043" w14:textId="77777777" w:rsidR="00F53CB4" w:rsidRPr="006A1EC7" w:rsidRDefault="00F53CB4" w:rsidP="00AC2435">
            <w:pPr>
              <w:rPr>
                <w:sz w:val="20"/>
              </w:rPr>
            </w:pPr>
            <w:r w:rsidRPr="006A1EC7">
              <w:rPr>
                <w:sz w:val="20"/>
              </w:rPr>
              <w:t>.300</w:t>
            </w:r>
          </w:p>
        </w:tc>
      </w:tr>
      <w:tr w:rsidR="00F53CB4" w:rsidRPr="006A1EC7" w14:paraId="640D634A" w14:textId="77777777" w:rsidTr="00AC2435">
        <w:tc>
          <w:tcPr>
            <w:tcW w:w="2125" w:type="dxa"/>
            <w:shd w:val="clear" w:color="auto" w:fill="E7E6E6" w:themeFill="background2"/>
          </w:tcPr>
          <w:p w14:paraId="13FAFA33" w14:textId="77777777" w:rsidR="00F53CB4" w:rsidRPr="006A1EC7" w:rsidRDefault="00F53CB4" w:rsidP="00AC2435">
            <w:pPr>
              <w:rPr>
                <w:sz w:val="20"/>
              </w:rPr>
            </w:pPr>
            <w:r w:rsidRPr="006A1EC7">
              <w:rPr>
                <w:sz w:val="20"/>
              </w:rPr>
              <w:t>Functioning</w:t>
            </w:r>
          </w:p>
        </w:tc>
        <w:tc>
          <w:tcPr>
            <w:tcW w:w="2126" w:type="dxa"/>
            <w:shd w:val="clear" w:color="auto" w:fill="E7E6E6" w:themeFill="background2"/>
          </w:tcPr>
          <w:p w14:paraId="1E5D39E4" w14:textId="77777777" w:rsidR="00F53CB4" w:rsidRPr="006A1EC7" w:rsidRDefault="00F53CB4" w:rsidP="00AC2435">
            <w:pPr>
              <w:rPr>
                <w:sz w:val="20"/>
              </w:rPr>
            </w:pPr>
            <w:r w:rsidRPr="006A1EC7">
              <w:rPr>
                <w:sz w:val="20"/>
              </w:rPr>
              <w:t>11</w:t>
            </w:r>
          </w:p>
        </w:tc>
        <w:tc>
          <w:tcPr>
            <w:tcW w:w="2125" w:type="dxa"/>
            <w:shd w:val="clear" w:color="auto" w:fill="E7E6E6" w:themeFill="background2"/>
          </w:tcPr>
          <w:p w14:paraId="79829E9D" w14:textId="77777777" w:rsidR="00F53CB4" w:rsidRPr="006A1EC7" w:rsidRDefault="00F53CB4" w:rsidP="00AC2435">
            <w:pPr>
              <w:rPr>
                <w:sz w:val="20"/>
              </w:rPr>
            </w:pPr>
            <w:r w:rsidRPr="006A1EC7">
              <w:rPr>
                <w:sz w:val="20"/>
              </w:rPr>
              <w:t>11</w:t>
            </w:r>
          </w:p>
        </w:tc>
        <w:tc>
          <w:tcPr>
            <w:tcW w:w="2126" w:type="dxa"/>
            <w:shd w:val="clear" w:color="auto" w:fill="E7E6E6" w:themeFill="background2"/>
          </w:tcPr>
          <w:p w14:paraId="230BF57B" w14:textId="77777777" w:rsidR="00F53CB4" w:rsidRPr="006A1EC7" w:rsidRDefault="00F53CB4" w:rsidP="00AC2435">
            <w:pPr>
              <w:rPr>
                <w:sz w:val="20"/>
              </w:rPr>
            </w:pPr>
            <w:r w:rsidRPr="006A1EC7">
              <w:rPr>
                <w:sz w:val="20"/>
              </w:rPr>
              <w:t>11</w:t>
            </w:r>
          </w:p>
        </w:tc>
        <w:tc>
          <w:tcPr>
            <w:tcW w:w="2125" w:type="dxa"/>
            <w:shd w:val="clear" w:color="auto" w:fill="E7E6E6" w:themeFill="background2"/>
          </w:tcPr>
          <w:p w14:paraId="1CD540AF" w14:textId="77777777" w:rsidR="00F53CB4" w:rsidRPr="006A1EC7" w:rsidRDefault="00F53CB4" w:rsidP="00AC2435">
            <w:pPr>
              <w:rPr>
                <w:sz w:val="20"/>
              </w:rPr>
            </w:pPr>
            <w:r w:rsidRPr="006A1EC7">
              <w:rPr>
                <w:sz w:val="20"/>
              </w:rPr>
              <w:t>8.81</w:t>
            </w:r>
          </w:p>
        </w:tc>
        <w:tc>
          <w:tcPr>
            <w:tcW w:w="2126" w:type="dxa"/>
            <w:shd w:val="clear" w:color="auto" w:fill="E7E6E6" w:themeFill="background2"/>
          </w:tcPr>
          <w:p w14:paraId="3C1F3A9D" w14:textId="77777777" w:rsidR="00F53CB4" w:rsidRPr="006A1EC7" w:rsidRDefault="00F53CB4" w:rsidP="00AC2435">
            <w:pPr>
              <w:rPr>
                <w:sz w:val="20"/>
              </w:rPr>
            </w:pPr>
            <w:r w:rsidRPr="006A1EC7">
              <w:rPr>
                <w:sz w:val="20"/>
              </w:rPr>
              <w:t>-3.316</w:t>
            </w:r>
          </w:p>
        </w:tc>
        <w:tc>
          <w:tcPr>
            <w:tcW w:w="2126" w:type="dxa"/>
            <w:shd w:val="clear" w:color="auto" w:fill="E7E6E6" w:themeFill="background2"/>
          </w:tcPr>
          <w:p w14:paraId="151865FD" w14:textId="77777777" w:rsidR="00F53CB4" w:rsidRPr="006A1EC7" w:rsidRDefault="00F53CB4" w:rsidP="00AC2435">
            <w:pPr>
              <w:rPr>
                <w:sz w:val="20"/>
              </w:rPr>
            </w:pPr>
            <w:r w:rsidRPr="006A1EC7">
              <w:rPr>
                <w:sz w:val="20"/>
              </w:rPr>
              <w:t>.005</w:t>
            </w:r>
          </w:p>
        </w:tc>
      </w:tr>
      <w:tr w:rsidR="00F53CB4" w:rsidRPr="006A1EC7" w14:paraId="5F360A48" w14:textId="77777777" w:rsidTr="00AC2435">
        <w:tc>
          <w:tcPr>
            <w:tcW w:w="2125" w:type="dxa"/>
            <w:shd w:val="clear" w:color="auto" w:fill="4472C4" w:themeFill="accent1"/>
          </w:tcPr>
          <w:p w14:paraId="70A6F98D" w14:textId="77777777" w:rsidR="00F53CB4" w:rsidRPr="006A1EC7" w:rsidRDefault="00F53CB4" w:rsidP="00AC2435">
            <w:pPr>
              <w:rPr>
                <w:sz w:val="20"/>
              </w:rPr>
            </w:pPr>
            <w:r w:rsidRPr="006A1EC7">
              <w:rPr>
                <w:sz w:val="20"/>
              </w:rPr>
              <w:t>Immunology</w:t>
            </w:r>
          </w:p>
        </w:tc>
        <w:tc>
          <w:tcPr>
            <w:tcW w:w="2126" w:type="dxa"/>
            <w:shd w:val="clear" w:color="auto" w:fill="4472C4" w:themeFill="accent1"/>
          </w:tcPr>
          <w:p w14:paraId="50C09719" w14:textId="77777777" w:rsidR="00F53CB4" w:rsidRPr="006A1EC7" w:rsidRDefault="00F53CB4" w:rsidP="00AC2435">
            <w:pPr>
              <w:rPr>
                <w:sz w:val="20"/>
              </w:rPr>
            </w:pPr>
            <w:r w:rsidRPr="006A1EC7">
              <w:rPr>
                <w:sz w:val="20"/>
              </w:rPr>
              <w:t>0</w:t>
            </w:r>
          </w:p>
        </w:tc>
        <w:tc>
          <w:tcPr>
            <w:tcW w:w="2125" w:type="dxa"/>
            <w:shd w:val="clear" w:color="auto" w:fill="4472C4" w:themeFill="accent1"/>
          </w:tcPr>
          <w:p w14:paraId="0771841C" w14:textId="77777777" w:rsidR="00F53CB4" w:rsidRPr="006A1EC7" w:rsidRDefault="00F53CB4" w:rsidP="00AC2435">
            <w:pPr>
              <w:rPr>
                <w:sz w:val="20"/>
              </w:rPr>
            </w:pPr>
            <w:r w:rsidRPr="006A1EC7">
              <w:rPr>
                <w:sz w:val="20"/>
              </w:rPr>
              <w:t>0</w:t>
            </w:r>
          </w:p>
        </w:tc>
        <w:tc>
          <w:tcPr>
            <w:tcW w:w="2126" w:type="dxa"/>
            <w:shd w:val="clear" w:color="auto" w:fill="4472C4" w:themeFill="accent1"/>
          </w:tcPr>
          <w:p w14:paraId="28E5DA79" w14:textId="77777777" w:rsidR="00F53CB4" w:rsidRPr="006A1EC7" w:rsidRDefault="00F53CB4" w:rsidP="00AC2435">
            <w:pPr>
              <w:rPr>
                <w:sz w:val="20"/>
              </w:rPr>
            </w:pPr>
            <w:r w:rsidRPr="006A1EC7">
              <w:rPr>
                <w:sz w:val="20"/>
              </w:rPr>
              <w:t>0</w:t>
            </w:r>
          </w:p>
        </w:tc>
        <w:tc>
          <w:tcPr>
            <w:tcW w:w="2125" w:type="dxa"/>
            <w:shd w:val="clear" w:color="auto" w:fill="4472C4" w:themeFill="accent1"/>
          </w:tcPr>
          <w:p w14:paraId="14FB258F" w14:textId="77777777" w:rsidR="00F53CB4" w:rsidRPr="006A1EC7" w:rsidRDefault="00F53CB4" w:rsidP="00AC2435">
            <w:pPr>
              <w:rPr>
                <w:sz w:val="20"/>
              </w:rPr>
            </w:pPr>
            <w:r w:rsidRPr="006A1EC7">
              <w:rPr>
                <w:sz w:val="20"/>
              </w:rPr>
              <w:t>3.23</w:t>
            </w:r>
          </w:p>
        </w:tc>
        <w:tc>
          <w:tcPr>
            <w:tcW w:w="2126" w:type="dxa"/>
            <w:shd w:val="clear" w:color="auto" w:fill="4472C4" w:themeFill="accent1"/>
          </w:tcPr>
          <w:p w14:paraId="01DC8B03" w14:textId="77777777" w:rsidR="00F53CB4" w:rsidRPr="006A1EC7" w:rsidRDefault="00F53CB4" w:rsidP="00AC2435">
            <w:pPr>
              <w:rPr>
                <w:sz w:val="20"/>
              </w:rPr>
            </w:pPr>
            <w:r w:rsidRPr="006A1EC7">
              <w:rPr>
                <w:sz w:val="20"/>
              </w:rPr>
              <w:t>8.272</w:t>
            </w:r>
          </w:p>
        </w:tc>
        <w:tc>
          <w:tcPr>
            <w:tcW w:w="2126" w:type="dxa"/>
            <w:shd w:val="clear" w:color="auto" w:fill="4472C4" w:themeFill="accent1"/>
          </w:tcPr>
          <w:p w14:paraId="04CD9E14" w14:textId="77777777" w:rsidR="00F53CB4" w:rsidRPr="006A1EC7" w:rsidRDefault="00F53CB4" w:rsidP="00AC2435">
            <w:pPr>
              <w:rPr>
                <w:sz w:val="20"/>
              </w:rPr>
            </w:pPr>
            <w:r w:rsidRPr="006A1EC7">
              <w:rPr>
                <w:sz w:val="20"/>
              </w:rPr>
              <w:t>p &lt;.001</w:t>
            </w:r>
          </w:p>
        </w:tc>
      </w:tr>
      <w:tr w:rsidR="00F53CB4" w:rsidRPr="006A1EC7" w14:paraId="518456EF" w14:textId="77777777" w:rsidTr="00AC2435">
        <w:tc>
          <w:tcPr>
            <w:tcW w:w="2125" w:type="dxa"/>
            <w:shd w:val="clear" w:color="auto" w:fill="E7E6E6" w:themeFill="background2"/>
          </w:tcPr>
          <w:p w14:paraId="373552A6" w14:textId="77777777" w:rsidR="00F53CB4" w:rsidRPr="006A1EC7" w:rsidRDefault="00F53CB4" w:rsidP="00AC2435">
            <w:pPr>
              <w:rPr>
                <w:sz w:val="20"/>
              </w:rPr>
            </w:pPr>
            <w:r w:rsidRPr="006A1EC7">
              <w:rPr>
                <w:sz w:val="20"/>
              </w:rPr>
              <w:t>Sleep</w:t>
            </w:r>
          </w:p>
        </w:tc>
        <w:tc>
          <w:tcPr>
            <w:tcW w:w="2126" w:type="dxa"/>
            <w:shd w:val="clear" w:color="auto" w:fill="E7E6E6" w:themeFill="background2"/>
          </w:tcPr>
          <w:p w14:paraId="13B08772" w14:textId="77777777" w:rsidR="00F53CB4" w:rsidRPr="006A1EC7" w:rsidRDefault="00F53CB4" w:rsidP="00AC2435">
            <w:pPr>
              <w:rPr>
                <w:sz w:val="20"/>
              </w:rPr>
            </w:pPr>
            <w:r w:rsidRPr="006A1EC7">
              <w:rPr>
                <w:sz w:val="20"/>
              </w:rPr>
              <w:t>0</w:t>
            </w:r>
          </w:p>
        </w:tc>
        <w:tc>
          <w:tcPr>
            <w:tcW w:w="2125" w:type="dxa"/>
            <w:shd w:val="clear" w:color="auto" w:fill="E7E6E6" w:themeFill="background2"/>
          </w:tcPr>
          <w:p w14:paraId="7648CB6B" w14:textId="77777777" w:rsidR="00F53CB4" w:rsidRPr="006A1EC7" w:rsidRDefault="00F53CB4" w:rsidP="00AC2435">
            <w:pPr>
              <w:rPr>
                <w:sz w:val="20"/>
              </w:rPr>
            </w:pPr>
            <w:r w:rsidRPr="006A1EC7">
              <w:rPr>
                <w:sz w:val="20"/>
              </w:rPr>
              <w:t>0</w:t>
            </w:r>
          </w:p>
        </w:tc>
        <w:tc>
          <w:tcPr>
            <w:tcW w:w="2126" w:type="dxa"/>
            <w:shd w:val="clear" w:color="auto" w:fill="E7E6E6" w:themeFill="background2"/>
          </w:tcPr>
          <w:p w14:paraId="61B0D21D" w14:textId="77777777" w:rsidR="00F53CB4" w:rsidRPr="006A1EC7" w:rsidRDefault="00F53CB4" w:rsidP="00AC2435">
            <w:pPr>
              <w:rPr>
                <w:sz w:val="20"/>
              </w:rPr>
            </w:pPr>
            <w:r w:rsidRPr="006A1EC7">
              <w:rPr>
                <w:sz w:val="20"/>
              </w:rPr>
              <w:t>0</w:t>
            </w:r>
          </w:p>
        </w:tc>
        <w:tc>
          <w:tcPr>
            <w:tcW w:w="2125" w:type="dxa"/>
            <w:shd w:val="clear" w:color="auto" w:fill="E7E6E6" w:themeFill="background2"/>
          </w:tcPr>
          <w:p w14:paraId="57798151" w14:textId="77777777" w:rsidR="00F53CB4" w:rsidRPr="006A1EC7" w:rsidRDefault="00F53CB4" w:rsidP="00AC2435">
            <w:pPr>
              <w:rPr>
                <w:sz w:val="20"/>
              </w:rPr>
            </w:pPr>
            <w:r w:rsidRPr="006A1EC7">
              <w:rPr>
                <w:sz w:val="20"/>
              </w:rPr>
              <w:t>.45</w:t>
            </w:r>
          </w:p>
        </w:tc>
        <w:tc>
          <w:tcPr>
            <w:tcW w:w="2126" w:type="dxa"/>
            <w:shd w:val="clear" w:color="auto" w:fill="E7E6E6" w:themeFill="background2"/>
          </w:tcPr>
          <w:p w14:paraId="6B62F802" w14:textId="77777777" w:rsidR="00F53CB4" w:rsidRPr="006A1EC7" w:rsidRDefault="00F53CB4" w:rsidP="00AC2435">
            <w:pPr>
              <w:rPr>
                <w:sz w:val="20"/>
              </w:rPr>
            </w:pPr>
            <w:r w:rsidRPr="006A1EC7">
              <w:rPr>
                <w:sz w:val="20"/>
              </w:rPr>
              <w:t>2.373</w:t>
            </w:r>
          </w:p>
        </w:tc>
        <w:tc>
          <w:tcPr>
            <w:tcW w:w="2126" w:type="dxa"/>
            <w:shd w:val="clear" w:color="auto" w:fill="E7E6E6" w:themeFill="background2"/>
          </w:tcPr>
          <w:p w14:paraId="4ED16108" w14:textId="77777777" w:rsidR="00F53CB4" w:rsidRPr="006A1EC7" w:rsidRDefault="00F53CB4" w:rsidP="00AC2435">
            <w:pPr>
              <w:rPr>
                <w:sz w:val="20"/>
              </w:rPr>
            </w:pPr>
            <w:r w:rsidRPr="006A1EC7">
              <w:rPr>
                <w:sz w:val="20"/>
              </w:rPr>
              <w:t>.024</w:t>
            </w:r>
          </w:p>
        </w:tc>
      </w:tr>
      <w:tr w:rsidR="00F53CB4" w:rsidRPr="006A1EC7" w14:paraId="31481DBF" w14:textId="77777777" w:rsidTr="00AC2435">
        <w:tc>
          <w:tcPr>
            <w:tcW w:w="2125" w:type="dxa"/>
            <w:shd w:val="clear" w:color="auto" w:fill="E7E6E6" w:themeFill="background2"/>
          </w:tcPr>
          <w:p w14:paraId="5D07DF4C" w14:textId="77777777" w:rsidR="00F53CB4" w:rsidRPr="006A1EC7" w:rsidRDefault="00F53CB4" w:rsidP="00AC2435">
            <w:pPr>
              <w:rPr>
                <w:sz w:val="20"/>
              </w:rPr>
            </w:pPr>
            <w:r w:rsidRPr="006A1EC7">
              <w:rPr>
                <w:sz w:val="20"/>
              </w:rPr>
              <w:t>Care</w:t>
            </w:r>
          </w:p>
        </w:tc>
        <w:tc>
          <w:tcPr>
            <w:tcW w:w="2126" w:type="dxa"/>
            <w:shd w:val="clear" w:color="auto" w:fill="E7E6E6" w:themeFill="background2"/>
          </w:tcPr>
          <w:p w14:paraId="120E4399" w14:textId="77777777" w:rsidR="00F53CB4" w:rsidRPr="006A1EC7" w:rsidRDefault="00F53CB4" w:rsidP="00AC2435">
            <w:pPr>
              <w:rPr>
                <w:sz w:val="20"/>
              </w:rPr>
            </w:pPr>
            <w:r w:rsidRPr="006A1EC7">
              <w:rPr>
                <w:sz w:val="20"/>
              </w:rPr>
              <w:t>2</w:t>
            </w:r>
          </w:p>
        </w:tc>
        <w:tc>
          <w:tcPr>
            <w:tcW w:w="2125" w:type="dxa"/>
            <w:shd w:val="clear" w:color="auto" w:fill="E7E6E6" w:themeFill="background2"/>
          </w:tcPr>
          <w:p w14:paraId="48440804" w14:textId="77777777" w:rsidR="00F53CB4" w:rsidRPr="006A1EC7" w:rsidRDefault="00F53CB4" w:rsidP="00AC2435">
            <w:pPr>
              <w:rPr>
                <w:sz w:val="20"/>
              </w:rPr>
            </w:pPr>
            <w:r w:rsidRPr="006A1EC7">
              <w:rPr>
                <w:sz w:val="20"/>
              </w:rPr>
              <w:t>2</w:t>
            </w:r>
          </w:p>
        </w:tc>
        <w:tc>
          <w:tcPr>
            <w:tcW w:w="2126" w:type="dxa"/>
            <w:shd w:val="clear" w:color="auto" w:fill="E7E6E6" w:themeFill="background2"/>
          </w:tcPr>
          <w:p w14:paraId="74F46D92" w14:textId="77777777" w:rsidR="00F53CB4" w:rsidRPr="006A1EC7" w:rsidRDefault="00F53CB4" w:rsidP="00AC2435">
            <w:pPr>
              <w:rPr>
                <w:sz w:val="20"/>
              </w:rPr>
            </w:pPr>
            <w:r w:rsidRPr="006A1EC7">
              <w:rPr>
                <w:sz w:val="20"/>
              </w:rPr>
              <w:t>2</w:t>
            </w:r>
          </w:p>
        </w:tc>
        <w:tc>
          <w:tcPr>
            <w:tcW w:w="2125" w:type="dxa"/>
            <w:shd w:val="clear" w:color="auto" w:fill="E7E6E6" w:themeFill="background2"/>
          </w:tcPr>
          <w:p w14:paraId="601C7E5C" w14:textId="77777777" w:rsidR="00F53CB4" w:rsidRPr="006A1EC7" w:rsidRDefault="00F53CB4" w:rsidP="00AC2435">
            <w:pPr>
              <w:rPr>
                <w:sz w:val="20"/>
              </w:rPr>
            </w:pPr>
            <w:r w:rsidRPr="006A1EC7">
              <w:rPr>
                <w:sz w:val="20"/>
              </w:rPr>
              <w:t>1.9</w:t>
            </w:r>
          </w:p>
        </w:tc>
        <w:tc>
          <w:tcPr>
            <w:tcW w:w="2126" w:type="dxa"/>
            <w:shd w:val="clear" w:color="auto" w:fill="E7E6E6" w:themeFill="background2"/>
          </w:tcPr>
          <w:p w14:paraId="4028873C" w14:textId="77777777" w:rsidR="00F53CB4" w:rsidRPr="006A1EC7" w:rsidRDefault="00F53CB4" w:rsidP="00AC2435">
            <w:pPr>
              <w:rPr>
                <w:sz w:val="20"/>
              </w:rPr>
            </w:pPr>
            <w:r w:rsidRPr="006A1EC7">
              <w:rPr>
                <w:sz w:val="20"/>
              </w:rPr>
              <w:t>-1.797</w:t>
            </w:r>
          </w:p>
        </w:tc>
        <w:tc>
          <w:tcPr>
            <w:tcW w:w="2126" w:type="dxa"/>
            <w:shd w:val="clear" w:color="auto" w:fill="E7E6E6" w:themeFill="background2"/>
          </w:tcPr>
          <w:p w14:paraId="6DD8CD47" w14:textId="77777777" w:rsidR="00F53CB4" w:rsidRPr="006A1EC7" w:rsidRDefault="00F53CB4" w:rsidP="00AC2435">
            <w:pPr>
              <w:rPr>
                <w:sz w:val="20"/>
              </w:rPr>
            </w:pPr>
            <w:r w:rsidRPr="006A1EC7">
              <w:rPr>
                <w:sz w:val="20"/>
              </w:rPr>
              <w:t>.083</w:t>
            </w:r>
          </w:p>
        </w:tc>
      </w:tr>
      <w:tr w:rsidR="00F53CB4" w:rsidRPr="006A1EC7" w14:paraId="7933CFC5" w14:textId="77777777" w:rsidTr="00AC2435">
        <w:tc>
          <w:tcPr>
            <w:tcW w:w="2125" w:type="dxa"/>
            <w:shd w:val="clear" w:color="auto" w:fill="4472C4" w:themeFill="accent1"/>
          </w:tcPr>
          <w:p w14:paraId="36A9F317" w14:textId="77777777" w:rsidR="00F53CB4" w:rsidRPr="006A1EC7" w:rsidRDefault="00F53CB4" w:rsidP="00AC2435">
            <w:pPr>
              <w:rPr>
                <w:sz w:val="20"/>
              </w:rPr>
            </w:pPr>
            <w:r w:rsidRPr="006A1EC7">
              <w:rPr>
                <w:sz w:val="20"/>
              </w:rPr>
              <w:t>Total</w:t>
            </w:r>
          </w:p>
        </w:tc>
        <w:tc>
          <w:tcPr>
            <w:tcW w:w="2126" w:type="dxa"/>
            <w:shd w:val="clear" w:color="auto" w:fill="4472C4" w:themeFill="accent1"/>
          </w:tcPr>
          <w:p w14:paraId="30DF96DE" w14:textId="77777777" w:rsidR="00F53CB4" w:rsidRPr="006A1EC7" w:rsidRDefault="00F53CB4" w:rsidP="00AC2435">
            <w:pPr>
              <w:rPr>
                <w:sz w:val="20"/>
              </w:rPr>
            </w:pPr>
            <w:r w:rsidRPr="006A1EC7">
              <w:rPr>
                <w:sz w:val="20"/>
              </w:rPr>
              <w:t>40</w:t>
            </w:r>
          </w:p>
        </w:tc>
        <w:tc>
          <w:tcPr>
            <w:tcW w:w="2125" w:type="dxa"/>
            <w:shd w:val="clear" w:color="auto" w:fill="4472C4" w:themeFill="accent1"/>
          </w:tcPr>
          <w:p w14:paraId="0CAB9081" w14:textId="77777777" w:rsidR="00F53CB4" w:rsidRPr="006A1EC7" w:rsidRDefault="00F53CB4" w:rsidP="00AC2435">
            <w:pPr>
              <w:rPr>
                <w:sz w:val="20"/>
              </w:rPr>
            </w:pPr>
            <w:r w:rsidRPr="006A1EC7">
              <w:rPr>
                <w:sz w:val="20"/>
              </w:rPr>
              <w:t>42</w:t>
            </w:r>
          </w:p>
        </w:tc>
        <w:tc>
          <w:tcPr>
            <w:tcW w:w="2126" w:type="dxa"/>
            <w:shd w:val="clear" w:color="auto" w:fill="4472C4" w:themeFill="accent1"/>
          </w:tcPr>
          <w:p w14:paraId="2CD34DC7" w14:textId="77777777" w:rsidR="00F53CB4" w:rsidRPr="006A1EC7" w:rsidRDefault="00F53CB4" w:rsidP="00AC2435">
            <w:pPr>
              <w:rPr>
                <w:sz w:val="20"/>
              </w:rPr>
            </w:pPr>
            <w:r w:rsidRPr="006A1EC7">
              <w:rPr>
                <w:sz w:val="20"/>
              </w:rPr>
              <w:t>41</w:t>
            </w:r>
          </w:p>
        </w:tc>
        <w:tc>
          <w:tcPr>
            <w:tcW w:w="2125" w:type="dxa"/>
            <w:shd w:val="clear" w:color="auto" w:fill="4472C4" w:themeFill="accent1"/>
          </w:tcPr>
          <w:p w14:paraId="415B8583" w14:textId="77777777" w:rsidR="00F53CB4" w:rsidRPr="006A1EC7" w:rsidRDefault="00F53CB4" w:rsidP="00AC2435">
            <w:pPr>
              <w:rPr>
                <w:sz w:val="20"/>
              </w:rPr>
            </w:pPr>
            <w:r w:rsidRPr="006A1EC7">
              <w:rPr>
                <w:sz w:val="20"/>
              </w:rPr>
              <w:t>51.08</w:t>
            </w:r>
          </w:p>
        </w:tc>
        <w:tc>
          <w:tcPr>
            <w:tcW w:w="2126" w:type="dxa"/>
            <w:shd w:val="clear" w:color="auto" w:fill="4472C4" w:themeFill="accent1"/>
          </w:tcPr>
          <w:p w14:paraId="6F1DD199" w14:textId="77777777" w:rsidR="00F53CB4" w:rsidRPr="006A1EC7" w:rsidRDefault="00F53CB4" w:rsidP="00AC2435">
            <w:pPr>
              <w:rPr>
                <w:sz w:val="20"/>
              </w:rPr>
            </w:pPr>
            <w:r w:rsidRPr="006A1EC7">
              <w:rPr>
                <w:sz w:val="20"/>
              </w:rPr>
              <w:t>5.844</w:t>
            </w:r>
          </w:p>
        </w:tc>
        <w:tc>
          <w:tcPr>
            <w:tcW w:w="2126" w:type="dxa"/>
            <w:shd w:val="clear" w:color="auto" w:fill="4472C4" w:themeFill="accent1"/>
          </w:tcPr>
          <w:p w14:paraId="65FEC0B5" w14:textId="77777777" w:rsidR="00F53CB4" w:rsidRPr="006A1EC7" w:rsidRDefault="00F53CB4" w:rsidP="00AC2435">
            <w:pPr>
              <w:rPr>
                <w:sz w:val="20"/>
              </w:rPr>
            </w:pPr>
            <w:r w:rsidRPr="006A1EC7">
              <w:rPr>
                <w:sz w:val="20"/>
              </w:rPr>
              <w:t>p &lt;.001</w:t>
            </w:r>
          </w:p>
        </w:tc>
      </w:tr>
    </w:tbl>
    <w:p w14:paraId="53B6A79C" w14:textId="77777777" w:rsidR="00F53CB4" w:rsidRPr="006A1EC7" w:rsidRDefault="00F53CB4" w:rsidP="00F53CB4"/>
    <w:p w14:paraId="2148ED02" w14:textId="77777777" w:rsidR="00F53CB4" w:rsidRPr="006A1EC7" w:rsidRDefault="00F53CB4" w:rsidP="00F53CB4"/>
    <w:p w14:paraId="05B91755" w14:textId="77777777" w:rsidR="00F53CB4" w:rsidRPr="006A1EC7" w:rsidRDefault="00F53CB4" w:rsidP="00F53CB4">
      <w:pPr>
        <w:pStyle w:val="Caption"/>
        <w:keepNext/>
        <w:rPr>
          <w:sz w:val="24"/>
          <w:szCs w:val="24"/>
        </w:rPr>
      </w:pPr>
      <w:bookmarkStart w:id="252" w:name="_Toc40173047"/>
      <w:r w:rsidRPr="006A1EC7">
        <w:rPr>
          <w:sz w:val="24"/>
          <w:szCs w:val="24"/>
        </w:rPr>
        <w:lastRenderedPageBreak/>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23</w:t>
      </w:r>
      <w:r w:rsidRPr="006A1EC7">
        <w:rPr>
          <w:sz w:val="24"/>
          <w:szCs w:val="24"/>
        </w:rPr>
        <w:fldChar w:fldCharType="end"/>
      </w:r>
      <w:r w:rsidRPr="006A1EC7">
        <w:rPr>
          <w:sz w:val="24"/>
          <w:szCs w:val="24"/>
        </w:rPr>
        <w:t>: Case Study 4: Fineen</w:t>
      </w:r>
      <w:bookmarkEnd w:id="252"/>
    </w:p>
    <w:tbl>
      <w:tblPr>
        <w:tblStyle w:val="TableGrid"/>
        <w:tblW w:w="0" w:type="auto"/>
        <w:tblLook w:val="04A0" w:firstRow="1" w:lastRow="0" w:firstColumn="1" w:lastColumn="0" w:noHBand="0" w:noVBand="1"/>
      </w:tblPr>
      <w:tblGrid>
        <w:gridCol w:w="1971"/>
        <w:gridCol w:w="1865"/>
        <w:gridCol w:w="1869"/>
        <w:gridCol w:w="1919"/>
        <w:gridCol w:w="1909"/>
        <w:gridCol w:w="1936"/>
        <w:gridCol w:w="1959"/>
      </w:tblGrid>
      <w:tr w:rsidR="00F53CB4" w:rsidRPr="006A1EC7" w14:paraId="6951AD96" w14:textId="77777777" w:rsidTr="00AC2435">
        <w:trPr>
          <w:trHeight w:val="132"/>
        </w:trPr>
        <w:tc>
          <w:tcPr>
            <w:tcW w:w="2125" w:type="dxa"/>
          </w:tcPr>
          <w:p w14:paraId="28C0D4CC" w14:textId="77777777" w:rsidR="00F53CB4" w:rsidRPr="006A1EC7" w:rsidRDefault="00F53CB4" w:rsidP="00AC2435">
            <w:pPr>
              <w:rPr>
                <w:sz w:val="18"/>
              </w:rPr>
            </w:pPr>
            <w:r w:rsidRPr="006A1EC7">
              <w:rPr>
                <w:sz w:val="18"/>
              </w:rPr>
              <w:t>Domain</w:t>
            </w:r>
          </w:p>
        </w:tc>
        <w:tc>
          <w:tcPr>
            <w:tcW w:w="2126" w:type="dxa"/>
          </w:tcPr>
          <w:p w14:paraId="08B06370" w14:textId="77777777" w:rsidR="00F53CB4" w:rsidRPr="006A1EC7" w:rsidRDefault="00F53CB4" w:rsidP="00AC2435">
            <w:pPr>
              <w:rPr>
                <w:sz w:val="18"/>
              </w:rPr>
            </w:pPr>
            <w:r w:rsidRPr="006A1EC7">
              <w:rPr>
                <w:sz w:val="18"/>
              </w:rPr>
              <w:t>KV</w:t>
            </w:r>
          </w:p>
        </w:tc>
        <w:tc>
          <w:tcPr>
            <w:tcW w:w="2125" w:type="dxa"/>
          </w:tcPr>
          <w:p w14:paraId="71E3848B" w14:textId="77777777" w:rsidR="00F53CB4" w:rsidRPr="006A1EC7" w:rsidRDefault="00F53CB4" w:rsidP="00AC2435">
            <w:pPr>
              <w:rPr>
                <w:sz w:val="18"/>
              </w:rPr>
            </w:pPr>
            <w:r w:rsidRPr="006A1EC7">
              <w:rPr>
                <w:sz w:val="18"/>
              </w:rPr>
              <w:t>AM</w:t>
            </w:r>
          </w:p>
        </w:tc>
        <w:tc>
          <w:tcPr>
            <w:tcW w:w="2126" w:type="dxa"/>
          </w:tcPr>
          <w:p w14:paraId="4060C5ED" w14:textId="77777777" w:rsidR="00F53CB4" w:rsidRPr="006A1EC7" w:rsidRDefault="00F53CB4" w:rsidP="00AC2435">
            <w:pPr>
              <w:rPr>
                <w:sz w:val="18"/>
              </w:rPr>
            </w:pPr>
            <w:r w:rsidRPr="006A1EC7">
              <w:rPr>
                <w:sz w:val="18"/>
              </w:rPr>
              <w:t xml:space="preserve">KV/AM mean </w:t>
            </w:r>
          </w:p>
        </w:tc>
        <w:tc>
          <w:tcPr>
            <w:tcW w:w="2125" w:type="dxa"/>
          </w:tcPr>
          <w:p w14:paraId="5B95F1A2" w14:textId="77777777" w:rsidR="00F53CB4" w:rsidRPr="006A1EC7" w:rsidRDefault="00F53CB4" w:rsidP="00AC2435">
            <w:pPr>
              <w:rPr>
                <w:sz w:val="18"/>
              </w:rPr>
            </w:pPr>
            <w:r w:rsidRPr="006A1EC7">
              <w:rPr>
                <w:sz w:val="18"/>
              </w:rPr>
              <w:t>Sample mean</w:t>
            </w:r>
          </w:p>
        </w:tc>
        <w:tc>
          <w:tcPr>
            <w:tcW w:w="2126" w:type="dxa"/>
          </w:tcPr>
          <w:p w14:paraId="2263BA35" w14:textId="77777777" w:rsidR="00F53CB4" w:rsidRPr="006A1EC7" w:rsidRDefault="00F53CB4" w:rsidP="00AC2435">
            <w:pPr>
              <w:rPr>
                <w:sz w:val="18"/>
              </w:rPr>
            </w:pPr>
            <w:r w:rsidRPr="006A1EC7">
              <w:rPr>
                <w:sz w:val="18"/>
              </w:rPr>
              <w:t>t-value</w:t>
            </w:r>
          </w:p>
        </w:tc>
        <w:tc>
          <w:tcPr>
            <w:tcW w:w="2126" w:type="dxa"/>
          </w:tcPr>
          <w:p w14:paraId="66EB3B60" w14:textId="77777777" w:rsidR="00F53CB4" w:rsidRPr="006A1EC7" w:rsidRDefault="00F53CB4" w:rsidP="00AC2435">
            <w:pPr>
              <w:rPr>
                <w:sz w:val="18"/>
              </w:rPr>
            </w:pPr>
            <w:r w:rsidRPr="006A1EC7">
              <w:rPr>
                <w:sz w:val="18"/>
              </w:rPr>
              <w:t xml:space="preserve">p-value </w:t>
            </w:r>
            <w:r w:rsidRPr="006A1EC7">
              <w:rPr>
                <w:sz w:val="18"/>
              </w:rPr>
              <w:br/>
              <w:t>(Bonferroni correction; significant p now set at 001)</w:t>
            </w:r>
          </w:p>
        </w:tc>
      </w:tr>
      <w:tr w:rsidR="00F53CB4" w:rsidRPr="006A1EC7" w14:paraId="60C82145" w14:textId="77777777" w:rsidTr="00AC2435">
        <w:tc>
          <w:tcPr>
            <w:tcW w:w="2125" w:type="dxa"/>
            <w:shd w:val="clear" w:color="auto" w:fill="4472C4" w:themeFill="accent1"/>
          </w:tcPr>
          <w:p w14:paraId="7D7D39EA" w14:textId="77777777" w:rsidR="00F53CB4" w:rsidRPr="006A1EC7" w:rsidRDefault="00F53CB4" w:rsidP="00AC2435">
            <w:pPr>
              <w:rPr>
                <w:sz w:val="18"/>
              </w:rPr>
            </w:pPr>
            <w:r w:rsidRPr="006A1EC7">
              <w:rPr>
                <w:sz w:val="18"/>
              </w:rPr>
              <w:t>Face</w:t>
            </w:r>
          </w:p>
        </w:tc>
        <w:tc>
          <w:tcPr>
            <w:tcW w:w="2126" w:type="dxa"/>
            <w:shd w:val="clear" w:color="auto" w:fill="4472C4" w:themeFill="accent1"/>
          </w:tcPr>
          <w:p w14:paraId="4823D1D3" w14:textId="77777777" w:rsidR="00F53CB4" w:rsidRPr="006A1EC7" w:rsidRDefault="00F53CB4" w:rsidP="00AC2435">
            <w:pPr>
              <w:rPr>
                <w:sz w:val="18"/>
              </w:rPr>
            </w:pPr>
            <w:r w:rsidRPr="006A1EC7">
              <w:rPr>
                <w:sz w:val="18"/>
              </w:rPr>
              <w:t>2</w:t>
            </w:r>
          </w:p>
        </w:tc>
        <w:tc>
          <w:tcPr>
            <w:tcW w:w="2125" w:type="dxa"/>
            <w:shd w:val="clear" w:color="auto" w:fill="4472C4" w:themeFill="accent1"/>
          </w:tcPr>
          <w:p w14:paraId="21356365" w14:textId="77777777" w:rsidR="00F53CB4" w:rsidRPr="006A1EC7" w:rsidRDefault="00F53CB4" w:rsidP="00AC2435">
            <w:pPr>
              <w:rPr>
                <w:sz w:val="18"/>
              </w:rPr>
            </w:pPr>
            <w:r w:rsidRPr="006A1EC7">
              <w:rPr>
                <w:sz w:val="18"/>
              </w:rPr>
              <w:t>1</w:t>
            </w:r>
          </w:p>
        </w:tc>
        <w:tc>
          <w:tcPr>
            <w:tcW w:w="2126" w:type="dxa"/>
            <w:shd w:val="clear" w:color="auto" w:fill="4472C4" w:themeFill="accent1"/>
          </w:tcPr>
          <w:p w14:paraId="1832E812" w14:textId="77777777" w:rsidR="00F53CB4" w:rsidRPr="006A1EC7" w:rsidRDefault="00F53CB4" w:rsidP="00AC2435">
            <w:pPr>
              <w:rPr>
                <w:sz w:val="18"/>
              </w:rPr>
            </w:pPr>
            <w:r w:rsidRPr="006A1EC7">
              <w:rPr>
                <w:sz w:val="18"/>
              </w:rPr>
              <w:t>1.5</w:t>
            </w:r>
          </w:p>
        </w:tc>
        <w:tc>
          <w:tcPr>
            <w:tcW w:w="2125" w:type="dxa"/>
            <w:shd w:val="clear" w:color="auto" w:fill="4472C4" w:themeFill="accent1"/>
          </w:tcPr>
          <w:p w14:paraId="73FDADDD" w14:textId="77777777" w:rsidR="00F53CB4" w:rsidRPr="006A1EC7" w:rsidRDefault="00F53CB4" w:rsidP="00AC2435">
            <w:pPr>
              <w:rPr>
                <w:sz w:val="18"/>
              </w:rPr>
            </w:pPr>
            <w:r w:rsidRPr="006A1EC7">
              <w:rPr>
                <w:sz w:val="18"/>
              </w:rPr>
              <w:t>2.31</w:t>
            </w:r>
          </w:p>
        </w:tc>
        <w:tc>
          <w:tcPr>
            <w:tcW w:w="2126" w:type="dxa"/>
            <w:shd w:val="clear" w:color="auto" w:fill="4472C4" w:themeFill="accent1"/>
          </w:tcPr>
          <w:p w14:paraId="6603E162" w14:textId="77777777" w:rsidR="00F53CB4" w:rsidRPr="006A1EC7" w:rsidRDefault="00F53CB4" w:rsidP="00AC2435">
            <w:pPr>
              <w:rPr>
                <w:sz w:val="18"/>
              </w:rPr>
            </w:pPr>
            <w:r w:rsidRPr="006A1EC7">
              <w:rPr>
                <w:sz w:val="18"/>
              </w:rPr>
              <w:t>5.881</w:t>
            </w:r>
          </w:p>
        </w:tc>
        <w:tc>
          <w:tcPr>
            <w:tcW w:w="2126" w:type="dxa"/>
            <w:shd w:val="clear" w:color="auto" w:fill="4472C4" w:themeFill="accent1"/>
          </w:tcPr>
          <w:p w14:paraId="3DEA4E3C" w14:textId="77777777" w:rsidR="00F53CB4" w:rsidRPr="006A1EC7" w:rsidRDefault="00F53CB4" w:rsidP="00AC2435">
            <w:pPr>
              <w:rPr>
                <w:sz w:val="18"/>
              </w:rPr>
            </w:pPr>
            <w:r w:rsidRPr="006A1EC7">
              <w:rPr>
                <w:sz w:val="18"/>
              </w:rPr>
              <w:t>. p &lt;.001</w:t>
            </w:r>
          </w:p>
        </w:tc>
      </w:tr>
      <w:tr w:rsidR="00F53CB4" w:rsidRPr="006A1EC7" w14:paraId="193BE34C" w14:textId="77777777" w:rsidTr="00AC2435">
        <w:tc>
          <w:tcPr>
            <w:tcW w:w="2125" w:type="dxa"/>
            <w:shd w:val="clear" w:color="auto" w:fill="E7E6E6" w:themeFill="background2"/>
          </w:tcPr>
          <w:p w14:paraId="78B14D39" w14:textId="77777777" w:rsidR="00F53CB4" w:rsidRPr="006A1EC7" w:rsidRDefault="00F53CB4" w:rsidP="00AC2435">
            <w:pPr>
              <w:rPr>
                <w:sz w:val="18"/>
              </w:rPr>
            </w:pPr>
            <w:r w:rsidRPr="006A1EC7">
              <w:rPr>
                <w:sz w:val="18"/>
              </w:rPr>
              <w:t>Epilepsy</w:t>
            </w:r>
          </w:p>
        </w:tc>
        <w:tc>
          <w:tcPr>
            <w:tcW w:w="2126" w:type="dxa"/>
            <w:shd w:val="clear" w:color="auto" w:fill="E7E6E6" w:themeFill="background2"/>
          </w:tcPr>
          <w:p w14:paraId="44EC78E5" w14:textId="77777777" w:rsidR="00F53CB4" w:rsidRPr="006A1EC7" w:rsidRDefault="00F53CB4" w:rsidP="00AC2435">
            <w:pPr>
              <w:rPr>
                <w:sz w:val="18"/>
              </w:rPr>
            </w:pPr>
            <w:r w:rsidRPr="006A1EC7">
              <w:rPr>
                <w:sz w:val="18"/>
              </w:rPr>
              <w:t>0</w:t>
            </w:r>
          </w:p>
        </w:tc>
        <w:tc>
          <w:tcPr>
            <w:tcW w:w="2125" w:type="dxa"/>
            <w:shd w:val="clear" w:color="auto" w:fill="E7E6E6" w:themeFill="background2"/>
          </w:tcPr>
          <w:p w14:paraId="3EE6C654" w14:textId="77777777" w:rsidR="00F53CB4" w:rsidRPr="006A1EC7" w:rsidRDefault="00F53CB4" w:rsidP="00AC2435">
            <w:pPr>
              <w:rPr>
                <w:sz w:val="18"/>
              </w:rPr>
            </w:pPr>
            <w:r w:rsidRPr="006A1EC7">
              <w:rPr>
                <w:sz w:val="18"/>
              </w:rPr>
              <w:t>0</w:t>
            </w:r>
          </w:p>
        </w:tc>
        <w:tc>
          <w:tcPr>
            <w:tcW w:w="2126" w:type="dxa"/>
            <w:shd w:val="clear" w:color="auto" w:fill="E7E6E6" w:themeFill="background2"/>
          </w:tcPr>
          <w:p w14:paraId="365355E3" w14:textId="77777777" w:rsidR="00F53CB4" w:rsidRPr="006A1EC7" w:rsidRDefault="00F53CB4" w:rsidP="00AC2435">
            <w:pPr>
              <w:rPr>
                <w:sz w:val="18"/>
              </w:rPr>
            </w:pPr>
            <w:r w:rsidRPr="006A1EC7">
              <w:rPr>
                <w:sz w:val="18"/>
              </w:rPr>
              <w:t>0</w:t>
            </w:r>
          </w:p>
        </w:tc>
        <w:tc>
          <w:tcPr>
            <w:tcW w:w="2125" w:type="dxa"/>
            <w:shd w:val="clear" w:color="auto" w:fill="E7E6E6" w:themeFill="background2"/>
          </w:tcPr>
          <w:p w14:paraId="3612C958" w14:textId="77777777" w:rsidR="00F53CB4" w:rsidRPr="006A1EC7" w:rsidRDefault="00F53CB4" w:rsidP="00AC2435">
            <w:pPr>
              <w:rPr>
                <w:sz w:val="18"/>
              </w:rPr>
            </w:pPr>
            <w:r w:rsidRPr="006A1EC7">
              <w:rPr>
                <w:sz w:val="18"/>
              </w:rPr>
              <w:t>0</w:t>
            </w:r>
          </w:p>
        </w:tc>
        <w:tc>
          <w:tcPr>
            <w:tcW w:w="2126" w:type="dxa"/>
            <w:shd w:val="clear" w:color="auto" w:fill="E7E6E6" w:themeFill="background2"/>
          </w:tcPr>
          <w:p w14:paraId="09C313AF" w14:textId="77777777" w:rsidR="00F53CB4" w:rsidRPr="006A1EC7" w:rsidRDefault="00F53CB4" w:rsidP="00AC2435">
            <w:pPr>
              <w:rPr>
                <w:sz w:val="18"/>
              </w:rPr>
            </w:pPr>
            <w:r w:rsidRPr="006A1EC7">
              <w:rPr>
                <w:sz w:val="18"/>
              </w:rPr>
              <w:t>-</w:t>
            </w:r>
          </w:p>
        </w:tc>
        <w:tc>
          <w:tcPr>
            <w:tcW w:w="2126" w:type="dxa"/>
            <w:shd w:val="clear" w:color="auto" w:fill="E7E6E6" w:themeFill="background2"/>
          </w:tcPr>
          <w:p w14:paraId="1BD6C478" w14:textId="77777777" w:rsidR="00F53CB4" w:rsidRPr="006A1EC7" w:rsidRDefault="00F53CB4" w:rsidP="00AC2435">
            <w:pPr>
              <w:rPr>
                <w:sz w:val="18"/>
              </w:rPr>
            </w:pPr>
            <w:r w:rsidRPr="006A1EC7">
              <w:rPr>
                <w:sz w:val="18"/>
              </w:rPr>
              <w:t>-</w:t>
            </w:r>
          </w:p>
        </w:tc>
      </w:tr>
      <w:tr w:rsidR="00F53CB4" w:rsidRPr="006A1EC7" w14:paraId="46B7C3E1" w14:textId="77777777" w:rsidTr="00AC2435">
        <w:tc>
          <w:tcPr>
            <w:tcW w:w="2125" w:type="dxa"/>
            <w:shd w:val="clear" w:color="auto" w:fill="E7E6E6" w:themeFill="background2"/>
          </w:tcPr>
          <w:p w14:paraId="298B9AD3" w14:textId="77777777" w:rsidR="00F53CB4" w:rsidRPr="006A1EC7" w:rsidRDefault="00F53CB4" w:rsidP="00AC2435">
            <w:pPr>
              <w:rPr>
                <w:sz w:val="18"/>
              </w:rPr>
            </w:pPr>
            <w:r w:rsidRPr="006A1EC7">
              <w:rPr>
                <w:sz w:val="18"/>
              </w:rPr>
              <w:t>Gastro</w:t>
            </w:r>
          </w:p>
        </w:tc>
        <w:tc>
          <w:tcPr>
            <w:tcW w:w="2126" w:type="dxa"/>
            <w:shd w:val="clear" w:color="auto" w:fill="E7E6E6" w:themeFill="background2"/>
          </w:tcPr>
          <w:p w14:paraId="6BBF5DAD" w14:textId="77777777" w:rsidR="00F53CB4" w:rsidRPr="006A1EC7" w:rsidRDefault="00F53CB4" w:rsidP="00AC2435">
            <w:pPr>
              <w:rPr>
                <w:sz w:val="18"/>
              </w:rPr>
            </w:pPr>
            <w:r w:rsidRPr="006A1EC7">
              <w:rPr>
                <w:sz w:val="18"/>
              </w:rPr>
              <w:t>6</w:t>
            </w:r>
          </w:p>
        </w:tc>
        <w:tc>
          <w:tcPr>
            <w:tcW w:w="2125" w:type="dxa"/>
            <w:shd w:val="clear" w:color="auto" w:fill="E7E6E6" w:themeFill="background2"/>
          </w:tcPr>
          <w:p w14:paraId="2779AB90" w14:textId="77777777" w:rsidR="00F53CB4" w:rsidRPr="006A1EC7" w:rsidRDefault="00F53CB4" w:rsidP="00AC2435">
            <w:pPr>
              <w:rPr>
                <w:sz w:val="18"/>
              </w:rPr>
            </w:pPr>
            <w:r w:rsidRPr="006A1EC7">
              <w:rPr>
                <w:sz w:val="18"/>
              </w:rPr>
              <w:t>3</w:t>
            </w:r>
          </w:p>
        </w:tc>
        <w:tc>
          <w:tcPr>
            <w:tcW w:w="2126" w:type="dxa"/>
            <w:shd w:val="clear" w:color="auto" w:fill="E7E6E6" w:themeFill="background2"/>
          </w:tcPr>
          <w:p w14:paraId="01B77494" w14:textId="77777777" w:rsidR="00F53CB4" w:rsidRPr="006A1EC7" w:rsidRDefault="00F53CB4" w:rsidP="00AC2435">
            <w:pPr>
              <w:rPr>
                <w:sz w:val="18"/>
              </w:rPr>
            </w:pPr>
            <w:r w:rsidRPr="006A1EC7">
              <w:rPr>
                <w:sz w:val="18"/>
              </w:rPr>
              <w:t>4.5</w:t>
            </w:r>
          </w:p>
        </w:tc>
        <w:tc>
          <w:tcPr>
            <w:tcW w:w="2125" w:type="dxa"/>
            <w:shd w:val="clear" w:color="auto" w:fill="E7E6E6" w:themeFill="background2"/>
          </w:tcPr>
          <w:p w14:paraId="76000D41" w14:textId="77777777" w:rsidR="00F53CB4" w:rsidRPr="006A1EC7" w:rsidRDefault="00F53CB4" w:rsidP="00AC2435">
            <w:pPr>
              <w:rPr>
                <w:sz w:val="18"/>
              </w:rPr>
            </w:pPr>
            <w:r w:rsidRPr="006A1EC7">
              <w:rPr>
                <w:sz w:val="18"/>
              </w:rPr>
              <w:t>4.32</w:t>
            </w:r>
          </w:p>
        </w:tc>
        <w:tc>
          <w:tcPr>
            <w:tcW w:w="2126" w:type="dxa"/>
            <w:shd w:val="clear" w:color="auto" w:fill="E7E6E6" w:themeFill="background2"/>
          </w:tcPr>
          <w:p w14:paraId="7B097F5B" w14:textId="77777777" w:rsidR="00F53CB4" w:rsidRPr="006A1EC7" w:rsidRDefault="00F53CB4" w:rsidP="00AC2435">
            <w:pPr>
              <w:rPr>
                <w:sz w:val="18"/>
              </w:rPr>
            </w:pPr>
            <w:r w:rsidRPr="006A1EC7">
              <w:rPr>
                <w:sz w:val="18"/>
              </w:rPr>
              <w:t>-.675</w:t>
            </w:r>
          </w:p>
        </w:tc>
        <w:tc>
          <w:tcPr>
            <w:tcW w:w="2126" w:type="dxa"/>
            <w:shd w:val="clear" w:color="auto" w:fill="E7E6E6" w:themeFill="background2"/>
          </w:tcPr>
          <w:p w14:paraId="3667C9DC" w14:textId="77777777" w:rsidR="00F53CB4" w:rsidRPr="006A1EC7" w:rsidRDefault="00F53CB4" w:rsidP="00AC2435">
            <w:pPr>
              <w:rPr>
                <w:sz w:val="18"/>
              </w:rPr>
            </w:pPr>
            <w:r w:rsidRPr="006A1EC7">
              <w:rPr>
                <w:sz w:val="18"/>
              </w:rPr>
              <w:t>.504</w:t>
            </w:r>
          </w:p>
        </w:tc>
      </w:tr>
      <w:tr w:rsidR="00F53CB4" w:rsidRPr="006A1EC7" w14:paraId="50362802" w14:textId="77777777" w:rsidTr="00AC2435">
        <w:tc>
          <w:tcPr>
            <w:tcW w:w="2125" w:type="dxa"/>
            <w:shd w:val="clear" w:color="auto" w:fill="4472C4" w:themeFill="accent1"/>
          </w:tcPr>
          <w:p w14:paraId="12E2691B" w14:textId="77777777" w:rsidR="00F53CB4" w:rsidRPr="006A1EC7" w:rsidRDefault="00F53CB4" w:rsidP="00AC2435">
            <w:pPr>
              <w:rPr>
                <w:sz w:val="18"/>
              </w:rPr>
            </w:pPr>
            <w:r w:rsidRPr="006A1EC7">
              <w:rPr>
                <w:sz w:val="18"/>
              </w:rPr>
              <w:t>Cardio &amp; respiratory</w:t>
            </w:r>
          </w:p>
        </w:tc>
        <w:tc>
          <w:tcPr>
            <w:tcW w:w="2126" w:type="dxa"/>
            <w:shd w:val="clear" w:color="auto" w:fill="4472C4" w:themeFill="accent1"/>
          </w:tcPr>
          <w:p w14:paraId="12E6E689" w14:textId="77777777" w:rsidR="00F53CB4" w:rsidRPr="006A1EC7" w:rsidRDefault="00F53CB4" w:rsidP="00AC2435">
            <w:pPr>
              <w:rPr>
                <w:sz w:val="18"/>
              </w:rPr>
            </w:pPr>
            <w:r w:rsidRPr="006A1EC7">
              <w:rPr>
                <w:sz w:val="18"/>
              </w:rPr>
              <w:t>3</w:t>
            </w:r>
          </w:p>
        </w:tc>
        <w:tc>
          <w:tcPr>
            <w:tcW w:w="2125" w:type="dxa"/>
            <w:shd w:val="clear" w:color="auto" w:fill="4472C4" w:themeFill="accent1"/>
          </w:tcPr>
          <w:p w14:paraId="3F26D250" w14:textId="77777777" w:rsidR="00F53CB4" w:rsidRPr="006A1EC7" w:rsidRDefault="00F53CB4" w:rsidP="00AC2435">
            <w:pPr>
              <w:rPr>
                <w:sz w:val="18"/>
              </w:rPr>
            </w:pPr>
            <w:r w:rsidRPr="006A1EC7">
              <w:rPr>
                <w:sz w:val="18"/>
              </w:rPr>
              <w:t>2</w:t>
            </w:r>
          </w:p>
        </w:tc>
        <w:tc>
          <w:tcPr>
            <w:tcW w:w="2126" w:type="dxa"/>
            <w:shd w:val="clear" w:color="auto" w:fill="4472C4" w:themeFill="accent1"/>
          </w:tcPr>
          <w:p w14:paraId="4F5F17E9" w14:textId="77777777" w:rsidR="00F53CB4" w:rsidRPr="006A1EC7" w:rsidRDefault="00F53CB4" w:rsidP="00AC2435">
            <w:pPr>
              <w:rPr>
                <w:sz w:val="18"/>
              </w:rPr>
            </w:pPr>
            <w:r w:rsidRPr="006A1EC7">
              <w:rPr>
                <w:sz w:val="18"/>
              </w:rPr>
              <w:t>2.5</w:t>
            </w:r>
          </w:p>
        </w:tc>
        <w:tc>
          <w:tcPr>
            <w:tcW w:w="2125" w:type="dxa"/>
            <w:shd w:val="clear" w:color="auto" w:fill="4472C4" w:themeFill="accent1"/>
          </w:tcPr>
          <w:p w14:paraId="0E251F1D" w14:textId="77777777" w:rsidR="00F53CB4" w:rsidRPr="006A1EC7" w:rsidRDefault="00F53CB4" w:rsidP="00AC2435">
            <w:pPr>
              <w:rPr>
                <w:sz w:val="18"/>
              </w:rPr>
            </w:pPr>
            <w:r w:rsidRPr="006A1EC7">
              <w:rPr>
                <w:sz w:val="18"/>
              </w:rPr>
              <w:t>4.46</w:t>
            </w:r>
          </w:p>
        </w:tc>
        <w:tc>
          <w:tcPr>
            <w:tcW w:w="2126" w:type="dxa"/>
            <w:shd w:val="clear" w:color="auto" w:fill="4472C4" w:themeFill="accent1"/>
          </w:tcPr>
          <w:p w14:paraId="41274A5E" w14:textId="77777777" w:rsidR="00F53CB4" w:rsidRPr="006A1EC7" w:rsidRDefault="00F53CB4" w:rsidP="00AC2435">
            <w:pPr>
              <w:rPr>
                <w:sz w:val="18"/>
              </w:rPr>
            </w:pPr>
            <w:r w:rsidRPr="006A1EC7">
              <w:rPr>
                <w:sz w:val="18"/>
              </w:rPr>
              <w:t>15.536</w:t>
            </w:r>
          </w:p>
        </w:tc>
        <w:tc>
          <w:tcPr>
            <w:tcW w:w="2126" w:type="dxa"/>
            <w:shd w:val="clear" w:color="auto" w:fill="4472C4" w:themeFill="accent1"/>
          </w:tcPr>
          <w:p w14:paraId="1B5CBFC8" w14:textId="77777777" w:rsidR="00F53CB4" w:rsidRPr="006A1EC7" w:rsidRDefault="00F53CB4" w:rsidP="00AC2435">
            <w:pPr>
              <w:rPr>
                <w:sz w:val="18"/>
              </w:rPr>
            </w:pPr>
            <w:r w:rsidRPr="006A1EC7">
              <w:rPr>
                <w:sz w:val="18"/>
              </w:rPr>
              <w:t>p &lt;.001</w:t>
            </w:r>
          </w:p>
        </w:tc>
      </w:tr>
      <w:tr w:rsidR="00F53CB4" w:rsidRPr="006A1EC7" w14:paraId="79674DE3" w14:textId="77777777" w:rsidTr="00AC2435">
        <w:tc>
          <w:tcPr>
            <w:tcW w:w="2125" w:type="dxa"/>
            <w:shd w:val="clear" w:color="auto" w:fill="E7E6E6" w:themeFill="background2"/>
          </w:tcPr>
          <w:p w14:paraId="48A9B216" w14:textId="77777777" w:rsidR="00F53CB4" w:rsidRPr="006A1EC7" w:rsidRDefault="00F53CB4" w:rsidP="00AC2435">
            <w:pPr>
              <w:rPr>
                <w:sz w:val="18"/>
              </w:rPr>
            </w:pPr>
            <w:r w:rsidRPr="006A1EC7">
              <w:rPr>
                <w:sz w:val="18"/>
              </w:rPr>
              <w:t>Central Nervous System</w:t>
            </w:r>
          </w:p>
        </w:tc>
        <w:tc>
          <w:tcPr>
            <w:tcW w:w="2126" w:type="dxa"/>
            <w:shd w:val="clear" w:color="auto" w:fill="E7E6E6" w:themeFill="background2"/>
          </w:tcPr>
          <w:p w14:paraId="3121DC45" w14:textId="77777777" w:rsidR="00F53CB4" w:rsidRPr="006A1EC7" w:rsidRDefault="00F53CB4" w:rsidP="00AC2435">
            <w:pPr>
              <w:rPr>
                <w:sz w:val="18"/>
              </w:rPr>
            </w:pPr>
            <w:r w:rsidRPr="006A1EC7">
              <w:rPr>
                <w:sz w:val="18"/>
              </w:rPr>
              <w:t>5</w:t>
            </w:r>
          </w:p>
        </w:tc>
        <w:tc>
          <w:tcPr>
            <w:tcW w:w="2125" w:type="dxa"/>
            <w:shd w:val="clear" w:color="auto" w:fill="E7E6E6" w:themeFill="background2"/>
          </w:tcPr>
          <w:p w14:paraId="7B0C1A94" w14:textId="77777777" w:rsidR="00F53CB4" w:rsidRPr="006A1EC7" w:rsidRDefault="00F53CB4" w:rsidP="00AC2435">
            <w:pPr>
              <w:rPr>
                <w:sz w:val="18"/>
              </w:rPr>
            </w:pPr>
            <w:r w:rsidRPr="006A1EC7">
              <w:rPr>
                <w:sz w:val="18"/>
              </w:rPr>
              <w:t>4</w:t>
            </w:r>
          </w:p>
        </w:tc>
        <w:tc>
          <w:tcPr>
            <w:tcW w:w="2126" w:type="dxa"/>
            <w:shd w:val="clear" w:color="auto" w:fill="E7E6E6" w:themeFill="background2"/>
          </w:tcPr>
          <w:p w14:paraId="1A64A5F7" w14:textId="77777777" w:rsidR="00F53CB4" w:rsidRPr="006A1EC7" w:rsidRDefault="00F53CB4" w:rsidP="00AC2435">
            <w:pPr>
              <w:rPr>
                <w:sz w:val="18"/>
              </w:rPr>
            </w:pPr>
            <w:r w:rsidRPr="006A1EC7">
              <w:rPr>
                <w:sz w:val="18"/>
              </w:rPr>
              <w:t>4.5</w:t>
            </w:r>
          </w:p>
        </w:tc>
        <w:tc>
          <w:tcPr>
            <w:tcW w:w="2125" w:type="dxa"/>
            <w:shd w:val="clear" w:color="auto" w:fill="E7E6E6" w:themeFill="background2"/>
          </w:tcPr>
          <w:p w14:paraId="223FB47F" w14:textId="77777777" w:rsidR="00F53CB4" w:rsidRPr="006A1EC7" w:rsidRDefault="00F53CB4" w:rsidP="00AC2435">
            <w:pPr>
              <w:rPr>
                <w:sz w:val="18"/>
              </w:rPr>
            </w:pPr>
            <w:r w:rsidRPr="006A1EC7">
              <w:rPr>
                <w:sz w:val="18"/>
              </w:rPr>
              <w:t>4.46</w:t>
            </w:r>
          </w:p>
        </w:tc>
        <w:tc>
          <w:tcPr>
            <w:tcW w:w="2126" w:type="dxa"/>
            <w:shd w:val="clear" w:color="auto" w:fill="E7E6E6" w:themeFill="background2"/>
          </w:tcPr>
          <w:p w14:paraId="00FC35B8" w14:textId="77777777" w:rsidR="00F53CB4" w:rsidRPr="006A1EC7" w:rsidRDefault="00F53CB4" w:rsidP="00AC2435">
            <w:pPr>
              <w:rPr>
                <w:sz w:val="18"/>
              </w:rPr>
            </w:pPr>
            <w:r w:rsidRPr="006A1EC7">
              <w:rPr>
                <w:sz w:val="18"/>
              </w:rPr>
              <w:t>-.243</w:t>
            </w:r>
          </w:p>
        </w:tc>
        <w:tc>
          <w:tcPr>
            <w:tcW w:w="2126" w:type="dxa"/>
            <w:shd w:val="clear" w:color="auto" w:fill="E7E6E6" w:themeFill="background2"/>
          </w:tcPr>
          <w:p w14:paraId="66A5958E" w14:textId="77777777" w:rsidR="00F53CB4" w:rsidRPr="006A1EC7" w:rsidRDefault="00F53CB4" w:rsidP="00AC2435">
            <w:pPr>
              <w:rPr>
                <w:sz w:val="18"/>
              </w:rPr>
            </w:pPr>
            <w:r w:rsidRPr="006A1EC7">
              <w:rPr>
                <w:sz w:val="18"/>
              </w:rPr>
              <w:t>.810</w:t>
            </w:r>
          </w:p>
        </w:tc>
      </w:tr>
      <w:tr w:rsidR="00F53CB4" w:rsidRPr="006A1EC7" w14:paraId="089EB5F3" w14:textId="77777777" w:rsidTr="00AC2435">
        <w:tc>
          <w:tcPr>
            <w:tcW w:w="2125" w:type="dxa"/>
            <w:shd w:val="clear" w:color="auto" w:fill="E7E6E6" w:themeFill="background2"/>
          </w:tcPr>
          <w:p w14:paraId="0B23F8F3" w14:textId="77777777" w:rsidR="00F53CB4" w:rsidRPr="006A1EC7" w:rsidRDefault="00F53CB4" w:rsidP="00AC2435">
            <w:pPr>
              <w:rPr>
                <w:sz w:val="18"/>
              </w:rPr>
            </w:pPr>
            <w:r w:rsidRPr="006A1EC7">
              <w:rPr>
                <w:sz w:val="18"/>
              </w:rPr>
              <w:t>Functioning</w:t>
            </w:r>
          </w:p>
        </w:tc>
        <w:tc>
          <w:tcPr>
            <w:tcW w:w="2126" w:type="dxa"/>
            <w:shd w:val="clear" w:color="auto" w:fill="E7E6E6" w:themeFill="background2"/>
          </w:tcPr>
          <w:p w14:paraId="7E1242F0" w14:textId="77777777" w:rsidR="00F53CB4" w:rsidRPr="006A1EC7" w:rsidRDefault="00F53CB4" w:rsidP="00AC2435">
            <w:pPr>
              <w:rPr>
                <w:sz w:val="18"/>
              </w:rPr>
            </w:pPr>
            <w:r w:rsidRPr="006A1EC7">
              <w:rPr>
                <w:sz w:val="18"/>
              </w:rPr>
              <w:t>3</w:t>
            </w:r>
          </w:p>
        </w:tc>
        <w:tc>
          <w:tcPr>
            <w:tcW w:w="2125" w:type="dxa"/>
            <w:shd w:val="clear" w:color="auto" w:fill="E7E6E6" w:themeFill="background2"/>
          </w:tcPr>
          <w:p w14:paraId="1D9EE807" w14:textId="77777777" w:rsidR="00F53CB4" w:rsidRPr="006A1EC7" w:rsidRDefault="00F53CB4" w:rsidP="00AC2435">
            <w:pPr>
              <w:rPr>
                <w:sz w:val="18"/>
              </w:rPr>
            </w:pPr>
            <w:r w:rsidRPr="006A1EC7">
              <w:rPr>
                <w:sz w:val="18"/>
              </w:rPr>
              <w:t>5</w:t>
            </w:r>
          </w:p>
        </w:tc>
        <w:tc>
          <w:tcPr>
            <w:tcW w:w="2126" w:type="dxa"/>
            <w:shd w:val="clear" w:color="auto" w:fill="E7E6E6" w:themeFill="background2"/>
          </w:tcPr>
          <w:p w14:paraId="74380B50" w14:textId="77777777" w:rsidR="00F53CB4" w:rsidRPr="006A1EC7" w:rsidRDefault="00F53CB4" w:rsidP="00AC2435">
            <w:pPr>
              <w:rPr>
                <w:sz w:val="18"/>
              </w:rPr>
            </w:pPr>
            <w:r w:rsidRPr="006A1EC7">
              <w:rPr>
                <w:sz w:val="18"/>
              </w:rPr>
              <w:t>4</w:t>
            </w:r>
          </w:p>
        </w:tc>
        <w:tc>
          <w:tcPr>
            <w:tcW w:w="2125" w:type="dxa"/>
            <w:shd w:val="clear" w:color="auto" w:fill="E7E6E6" w:themeFill="background2"/>
          </w:tcPr>
          <w:p w14:paraId="2516F3CD" w14:textId="77777777" w:rsidR="00F53CB4" w:rsidRPr="006A1EC7" w:rsidRDefault="00F53CB4" w:rsidP="00AC2435">
            <w:pPr>
              <w:rPr>
                <w:sz w:val="18"/>
              </w:rPr>
            </w:pPr>
            <w:r w:rsidRPr="006A1EC7">
              <w:rPr>
                <w:sz w:val="18"/>
              </w:rPr>
              <w:t>3.84</w:t>
            </w:r>
          </w:p>
        </w:tc>
        <w:tc>
          <w:tcPr>
            <w:tcW w:w="2126" w:type="dxa"/>
            <w:shd w:val="clear" w:color="auto" w:fill="E7E6E6" w:themeFill="background2"/>
          </w:tcPr>
          <w:p w14:paraId="7C93BD23" w14:textId="77777777" w:rsidR="00F53CB4" w:rsidRPr="006A1EC7" w:rsidRDefault="00F53CB4" w:rsidP="00AC2435">
            <w:pPr>
              <w:rPr>
                <w:sz w:val="18"/>
              </w:rPr>
            </w:pPr>
            <w:r w:rsidRPr="006A1EC7">
              <w:rPr>
                <w:sz w:val="18"/>
              </w:rPr>
              <w:t>-.973</w:t>
            </w:r>
          </w:p>
        </w:tc>
        <w:tc>
          <w:tcPr>
            <w:tcW w:w="2126" w:type="dxa"/>
            <w:shd w:val="clear" w:color="auto" w:fill="E7E6E6" w:themeFill="background2"/>
          </w:tcPr>
          <w:p w14:paraId="4ACBD45C" w14:textId="77777777" w:rsidR="00F53CB4" w:rsidRPr="006A1EC7" w:rsidRDefault="00F53CB4" w:rsidP="00AC2435">
            <w:pPr>
              <w:rPr>
                <w:sz w:val="18"/>
              </w:rPr>
            </w:pPr>
            <w:r w:rsidRPr="006A1EC7">
              <w:rPr>
                <w:sz w:val="18"/>
              </w:rPr>
              <w:t>.337</w:t>
            </w:r>
          </w:p>
        </w:tc>
      </w:tr>
      <w:tr w:rsidR="00F53CB4" w:rsidRPr="006A1EC7" w14:paraId="24AF7DF5" w14:textId="77777777" w:rsidTr="00AC2435">
        <w:tc>
          <w:tcPr>
            <w:tcW w:w="2125" w:type="dxa"/>
            <w:shd w:val="clear" w:color="auto" w:fill="4472C4" w:themeFill="accent1"/>
          </w:tcPr>
          <w:p w14:paraId="4BB6EDAA" w14:textId="77777777" w:rsidR="00F53CB4" w:rsidRPr="006A1EC7" w:rsidRDefault="00F53CB4" w:rsidP="00AC2435">
            <w:pPr>
              <w:rPr>
                <w:sz w:val="18"/>
              </w:rPr>
            </w:pPr>
            <w:r w:rsidRPr="006A1EC7">
              <w:rPr>
                <w:sz w:val="18"/>
              </w:rPr>
              <w:t>Immunology</w:t>
            </w:r>
          </w:p>
        </w:tc>
        <w:tc>
          <w:tcPr>
            <w:tcW w:w="2126" w:type="dxa"/>
            <w:shd w:val="clear" w:color="auto" w:fill="4472C4" w:themeFill="accent1"/>
          </w:tcPr>
          <w:p w14:paraId="43C86A0D" w14:textId="77777777" w:rsidR="00F53CB4" w:rsidRPr="006A1EC7" w:rsidRDefault="00F53CB4" w:rsidP="00AC2435">
            <w:pPr>
              <w:rPr>
                <w:sz w:val="18"/>
              </w:rPr>
            </w:pPr>
            <w:r w:rsidRPr="006A1EC7">
              <w:rPr>
                <w:sz w:val="18"/>
              </w:rPr>
              <w:t>5</w:t>
            </w:r>
          </w:p>
        </w:tc>
        <w:tc>
          <w:tcPr>
            <w:tcW w:w="2125" w:type="dxa"/>
            <w:shd w:val="clear" w:color="auto" w:fill="4472C4" w:themeFill="accent1"/>
          </w:tcPr>
          <w:p w14:paraId="7A993FA6" w14:textId="77777777" w:rsidR="00F53CB4" w:rsidRPr="006A1EC7" w:rsidRDefault="00F53CB4" w:rsidP="00AC2435">
            <w:pPr>
              <w:rPr>
                <w:sz w:val="18"/>
              </w:rPr>
            </w:pPr>
            <w:r w:rsidRPr="006A1EC7">
              <w:rPr>
                <w:sz w:val="18"/>
              </w:rPr>
              <w:t>6</w:t>
            </w:r>
          </w:p>
        </w:tc>
        <w:tc>
          <w:tcPr>
            <w:tcW w:w="2126" w:type="dxa"/>
            <w:shd w:val="clear" w:color="auto" w:fill="4472C4" w:themeFill="accent1"/>
          </w:tcPr>
          <w:p w14:paraId="642BB5B8" w14:textId="77777777" w:rsidR="00F53CB4" w:rsidRPr="006A1EC7" w:rsidRDefault="00F53CB4" w:rsidP="00AC2435">
            <w:pPr>
              <w:rPr>
                <w:sz w:val="18"/>
              </w:rPr>
            </w:pPr>
            <w:r w:rsidRPr="006A1EC7">
              <w:rPr>
                <w:sz w:val="18"/>
              </w:rPr>
              <w:t>5.5</w:t>
            </w:r>
          </w:p>
        </w:tc>
        <w:tc>
          <w:tcPr>
            <w:tcW w:w="2125" w:type="dxa"/>
            <w:shd w:val="clear" w:color="auto" w:fill="4472C4" w:themeFill="accent1"/>
          </w:tcPr>
          <w:p w14:paraId="7BE73BC4" w14:textId="77777777" w:rsidR="00F53CB4" w:rsidRPr="006A1EC7" w:rsidRDefault="00F53CB4" w:rsidP="00AC2435">
            <w:pPr>
              <w:rPr>
                <w:sz w:val="18"/>
              </w:rPr>
            </w:pPr>
            <w:r w:rsidRPr="006A1EC7">
              <w:rPr>
                <w:sz w:val="18"/>
              </w:rPr>
              <w:t>3.62</w:t>
            </w:r>
          </w:p>
        </w:tc>
        <w:tc>
          <w:tcPr>
            <w:tcW w:w="2126" w:type="dxa"/>
            <w:shd w:val="clear" w:color="auto" w:fill="4472C4" w:themeFill="accent1"/>
          </w:tcPr>
          <w:p w14:paraId="70ECCBEE" w14:textId="77777777" w:rsidR="00F53CB4" w:rsidRPr="006A1EC7" w:rsidRDefault="00F53CB4" w:rsidP="00AC2435">
            <w:pPr>
              <w:rPr>
                <w:sz w:val="18"/>
              </w:rPr>
            </w:pPr>
            <w:r w:rsidRPr="006A1EC7">
              <w:rPr>
                <w:sz w:val="18"/>
              </w:rPr>
              <w:t>-5.310</w:t>
            </w:r>
          </w:p>
        </w:tc>
        <w:tc>
          <w:tcPr>
            <w:tcW w:w="2126" w:type="dxa"/>
            <w:shd w:val="clear" w:color="auto" w:fill="4472C4" w:themeFill="accent1"/>
          </w:tcPr>
          <w:p w14:paraId="475861DF" w14:textId="77777777" w:rsidR="00F53CB4" w:rsidRPr="006A1EC7" w:rsidRDefault="00F53CB4" w:rsidP="00AC2435">
            <w:pPr>
              <w:rPr>
                <w:sz w:val="18"/>
              </w:rPr>
            </w:pPr>
            <w:r w:rsidRPr="006A1EC7">
              <w:rPr>
                <w:sz w:val="18"/>
              </w:rPr>
              <w:t>p &lt;.001</w:t>
            </w:r>
          </w:p>
        </w:tc>
      </w:tr>
      <w:tr w:rsidR="00F53CB4" w:rsidRPr="006A1EC7" w14:paraId="7CEDCB76" w14:textId="77777777" w:rsidTr="00AC2435">
        <w:tc>
          <w:tcPr>
            <w:tcW w:w="2125" w:type="dxa"/>
            <w:shd w:val="clear" w:color="auto" w:fill="4472C4" w:themeFill="accent1"/>
          </w:tcPr>
          <w:p w14:paraId="7B7FE097" w14:textId="77777777" w:rsidR="00F53CB4" w:rsidRPr="006A1EC7" w:rsidRDefault="00F53CB4" w:rsidP="00AC2435">
            <w:pPr>
              <w:rPr>
                <w:sz w:val="18"/>
              </w:rPr>
            </w:pPr>
            <w:r w:rsidRPr="006A1EC7">
              <w:rPr>
                <w:sz w:val="18"/>
              </w:rPr>
              <w:t>Sleep</w:t>
            </w:r>
          </w:p>
        </w:tc>
        <w:tc>
          <w:tcPr>
            <w:tcW w:w="2126" w:type="dxa"/>
            <w:shd w:val="clear" w:color="auto" w:fill="4472C4" w:themeFill="accent1"/>
          </w:tcPr>
          <w:p w14:paraId="73D7F0B8" w14:textId="77777777" w:rsidR="00F53CB4" w:rsidRPr="006A1EC7" w:rsidRDefault="00F53CB4" w:rsidP="00AC2435">
            <w:pPr>
              <w:rPr>
                <w:sz w:val="18"/>
              </w:rPr>
            </w:pPr>
            <w:r w:rsidRPr="006A1EC7">
              <w:rPr>
                <w:sz w:val="18"/>
              </w:rPr>
              <w:t>3</w:t>
            </w:r>
          </w:p>
        </w:tc>
        <w:tc>
          <w:tcPr>
            <w:tcW w:w="2125" w:type="dxa"/>
            <w:shd w:val="clear" w:color="auto" w:fill="4472C4" w:themeFill="accent1"/>
          </w:tcPr>
          <w:p w14:paraId="3E3ACA64" w14:textId="77777777" w:rsidR="00F53CB4" w:rsidRPr="006A1EC7" w:rsidRDefault="00F53CB4" w:rsidP="00AC2435">
            <w:pPr>
              <w:rPr>
                <w:sz w:val="18"/>
              </w:rPr>
            </w:pPr>
            <w:r w:rsidRPr="006A1EC7">
              <w:rPr>
                <w:sz w:val="18"/>
              </w:rPr>
              <w:t>0</w:t>
            </w:r>
          </w:p>
        </w:tc>
        <w:tc>
          <w:tcPr>
            <w:tcW w:w="2126" w:type="dxa"/>
            <w:shd w:val="clear" w:color="auto" w:fill="4472C4" w:themeFill="accent1"/>
          </w:tcPr>
          <w:p w14:paraId="7073286E" w14:textId="77777777" w:rsidR="00F53CB4" w:rsidRPr="006A1EC7" w:rsidRDefault="00F53CB4" w:rsidP="00AC2435">
            <w:pPr>
              <w:rPr>
                <w:sz w:val="18"/>
              </w:rPr>
            </w:pPr>
            <w:r w:rsidRPr="006A1EC7">
              <w:rPr>
                <w:sz w:val="18"/>
              </w:rPr>
              <w:t>1.5</w:t>
            </w:r>
          </w:p>
        </w:tc>
        <w:tc>
          <w:tcPr>
            <w:tcW w:w="2125" w:type="dxa"/>
            <w:shd w:val="clear" w:color="auto" w:fill="4472C4" w:themeFill="accent1"/>
          </w:tcPr>
          <w:p w14:paraId="0CE2F674" w14:textId="77777777" w:rsidR="00F53CB4" w:rsidRPr="006A1EC7" w:rsidRDefault="00F53CB4" w:rsidP="00AC2435">
            <w:pPr>
              <w:rPr>
                <w:sz w:val="18"/>
              </w:rPr>
            </w:pPr>
            <w:r w:rsidRPr="006A1EC7">
              <w:rPr>
                <w:sz w:val="18"/>
              </w:rPr>
              <w:t>2.27</w:t>
            </w:r>
          </w:p>
        </w:tc>
        <w:tc>
          <w:tcPr>
            <w:tcW w:w="2126" w:type="dxa"/>
            <w:shd w:val="clear" w:color="auto" w:fill="4472C4" w:themeFill="accent1"/>
          </w:tcPr>
          <w:p w14:paraId="7A158898" w14:textId="77777777" w:rsidR="00F53CB4" w:rsidRPr="006A1EC7" w:rsidRDefault="00F53CB4" w:rsidP="00AC2435">
            <w:pPr>
              <w:rPr>
                <w:sz w:val="18"/>
              </w:rPr>
            </w:pPr>
            <w:r w:rsidRPr="006A1EC7">
              <w:rPr>
                <w:sz w:val="18"/>
              </w:rPr>
              <w:t>5.381</w:t>
            </w:r>
          </w:p>
        </w:tc>
        <w:tc>
          <w:tcPr>
            <w:tcW w:w="2126" w:type="dxa"/>
            <w:shd w:val="clear" w:color="auto" w:fill="4472C4" w:themeFill="accent1"/>
          </w:tcPr>
          <w:p w14:paraId="272621DC" w14:textId="77777777" w:rsidR="00F53CB4" w:rsidRPr="006A1EC7" w:rsidRDefault="00F53CB4" w:rsidP="00AC2435">
            <w:pPr>
              <w:rPr>
                <w:sz w:val="18"/>
              </w:rPr>
            </w:pPr>
            <w:r w:rsidRPr="006A1EC7">
              <w:rPr>
                <w:sz w:val="18"/>
              </w:rPr>
              <w:t>p &lt;.001</w:t>
            </w:r>
          </w:p>
        </w:tc>
      </w:tr>
      <w:tr w:rsidR="00F53CB4" w:rsidRPr="006A1EC7" w14:paraId="6B0B5643" w14:textId="77777777" w:rsidTr="00AC2435">
        <w:tc>
          <w:tcPr>
            <w:tcW w:w="2125" w:type="dxa"/>
            <w:shd w:val="clear" w:color="auto" w:fill="A5A5A5" w:themeFill="accent3"/>
          </w:tcPr>
          <w:p w14:paraId="49A36634" w14:textId="77777777" w:rsidR="00F53CB4" w:rsidRPr="006A1EC7" w:rsidRDefault="00F53CB4" w:rsidP="00AC2435">
            <w:pPr>
              <w:rPr>
                <w:sz w:val="18"/>
              </w:rPr>
            </w:pPr>
            <w:r w:rsidRPr="006A1EC7">
              <w:rPr>
                <w:sz w:val="18"/>
              </w:rPr>
              <w:t>Care</w:t>
            </w:r>
          </w:p>
        </w:tc>
        <w:tc>
          <w:tcPr>
            <w:tcW w:w="2126" w:type="dxa"/>
            <w:shd w:val="clear" w:color="auto" w:fill="A5A5A5" w:themeFill="accent3"/>
          </w:tcPr>
          <w:p w14:paraId="1C94A7F1" w14:textId="77777777" w:rsidR="00F53CB4" w:rsidRPr="006A1EC7" w:rsidRDefault="00F53CB4" w:rsidP="00AC2435">
            <w:pPr>
              <w:rPr>
                <w:sz w:val="18"/>
              </w:rPr>
            </w:pPr>
            <w:r w:rsidRPr="006A1EC7">
              <w:rPr>
                <w:sz w:val="18"/>
              </w:rPr>
              <w:t>1</w:t>
            </w:r>
          </w:p>
        </w:tc>
        <w:tc>
          <w:tcPr>
            <w:tcW w:w="2125" w:type="dxa"/>
            <w:shd w:val="clear" w:color="auto" w:fill="A5A5A5" w:themeFill="accent3"/>
          </w:tcPr>
          <w:p w14:paraId="0DFB943B" w14:textId="77777777" w:rsidR="00F53CB4" w:rsidRPr="006A1EC7" w:rsidRDefault="00F53CB4" w:rsidP="00AC2435">
            <w:pPr>
              <w:rPr>
                <w:sz w:val="18"/>
              </w:rPr>
            </w:pPr>
            <w:r w:rsidRPr="006A1EC7">
              <w:rPr>
                <w:sz w:val="18"/>
              </w:rPr>
              <w:t>0</w:t>
            </w:r>
          </w:p>
        </w:tc>
        <w:tc>
          <w:tcPr>
            <w:tcW w:w="2126" w:type="dxa"/>
            <w:shd w:val="clear" w:color="auto" w:fill="A5A5A5" w:themeFill="accent3"/>
          </w:tcPr>
          <w:p w14:paraId="07726072" w14:textId="77777777" w:rsidR="00F53CB4" w:rsidRPr="006A1EC7" w:rsidRDefault="00F53CB4" w:rsidP="00AC2435">
            <w:pPr>
              <w:rPr>
                <w:sz w:val="18"/>
              </w:rPr>
            </w:pPr>
            <w:r w:rsidRPr="006A1EC7">
              <w:rPr>
                <w:sz w:val="18"/>
              </w:rPr>
              <w:t>0.5</w:t>
            </w:r>
          </w:p>
        </w:tc>
        <w:tc>
          <w:tcPr>
            <w:tcW w:w="2125" w:type="dxa"/>
            <w:shd w:val="clear" w:color="auto" w:fill="A5A5A5" w:themeFill="accent3"/>
          </w:tcPr>
          <w:p w14:paraId="49EAB40E" w14:textId="77777777" w:rsidR="00F53CB4" w:rsidRPr="006A1EC7" w:rsidRDefault="00F53CB4" w:rsidP="00AC2435">
            <w:pPr>
              <w:rPr>
                <w:sz w:val="18"/>
              </w:rPr>
            </w:pPr>
            <w:r w:rsidRPr="006A1EC7">
              <w:rPr>
                <w:sz w:val="18"/>
              </w:rPr>
              <w:t>0</w:t>
            </w:r>
          </w:p>
        </w:tc>
        <w:tc>
          <w:tcPr>
            <w:tcW w:w="2126" w:type="dxa"/>
            <w:shd w:val="clear" w:color="auto" w:fill="A5A5A5" w:themeFill="accent3"/>
          </w:tcPr>
          <w:p w14:paraId="4C0A513B" w14:textId="77777777" w:rsidR="00F53CB4" w:rsidRPr="006A1EC7" w:rsidRDefault="00F53CB4" w:rsidP="00AC2435">
            <w:pPr>
              <w:rPr>
                <w:sz w:val="18"/>
              </w:rPr>
            </w:pPr>
            <w:r w:rsidRPr="006A1EC7">
              <w:rPr>
                <w:sz w:val="18"/>
              </w:rPr>
              <w:t>Cannot be calculates as SD = 0</w:t>
            </w:r>
          </w:p>
        </w:tc>
        <w:tc>
          <w:tcPr>
            <w:tcW w:w="2126" w:type="dxa"/>
            <w:shd w:val="clear" w:color="auto" w:fill="A5A5A5" w:themeFill="accent3"/>
          </w:tcPr>
          <w:p w14:paraId="42DB1D99" w14:textId="77777777" w:rsidR="00F53CB4" w:rsidRPr="006A1EC7" w:rsidRDefault="00F53CB4" w:rsidP="00AC2435">
            <w:pPr>
              <w:rPr>
                <w:sz w:val="18"/>
              </w:rPr>
            </w:pPr>
            <w:r w:rsidRPr="006A1EC7">
              <w:rPr>
                <w:sz w:val="18"/>
              </w:rPr>
              <w:t>-</w:t>
            </w:r>
          </w:p>
        </w:tc>
      </w:tr>
      <w:tr w:rsidR="00F53CB4" w:rsidRPr="006A1EC7" w14:paraId="2BABFF19" w14:textId="77777777" w:rsidTr="00AC2435">
        <w:tc>
          <w:tcPr>
            <w:tcW w:w="2125" w:type="dxa"/>
            <w:shd w:val="clear" w:color="auto" w:fill="E7E6E6" w:themeFill="background2"/>
          </w:tcPr>
          <w:p w14:paraId="2CF946D2" w14:textId="77777777" w:rsidR="00F53CB4" w:rsidRPr="006A1EC7" w:rsidRDefault="00F53CB4" w:rsidP="00AC2435">
            <w:pPr>
              <w:rPr>
                <w:sz w:val="18"/>
              </w:rPr>
            </w:pPr>
            <w:r w:rsidRPr="006A1EC7">
              <w:rPr>
                <w:sz w:val="18"/>
              </w:rPr>
              <w:t>Total</w:t>
            </w:r>
          </w:p>
        </w:tc>
        <w:tc>
          <w:tcPr>
            <w:tcW w:w="2126" w:type="dxa"/>
            <w:shd w:val="clear" w:color="auto" w:fill="E7E6E6" w:themeFill="background2"/>
          </w:tcPr>
          <w:p w14:paraId="721EB124" w14:textId="77777777" w:rsidR="00F53CB4" w:rsidRPr="006A1EC7" w:rsidRDefault="00F53CB4" w:rsidP="00AC2435">
            <w:pPr>
              <w:rPr>
                <w:sz w:val="18"/>
              </w:rPr>
            </w:pPr>
            <w:r w:rsidRPr="006A1EC7">
              <w:rPr>
                <w:sz w:val="18"/>
              </w:rPr>
              <w:t>28</w:t>
            </w:r>
          </w:p>
        </w:tc>
        <w:tc>
          <w:tcPr>
            <w:tcW w:w="2125" w:type="dxa"/>
            <w:shd w:val="clear" w:color="auto" w:fill="E7E6E6" w:themeFill="background2"/>
          </w:tcPr>
          <w:p w14:paraId="1E7E9D87" w14:textId="77777777" w:rsidR="00F53CB4" w:rsidRPr="006A1EC7" w:rsidRDefault="00F53CB4" w:rsidP="00AC2435">
            <w:pPr>
              <w:rPr>
                <w:sz w:val="18"/>
              </w:rPr>
            </w:pPr>
            <w:r w:rsidRPr="006A1EC7">
              <w:rPr>
                <w:sz w:val="18"/>
              </w:rPr>
              <w:t>21</w:t>
            </w:r>
          </w:p>
        </w:tc>
        <w:tc>
          <w:tcPr>
            <w:tcW w:w="2126" w:type="dxa"/>
            <w:shd w:val="clear" w:color="auto" w:fill="E7E6E6" w:themeFill="background2"/>
          </w:tcPr>
          <w:p w14:paraId="7A6E09CC" w14:textId="77777777" w:rsidR="00F53CB4" w:rsidRPr="006A1EC7" w:rsidRDefault="00F53CB4" w:rsidP="00AC2435">
            <w:pPr>
              <w:rPr>
                <w:sz w:val="18"/>
              </w:rPr>
            </w:pPr>
            <w:r w:rsidRPr="006A1EC7">
              <w:rPr>
                <w:sz w:val="18"/>
              </w:rPr>
              <w:t>24.5</w:t>
            </w:r>
          </w:p>
        </w:tc>
        <w:tc>
          <w:tcPr>
            <w:tcW w:w="2125" w:type="dxa"/>
            <w:shd w:val="clear" w:color="auto" w:fill="E7E6E6" w:themeFill="background2"/>
          </w:tcPr>
          <w:p w14:paraId="6A7ADB6E" w14:textId="77777777" w:rsidR="00F53CB4" w:rsidRPr="006A1EC7" w:rsidRDefault="00F53CB4" w:rsidP="00AC2435">
            <w:pPr>
              <w:rPr>
                <w:sz w:val="18"/>
              </w:rPr>
            </w:pPr>
            <w:r w:rsidRPr="006A1EC7">
              <w:rPr>
                <w:sz w:val="18"/>
              </w:rPr>
              <w:t>26.31</w:t>
            </w:r>
          </w:p>
        </w:tc>
        <w:tc>
          <w:tcPr>
            <w:tcW w:w="2126" w:type="dxa"/>
            <w:shd w:val="clear" w:color="auto" w:fill="E7E6E6" w:themeFill="background2"/>
          </w:tcPr>
          <w:p w14:paraId="064102C6" w14:textId="77777777" w:rsidR="00F53CB4" w:rsidRPr="006A1EC7" w:rsidRDefault="00F53CB4" w:rsidP="00AC2435">
            <w:pPr>
              <w:rPr>
                <w:sz w:val="18"/>
              </w:rPr>
            </w:pPr>
            <w:r w:rsidRPr="006A1EC7">
              <w:rPr>
                <w:sz w:val="18"/>
              </w:rPr>
              <w:t>3.036</w:t>
            </w:r>
          </w:p>
        </w:tc>
        <w:tc>
          <w:tcPr>
            <w:tcW w:w="2126" w:type="dxa"/>
            <w:shd w:val="clear" w:color="auto" w:fill="E7E6E6" w:themeFill="background2"/>
          </w:tcPr>
          <w:p w14:paraId="07142A6B" w14:textId="77777777" w:rsidR="00F53CB4" w:rsidRPr="006A1EC7" w:rsidRDefault="00F53CB4" w:rsidP="00AC2435">
            <w:pPr>
              <w:rPr>
                <w:sz w:val="18"/>
              </w:rPr>
            </w:pPr>
            <w:r w:rsidRPr="006A1EC7">
              <w:rPr>
                <w:sz w:val="18"/>
              </w:rPr>
              <w:t>.005</w:t>
            </w:r>
          </w:p>
        </w:tc>
      </w:tr>
    </w:tbl>
    <w:p w14:paraId="00662CB7" w14:textId="77777777" w:rsidR="00F53CB4" w:rsidRPr="006A1EC7" w:rsidRDefault="00F53CB4" w:rsidP="00F53CB4">
      <w:pPr>
        <w:rPr>
          <w:sz w:val="18"/>
        </w:rPr>
      </w:pPr>
    </w:p>
    <w:p w14:paraId="6ACE18A8" w14:textId="77777777" w:rsidR="00F53CB4" w:rsidRPr="006A1EC7" w:rsidRDefault="00F53CB4" w:rsidP="00F53CB4"/>
    <w:p w14:paraId="7F94DD5D" w14:textId="77777777" w:rsidR="00F53CB4" w:rsidRPr="006A1EC7" w:rsidRDefault="00F53CB4" w:rsidP="00F53CB4"/>
    <w:p w14:paraId="0CFD3C70" w14:textId="77777777" w:rsidR="00F53CB4" w:rsidRPr="006A1EC7" w:rsidRDefault="00F53CB4" w:rsidP="00F53CB4">
      <w:pPr>
        <w:pStyle w:val="Caption"/>
        <w:keepNext/>
        <w:rPr>
          <w:sz w:val="24"/>
          <w:szCs w:val="24"/>
        </w:rPr>
      </w:pPr>
      <w:bookmarkStart w:id="253" w:name="_Toc40173048"/>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24</w:t>
      </w:r>
      <w:r w:rsidRPr="006A1EC7">
        <w:rPr>
          <w:sz w:val="24"/>
          <w:szCs w:val="24"/>
        </w:rPr>
        <w:fldChar w:fldCharType="end"/>
      </w:r>
      <w:r w:rsidRPr="006A1EC7">
        <w:rPr>
          <w:sz w:val="24"/>
          <w:szCs w:val="24"/>
        </w:rPr>
        <w:t>: Case Study 5: Alessandro</w:t>
      </w:r>
      <w:bookmarkEnd w:id="253"/>
    </w:p>
    <w:tbl>
      <w:tblPr>
        <w:tblStyle w:val="TableGrid"/>
        <w:tblW w:w="0" w:type="auto"/>
        <w:tblLook w:val="04A0" w:firstRow="1" w:lastRow="0" w:firstColumn="1" w:lastColumn="0" w:noHBand="0" w:noVBand="1"/>
      </w:tblPr>
      <w:tblGrid>
        <w:gridCol w:w="1969"/>
        <w:gridCol w:w="1863"/>
        <w:gridCol w:w="1867"/>
        <w:gridCol w:w="1917"/>
        <w:gridCol w:w="1906"/>
        <w:gridCol w:w="1934"/>
        <w:gridCol w:w="1972"/>
      </w:tblGrid>
      <w:tr w:rsidR="00F53CB4" w:rsidRPr="006A1EC7" w14:paraId="6F1403E0" w14:textId="77777777" w:rsidTr="00AC2435">
        <w:trPr>
          <w:trHeight w:val="132"/>
        </w:trPr>
        <w:tc>
          <w:tcPr>
            <w:tcW w:w="2125" w:type="dxa"/>
            <w:shd w:val="clear" w:color="auto" w:fill="auto"/>
          </w:tcPr>
          <w:p w14:paraId="6A044DB5" w14:textId="77777777" w:rsidR="00F53CB4" w:rsidRPr="006A1EC7" w:rsidRDefault="00F53CB4" w:rsidP="00AC2435">
            <w:pPr>
              <w:rPr>
                <w:sz w:val="18"/>
              </w:rPr>
            </w:pPr>
            <w:r w:rsidRPr="006A1EC7">
              <w:rPr>
                <w:sz w:val="18"/>
              </w:rPr>
              <w:t>Domain</w:t>
            </w:r>
          </w:p>
        </w:tc>
        <w:tc>
          <w:tcPr>
            <w:tcW w:w="2126" w:type="dxa"/>
            <w:shd w:val="clear" w:color="auto" w:fill="auto"/>
          </w:tcPr>
          <w:p w14:paraId="4225FB5C" w14:textId="77777777" w:rsidR="00F53CB4" w:rsidRPr="006A1EC7" w:rsidRDefault="00F53CB4" w:rsidP="00AC2435">
            <w:pPr>
              <w:rPr>
                <w:sz w:val="18"/>
              </w:rPr>
            </w:pPr>
            <w:r w:rsidRPr="006A1EC7">
              <w:rPr>
                <w:sz w:val="18"/>
              </w:rPr>
              <w:t>KV</w:t>
            </w:r>
          </w:p>
        </w:tc>
        <w:tc>
          <w:tcPr>
            <w:tcW w:w="2125" w:type="dxa"/>
            <w:shd w:val="clear" w:color="auto" w:fill="auto"/>
          </w:tcPr>
          <w:p w14:paraId="4628D3C2" w14:textId="77777777" w:rsidR="00F53CB4" w:rsidRPr="006A1EC7" w:rsidRDefault="00F53CB4" w:rsidP="00AC2435">
            <w:pPr>
              <w:rPr>
                <w:sz w:val="18"/>
              </w:rPr>
            </w:pPr>
            <w:r w:rsidRPr="006A1EC7">
              <w:rPr>
                <w:sz w:val="18"/>
              </w:rPr>
              <w:t>AM</w:t>
            </w:r>
          </w:p>
        </w:tc>
        <w:tc>
          <w:tcPr>
            <w:tcW w:w="2126" w:type="dxa"/>
            <w:shd w:val="clear" w:color="auto" w:fill="auto"/>
          </w:tcPr>
          <w:p w14:paraId="2750A36D" w14:textId="77777777" w:rsidR="00F53CB4" w:rsidRPr="006A1EC7" w:rsidRDefault="00F53CB4" w:rsidP="00AC2435">
            <w:pPr>
              <w:rPr>
                <w:sz w:val="18"/>
              </w:rPr>
            </w:pPr>
            <w:r w:rsidRPr="006A1EC7">
              <w:rPr>
                <w:sz w:val="18"/>
              </w:rPr>
              <w:t>KV/AM mean</w:t>
            </w:r>
          </w:p>
        </w:tc>
        <w:tc>
          <w:tcPr>
            <w:tcW w:w="2125" w:type="dxa"/>
            <w:shd w:val="clear" w:color="auto" w:fill="auto"/>
          </w:tcPr>
          <w:p w14:paraId="5B9A604B" w14:textId="77777777" w:rsidR="00F53CB4" w:rsidRPr="006A1EC7" w:rsidRDefault="00F53CB4" w:rsidP="00AC2435">
            <w:pPr>
              <w:rPr>
                <w:sz w:val="18"/>
              </w:rPr>
            </w:pPr>
            <w:r w:rsidRPr="006A1EC7">
              <w:rPr>
                <w:sz w:val="18"/>
              </w:rPr>
              <w:t>Sample mean</w:t>
            </w:r>
          </w:p>
        </w:tc>
        <w:tc>
          <w:tcPr>
            <w:tcW w:w="2126" w:type="dxa"/>
            <w:shd w:val="clear" w:color="auto" w:fill="auto"/>
          </w:tcPr>
          <w:p w14:paraId="4C6CF2F7" w14:textId="77777777" w:rsidR="00F53CB4" w:rsidRPr="006A1EC7" w:rsidRDefault="00F53CB4" w:rsidP="00AC2435">
            <w:pPr>
              <w:rPr>
                <w:sz w:val="18"/>
              </w:rPr>
            </w:pPr>
            <w:r w:rsidRPr="006A1EC7">
              <w:rPr>
                <w:sz w:val="18"/>
              </w:rPr>
              <w:t>t-value</w:t>
            </w:r>
          </w:p>
        </w:tc>
        <w:tc>
          <w:tcPr>
            <w:tcW w:w="2126" w:type="dxa"/>
            <w:shd w:val="clear" w:color="auto" w:fill="auto"/>
          </w:tcPr>
          <w:p w14:paraId="0AB1BFC8" w14:textId="77777777" w:rsidR="00F53CB4" w:rsidRPr="006A1EC7" w:rsidRDefault="00F53CB4" w:rsidP="00AC2435">
            <w:pPr>
              <w:rPr>
                <w:sz w:val="20"/>
              </w:rPr>
            </w:pPr>
            <w:r w:rsidRPr="006A1EC7">
              <w:rPr>
                <w:sz w:val="20"/>
              </w:rPr>
              <w:t>p-value</w:t>
            </w:r>
          </w:p>
          <w:p w14:paraId="60170B29" w14:textId="77777777" w:rsidR="00F53CB4" w:rsidRPr="006A1EC7" w:rsidRDefault="00F53CB4" w:rsidP="00AC2435">
            <w:pPr>
              <w:rPr>
                <w:sz w:val="18"/>
              </w:rPr>
            </w:pPr>
            <w:r w:rsidRPr="006A1EC7">
              <w:rPr>
                <w:sz w:val="20"/>
              </w:rPr>
              <w:t>(Bonferroni correction; significant p now set at 001)</w:t>
            </w:r>
          </w:p>
        </w:tc>
      </w:tr>
      <w:tr w:rsidR="00F53CB4" w:rsidRPr="006A1EC7" w14:paraId="3837D5FD" w14:textId="77777777" w:rsidTr="00AC2435">
        <w:tc>
          <w:tcPr>
            <w:tcW w:w="2125" w:type="dxa"/>
            <w:shd w:val="clear" w:color="auto" w:fill="E7E6E6" w:themeFill="background2"/>
          </w:tcPr>
          <w:p w14:paraId="6DE59C5D" w14:textId="77777777" w:rsidR="00F53CB4" w:rsidRPr="006A1EC7" w:rsidRDefault="00F53CB4" w:rsidP="00AC2435">
            <w:pPr>
              <w:rPr>
                <w:sz w:val="18"/>
              </w:rPr>
            </w:pPr>
            <w:r w:rsidRPr="006A1EC7">
              <w:rPr>
                <w:sz w:val="18"/>
              </w:rPr>
              <w:t>Face</w:t>
            </w:r>
          </w:p>
        </w:tc>
        <w:tc>
          <w:tcPr>
            <w:tcW w:w="2126" w:type="dxa"/>
            <w:shd w:val="clear" w:color="auto" w:fill="E7E6E6" w:themeFill="background2"/>
          </w:tcPr>
          <w:p w14:paraId="1CAC7C85" w14:textId="77777777" w:rsidR="00F53CB4" w:rsidRPr="006A1EC7" w:rsidRDefault="00F53CB4" w:rsidP="00AC2435">
            <w:pPr>
              <w:rPr>
                <w:sz w:val="18"/>
              </w:rPr>
            </w:pPr>
            <w:r w:rsidRPr="006A1EC7">
              <w:rPr>
                <w:sz w:val="18"/>
              </w:rPr>
              <w:t>3</w:t>
            </w:r>
          </w:p>
        </w:tc>
        <w:tc>
          <w:tcPr>
            <w:tcW w:w="2125" w:type="dxa"/>
            <w:shd w:val="clear" w:color="auto" w:fill="E7E6E6" w:themeFill="background2"/>
          </w:tcPr>
          <w:p w14:paraId="2031C0FA" w14:textId="77777777" w:rsidR="00F53CB4" w:rsidRPr="006A1EC7" w:rsidRDefault="00F53CB4" w:rsidP="00AC2435">
            <w:pPr>
              <w:rPr>
                <w:sz w:val="18"/>
              </w:rPr>
            </w:pPr>
            <w:r w:rsidRPr="006A1EC7">
              <w:rPr>
                <w:sz w:val="18"/>
              </w:rPr>
              <w:t>4</w:t>
            </w:r>
          </w:p>
        </w:tc>
        <w:tc>
          <w:tcPr>
            <w:tcW w:w="2126" w:type="dxa"/>
            <w:shd w:val="clear" w:color="auto" w:fill="E7E6E6" w:themeFill="background2"/>
          </w:tcPr>
          <w:p w14:paraId="2FC4F550" w14:textId="77777777" w:rsidR="00F53CB4" w:rsidRPr="006A1EC7" w:rsidRDefault="00F53CB4" w:rsidP="00AC2435">
            <w:pPr>
              <w:rPr>
                <w:sz w:val="18"/>
              </w:rPr>
            </w:pPr>
            <w:r w:rsidRPr="006A1EC7">
              <w:rPr>
                <w:sz w:val="18"/>
              </w:rPr>
              <w:t>3.5</w:t>
            </w:r>
          </w:p>
        </w:tc>
        <w:tc>
          <w:tcPr>
            <w:tcW w:w="2125" w:type="dxa"/>
            <w:shd w:val="clear" w:color="auto" w:fill="E7E6E6" w:themeFill="background2"/>
          </w:tcPr>
          <w:p w14:paraId="3203C446" w14:textId="77777777" w:rsidR="00F53CB4" w:rsidRPr="006A1EC7" w:rsidRDefault="00F53CB4" w:rsidP="00AC2435">
            <w:pPr>
              <w:rPr>
                <w:sz w:val="18"/>
              </w:rPr>
            </w:pPr>
            <w:r w:rsidRPr="006A1EC7">
              <w:rPr>
                <w:sz w:val="18"/>
              </w:rPr>
              <w:t>3.53</w:t>
            </w:r>
          </w:p>
        </w:tc>
        <w:tc>
          <w:tcPr>
            <w:tcW w:w="2126" w:type="dxa"/>
            <w:shd w:val="clear" w:color="auto" w:fill="E7E6E6" w:themeFill="background2"/>
          </w:tcPr>
          <w:p w14:paraId="558D6C79" w14:textId="77777777" w:rsidR="00F53CB4" w:rsidRPr="006A1EC7" w:rsidRDefault="00F53CB4" w:rsidP="00AC2435">
            <w:pPr>
              <w:rPr>
                <w:sz w:val="18"/>
              </w:rPr>
            </w:pPr>
            <w:r w:rsidRPr="006A1EC7">
              <w:rPr>
                <w:sz w:val="18"/>
              </w:rPr>
              <w:t>.204</w:t>
            </w:r>
          </w:p>
        </w:tc>
        <w:tc>
          <w:tcPr>
            <w:tcW w:w="2126" w:type="dxa"/>
            <w:shd w:val="clear" w:color="auto" w:fill="E7E6E6" w:themeFill="background2"/>
          </w:tcPr>
          <w:p w14:paraId="2D873CE5" w14:textId="77777777" w:rsidR="00F53CB4" w:rsidRPr="006A1EC7" w:rsidRDefault="00F53CB4" w:rsidP="00AC2435">
            <w:pPr>
              <w:rPr>
                <w:sz w:val="18"/>
              </w:rPr>
            </w:pPr>
            <w:r w:rsidRPr="006A1EC7">
              <w:rPr>
                <w:sz w:val="18"/>
              </w:rPr>
              <w:t>840</w:t>
            </w:r>
          </w:p>
        </w:tc>
      </w:tr>
      <w:tr w:rsidR="00F53CB4" w:rsidRPr="006A1EC7" w14:paraId="6A04A404" w14:textId="77777777" w:rsidTr="00AC2435">
        <w:tc>
          <w:tcPr>
            <w:tcW w:w="2125" w:type="dxa"/>
            <w:shd w:val="clear" w:color="auto" w:fill="E7E6E6" w:themeFill="background2"/>
          </w:tcPr>
          <w:p w14:paraId="5119189C" w14:textId="77777777" w:rsidR="00F53CB4" w:rsidRPr="006A1EC7" w:rsidRDefault="00F53CB4" w:rsidP="00AC2435">
            <w:pPr>
              <w:rPr>
                <w:sz w:val="18"/>
              </w:rPr>
            </w:pPr>
            <w:r w:rsidRPr="006A1EC7">
              <w:rPr>
                <w:sz w:val="18"/>
              </w:rPr>
              <w:t>Epilepsy</w:t>
            </w:r>
          </w:p>
        </w:tc>
        <w:tc>
          <w:tcPr>
            <w:tcW w:w="2126" w:type="dxa"/>
            <w:shd w:val="clear" w:color="auto" w:fill="E7E6E6" w:themeFill="background2"/>
          </w:tcPr>
          <w:p w14:paraId="4AD2005F" w14:textId="77777777" w:rsidR="00F53CB4" w:rsidRPr="006A1EC7" w:rsidRDefault="00F53CB4" w:rsidP="00AC2435">
            <w:pPr>
              <w:rPr>
                <w:sz w:val="18"/>
              </w:rPr>
            </w:pPr>
            <w:r w:rsidRPr="006A1EC7">
              <w:rPr>
                <w:sz w:val="18"/>
              </w:rPr>
              <w:t>0</w:t>
            </w:r>
          </w:p>
        </w:tc>
        <w:tc>
          <w:tcPr>
            <w:tcW w:w="2125" w:type="dxa"/>
            <w:shd w:val="clear" w:color="auto" w:fill="E7E6E6" w:themeFill="background2"/>
          </w:tcPr>
          <w:p w14:paraId="75652555" w14:textId="77777777" w:rsidR="00F53CB4" w:rsidRPr="006A1EC7" w:rsidRDefault="00F53CB4" w:rsidP="00AC2435">
            <w:pPr>
              <w:rPr>
                <w:sz w:val="18"/>
              </w:rPr>
            </w:pPr>
            <w:r w:rsidRPr="006A1EC7">
              <w:rPr>
                <w:sz w:val="18"/>
              </w:rPr>
              <w:t>0</w:t>
            </w:r>
          </w:p>
        </w:tc>
        <w:tc>
          <w:tcPr>
            <w:tcW w:w="2126" w:type="dxa"/>
            <w:shd w:val="clear" w:color="auto" w:fill="E7E6E6" w:themeFill="background2"/>
          </w:tcPr>
          <w:p w14:paraId="44563281" w14:textId="77777777" w:rsidR="00F53CB4" w:rsidRPr="006A1EC7" w:rsidRDefault="00F53CB4" w:rsidP="00AC2435">
            <w:pPr>
              <w:rPr>
                <w:sz w:val="18"/>
              </w:rPr>
            </w:pPr>
            <w:r w:rsidRPr="006A1EC7">
              <w:rPr>
                <w:sz w:val="18"/>
              </w:rPr>
              <w:t>0</w:t>
            </w:r>
          </w:p>
        </w:tc>
        <w:tc>
          <w:tcPr>
            <w:tcW w:w="2125" w:type="dxa"/>
            <w:shd w:val="clear" w:color="auto" w:fill="E7E6E6" w:themeFill="background2"/>
          </w:tcPr>
          <w:p w14:paraId="39DC45D2" w14:textId="77777777" w:rsidR="00F53CB4" w:rsidRPr="006A1EC7" w:rsidRDefault="00F53CB4" w:rsidP="00AC2435">
            <w:pPr>
              <w:rPr>
                <w:sz w:val="18"/>
              </w:rPr>
            </w:pPr>
            <w:r w:rsidRPr="006A1EC7">
              <w:rPr>
                <w:sz w:val="18"/>
              </w:rPr>
              <w:t>.18</w:t>
            </w:r>
          </w:p>
        </w:tc>
        <w:tc>
          <w:tcPr>
            <w:tcW w:w="2126" w:type="dxa"/>
            <w:shd w:val="clear" w:color="auto" w:fill="E7E6E6" w:themeFill="background2"/>
          </w:tcPr>
          <w:p w14:paraId="526F63A7" w14:textId="77777777" w:rsidR="00F53CB4" w:rsidRPr="006A1EC7" w:rsidRDefault="00F53CB4" w:rsidP="00AC2435">
            <w:pPr>
              <w:rPr>
                <w:sz w:val="18"/>
              </w:rPr>
            </w:pPr>
            <w:r w:rsidRPr="006A1EC7">
              <w:rPr>
                <w:sz w:val="18"/>
              </w:rPr>
              <w:t>1.419</w:t>
            </w:r>
          </w:p>
        </w:tc>
        <w:tc>
          <w:tcPr>
            <w:tcW w:w="2126" w:type="dxa"/>
            <w:shd w:val="clear" w:color="auto" w:fill="E7E6E6" w:themeFill="background2"/>
          </w:tcPr>
          <w:p w14:paraId="164ED9C2" w14:textId="77777777" w:rsidR="00F53CB4" w:rsidRPr="006A1EC7" w:rsidRDefault="00F53CB4" w:rsidP="00AC2435">
            <w:pPr>
              <w:rPr>
                <w:sz w:val="18"/>
              </w:rPr>
            </w:pPr>
            <w:r w:rsidRPr="006A1EC7">
              <w:rPr>
                <w:sz w:val="18"/>
              </w:rPr>
              <w:t>.164</w:t>
            </w:r>
          </w:p>
        </w:tc>
      </w:tr>
      <w:tr w:rsidR="00F53CB4" w:rsidRPr="006A1EC7" w14:paraId="730B8CC8" w14:textId="77777777" w:rsidTr="00AC2435">
        <w:tc>
          <w:tcPr>
            <w:tcW w:w="2125" w:type="dxa"/>
            <w:shd w:val="clear" w:color="auto" w:fill="E7E6E6" w:themeFill="background2"/>
          </w:tcPr>
          <w:p w14:paraId="4F1524AA" w14:textId="77777777" w:rsidR="00F53CB4" w:rsidRPr="006A1EC7" w:rsidRDefault="00F53CB4" w:rsidP="00AC2435">
            <w:pPr>
              <w:rPr>
                <w:sz w:val="18"/>
              </w:rPr>
            </w:pPr>
            <w:r w:rsidRPr="006A1EC7">
              <w:rPr>
                <w:sz w:val="18"/>
              </w:rPr>
              <w:t>Gastro</w:t>
            </w:r>
          </w:p>
        </w:tc>
        <w:tc>
          <w:tcPr>
            <w:tcW w:w="2126" w:type="dxa"/>
            <w:shd w:val="clear" w:color="auto" w:fill="E7E6E6" w:themeFill="background2"/>
          </w:tcPr>
          <w:p w14:paraId="792C6738" w14:textId="77777777" w:rsidR="00F53CB4" w:rsidRPr="006A1EC7" w:rsidRDefault="00F53CB4" w:rsidP="00AC2435">
            <w:pPr>
              <w:rPr>
                <w:sz w:val="18"/>
              </w:rPr>
            </w:pPr>
            <w:r w:rsidRPr="006A1EC7">
              <w:rPr>
                <w:sz w:val="18"/>
              </w:rPr>
              <w:t>21</w:t>
            </w:r>
          </w:p>
        </w:tc>
        <w:tc>
          <w:tcPr>
            <w:tcW w:w="2125" w:type="dxa"/>
            <w:shd w:val="clear" w:color="auto" w:fill="E7E6E6" w:themeFill="background2"/>
          </w:tcPr>
          <w:p w14:paraId="3780CAE7" w14:textId="77777777" w:rsidR="00F53CB4" w:rsidRPr="006A1EC7" w:rsidRDefault="00F53CB4" w:rsidP="00AC2435">
            <w:pPr>
              <w:rPr>
                <w:sz w:val="18"/>
              </w:rPr>
            </w:pPr>
            <w:r w:rsidRPr="006A1EC7">
              <w:rPr>
                <w:sz w:val="18"/>
              </w:rPr>
              <w:t>21</w:t>
            </w:r>
          </w:p>
        </w:tc>
        <w:tc>
          <w:tcPr>
            <w:tcW w:w="2126" w:type="dxa"/>
            <w:shd w:val="clear" w:color="auto" w:fill="E7E6E6" w:themeFill="background2"/>
          </w:tcPr>
          <w:p w14:paraId="62F4C79F" w14:textId="77777777" w:rsidR="00F53CB4" w:rsidRPr="006A1EC7" w:rsidRDefault="00F53CB4" w:rsidP="00AC2435">
            <w:pPr>
              <w:rPr>
                <w:sz w:val="18"/>
              </w:rPr>
            </w:pPr>
            <w:r w:rsidRPr="006A1EC7">
              <w:rPr>
                <w:sz w:val="18"/>
              </w:rPr>
              <w:t>21</w:t>
            </w:r>
          </w:p>
        </w:tc>
        <w:tc>
          <w:tcPr>
            <w:tcW w:w="2125" w:type="dxa"/>
            <w:shd w:val="clear" w:color="auto" w:fill="E7E6E6" w:themeFill="background2"/>
          </w:tcPr>
          <w:p w14:paraId="639B1872" w14:textId="77777777" w:rsidR="00F53CB4" w:rsidRPr="006A1EC7" w:rsidRDefault="00F53CB4" w:rsidP="00AC2435">
            <w:pPr>
              <w:rPr>
                <w:sz w:val="18"/>
              </w:rPr>
            </w:pPr>
            <w:r w:rsidRPr="006A1EC7">
              <w:rPr>
                <w:sz w:val="18"/>
              </w:rPr>
              <w:t>20.95</w:t>
            </w:r>
          </w:p>
        </w:tc>
        <w:tc>
          <w:tcPr>
            <w:tcW w:w="2126" w:type="dxa"/>
            <w:shd w:val="clear" w:color="auto" w:fill="E7E6E6" w:themeFill="background2"/>
          </w:tcPr>
          <w:p w14:paraId="5005A6A7" w14:textId="77777777" w:rsidR="00F53CB4" w:rsidRPr="006A1EC7" w:rsidRDefault="00F53CB4" w:rsidP="00AC2435">
            <w:pPr>
              <w:rPr>
                <w:sz w:val="18"/>
              </w:rPr>
            </w:pPr>
            <w:r w:rsidRPr="006A1EC7">
              <w:rPr>
                <w:sz w:val="18"/>
              </w:rPr>
              <w:t>-.150</w:t>
            </w:r>
          </w:p>
        </w:tc>
        <w:tc>
          <w:tcPr>
            <w:tcW w:w="2126" w:type="dxa"/>
            <w:shd w:val="clear" w:color="auto" w:fill="E7E6E6" w:themeFill="background2"/>
          </w:tcPr>
          <w:p w14:paraId="03D73B53" w14:textId="77777777" w:rsidR="00F53CB4" w:rsidRPr="006A1EC7" w:rsidRDefault="00F53CB4" w:rsidP="00AC2435">
            <w:pPr>
              <w:rPr>
                <w:sz w:val="18"/>
              </w:rPr>
            </w:pPr>
            <w:r w:rsidRPr="006A1EC7">
              <w:rPr>
                <w:sz w:val="18"/>
              </w:rPr>
              <w:t>.881</w:t>
            </w:r>
          </w:p>
        </w:tc>
      </w:tr>
      <w:tr w:rsidR="00F53CB4" w:rsidRPr="006A1EC7" w14:paraId="18B4CF73" w14:textId="77777777" w:rsidTr="00AC2435">
        <w:tc>
          <w:tcPr>
            <w:tcW w:w="2125" w:type="dxa"/>
            <w:shd w:val="clear" w:color="auto" w:fill="E7E6E6" w:themeFill="background2"/>
          </w:tcPr>
          <w:p w14:paraId="1D24C640" w14:textId="77777777" w:rsidR="00F53CB4" w:rsidRPr="006A1EC7" w:rsidRDefault="00F53CB4" w:rsidP="00AC2435">
            <w:pPr>
              <w:rPr>
                <w:sz w:val="18"/>
              </w:rPr>
            </w:pPr>
            <w:r w:rsidRPr="006A1EC7">
              <w:rPr>
                <w:sz w:val="18"/>
              </w:rPr>
              <w:t>Cardio &amp; respiratory</w:t>
            </w:r>
          </w:p>
        </w:tc>
        <w:tc>
          <w:tcPr>
            <w:tcW w:w="2126" w:type="dxa"/>
            <w:shd w:val="clear" w:color="auto" w:fill="E7E6E6" w:themeFill="background2"/>
          </w:tcPr>
          <w:p w14:paraId="26D646D0" w14:textId="77777777" w:rsidR="00F53CB4" w:rsidRPr="006A1EC7" w:rsidRDefault="00F53CB4" w:rsidP="00AC2435">
            <w:pPr>
              <w:rPr>
                <w:sz w:val="18"/>
              </w:rPr>
            </w:pPr>
            <w:r w:rsidRPr="006A1EC7">
              <w:rPr>
                <w:sz w:val="18"/>
              </w:rPr>
              <w:t>5</w:t>
            </w:r>
          </w:p>
        </w:tc>
        <w:tc>
          <w:tcPr>
            <w:tcW w:w="2125" w:type="dxa"/>
            <w:shd w:val="clear" w:color="auto" w:fill="E7E6E6" w:themeFill="background2"/>
          </w:tcPr>
          <w:p w14:paraId="056770EF" w14:textId="77777777" w:rsidR="00F53CB4" w:rsidRPr="006A1EC7" w:rsidRDefault="00F53CB4" w:rsidP="00AC2435">
            <w:pPr>
              <w:rPr>
                <w:sz w:val="18"/>
              </w:rPr>
            </w:pPr>
            <w:r w:rsidRPr="006A1EC7">
              <w:rPr>
                <w:sz w:val="18"/>
              </w:rPr>
              <w:t>5</w:t>
            </w:r>
          </w:p>
        </w:tc>
        <w:tc>
          <w:tcPr>
            <w:tcW w:w="2126" w:type="dxa"/>
            <w:shd w:val="clear" w:color="auto" w:fill="E7E6E6" w:themeFill="background2"/>
          </w:tcPr>
          <w:p w14:paraId="6C642C5B" w14:textId="77777777" w:rsidR="00F53CB4" w:rsidRPr="006A1EC7" w:rsidRDefault="00F53CB4" w:rsidP="00AC2435">
            <w:pPr>
              <w:rPr>
                <w:sz w:val="18"/>
              </w:rPr>
            </w:pPr>
            <w:r w:rsidRPr="006A1EC7">
              <w:rPr>
                <w:sz w:val="18"/>
              </w:rPr>
              <w:t>5</w:t>
            </w:r>
          </w:p>
        </w:tc>
        <w:tc>
          <w:tcPr>
            <w:tcW w:w="2125" w:type="dxa"/>
            <w:shd w:val="clear" w:color="auto" w:fill="E7E6E6" w:themeFill="background2"/>
          </w:tcPr>
          <w:p w14:paraId="5A068D5A" w14:textId="77777777" w:rsidR="00F53CB4" w:rsidRPr="006A1EC7" w:rsidRDefault="00F53CB4" w:rsidP="00AC2435">
            <w:pPr>
              <w:rPr>
                <w:sz w:val="18"/>
              </w:rPr>
            </w:pPr>
            <w:r w:rsidRPr="006A1EC7">
              <w:rPr>
                <w:sz w:val="18"/>
              </w:rPr>
              <w:t>5.00</w:t>
            </w:r>
          </w:p>
        </w:tc>
        <w:tc>
          <w:tcPr>
            <w:tcW w:w="2126" w:type="dxa"/>
            <w:shd w:val="clear" w:color="auto" w:fill="E7E6E6" w:themeFill="background2"/>
          </w:tcPr>
          <w:p w14:paraId="48699DEC" w14:textId="77777777" w:rsidR="00F53CB4" w:rsidRPr="006A1EC7" w:rsidRDefault="00F53CB4" w:rsidP="00AC2435">
            <w:pPr>
              <w:rPr>
                <w:sz w:val="18"/>
              </w:rPr>
            </w:pPr>
            <w:r w:rsidRPr="006A1EC7">
              <w:rPr>
                <w:sz w:val="18"/>
              </w:rPr>
              <w:t>.00</w:t>
            </w:r>
          </w:p>
        </w:tc>
        <w:tc>
          <w:tcPr>
            <w:tcW w:w="2126" w:type="dxa"/>
            <w:shd w:val="clear" w:color="auto" w:fill="E7E6E6" w:themeFill="background2"/>
          </w:tcPr>
          <w:p w14:paraId="16DC339D" w14:textId="77777777" w:rsidR="00F53CB4" w:rsidRPr="006A1EC7" w:rsidRDefault="00F53CB4" w:rsidP="00AC2435">
            <w:pPr>
              <w:rPr>
                <w:sz w:val="18"/>
              </w:rPr>
            </w:pPr>
            <w:r w:rsidRPr="006A1EC7">
              <w:rPr>
                <w:sz w:val="18"/>
              </w:rPr>
              <w:t>1.00</w:t>
            </w:r>
          </w:p>
        </w:tc>
      </w:tr>
      <w:tr w:rsidR="00F53CB4" w:rsidRPr="006A1EC7" w14:paraId="1A6F391E" w14:textId="77777777" w:rsidTr="00AC2435">
        <w:tc>
          <w:tcPr>
            <w:tcW w:w="2125" w:type="dxa"/>
            <w:shd w:val="clear" w:color="auto" w:fill="E7E6E6" w:themeFill="background2"/>
          </w:tcPr>
          <w:p w14:paraId="6B873834" w14:textId="77777777" w:rsidR="00F53CB4" w:rsidRPr="006A1EC7" w:rsidRDefault="00F53CB4" w:rsidP="00AC2435">
            <w:pPr>
              <w:rPr>
                <w:sz w:val="18"/>
              </w:rPr>
            </w:pPr>
            <w:r w:rsidRPr="006A1EC7">
              <w:rPr>
                <w:sz w:val="18"/>
              </w:rPr>
              <w:lastRenderedPageBreak/>
              <w:t>Central Nervous System</w:t>
            </w:r>
          </w:p>
        </w:tc>
        <w:tc>
          <w:tcPr>
            <w:tcW w:w="2126" w:type="dxa"/>
            <w:shd w:val="clear" w:color="auto" w:fill="E7E6E6" w:themeFill="background2"/>
          </w:tcPr>
          <w:p w14:paraId="3D842365" w14:textId="77777777" w:rsidR="00F53CB4" w:rsidRPr="006A1EC7" w:rsidRDefault="00F53CB4" w:rsidP="00AC2435">
            <w:pPr>
              <w:rPr>
                <w:sz w:val="18"/>
              </w:rPr>
            </w:pPr>
            <w:r w:rsidRPr="006A1EC7">
              <w:rPr>
                <w:sz w:val="18"/>
              </w:rPr>
              <w:t>17</w:t>
            </w:r>
          </w:p>
        </w:tc>
        <w:tc>
          <w:tcPr>
            <w:tcW w:w="2125" w:type="dxa"/>
            <w:shd w:val="clear" w:color="auto" w:fill="E7E6E6" w:themeFill="background2"/>
          </w:tcPr>
          <w:p w14:paraId="114EA0F4" w14:textId="77777777" w:rsidR="00F53CB4" w:rsidRPr="006A1EC7" w:rsidRDefault="00F53CB4" w:rsidP="00AC2435">
            <w:pPr>
              <w:rPr>
                <w:sz w:val="18"/>
              </w:rPr>
            </w:pPr>
            <w:r w:rsidRPr="006A1EC7">
              <w:rPr>
                <w:sz w:val="18"/>
              </w:rPr>
              <w:t>14</w:t>
            </w:r>
          </w:p>
        </w:tc>
        <w:tc>
          <w:tcPr>
            <w:tcW w:w="2126" w:type="dxa"/>
            <w:shd w:val="clear" w:color="auto" w:fill="E7E6E6" w:themeFill="background2"/>
          </w:tcPr>
          <w:p w14:paraId="10815A27" w14:textId="77777777" w:rsidR="00F53CB4" w:rsidRPr="006A1EC7" w:rsidRDefault="00F53CB4" w:rsidP="00AC2435">
            <w:pPr>
              <w:rPr>
                <w:sz w:val="18"/>
              </w:rPr>
            </w:pPr>
            <w:r w:rsidRPr="006A1EC7">
              <w:rPr>
                <w:sz w:val="18"/>
              </w:rPr>
              <w:t>15.5</w:t>
            </w:r>
          </w:p>
        </w:tc>
        <w:tc>
          <w:tcPr>
            <w:tcW w:w="2125" w:type="dxa"/>
            <w:shd w:val="clear" w:color="auto" w:fill="E7E6E6" w:themeFill="background2"/>
          </w:tcPr>
          <w:p w14:paraId="4D6C55C5" w14:textId="77777777" w:rsidR="00F53CB4" w:rsidRPr="006A1EC7" w:rsidRDefault="00F53CB4" w:rsidP="00AC2435">
            <w:pPr>
              <w:rPr>
                <w:sz w:val="18"/>
              </w:rPr>
            </w:pPr>
            <w:r w:rsidRPr="006A1EC7">
              <w:rPr>
                <w:sz w:val="18"/>
              </w:rPr>
              <w:t>14.97</w:t>
            </w:r>
          </w:p>
        </w:tc>
        <w:tc>
          <w:tcPr>
            <w:tcW w:w="2126" w:type="dxa"/>
            <w:shd w:val="clear" w:color="auto" w:fill="E7E6E6" w:themeFill="background2"/>
          </w:tcPr>
          <w:p w14:paraId="50234AF8" w14:textId="77777777" w:rsidR="00F53CB4" w:rsidRPr="006A1EC7" w:rsidRDefault="00F53CB4" w:rsidP="00AC2435">
            <w:pPr>
              <w:rPr>
                <w:sz w:val="18"/>
              </w:rPr>
            </w:pPr>
            <w:r w:rsidRPr="006A1EC7">
              <w:rPr>
                <w:sz w:val="18"/>
              </w:rPr>
              <w:t>-2.47</w:t>
            </w:r>
          </w:p>
        </w:tc>
        <w:tc>
          <w:tcPr>
            <w:tcW w:w="2126" w:type="dxa"/>
            <w:shd w:val="clear" w:color="auto" w:fill="E7E6E6" w:themeFill="background2"/>
          </w:tcPr>
          <w:p w14:paraId="74FFF537" w14:textId="77777777" w:rsidR="00F53CB4" w:rsidRPr="006A1EC7" w:rsidRDefault="00F53CB4" w:rsidP="00AC2435">
            <w:pPr>
              <w:rPr>
                <w:sz w:val="18"/>
              </w:rPr>
            </w:pPr>
            <w:r w:rsidRPr="006A1EC7">
              <w:rPr>
                <w:sz w:val="18"/>
              </w:rPr>
              <w:t>.048</w:t>
            </w:r>
          </w:p>
        </w:tc>
      </w:tr>
      <w:tr w:rsidR="00F53CB4" w:rsidRPr="006A1EC7" w14:paraId="7462CD34" w14:textId="77777777" w:rsidTr="00AC2435">
        <w:trPr>
          <w:trHeight w:val="353"/>
        </w:trPr>
        <w:tc>
          <w:tcPr>
            <w:tcW w:w="2125" w:type="dxa"/>
            <w:shd w:val="clear" w:color="auto" w:fill="E7E6E6" w:themeFill="background2"/>
          </w:tcPr>
          <w:p w14:paraId="37EEEA5F" w14:textId="77777777" w:rsidR="00F53CB4" w:rsidRPr="006A1EC7" w:rsidRDefault="00F53CB4" w:rsidP="00AC2435">
            <w:pPr>
              <w:rPr>
                <w:sz w:val="18"/>
              </w:rPr>
            </w:pPr>
            <w:r w:rsidRPr="006A1EC7">
              <w:rPr>
                <w:sz w:val="18"/>
              </w:rPr>
              <w:t>Functioning</w:t>
            </w:r>
          </w:p>
        </w:tc>
        <w:tc>
          <w:tcPr>
            <w:tcW w:w="2126" w:type="dxa"/>
            <w:shd w:val="clear" w:color="auto" w:fill="E7E6E6" w:themeFill="background2"/>
          </w:tcPr>
          <w:p w14:paraId="63A21A5F" w14:textId="77777777" w:rsidR="00F53CB4" w:rsidRPr="006A1EC7" w:rsidRDefault="00F53CB4" w:rsidP="00AC2435">
            <w:pPr>
              <w:rPr>
                <w:sz w:val="18"/>
              </w:rPr>
            </w:pPr>
            <w:r w:rsidRPr="006A1EC7">
              <w:rPr>
                <w:sz w:val="18"/>
              </w:rPr>
              <w:t>11</w:t>
            </w:r>
          </w:p>
        </w:tc>
        <w:tc>
          <w:tcPr>
            <w:tcW w:w="2125" w:type="dxa"/>
            <w:shd w:val="clear" w:color="auto" w:fill="E7E6E6" w:themeFill="background2"/>
          </w:tcPr>
          <w:p w14:paraId="5CDAA2E0" w14:textId="77777777" w:rsidR="00F53CB4" w:rsidRPr="006A1EC7" w:rsidRDefault="00F53CB4" w:rsidP="00AC2435">
            <w:pPr>
              <w:rPr>
                <w:sz w:val="18"/>
              </w:rPr>
            </w:pPr>
            <w:r w:rsidRPr="006A1EC7">
              <w:rPr>
                <w:sz w:val="18"/>
              </w:rPr>
              <w:t>11</w:t>
            </w:r>
          </w:p>
        </w:tc>
        <w:tc>
          <w:tcPr>
            <w:tcW w:w="2126" w:type="dxa"/>
            <w:shd w:val="clear" w:color="auto" w:fill="E7E6E6" w:themeFill="background2"/>
          </w:tcPr>
          <w:p w14:paraId="4AA74896" w14:textId="77777777" w:rsidR="00F53CB4" w:rsidRPr="006A1EC7" w:rsidRDefault="00F53CB4" w:rsidP="00AC2435">
            <w:pPr>
              <w:rPr>
                <w:sz w:val="18"/>
              </w:rPr>
            </w:pPr>
            <w:r w:rsidRPr="006A1EC7">
              <w:rPr>
                <w:sz w:val="18"/>
              </w:rPr>
              <w:t>11</w:t>
            </w:r>
          </w:p>
        </w:tc>
        <w:tc>
          <w:tcPr>
            <w:tcW w:w="2125" w:type="dxa"/>
            <w:shd w:val="clear" w:color="auto" w:fill="E7E6E6" w:themeFill="background2"/>
          </w:tcPr>
          <w:p w14:paraId="0E987AD6" w14:textId="77777777" w:rsidR="00F53CB4" w:rsidRPr="006A1EC7" w:rsidRDefault="00F53CB4" w:rsidP="00AC2435">
            <w:pPr>
              <w:rPr>
                <w:sz w:val="18"/>
              </w:rPr>
            </w:pPr>
            <w:r w:rsidRPr="006A1EC7">
              <w:rPr>
                <w:sz w:val="18"/>
              </w:rPr>
              <w:t>10.27</w:t>
            </w:r>
          </w:p>
        </w:tc>
        <w:tc>
          <w:tcPr>
            <w:tcW w:w="2126" w:type="dxa"/>
            <w:shd w:val="clear" w:color="auto" w:fill="E7E6E6" w:themeFill="background2"/>
          </w:tcPr>
          <w:p w14:paraId="0AAD1D24" w14:textId="77777777" w:rsidR="00F53CB4" w:rsidRPr="006A1EC7" w:rsidRDefault="00F53CB4" w:rsidP="00AC2435">
            <w:pPr>
              <w:rPr>
                <w:sz w:val="18"/>
              </w:rPr>
            </w:pPr>
            <w:r w:rsidRPr="006A1EC7">
              <w:rPr>
                <w:sz w:val="18"/>
              </w:rPr>
              <w:t>-3.453</w:t>
            </w:r>
          </w:p>
        </w:tc>
        <w:tc>
          <w:tcPr>
            <w:tcW w:w="2126" w:type="dxa"/>
            <w:shd w:val="clear" w:color="auto" w:fill="E7E6E6" w:themeFill="background2"/>
          </w:tcPr>
          <w:p w14:paraId="2E43A6CD" w14:textId="77777777" w:rsidR="00F53CB4" w:rsidRPr="006A1EC7" w:rsidRDefault="00F53CB4" w:rsidP="00AC2435">
            <w:pPr>
              <w:rPr>
                <w:sz w:val="18"/>
              </w:rPr>
            </w:pPr>
            <w:r w:rsidRPr="006A1EC7">
              <w:rPr>
                <w:sz w:val="18"/>
              </w:rPr>
              <w:t>.002</w:t>
            </w:r>
          </w:p>
        </w:tc>
      </w:tr>
      <w:tr w:rsidR="00F53CB4" w:rsidRPr="006A1EC7" w14:paraId="6FD93071" w14:textId="77777777" w:rsidTr="00AC2435">
        <w:tc>
          <w:tcPr>
            <w:tcW w:w="2125" w:type="dxa"/>
            <w:shd w:val="clear" w:color="auto" w:fill="4472C4" w:themeFill="accent1"/>
          </w:tcPr>
          <w:p w14:paraId="0D672FB7" w14:textId="77777777" w:rsidR="00F53CB4" w:rsidRPr="006A1EC7" w:rsidRDefault="00F53CB4" w:rsidP="00AC2435">
            <w:pPr>
              <w:rPr>
                <w:sz w:val="18"/>
              </w:rPr>
            </w:pPr>
            <w:r w:rsidRPr="006A1EC7">
              <w:rPr>
                <w:sz w:val="18"/>
              </w:rPr>
              <w:t>Immunology</w:t>
            </w:r>
          </w:p>
        </w:tc>
        <w:tc>
          <w:tcPr>
            <w:tcW w:w="2126" w:type="dxa"/>
            <w:shd w:val="clear" w:color="auto" w:fill="4472C4" w:themeFill="accent1"/>
          </w:tcPr>
          <w:p w14:paraId="4A9E41A4" w14:textId="77777777" w:rsidR="00F53CB4" w:rsidRPr="006A1EC7" w:rsidRDefault="00F53CB4" w:rsidP="00AC2435">
            <w:pPr>
              <w:rPr>
                <w:sz w:val="18"/>
              </w:rPr>
            </w:pPr>
            <w:r w:rsidRPr="006A1EC7">
              <w:rPr>
                <w:sz w:val="18"/>
              </w:rPr>
              <w:t>7</w:t>
            </w:r>
          </w:p>
        </w:tc>
        <w:tc>
          <w:tcPr>
            <w:tcW w:w="2125" w:type="dxa"/>
            <w:shd w:val="clear" w:color="auto" w:fill="4472C4" w:themeFill="accent1"/>
          </w:tcPr>
          <w:p w14:paraId="34491954" w14:textId="77777777" w:rsidR="00F53CB4" w:rsidRPr="006A1EC7" w:rsidRDefault="00F53CB4" w:rsidP="00AC2435">
            <w:pPr>
              <w:rPr>
                <w:sz w:val="18"/>
              </w:rPr>
            </w:pPr>
            <w:r w:rsidRPr="006A1EC7">
              <w:rPr>
                <w:sz w:val="18"/>
              </w:rPr>
              <w:t>9</w:t>
            </w:r>
          </w:p>
        </w:tc>
        <w:tc>
          <w:tcPr>
            <w:tcW w:w="2126" w:type="dxa"/>
            <w:shd w:val="clear" w:color="auto" w:fill="4472C4" w:themeFill="accent1"/>
          </w:tcPr>
          <w:p w14:paraId="735D82CE" w14:textId="77777777" w:rsidR="00F53CB4" w:rsidRPr="006A1EC7" w:rsidRDefault="00F53CB4" w:rsidP="00AC2435">
            <w:pPr>
              <w:rPr>
                <w:sz w:val="18"/>
              </w:rPr>
            </w:pPr>
            <w:r w:rsidRPr="006A1EC7">
              <w:rPr>
                <w:sz w:val="18"/>
              </w:rPr>
              <w:t>8</w:t>
            </w:r>
          </w:p>
        </w:tc>
        <w:tc>
          <w:tcPr>
            <w:tcW w:w="2125" w:type="dxa"/>
            <w:shd w:val="clear" w:color="auto" w:fill="4472C4" w:themeFill="accent1"/>
          </w:tcPr>
          <w:p w14:paraId="65700A20" w14:textId="77777777" w:rsidR="00F53CB4" w:rsidRPr="006A1EC7" w:rsidRDefault="00F53CB4" w:rsidP="00AC2435">
            <w:pPr>
              <w:rPr>
                <w:sz w:val="18"/>
              </w:rPr>
            </w:pPr>
            <w:r w:rsidRPr="006A1EC7">
              <w:rPr>
                <w:sz w:val="18"/>
              </w:rPr>
              <w:t>8.70</w:t>
            </w:r>
          </w:p>
        </w:tc>
        <w:tc>
          <w:tcPr>
            <w:tcW w:w="2126" w:type="dxa"/>
            <w:shd w:val="clear" w:color="auto" w:fill="4472C4" w:themeFill="accent1"/>
          </w:tcPr>
          <w:p w14:paraId="1641600B" w14:textId="77777777" w:rsidR="00F53CB4" w:rsidRPr="006A1EC7" w:rsidRDefault="00F53CB4" w:rsidP="00AC2435">
            <w:pPr>
              <w:rPr>
                <w:sz w:val="18"/>
              </w:rPr>
            </w:pPr>
            <w:r w:rsidRPr="006A1EC7">
              <w:rPr>
                <w:sz w:val="18"/>
              </w:rPr>
              <w:t>4.291</w:t>
            </w:r>
          </w:p>
        </w:tc>
        <w:tc>
          <w:tcPr>
            <w:tcW w:w="2126" w:type="dxa"/>
            <w:shd w:val="clear" w:color="auto" w:fill="4472C4" w:themeFill="accent1"/>
          </w:tcPr>
          <w:p w14:paraId="650E477B" w14:textId="77777777" w:rsidR="00F53CB4" w:rsidRPr="006A1EC7" w:rsidRDefault="00F53CB4" w:rsidP="00AC2435">
            <w:pPr>
              <w:rPr>
                <w:sz w:val="18"/>
              </w:rPr>
            </w:pPr>
            <w:r w:rsidRPr="006A1EC7">
              <w:rPr>
                <w:sz w:val="18"/>
              </w:rPr>
              <w:t>p &lt;.001</w:t>
            </w:r>
          </w:p>
        </w:tc>
      </w:tr>
      <w:tr w:rsidR="00F53CB4" w:rsidRPr="006A1EC7" w14:paraId="7CB07D0B" w14:textId="77777777" w:rsidTr="00AC2435">
        <w:tc>
          <w:tcPr>
            <w:tcW w:w="2125" w:type="dxa"/>
            <w:shd w:val="clear" w:color="auto" w:fill="A5A5A5" w:themeFill="accent3"/>
          </w:tcPr>
          <w:p w14:paraId="7A245B6E" w14:textId="77777777" w:rsidR="00F53CB4" w:rsidRPr="006A1EC7" w:rsidRDefault="00F53CB4" w:rsidP="00AC2435">
            <w:pPr>
              <w:rPr>
                <w:sz w:val="18"/>
              </w:rPr>
            </w:pPr>
            <w:r w:rsidRPr="006A1EC7">
              <w:rPr>
                <w:sz w:val="18"/>
              </w:rPr>
              <w:t>Sleep</w:t>
            </w:r>
          </w:p>
        </w:tc>
        <w:tc>
          <w:tcPr>
            <w:tcW w:w="2126" w:type="dxa"/>
            <w:shd w:val="clear" w:color="auto" w:fill="A5A5A5" w:themeFill="accent3"/>
          </w:tcPr>
          <w:p w14:paraId="5FD478E1" w14:textId="77777777" w:rsidR="00F53CB4" w:rsidRPr="006A1EC7" w:rsidRDefault="00F53CB4" w:rsidP="00AC2435">
            <w:pPr>
              <w:rPr>
                <w:sz w:val="18"/>
              </w:rPr>
            </w:pPr>
            <w:r w:rsidRPr="006A1EC7">
              <w:rPr>
                <w:sz w:val="18"/>
              </w:rPr>
              <w:t>3</w:t>
            </w:r>
          </w:p>
        </w:tc>
        <w:tc>
          <w:tcPr>
            <w:tcW w:w="2125" w:type="dxa"/>
            <w:shd w:val="clear" w:color="auto" w:fill="A5A5A5" w:themeFill="accent3"/>
          </w:tcPr>
          <w:p w14:paraId="752E3B8F" w14:textId="77777777" w:rsidR="00F53CB4" w:rsidRPr="006A1EC7" w:rsidRDefault="00F53CB4" w:rsidP="00AC2435">
            <w:pPr>
              <w:rPr>
                <w:sz w:val="18"/>
              </w:rPr>
            </w:pPr>
            <w:r w:rsidRPr="006A1EC7">
              <w:rPr>
                <w:sz w:val="18"/>
              </w:rPr>
              <w:t>3</w:t>
            </w:r>
          </w:p>
        </w:tc>
        <w:tc>
          <w:tcPr>
            <w:tcW w:w="2126" w:type="dxa"/>
            <w:shd w:val="clear" w:color="auto" w:fill="A5A5A5" w:themeFill="accent3"/>
          </w:tcPr>
          <w:p w14:paraId="09AFC567" w14:textId="77777777" w:rsidR="00F53CB4" w:rsidRPr="006A1EC7" w:rsidRDefault="00F53CB4" w:rsidP="00AC2435">
            <w:pPr>
              <w:rPr>
                <w:sz w:val="18"/>
              </w:rPr>
            </w:pPr>
            <w:r w:rsidRPr="006A1EC7">
              <w:rPr>
                <w:sz w:val="18"/>
              </w:rPr>
              <w:t>3</w:t>
            </w:r>
          </w:p>
        </w:tc>
        <w:tc>
          <w:tcPr>
            <w:tcW w:w="2125" w:type="dxa"/>
            <w:shd w:val="clear" w:color="auto" w:fill="A5A5A5" w:themeFill="accent3"/>
          </w:tcPr>
          <w:p w14:paraId="3734BBFD" w14:textId="77777777" w:rsidR="00F53CB4" w:rsidRPr="006A1EC7" w:rsidRDefault="00F53CB4" w:rsidP="00AC2435">
            <w:pPr>
              <w:rPr>
                <w:sz w:val="18"/>
              </w:rPr>
            </w:pPr>
            <w:r w:rsidRPr="006A1EC7">
              <w:rPr>
                <w:sz w:val="18"/>
              </w:rPr>
              <w:t>3.00</w:t>
            </w:r>
          </w:p>
        </w:tc>
        <w:tc>
          <w:tcPr>
            <w:tcW w:w="2126" w:type="dxa"/>
            <w:shd w:val="clear" w:color="auto" w:fill="A5A5A5" w:themeFill="accent3"/>
          </w:tcPr>
          <w:p w14:paraId="7D1C9BE5" w14:textId="77777777" w:rsidR="00F53CB4" w:rsidRPr="006A1EC7" w:rsidRDefault="00F53CB4" w:rsidP="00AC2435">
            <w:pPr>
              <w:rPr>
                <w:sz w:val="18"/>
              </w:rPr>
            </w:pPr>
            <w:r w:rsidRPr="006A1EC7">
              <w:rPr>
                <w:sz w:val="18"/>
              </w:rPr>
              <w:t>Cannot be calculates as SD = 0</w:t>
            </w:r>
          </w:p>
        </w:tc>
        <w:tc>
          <w:tcPr>
            <w:tcW w:w="2126" w:type="dxa"/>
            <w:shd w:val="clear" w:color="auto" w:fill="A5A5A5" w:themeFill="accent3"/>
          </w:tcPr>
          <w:p w14:paraId="4D9588DE" w14:textId="77777777" w:rsidR="00F53CB4" w:rsidRPr="006A1EC7" w:rsidRDefault="00F53CB4" w:rsidP="00AC2435">
            <w:pPr>
              <w:rPr>
                <w:sz w:val="18"/>
              </w:rPr>
            </w:pPr>
            <w:r w:rsidRPr="006A1EC7">
              <w:rPr>
                <w:sz w:val="18"/>
              </w:rPr>
              <w:t>-</w:t>
            </w:r>
          </w:p>
        </w:tc>
      </w:tr>
      <w:tr w:rsidR="00F53CB4" w:rsidRPr="006A1EC7" w14:paraId="31479662" w14:textId="77777777" w:rsidTr="00AC2435">
        <w:tc>
          <w:tcPr>
            <w:tcW w:w="2125" w:type="dxa"/>
            <w:shd w:val="clear" w:color="auto" w:fill="4472C4" w:themeFill="accent1"/>
          </w:tcPr>
          <w:p w14:paraId="19BA0B61" w14:textId="77777777" w:rsidR="00F53CB4" w:rsidRPr="006A1EC7" w:rsidRDefault="00F53CB4" w:rsidP="00AC2435">
            <w:pPr>
              <w:rPr>
                <w:sz w:val="18"/>
              </w:rPr>
            </w:pPr>
            <w:r w:rsidRPr="006A1EC7">
              <w:rPr>
                <w:sz w:val="18"/>
              </w:rPr>
              <w:t>Care</w:t>
            </w:r>
          </w:p>
        </w:tc>
        <w:tc>
          <w:tcPr>
            <w:tcW w:w="2126" w:type="dxa"/>
            <w:shd w:val="clear" w:color="auto" w:fill="4472C4" w:themeFill="accent1"/>
          </w:tcPr>
          <w:p w14:paraId="11534FCC" w14:textId="77777777" w:rsidR="00F53CB4" w:rsidRPr="006A1EC7" w:rsidRDefault="00F53CB4" w:rsidP="00AC2435">
            <w:pPr>
              <w:rPr>
                <w:sz w:val="18"/>
              </w:rPr>
            </w:pPr>
            <w:r w:rsidRPr="006A1EC7">
              <w:rPr>
                <w:sz w:val="18"/>
              </w:rPr>
              <w:t>1</w:t>
            </w:r>
          </w:p>
        </w:tc>
        <w:tc>
          <w:tcPr>
            <w:tcW w:w="2125" w:type="dxa"/>
            <w:shd w:val="clear" w:color="auto" w:fill="4472C4" w:themeFill="accent1"/>
          </w:tcPr>
          <w:p w14:paraId="44290A7E" w14:textId="77777777" w:rsidR="00F53CB4" w:rsidRPr="006A1EC7" w:rsidRDefault="00F53CB4" w:rsidP="00AC2435">
            <w:pPr>
              <w:rPr>
                <w:sz w:val="18"/>
              </w:rPr>
            </w:pPr>
            <w:r w:rsidRPr="006A1EC7">
              <w:rPr>
                <w:sz w:val="18"/>
              </w:rPr>
              <w:t>2</w:t>
            </w:r>
          </w:p>
        </w:tc>
        <w:tc>
          <w:tcPr>
            <w:tcW w:w="2126" w:type="dxa"/>
            <w:shd w:val="clear" w:color="auto" w:fill="4472C4" w:themeFill="accent1"/>
          </w:tcPr>
          <w:p w14:paraId="75846541" w14:textId="77777777" w:rsidR="00F53CB4" w:rsidRPr="006A1EC7" w:rsidRDefault="00F53CB4" w:rsidP="00AC2435">
            <w:pPr>
              <w:rPr>
                <w:sz w:val="18"/>
              </w:rPr>
            </w:pPr>
            <w:r w:rsidRPr="006A1EC7">
              <w:rPr>
                <w:sz w:val="18"/>
              </w:rPr>
              <w:t>1.5</w:t>
            </w:r>
          </w:p>
        </w:tc>
        <w:tc>
          <w:tcPr>
            <w:tcW w:w="2125" w:type="dxa"/>
            <w:shd w:val="clear" w:color="auto" w:fill="4472C4" w:themeFill="accent1"/>
          </w:tcPr>
          <w:p w14:paraId="732D5483" w14:textId="77777777" w:rsidR="00F53CB4" w:rsidRPr="006A1EC7" w:rsidRDefault="00F53CB4" w:rsidP="00AC2435">
            <w:pPr>
              <w:rPr>
                <w:sz w:val="18"/>
              </w:rPr>
            </w:pPr>
            <w:r w:rsidRPr="006A1EC7">
              <w:rPr>
                <w:sz w:val="18"/>
              </w:rPr>
              <w:t>1.14</w:t>
            </w:r>
          </w:p>
        </w:tc>
        <w:tc>
          <w:tcPr>
            <w:tcW w:w="2126" w:type="dxa"/>
            <w:shd w:val="clear" w:color="auto" w:fill="4472C4" w:themeFill="accent1"/>
          </w:tcPr>
          <w:p w14:paraId="2D1026FE" w14:textId="77777777" w:rsidR="00F53CB4" w:rsidRPr="006A1EC7" w:rsidRDefault="00F53CB4" w:rsidP="00AC2435">
            <w:pPr>
              <w:rPr>
                <w:sz w:val="18"/>
              </w:rPr>
            </w:pPr>
            <w:r w:rsidRPr="006A1EC7">
              <w:rPr>
                <w:sz w:val="18"/>
              </w:rPr>
              <w:t>-6.404</w:t>
            </w:r>
          </w:p>
        </w:tc>
        <w:tc>
          <w:tcPr>
            <w:tcW w:w="2126" w:type="dxa"/>
            <w:shd w:val="clear" w:color="auto" w:fill="4472C4" w:themeFill="accent1"/>
          </w:tcPr>
          <w:p w14:paraId="5FB4AC6C" w14:textId="77777777" w:rsidR="00F53CB4" w:rsidRPr="006A1EC7" w:rsidRDefault="00F53CB4" w:rsidP="00AC2435">
            <w:pPr>
              <w:rPr>
                <w:sz w:val="18"/>
              </w:rPr>
            </w:pPr>
            <w:r w:rsidRPr="006A1EC7">
              <w:rPr>
                <w:sz w:val="18"/>
              </w:rPr>
              <w:t>p &lt;.001</w:t>
            </w:r>
          </w:p>
        </w:tc>
      </w:tr>
      <w:tr w:rsidR="00F53CB4" w:rsidRPr="006A1EC7" w14:paraId="575CB00A" w14:textId="77777777" w:rsidTr="00AC2435">
        <w:tc>
          <w:tcPr>
            <w:tcW w:w="2125" w:type="dxa"/>
            <w:shd w:val="clear" w:color="auto" w:fill="4472C4" w:themeFill="accent1"/>
          </w:tcPr>
          <w:p w14:paraId="2260FDB4" w14:textId="77777777" w:rsidR="00F53CB4" w:rsidRPr="006A1EC7" w:rsidRDefault="00F53CB4" w:rsidP="00AC2435">
            <w:pPr>
              <w:rPr>
                <w:sz w:val="18"/>
              </w:rPr>
            </w:pPr>
            <w:r w:rsidRPr="006A1EC7">
              <w:rPr>
                <w:sz w:val="18"/>
              </w:rPr>
              <w:t>Total</w:t>
            </w:r>
          </w:p>
        </w:tc>
        <w:tc>
          <w:tcPr>
            <w:tcW w:w="2126" w:type="dxa"/>
            <w:shd w:val="clear" w:color="auto" w:fill="4472C4" w:themeFill="accent1"/>
          </w:tcPr>
          <w:p w14:paraId="7DF19C88" w14:textId="77777777" w:rsidR="00F53CB4" w:rsidRPr="006A1EC7" w:rsidRDefault="00F53CB4" w:rsidP="00AC2435">
            <w:pPr>
              <w:rPr>
                <w:sz w:val="18"/>
              </w:rPr>
            </w:pPr>
            <w:r w:rsidRPr="006A1EC7">
              <w:rPr>
                <w:sz w:val="18"/>
              </w:rPr>
              <w:t>65</w:t>
            </w:r>
          </w:p>
        </w:tc>
        <w:tc>
          <w:tcPr>
            <w:tcW w:w="2125" w:type="dxa"/>
            <w:shd w:val="clear" w:color="auto" w:fill="4472C4" w:themeFill="accent1"/>
          </w:tcPr>
          <w:p w14:paraId="390F0BD0" w14:textId="77777777" w:rsidR="00F53CB4" w:rsidRPr="006A1EC7" w:rsidRDefault="00F53CB4" w:rsidP="00AC2435">
            <w:pPr>
              <w:rPr>
                <w:sz w:val="18"/>
              </w:rPr>
            </w:pPr>
            <w:r w:rsidRPr="006A1EC7">
              <w:rPr>
                <w:sz w:val="18"/>
              </w:rPr>
              <w:t>69</w:t>
            </w:r>
          </w:p>
        </w:tc>
        <w:tc>
          <w:tcPr>
            <w:tcW w:w="2126" w:type="dxa"/>
            <w:shd w:val="clear" w:color="auto" w:fill="4472C4" w:themeFill="accent1"/>
          </w:tcPr>
          <w:p w14:paraId="1144EE87" w14:textId="77777777" w:rsidR="00F53CB4" w:rsidRPr="006A1EC7" w:rsidRDefault="00F53CB4" w:rsidP="00AC2435">
            <w:pPr>
              <w:rPr>
                <w:sz w:val="18"/>
              </w:rPr>
            </w:pPr>
            <w:r w:rsidRPr="006A1EC7">
              <w:rPr>
                <w:sz w:val="18"/>
              </w:rPr>
              <w:t>67</w:t>
            </w:r>
          </w:p>
        </w:tc>
        <w:tc>
          <w:tcPr>
            <w:tcW w:w="2125" w:type="dxa"/>
            <w:shd w:val="clear" w:color="auto" w:fill="4472C4" w:themeFill="accent1"/>
          </w:tcPr>
          <w:p w14:paraId="1C7F5ADB" w14:textId="77777777" w:rsidR="00F53CB4" w:rsidRPr="006A1EC7" w:rsidRDefault="00F53CB4" w:rsidP="00AC2435">
            <w:pPr>
              <w:rPr>
                <w:sz w:val="18"/>
              </w:rPr>
            </w:pPr>
            <w:r w:rsidRPr="006A1EC7">
              <w:rPr>
                <w:sz w:val="18"/>
              </w:rPr>
              <w:t>69.58</w:t>
            </w:r>
          </w:p>
        </w:tc>
        <w:tc>
          <w:tcPr>
            <w:tcW w:w="2126" w:type="dxa"/>
            <w:shd w:val="clear" w:color="auto" w:fill="4472C4" w:themeFill="accent1"/>
          </w:tcPr>
          <w:p w14:paraId="5CCD44AB" w14:textId="77777777" w:rsidR="00F53CB4" w:rsidRPr="006A1EC7" w:rsidRDefault="00F53CB4" w:rsidP="00AC2435">
            <w:pPr>
              <w:rPr>
                <w:sz w:val="18"/>
              </w:rPr>
            </w:pPr>
            <w:r w:rsidRPr="006A1EC7">
              <w:rPr>
                <w:sz w:val="18"/>
              </w:rPr>
              <w:t>3.681</w:t>
            </w:r>
          </w:p>
        </w:tc>
        <w:tc>
          <w:tcPr>
            <w:tcW w:w="2126" w:type="dxa"/>
            <w:shd w:val="clear" w:color="auto" w:fill="4472C4" w:themeFill="accent1"/>
          </w:tcPr>
          <w:p w14:paraId="49D04E67" w14:textId="77777777" w:rsidR="00F53CB4" w:rsidRPr="006A1EC7" w:rsidRDefault="00F53CB4" w:rsidP="00AC2435">
            <w:pPr>
              <w:rPr>
                <w:sz w:val="18"/>
              </w:rPr>
            </w:pPr>
            <w:r w:rsidRPr="006A1EC7">
              <w:rPr>
                <w:sz w:val="18"/>
              </w:rPr>
              <w:t>.001</w:t>
            </w:r>
          </w:p>
        </w:tc>
      </w:tr>
    </w:tbl>
    <w:p w14:paraId="19DA5BAF" w14:textId="77777777" w:rsidR="00F53CB4" w:rsidRPr="006A1EC7" w:rsidRDefault="00F53CB4" w:rsidP="00F53CB4">
      <w:pPr>
        <w:spacing w:line="360" w:lineRule="auto"/>
        <w:rPr>
          <w:sz w:val="18"/>
        </w:rPr>
      </w:pPr>
    </w:p>
    <w:p w14:paraId="68FBF933" w14:textId="77777777" w:rsidR="00F53CB4" w:rsidRPr="006A1EC7" w:rsidRDefault="00F53CB4" w:rsidP="00F53CB4">
      <w:pPr>
        <w:spacing w:line="360" w:lineRule="auto"/>
        <w:sectPr w:rsidR="00F53CB4" w:rsidRPr="006A1EC7" w:rsidSect="00AC2435">
          <w:type w:val="nextColumn"/>
          <w:pgSz w:w="16840" w:h="11900" w:orient="landscape"/>
          <w:pgMar w:top="1440" w:right="1701" w:bottom="1440" w:left="1701" w:header="709" w:footer="709" w:gutter="0"/>
          <w:cols w:space="708"/>
          <w:docGrid w:linePitch="360"/>
        </w:sectPr>
      </w:pPr>
      <w:r w:rsidRPr="006A1EC7">
        <w:tab/>
      </w:r>
    </w:p>
    <w:p w14:paraId="25941550" w14:textId="77777777" w:rsidR="00F53CB4" w:rsidRPr="006A1EC7" w:rsidRDefault="00F53CB4" w:rsidP="00F53CB4">
      <w:pPr>
        <w:spacing w:line="360" w:lineRule="auto"/>
      </w:pPr>
      <w:r w:rsidRPr="006A1EC7">
        <w:lastRenderedPageBreak/>
        <w:t xml:space="preserve">When further examining the significant one-sample t-test results, it became obvious that some of the means (AM/KV versus sample), on which the results of one-sample t-tests are based, were not too dissimilar from each other; yet their standard deviations were large enough to make a statistical difference. They were often within one scale point of each other (indicating adjacent agreement). </w:t>
      </w:r>
    </w:p>
    <w:p w14:paraId="3D02543C" w14:textId="77777777" w:rsidR="00F53CB4" w:rsidRPr="006A1EC7" w:rsidRDefault="00F53CB4" w:rsidP="00F53CB4">
      <w:pPr>
        <w:spacing w:line="360" w:lineRule="auto"/>
        <w:ind w:firstLine="720"/>
      </w:pPr>
      <w:r w:rsidRPr="006A1EC7">
        <w:t xml:space="preserve">As a result, these 16 significant t-test results were examined and further split in two groups: If the two means were within one point of each other, they were classed as statistically but not clinically significant (yellow in Table 24) due to adjacent agreement and as a one point change would not make a significant clinical difference to assessment of patient health status. Statistically and clinically significant where the means between the sample and AM/KV differed by more than one point (orange in Table 24); this is referred to as ‘close but not perfect’ or ‘adjacent’ agreement </w:t>
      </w:r>
      <w:r w:rsidRPr="006A1EC7">
        <w:fldChar w:fldCharType="begin" w:fldLock="1"/>
      </w:r>
      <w:r w:rsidRPr="006A1EC7">
        <w:instrText>ADDIN CSL_CITATION {"citationItems":[{"id":"ITEM-1","itemData":{"DOI":"10.4135/9781412995627.d5","ISBN":"9781412940658","author":[{"dropping-particle":"","family":"Stemler","given":"Steven E.","non-dropping-particle":"","parse-names":false,"suffix":""},{"dropping-particle":"","family":"Tsai","given":"Jessica","non-dropping-particle":"","parse-names":false,"suffix":""}],"container-title":"Best Practices in Quantitative Methods","editor":[{"dropping-particle":"","family":"Osborne","given":"Jason","non-dropping-particle":"","parse-names":false,"suffix":""}],"id":"ITEM-1","issued":{"date-parts":[["2011"]]},"page":"29-49","publisher":"Sage Publication","publisher-place":"Thousand Oaks","title":"Best Practices in Interrater Reliability Three Common Approaches","type":"chapter"},"uris":["http://www.mendeley.com/documents/?uuid=eaa107a7-868b-4d9f-8e5a-4af37e4d67b0"]},{"id":"ITEM-2","itemData":{"author":[{"dropping-particle":"","family":"Hallgren","given":"K","non-dropping-particle":"","parse-names":false,"suffix":""}],"container-title":"Tutor Quant Methods Psychol","id":"ITEM-2","issue":"1","issued":{"date-parts":[["2012"]]},"page":"23-34","title":"Computing Inter-Rater Reliability for Observational Data: An Overview and Tutorial Kevin","type":"article-journal","volume":"8"},"uris":["http://www.mendeley.com/documents/?uuid=8faa4420-f914-4fd0-b0f4-b283600c1907"]}],"mendeley":{"formattedCitation":"(Hallgren, 2012; Stemler &amp; Tsai, 2011)","plainTextFormattedCitation":"(Hallgren, 2012; Stemler &amp; Tsai, 2011)","previouslyFormattedCitation":"(Hallgren, 2012; Stemler &amp; Tsai, 2011)"},"properties":{"noteIndex":0},"schema":"https://github.com/citation-style-language/schema/raw/master/csl-citation.json"}</w:instrText>
      </w:r>
      <w:r w:rsidRPr="006A1EC7">
        <w:fldChar w:fldCharType="separate"/>
      </w:r>
      <w:r w:rsidRPr="006A1EC7">
        <w:rPr>
          <w:noProof/>
        </w:rPr>
        <w:t>(Hallgren, 2012; Stemler &amp; Tsai, 2011)</w:t>
      </w:r>
      <w:r w:rsidRPr="006A1EC7">
        <w:fldChar w:fldCharType="end"/>
      </w:r>
    </w:p>
    <w:p w14:paraId="1D666827" w14:textId="77777777" w:rsidR="00F53CB4" w:rsidRPr="006A1EC7" w:rsidRDefault="00F53CB4" w:rsidP="00F53CB4">
      <w:pPr>
        <w:spacing w:line="360" w:lineRule="auto"/>
      </w:pPr>
      <w:r w:rsidRPr="006A1EC7">
        <w:tab/>
        <w:t xml:space="preserve">One example for a statistical but not clinical significance were the scores Alessandro-Immunology, KV/AM’s mean was 8.0 while sample mean was 8.70. The results for EmmaTTL (KV/AM: 41; Sample: 51.08); on the other hand, are both clinically and statistically significant. The subscales that were indicated to have low inter-rater reliability were: Total Score (Alessandro, Bronagh, Emma); Gastrointestinal (Bronagh), Epilepsy (Emma), Immunology (Emma, Fineen), Cardiac-respiratory (Fineen). </w:t>
      </w:r>
    </w:p>
    <w:p w14:paraId="7CB65849" w14:textId="77777777" w:rsidR="00F53CB4" w:rsidRPr="006A1EC7" w:rsidRDefault="00F53CB4" w:rsidP="00F53CB4">
      <w:pPr>
        <w:spacing w:line="360" w:lineRule="auto"/>
      </w:pPr>
    </w:p>
    <w:p w14:paraId="7A65EA98" w14:textId="77777777" w:rsidR="00F53CB4" w:rsidRPr="006A1EC7" w:rsidRDefault="00F53CB4" w:rsidP="00F53CB4"/>
    <w:p w14:paraId="32E5AFA6" w14:textId="77777777" w:rsidR="00F53CB4" w:rsidRPr="006A1EC7" w:rsidRDefault="00F53CB4" w:rsidP="00F53CB4">
      <w:pPr>
        <w:pStyle w:val="Caption"/>
        <w:keepNext/>
        <w:rPr>
          <w:sz w:val="24"/>
          <w:szCs w:val="24"/>
        </w:rPr>
      </w:pPr>
      <w:bookmarkStart w:id="254" w:name="_Toc40173049"/>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25</w:t>
      </w:r>
      <w:r w:rsidRPr="006A1EC7">
        <w:rPr>
          <w:sz w:val="24"/>
          <w:szCs w:val="24"/>
        </w:rPr>
        <w:fldChar w:fldCharType="end"/>
      </w:r>
      <w:r w:rsidRPr="006A1EC7">
        <w:rPr>
          <w:sz w:val="24"/>
          <w:szCs w:val="24"/>
        </w:rPr>
        <w:t>: Overview of significant one sample t-test results</w:t>
      </w:r>
      <w:bookmarkEnd w:id="254"/>
    </w:p>
    <w:tbl>
      <w:tblPr>
        <w:tblStyle w:val="TableGrid"/>
        <w:tblW w:w="0" w:type="auto"/>
        <w:tblLook w:val="04A0" w:firstRow="1" w:lastRow="0" w:firstColumn="1" w:lastColumn="0" w:noHBand="0" w:noVBand="1"/>
      </w:tblPr>
      <w:tblGrid>
        <w:gridCol w:w="2251"/>
        <w:gridCol w:w="995"/>
        <w:gridCol w:w="1030"/>
        <w:gridCol w:w="2865"/>
        <w:gridCol w:w="1083"/>
      </w:tblGrid>
      <w:tr w:rsidR="00F53CB4" w:rsidRPr="006A1EC7" w14:paraId="718B8190" w14:textId="77777777" w:rsidTr="00AC2435">
        <w:tc>
          <w:tcPr>
            <w:tcW w:w="0" w:type="auto"/>
            <w:shd w:val="clear" w:color="auto" w:fill="auto"/>
          </w:tcPr>
          <w:p w14:paraId="30903278" w14:textId="77777777" w:rsidR="00F53CB4" w:rsidRPr="006A1EC7" w:rsidRDefault="00F53CB4" w:rsidP="00AC2435">
            <w:pPr>
              <w:rPr>
                <w:sz w:val="18"/>
                <w:szCs w:val="18"/>
              </w:rPr>
            </w:pPr>
            <w:r w:rsidRPr="006A1EC7">
              <w:rPr>
                <w:sz w:val="18"/>
                <w:szCs w:val="18"/>
              </w:rPr>
              <w:t>Subscale</w:t>
            </w:r>
          </w:p>
        </w:tc>
        <w:tc>
          <w:tcPr>
            <w:tcW w:w="995" w:type="dxa"/>
            <w:shd w:val="clear" w:color="auto" w:fill="FFFF00"/>
          </w:tcPr>
          <w:p w14:paraId="26ED0428" w14:textId="77777777" w:rsidR="00F53CB4" w:rsidRPr="006A1EC7" w:rsidRDefault="00F53CB4" w:rsidP="00AC2435">
            <w:pPr>
              <w:rPr>
                <w:sz w:val="18"/>
                <w:szCs w:val="18"/>
              </w:rPr>
            </w:pPr>
            <w:r w:rsidRPr="006A1EC7">
              <w:rPr>
                <w:sz w:val="18"/>
                <w:szCs w:val="18"/>
              </w:rPr>
              <w:t>KV/AM mean</w:t>
            </w:r>
          </w:p>
        </w:tc>
        <w:tc>
          <w:tcPr>
            <w:tcW w:w="1030" w:type="dxa"/>
            <w:shd w:val="clear" w:color="auto" w:fill="FFFF00"/>
          </w:tcPr>
          <w:p w14:paraId="6DC52ED9" w14:textId="77777777" w:rsidR="00F53CB4" w:rsidRPr="006A1EC7" w:rsidRDefault="00F53CB4" w:rsidP="00AC2435">
            <w:pPr>
              <w:rPr>
                <w:sz w:val="18"/>
                <w:szCs w:val="18"/>
              </w:rPr>
            </w:pPr>
            <w:r w:rsidRPr="006A1EC7">
              <w:rPr>
                <w:sz w:val="18"/>
                <w:szCs w:val="18"/>
              </w:rPr>
              <w:t>Sample mean</w:t>
            </w:r>
          </w:p>
        </w:tc>
        <w:tc>
          <w:tcPr>
            <w:tcW w:w="2865" w:type="dxa"/>
            <w:shd w:val="clear" w:color="auto" w:fill="auto"/>
          </w:tcPr>
          <w:p w14:paraId="40A31D23" w14:textId="77777777" w:rsidR="00F53CB4" w:rsidRPr="006A1EC7" w:rsidRDefault="00F53CB4" w:rsidP="00AC2435">
            <w:pPr>
              <w:rPr>
                <w:sz w:val="18"/>
                <w:szCs w:val="18"/>
              </w:rPr>
            </w:pPr>
            <w:r w:rsidRPr="006A1EC7">
              <w:rPr>
                <w:sz w:val="18"/>
                <w:szCs w:val="18"/>
              </w:rPr>
              <w:t>t-value</w:t>
            </w:r>
          </w:p>
        </w:tc>
        <w:tc>
          <w:tcPr>
            <w:tcW w:w="1083" w:type="dxa"/>
            <w:shd w:val="clear" w:color="auto" w:fill="auto"/>
          </w:tcPr>
          <w:p w14:paraId="4CA1AD8B" w14:textId="77777777" w:rsidR="00F53CB4" w:rsidRPr="006A1EC7" w:rsidRDefault="00F53CB4" w:rsidP="00AC2435">
            <w:pPr>
              <w:rPr>
                <w:sz w:val="18"/>
                <w:szCs w:val="18"/>
              </w:rPr>
            </w:pPr>
            <w:r w:rsidRPr="006A1EC7">
              <w:rPr>
                <w:sz w:val="18"/>
                <w:szCs w:val="18"/>
              </w:rPr>
              <w:t>p-value</w:t>
            </w:r>
          </w:p>
        </w:tc>
      </w:tr>
      <w:tr w:rsidR="00F53CB4" w:rsidRPr="006A1EC7" w14:paraId="797A2B1E" w14:textId="77777777" w:rsidTr="00AC2435">
        <w:tc>
          <w:tcPr>
            <w:tcW w:w="0" w:type="auto"/>
            <w:shd w:val="clear" w:color="auto" w:fill="auto"/>
          </w:tcPr>
          <w:p w14:paraId="0FF669E0" w14:textId="77777777" w:rsidR="00F53CB4" w:rsidRPr="006A1EC7" w:rsidRDefault="00F53CB4" w:rsidP="00AC2435">
            <w:pPr>
              <w:rPr>
                <w:sz w:val="18"/>
                <w:szCs w:val="18"/>
              </w:rPr>
            </w:pPr>
            <w:r w:rsidRPr="006A1EC7">
              <w:rPr>
                <w:sz w:val="18"/>
                <w:szCs w:val="18"/>
              </w:rPr>
              <w:t>Alessandro Care</w:t>
            </w:r>
          </w:p>
        </w:tc>
        <w:tc>
          <w:tcPr>
            <w:tcW w:w="995" w:type="dxa"/>
            <w:shd w:val="clear" w:color="auto" w:fill="FFFF00"/>
          </w:tcPr>
          <w:p w14:paraId="7B4873E3" w14:textId="77777777" w:rsidR="00F53CB4" w:rsidRPr="006A1EC7" w:rsidRDefault="00F53CB4" w:rsidP="00AC2435">
            <w:pPr>
              <w:rPr>
                <w:sz w:val="18"/>
                <w:szCs w:val="18"/>
              </w:rPr>
            </w:pPr>
            <w:r w:rsidRPr="006A1EC7">
              <w:rPr>
                <w:sz w:val="18"/>
                <w:szCs w:val="18"/>
              </w:rPr>
              <w:t>1.5</w:t>
            </w:r>
          </w:p>
        </w:tc>
        <w:tc>
          <w:tcPr>
            <w:tcW w:w="1030" w:type="dxa"/>
            <w:shd w:val="clear" w:color="auto" w:fill="FFFF00"/>
          </w:tcPr>
          <w:p w14:paraId="2592D08A" w14:textId="77777777" w:rsidR="00F53CB4" w:rsidRPr="006A1EC7" w:rsidRDefault="00F53CB4" w:rsidP="00AC2435">
            <w:pPr>
              <w:rPr>
                <w:sz w:val="18"/>
                <w:szCs w:val="18"/>
              </w:rPr>
            </w:pPr>
            <w:r w:rsidRPr="006A1EC7">
              <w:rPr>
                <w:sz w:val="18"/>
                <w:szCs w:val="18"/>
              </w:rPr>
              <w:t>1.14</w:t>
            </w:r>
          </w:p>
        </w:tc>
        <w:tc>
          <w:tcPr>
            <w:tcW w:w="2865" w:type="dxa"/>
            <w:shd w:val="clear" w:color="auto" w:fill="auto"/>
          </w:tcPr>
          <w:p w14:paraId="0C570864" w14:textId="77777777" w:rsidR="00F53CB4" w:rsidRPr="006A1EC7" w:rsidRDefault="00F53CB4" w:rsidP="00AC2435">
            <w:pPr>
              <w:rPr>
                <w:sz w:val="18"/>
                <w:szCs w:val="18"/>
              </w:rPr>
            </w:pPr>
            <w:r w:rsidRPr="006A1EC7">
              <w:rPr>
                <w:sz w:val="18"/>
                <w:szCs w:val="18"/>
              </w:rPr>
              <w:t>-6.404</w:t>
            </w:r>
          </w:p>
        </w:tc>
        <w:tc>
          <w:tcPr>
            <w:tcW w:w="1083" w:type="dxa"/>
            <w:shd w:val="clear" w:color="auto" w:fill="auto"/>
          </w:tcPr>
          <w:p w14:paraId="01E99808" w14:textId="77777777" w:rsidR="00F53CB4" w:rsidRPr="006A1EC7" w:rsidRDefault="00F53CB4" w:rsidP="00AC2435">
            <w:pPr>
              <w:rPr>
                <w:sz w:val="18"/>
                <w:szCs w:val="18"/>
              </w:rPr>
            </w:pPr>
            <w:r w:rsidRPr="006A1EC7">
              <w:rPr>
                <w:sz w:val="18"/>
                <w:szCs w:val="18"/>
              </w:rPr>
              <w:t>.000</w:t>
            </w:r>
          </w:p>
        </w:tc>
      </w:tr>
      <w:tr w:rsidR="00F53CB4" w:rsidRPr="006A1EC7" w14:paraId="57A73798" w14:textId="77777777" w:rsidTr="00AC2435">
        <w:trPr>
          <w:trHeight w:val="333"/>
        </w:trPr>
        <w:tc>
          <w:tcPr>
            <w:tcW w:w="0" w:type="auto"/>
            <w:shd w:val="clear" w:color="auto" w:fill="auto"/>
          </w:tcPr>
          <w:p w14:paraId="5ED5114A" w14:textId="77777777" w:rsidR="00F53CB4" w:rsidRPr="006A1EC7" w:rsidRDefault="00F53CB4" w:rsidP="00AC2435">
            <w:pPr>
              <w:rPr>
                <w:sz w:val="18"/>
                <w:szCs w:val="18"/>
              </w:rPr>
            </w:pPr>
            <w:r w:rsidRPr="006A1EC7">
              <w:rPr>
                <w:sz w:val="18"/>
                <w:szCs w:val="18"/>
              </w:rPr>
              <w:t>Alessandro Total</w:t>
            </w:r>
          </w:p>
        </w:tc>
        <w:tc>
          <w:tcPr>
            <w:tcW w:w="995" w:type="dxa"/>
            <w:shd w:val="clear" w:color="auto" w:fill="FFC000"/>
          </w:tcPr>
          <w:p w14:paraId="2F052A50" w14:textId="77777777" w:rsidR="00F53CB4" w:rsidRPr="006A1EC7" w:rsidRDefault="00F53CB4" w:rsidP="00AC2435">
            <w:pPr>
              <w:rPr>
                <w:sz w:val="18"/>
                <w:szCs w:val="18"/>
              </w:rPr>
            </w:pPr>
            <w:r w:rsidRPr="006A1EC7">
              <w:rPr>
                <w:sz w:val="18"/>
                <w:szCs w:val="18"/>
              </w:rPr>
              <w:t>67</w:t>
            </w:r>
          </w:p>
        </w:tc>
        <w:tc>
          <w:tcPr>
            <w:tcW w:w="1030" w:type="dxa"/>
            <w:shd w:val="clear" w:color="auto" w:fill="FFC000"/>
          </w:tcPr>
          <w:p w14:paraId="7434FE26" w14:textId="77777777" w:rsidR="00F53CB4" w:rsidRPr="006A1EC7" w:rsidRDefault="00F53CB4" w:rsidP="00AC2435">
            <w:pPr>
              <w:rPr>
                <w:sz w:val="18"/>
                <w:szCs w:val="18"/>
              </w:rPr>
            </w:pPr>
            <w:r w:rsidRPr="006A1EC7">
              <w:rPr>
                <w:sz w:val="18"/>
                <w:szCs w:val="18"/>
              </w:rPr>
              <w:t>69.58</w:t>
            </w:r>
          </w:p>
        </w:tc>
        <w:tc>
          <w:tcPr>
            <w:tcW w:w="2865" w:type="dxa"/>
            <w:shd w:val="clear" w:color="auto" w:fill="auto"/>
          </w:tcPr>
          <w:p w14:paraId="3006F5C3" w14:textId="77777777" w:rsidR="00F53CB4" w:rsidRPr="006A1EC7" w:rsidRDefault="00F53CB4" w:rsidP="00AC2435">
            <w:pPr>
              <w:rPr>
                <w:sz w:val="18"/>
                <w:szCs w:val="18"/>
              </w:rPr>
            </w:pPr>
            <w:r w:rsidRPr="006A1EC7">
              <w:rPr>
                <w:sz w:val="18"/>
                <w:szCs w:val="18"/>
              </w:rPr>
              <w:t>3.681</w:t>
            </w:r>
          </w:p>
        </w:tc>
        <w:tc>
          <w:tcPr>
            <w:tcW w:w="1083" w:type="dxa"/>
            <w:shd w:val="clear" w:color="auto" w:fill="auto"/>
          </w:tcPr>
          <w:p w14:paraId="160EFA5B" w14:textId="77777777" w:rsidR="00F53CB4" w:rsidRPr="006A1EC7" w:rsidRDefault="00F53CB4" w:rsidP="00AC2435">
            <w:pPr>
              <w:rPr>
                <w:sz w:val="18"/>
                <w:szCs w:val="18"/>
              </w:rPr>
            </w:pPr>
            <w:r w:rsidRPr="006A1EC7">
              <w:rPr>
                <w:sz w:val="18"/>
                <w:szCs w:val="18"/>
              </w:rPr>
              <w:t>.001</w:t>
            </w:r>
          </w:p>
        </w:tc>
      </w:tr>
      <w:tr w:rsidR="00F53CB4" w:rsidRPr="006A1EC7" w14:paraId="6A8D2CAB" w14:textId="77777777" w:rsidTr="00AC2435">
        <w:tc>
          <w:tcPr>
            <w:tcW w:w="0" w:type="auto"/>
            <w:shd w:val="clear" w:color="auto" w:fill="auto"/>
          </w:tcPr>
          <w:p w14:paraId="450CA772" w14:textId="77777777" w:rsidR="00F53CB4" w:rsidRPr="006A1EC7" w:rsidRDefault="00F53CB4" w:rsidP="00AC2435">
            <w:pPr>
              <w:rPr>
                <w:sz w:val="18"/>
                <w:szCs w:val="18"/>
              </w:rPr>
            </w:pPr>
            <w:r w:rsidRPr="006A1EC7">
              <w:rPr>
                <w:sz w:val="18"/>
                <w:szCs w:val="18"/>
              </w:rPr>
              <w:t>Alessandro Immunology</w:t>
            </w:r>
          </w:p>
        </w:tc>
        <w:tc>
          <w:tcPr>
            <w:tcW w:w="995" w:type="dxa"/>
            <w:shd w:val="clear" w:color="auto" w:fill="FFFF00"/>
          </w:tcPr>
          <w:p w14:paraId="1180A977" w14:textId="77777777" w:rsidR="00F53CB4" w:rsidRPr="006A1EC7" w:rsidRDefault="00F53CB4" w:rsidP="00AC2435">
            <w:pPr>
              <w:rPr>
                <w:sz w:val="18"/>
                <w:szCs w:val="18"/>
              </w:rPr>
            </w:pPr>
            <w:r w:rsidRPr="006A1EC7">
              <w:rPr>
                <w:sz w:val="18"/>
                <w:szCs w:val="18"/>
              </w:rPr>
              <w:t>8</w:t>
            </w:r>
          </w:p>
        </w:tc>
        <w:tc>
          <w:tcPr>
            <w:tcW w:w="1030" w:type="dxa"/>
            <w:shd w:val="clear" w:color="auto" w:fill="FFFF00"/>
          </w:tcPr>
          <w:p w14:paraId="0FF20709" w14:textId="77777777" w:rsidR="00F53CB4" w:rsidRPr="006A1EC7" w:rsidRDefault="00F53CB4" w:rsidP="00AC2435">
            <w:pPr>
              <w:rPr>
                <w:sz w:val="18"/>
                <w:szCs w:val="18"/>
              </w:rPr>
            </w:pPr>
            <w:r w:rsidRPr="006A1EC7">
              <w:rPr>
                <w:sz w:val="18"/>
                <w:szCs w:val="18"/>
              </w:rPr>
              <w:t>8.70</w:t>
            </w:r>
          </w:p>
        </w:tc>
        <w:tc>
          <w:tcPr>
            <w:tcW w:w="2865" w:type="dxa"/>
            <w:shd w:val="clear" w:color="auto" w:fill="auto"/>
          </w:tcPr>
          <w:p w14:paraId="53049EB6" w14:textId="77777777" w:rsidR="00F53CB4" w:rsidRPr="006A1EC7" w:rsidRDefault="00F53CB4" w:rsidP="00AC2435">
            <w:pPr>
              <w:rPr>
                <w:sz w:val="18"/>
                <w:szCs w:val="18"/>
              </w:rPr>
            </w:pPr>
            <w:r w:rsidRPr="006A1EC7">
              <w:rPr>
                <w:sz w:val="18"/>
                <w:szCs w:val="18"/>
              </w:rPr>
              <w:t>4.291</w:t>
            </w:r>
          </w:p>
        </w:tc>
        <w:tc>
          <w:tcPr>
            <w:tcW w:w="1083" w:type="dxa"/>
            <w:shd w:val="clear" w:color="auto" w:fill="auto"/>
          </w:tcPr>
          <w:p w14:paraId="7349A007" w14:textId="77777777" w:rsidR="00F53CB4" w:rsidRPr="006A1EC7" w:rsidRDefault="00F53CB4" w:rsidP="00AC2435">
            <w:pPr>
              <w:rPr>
                <w:sz w:val="18"/>
                <w:szCs w:val="18"/>
              </w:rPr>
            </w:pPr>
            <w:r w:rsidRPr="006A1EC7">
              <w:rPr>
                <w:sz w:val="18"/>
                <w:szCs w:val="18"/>
              </w:rPr>
              <w:t>.000</w:t>
            </w:r>
          </w:p>
        </w:tc>
      </w:tr>
      <w:tr w:rsidR="00F53CB4" w:rsidRPr="006A1EC7" w14:paraId="50EA5C8E" w14:textId="77777777" w:rsidTr="00AC2435">
        <w:tc>
          <w:tcPr>
            <w:tcW w:w="0" w:type="auto"/>
            <w:shd w:val="clear" w:color="auto" w:fill="auto"/>
          </w:tcPr>
          <w:p w14:paraId="44F78D56" w14:textId="77777777" w:rsidR="00F53CB4" w:rsidRPr="006A1EC7" w:rsidRDefault="00F53CB4" w:rsidP="00AC2435">
            <w:pPr>
              <w:rPr>
                <w:sz w:val="18"/>
                <w:szCs w:val="18"/>
              </w:rPr>
            </w:pPr>
            <w:r w:rsidRPr="006A1EC7">
              <w:rPr>
                <w:sz w:val="18"/>
                <w:szCs w:val="18"/>
              </w:rPr>
              <w:t>Joshua Face</w:t>
            </w:r>
          </w:p>
        </w:tc>
        <w:tc>
          <w:tcPr>
            <w:tcW w:w="995" w:type="dxa"/>
            <w:shd w:val="clear" w:color="auto" w:fill="FFFF00"/>
          </w:tcPr>
          <w:p w14:paraId="67F607B0" w14:textId="77777777" w:rsidR="00F53CB4" w:rsidRPr="006A1EC7" w:rsidRDefault="00F53CB4" w:rsidP="00AC2435">
            <w:pPr>
              <w:rPr>
                <w:sz w:val="18"/>
                <w:szCs w:val="18"/>
              </w:rPr>
            </w:pPr>
            <w:r w:rsidRPr="006A1EC7">
              <w:rPr>
                <w:sz w:val="18"/>
                <w:szCs w:val="18"/>
              </w:rPr>
              <w:t>4</w:t>
            </w:r>
          </w:p>
        </w:tc>
        <w:tc>
          <w:tcPr>
            <w:tcW w:w="1030" w:type="dxa"/>
            <w:shd w:val="clear" w:color="auto" w:fill="FFFF00"/>
          </w:tcPr>
          <w:p w14:paraId="6491D6E8" w14:textId="77777777" w:rsidR="00F53CB4" w:rsidRPr="006A1EC7" w:rsidRDefault="00F53CB4" w:rsidP="00AC2435">
            <w:pPr>
              <w:rPr>
                <w:sz w:val="18"/>
                <w:szCs w:val="18"/>
              </w:rPr>
            </w:pPr>
            <w:r w:rsidRPr="006A1EC7">
              <w:rPr>
                <w:sz w:val="18"/>
                <w:szCs w:val="18"/>
              </w:rPr>
              <w:t>3.3</w:t>
            </w:r>
          </w:p>
        </w:tc>
        <w:tc>
          <w:tcPr>
            <w:tcW w:w="2865" w:type="dxa"/>
            <w:shd w:val="clear" w:color="auto" w:fill="auto"/>
          </w:tcPr>
          <w:p w14:paraId="49EE78AB" w14:textId="77777777" w:rsidR="00F53CB4" w:rsidRPr="006A1EC7" w:rsidRDefault="00F53CB4" w:rsidP="00AC2435">
            <w:pPr>
              <w:rPr>
                <w:sz w:val="18"/>
                <w:szCs w:val="18"/>
              </w:rPr>
            </w:pPr>
            <w:r w:rsidRPr="006A1EC7">
              <w:rPr>
                <w:sz w:val="18"/>
                <w:szCs w:val="18"/>
              </w:rPr>
              <w:t>-5.1</w:t>
            </w:r>
          </w:p>
        </w:tc>
        <w:tc>
          <w:tcPr>
            <w:tcW w:w="1083" w:type="dxa"/>
            <w:shd w:val="clear" w:color="auto" w:fill="auto"/>
          </w:tcPr>
          <w:p w14:paraId="5C9811A9" w14:textId="77777777" w:rsidR="00F53CB4" w:rsidRPr="006A1EC7" w:rsidRDefault="00F53CB4" w:rsidP="00AC2435">
            <w:pPr>
              <w:rPr>
                <w:sz w:val="18"/>
                <w:szCs w:val="18"/>
              </w:rPr>
            </w:pPr>
            <w:r w:rsidRPr="006A1EC7">
              <w:rPr>
                <w:sz w:val="18"/>
                <w:szCs w:val="18"/>
              </w:rPr>
              <w:t>.000</w:t>
            </w:r>
          </w:p>
        </w:tc>
      </w:tr>
      <w:tr w:rsidR="00F53CB4" w:rsidRPr="006A1EC7" w14:paraId="14B5DCE5" w14:textId="77777777" w:rsidTr="00AC2435">
        <w:tc>
          <w:tcPr>
            <w:tcW w:w="0" w:type="auto"/>
            <w:shd w:val="clear" w:color="auto" w:fill="auto"/>
          </w:tcPr>
          <w:p w14:paraId="49ED9D76" w14:textId="77777777" w:rsidR="00F53CB4" w:rsidRPr="006A1EC7" w:rsidRDefault="00F53CB4" w:rsidP="00AC2435">
            <w:pPr>
              <w:rPr>
                <w:sz w:val="18"/>
                <w:szCs w:val="18"/>
              </w:rPr>
            </w:pPr>
            <w:r w:rsidRPr="006A1EC7">
              <w:rPr>
                <w:sz w:val="18"/>
                <w:szCs w:val="18"/>
              </w:rPr>
              <w:t>Joshua Cardio &amp; respiratory</w:t>
            </w:r>
          </w:p>
        </w:tc>
        <w:tc>
          <w:tcPr>
            <w:tcW w:w="995" w:type="dxa"/>
            <w:shd w:val="clear" w:color="auto" w:fill="FFFF00"/>
          </w:tcPr>
          <w:p w14:paraId="3BBE8498" w14:textId="77777777" w:rsidR="00F53CB4" w:rsidRPr="006A1EC7" w:rsidRDefault="00F53CB4" w:rsidP="00AC2435">
            <w:pPr>
              <w:rPr>
                <w:sz w:val="18"/>
                <w:szCs w:val="18"/>
              </w:rPr>
            </w:pPr>
            <w:r w:rsidRPr="006A1EC7">
              <w:rPr>
                <w:sz w:val="18"/>
                <w:szCs w:val="18"/>
              </w:rPr>
              <w:t>0</w:t>
            </w:r>
          </w:p>
        </w:tc>
        <w:tc>
          <w:tcPr>
            <w:tcW w:w="1030" w:type="dxa"/>
            <w:shd w:val="clear" w:color="auto" w:fill="FFFF00"/>
          </w:tcPr>
          <w:p w14:paraId="16F19510" w14:textId="77777777" w:rsidR="00F53CB4" w:rsidRPr="006A1EC7" w:rsidRDefault="00F53CB4" w:rsidP="00AC2435">
            <w:pPr>
              <w:rPr>
                <w:sz w:val="18"/>
                <w:szCs w:val="18"/>
              </w:rPr>
            </w:pPr>
            <w:r w:rsidRPr="006A1EC7">
              <w:rPr>
                <w:sz w:val="18"/>
                <w:szCs w:val="18"/>
              </w:rPr>
              <w:t>.61</w:t>
            </w:r>
          </w:p>
        </w:tc>
        <w:tc>
          <w:tcPr>
            <w:tcW w:w="2865" w:type="dxa"/>
            <w:shd w:val="clear" w:color="auto" w:fill="auto"/>
          </w:tcPr>
          <w:p w14:paraId="4CF0321F" w14:textId="77777777" w:rsidR="00F53CB4" w:rsidRPr="006A1EC7" w:rsidRDefault="00F53CB4" w:rsidP="00AC2435">
            <w:pPr>
              <w:rPr>
                <w:sz w:val="18"/>
                <w:szCs w:val="18"/>
              </w:rPr>
            </w:pPr>
            <w:r w:rsidRPr="006A1EC7">
              <w:rPr>
                <w:sz w:val="18"/>
                <w:szCs w:val="18"/>
              </w:rPr>
              <w:t>4.66</w:t>
            </w:r>
          </w:p>
        </w:tc>
        <w:tc>
          <w:tcPr>
            <w:tcW w:w="1083" w:type="dxa"/>
            <w:shd w:val="clear" w:color="auto" w:fill="auto"/>
          </w:tcPr>
          <w:p w14:paraId="35BFA8A7" w14:textId="77777777" w:rsidR="00F53CB4" w:rsidRPr="006A1EC7" w:rsidRDefault="00F53CB4" w:rsidP="00AC2435">
            <w:pPr>
              <w:rPr>
                <w:sz w:val="18"/>
                <w:szCs w:val="18"/>
              </w:rPr>
            </w:pPr>
            <w:r w:rsidRPr="006A1EC7">
              <w:rPr>
                <w:sz w:val="18"/>
                <w:szCs w:val="18"/>
              </w:rPr>
              <w:t>.000</w:t>
            </w:r>
          </w:p>
        </w:tc>
      </w:tr>
      <w:tr w:rsidR="00F53CB4" w:rsidRPr="006A1EC7" w14:paraId="5C7A0500" w14:textId="77777777" w:rsidTr="00AC2435">
        <w:tc>
          <w:tcPr>
            <w:tcW w:w="0" w:type="auto"/>
            <w:shd w:val="clear" w:color="auto" w:fill="auto"/>
          </w:tcPr>
          <w:p w14:paraId="1FE808F2" w14:textId="77777777" w:rsidR="00F53CB4" w:rsidRPr="006A1EC7" w:rsidRDefault="00F53CB4" w:rsidP="00AC2435">
            <w:pPr>
              <w:rPr>
                <w:sz w:val="18"/>
                <w:szCs w:val="18"/>
              </w:rPr>
            </w:pPr>
            <w:r w:rsidRPr="006A1EC7">
              <w:rPr>
                <w:sz w:val="18"/>
                <w:szCs w:val="18"/>
              </w:rPr>
              <w:t>Bronagh Epilepsy</w:t>
            </w:r>
          </w:p>
        </w:tc>
        <w:tc>
          <w:tcPr>
            <w:tcW w:w="995" w:type="dxa"/>
            <w:shd w:val="clear" w:color="auto" w:fill="FFFF00"/>
          </w:tcPr>
          <w:p w14:paraId="23ABF7E5" w14:textId="77777777" w:rsidR="00F53CB4" w:rsidRPr="006A1EC7" w:rsidRDefault="00F53CB4" w:rsidP="00AC2435">
            <w:pPr>
              <w:rPr>
                <w:sz w:val="18"/>
                <w:szCs w:val="18"/>
              </w:rPr>
            </w:pPr>
            <w:r w:rsidRPr="006A1EC7">
              <w:rPr>
                <w:sz w:val="18"/>
                <w:szCs w:val="18"/>
              </w:rPr>
              <w:t>1</w:t>
            </w:r>
          </w:p>
        </w:tc>
        <w:tc>
          <w:tcPr>
            <w:tcW w:w="1030" w:type="dxa"/>
            <w:shd w:val="clear" w:color="auto" w:fill="FFFF00"/>
          </w:tcPr>
          <w:p w14:paraId="1751C6B7" w14:textId="77777777" w:rsidR="00F53CB4" w:rsidRPr="006A1EC7" w:rsidRDefault="00F53CB4" w:rsidP="00AC2435">
            <w:pPr>
              <w:rPr>
                <w:sz w:val="18"/>
                <w:szCs w:val="18"/>
              </w:rPr>
            </w:pPr>
            <w:r w:rsidRPr="006A1EC7">
              <w:rPr>
                <w:sz w:val="18"/>
                <w:szCs w:val="18"/>
              </w:rPr>
              <w:t>1.65</w:t>
            </w:r>
          </w:p>
        </w:tc>
        <w:tc>
          <w:tcPr>
            <w:tcW w:w="2865" w:type="dxa"/>
            <w:shd w:val="clear" w:color="auto" w:fill="auto"/>
          </w:tcPr>
          <w:p w14:paraId="374108A3" w14:textId="77777777" w:rsidR="00F53CB4" w:rsidRPr="006A1EC7" w:rsidRDefault="00F53CB4" w:rsidP="00AC2435">
            <w:pPr>
              <w:rPr>
                <w:sz w:val="18"/>
                <w:szCs w:val="18"/>
              </w:rPr>
            </w:pPr>
            <w:r w:rsidRPr="006A1EC7">
              <w:rPr>
                <w:sz w:val="18"/>
                <w:szCs w:val="18"/>
              </w:rPr>
              <w:t>3.47</w:t>
            </w:r>
          </w:p>
        </w:tc>
        <w:tc>
          <w:tcPr>
            <w:tcW w:w="1083" w:type="dxa"/>
            <w:shd w:val="clear" w:color="auto" w:fill="auto"/>
          </w:tcPr>
          <w:p w14:paraId="54F52ADB" w14:textId="77777777" w:rsidR="00F53CB4" w:rsidRPr="006A1EC7" w:rsidRDefault="00F53CB4" w:rsidP="00AC2435">
            <w:pPr>
              <w:rPr>
                <w:sz w:val="18"/>
                <w:szCs w:val="18"/>
              </w:rPr>
            </w:pPr>
            <w:r w:rsidRPr="006A1EC7">
              <w:rPr>
                <w:sz w:val="18"/>
                <w:szCs w:val="18"/>
              </w:rPr>
              <w:t>.001</w:t>
            </w:r>
          </w:p>
        </w:tc>
      </w:tr>
      <w:tr w:rsidR="00F53CB4" w:rsidRPr="006A1EC7" w14:paraId="552487DC" w14:textId="77777777" w:rsidTr="00AC2435">
        <w:tc>
          <w:tcPr>
            <w:tcW w:w="0" w:type="auto"/>
            <w:shd w:val="clear" w:color="auto" w:fill="auto"/>
          </w:tcPr>
          <w:p w14:paraId="501EAAFD" w14:textId="77777777" w:rsidR="00F53CB4" w:rsidRPr="006A1EC7" w:rsidRDefault="00F53CB4" w:rsidP="00AC2435">
            <w:pPr>
              <w:rPr>
                <w:sz w:val="18"/>
                <w:szCs w:val="18"/>
              </w:rPr>
            </w:pPr>
            <w:r w:rsidRPr="006A1EC7">
              <w:rPr>
                <w:sz w:val="18"/>
                <w:szCs w:val="18"/>
              </w:rPr>
              <w:t>Bronagh Gastro</w:t>
            </w:r>
          </w:p>
        </w:tc>
        <w:tc>
          <w:tcPr>
            <w:tcW w:w="995" w:type="dxa"/>
            <w:shd w:val="clear" w:color="auto" w:fill="FFC000"/>
          </w:tcPr>
          <w:p w14:paraId="43928B85" w14:textId="77777777" w:rsidR="00F53CB4" w:rsidRPr="006A1EC7" w:rsidRDefault="00F53CB4" w:rsidP="00AC2435">
            <w:pPr>
              <w:rPr>
                <w:sz w:val="18"/>
                <w:szCs w:val="18"/>
              </w:rPr>
            </w:pPr>
            <w:r w:rsidRPr="006A1EC7">
              <w:rPr>
                <w:sz w:val="18"/>
                <w:szCs w:val="18"/>
              </w:rPr>
              <w:t>7</w:t>
            </w:r>
          </w:p>
        </w:tc>
        <w:tc>
          <w:tcPr>
            <w:tcW w:w="1030" w:type="dxa"/>
            <w:shd w:val="clear" w:color="auto" w:fill="FFC000"/>
          </w:tcPr>
          <w:p w14:paraId="67FF3E76" w14:textId="77777777" w:rsidR="00F53CB4" w:rsidRPr="006A1EC7" w:rsidRDefault="00F53CB4" w:rsidP="00AC2435">
            <w:pPr>
              <w:rPr>
                <w:sz w:val="18"/>
                <w:szCs w:val="18"/>
              </w:rPr>
            </w:pPr>
            <w:r w:rsidRPr="006A1EC7">
              <w:rPr>
                <w:sz w:val="18"/>
                <w:szCs w:val="18"/>
              </w:rPr>
              <w:t>9.28</w:t>
            </w:r>
          </w:p>
        </w:tc>
        <w:tc>
          <w:tcPr>
            <w:tcW w:w="2865" w:type="dxa"/>
            <w:shd w:val="clear" w:color="auto" w:fill="auto"/>
          </w:tcPr>
          <w:p w14:paraId="460C2A34" w14:textId="77777777" w:rsidR="00F53CB4" w:rsidRPr="006A1EC7" w:rsidRDefault="00F53CB4" w:rsidP="00AC2435">
            <w:pPr>
              <w:rPr>
                <w:sz w:val="18"/>
                <w:szCs w:val="18"/>
              </w:rPr>
            </w:pPr>
            <w:r w:rsidRPr="006A1EC7">
              <w:rPr>
                <w:sz w:val="18"/>
                <w:szCs w:val="18"/>
              </w:rPr>
              <w:t>8.66</w:t>
            </w:r>
          </w:p>
        </w:tc>
        <w:tc>
          <w:tcPr>
            <w:tcW w:w="1083" w:type="dxa"/>
            <w:shd w:val="clear" w:color="auto" w:fill="auto"/>
          </w:tcPr>
          <w:p w14:paraId="5BBBF7F6" w14:textId="77777777" w:rsidR="00F53CB4" w:rsidRPr="006A1EC7" w:rsidRDefault="00F53CB4" w:rsidP="00AC2435">
            <w:pPr>
              <w:rPr>
                <w:sz w:val="18"/>
                <w:szCs w:val="18"/>
              </w:rPr>
            </w:pPr>
            <w:r w:rsidRPr="006A1EC7">
              <w:rPr>
                <w:sz w:val="18"/>
                <w:szCs w:val="18"/>
              </w:rPr>
              <w:t>.000</w:t>
            </w:r>
          </w:p>
        </w:tc>
      </w:tr>
      <w:tr w:rsidR="00F53CB4" w:rsidRPr="006A1EC7" w14:paraId="23BBCC78" w14:textId="77777777" w:rsidTr="00AC2435">
        <w:tc>
          <w:tcPr>
            <w:tcW w:w="0" w:type="auto"/>
            <w:shd w:val="clear" w:color="auto" w:fill="auto"/>
          </w:tcPr>
          <w:p w14:paraId="757CE78C" w14:textId="77777777" w:rsidR="00F53CB4" w:rsidRPr="006A1EC7" w:rsidRDefault="00F53CB4" w:rsidP="00AC2435">
            <w:pPr>
              <w:rPr>
                <w:sz w:val="18"/>
                <w:szCs w:val="18"/>
              </w:rPr>
            </w:pPr>
            <w:r w:rsidRPr="006A1EC7">
              <w:rPr>
                <w:sz w:val="18"/>
                <w:szCs w:val="18"/>
              </w:rPr>
              <w:t>Bronagh CNS</w:t>
            </w:r>
          </w:p>
        </w:tc>
        <w:tc>
          <w:tcPr>
            <w:tcW w:w="995" w:type="dxa"/>
            <w:shd w:val="clear" w:color="auto" w:fill="FFFF00"/>
          </w:tcPr>
          <w:p w14:paraId="53CBE3E3" w14:textId="77777777" w:rsidR="00F53CB4" w:rsidRPr="006A1EC7" w:rsidRDefault="00F53CB4" w:rsidP="00AC2435">
            <w:pPr>
              <w:rPr>
                <w:sz w:val="18"/>
                <w:szCs w:val="18"/>
              </w:rPr>
            </w:pPr>
            <w:r w:rsidRPr="006A1EC7">
              <w:rPr>
                <w:sz w:val="18"/>
                <w:szCs w:val="18"/>
              </w:rPr>
              <w:t>2</w:t>
            </w:r>
          </w:p>
        </w:tc>
        <w:tc>
          <w:tcPr>
            <w:tcW w:w="1030" w:type="dxa"/>
            <w:shd w:val="clear" w:color="auto" w:fill="FFFF00"/>
          </w:tcPr>
          <w:p w14:paraId="4FF26962" w14:textId="77777777" w:rsidR="00F53CB4" w:rsidRPr="006A1EC7" w:rsidRDefault="00F53CB4" w:rsidP="00AC2435">
            <w:pPr>
              <w:rPr>
                <w:sz w:val="18"/>
                <w:szCs w:val="18"/>
              </w:rPr>
            </w:pPr>
            <w:r w:rsidRPr="006A1EC7">
              <w:rPr>
                <w:sz w:val="18"/>
                <w:szCs w:val="18"/>
              </w:rPr>
              <w:t>3.16</w:t>
            </w:r>
          </w:p>
        </w:tc>
        <w:tc>
          <w:tcPr>
            <w:tcW w:w="2865" w:type="dxa"/>
            <w:shd w:val="clear" w:color="auto" w:fill="auto"/>
          </w:tcPr>
          <w:p w14:paraId="21C1C05A" w14:textId="77777777" w:rsidR="00F53CB4" w:rsidRPr="006A1EC7" w:rsidRDefault="00F53CB4" w:rsidP="00AC2435">
            <w:pPr>
              <w:rPr>
                <w:sz w:val="18"/>
                <w:szCs w:val="18"/>
              </w:rPr>
            </w:pPr>
            <w:r w:rsidRPr="006A1EC7">
              <w:rPr>
                <w:sz w:val="18"/>
                <w:szCs w:val="18"/>
              </w:rPr>
              <w:t>9.72</w:t>
            </w:r>
          </w:p>
        </w:tc>
        <w:tc>
          <w:tcPr>
            <w:tcW w:w="1083" w:type="dxa"/>
            <w:shd w:val="clear" w:color="auto" w:fill="auto"/>
          </w:tcPr>
          <w:p w14:paraId="20FCF7D1" w14:textId="77777777" w:rsidR="00F53CB4" w:rsidRPr="006A1EC7" w:rsidRDefault="00F53CB4" w:rsidP="00AC2435">
            <w:pPr>
              <w:rPr>
                <w:sz w:val="18"/>
                <w:szCs w:val="18"/>
              </w:rPr>
            </w:pPr>
            <w:r w:rsidRPr="006A1EC7">
              <w:rPr>
                <w:sz w:val="18"/>
                <w:szCs w:val="18"/>
              </w:rPr>
              <w:t>.000</w:t>
            </w:r>
          </w:p>
        </w:tc>
      </w:tr>
      <w:tr w:rsidR="00F53CB4" w:rsidRPr="006A1EC7" w14:paraId="1BEB6578" w14:textId="77777777" w:rsidTr="00AC2435">
        <w:tc>
          <w:tcPr>
            <w:tcW w:w="0" w:type="auto"/>
            <w:shd w:val="clear" w:color="auto" w:fill="auto"/>
          </w:tcPr>
          <w:p w14:paraId="769FCC44" w14:textId="77777777" w:rsidR="00F53CB4" w:rsidRPr="006A1EC7" w:rsidRDefault="00F53CB4" w:rsidP="00AC2435">
            <w:pPr>
              <w:rPr>
                <w:sz w:val="18"/>
                <w:szCs w:val="18"/>
              </w:rPr>
            </w:pPr>
            <w:r w:rsidRPr="006A1EC7">
              <w:rPr>
                <w:sz w:val="18"/>
                <w:szCs w:val="18"/>
              </w:rPr>
              <w:t>Bronagh Total</w:t>
            </w:r>
          </w:p>
        </w:tc>
        <w:tc>
          <w:tcPr>
            <w:tcW w:w="995" w:type="dxa"/>
            <w:shd w:val="clear" w:color="auto" w:fill="FFC000"/>
          </w:tcPr>
          <w:p w14:paraId="6B6C4124" w14:textId="77777777" w:rsidR="00F53CB4" w:rsidRPr="006A1EC7" w:rsidRDefault="00F53CB4" w:rsidP="00AC2435">
            <w:pPr>
              <w:rPr>
                <w:sz w:val="18"/>
                <w:szCs w:val="18"/>
              </w:rPr>
            </w:pPr>
            <w:r w:rsidRPr="006A1EC7">
              <w:rPr>
                <w:sz w:val="18"/>
                <w:szCs w:val="18"/>
              </w:rPr>
              <w:t>17.5</w:t>
            </w:r>
          </w:p>
        </w:tc>
        <w:tc>
          <w:tcPr>
            <w:tcW w:w="1030" w:type="dxa"/>
            <w:shd w:val="clear" w:color="auto" w:fill="FFC000"/>
          </w:tcPr>
          <w:p w14:paraId="330BE669" w14:textId="77777777" w:rsidR="00F53CB4" w:rsidRPr="006A1EC7" w:rsidRDefault="00F53CB4" w:rsidP="00AC2435">
            <w:pPr>
              <w:rPr>
                <w:sz w:val="18"/>
                <w:szCs w:val="18"/>
              </w:rPr>
            </w:pPr>
            <w:r w:rsidRPr="006A1EC7">
              <w:rPr>
                <w:sz w:val="18"/>
                <w:szCs w:val="18"/>
              </w:rPr>
              <w:t>21.8</w:t>
            </w:r>
          </w:p>
        </w:tc>
        <w:tc>
          <w:tcPr>
            <w:tcW w:w="2865" w:type="dxa"/>
            <w:shd w:val="clear" w:color="auto" w:fill="auto"/>
          </w:tcPr>
          <w:p w14:paraId="6A930603" w14:textId="77777777" w:rsidR="00F53CB4" w:rsidRPr="006A1EC7" w:rsidRDefault="00F53CB4" w:rsidP="00AC2435">
            <w:pPr>
              <w:rPr>
                <w:sz w:val="18"/>
                <w:szCs w:val="18"/>
              </w:rPr>
            </w:pPr>
            <w:r w:rsidRPr="006A1EC7">
              <w:rPr>
                <w:sz w:val="18"/>
                <w:szCs w:val="18"/>
              </w:rPr>
              <w:t>8.439</w:t>
            </w:r>
          </w:p>
        </w:tc>
        <w:tc>
          <w:tcPr>
            <w:tcW w:w="1083" w:type="dxa"/>
            <w:shd w:val="clear" w:color="auto" w:fill="auto"/>
          </w:tcPr>
          <w:p w14:paraId="255A7FF3" w14:textId="77777777" w:rsidR="00F53CB4" w:rsidRPr="006A1EC7" w:rsidRDefault="00F53CB4" w:rsidP="00AC2435">
            <w:pPr>
              <w:rPr>
                <w:sz w:val="18"/>
                <w:szCs w:val="18"/>
              </w:rPr>
            </w:pPr>
            <w:r w:rsidRPr="006A1EC7">
              <w:rPr>
                <w:sz w:val="18"/>
                <w:szCs w:val="18"/>
              </w:rPr>
              <w:t>.000</w:t>
            </w:r>
          </w:p>
        </w:tc>
      </w:tr>
      <w:tr w:rsidR="00F53CB4" w:rsidRPr="006A1EC7" w14:paraId="1065F6C8" w14:textId="77777777" w:rsidTr="00AC2435">
        <w:tc>
          <w:tcPr>
            <w:tcW w:w="0" w:type="auto"/>
            <w:shd w:val="clear" w:color="auto" w:fill="auto"/>
          </w:tcPr>
          <w:p w14:paraId="30A07E6B" w14:textId="77777777" w:rsidR="00F53CB4" w:rsidRPr="006A1EC7" w:rsidRDefault="00F53CB4" w:rsidP="00AC2435">
            <w:pPr>
              <w:rPr>
                <w:sz w:val="18"/>
                <w:szCs w:val="18"/>
              </w:rPr>
            </w:pPr>
            <w:r w:rsidRPr="006A1EC7">
              <w:rPr>
                <w:sz w:val="18"/>
                <w:szCs w:val="18"/>
              </w:rPr>
              <w:t>Emma Epilepsy</w:t>
            </w:r>
          </w:p>
        </w:tc>
        <w:tc>
          <w:tcPr>
            <w:tcW w:w="995" w:type="dxa"/>
            <w:shd w:val="clear" w:color="auto" w:fill="FFC000"/>
          </w:tcPr>
          <w:p w14:paraId="181E8FD6" w14:textId="77777777" w:rsidR="00F53CB4" w:rsidRPr="006A1EC7" w:rsidRDefault="00F53CB4" w:rsidP="00AC2435">
            <w:pPr>
              <w:rPr>
                <w:sz w:val="18"/>
                <w:szCs w:val="18"/>
              </w:rPr>
            </w:pPr>
            <w:r w:rsidRPr="006A1EC7">
              <w:rPr>
                <w:sz w:val="18"/>
                <w:szCs w:val="18"/>
              </w:rPr>
              <w:t>8.5</w:t>
            </w:r>
          </w:p>
        </w:tc>
        <w:tc>
          <w:tcPr>
            <w:tcW w:w="1030" w:type="dxa"/>
            <w:shd w:val="clear" w:color="auto" w:fill="FFC000"/>
          </w:tcPr>
          <w:p w14:paraId="6780CAB9" w14:textId="77777777" w:rsidR="00F53CB4" w:rsidRPr="006A1EC7" w:rsidRDefault="00F53CB4" w:rsidP="00AC2435">
            <w:pPr>
              <w:rPr>
                <w:sz w:val="18"/>
                <w:szCs w:val="18"/>
              </w:rPr>
            </w:pPr>
            <w:r w:rsidRPr="006A1EC7">
              <w:rPr>
                <w:sz w:val="18"/>
                <w:szCs w:val="18"/>
              </w:rPr>
              <w:t>11.0</w:t>
            </w:r>
          </w:p>
        </w:tc>
        <w:tc>
          <w:tcPr>
            <w:tcW w:w="2865" w:type="dxa"/>
            <w:shd w:val="clear" w:color="auto" w:fill="auto"/>
          </w:tcPr>
          <w:p w14:paraId="52EE0E12" w14:textId="77777777" w:rsidR="00F53CB4" w:rsidRPr="006A1EC7" w:rsidRDefault="00F53CB4" w:rsidP="00AC2435">
            <w:pPr>
              <w:rPr>
                <w:sz w:val="18"/>
                <w:szCs w:val="18"/>
              </w:rPr>
            </w:pPr>
            <w:r w:rsidRPr="006A1EC7">
              <w:rPr>
                <w:sz w:val="18"/>
                <w:szCs w:val="18"/>
              </w:rPr>
              <w:t>6.467</w:t>
            </w:r>
          </w:p>
        </w:tc>
        <w:tc>
          <w:tcPr>
            <w:tcW w:w="1083" w:type="dxa"/>
            <w:shd w:val="clear" w:color="auto" w:fill="auto"/>
          </w:tcPr>
          <w:p w14:paraId="119EB3D7" w14:textId="77777777" w:rsidR="00F53CB4" w:rsidRPr="006A1EC7" w:rsidRDefault="00F53CB4" w:rsidP="00AC2435">
            <w:pPr>
              <w:rPr>
                <w:sz w:val="18"/>
                <w:szCs w:val="18"/>
              </w:rPr>
            </w:pPr>
            <w:r w:rsidRPr="006A1EC7">
              <w:rPr>
                <w:sz w:val="18"/>
                <w:szCs w:val="18"/>
              </w:rPr>
              <w:t>.000</w:t>
            </w:r>
          </w:p>
        </w:tc>
      </w:tr>
      <w:tr w:rsidR="00F53CB4" w:rsidRPr="006A1EC7" w14:paraId="4AD6B151" w14:textId="77777777" w:rsidTr="00AC2435">
        <w:tc>
          <w:tcPr>
            <w:tcW w:w="0" w:type="auto"/>
            <w:shd w:val="clear" w:color="auto" w:fill="auto"/>
          </w:tcPr>
          <w:p w14:paraId="32B9088F" w14:textId="77777777" w:rsidR="00F53CB4" w:rsidRPr="006A1EC7" w:rsidRDefault="00F53CB4" w:rsidP="00AC2435">
            <w:pPr>
              <w:rPr>
                <w:sz w:val="18"/>
                <w:szCs w:val="18"/>
              </w:rPr>
            </w:pPr>
            <w:r w:rsidRPr="006A1EC7">
              <w:rPr>
                <w:sz w:val="18"/>
                <w:szCs w:val="18"/>
              </w:rPr>
              <w:t>EmmaI Immunology</w:t>
            </w:r>
          </w:p>
        </w:tc>
        <w:tc>
          <w:tcPr>
            <w:tcW w:w="995" w:type="dxa"/>
            <w:shd w:val="clear" w:color="auto" w:fill="FFC000"/>
          </w:tcPr>
          <w:p w14:paraId="7F8A2EBC" w14:textId="77777777" w:rsidR="00F53CB4" w:rsidRPr="006A1EC7" w:rsidRDefault="00F53CB4" w:rsidP="00AC2435">
            <w:pPr>
              <w:rPr>
                <w:sz w:val="18"/>
                <w:szCs w:val="18"/>
              </w:rPr>
            </w:pPr>
            <w:r w:rsidRPr="006A1EC7">
              <w:rPr>
                <w:sz w:val="18"/>
                <w:szCs w:val="18"/>
              </w:rPr>
              <w:t>0</w:t>
            </w:r>
          </w:p>
        </w:tc>
        <w:tc>
          <w:tcPr>
            <w:tcW w:w="1030" w:type="dxa"/>
            <w:shd w:val="clear" w:color="auto" w:fill="FFC000"/>
          </w:tcPr>
          <w:p w14:paraId="732FEBDD" w14:textId="77777777" w:rsidR="00F53CB4" w:rsidRPr="006A1EC7" w:rsidRDefault="00F53CB4" w:rsidP="00AC2435">
            <w:pPr>
              <w:rPr>
                <w:sz w:val="18"/>
                <w:szCs w:val="18"/>
              </w:rPr>
            </w:pPr>
            <w:r w:rsidRPr="006A1EC7">
              <w:rPr>
                <w:sz w:val="18"/>
                <w:szCs w:val="18"/>
              </w:rPr>
              <w:t>3.23</w:t>
            </w:r>
          </w:p>
        </w:tc>
        <w:tc>
          <w:tcPr>
            <w:tcW w:w="2865" w:type="dxa"/>
            <w:shd w:val="clear" w:color="auto" w:fill="auto"/>
          </w:tcPr>
          <w:p w14:paraId="10786A02" w14:textId="77777777" w:rsidR="00F53CB4" w:rsidRPr="006A1EC7" w:rsidRDefault="00F53CB4" w:rsidP="00AC2435">
            <w:pPr>
              <w:rPr>
                <w:sz w:val="18"/>
                <w:szCs w:val="18"/>
              </w:rPr>
            </w:pPr>
            <w:r w:rsidRPr="006A1EC7">
              <w:rPr>
                <w:sz w:val="18"/>
                <w:szCs w:val="18"/>
              </w:rPr>
              <w:t>8.272</w:t>
            </w:r>
          </w:p>
        </w:tc>
        <w:tc>
          <w:tcPr>
            <w:tcW w:w="1083" w:type="dxa"/>
            <w:shd w:val="clear" w:color="auto" w:fill="auto"/>
          </w:tcPr>
          <w:p w14:paraId="768797C7" w14:textId="77777777" w:rsidR="00F53CB4" w:rsidRPr="006A1EC7" w:rsidRDefault="00F53CB4" w:rsidP="00AC2435">
            <w:pPr>
              <w:rPr>
                <w:sz w:val="18"/>
                <w:szCs w:val="18"/>
              </w:rPr>
            </w:pPr>
            <w:r w:rsidRPr="006A1EC7">
              <w:rPr>
                <w:sz w:val="18"/>
                <w:szCs w:val="18"/>
              </w:rPr>
              <w:t>.000</w:t>
            </w:r>
          </w:p>
        </w:tc>
      </w:tr>
      <w:tr w:rsidR="00F53CB4" w:rsidRPr="006A1EC7" w14:paraId="42F44119" w14:textId="77777777" w:rsidTr="00AC2435">
        <w:tc>
          <w:tcPr>
            <w:tcW w:w="0" w:type="auto"/>
            <w:shd w:val="clear" w:color="auto" w:fill="auto"/>
          </w:tcPr>
          <w:p w14:paraId="295D4C5D" w14:textId="77777777" w:rsidR="00F53CB4" w:rsidRPr="006A1EC7" w:rsidRDefault="00F53CB4" w:rsidP="00AC2435">
            <w:pPr>
              <w:rPr>
                <w:sz w:val="18"/>
                <w:szCs w:val="18"/>
              </w:rPr>
            </w:pPr>
            <w:r w:rsidRPr="006A1EC7">
              <w:rPr>
                <w:sz w:val="18"/>
                <w:szCs w:val="18"/>
              </w:rPr>
              <w:t>Emma Total</w:t>
            </w:r>
          </w:p>
        </w:tc>
        <w:tc>
          <w:tcPr>
            <w:tcW w:w="995" w:type="dxa"/>
            <w:shd w:val="clear" w:color="auto" w:fill="FFC000"/>
          </w:tcPr>
          <w:p w14:paraId="7B4760C0" w14:textId="77777777" w:rsidR="00F53CB4" w:rsidRPr="006A1EC7" w:rsidRDefault="00F53CB4" w:rsidP="00AC2435">
            <w:pPr>
              <w:rPr>
                <w:sz w:val="18"/>
                <w:szCs w:val="18"/>
              </w:rPr>
            </w:pPr>
            <w:r w:rsidRPr="006A1EC7">
              <w:rPr>
                <w:sz w:val="18"/>
                <w:szCs w:val="18"/>
              </w:rPr>
              <w:t>41</w:t>
            </w:r>
          </w:p>
        </w:tc>
        <w:tc>
          <w:tcPr>
            <w:tcW w:w="1030" w:type="dxa"/>
            <w:shd w:val="clear" w:color="auto" w:fill="FFC000"/>
          </w:tcPr>
          <w:p w14:paraId="7C57A533" w14:textId="77777777" w:rsidR="00F53CB4" w:rsidRPr="006A1EC7" w:rsidRDefault="00F53CB4" w:rsidP="00AC2435">
            <w:pPr>
              <w:rPr>
                <w:sz w:val="18"/>
                <w:szCs w:val="18"/>
              </w:rPr>
            </w:pPr>
            <w:r w:rsidRPr="006A1EC7">
              <w:rPr>
                <w:sz w:val="18"/>
                <w:szCs w:val="18"/>
              </w:rPr>
              <w:t>51.08</w:t>
            </w:r>
          </w:p>
        </w:tc>
        <w:tc>
          <w:tcPr>
            <w:tcW w:w="2865" w:type="dxa"/>
            <w:shd w:val="clear" w:color="auto" w:fill="auto"/>
          </w:tcPr>
          <w:p w14:paraId="496994AE" w14:textId="77777777" w:rsidR="00F53CB4" w:rsidRPr="006A1EC7" w:rsidRDefault="00F53CB4" w:rsidP="00AC2435">
            <w:pPr>
              <w:rPr>
                <w:sz w:val="18"/>
                <w:szCs w:val="18"/>
              </w:rPr>
            </w:pPr>
            <w:r w:rsidRPr="006A1EC7">
              <w:rPr>
                <w:sz w:val="18"/>
                <w:szCs w:val="18"/>
              </w:rPr>
              <w:t>5.844</w:t>
            </w:r>
          </w:p>
        </w:tc>
        <w:tc>
          <w:tcPr>
            <w:tcW w:w="1083" w:type="dxa"/>
            <w:shd w:val="clear" w:color="auto" w:fill="auto"/>
          </w:tcPr>
          <w:p w14:paraId="7279BA7D" w14:textId="77777777" w:rsidR="00F53CB4" w:rsidRPr="006A1EC7" w:rsidRDefault="00F53CB4" w:rsidP="00AC2435">
            <w:pPr>
              <w:rPr>
                <w:sz w:val="18"/>
                <w:szCs w:val="18"/>
              </w:rPr>
            </w:pPr>
            <w:r w:rsidRPr="006A1EC7">
              <w:rPr>
                <w:sz w:val="18"/>
                <w:szCs w:val="18"/>
              </w:rPr>
              <w:t>.000</w:t>
            </w:r>
          </w:p>
        </w:tc>
      </w:tr>
      <w:tr w:rsidR="00F53CB4" w:rsidRPr="006A1EC7" w14:paraId="58C5D2DB" w14:textId="77777777" w:rsidTr="00AC2435">
        <w:tc>
          <w:tcPr>
            <w:tcW w:w="0" w:type="auto"/>
            <w:shd w:val="clear" w:color="auto" w:fill="auto"/>
          </w:tcPr>
          <w:p w14:paraId="2F72474E" w14:textId="77777777" w:rsidR="00F53CB4" w:rsidRPr="006A1EC7" w:rsidRDefault="00F53CB4" w:rsidP="00AC2435">
            <w:pPr>
              <w:rPr>
                <w:sz w:val="18"/>
                <w:szCs w:val="18"/>
              </w:rPr>
            </w:pPr>
            <w:r w:rsidRPr="006A1EC7">
              <w:rPr>
                <w:sz w:val="18"/>
                <w:szCs w:val="18"/>
              </w:rPr>
              <w:t>Fineen Face</w:t>
            </w:r>
          </w:p>
        </w:tc>
        <w:tc>
          <w:tcPr>
            <w:tcW w:w="995" w:type="dxa"/>
            <w:shd w:val="clear" w:color="auto" w:fill="FFFF00"/>
          </w:tcPr>
          <w:p w14:paraId="4E265267" w14:textId="77777777" w:rsidR="00F53CB4" w:rsidRPr="006A1EC7" w:rsidRDefault="00F53CB4" w:rsidP="00AC2435">
            <w:pPr>
              <w:rPr>
                <w:sz w:val="18"/>
                <w:szCs w:val="18"/>
              </w:rPr>
            </w:pPr>
            <w:r w:rsidRPr="006A1EC7">
              <w:rPr>
                <w:sz w:val="18"/>
                <w:szCs w:val="18"/>
              </w:rPr>
              <w:t>1.5</w:t>
            </w:r>
          </w:p>
        </w:tc>
        <w:tc>
          <w:tcPr>
            <w:tcW w:w="1030" w:type="dxa"/>
            <w:shd w:val="clear" w:color="auto" w:fill="FFFF00"/>
          </w:tcPr>
          <w:p w14:paraId="2F3415CE" w14:textId="77777777" w:rsidR="00F53CB4" w:rsidRPr="006A1EC7" w:rsidRDefault="00F53CB4" w:rsidP="00AC2435">
            <w:pPr>
              <w:rPr>
                <w:sz w:val="18"/>
                <w:szCs w:val="18"/>
              </w:rPr>
            </w:pPr>
            <w:r w:rsidRPr="006A1EC7">
              <w:rPr>
                <w:sz w:val="18"/>
                <w:szCs w:val="18"/>
              </w:rPr>
              <w:t>2.31</w:t>
            </w:r>
          </w:p>
        </w:tc>
        <w:tc>
          <w:tcPr>
            <w:tcW w:w="2865" w:type="dxa"/>
            <w:shd w:val="clear" w:color="auto" w:fill="auto"/>
          </w:tcPr>
          <w:p w14:paraId="7C35583F" w14:textId="77777777" w:rsidR="00F53CB4" w:rsidRPr="006A1EC7" w:rsidRDefault="00F53CB4" w:rsidP="00AC2435">
            <w:pPr>
              <w:rPr>
                <w:sz w:val="18"/>
                <w:szCs w:val="18"/>
              </w:rPr>
            </w:pPr>
            <w:r w:rsidRPr="006A1EC7">
              <w:rPr>
                <w:sz w:val="18"/>
                <w:szCs w:val="18"/>
              </w:rPr>
              <w:t>5.881</w:t>
            </w:r>
          </w:p>
        </w:tc>
        <w:tc>
          <w:tcPr>
            <w:tcW w:w="1083" w:type="dxa"/>
            <w:shd w:val="clear" w:color="auto" w:fill="auto"/>
          </w:tcPr>
          <w:p w14:paraId="258775FB" w14:textId="77777777" w:rsidR="00F53CB4" w:rsidRPr="006A1EC7" w:rsidRDefault="00F53CB4" w:rsidP="00AC2435">
            <w:pPr>
              <w:rPr>
                <w:sz w:val="18"/>
                <w:szCs w:val="18"/>
              </w:rPr>
            </w:pPr>
            <w:r w:rsidRPr="006A1EC7">
              <w:rPr>
                <w:sz w:val="18"/>
                <w:szCs w:val="18"/>
              </w:rPr>
              <w:t>.000</w:t>
            </w:r>
          </w:p>
        </w:tc>
      </w:tr>
      <w:tr w:rsidR="00F53CB4" w:rsidRPr="006A1EC7" w14:paraId="5B96D45F" w14:textId="77777777" w:rsidTr="00AC2435">
        <w:tc>
          <w:tcPr>
            <w:tcW w:w="0" w:type="auto"/>
            <w:shd w:val="clear" w:color="auto" w:fill="auto"/>
          </w:tcPr>
          <w:p w14:paraId="38370FFF" w14:textId="77777777" w:rsidR="00F53CB4" w:rsidRPr="006A1EC7" w:rsidRDefault="00F53CB4" w:rsidP="00AC2435">
            <w:pPr>
              <w:rPr>
                <w:sz w:val="18"/>
                <w:szCs w:val="18"/>
              </w:rPr>
            </w:pPr>
            <w:r w:rsidRPr="006A1EC7">
              <w:rPr>
                <w:sz w:val="18"/>
                <w:szCs w:val="18"/>
              </w:rPr>
              <w:lastRenderedPageBreak/>
              <w:t>Fineen Cardio &amp; respiratory</w:t>
            </w:r>
          </w:p>
        </w:tc>
        <w:tc>
          <w:tcPr>
            <w:tcW w:w="995" w:type="dxa"/>
            <w:shd w:val="clear" w:color="auto" w:fill="FFC000"/>
          </w:tcPr>
          <w:p w14:paraId="336D8DD1" w14:textId="77777777" w:rsidR="00F53CB4" w:rsidRPr="006A1EC7" w:rsidRDefault="00F53CB4" w:rsidP="00AC2435">
            <w:pPr>
              <w:rPr>
                <w:sz w:val="18"/>
                <w:szCs w:val="18"/>
              </w:rPr>
            </w:pPr>
            <w:r w:rsidRPr="006A1EC7">
              <w:rPr>
                <w:sz w:val="18"/>
                <w:szCs w:val="18"/>
              </w:rPr>
              <w:t>2.5</w:t>
            </w:r>
          </w:p>
        </w:tc>
        <w:tc>
          <w:tcPr>
            <w:tcW w:w="1030" w:type="dxa"/>
            <w:shd w:val="clear" w:color="auto" w:fill="FFC000"/>
          </w:tcPr>
          <w:p w14:paraId="0CE65F26" w14:textId="77777777" w:rsidR="00F53CB4" w:rsidRPr="006A1EC7" w:rsidRDefault="00F53CB4" w:rsidP="00AC2435">
            <w:pPr>
              <w:rPr>
                <w:sz w:val="18"/>
                <w:szCs w:val="18"/>
              </w:rPr>
            </w:pPr>
            <w:r w:rsidRPr="006A1EC7">
              <w:rPr>
                <w:sz w:val="18"/>
                <w:szCs w:val="18"/>
              </w:rPr>
              <w:t>4.46</w:t>
            </w:r>
          </w:p>
        </w:tc>
        <w:tc>
          <w:tcPr>
            <w:tcW w:w="2865" w:type="dxa"/>
            <w:shd w:val="clear" w:color="auto" w:fill="auto"/>
          </w:tcPr>
          <w:p w14:paraId="7CDCEE92" w14:textId="77777777" w:rsidR="00F53CB4" w:rsidRPr="006A1EC7" w:rsidRDefault="00F53CB4" w:rsidP="00AC2435">
            <w:pPr>
              <w:rPr>
                <w:sz w:val="18"/>
                <w:szCs w:val="18"/>
              </w:rPr>
            </w:pPr>
            <w:r w:rsidRPr="006A1EC7">
              <w:rPr>
                <w:sz w:val="18"/>
                <w:szCs w:val="18"/>
              </w:rPr>
              <w:t>15.536</w:t>
            </w:r>
          </w:p>
        </w:tc>
        <w:tc>
          <w:tcPr>
            <w:tcW w:w="1083" w:type="dxa"/>
            <w:shd w:val="clear" w:color="auto" w:fill="auto"/>
          </w:tcPr>
          <w:p w14:paraId="42B958F7" w14:textId="77777777" w:rsidR="00F53CB4" w:rsidRPr="006A1EC7" w:rsidRDefault="00F53CB4" w:rsidP="00AC2435">
            <w:pPr>
              <w:rPr>
                <w:sz w:val="18"/>
                <w:szCs w:val="18"/>
              </w:rPr>
            </w:pPr>
            <w:r w:rsidRPr="006A1EC7">
              <w:rPr>
                <w:sz w:val="18"/>
                <w:szCs w:val="18"/>
              </w:rPr>
              <w:t>.000</w:t>
            </w:r>
          </w:p>
        </w:tc>
      </w:tr>
      <w:tr w:rsidR="00F53CB4" w:rsidRPr="006A1EC7" w14:paraId="46A28108" w14:textId="77777777" w:rsidTr="00AC2435">
        <w:tc>
          <w:tcPr>
            <w:tcW w:w="0" w:type="auto"/>
            <w:shd w:val="clear" w:color="auto" w:fill="auto"/>
          </w:tcPr>
          <w:p w14:paraId="445E15C8" w14:textId="77777777" w:rsidR="00F53CB4" w:rsidRPr="006A1EC7" w:rsidRDefault="00F53CB4" w:rsidP="00AC2435">
            <w:pPr>
              <w:rPr>
                <w:sz w:val="18"/>
                <w:szCs w:val="18"/>
              </w:rPr>
            </w:pPr>
            <w:r w:rsidRPr="006A1EC7">
              <w:rPr>
                <w:sz w:val="18"/>
                <w:szCs w:val="18"/>
              </w:rPr>
              <w:t>Fineen Immunology</w:t>
            </w:r>
          </w:p>
        </w:tc>
        <w:tc>
          <w:tcPr>
            <w:tcW w:w="995" w:type="dxa"/>
            <w:shd w:val="clear" w:color="auto" w:fill="FFC000"/>
          </w:tcPr>
          <w:p w14:paraId="68766841" w14:textId="77777777" w:rsidR="00F53CB4" w:rsidRPr="006A1EC7" w:rsidRDefault="00F53CB4" w:rsidP="00AC2435">
            <w:pPr>
              <w:rPr>
                <w:sz w:val="18"/>
                <w:szCs w:val="18"/>
              </w:rPr>
            </w:pPr>
            <w:r w:rsidRPr="006A1EC7">
              <w:rPr>
                <w:sz w:val="18"/>
                <w:szCs w:val="18"/>
              </w:rPr>
              <w:t>5.5</w:t>
            </w:r>
          </w:p>
        </w:tc>
        <w:tc>
          <w:tcPr>
            <w:tcW w:w="1030" w:type="dxa"/>
            <w:shd w:val="clear" w:color="auto" w:fill="FFC000"/>
          </w:tcPr>
          <w:p w14:paraId="218A7436" w14:textId="77777777" w:rsidR="00F53CB4" w:rsidRPr="006A1EC7" w:rsidRDefault="00F53CB4" w:rsidP="00AC2435">
            <w:pPr>
              <w:rPr>
                <w:sz w:val="18"/>
                <w:szCs w:val="18"/>
              </w:rPr>
            </w:pPr>
            <w:r w:rsidRPr="006A1EC7">
              <w:rPr>
                <w:sz w:val="18"/>
                <w:szCs w:val="18"/>
              </w:rPr>
              <w:t>3.62</w:t>
            </w:r>
          </w:p>
        </w:tc>
        <w:tc>
          <w:tcPr>
            <w:tcW w:w="2865" w:type="dxa"/>
            <w:shd w:val="clear" w:color="auto" w:fill="auto"/>
          </w:tcPr>
          <w:p w14:paraId="5798F2FD" w14:textId="77777777" w:rsidR="00F53CB4" w:rsidRPr="006A1EC7" w:rsidRDefault="00F53CB4" w:rsidP="00AC2435">
            <w:pPr>
              <w:rPr>
                <w:sz w:val="18"/>
                <w:szCs w:val="18"/>
              </w:rPr>
            </w:pPr>
            <w:r w:rsidRPr="006A1EC7">
              <w:rPr>
                <w:sz w:val="18"/>
                <w:szCs w:val="18"/>
              </w:rPr>
              <w:t>-5.310</w:t>
            </w:r>
          </w:p>
        </w:tc>
        <w:tc>
          <w:tcPr>
            <w:tcW w:w="1083" w:type="dxa"/>
            <w:shd w:val="clear" w:color="auto" w:fill="auto"/>
          </w:tcPr>
          <w:p w14:paraId="21AEB6AB" w14:textId="77777777" w:rsidR="00F53CB4" w:rsidRPr="006A1EC7" w:rsidRDefault="00F53CB4" w:rsidP="00AC2435">
            <w:pPr>
              <w:rPr>
                <w:sz w:val="18"/>
                <w:szCs w:val="18"/>
              </w:rPr>
            </w:pPr>
            <w:r w:rsidRPr="006A1EC7">
              <w:rPr>
                <w:sz w:val="18"/>
                <w:szCs w:val="18"/>
              </w:rPr>
              <w:t>.000</w:t>
            </w:r>
          </w:p>
        </w:tc>
      </w:tr>
      <w:tr w:rsidR="00F53CB4" w:rsidRPr="006A1EC7" w14:paraId="092C1002" w14:textId="77777777" w:rsidTr="00AC2435">
        <w:tc>
          <w:tcPr>
            <w:tcW w:w="0" w:type="auto"/>
            <w:shd w:val="clear" w:color="auto" w:fill="auto"/>
          </w:tcPr>
          <w:p w14:paraId="633CF19C" w14:textId="77777777" w:rsidR="00F53CB4" w:rsidRPr="006A1EC7" w:rsidRDefault="00F53CB4" w:rsidP="00AC2435">
            <w:pPr>
              <w:rPr>
                <w:sz w:val="18"/>
                <w:szCs w:val="18"/>
              </w:rPr>
            </w:pPr>
            <w:r w:rsidRPr="006A1EC7">
              <w:rPr>
                <w:sz w:val="18"/>
                <w:szCs w:val="18"/>
              </w:rPr>
              <w:t>Fineen Sleep</w:t>
            </w:r>
          </w:p>
        </w:tc>
        <w:tc>
          <w:tcPr>
            <w:tcW w:w="995" w:type="dxa"/>
            <w:shd w:val="clear" w:color="auto" w:fill="FFFF00"/>
          </w:tcPr>
          <w:p w14:paraId="340DE87B" w14:textId="77777777" w:rsidR="00F53CB4" w:rsidRPr="006A1EC7" w:rsidRDefault="00F53CB4" w:rsidP="00AC2435">
            <w:pPr>
              <w:rPr>
                <w:sz w:val="18"/>
                <w:szCs w:val="18"/>
              </w:rPr>
            </w:pPr>
            <w:r w:rsidRPr="006A1EC7">
              <w:rPr>
                <w:sz w:val="18"/>
                <w:szCs w:val="18"/>
              </w:rPr>
              <w:t>1.5</w:t>
            </w:r>
          </w:p>
        </w:tc>
        <w:tc>
          <w:tcPr>
            <w:tcW w:w="1030" w:type="dxa"/>
            <w:shd w:val="clear" w:color="auto" w:fill="FFFF00"/>
          </w:tcPr>
          <w:p w14:paraId="149C855C" w14:textId="77777777" w:rsidR="00F53CB4" w:rsidRPr="006A1EC7" w:rsidRDefault="00F53CB4" w:rsidP="00AC2435">
            <w:pPr>
              <w:rPr>
                <w:sz w:val="18"/>
                <w:szCs w:val="18"/>
              </w:rPr>
            </w:pPr>
            <w:r w:rsidRPr="006A1EC7">
              <w:rPr>
                <w:sz w:val="18"/>
                <w:szCs w:val="18"/>
              </w:rPr>
              <w:t>2.27</w:t>
            </w:r>
          </w:p>
        </w:tc>
        <w:tc>
          <w:tcPr>
            <w:tcW w:w="2865" w:type="dxa"/>
            <w:shd w:val="clear" w:color="auto" w:fill="auto"/>
          </w:tcPr>
          <w:p w14:paraId="53B4E99F" w14:textId="77777777" w:rsidR="00F53CB4" w:rsidRPr="006A1EC7" w:rsidRDefault="00F53CB4" w:rsidP="00AC2435">
            <w:pPr>
              <w:rPr>
                <w:sz w:val="18"/>
                <w:szCs w:val="18"/>
              </w:rPr>
            </w:pPr>
            <w:r w:rsidRPr="006A1EC7">
              <w:rPr>
                <w:sz w:val="18"/>
                <w:szCs w:val="18"/>
              </w:rPr>
              <w:t>5.381</w:t>
            </w:r>
          </w:p>
        </w:tc>
        <w:tc>
          <w:tcPr>
            <w:tcW w:w="1083" w:type="dxa"/>
            <w:shd w:val="clear" w:color="auto" w:fill="auto"/>
          </w:tcPr>
          <w:p w14:paraId="5E735260" w14:textId="77777777" w:rsidR="00F53CB4" w:rsidRPr="006A1EC7" w:rsidRDefault="00F53CB4" w:rsidP="00AC2435">
            <w:pPr>
              <w:rPr>
                <w:sz w:val="18"/>
                <w:szCs w:val="18"/>
              </w:rPr>
            </w:pPr>
            <w:r w:rsidRPr="006A1EC7">
              <w:rPr>
                <w:sz w:val="18"/>
                <w:szCs w:val="18"/>
              </w:rPr>
              <w:t>.000</w:t>
            </w:r>
          </w:p>
        </w:tc>
      </w:tr>
    </w:tbl>
    <w:p w14:paraId="7A6EDC1D" w14:textId="77777777" w:rsidR="00F53CB4" w:rsidRPr="006A1EC7" w:rsidRDefault="00F53CB4" w:rsidP="00F53CB4"/>
    <w:p w14:paraId="09FF3801" w14:textId="77777777" w:rsidR="00F53CB4" w:rsidRPr="006A1EC7" w:rsidRDefault="00F53CB4" w:rsidP="00F53CB4"/>
    <w:p w14:paraId="1F142E65" w14:textId="77777777" w:rsidR="00F53CB4" w:rsidRPr="006A1EC7" w:rsidRDefault="00F53CB4" w:rsidP="00F53CB4">
      <w:pPr>
        <w:pStyle w:val="Heading3"/>
        <w:rPr>
          <w:rFonts w:ascii="Times New Roman" w:hAnsi="Times New Roman" w:cs="Times New Roman"/>
        </w:rPr>
      </w:pPr>
      <w:r w:rsidRPr="006A1EC7">
        <w:rPr>
          <w:rFonts w:ascii="Times New Roman" w:hAnsi="Times New Roman" w:cs="Times New Roman"/>
        </w:rPr>
        <w:t>Intra-rater reliability</w:t>
      </w:r>
    </w:p>
    <w:p w14:paraId="64449CB9" w14:textId="77777777" w:rsidR="00F53CB4" w:rsidRPr="006A1EC7" w:rsidRDefault="00F53CB4" w:rsidP="00F53CB4"/>
    <w:p w14:paraId="373D62B6" w14:textId="77777777" w:rsidR="00F53CB4" w:rsidRPr="006A1EC7" w:rsidRDefault="00F53CB4" w:rsidP="00F53CB4">
      <w:pPr>
        <w:spacing w:line="360" w:lineRule="auto"/>
        <w:ind w:firstLine="720"/>
      </w:pPr>
      <w:r w:rsidRPr="006A1EC7">
        <w:t xml:space="preserve">Next, the sub-sample of participants who completed each vignette at Time 1 and Time 2 was selected for each vignette. This resulted in five small sub-samples (range n: 3 – 10). Percent of agreement calculations were conducted in a two-step approach (Appendix 7.10 for overview of manual calculations). </w:t>
      </w:r>
    </w:p>
    <w:p w14:paraId="4900C379" w14:textId="77777777" w:rsidR="00F53CB4" w:rsidRPr="006A1EC7" w:rsidRDefault="00F53CB4" w:rsidP="00F53CB4"/>
    <w:p w14:paraId="3D57CD40" w14:textId="77777777" w:rsidR="00F53CB4" w:rsidRPr="006A1EC7" w:rsidRDefault="00F53CB4" w:rsidP="00F53CB4">
      <w:pPr>
        <w:pStyle w:val="Heading5"/>
        <w:rPr>
          <w:rFonts w:ascii="Times New Roman" w:hAnsi="Times New Roman" w:cs="Times New Roman"/>
        </w:rPr>
      </w:pPr>
      <w:r w:rsidRPr="006A1EC7">
        <w:rPr>
          <w:rFonts w:ascii="Times New Roman" w:hAnsi="Times New Roman" w:cs="Times New Roman"/>
        </w:rPr>
        <w:t>Approach 1: Exact agreement</w:t>
      </w:r>
      <w:r w:rsidRPr="006A1EC7">
        <w:rPr>
          <w:rFonts w:ascii="Times New Roman" w:hAnsi="Times New Roman" w:cs="Times New Roman"/>
        </w:rPr>
        <w:br/>
      </w:r>
    </w:p>
    <w:p w14:paraId="6C69F759" w14:textId="77777777" w:rsidR="00F53CB4" w:rsidRPr="006A1EC7" w:rsidRDefault="00F53CB4" w:rsidP="00F53CB4">
      <w:pPr>
        <w:spacing w:line="360" w:lineRule="auto"/>
        <w:ind w:firstLine="720"/>
      </w:pPr>
      <w:r w:rsidRPr="006A1EC7">
        <w:t>Table 25 represents the range of exact percent agreement (i.e. the same scores given at Time and Time 2), between Time 1 and Time 2 for each vignette. Across the five vignettes, only one judge gave the exact same scores on all subscales at Time 1 and Time 2.</w:t>
      </w:r>
    </w:p>
    <w:p w14:paraId="38430F23" w14:textId="77777777" w:rsidR="00F53CB4" w:rsidRPr="006A1EC7" w:rsidRDefault="00F53CB4" w:rsidP="00F53CB4">
      <w:pPr>
        <w:spacing w:line="360" w:lineRule="auto"/>
        <w:ind w:firstLine="720"/>
      </w:pPr>
      <w:r w:rsidRPr="006A1EC7">
        <w:t>In addition, the range of agreement (within-participants) for each vignette was extremely large. For example, for Case Study 3 (Emma), percent agreement within judges was between 20 and 70%; for Case Study 5 (Alessandro), this was 50 to 100%.</w:t>
      </w:r>
    </w:p>
    <w:p w14:paraId="7FA88AA7" w14:textId="77777777" w:rsidR="00F53CB4" w:rsidRPr="006A1EC7" w:rsidRDefault="00F53CB4" w:rsidP="00F53CB4">
      <w:pPr>
        <w:spacing w:line="360" w:lineRule="auto"/>
        <w:ind w:firstLine="720"/>
      </w:pPr>
      <w:r w:rsidRPr="006A1EC7">
        <w:t>As a result of these calculations it was also possible to calculate the percent of participants giving the same score at Time 1 and Time 2, per subscale (Table 26). Three of the nine sub-scales (Gastrointestinal; CNS and Functioning) had especially low intra-rater reliability (Percent agreement &lt;50%). The total scores also had low percent agreement; however, this is the result of different scores given at Time 1 and Time 2 on different subscales, thus affecting the total score as the sum of the subscale scores.</w:t>
      </w:r>
    </w:p>
    <w:p w14:paraId="7FDC19CE" w14:textId="77777777" w:rsidR="00F53CB4" w:rsidRPr="006A1EC7" w:rsidRDefault="00F53CB4" w:rsidP="00F53CB4">
      <w:pPr>
        <w:spacing w:line="360" w:lineRule="auto"/>
        <w:ind w:firstLine="720"/>
      </w:pPr>
    </w:p>
    <w:p w14:paraId="39D6FED4" w14:textId="77777777" w:rsidR="00F53CB4" w:rsidRPr="006A1EC7" w:rsidRDefault="00F53CB4" w:rsidP="00F53CB4"/>
    <w:p w14:paraId="07FAE2C3" w14:textId="77777777" w:rsidR="00F53CB4" w:rsidRPr="006A1EC7" w:rsidRDefault="00F53CB4" w:rsidP="00F53CB4">
      <w:pPr>
        <w:pStyle w:val="Caption"/>
        <w:keepNext/>
        <w:rPr>
          <w:sz w:val="24"/>
          <w:szCs w:val="24"/>
        </w:rPr>
      </w:pPr>
      <w:bookmarkStart w:id="255" w:name="_Toc40173050"/>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26</w:t>
      </w:r>
      <w:r w:rsidRPr="006A1EC7">
        <w:rPr>
          <w:sz w:val="24"/>
          <w:szCs w:val="24"/>
        </w:rPr>
        <w:fldChar w:fldCharType="end"/>
      </w:r>
      <w:r w:rsidRPr="006A1EC7">
        <w:rPr>
          <w:sz w:val="24"/>
          <w:szCs w:val="24"/>
        </w:rPr>
        <w:t>: Overview of range of Percent Agreement scores for each vignette (within raters for Time1 -Time 2 completions for exact scores)</w:t>
      </w:r>
      <w:bookmarkEnd w:id="255"/>
    </w:p>
    <w:tbl>
      <w:tblPr>
        <w:tblStyle w:val="PlainTable4"/>
        <w:tblW w:w="0" w:type="auto"/>
        <w:tblLook w:val="04A0" w:firstRow="1" w:lastRow="0" w:firstColumn="1" w:lastColumn="0" w:noHBand="0" w:noVBand="1"/>
      </w:tblPr>
      <w:tblGrid>
        <w:gridCol w:w="4250"/>
        <w:gridCol w:w="4248"/>
      </w:tblGrid>
      <w:tr w:rsidR="00F53CB4" w:rsidRPr="006A1EC7" w14:paraId="09070634"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3ED9FADA" w14:textId="77777777" w:rsidR="00F53CB4" w:rsidRPr="006A1EC7" w:rsidRDefault="00F53CB4" w:rsidP="00AC2435">
            <w:pPr>
              <w:rPr>
                <w:sz w:val="18"/>
                <w:szCs w:val="18"/>
              </w:rPr>
            </w:pPr>
            <w:r w:rsidRPr="006A1EC7">
              <w:rPr>
                <w:sz w:val="18"/>
                <w:szCs w:val="18"/>
              </w:rPr>
              <w:t>Case Study</w:t>
            </w:r>
          </w:p>
        </w:tc>
        <w:tc>
          <w:tcPr>
            <w:tcW w:w="4650" w:type="dxa"/>
          </w:tcPr>
          <w:p w14:paraId="4B7956E2"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Range of Percent agreement between Time 1 – 2 (maximum 100%); exact scores</w:t>
            </w:r>
          </w:p>
        </w:tc>
      </w:tr>
      <w:tr w:rsidR="00F53CB4" w:rsidRPr="006A1EC7" w14:paraId="40C74D75"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6D85B428" w14:textId="77777777" w:rsidR="00F53CB4" w:rsidRPr="006A1EC7" w:rsidRDefault="00F53CB4" w:rsidP="00AC2435">
            <w:pPr>
              <w:rPr>
                <w:sz w:val="18"/>
                <w:szCs w:val="18"/>
              </w:rPr>
            </w:pPr>
            <w:r w:rsidRPr="006A1EC7">
              <w:rPr>
                <w:sz w:val="18"/>
                <w:szCs w:val="18"/>
              </w:rPr>
              <w:t>Joshua</w:t>
            </w:r>
          </w:p>
        </w:tc>
        <w:tc>
          <w:tcPr>
            <w:tcW w:w="4650" w:type="dxa"/>
          </w:tcPr>
          <w:p w14:paraId="3D5D565F"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40-80%</w:t>
            </w:r>
          </w:p>
        </w:tc>
      </w:tr>
      <w:tr w:rsidR="00F53CB4" w:rsidRPr="006A1EC7" w14:paraId="62B95EB4" w14:textId="77777777" w:rsidTr="00AC2435">
        <w:tc>
          <w:tcPr>
            <w:cnfStyle w:val="001000000000" w:firstRow="0" w:lastRow="0" w:firstColumn="1" w:lastColumn="0" w:oddVBand="0" w:evenVBand="0" w:oddHBand="0" w:evenHBand="0" w:firstRowFirstColumn="0" w:firstRowLastColumn="0" w:lastRowFirstColumn="0" w:lastRowLastColumn="0"/>
            <w:tcW w:w="4650" w:type="dxa"/>
          </w:tcPr>
          <w:p w14:paraId="38F35E44" w14:textId="77777777" w:rsidR="00F53CB4" w:rsidRPr="006A1EC7" w:rsidRDefault="00F53CB4" w:rsidP="00AC2435">
            <w:pPr>
              <w:rPr>
                <w:sz w:val="18"/>
                <w:szCs w:val="18"/>
              </w:rPr>
            </w:pPr>
            <w:r w:rsidRPr="006A1EC7">
              <w:rPr>
                <w:sz w:val="18"/>
                <w:szCs w:val="18"/>
              </w:rPr>
              <w:t>Bronagh</w:t>
            </w:r>
          </w:p>
        </w:tc>
        <w:tc>
          <w:tcPr>
            <w:tcW w:w="4650" w:type="dxa"/>
          </w:tcPr>
          <w:p w14:paraId="6B742B9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40-80%</w:t>
            </w:r>
          </w:p>
        </w:tc>
      </w:tr>
      <w:tr w:rsidR="00F53CB4" w:rsidRPr="006A1EC7" w14:paraId="432056F9"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7C72FC39" w14:textId="77777777" w:rsidR="00F53CB4" w:rsidRPr="006A1EC7" w:rsidRDefault="00F53CB4" w:rsidP="00AC2435">
            <w:pPr>
              <w:rPr>
                <w:sz w:val="18"/>
                <w:szCs w:val="18"/>
              </w:rPr>
            </w:pPr>
            <w:r w:rsidRPr="006A1EC7">
              <w:rPr>
                <w:sz w:val="18"/>
                <w:szCs w:val="18"/>
              </w:rPr>
              <w:t>Emma</w:t>
            </w:r>
          </w:p>
        </w:tc>
        <w:tc>
          <w:tcPr>
            <w:tcW w:w="4650" w:type="dxa"/>
          </w:tcPr>
          <w:p w14:paraId="624318EE"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20-70%</w:t>
            </w:r>
          </w:p>
        </w:tc>
      </w:tr>
      <w:tr w:rsidR="00F53CB4" w:rsidRPr="006A1EC7" w14:paraId="3A81194A" w14:textId="77777777" w:rsidTr="00AC2435">
        <w:tc>
          <w:tcPr>
            <w:cnfStyle w:val="001000000000" w:firstRow="0" w:lastRow="0" w:firstColumn="1" w:lastColumn="0" w:oddVBand="0" w:evenVBand="0" w:oddHBand="0" w:evenHBand="0" w:firstRowFirstColumn="0" w:firstRowLastColumn="0" w:lastRowFirstColumn="0" w:lastRowLastColumn="0"/>
            <w:tcW w:w="4650" w:type="dxa"/>
          </w:tcPr>
          <w:p w14:paraId="4AB5799B" w14:textId="77777777" w:rsidR="00F53CB4" w:rsidRPr="006A1EC7" w:rsidRDefault="00F53CB4" w:rsidP="00AC2435">
            <w:pPr>
              <w:rPr>
                <w:sz w:val="18"/>
                <w:szCs w:val="18"/>
              </w:rPr>
            </w:pPr>
            <w:r w:rsidRPr="006A1EC7">
              <w:rPr>
                <w:sz w:val="18"/>
                <w:szCs w:val="18"/>
              </w:rPr>
              <w:t>Fineen</w:t>
            </w:r>
          </w:p>
        </w:tc>
        <w:tc>
          <w:tcPr>
            <w:tcW w:w="4650" w:type="dxa"/>
          </w:tcPr>
          <w:p w14:paraId="2F06FF69"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30-70%</w:t>
            </w:r>
          </w:p>
        </w:tc>
      </w:tr>
      <w:tr w:rsidR="00F53CB4" w:rsidRPr="006A1EC7" w14:paraId="43D3B2C0" w14:textId="77777777" w:rsidTr="00AC2435">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650" w:type="dxa"/>
          </w:tcPr>
          <w:p w14:paraId="05B403ED" w14:textId="77777777" w:rsidR="00F53CB4" w:rsidRPr="006A1EC7" w:rsidRDefault="00F53CB4" w:rsidP="00AC2435">
            <w:pPr>
              <w:rPr>
                <w:sz w:val="18"/>
                <w:szCs w:val="18"/>
              </w:rPr>
            </w:pPr>
            <w:r w:rsidRPr="006A1EC7">
              <w:rPr>
                <w:sz w:val="18"/>
                <w:szCs w:val="18"/>
              </w:rPr>
              <w:t>Alessandro</w:t>
            </w:r>
          </w:p>
        </w:tc>
        <w:tc>
          <w:tcPr>
            <w:tcW w:w="4650" w:type="dxa"/>
          </w:tcPr>
          <w:p w14:paraId="66075EFB"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50-100%</w:t>
            </w:r>
          </w:p>
        </w:tc>
      </w:tr>
    </w:tbl>
    <w:p w14:paraId="2B7D5B59" w14:textId="77777777" w:rsidR="00F53CB4" w:rsidRPr="006A1EC7" w:rsidRDefault="00F53CB4" w:rsidP="00F53CB4">
      <w:pPr>
        <w:spacing w:line="360" w:lineRule="auto"/>
      </w:pPr>
    </w:p>
    <w:p w14:paraId="032638E2" w14:textId="77777777" w:rsidR="00F53CB4" w:rsidRPr="006A1EC7" w:rsidRDefault="00F53CB4" w:rsidP="00F53CB4"/>
    <w:p w14:paraId="6C60D784" w14:textId="77777777" w:rsidR="00F53CB4" w:rsidRPr="006A1EC7" w:rsidRDefault="00F53CB4" w:rsidP="00F53CB4">
      <w:pPr>
        <w:pStyle w:val="Caption"/>
        <w:keepNext/>
        <w:rPr>
          <w:sz w:val="24"/>
          <w:szCs w:val="24"/>
        </w:rPr>
      </w:pPr>
      <w:bookmarkStart w:id="256" w:name="_Toc40173051"/>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27</w:t>
      </w:r>
      <w:r w:rsidRPr="006A1EC7">
        <w:rPr>
          <w:sz w:val="24"/>
          <w:szCs w:val="24"/>
        </w:rPr>
        <w:fldChar w:fldCharType="end"/>
      </w:r>
      <w:r w:rsidRPr="006A1EC7">
        <w:rPr>
          <w:sz w:val="24"/>
          <w:szCs w:val="24"/>
        </w:rPr>
        <w:t>: Overview of Percent Agreement Scores for each subscale and vignette (within raters, Time1 -Time 2)</w:t>
      </w:r>
      <w:bookmarkEnd w:id="256"/>
    </w:p>
    <w:tbl>
      <w:tblPr>
        <w:tblStyle w:val="PlainTable4"/>
        <w:tblW w:w="0" w:type="auto"/>
        <w:tblLook w:val="04A0" w:firstRow="1" w:lastRow="0" w:firstColumn="1" w:lastColumn="0" w:noHBand="0" w:noVBand="1"/>
      </w:tblPr>
      <w:tblGrid>
        <w:gridCol w:w="1589"/>
        <w:gridCol w:w="22"/>
        <w:gridCol w:w="1044"/>
        <w:gridCol w:w="1146"/>
        <w:gridCol w:w="950"/>
        <w:gridCol w:w="986"/>
        <w:gridCol w:w="1417"/>
        <w:gridCol w:w="1344"/>
      </w:tblGrid>
      <w:tr w:rsidR="00F53CB4" w:rsidRPr="006A1EC7" w14:paraId="76F3C907"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gridSpan w:val="2"/>
          </w:tcPr>
          <w:p w14:paraId="5A38E39B" w14:textId="77777777" w:rsidR="00F53CB4" w:rsidRPr="006A1EC7" w:rsidRDefault="00F53CB4" w:rsidP="00AC2435">
            <w:pPr>
              <w:spacing w:line="360" w:lineRule="auto"/>
              <w:rPr>
                <w:sz w:val="18"/>
                <w:szCs w:val="18"/>
              </w:rPr>
            </w:pPr>
          </w:p>
        </w:tc>
        <w:tc>
          <w:tcPr>
            <w:tcW w:w="5543" w:type="dxa"/>
            <w:gridSpan w:val="5"/>
          </w:tcPr>
          <w:p w14:paraId="53809D6E" w14:textId="77777777" w:rsidR="00F53CB4" w:rsidRPr="006A1EC7" w:rsidRDefault="00F53CB4" w:rsidP="00AC2435">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 of judges giving the same score at Time 1 and Time 2, per subscale</w:t>
            </w:r>
          </w:p>
        </w:tc>
        <w:tc>
          <w:tcPr>
            <w:tcW w:w="1344" w:type="dxa"/>
          </w:tcPr>
          <w:p w14:paraId="082462ED" w14:textId="77777777" w:rsidR="00F53CB4" w:rsidRPr="006A1EC7" w:rsidRDefault="00F53CB4" w:rsidP="00AC2435">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p>
        </w:tc>
      </w:tr>
      <w:tr w:rsidR="00F53CB4" w:rsidRPr="006A1EC7" w14:paraId="3C12FC61"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017414D2" w14:textId="77777777" w:rsidR="00F53CB4" w:rsidRPr="006A1EC7" w:rsidRDefault="00F53CB4" w:rsidP="00AC2435">
            <w:pPr>
              <w:spacing w:line="360" w:lineRule="auto"/>
              <w:rPr>
                <w:sz w:val="18"/>
                <w:szCs w:val="18"/>
              </w:rPr>
            </w:pPr>
            <w:r w:rsidRPr="006A1EC7">
              <w:rPr>
                <w:sz w:val="18"/>
                <w:szCs w:val="18"/>
              </w:rPr>
              <w:t>(Sub)Scale</w:t>
            </w:r>
          </w:p>
        </w:tc>
        <w:tc>
          <w:tcPr>
            <w:tcW w:w="1066" w:type="dxa"/>
            <w:gridSpan w:val="2"/>
          </w:tcPr>
          <w:p w14:paraId="5D4F78C1"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Joshua (Case Study 1)</w:t>
            </w:r>
          </w:p>
        </w:tc>
        <w:tc>
          <w:tcPr>
            <w:tcW w:w="1146" w:type="dxa"/>
          </w:tcPr>
          <w:p w14:paraId="4CD8745B"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Bronagh (Case Study 2)</w:t>
            </w:r>
          </w:p>
        </w:tc>
        <w:tc>
          <w:tcPr>
            <w:tcW w:w="950" w:type="dxa"/>
          </w:tcPr>
          <w:p w14:paraId="26F4B01C"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Emma (Case Study 3)</w:t>
            </w:r>
          </w:p>
        </w:tc>
        <w:tc>
          <w:tcPr>
            <w:tcW w:w="986" w:type="dxa"/>
          </w:tcPr>
          <w:p w14:paraId="1414EEFA"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Fineen (Case Study 4)</w:t>
            </w:r>
          </w:p>
        </w:tc>
        <w:tc>
          <w:tcPr>
            <w:tcW w:w="1417" w:type="dxa"/>
          </w:tcPr>
          <w:p w14:paraId="0220A745"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Alessandro (Case Study 5)</w:t>
            </w:r>
          </w:p>
        </w:tc>
        <w:tc>
          <w:tcPr>
            <w:tcW w:w="1344" w:type="dxa"/>
          </w:tcPr>
          <w:p w14:paraId="39BDA941"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 xml:space="preserve">Mean % of judges giving the exact score at Time 1 and Time 2 per subscale </w:t>
            </w:r>
          </w:p>
        </w:tc>
      </w:tr>
      <w:tr w:rsidR="00F53CB4" w:rsidRPr="006A1EC7" w14:paraId="76C0E2F8"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3F68F6F2" w14:textId="77777777" w:rsidR="00F53CB4" w:rsidRPr="006A1EC7" w:rsidRDefault="00F53CB4" w:rsidP="00AC2435">
            <w:pPr>
              <w:spacing w:line="360" w:lineRule="auto"/>
              <w:rPr>
                <w:sz w:val="18"/>
                <w:szCs w:val="18"/>
              </w:rPr>
            </w:pPr>
            <w:r w:rsidRPr="006A1EC7">
              <w:rPr>
                <w:sz w:val="18"/>
                <w:szCs w:val="18"/>
              </w:rPr>
              <w:t>Face</w:t>
            </w:r>
          </w:p>
        </w:tc>
        <w:tc>
          <w:tcPr>
            <w:tcW w:w="1066" w:type="dxa"/>
            <w:gridSpan w:val="2"/>
          </w:tcPr>
          <w:p w14:paraId="38D6765C"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44% </w:t>
            </w:r>
          </w:p>
        </w:tc>
        <w:tc>
          <w:tcPr>
            <w:tcW w:w="1146" w:type="dxa"/>
          </w:tcPr>
          <w:p w14:paraId="16877619"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90%</w:t>
            </w:r>
          </w:p>
        </w:tc>
        <w:tc>
          <w:tcPr>
            <w:tcW w:w="950" w:type="dxa"/>
          </w:tcPr>
          <w:p w14:paraId="65CA6C47"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986" w:type="dxa"/>
          </w:tcPr>
          <w:p w14:paraId="21A8DFC6"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25%</w:t>
            </w:r>
          </w:p>
        </w:tc>
        <w:tc>
          <w:tcPr>
            <w:tcW w:w="1417" w:type="dxa"/>
          </w:tcPr>
          <w:p w14:paraId="669D6BB2"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66%</w:t>
            </w:r>
          </w:p>
        </w:tc>
        <w:tc>
          <w:tcPr>
            <w:tcW w:w="1344" w:type="dxa"/>
          </w:tcPr>
          <w:p w14:paraId="4039716B" w14:textId="77777777" w:rsidR="00F53CB4" w:rsidRPr="006A1EC7" w:rsidRDefault="00F53CB4" w:rsidP="00AC2435">
            <w:pPr>
              <w:tabs>
                <w:tab w:val="left" w:pos="804"/>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65%</w:t>
            </w:r>
            <w:r w:rsidRPr="006A1EC7">
              <w:rPr>
                <w:sz w:val="18"/>
                <w:szCs w:val="18"/>
              </w:rPr>
              <w:tab/>
            </w:r>
          </w:p>
        </w:tc>
      </w:tr>
      <w:tr w:rsidR="00F53CB4" w:rsidRPr="006A1EC7" w14:paraId="1A387C42"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60D040C6" w14:textId="77777777" w:rsidR="00F53CB4" w:rsidRPr="006A1EC7" w:rsidRDefault="00F53CB4" w:rsidP="00AC2435">
            <w:pPr>
              <w:spacing w:line="360" w:lineRule="auto"/>
              <w:rPr>
                <w:sz w:val="18"/>
                <w:szCs w:val="18"/>
              </w:rPr>
            </w:pPr>
            <w:r w:rsidRPr="006A1EC7">
              <w:rPr>
                <w:sz w:val="18"/>
                <w:szCs w:val="18"/>
              </w:rPr>
              <w:t>Epilepsy</w:t>
            </w:r>
          </w:p>
        </w:tc>
        <w:tc>
          <w:tcPr>
            <w:tcW w:w="1066" w:type="dxa"/>
            <w:gridSpan w:val="2"/>
          </w:tcPr>
          <w:p w14:paraId="3051CF5C"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44%</w:t>
            </w:r>
          </w:p>
        </w:tc>
        <w:tc>
          <w:tcPr>
            <w:tcW w:w="1146" w:type="dxa"/>
          </w:tcPr>
          <w:p w14:paraId="4D8CD7AF"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90%</w:t>
            </w:r>
          </w:p>
        </w:tc>
        <w:tc>
          <w:tcPr>
            <w:tcW w:w="950" w:type="dxa"/>
          </w:tcPr>
          <w:p w14:paraId="2F3B378E"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75%</w:t>
            </w:r>
          </w:p>
        </w:tc>
        <w:tc>
          <w:tcPr>
            <w:tcW w:w="986" w:type="dxa"/>
          </w:tcPr>
          <w:p w14:paraId="0DCF1A68"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417" w:type="dxa"/>
          </w:tcPr>
          <w:p w14:paraId="5D34B6C3"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344" w:type="dxa"/>
          </w:tcPr>
          <w:p w14:paraId="4A542C68"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81%</w:t>
            </w:r>
          </w:p>
        </w:tc>
      </w:tr>
      <w:tr w:rsidR="00F53CB4" w:rsidRPr="006A1EC7" w14:paraId="557732D1"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0403A7BA" w14:textId="77777777" w:rsidR="00F53CB4" w:rsidRPr="006A1EC7" w:rsidRDefault="00F53CB4" w:rsidP="00AC2435">
            <w:pPr>
              <w:spacing w:line="360" w:lineRule="auto"/>
              <w:rPr>
                <w:sz w:val="18"/>
                <w:szCs w:val="18"/>
              </w:rPr>
            </w:pPr>
            <w:r w:rsidRPr="006A1EC7">
              <w:rPr>
                <w:sz w:val="18"/>
                <w:szCs w:val="18"/>
              </w:rPr>
              <w:t>Gastro</w:t>
            </w:r>
          </w:p>
        </w:tc>
        <w:tc>
          <w:tcPr>
            <w:tcW w:w="1066" w:type="dxa"/>
            <w:gridSpan w:val="2"/>
          </w:tcPr>
          <w:p w14:paraId="1B464372"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44%</w:t>
            </w:r>
          </w:p>
        </w:tc>
        <w:tc>
          <w:tcPr>
            <w:tcW w:w="1146" w:type="dxa"/>
          </w:tcPr>
          <w:p w14:paraId="71961AB8"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0%</w:t>
            </w:r>
          </w:p>
        </w:tc>
        <w:tc>
          <w:tcPr>
            <w:tcW w:w="950" w:type="dxa"/>
          </w:tcPr>
          <w:p w14:paraId="268BE86D"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0%</w:t>
            </w:r>
          </w:p>
        </w:tc>
        <w:tc>
          <w:tcPr>
            <w:tcW w:w="986" w:type="dxa"/>
          </w:tcPr>
          <w:p w14:paraId="60606082"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25%</w:t>
            </w:r>
          </w:p>
        </w:tc>
        <w:tc>
          <w:tcPr>
            <w:tcW w:w="1417" w:type="dxa"/>
          </w:tcPr>
          <w:p w14:paraId="6C633CEE"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344" w:type="dxa"/>
          </w:tcPr>
          <w:p w14:paraId="36257145"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34%</w:t>
            </w:r>
          </w:p>
        </w:tc>
      </w:tr>
      <w:tr w:rsidR="00F53CB4" w:rsidRPr="006A1EC7" w14:paraId="2EC46D09"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58E55218" w14:textId="77777777" w:rsidR="00F53CB4" w:rsidRPr="006A1EC7" w:rsidRDefault="00F53CB4" w:rsidP="00AC2435">
            <w:pPr>
              <w:spacing w:line="360" w:lineRule="auto"/>
              <w:rPr>
                <w:sz w:val="18"/>
                <w:szCs w:val="18"/>
              </w:rPr>
            </w:pPr>
            <w:r w:rsidRPr="006A1EC7">
              <w:rPr>
                <w:sz w:val="18"/>
                <w:szCs w:val="18"/>
              </w:rPr>
              <w:t>Cardio</w:t>
            </w:r>
          </w:p>
        </w:tc>
        <w:tc>
          <w:tcPr>
            <w:tcW w:w="1066" w:type="dxa"/>
            <w:gridSpan w:val="2"/>
          </w:tcPr>
          <w:p w14:paraId="708B3836"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56%</w:t>
            </w:r>
          </w:p>
        </w:tc>
        <w:tc>
          <w:tcPr>
            <w:tcW w:w="1146" w:type="dxa"/>
          </w:tcPr>
          <w:p w14:paraId="27F85320"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60%</w:t>
            </w:r>
          </w:p>
        </w:tc>
        <w:tc>
          <w:tcPr>
            <w:tcW w:w="950" w:type="dxa"/>
          </w:tcPr>
          <w:p w14:paraId="7C99AE7D"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75%</w:t>
            </w:r>
          </w:p>
        </w:tc>
        <w:tc>
          <w:tcPr>
            <w:tcW w:w="986" w:type="dxa"/>
          </w:tcPr>
          <w:p w14:paraId="2EC7F6A2"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38%</w:t>
            </w:r>
          </w:p>
        </w:tc>
        <w:tc>
          <w:tcPr>
            <w:tcW w:w="1417" w:type="dxa"/>
          </w:tcPr>
          <w:p w14:paraId="484D7D31"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344" w:type="dxa"/>
          </w:tcPr>
          <w:p w14:paraId="5FC8A08F"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66%</w:t>
            </w:r>
          </w:p>
        </w:tc>
      </w:tr>
      <w:tr w:rsidR="00F53CB4" w:rsidRPr="006A1EC7" w14:paraId="43C35050"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4097B901" w14:textId="77777777" w:rsidR="00F53CB4" w:rsidRPr="006A1EC7" w:rsidRDefault="00F53CB4" w:rsidP="00AC2435">
            <w:pPr>
              <w:spacing w:line="360" w:lineRule="auto"/>
              <w:rPr>
                <w:sz w:val="18"/>
                <w:szCs w:val="18"/>
              </w:rPr>
            </w:pPr>
            <w:r w:rsidRPr="006A1EC7">
              <w:rPr>
                <w:sz w:val="18"/>
                <w:szCs w:val="18"/>
              </w:rPr>
              <w:t>CNS</w:t>
            </w:r>
          </w:p>
        </w:tc>
        <w:tc>
          <w:tcPr>
            <w:tcW w:w="1066" w:type="dxa"/>
            <w:gridSpan w:val="2"/>
          </w:tcPr>
          <w:p w14:paraId="17A120D3"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56%</w:t>
            </w:r>
          </w:p>
        </w:tc>
        <w:tc>
          <w:tcPr>
            <w:tcW w:w="1146" w:type="dxa"/>
          </w:tcPr>
          <w:p w14:paraId="1B7500BE"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40%</w:t>
            </w:r>
          </w:p>
        </w:tc>
        <w:tc>
          <w:tcPr>
            <w:tcW w:w="950" w:type="dxa"/>
          </w:tcPr>
          <w:p w14:paraId="72AA3470"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25%</w:t>
            </w:r>
          </w:p>
        </w:tc>
        <w:tc>
          <w:tcPr>
            <w:tcW w:w="986" w:type="dxa"/>
          </w:tcPr>
          <w:p w14:paraId="06AAAE78"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50%</w:t>
            </w:r>
          </w:p>
        </w:tc>
        <w:tc>
          <w:tcPr>
            <w:tcW w:w="1417" w:type="dxa"/>
          </w:tcPr>
          <w:p w14:paraId="5CF3D5C8"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66%</w:t>
            </w:r>
          </w:p>
        </w:tc>
        <w:tc>
          <w:tcPr>
            <w:tcW w:w="1344" w:type="dxa"/>
          </w:tcPr>
          <w:p w14:paraId="115D4F99"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47%</w:t>
            </w:r>
          </w:p>
        </w:tc>
      </w:tr>
      <w:tr w:rsidR="00F53CB4" w:rsidRPr="006A1EC7" w14:paraId="22E167F8"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36ECDB97" w14:textId="77777777" w:rsidR="00F53CB4" w:rsidRPr="006A1EC7" w:rsidRDefault="00F53CB4" w:rsidP="00AC2435">
            <w:pPr>
              <w:spacing w:line="360" w:lineRule="auto"/>
              <w:rPr>
                <w:sz w:val="18"/>
                <w:szCs w:val="18"/>
              </w:rPr>
            </w:pPr>
            <w:r w:rsidRPr="006A1EC7">
              <w:rPr>
                <w:sz w:val="18"/>
                <w:szCs w:val="18"/>
              </w:rPr>
              <w:t>Functioning</w:t>
            </w:r>
          </w:p>
        </w:tc>
        <w:tc>
          <w:tcPr>
            <w:tcW w:w="1066" w:type="dxa"/>
            <w:gridSpan w:val="2"/>
          </w:tcPr>
          <w:p w14:paraId="37B0F11E"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146" w:type="dxa"/>
          </w:tcPr>
          <w:p w14:paraId="1A1EEDC2"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20%</w:t>
            </w:r>
          </w:p>
        </w:tc>
        <w:tc>
          <w:tcPr>
            <w:tcW w:w="950" w:type="dxa"/>
          </w:tcPr>
          <w:p w14:paraId="2F93E77F"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25%</w:t>
            </w:r>
          </w:p>
        </w:tc>
        <w:tc>
          <w:tcPr>
            <w:tcW w:w="986" w:type="dxa"/>
          </w:tcPr>
          <w:p w14:paraId="5824B991"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25%</w:t>
            </w:r>
          </w:p>
        </w:tc>
        <w:tc>
          <w:tcPr>
            <w:tcW w:w="1417" w:type="dxa"/>
          </w:tcPr>
          <w:p w14:paraId="13EFE5FE"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66%</w:t>
            </w:r>
          </w:p>
        </w:tc>
        <w:tc>
          <w:tcPr>
            <w:tcW w:w="1344" w:type="dxa"/>
          </w:tcPr>
          <w:p w14:paraId="7556ED7A"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47%</w:t>
            </w:r>
          </w:p>
        </w:tc>
      </w:tr>
      <w:tr w:rsidR="00F53CB4" w:rsidRPr="006A1EC7" w14:paraId="23ED093C"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3C5E584E" w14:textId="77777777" w:rsidR="00F53CB4" w:rsidRPr="006A1EC7" w:rsidRDefault="00F53CB4" w:rsidP="00AC2435">
            <w:pPr>
              <w:spacing w:line="360" w:lineRule="auto"/>
              <w:rPr>
                <w:sz w:val="18"/>
                <w:szCs w:val="18"/>
              </w:rPr>
            </w:pPr>
            <w:r w:rsidRPr="006A1EC7">
              <w:rPr>
                <w:sz w:val="18"/>
                <w:szCs w:val="18"/>
              </w:rPr>
              <w:t>Immun</w:t>
            </w:r>
          </w:p>
        </w:tc>
        <w:tc>
          <w:tcPr>
            <w:tcW w:w="1066" w:type="dxa"/>
            <w:gridSpan w:val="2"/>
          </w:tcPr>
          <w:p w14:paraId="0A6E7F8E"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146" w:type="dxa"/>
          </w:tcPr>
          <w:p w14:paraId="4C202E8C"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950" w:type="dxa"/>
          </w:tcPr>
          <w:p w14:paraId="09A68109"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50%</w:t>
            </w:r>
          </w:p>
        </w:tc>
        <w:tc>
          <w:tcPr>
            <w:tcW w:w="986" w:type="dxa"/>
          </w:tcPr>
          <w:p w14:paraId="53B0F762"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63%</w:t>
            </w:r>
          </w:p>
        </w:tc>
        <w:tc>
          <w:tcPr>
            <w:tcW w:w="1417" w:type="dxa"/>
          </w:tcPr>
          <w:p w14:paraId="470F3E85"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33%</w:t>
            </w:r>
          </w:p>
        </w:tc>
        <w:tc>
          <w:tcPr>
            <w:tcW w:w="1344" w:type="dxa"/>
          </w:tcPr>
          <w:p w14:paraId="2EDE5EF1"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69%</w:t>
            </w:r>
          </w:p>
        </w:tc>
      </w:tr>
      <w:tr w:rsidR="00F53CB4" w:rsidRPr="006A1EC7" w14:paraId="511D28C6"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578819CA" w14:textId="77777777" w:rsidR="00F53CB4" w:rsidRPr="006A1EC7" w:rsidRDefault="00F53CB4" w:rsidP="00AC2435">
            <w:pPr>
              <w:spacing w:line="360" w:lineRule="auto"/>
              <w:rPr>
                <w:sz w:val="18"/>
                <w:szCs w:val="18"/>
              </w:rPr>
            </w:pPr>
            <w:r w:rsidRPr="006A1EC7">
              <w:rPr>
                <w:sz w:val="18"/>
                <w:szCs w:val="18"/>
              </w:rPr>
              <w:t>Sleep</w:t>
            </w:r>
          </w:p>
        </w:tc>
        <w:tc>
          <w:tcPr>
            <w:tcW w:w="1066" w:type="dxa"/>
            <w:gridSpan w:val="2"/>
          </w:tcPr>
          <w:p w14:paraId="1B522FCE"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146" w:type="dxa"/>
          </w:tcPr>
          <w:p w14:paraId="3B00A802"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60%</w:t>
            </w:r>
          </w:p>
        </w:tc>
        <w:tc>
          <w:tcPr>
            <w:tcW w:w="950" w:type="dxa"/>
          </w:tcPr>
          <w:p w14:paraId="233A3B15"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75%</w:t>
            </w:r>
          </w:p>
        </w:tc>
        <w:tc>
          <w:tcPr>
            <w:tcW w:w="986" w:type="dxa"/>
          </w:tcPr>
          <w:p w14:paraId="0BF94CC1"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63%</w:t>
            </w:r>
          </w:p>
        </w:tc>
        <w:tc>
          <w:tcPr>
            <w:tcW w:w="1417" w:type="dxa"/>
          </w:tcPr>
          <w:p w14:paraId="76023D76"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66%</w:t>
            </w:r>
          </w:p>
        </w:tc>
        <w:tc>
          <w:tcPr>
            <w:tcW w:w="1344" w:type="dxa"/>
          </w:tcPr>
          <w:p w14:paraId="4EFCBE4B"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73%</w:t>
            </w:r>
          </w:p>
        </w:tc>
      </w:tr>
      <w:tr w:rsidR="00F53CB4" w:rsidRPr="006A1EC7" w14:paraId="2126A7B9"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66B2127D" w14:textId="77777777" w:rsidR="00F53CB4" w:rsidRPr="006A1EC7" w:rsidRDefault="00F53CB4" w:rsidP="00AC2435">
            <w:pPr>
              <w:spacing w:line="360" w:lineRule="auto"/>
              <w:rPr>
                <w:sz w:val="18"/>
                <w:szCs w:val="18"/>
              </w:rPr>
            </w:pPr>
            <w:r w:rsidRPr="006A1EC7">
              <w:rPr>
                <w:sz w:val="18"/>
                <w:szCs w:val="18"/>
              </w:rPr>
              <w:t>Care</w:t>
            </w:r>
          </w:p>
        </w:tc>
        <w:tc>
          <w:tcPr>
            <w:tcW w:w="1066" w:type="dxa"/>
            <w:gridSpan w:val="2"/>
          </w:tcPr>
          <w:p w14:paraId="587C2817"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67%</w:t>
            </w:r>
          </w:p>
        </w:tc>
        <w:tc>
          <w:tcPr>
            <w:tcW w:w="1146" w:type="dxa"/>
          </w:tcPr>
          <w:p w14:paraId="2E1ADCAA"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90%</w:t>
            </w:r>
          </w:p>
        </w:tc>
        <w:tc>
          <w:tcPr>
            <w:tcW w:w="950" w:type="dxa"/>
          </w:tcPr>
          <w:p w14:paraId="57902539"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75%</w:t>
            </w:r>
          </w:p>
        </w:tc>
        <w:tc>
          <w:tcPr>
            <w:tcW w:w="986" w:type="dxa"/>
          </w:tcPr>
          <w:p w14:paraId="4FF0CFC7"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417" w:type="dxa"/>
          </w:tcPr>
          <w:p w14:paraId="645FD77D"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344" w:type="dxa"/>
          </w:tcPr>
          <w:p w14:paraId="4BDABA37"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86%</w:t>
            </w:r>
          </w:p>
        </w:tc>
      </w:tr>
      <w:tr w:rsidR="00F53CB4" w:rsidRPr="006A1EC7" w14:paraId="347D9F28"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62FD3295" w14:textId="77777777" w:rsidR="00F53CB4" w:rsidRPr="006A1EC7" w:rsidRDefault="00F53CB4" w:rsidP="00AC2435">
            <w:pPr>
              <w:spacing w:line="360" w:lineRule="auto"/>
              <w:rPr>
                <w:sz w:val="18"/>
                <w:szCs w:val="18"/>
              </w:rPr>
            </w:pPr>
            <w:r w:rsidRPr="006A1EC7">
              <w:rPr>
                <w:sz w:val="18"/>
                <w:szCs w:val="18"/>
              </w:rPr>
              <w:t>Total*</w:t>
            </w:r>
          </w:p>
        </w:tc>
        <w:tc>
          <w:tcPr>
            <w:tcW w:w="1066" w:type="dxa"/>
            <w:gridSpan w:val="2"/>
          </w:tcPr>
          <w:p w14:paraId="268A57D2"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11%</w:t>
            </w:r>
          </w:p>
        </w:tc>
        <w:tc>
          <w:tcPr>
            <w:tcW w:w="1146" w:type="dxa"/>
          </w:tcPr>
          <w:p w14:paraId="2457D707"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950" w:type="dxa"/>
          </w:tcPr>
          <w:p w14:paraId="58E0E2CF"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0%</w:t>
            </w:r>
          </w:p>
        </w:tc>
        <w:tc>
          <w:tcPr>
            <w:tcW w:w="986" w:type="dxa"/>
          </w:tcPr>
          <w:p w14:paraId="466A130A"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0%</w:t>
            </w:r>
          </w:p>
        </w:tc>
        <w:tc>
          <w:tcPr>
            <w:tcW w:w="1417" w:type="dxa"/>
          </w:tcPr>
          <w:p w14:paraId="6E69396D"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33%</w:t>
            </w:r>
          </w:p>
        </w:tc>
        <w:tc>
          <w:tcPr>
            <w:tcW w:w="1344" w:type="dxa"/>
          </w:tcPr>
          <w:p w14:paraId="55CCFFC9"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28%</w:t>
            </w:r>
          </w:p>
        </w:tc>
      </w:tr>
    </w:tbl>
    <w:p w14:paraId="524F92E7" w14:textId="77777777" w:rsidR="00F53CB4" w:rsidRPr="006A1EC7" w:rsidRDefault="00F53CB4" w:rsidP="00F53CB4">
      <w:pPr>
        <w:rPr>
          <w:lang w:eastAsia="en-GB"/>
        </w:rPr>
      </w:pPr>
    </w:p>
    <w:p w14:paraId="51C38BCC" w14:textId="77777777" w:rsidR="00F53CB4" w:rsidRPr="006A1EC7" w:rsidRDefault="00F53CB4" w:rsidP="00F53CB4">
      <w:pPr>
        <w:rPr>
          <w:lang w:eastAsia="en-GB"/>
        </w:rPr>
      </w:pPr>
    </w:p>
    <w:p w14:paraId="55D6EFD1" w14:textId="77777777" w:rsidR="00F53CB4" w:rsidRPr="006A1EC7" w:rsidRDefault="00F53CB4" w:rsidP="00F53CB4">
      <w:pPr>
        <w:pStyle w:val="Heading5"/>
        <w:rPr>
          <w:rFonts w:ascii="Times New Roman" w:hAnsi="Times New Roman" w:cs="Times New Roman"/>
        </w:rPr>
      </w:pPr>
      <w:r w:rsidRPr="006A1EC7">
        <w:rPr>
          <w:rFonts w:ascii="Times New Roman" w:hAnsi="Times New Roman" w:cs="Times New Roman"/>
        </w:rPr>
        <w:t>Approach 2: Adjacent agreement</w:t>
      </w:r>
    </w:p>
    <w:p w14:paraId="31BB158B" w14:textId="77777777" w:rsidR="00F53CB4" w:rsidRPr="006A1EC7" w:rsidRDefault="00F53CB4" w:rsidP="00F53CB4"/>
    <w:p w14:paraId="71364F8F" w14:textId="77777777" w:rsidR="00F53CB4" w:rsidRPr="006A1EC7" w:rsidRDefault="00F53CB4" w:rsidP="00F53CB4">
      <w:pPr>
        <w:spacing w:line="360" w:lineRule="auto"/>
        <w:ind w:firstLine="720"/>
      </w:pPr>
      <w:r w:rsidRPr="006A1EC7">
        <w:t>In the second approach, agreement was deemed given when adjacent scores were given, i.e. scores were within one point of each other. In practice, this means that agreement was achieved when a participant gave the score of 12 at Time 1 and a score of 11 or 13 at Time 2. As before, participant scores were converted into percent of agreement scores (Tables 27, 28). Using this approach, nine participants achieved 100% agreement between Time 1 and 2. This way, total percent agreement scores were significantly improved; especially for case study 5 (Alessandro) where agreement was now between 90-100%. Percent agreement within the subscales also improved. Using this adjacent approach (range of +/- 1 point per subscale) significantly improved intra-rater reliability for the scale. All subscales achieved &gt;= 65% agreement; which suggests moderate intra-rater reliability (McHugh, 2012).</w:t>
      </w:r>
    </w:p>
    <w:p w14:paraId="4B970787" w14:textId="77777777" w:rsidR="00F53CB4" w:rsidRPr="006A1EC7" w:rsidRDefault="00F53CB4" w:rsidP="00F53CB4">
      <w:pPr>
        <w:spacing w:line="360" w:lineRule="auto"/>
      </w:pPr>
    </w:p>
    <w:p w14:paraId="7C089324" w14:textId="77777777" w:rsidR="00F53CB4" w:rsidRPr="006A1EC7" w:rsidRDefault="00F53CB4" w:rsidP="00F53CB4">
      <w:pPr>
        <w:pStyle w:val="Caption"/>
        <w:keepNext/>
        <w:rPr>
          <w:sz w:val="24"/>
          <w:szCs w:val="24"/>
        </w:rPr>
      </w:pPr>
      <w:bookmarkStart w:id="257" w:name="_Toc40173052"/>
      <w:r w:rsidRPr="006A1EC7">
        <w:rPr>
          <w:sz w:val="24"/>
          <w:szCs w:val="24"/>
        </w:rPr>
        <w:lastRenderedPageBreak/>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28</w:t>
      </w:r>
      <w:r w:rsidRPr="006A1EC7">
        <w:rPr>
          <w:sz w:val="24"/>
          <w:szCs w:val="24"/>
        </w:rPr>
        <w:fldChar w:fldCharType="end"/>
      </w:r>
      <w:r w:rsidRPr="006A1EC7">
        <w:rPr>
          <w:sz w:val="24"/>
          <w:szCs w:val="24"/>
        </w:rPr>
        <w:t>: Overview of range of Percent Agreement scores for each vignette (within raters for Time1 -Time 2 completions for scores within range of +/- 1)</w:t>
      </w:r>
      <w:bookmarkEnd w:id="257"/>
    </w:p>
    <w:tbl>
      <w:tblPr>
        <w:tblStyle w:val="PlainTable4"/>
        <w:tblW w:w="0" w:type="auto"/>
        <w:tblLook w:val="04A0" w:firstRow="1" w:lastRow="0" w:firstColumn="1" w:lastColumn="0" w:noHBand="0" w:noVBand="1"/>
      </w:tblPr>
      <w:tblGrid>
        <w:gridCol w:w="4250"/>
        <w:gridCol w:w="4248"/>
      </w:tblGrid>
      <w:tr w:rsidR="00F53CB4" w:rsidRPr="006A1EC7" w14:paraId="2DD9A89F"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7001C8C2" w14:textId="77777777" w:rsidR="00F53CB4" w:rsidRPr="006A1EC7" w:rsidRDefault="00F53CB4" w:rsidP="00AC2435">
            <w:pPr>
              <w:rPr>
                <w:sz w:val="18"/>
                <w:szCs w:val="18"/>
              </w:rPr>
            </w:pPr>
            <w:r w:rsidRPr="006A1EC7">
              <w:rPr>
                <w:sz w:val="18"/>
                <w:szCs w:val="18"/>
              </w:rPr>
              <w:t>Case Study</w:t>
            </w:r>
          </w:p>
        </w:tc>
        <w:tc>
          <w:tcPr>
            <w:tcW w:w="4650" w:type="dxa"/>
          </w:tcPr>
          <w:p w14:paraId="0F7F9DE9"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Range of Percent agreement between Time 1 – 2 (maximum 100%) –scores +/-1</w:t>
            </w:r>
          </w:p>
        </w:tc>
      </w:tr>
      <w:tr w:rsidR="00F53CB4" w:rsidRPr="006A1EC7" w14:paraId="3A80FB43"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12269F5A" w14:textId="77777777" w:rsidR="00F53CB4" w:rsidRPr="006A1EC7" w:rsidRDefault="00F53CB4" w:rsidP="00AC2435">
            <w:pPr>
              <w:rPr>
                <w:sz w:val="18"/>
                <w:szCs w:val="18"/>
              </w:rPr>
            </w:pPr>
            <w:r w:rsidRPr="006A1EC7">
              <w:rPr>
                <w:sz w:val="18"/>
                <w:szCs w:val="18"/>
              </w:rPr>
              <w:t>Joshua</w:t>
            </w:r>
          </w:p>
        </w:tc>
        <w:tc>
          <w:tcPr>
            <w:tcW w:w="4650" w:type="dxa"/>
          </w:tcPr>
          <w:p w14:paraId="6EBBED06"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80-100%</w:t>
            </w:r>
          </w:p>
        </w:tc>
      </w:tr>
      <w:tr w:rsidR="00F53CB4" w:rsidRPr="006A1EC7" w14:paraId="22978D5E" w14:textId="77777777" w:rsidTr="00AC2435">
        <w:tc>
          <w:tcPr>
            <w:cnfStyle w:val="001000000000" w:firstRow="0" w:lastRow="0" w:firstColumn="1" w:lastColumn="0" w:oddVBand="0" w:evenVBand="0" w:oddHBand="0" w:evenHBand="0" w:firstRowFirstColumn="0" w:firstRowLastColumn="0" w:lastRowFirstColumn="0" w:lastRowLastColumn="0"/>
            <w:tcW w:w="4650" w:type="dxa"/>
          </w:tcPr>
          <w:p w14:paraId="01340B64" w14:textId="77777777" w:rsidR="00F53CB4" w:rsidRPr="006A1EC7" w:rsidRDefault="00F53CB4" w:rsidP="00AC2435">
            <w:pPr>
              <w:rPr>
                <w:sz w:val="18"/>
                <w:szCs w:val="18"/>
              </w:rPr>
            </w:pPr>
            <w:r w:rsidRPr="006A1EC7">
              <w:rPr>
                <w:sz w:val="18"/>
                <w:szCs w:val="18"/>
              </w:rPr>
              <w:t>Bronagh</w:t>
            </w:r>
          </w:p>
        </w:tc>
        <w:tc>
          <w:tcPr>
            <w:tcW w:w="4650" w:type="dxa"/>
          </w:tcPr>
          <w:p w14:paraId="44A5AAD5"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70-100%</w:t>
            </w:r>
          </w:p>
        </w:tc>
      </w:tr>
      <w:tr w:rsidR="00F53CB4" w:rsidRPr="006A1EC7" w14:paraId="6E759997"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2B1701E0" w14:textId="77777777" w:rsidR="00F53CB4" w:rsidRPr="006A1EC7" w:rsidRDefault="00F53CB4" w:rsidP="00AC2435">
            <w:pPr>
              <w:rPr>
                <w:sz w:val="18"/>
                <w:szCs w:val="18"/>
              </w:rPr>
            </w:pPr>
            <w:r w:rsidRPr="006A1EC7">
              <w:rPr>
                <w:sz w:val="18"/>
                <w:szCs w:val="18"/>
              </w:rPr>
              <w:t>Emma</w:t>
            </w:r>
          </w:p>
        </w:tc>
        <w:tc>
          <w:tcPr>
            <w:tcW w:w="4650" w:type="dxa"/>
          </w:tcPr>
          <w:p w14:paraId="2CAFC71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40-70%</w:t>
            </w:r>
          </w:p>
        </w:tc>
      </w:tr>
      <w:tr w:rsidR="00F53CB4" w:rsidRPr="006A1EC7" w14:paraId="3C5E05CF" w14:textId="77777777" w:rsidTr="00AC2435">
        <w:tc>
          <w:tcPr>
            <w:cnfStyle w:val="001000000000" w:firstRow="0" w:lastRow="0" w:firstColumn="1" w:lastColumn="0" w:oddVBand="0" w:evenVBand="0" w:oddHBand="0" w:evenHBand="0" w:firstRowFirstColumn="0" w:firstRowLastColumn="0" w:lastRowFirstColumn="0" w:lastRowLastColumn="0"/>
            <w:tcW w:w="4650" w:type="dxa"/>
          </w:tcPr>
          <w:p w14:paraId="309226B3" w14:textId="77777777" w:rsidR="00F53CB4" w:rsidRPr="006A1EC7" w:rsidRDefault="00F53CB4" w:rsidP="00AC2435">
            <w:pPr>
              <w:rPr>
                <w:sz w:val="18"/>
                <w:szCs w:val="18"/>
              </w:rPr>
            </w:pPr>
            <w:r w:rsidRPr="006A1EC7">
              <w:rPr>
                <w:sz w:val="18"/>
                <w:szCs w:val="18"/>
              </w:rPr>
              <w:t>Fineen</w:t>
            </w:r>
          </w:p>
        </w:tc>
        <w:tc>
          <w:tcPr>
            <w:tcW w:w="4650" w:type="dxa"/>
          </w:tcPr>
          <w:p w14:paraId="71E369C8"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60-100%</w:t>
            </w:r>
          </w:p>
        </w:tc>
      </w:tr>
      <w:tr w:rsidR="00F53CB4" w:rsidRPr="006A1EC7" w14:paraId="3187F3BE"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Pr>
          <w:p w14:paraId="7E119C41" w14:textId="77777777" w:rsidR="00F53CB4" w:rsidRPr="006A1EC7" w:rsidRDefault="00F53CB4" w:rsidP="00AC2435">
            <w:pPr>
              <w:rPr>
                <w:sz w:val="18"/>
                <w:szCs w:val="18"/>
              </w:rPr>
            </w:pPr>
            <w:r w:rsidRPr="006A1EC7">
              <w:rPr>
                <w:sz w:val="18"/>
                <w:szCs w:val="18"/>
              </w:rPr>
              <w:t>Alessandro</w:t>
            </w:r>
          </w:p>
        </w:tc>
        <w:tc>
          <w:tcPr>
            <w:tcW w:w="4650" w:type="dxa"/>
          </w:tcPr>
          <w:p w14:paraId="04A46373"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90-100%</w:t>
            </w:r>
          </w:p>
        </w:tc>
      </w:tr>
    </w:tbl>
    <w:p w14:paraId="479E8602" w14:textId="77777777" w:rsidR="00F53CB4" w:rsidRPr="006A1EC7" w:rsidRDefault="00F53CB4" w:rsidP="00F53CB4">
      <w:pPr>
        <w:rPr>
          <w:sz w:val="21"/>
          <w:szCs w:val="21"/>
        </w:rPr>
      </w:pPr>
    </w:p>
    <w:p w14:paraId="2787C73B" w14:textId="77777777" w:rsidR="00F53CB4" w:rsidRPr="006A1EC7" w:rsidRDefault="00F53CB4" w:rsidP="00F53CB4">
      <w:pPr>
        <w:rPr>
          <w:sz w:val="21"/>
          <w:szCs w:val="21"/>
        </w:rPr>
      </w:pPr>
    </w:p>
    <w:p w14:paraId="1EF2E75F" w14:textId="77777777" w:rsidR="00F53CB4" w:rsidRPr="006A1EC7" w:rsidRDefault="00F53CB4" w:rsidP="00F53CB4">
      <w:pPr>
        <w:sectPr w:rsidR="00F53CB4" w:rsidRPr="006A1EC7" w:rsidSect="00AC2435">
          <w:type w:val="nextColumn"/>
          <w:pgSz w:w="11900" w:h="16840"/>
          <w:pgMar w:top="1440" w:right="1701" w:bottom="1440" w:left="1701" w:header="709" w:footer="709" w:gutter="0"/>
          <w:cols w:space="708"/>
          <w:docGrid w:linePitch="360"/>
        </w:sectPr>
      </w:pPr>
    </w:p>
    <w:p w14:paraId="67A2DF2E" w14:textId="77777777" w:rsidR="00F53CB4" w:rsidRPr="006A1EC7" w:rsidRDefault="00F53CB4" w:rsidP="00F53CB4"/>
    <w:p w14:paraId="6E58E656" w14:textId="77777777" w:rsidR="00F53CB4" w:rsidRPr="006A1EC7" w:rsidRDefault="00F53CB4" w:rsidP="00F53CB4">
      <w:pPr>
        <w:pStyle w:val="Caption"/>
        <w:keepNext/>
        <w:rPr>
          <w:sz w:val="24"/>
          <w:szCs w:val="24"/>
        </w:rPr>
      </w:pPr>
      <w:bookmarkStart w:id="258" w:name="_Toc40173053"/>
      <w:r w:rsidRPr="006A1EC7">
        <w:rPr>
          <w:sz w:val="24"/>
          <w:szCs w:val="24"/>
        </w:rPr>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29</w:t>
      </w:r>
      <w:r w:rsidRPr="006A1EC7">
        <w:rPr>
          <w:sz w:val="24"/>
          <w:szCs w:val="24"/>
        </w:rPr>
        <w:fldChar w:fldCharType="end"/>
      </w:r>
      <w:r w:rsidRPr="006A1EC7">
        <w:rPr>
          <w:sz w:val="24"/>
          <w:szCs w:val="24"/>
        </w:rPr>
        <w:t>: Overview of Percent Agreement Scores for each subscale and vignette (within raters, Time1 -Time 2; for scores within range of +/- 1)</w:t>
      </w:r>
      <w:bookmarkEnd w:id="258"/>
    </w:p>
    <w:tbl>
      <w:tblPr>
        <w:tblStyle w:val="PlainTable4"/>
        <w:tblW w:w="0" w:type="auto"/>
        <w:tblLook w:val="04A0" w:firstRow="1" w:lastRow="0" w:firstColumn="1" w:lastColumn="0" w:noHBand="0" w:noVBand="1"/>
      </w:tblPr>
      <w:tblGrid>
        <w:gridCol w:w="1515"/>
        <w:gridCol w:w="22"/>
        <w:gridCol w:w="992"/>
        <w:gridCol w:w="1123"/>
        <w:gridCol w:w="958"/>
        <w:gridCol w:w="988"/>
        <w:gridCol w:w="1351"/>
        <w:gridCol w:w="1549"/>
      </w:tblGrid>
      <w:tr w:rsidR="00F53CB4" w:rsidRPr="006A1EC7" w14:paraId="418D89E1"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gridSpan w:val="2"/>
          </w:tcPr>
          <w:p w14:paraId="63897065" w14:textId="77777777" w:rsidR="00F53CB4" w:rsidRPr="006A1EC7" w:rsidRDefault="00F53CB4" w:rsidP="00AC2435">
            <w:pPr>
              <w:spacing w:line="360" w:lineRule="auto"/>
              <w:rPr>
                <w:sz w:val="18"/>
                <w:szCs w:val="18"/>
              </w:rPr>
            </w:pPr>
          </w:p>
        </w:tc>
        <w:tc>
          <w:tcPr>
            <w:tcW w:w="5710" w:type="dxa"/>
            <w:gridSpan w:val="5"/>
          </w:tcPr>
          <w:p w14:paraId="2AA9B5F9" w14:textId="77777777" w:rsidR="00F53CB4" w:rsidRPr="006A1EC7" w:rsidRDefault="00F53CB4" w:rsidP="00AC2435">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Range of % Agreement for each vignette, per subscale</w:t>
            </w:r>
          </w:p>
        </w:tc>
        <w:tc>
          <w:tcPr>
            <w:tcW w:w="1689" w:type="dxa"/>
          </w:tcPr>
          <w:p w14:paraId="4BB6DEC8" w14:textId="77777777" w:rsidR="00F53CB4" w:rsidRPr="006A1EC7" w:rsidRDefault="00F53CB4" w:rsidP="00AC2435">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 xml:space="preserve">Mean % of judges giving the same score (-/+ 1) at Time 1 and Time 2 per subscale </w:t>
            </w:r>
          </w:p>
        </w:tc>
      </w:tr>
      <w:tr w:rsidR="00F53CB4" w:rsidRPr="006A1EC7" w14:paraId="276C384D"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6DEF53CD" w14:textId="77777777" w:rsidR="00F53CB4" w:rsidRPr="006A1EC7" w:rsidRDefault="00F53CB4" w:rsidP="00AC2435">
            <w:pPr>
              <w:spacing w:line="360" w:lineRule="auto"/>
              <w:rPr>
                <w:sz w:val="18"/>
                <w:szCs w:val="18"/>
              </w:rPr>
            </w:pPr>
            <w:r w:rsidRPr="006A1EC7">
              <w:rPr>
                <w:sz w:val="18"/>
                <w:szCs w:val="18"/>
              </w:rPr>
              <w:t>(Sub)Scale</w:t>
            </w:r>
          </w:p>
        </w:tc>
        <w:tc>
          <w:tcPr>
            <w:tcW w:w="1076" w:type="dxa"/>
            <w:gridSpan w:val="2"/>
          </w:tcPr>
          <w:p w14:paraId="116EE23A"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Joshua (Case Study 1)</w:t>
            </w:r>
          </w:p>
        </w:tc>
        <w:tc>
          <w:tcPr>
            <w:tcW w:w="1181" w:type="dxa"/>
          </w:tcPr>
          <w:p w14:paraId="65E97D32"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Bronagh (Case Study 2)</w:t>
            </w:r>
          </w:p>
        </w:tc>
        <w:tc>
          <w:tcPr>
            <w:tcW w:w="1013" w:type="dxa"/>
          </w:tcPr>
          <w:p w14:paraId="4974D4DC"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Emma (Case Study 3)</w:t>
            </w:r>
          </w:p>
        </w:tc>
        <w:tc>
          <w:tcPr>
            <w:tcW w:w="1045" w:type="dxa"/>
          </w:tcPr>
          <w:p w14:paraId="2216D2C4"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Fineen (Case Study 4)</w:t>
            </w:r>
          </w:p>
        </w:tc>
        <w:tc>
          <w:tcPr>
            <w:tcW w:w="1417" w:type="dxa"/>
          </w:tcPr>
          <w:p w14:paraId="60A070AF"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Alessandro (Case Study 5)</w:t>
            </w:r>
          </w:p>
        </w:tc>
        <w:tc>
          <w:tcPr>
            <w:tcW w:w="1689" w:type="dxa"/>
          </w:tcPr>
          <w:p w14:paraId="060FCE5B"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F53CB4" w:rsidRPr="006A1EC7" w14:paraId="130CD2A9"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7DB8A122" w14:textId="77777777" w:rsidR="00F53CB4" w:rsidRPr="006A1EC7" w:rsidRDefault="00F53CB4" w:rsidP="00AC2435">
            <w:pPr>
              <w:spacing w:line="360" w:lineRule="auto"/>
              <w:rPr>
                <w:sz w:val="18"/>
                <w:szCs w:val="18"/>
              </w:rPr>
            </w:pPr>
            <w:r w:rsidRPr="006A1EC7">
              <w:rPr>
                <w:sz w:val="18"/>
                <w:szCs w:val="18"/>
              </w:rPr>
              <w:t>Face</w:t>
            </w:r>
          </w:p>
        </w:tc>
        <w:tc>
          <w:tcPr>
            <w:tcW w:w="1076" w:type="dxa"/>
            <w:gridSpan w:val="2"/>
          </w:tcPr>
          <w:p w14:paraId="2F0A9A47"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181" w:type="dxa"/>
          </w:tcPr>
          <w:p w14:paraId="44CD5243"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013" w:type="dxa"/>
          </w:tcPr>
          <w:p w14:paraId="13D99E39"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045" w:type="dxa"/>
          </w:tcPr>
          <w:p w14:paraId="1E97A7EE"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417" w:type="dxa"/>
          </w:tcPr>
          <w:p w14:paraId="3B122A48"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689" w:type="dxa"/>
          </w:tcPr>
          <w:p w14:paraId="42ECD74F"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r>
      <w:tr w:rsidR="00F53CB4" w:rsidRPr="006A1EC7" w14:paraId="268CE6E6"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6DFA5284" w14:textId="77777777" w:rsidR="00F53CB4" w:rsidRPr="006A1EC7" w:rsidRDefault="00F53CB4" w:rsidP="00AC2435">
            <w:pPr>
              <w:spacing w:line="360" w:lineRule="auto"/>
              <w:rPr>
                <w:sz w:val="18"/>
                <w:szCs w:val="18"/>
              </w:rPr>
            </w:pPr>
            <w:r w:rsidRPr="006A1EC7">
              <w:rPr>
                <w:sz w:val="18"/>
                <w:szCs w:val="18"/>
              </w:rPr>
              <w:t>Epilepsy</w:t>
            </w:r>
          </w:p>
        </w:tc>
        <w:tc>
          <w:tcPr>
            <w:tcW w:w="1076" w:type="dxa"/>
            <w:gridSpan w:val="2"/>
          </w:tcPr>
          <w:p w14:paraId="373C89D7"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88%</w:t>
            </w:r>
          </w:p>
        </w:tc>
        <w:tc>
          <w:tcPr>
            <w:tcW w:w="1181" w:type="dxa"/>
          </w:tcPr>
          <w:p w14:paraId="2880C88F"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013" w:type="dxa"/>
          </w:tcPr>
          <w:p w14:paraId="6F9AEC6A"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75%</w:t>
            </w:r>
          </w:p>
        </w:tc>
        <w:tc>
          <w:tcPr>
            <w:tcW w:w="1045" w:type="dxa"/>
          </w:tcPr>
          <w:p w14:paraId="256C8FE0"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417" w:type="dxa"/>
          </w:tcPr>
          <w:p w14:paraId="50D85778"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689" w:type="dxa"/>
          </w:tcPr>
          <w:p w14:paraId="16A0814B"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93%</w:t>
            </w:r>
          </w:p>
        </w:tc>
      </w:tr>
      <w:tr w:rsidR="00F53CB4" w:rsidRPr="006A1EC7" w14:paraId="606AD9D7"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0682D86E" w14:textId="77777777" w:rsidR="00F53CB4" w:rsidRPr="006A1EC7" w:rsidRDefault="00F53CB4" w:rsidP="00AC2435">
            <w:pPr>
              <w:spacing w:line="360" w:lineRule="auto"/>
              <w:rPr>
                <w:sz w:val="18"/>
                <w:szCs w:val="18"/>
              </w:rPr>
            </w:pPr>
            <w:r w:rsidRPr="006A1EC7">
              <w:rPr>
                <w:sz w:val="18"/>
                <w:szCs w:val="18"/>
              </w:rPr>
              <w:t>Gastro</w:t>
            </w:r>
          </w:p>
        </w:tc>
        <w:tc>
          <w:tcPr>
            <w:tcW w:w="1076" w:type="dxa"/>
            <w:gridSpan w:val="2"/>
          </w:tcPr>
          <w:p w14:paraId="64B5A363"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66%</w:t>
            </w:r>
          </w:p>
        </w:tc>
        <w:tc>
          <w:tcPr>
            <w:tcW w:w="1181" w:type="dxa"/>
          </w:tcPr>
          <w:p w14:paraId="274A0C58"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60%</w:t>
            </w:r>
          </w:p>
        </w:tc>
        <w:tc>
          <w:tcPr>
            <w:tcW w:w="1013" w:type="dxa"/>
          </w:tcPr>
          <w:p w14:paraId="5EC85DB7"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0%</w:t>
            </w:r>
          </w:p>
        </w:tc>
        <w:tc>
          <w:tcPr>
            <w:tcW w:w="1045" w:type="dxa"/>
          </w:tcPr>
          <w:p w14:paraId="47C015D7"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417" w:type="dxa"/>
          </w:tcPr>
          <w:p w14:paraId="2F12A336"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689" w:type="dxa"/>
          </w:tcPr>
          <w:p w14:paraId="790C1ABE"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65%</w:t>
            </w:r>
          </w:p>
        </w:tc>
      </w:tr>
      <w:tr w:rsidR="00F53CB4" w:rsidRPr="006A1EC7" w14:paraId="5C97958A"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7E33FFD1" w14:textId="77777777" w:rsidR="00F53CB4" w:rsidRPr="006A1EC7" w:rsidRDefault="00F53CB4" w:rsidP="00AC2435">
            <w:pPr>
              <w:spacing w:line="360" w:lineRule="auto"/>
              <w:rPr>
                <w:sz w:val="18"/>
                <w:szCs w:val="18"/>
              </w:rPr>
            </w:pPr>
            <w:r w:rsidRPr="006A1EC7">
              <w:rPr>
                <w:sz w:val="18"/>
                <w:szCs w:val="18"/>
              </w:rPr>
              <w:t>Cardio</w:t>
            </w:r>
          </w:p>
        </w:tc>
        <w:tc>
          <w:tcPr>
            <w:tcW w:w="1076" w:type="dxa"/>
            <w:gridSpan w:val="2"/>
          </w:tcPr>
          <w:p w14:paraId="2BE9F8A7"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181" w:type="dxa"/>
          </w:tcPr>
          <w:p w14:paraId="49F4DEBB"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013" w:type="dxa"/>
          </w:tcPr>
          <w:p w14:paraId="52119163"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75%</w:t>
            </w:r>
          </w:p>
        </w:tc>
        <w:tc>
          <w:tcPr>
            <w:tcW w:w="1045" w:type="dxa"/>
          </w:tcPr>
          <w:p w14:paraId="07035A8F"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88%</w:t>
            </w:r>
          </w:p>
        </w:tc>
        <w:tc>
          <w:tcPr>
            <w:tcW w:w="1417" w:type="dxa"/>
          </w:tcPr>
          <w:p w14:paraId="26B5E064"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689" w:type="dxa"/>
          </w:tcPr>
          <w:p w14:paraId="2A6E17E6"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93%</w:t>
            </w:r>
          </w:p>
        </w:tc>
      </w:tr>
      <w:tr w:rsidR="00F53CB4" w:rsidRPr="006A1EC7" w14:paraId="46529F9B"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3E50B7CF" w14:textId="77777777" w:rsidR="00F53CB4" w:rsidRPr="006A1EC7" w:rsidRDefault="00F53CB4" w:rsidP="00AC2435">
            <w:pPr>
              <w:spacing w:line="360" w:lineRule="auto"/>
              <w:rPr>
                <w:sz w:val="18"/>
                <w:szCs w:val="18"/>
              </w:rPr>
            </w:pPr>
            <w:r w:rsidRPr="006A1EC7">
              <w:rPr>
                <w:sz w:val="18"/>
                <w:szCs w:val="18"/>
              </w:rPr>
              <w:t>CNS</w:t>
            </w:r>
          </w:p>
        </w:tc>
        <w:tc>
          <w:tcPr>
            <w:tcW w:w="1076" w:type="dxa"/>
            <w:gridSpan w:val="2"/>
          </w:tcPr>
          <w:p w14:paraId="39A85086"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78%</w:t>
            </w:r>
          </w:p>
        </w:tc>
        <w:tc>
          <w:tcPr>
            <w:tcW w:w="1181" w:type="dxa"/>
          </w:tcPr>
          <w:p w14:paraId="0925F3BC"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90%</w:t>
            </w:r>
          </w:p>
        </w:tc>
        <w:tc>
          <w:tcPr>
            <w:tcW w:w="1013" w:type="dxa"/>
          </w:tcPr>
          <w:p w14:paraId="1004189D"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045" w:type="dxa"/>
          </w:tcPr>
          <w:p w14:paraId="0831040C"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75%</w:t>
            </w:r>
          </w:p>
        </w:tc>
        <w:tc>
          <w:tcPr>
            <w:tcW w:w="1417" w:type="dxa"/>
          </w:tcPr>
          <w:p w14:paraId="5B74FF00"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689" w:type="dxa"/>
          </w:tcPr>
          <w:p w14:paraId="32677725"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87%</w:t>
            </w:r>
          </w:p>
        </w:tc>
      </w:tr>
      <w:tr w:rsidR="00F53CB4" w:rsidRPr="006A1EC7" w14:paraId="6348A76A"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6AC1DCFD" w14:textId="77777777" w:rsidR="00F53CB4" w:rsidRPr="006A1EC7" w:rsidRDefault="00F53CB4" w:rsidP="00AC2435">
            <w:pPr>
              <w:spacing w:line="360" w:lineRule="auto"/>
              <w:rPr>
                <w:sz w:val="18"/>
                <w:szCs w:val="18"/>
              </w:rPr>
            </w:pPr>
            <w:r w:rsidRPr="006A1EC7">
              <w:rPr>
                <w:sz w:val="18"/>
                <w:szCs w:val="18"/>
              </w:rPr>
              <w:t>Functioning</w:t>
            </w:r>
          </w:p>
        </w:tc>
        <w:tc>
          <w:tcPr>
            <w:tcW w:w="1076" w:type="dxa"/>
            <w:gridSpan w:val="2"/>
          </w:tcPr>
          <w:p w14:paraId="2A47D464"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181" w:type="dxa"/>
          </w:tcPr>
          <w:p w14:paraId="20ABCB2F"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013" w:type="dxa"/>
          </w:tcPr>
          <w:p w14:paraId="799E8F28"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25%</w:t>
            </w:r>
          </w:p>
        </w:tc>
        <w:tc>
          <w:tcPr>
            <w:tcW w:w="1045" w:type="dxa"/>
          </w:tcPr>
          <w:p w14:paraId="52E6DD81"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50%</w:t>
            </w:r>
          </w:p>
        </w:tc>
        <w:tc>
          <w:tcPr>
            <w:tcW w:w="1417" w:type="dxa"/>
          </w:tcPr>
          <w:p w14:paraId="7DCC6DF5"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689" w:type="dxa"/>
          </w:tcPr>
          <w:p w14:paraId="26A356E0"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75%</w:t>
            </w:r>
          </w:p>
        </w:tc>
      </w:tr>
      <w:tr w:rsidR="00F53CB4" w:rsidRPr="006A1EC7" w14:paraId="30F42725"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754B77C1" w14:textId="77777777" w:rsidR="00F53CB4" w:rsidRPr="006A1EC7" w:rsidRDefault="00F53CB4" w:rsidP="00AC2435">
            <w:pPr>
              <w:spacing w:line="360" w:lineRule="auto"/>
              <w:rPr>
                <w:sz w:val="18"/>
                <w:szCs w:val="18"/>
              </w:rPr>
            </w:pPr>
            <w:r w:rsidRPr="006A1EC7">
              <w:rPr>
                <w:sz w:val="18"/>
                <w:szCs w:val="18"/>
              </w:rPr>
              <w:t>Immun</w:t>
            </w:r>
          </w:p>
        </w:tc>
        <w:tc>
          <w:tcPr>
            <w:tcW w:w="1076" w:type="dxa"/>
            <w:gridSpan w:val="2"/>
          </w:tcPr>
          <w:p w14:paraId="6B3E16AE"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181" w:type="dxa"/>
          </w:tcPr>
          <w:p w14:paraId="47F8FCE2"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013" w:type="dxa"/>
          </w:tcPr>
          <w:p w14:paraId="360A44B1"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50%</w:t>
            </w:r>
          </w:p>
        </w:tc>
        <w:tc>
          <w:tcPr>
            <w:tcW w:w="1045" w:type="dxa"/>
          </w:tcPr>
          <w:p w14:paraId="42FA04EE"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63%</w:t>
            </w:r>
          </w:p>
        </w:tc>
        <w:tc>
          <w:tcPr>
            <w:tcW w:w="1417" w:type="dxa"/>
          </w:tcPr>
          <w:p w14:paraId="0C9BF502"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67%</w:t>
            </w:r>
          </w:p>
        </w:tc>
        <w:tc>
          <w:tcPr>
            <w:tcW w:w="1689" w:type="dxa"/>
          </w:tcPr>
          <w:p w14:paraId="5612F955"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76%</w:t>
            </w:r>
          </w:p>
        </w:tc>
      </w:tr>
      <w:tr w:rsidR="00F53CB4" w:rsidRPr="006A1EC7" w14:paraId="61BFEC16"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218E742F" w14:textId="77777777" w:rsidR="00F53CB4" w:rsidRPr="006A1EC7" w:rsidRDefault="00F53CB4" w:rsidP="00AC2435">
            <w:pPr>
              <w:spacing w:line="360" w:lineRule="auto"/>
              <w:rPr>
                <w:sz w:val="18"/>
                <w:szCs w:val="18"/>
              </w:rPr>
            </w:pPr>
            <w:r w:rsidRPr="006A1EC7">
              <w:rPr>
                <w:sz w:val="18"/>
                <w:szCs w:val="18"/>
              </w:rPr>
              <w:t>Sleep</w:t>
            </w:r>
          </w:p>
        </w:tc>
        <w:tc>
          <w:tcPr>
            <w:tcW w:w="1076" w:type="dxa"/>
            <w:gridSpan w:val="2"/>
          </w:tcPr>
          <w:p w14:paraId="710BFC53"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181" w:type="dxa"/>
          </w:tcPr>
          <w:p w14:paraId="73DBE067"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90%</w:t>
            </w:r>
          </w:p>
        </w:tc>
        <w:tc>
          <w:tcPr>
            <w:tcW w:w="1013" w:type="dxa"/>
          </w:tcPr>
          <w:p w14:paraId="553CD11E"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50%</w:t>
            </w:r>
          </w:p>
        </w:tc>
        <w:tc>
          <w:tcPr>
            <w:tcW w:w="1045" w:type="dxa"/>
          </w:tcPr>
          <w:p w14:paraId="192F55ED"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88%</w:t>
            </w:r>
          </w:p>
        </w:tc>
        <w:tc>
          <w:tcPr>
            <w:tcW w:w="1417" w:type="dxa"/>
          </w:tcPr>
          <w:p w14:paraId="48001966"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689" w:type="dxa"/>
          </w:tcPr>
          <w:p w14:paraId="46DB2FA7"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86%</w:t>
            </w:r>
          </w:p>
        </w:tc>
      </w:tr>
      <w:tr w:rsidR="00F53CB4" w:rsidRPr="006A1EC7" w14:paraId="45C42516" w14:textId="77777777" w:rsidTr="00AC2435">
        <w:tc>
          <w:tcPr>
            <w:cnfStyle w:val="001000000000" w:firstRow="0" w:lastRow="0" w:firstColumn="1" w:lastColumn="0" w:oddVBand="0" w:evenVBand="0" w:oddHBand="0" w:evenHBand="0" w:firstRowFirstColumn="0" w:firstRowLastColumn="0" w:lastRowFirstColumn="0" w:lastRowLastColumn="0"/>
            <w:tcW w:w="1589" w:type="dxa"/>
          </w:tcPr>
          <w:p w14:paraId="1AD100B4" w14:textId="77777777" w:rsidR="00F53CB4" w:rsidRPr="006A1EC7" w:rsidRDefault="00F53CB4" w:rsidP="00AC2435">
            <w:pPr>
              <w:spacing w:line="360" w:lineRule="auto"/>
              <w:rPr>
                <w:sz w:val="18"/>
                <w:szCs w:val="18"/>
              </w:rPr>
            </w:pPr>
            <w:r w:rsidRPr="006A1EC7">
              <w:rPr>
                <w:sz w:val="18"/>
                <w:szCs w:val="18"/>
              </w:rPr>
              <w:t>Care</w:t>
            </w:r>
          </w:p>
        </w:tc>
        <w:tc>
          <w:tcPr>
            <w:tcW w:w="1076" w:type="dxa"/>
            <w:gridSpan w:val="2"/>
          </w:tcPr>
          <w:p w14:paraId="5F14C4C4"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88%</w:t>
            </w:r>
          </w:p>
        </w:tc>
        <w:tc>
          <w:tcPr>
            <w:tcW w:w="1181" w:type="dxa"/>
          </w:tcPr>
          <w:p w14:paraId="3ACD8911"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013" w:type="dxa"/>
          </w:tcPr>
          <w:p w14:paraId="7A10204C"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045" w:type="dxa"/>
          </w:tcPr>
          <w:p w14:paraId="57B3FC9E"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417" w:type="dxa"/>
          </w:tcPr>
          <w:p w14:paraId="2EEF20BA"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100%</w:t>
            </w:r>
          </w:p>
        </w:tc>
        <w:tc>
          <w:tcPr>
            <w:tcW w:w="1689" w:type="dxa"/>
          </w:tcPr>
          <w:p w14:paraId="26C7458E"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97%</w:t>
            </w:r>
          </w:p>
        </w:tc>
      </w:tr>
      <w:tr w:rsidR="00F53CB4" w:rsidRPr="006A1EC7" w14:paraId="2347AAF7"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10CFA84B" w14:textId="77777777" w:rsidR="00F53CB4" w:rsidRPr="006A1EC7" w:rsidRDefault="00F53CB4" w:rsidP="00AC2435">
            <w:pPr>
              <w:spacing w:line="360" w:lineRule="auto"/>
              <w:rPr>
                <w:sz w:val="18"/>
                <w:szCs w:val="18"/>
              </w:rPr>
            </w:pPr>
            <w:r w:rsidRPr="006A1EC7">
              <w:rPr>
                <w:sz w:val="18"/>
                <w:szCs w:val="18"/>
              </w:rPr>
              <w:t>Total</w:t>
            </w:r>
          </w:p>
        </w:tc>
        <w:tc>
          <w:tcPr>
            <w:tcW w:w="1076" w:type="dxa"/>
            <w:gridSpan w:val="2"/>
          </w:tcPr>
          <w:p w14:paraId="0977FCEC"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33%</w:t>
            </w:r>
          </w:p>
        </w:tc>
        <w:tc>
          <w:tcPr>
            <w:tcW w:w="1181" w:type="dxa"/>
          </w:tcPr>
          <w:p w14:paraId="5B2E9BA3"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50%</w:t>
            </w:r>
          </w:p>
        </w:tc>
        <w:tc>
          <w:tcPr>
            <w:tcW w:w="1013" w:type="dxa"/>
          </w:tcPr>
          <w:p w14:paraId="26159502"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0%</w:t>
            </w:r>
          </w:p>
        </w:tc>
        <w:tc>
          <w:tcPr>
            <w:tcW w:w="1045" w:type="dxa"/>
          </w:tcPr>
          <w:p w14:paraId="25022A92"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13%</w:t>
            </w:r>
          </w:p>
        </w:tc>
        <w:tc>
          <w:tcPr>
            <w:tcW w:w="1417" w:type="dxa"/>
          </w:tcPr>
          <w:p w14:paraId="5F27E965"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100%</w:t>
            </w:r>
          </w:p>
        </w:tc>
        <w:tc>
          <w:tcPr>
            <w:tcW w:w="1689" w:type="dxa"/>
          </w:tcPr>
          <w:p w14:paraId="1931B70A"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39%</w:t>
            </w:r>
          </w:p>
        </w:tc>
      </w:tr>
    </w:tbl>
    <w:p w14:paraId="0F767F47" w14:textId="77777777" w:rsidR="00F53CB4" w:rsidRPr="006A1EC7" w:rsidRDefault="00F53CB4" w:rsidP="00F53CB4">
      <w:pPr>
        <w:pStyle w:val="NoSpacing"/>
      </w:pPr>
    </w:p>
    <w:p w14:paraId="4FFD8D73" w14:textId="77777777" w:rsidR="00F53CB4" w:rsidRPr="006A1EC7" w:rsidRDefault="00F53CB4" w:rsidP="00F53CB4">
      <w:pPr>
        <w:pStyle w:val="Heading3"/>
        <w:rPr>
          <w:rFonts w:ascii="Times New Roman" w:hAnsi="Times New Roman" w:cs="Times New Roman"/>
        </w:rPr>
        <w:sectPr w:rsidR="00F53CB4" w:rsidRPr="006A1EC7" w:rsidSect="00AC2435">
          <w:type w:val="nextColumn"/>
          <w:pgSz w:w="11900" w:h="16840"/>
          <w:pgMar w:top="1440" w:right="1701" w:bottom="1440" w:left="1701" w:header="709" w:footer="709" w:gutter="0"/>
          <w:cols w:space="708"/>
          <w:docGrid w:linePitch="360"/>
        </w:sectPr>
      </w:pPr>
    </w:p>
    <w:p w14:paraId="4D2859A1" w14:textId="77777777" w:rsidR="00F53CB4" w:rsidRPr="006A1EC7" w:rsidRDefault="00F53CB4" w:rsidP="00F53CB4">
      <w:pPr>
        <w:pStyle w:val="Heading3"/>
        <w:rPr>
          <w:rFonts w:ascii="Times New Roman" w:hAnsi="Times New Roman" w:cs="Times New Roman"/>
        </w:rPr>
      </w:pPr>
      <w:r w:rsidRPr="006A1EC7">
        <w:rPr>
          <w:rFonts w:ascii="Times New Roman" w:hAnsi="Times New Roman" w:cs="Times New Roman"/>
        </w:rPr>
        <w:lastRenderedPageBreak/>
        <w:t>Construct validity: Hypothesis Testing</w:t>
      </w:r>
    </w:p>
    <w:p w14:paraId="20036210" w14:textId="77777777" w:rsidR="00F53CB4" w:rsidRPr="006A1EC7" w:rsidRDefault="00F53CB4" w:rsidP="00F53CB4"/>
    <w:p w14:paraId="3CD5BADB" w14:textId="77777777" w:rsidR="00F53CB4" w:rsidRPr="006A1EC7" w:rsidRDefault="00F53CB4" w:rsidP="00F53CB4">
      <w:pPr>
        <w:spacing w:line="360" w:lineRule="auto"/>
      </w:pPr>
      <w:r w:rsidRPr="006A1EC7">
        <w:t>To support the construct validity of the COA, three different (sets of )hypotheses were tested. They are presented below:</w:t>
      </w:r>
    </w:p>
    <w:p w14:paraId="6E6E427D" w14:textId="77777777" w:rsidR="00F53CB4" w:rsidRPr="006A1EC7" w:rsidRDefault="00F53CB4" w:rsidP="00F53CB4">
      <w:pPr>
        <w:spacing w:line="360" w:lineRule="auto"/>
      </w:pPr>
    </w:p>
    <w:p w14:paraId="16F9BAEF" w14:textId="77777777" w:rsidR="00F53CB4" w:rsidRPr="006A1EC7" w:rsidRDefault="00F53CB4" w:rsidP="00F53CB4">
      <w:pPr>
        <w:pStyle w:val="Heading6"/>
        <w:rPr>
          <w:rFonts w:ascii="Times New Roman" w:hAnsi="Times New Roman" w:cs="Times New Roman"/>
        </w:rPr>
      </w:pPr>
      <w:r w:rsidRPr="006A1EC7">
        <w:rPr>
          <w:rFonts w:ascii="Times New Roman" w:hAnsi="Times New Roman" w:cs="Times New Roman"/>
        </w:rPr>
        <w:t>Hypothesis I) There will be no differences on the total scores on the vignettes given by more experienced medical professionals (Registrars and Consultants) compared to less experienced medical professionals (all other participants).</w:t>
      </w:r>
    </w:p>
    <w:p w14:paraId="058530AE" w14:textId="77777777" w:rsidR="00F53CB4" w:rsidRPr="006A1EC7" w:rsidRDefault="00F53CB4" w:rsidP="00F53CB4">
      <w:pPr>
        <w:ind w:left="1440" w:firstLine="720"/>
      </w:pPr>
    </w:p>
    <w:p w14:paraId="61A92C1F" w14:textId="77777777" w:rsidR="00F53CB4" w:rsidRPr="006A1EC7" w:rsidRDefault="00F53CB4" w:rsidP="00F53CB4">
      <w:pPr>
        <w:spacing w:line="360" w:lineRule="auto"/>
        <w:ind w:firstLine="720"/>
      </w:pPr>
      <w:r w:rsidRPr="006A1EC7">
        <w:t>To assess this hypothesis, scores of participants who had indicated that they were either a practicing Consultant or Registrar were compared to the scores of the rest of the sample. A One-Way ANOVA was conducted to investigate whether level of medical profession (Consultant/Registrar versus Other) had an effect on Total scores given, at Time 1. The p value was adjusted to 0.005, as ten comparisons were made. All comparisons were non-significant (p range: .035 -79) (Table 29); therefore, the hypothesis can be retained.</w:t>
      </w:r>
    </w:p>
    <w:p w14:paraId="320E81D8" w14:textId="77777777" w:rsidR="00F53CB4" w:rsidRPr="006A1EC7" w:rsidRDefault="00F53CB4" w:rsidP="00F53CB4">
      <w:pPr>
        <w:spacing w:line="360" w:lineRule="auto"/>
      </w:pPr>
    </w:p>
    <w:p w14:paraId="71981A7A" w14:textId="77777777" w:rsidR="00F53CB4" w:rsidRPr="006A1EC7" w:rsidRDefault="00F53CB4" w:rsidP="00F53CB4">
      <w:pPr>
        <w:pStyle w:val="Caption"/>
        <w:keepNext/>
        <w:rPr>
          <w:sz w:val="24"/>
        </w:rPr>
      </w:pPr>
      <w:bookmarkStart w:id="259" w:name="_Toc40173054"/>
      <w:r w:rsidRPr="006A1EC7">
        <w:rPr>
          <w:sz w:val="24"/>
        </w:rPr>
        <w:t xml:space="preserve">Table </w:t>
      </w:r>
      <w:r w:rsidRPr="006A1EC7">
        <w:rPr>
          <w:sz w:val="24"/>
        </w:rPr>
        <w:fldChar w:fldCharType="begin"/>
      </w:r>
      <w:r w:rsidRPr="006A1EC7">
        <w:rPr>
          <w:sz w:val="24"/>
        </w:rPr>
        <w:instrText xml:space="preserve"> SEQ Table \* ARABIC </w:instrText>
      </w:r>
      <w:r w:rsidRPr="006A1EC7">
        <w:rPr>
          <w:sz w:val="24"/>
        </w:rPr>
        <w:fldChar w:fldCharType="separate"/>
      </w:r>
      <w:r w:rsidRPr="006A1EC7">
        <w:rPr>
          <w:noProof/>
          <w:sz w:val="24"/>
        </w:rPr>
        <w:t>30</w:t>
      </w:r>
      <w:r w:rsidRPr="006A1EC7">
        <w:rPr>
          <w:sz w:val="24"/>
        </w:rPr>
        <w:fldChar w:fldCharType="end"/>
      </w:r>
      <w:r w:rsidRPr="006A1EC7">
        <w:rPr>
          <w:sz w:val="24"/>
        </w:rPr>
        <w:t>: One-way ANOVA results for comparison of scores given by differently skilled professionals (Consultants/Registrars versus Other)</w:t>
      </w:r>
      <w:bookmarkEnd w:id="259"/>
    </w:p>
    <w:tbl>
      <w:tblPr>
        <w:tblStyle w:val="PlainTable4"/>
        <w:tblW w:w="0" w:type="auto"/>
        <w:tblLook w:val="04A0" w:firstRow="1" w:lastRow="0" w:firstColumn="1" w:lastColumn="0" w:noHBand="0" w:noVBand="1"/>
      </w:tblPr>
      <w:tblGrid>
        <w:gridCol w:w="3301"/>
        <w:gridCol w:w="3302"/>
      </w:tblGrid>
      <w:tr w:rsidR="00F53CB4" w:rsidRPr="006A1EC7" w14:paraId="067CDC15"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733CA072" w14:textId="77777777" w:rsidR="00F53CB4" w:rsidRPr="006A1EC7" w:rsidRDefault="00F53CB4" w:rsidP="00AC2435">
            <w:pPr>
              <w:rPr>
                <w:sz w:val="18"/>
                <w:szCs w:val="18"/>
              </w:rPr>
            </w:pPr>
          </w:p>
        </w:tc>
        <w:tc>
          <w:tcPr>
            <w:tcW w:w="3302" w:type="dxa"/>
          </w:tcPr>
          <w:p w14:paraId="77E4256E" w14:textId="77777777" w:rsidR="00F53CB4" w:rsidRPr="006A1EC7" w:rsidRDefault="00F53CB4" w:rsidP="00AC2435">
            <w:pPr>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Time 1</w:t>
            </w:r>
          </w:p>
        </w:tc>
      </w:tr>
      <w:tr w:rsidR="00F53CB4" w:rsidRPr="006A1EC7" w14:paraId="7FD3A93A"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7F13D37D" w14:textId="77777777" w:rsidR="00F53CB4" w:rsidRPr="006A1EC7" w:rsidRDefault="00F53CB4" w:rsidP="00AC2435">
            <w:pPr>
              <w:rPr>
                <w:sz w:val="18"/>
                <w:szCs w:val="18"/>
              </w:rPr>
            </w:pPr>
            <w:r w:rsidRPr="006A1EC7">
              <w:rPr>
                <w:sz w:val="18"/>
                <w:szCs w:val="18"/>
              </w:rPr>
              <w:t>Joshua</w:t>
            </w:r>
          </w:p>
        </w:tc>
        <w:tc>
          <w:tcPr>
            <w:tcW w:w="3302" w:type="dxa"/>
          </w:tcPr>
          <w:p w14:paraId="36A555A7"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F (1, 28) = .07, p = .79</w:t>
            </w:r>
          </w:p>
        </w:tc>
      </w:tr>
      <w:tr w:rsidR="00F53CB4" w:rsidRPr="006A1EC7" w14:paraId="2E13D143" w14:textId="77777777" w:rsidTr="00AC2435">
        <w:tc>
          <w:tcPr>
            <w:cnfStyle w:val="001000000000" w:firstRow="0" w:lastRow="0" w:firstColumn="1" w:lastColumn="0" w:oddVBand="0" w:evenVBand="0" w:oddHBand="0" w:evenHBand="0" w:firstRowFirstColumn="0" w:firstRowLastColumn="0" w:lastRowFirstColumn="0" w:lastRowLastColumn="0"/>
            <w:tcW w:w="3301" w:type="dxa"/>
          </w:tcPr>
          <w:p w14:paraId="761013CC" w14:textId="77777777" w:rsidR="00F53CB4" w:rsidRPr="006A1EC7" w:rsidRDefault="00F53CB4" w:rsidP="00AC2435">
            <w:pPr>
              <w:rPr>
                <w:sz w:val="18"/>
                <w:szCs w:val="18"/>
              </w:rPr>
            </w:pPr>
            <w:r w:rsidRPr="006A1EC7">
              <w:rPr>
                <w:sz w:val="18"/>
                <w:szCs w:val="18"/>
              </w:rPr>
              <w:t>Bronagh</w:t>
            </w:r>
          </w:p>
        </w:tc>
        <w:tc>
          <w:tcPr>
            <w:tcW w:w="3302" w:type="dxa"/>
          </w:tcPr>
          <w:p w14:paraId="61D47184"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F (1, 34) = .51, p = .43</w:t>
            </w:r>
          </w:p>
        </w:tc>
      </w:tr>
      <w:tr w:rsidR="00F53CB4" w:rsidRPr="006A1EC7" w14:paraId="1F8F5AD7"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494FB7EE" w14:textId="77777777" w:rsidR="00F53CB4" w:rsidRPr="006A1EC7" w:rsidRDefault="00F53CB4" w:rsidP="00AC2435">
            <w:pPr>
              <w:rPr>
                <w:sz w:val="18"/>
                <w:szCs w:val="18"/>
              </w:rPr>
            </w:pPr>
            <w:r w:rsidRPr="006A1EC7">
              <w:rPr>
                <w:sz w:val="18"/>
                <w:szCs w:val="18"/>
              </w:rPr>
              <w:t>Emma</w:t>
            </w:r>
          </w:p>
        </w:tc>
        <w:tc>
          <w:tcPr>
            <w:tcW w:w="3302" w:type="dxa"/>
          </w:tcPr>
          <w:p w14:paraId="124FEEF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F (1, 10) = .23, p =.64</w:t>
            </w:r>
          </w:p>
        </w:tc>
      </w:tr>
      <w:tr w:rsidR="00F53CB4" w:rsidRPr="006A1EC7" w14:paraId="6684511E" w14:textId="77777777" w:rsidTr="00AC2435">
        <w:tc>
          <w:tcPr>
            <w:cnfStyle w:val="001000000000" w:firstRow="0" w:lastRow="0" w:firstColumn="1" w:lastColumn="0" w:oddVBand="0" w:evenVBand="0" w:oddHBand="0" w:evenHBand="0" w:firstRowFirstColumn="0" w:firstRowLastColumn="0" w:lastRowFirstColumn="0" w:lastRowLastColumn="0"/>
            <w:tcW w:w="3301" w:type="dxa"/>
          </w:tcPr>
          <w:p w14:paraId="599CAD2A" w14:textId="77777777" w:rsidR="00F53CB4" w:rsidRPr="006A1EC7" w:rsidRDefault="00F53CB4" w:rsidP="00AC2435">
            <w:pPr>
              <w:rPr>
                <w:sz w:val="18"/>
                <w:szCs w:val="18"/>
              </w:rPr>
            </w:pPr>
            <w:r w:rsidRPr="006A1EC7">
              <w:rPr>
                <w:sz w:val="18"/>
                <w:szCs w:val="18"/>
              </w:rPr>
              <w:t>Fineen</w:t>
            </w:r>
          </w:p>
        </w:tc>
        <w:tc>
          <w:tcPr>
            <w:tcW w:w="3302" w:type="dxa"/>
          </w:tcPr>
          <w:p w14:paraId="6AAC13E6" w14:textId="77777777" w:rsidR="00F53CB4" w:rsidRPr="006A1EC7" w:rsidRDefault="00F53CB4" w:rsidP="00AC2435">
            <w:pPr>
              <w:cnfStyle w:val="000000000000" w:firstRow="0" w:lastRow="0" w:firstColumn="0" w:lastColumn="0" w:oddVBand="0" w:evenVBand="0" w:oddHBand="0" w:evenHBand="0" w:firstRowFirstColumn="0" w:firstRowLastColumn="0" w:lastRowFirstColumn="0" w:lastRowLastColumn="0"/>
              <w:rPr>
                <w:sz w:val="18"/>
                <w:szCs w:val="18"/>
              </w:rPr>
            </w:pPr>
            <w:r w:rsidRPr="006A1EC7">
              <w:rPr>
                <w:sz w:val="18"/>
                <w:szCs w:val="18"/>
              </w:rPr>
              <w:t>F (1, 34) = 4.85, p =.035</w:t>
            </w:r>
          </w:p>
        </w:tc>
      </w:tr>
      <w:tr w:rsidR="00F53CB4" w:rsidRPr="006A1EC7" w14:paraId="1A6FA090"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7D28E1AF" w14:textId="77777777" w:rsidR="00F53CB4" w:rsidRPr="006A1EC7" w:rsidRDefault="00F53CB4" w:rsidP="00AC2435">
            <w:pPr>
              <w:rPr>
                <w:sz w:val="18"/>
                <w:szCs w:val="18"/>
              </w:rPr>
            </w:pPr>
            <w:r w:rsidRPr="006A1EC7">
              <w:rPr>
                <w:sz w:val="18"/>
                <w:szCs w:val="18"/>
              </w:rPr>
              <w:t>Alessandro</w:t>
            </w:r>
          </w:p>
        </w:tc>
        <w:tc>
          <w:tcPr>
            <w:tcW w:w="3302" w:type="dxa"/>
          </w:tcPr>
          <w:p w14:paraId="2466E51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sz w:val="18"/>
                <w:szCs w:val="18"/>
              </w:rPr>
            </w:pPr>
            <w:r w:rsidRPr="006A1EC7">
              <w:rPr>
                <w:sz w:val="18"/>
                <w:szCs w:val="18"/>
              </w:rPr>
              <w:t>F (1, 22) = 1.14, p = .28</w:t>
            </w:r>
          </w:p>
        </w:tc>
      </w:tr>
    </w:tbl>
    <w:p w14:paraId="476F7BCB" w14:textId="77777777" w:rsidR="00F53CB4" w:rsidRPr="006A1EC7" w:rsidRDefault="00F53CB4" w:rsidP="00F53CB4">
      <w:pPr>
        <w:spacing w:line="360" w:lineRule="auto"/>
      </w:pPr>
    </w:p>
    <w:p w14:paraId="1AECFF87" w14:textId="77777777" w:rsidR="00F53CB4" w:rsidRPr="006A1EC7" w:rsidRDefault="00F53CB4" w:rsidP="00F53CB4"/>
    <w:p w14:paraId="11139D49" w14:textId="77777777" w:rsidR="00F53CB4" w:rsidRPr="006A1EC7" w:rsidRDefault="00F53CB4" w:rsidP="00F53CB4">
      <w:pPr>
        <w:pStyle w:val="Heading5"/>
        <w:rPr>
          <w:rFonts w:ascii="Times New Roman" w:hAnsi="Times New Roman" w:cs="Times New Roman"/>
        </w:rPr>
      </w:pPr>
      <w:r w:rsidRPr="006A1EC7">
        <w:rPr>
          <w:rFonts w:ascii="Times New Roman" w:hAnsi="Times New Roman" w:cs="Times New Roman"/>
        </w:rPr>
        <w:t>Hypothesis II)) There will be no differences in scores given by those who have previously heard of WHS and those who have not.</w:t>
      </w:r>
    </w:p>
    <w:p w14:paraId="3885B8AF" w14:textId="77777777" w:rsidR="00F53CB4" w:rsidRPr="006A1EC7" w:rsidRDefault="00F53CB4" w:rsidP="00F53CB4">
      <w:pPr>
        <w:spacing w:line="360" w:lineRule="auto"/>
      </w:pPr>
    </w:p>
    <w:p w14:paraId="7D0AF021" w14:textId="77777777" w:rsidR="00F53CB4" w:rsidRPr="006A1EC7" w:rsidRDefault="00F53CB4" w:rsidP="00F53CB4">
      <w:pPr>
        <w:spacing w:line="360" w:lineRule="auto"/>
        <w:ind w:firstLine="720"/>
      </w:pPr>
      <w:r w:rsidRPr="006A1EC7">
        <w:t>A one-way ANOVA was conducted with Dependent Factors (Time 1 TOTAL score for each Vignette, total n = 10), and Independent Factor (Previous Knowledge of WHS, 2 levels: Yes or No). The analysis revealed no significant effects of previous knowledge of WHS on scoring on the scales (Table 30). No further tests were required for this hypothesis. The hypothesis can be retained.</w:t>
      </w:r>
    </w:p>
    <w:p w14:paraId="27AB2B09" w14:textId="77777777" w:rsidR="00F53CB4" w:rsidRPr="006A1EC7" w:rsidRDefault="00F53CB4" w:rsidP="00F53CB4">
      <w:pPr>
        <w:spacing w:line="360" w:lineRule="auto"/>
        <w:ind w:firstLine="720"/>
      </w:pPr>
    </w:p>
    <w:p w14:paraId="6C9EB449" w14:textId="77777777" w:rsidR="00F53CB4" w:rsidRPr="006A1EC7" w:rsidRDefault="00F53CB4" w:rsidP="00F53CB4"/>
    <w:p w14:paraId="1F774151" w14:textId="77777777" w:rsidR="00F53CB4" w:rsidRPr="006A1EC7" w:rsidRDefault="00F53CB4" w:rsidP="00F53CB4">
      <w:pPr>
        <w:pStyle w:val="Caption"/>
        <w:keepNext/>
        <w:rPr>
          <w:sz w:val="24"/>
        </w:rPr>
      </w:pPr>
      <w:bookmarkStart w:id="260" w:name="_Toc40173055"/>
      <w:r w:rsidRPr="006A1EC7">
        <w:rPr>
          <w:sz w:val="24"/>
        </w:rPr>
        <w:lastRenderedPageBreak/>
        <w:t xml:space="preserve">Table </w:t>
      </w:r>
      <w:r w:rsidRPr="006A1EC7">
        <w:rPr>
          <w:sz w:val="24"/>
        </w:rPr>
        <w:fldChar w:fldCharType="begin"/>
      </w:r>
      <w:r w:rsidRPr="006A1EC7">
        <w:rPr>
          <w:sz w:val="24"/>
        </w:rPr>
        <w:instrText xml:space="preserve"> SEQ Table \* ARABIC </w:instrText>
      </w:r>
      <w:r w:rsidRPr="006A1EC7">
        <w:rPr>
          <w:sz w:val="24"/>
        </w:rPr>
        <w:fldChar w:fldCharType="separate"/>
      </w:r>
      <w:r w:rsidRPr="006A1EC7">
        <w:rPr>
          <w:noProof/>
          <w:sz w:val="24"/>
        </w:rPr>
        <w:t>31</w:t>
      </w:r>
      <w:r w:rsidRPr="006A1EC7">
        <w:rPr>
          <w:sz w:val="24"/>
        </w:rPr>
        <w:fldChar w:fldCharType="end"/>
      </w:r>
      <w:r w:rsidRPr="006A1EC7">
        <w:rPr>
          <w:sz w:val="24"/>
        </w:rPr>
        <w:t>: One-way ANOVA result of comparison of results of those participants who had heard of WHS before and those who had not</w:t>
      </w:r>
      <w:bookmarkEnd w:id="260"/>
    </w:p>
    <w:tbl>
      <w:tblPr>
        <w:tblStyle w:val="PlainTable4"/>
        <w:tblW w:w="0" w:type="auto"/>
        <w:tblLook w:val="04A0" w:firstRow="1" w:lastRow="0" w:firstColumn="1" w:lastColumn="0" w:noHBand="0" w:noVBand="1"/>
      </w:tblPr>
      <w:tblGrid>
        <w:gridCol w:w="3301"/>
        <w:gridCol w:w="3302"/>
      </w:tblGrid>
      <w:tr w:rsidR="00F53CB4" w:rsidRPr="006A1EC7" w14:paraId="57F846B2" w14:textId="77777777" w:rsidTr="00AC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3D119060" w14:textId="77777777" w:rsidR="00F53CB4" w:rsidRPr="006A1EC7" w:rsidRDefault="00F53CB4" w:rsidP="00AC2435">
            <w:pPr>
              <w:spacing w:line="360" w:lineRule="auto"/>
              <w:rPr>
                <w:sz w:val="18"/>
                <w:szCs w:val="18"/>
              </w:rPr>
            </w:pPr>
          </w:p>
        </w:tc>
        <w:tc>
          <w:tcPr>
            <w:tcW w:w="3302" w:type="dxa"/>
          </w:tcPr>
          <w:p w14:paraId="65DC8572" w14:textId="77777777" w:rsidR="00F53CB4" w:rsidRPr="006A1EC7" w:rsidRDefault="00F53CB4" w:rsidP="00AC2435">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6A1EC7">
              <w:rPr>
                <w:sz w:val="18"/>
                <w:szCs w:val="18"/>
              </w:rPr>
              <w:t>Time 1</w:t>
            </w:r>
          </w:p>
        </w:tc>
      </w:tr>
      <w:tr w:rsidR="00F53CB4" w:rsidRPr="006A1EC7" w14:paraId="1D6F364F"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6ABD0429" w14:textId="77777777" w:rsidR="00F53CB4" w:rsidRPr="006A1EC7" w:rsidRDefault="00F53CB4" w:rsidP="00AC2435">
            <w:pPr>
              <w:spacing w:line="360" w:lineRule="auto"/>
              <w:rPr>
                <w:sz w:val="18"/>
                <w:szCs w:val="18"/>
              </w:rPr>
            </w:pPr>
            <w:r w:rsidRPr="006A1EC7">
              <w:rPr>
                <w:sz w:val="18"/>
                <w:szCs w:val="18"/>
              </w:rPr>
              <w:t>Joshua</w:t>
            </w:r>
          </w:p>
        </w:tc>
        <w:tc>
          <w:tcPr>
            <w:tcW w:w="3302" w:type="dxa"/>
          </w:tcPr>
          <w:p w14:paraId="70558F81"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color w:val="000000" w:themeColor="text1"/>
                <w:sz w:val="18"/>
                <w:szCs w:val="18"/>
              </w:rPr>
              <w:t>F (1, 28) = .48, p = .50</w:t>
            </w:r>
          </w:p>
        </w:tc>
      </w:tr>
      <w:tr w:rsidR="00F53CB4" w:rsidRPr="006A1EC7" w14:paraId="5A907FA8" w14:textId="77777777" w:rsidTr="00AC2435">
        <w:trPr>
          <w:trHeight w:val="349"/>
        </w:trPr>
        <w:tc>
          <w:tcPr>
            <w:cnfStyle w:val="001000000000" w:firstRow="0" w:lastRow="0" w:firstColumn="1" w:lastColumn="0" w:oddVBand="0" w:evenVBand="0" w:oddHBand="0" w:evenHBand="0" w:firstRowFirstColumn="0" w:firstRowLastColumn="0" w:lastRowFirstColumn="0" w:lastRowLastColumn="0"/>
            <w:tcW w:w="3301" w:type="dxa"/>
          </w:tcPr>
          <w:p w14:paraId="4E8344A6" w14:textId="77777777" w:rsidR="00F53CB4" w:rsidRPr="006A1EC7" w:rsidRDefault="00F53CB4" w:rsidP="00AC2435">
            <w:pPr>
              <w:rPr>
                <w:color w:val="000000" w:themeColor="text1"/>
                <w:sz w:val="18"/>
                <w:szCs w:val="18"/>
              </w:rPr>
            </w:pPr>
            <w:r w:rsidRPr="006A1EC7">
              <w:rPr>
                <w:color w:val="000000" w:themeColor="text1"/>
                <w:sz w:val="18"/>
                <w:szCs w:val="18"/>
              </w:rPr>
              <w:t>Bronagh</w:t>
            </w:r>
          </w:p>
        </w:tc>
        <w:tc>
          <w:tcPr>
            <w:tcW w:w="3302" w:type="dxa"/>
          </w:tcPr>
          <w:p w14:paraId="1CED66E1"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color w:val="000000" w:themeColor="text1"/>
                <w:sz w:val="18"/>
                <w:szCs w:val="18"/>
              </w:rPr>
              <w:t>F (1, 34) = .09, p = .77</w:t>
            </w:r>
          </w:p>
        </w:tc>
      </w:tr>
      <w:tr w:rsidR="00F53CB4" w:rsidRPr="006A1EC7" w14:paraId="55779F34"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747E3987" w14:textId="77777777" w:rsidR="00F53CB4" w:rsidRPr="006A1EC7" w:rsidRDefault="00F53CB4" w:rsidP="00AC2435">
            <w:pPr>
              <w:spacing w:line="360" w:lineRule="auto"/>
              <w:rPr>
                <w:sz w:val="18"/>
                <w:szCs w:val="18"/>
              </w:rPr>
            </w:pPr>
            <w:r w:rsidRPr="006A1EC7">
              <w:rPr>
                <w:sz w:val="18"/>
                <w:szCs w:val="18"/>
              </w:rPr>
              <w:t>Emma</w:t>
            </w:r>
          </w:p>
        </w:tc>
        <w:tc>
          <w:tcPr>
            <w:tcW w:w="3302" w:type="dxa"/>
          </w:tcPr>
          <w:p w14:paraId="2971E6A8"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A1EC7">
              <w:rPr>
                <w:color w:val="000000" w:themeColor="text1"/>
                <w:sz w:val="18"/>
                <w:szCs w:val="18"/>
              </w:rPr>
              <w:t>F (1, 10) = .43, p =.53</w:t>
            </w:r>
          </w:p>
          <w:p w14:paraId="11AA8331" w14:textId="77777777" w:rsidR="00F53CB4" w:rsidRPr="006A1EC7" w:rsidRDefault="00F53CB4" w:rsidP="00AC243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F53CB4" w:rsidRPr="006A1EC7" w14:paraId="059706AD" w14:textId="77777777" w:rsidTr="00AC2435">
        <w:tc>
          <w:tcPr>
            <w:cnfStyle w:val="001000000000" w:firstRow="0" w:lastRow="0" w:firstColumn="1" w:lastColumn="0" w:oddVBand="0" w:evenVBand="0" w:oddHBand="0" w:evenHBand="0" w:firstRowFirstColumn="0" w:firstRowLastColumn="0" w:lastRowFirstColumn="0" w:lastRowLastColumn="0"/>
            <w:tcW w:w="3301" w:type="dxa"/>
          </w:tcPr>
          <w:p w14:paraId="692374C4" w14:textId="77777777" w:rsidR="00F53CB4" w:rsidRPr="006A1EC7" w:rsidRDefault="00F53CB4" w:rsidP="00AC2435">
            <w:pPr>
              <w:spacing w:line="360" w:lineRule="auto"/>
              <w:rPr>
                <w:sz w:val="18"/>
                <w:szCs w:val="18"/>
              </w:rPr>
            </w:pPr>
            <w:r w:rsidRPr="006A1EC7">
              <w:rPr>
                <w:sz w:val="18"/>
                <w:szCs w:val="18"/>
              </w:rPr>
              <w:t>Fineen</w:t>
            </w:r>
          </w:p>
        </w:tc>
        <w:tc>
          <w:tcPr>
            <w:tcW w:w="3302" w:type="dxa"/>
          </w:tcPr>
          <w:p w14:paraId="10436C1B" w14:textId="77777777" w:rsidR="00F53CB4" w:rsidRPr="006A1EC7" w:rsidRDefault="00F53CB4" w:rsidP="00AC243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6A1EC7">
              <w:rPr>
                <w:color w:val="000000" w:themeColor="text1"/>
                <w:sz w:val="18"/>
                <w:szCs w:val="18"/>
              </w:rPr>
              <w:t>F (1, 34) = 3.06, p =.09</w:t>
            </w:r>
          </w:p>
        </w:tc>
      </w:tr>
      <w:tr w:rsidR="00F53CB4" w:rsidRPr="006A1EC7" w14:paraId="64EBCAD8" w14:textId="77777777" w:rsidTr="00AC2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0DE7DD8A" w14:textId="77777777" w:rsidR="00F53CB4" w:rsidRPr="006A1EC7" w:rsidRDefault="00F53CB4" w:rsidP="00AC2435">
            <w:pPr>
              <w:spacing w:line="360" w:lineRule="auto"/>
              <w:rPr>
                <w:sz w:val="18"/>
                <w:szCs w:val="18"/>
              </w:rPr>
            </w:pPr>
            <w:r w:rsidRPr="006A1EC7">
              <w:rPr>
                <w:sz w:val="18"/>
                <w:szCs w:val="18"/>
              </w:rPr>
              <w:t>Alessandro</w:t>
            </w:r>
          </w:p>
        </w:tc>
        <w:tc>
          <w:tcPr>
            <w:tcW w:w="3302" w:type="dxa"/>
          </w:tcPr>
          <w:p w14:paraId="132A9D93" w14:textId="77777777" w:rsidR="00F53CB4" w:rsidRPr="006A1EC7" w:rsidRDefault="00F53CB4" w:rsidP="00AC2435">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6A1EC7">
              <w:rPr>
                <w:color w:val="000000" w:themeColor="text1"/>
                <w:sz w:val="18"/>
                <w:szCs w:val="18"/>
              </w:rPr>
              <w:t>F (1, 22) = .273, p = .61</w:t>
            </w:r>
          </w:p>
        </w:tc>
      </w:tr>
    </w:tbl>
    <w:p w14:paraId="44D1B462" w14:textId="77777777" w:rsidR="00F53CB4" w:rsidRPr="006A1EC7" w:rsidRDefault="00F53CB4" w:rsidP="00F53CB4">
      <w:pPr>
        <w:spacing w:line="360" w:lineRule="auto"/>
      </w:pPr>
    </w:p>
    <w:p w14:paraId="3C01ED5E" w14:textId="77777777" w:rsidR="00F53CB4" w:rsidRPr="006A1EC7" w:rsidRDefault="00F53CB4" w:rsidP="00F53CB4">
      <w:pPr>
        <w:spacing w:line="360" w:lineRule="auto"/>
      </w:pPr>
    </w:p>
    <w:p w14:paraId="30FBF9DA" w14:textId="77777777" w:rsidR="00F53CB4" w:rsidRPr="006A1EC7" w:rsidRDefault="00F53CB4" w:rsidP="00F53CB4">
      <w:pPr>
        <w:pStyle w:val="Heading5"/>
        <w:rPr>
          <w:rFonts w:ascii="Times New Roman" w:hAnsi="Times New Roman" w:cs="Times New Roman"/>
        </w:rPr>
      </w:pPr>
      <w:r w:rsidRPr="006A1EC7">
        <w:rPr>
          <w:rFonts w:ascii="Times New Roman" w:hAnsi="Times New Roman" w:cs="Times New Roman"/>
        </w:rPr>
        <w:t xml:space="preserve">Part B) Hypothesis relationships between vignettes </w:t>
      </w:r>
    </w:p>
    <w:p w14:paraId="4DACFDB5" w14:textId="77777777" w:rsidR="00F53CB4" w:rsidRPr="006A1EC7" w:rsidRDefault="00F53CB4" w:rsidP="00F53CB4">
      <w:pPr>
        <w:rPr>
          <w:lang w:eastAsia="en-GB"/>
        </w:rPr>
      </w:pPr>
    </w:p>
    <w:p w14:paraId="008DD69C" w14:textId="77777777" w:rsidR="00F53CB4" w:rsidRPr="006A1EC7" w:rsidRDefault="00F53CB4" w:rsidP="00F53CB4">
      <w:pPr>
        <w:rPr>
          <w:lang w:eastAsia="en-GB"/>
        </w:rPr>
      </w:pPr>
    </w:p>
    <w:p w14:paraId="5C6EC795" w14:textId="77777777" w:rsidR="00F53CB4" w:rsidRPr="006A1EC7" w:rsidRDefault="00F53CB4" w:rsidP="00F53CB4">
      <w:pPr>
        <w:spacing w:line="360" w:lineRule="auto"/>
        <w:rPr>
          <w:lang w:eastAsia="en-GB"/>
        </w:rPr>
      </w:pPr>
      <w:r w:rsidRPr="006A1EC7">
        <w:rPr>
          <w:lang w:eastAsia="en-GB"/>
        </w:rPr>
        <w:tab/>
        <w:t xml:space="preserve">The a priori set hypotheses were tested using paired sample t-tests (with Bonferroni corrections, adjusted p value: .0016). Table 32 illustrates the hypotheses, results and p-values. Twenty-five out of the thirty-two comparisons were significant (marked with blue colour in Table 32). As aforementioned, limitations of this approach in terms of increasing the likelihood of type-II errors is explained on page 208. </w:t>
      </w:r>
    </w:p>
    <w:p w14:paraId="20EB7FB7" w14:textId="77777777" w:rsidR="00F53CB4" w:rsidRPr="006A1EC7" w:rsidRDefault="00F53CB4" w:rsidP="00F53CB4">
      <w:pPr>
        <w:spacing w:line="360" w:lineRule="auto"/>
        <w:rPr>
          <w:lang w:eastAsia="en-GB"/>
        </w:rPr>
      </w:pPr>
      <w:r w:rsidRPr="006A1EC7">
        <w:rPr>
          <w:lang w:eastAsia="en-GB"/>
        </w:rPr>
        <w:tab/>
        <w:t xml:space="preserve">Results show that, on the </w:t>
      </w:r>
      <w:r w:rsidRPr="006A1EC7">
        <w:t>simple basis of an assessment of the means only, all 32 hypotheses can be retained</w:t>
      </w:r>
      <w:r w:rsidRPr="006A1EC7">
        <w:rPr>
          <w:lang w:eastAsia="en-GB"/>
        </w:rPr>
        <w:t xml:space="preserve"> (p-value not considered). In addition, when considering the p-value, 23 of the 32 hypotheses (marked in blue) were also statistically significant. This therefore suggest high construct validity of the COA.</w:t>
      </w:r>
    </w:p>
    <w:p w14:paraId="058F5398" w14:textId="77777777" w:rsidR="00F53CB4" w:rsidRPr="006A1EC7" w:rsidRDefault="00F53CB4" w:rsidP="00F53CB4">
      <w:pPr>
        <w:spacing w:line="360" w:lineRule="auto"/>
        <w:rPr>
          <w:lang w:eastAsia="en-GB"/>
        </w:rPr>
      </w:pPr>
    </w:p>
    <w:p w14:paraId="6686A5F7" w14:textId="77777777" w:rsidR="00F53CB4" w:rsidRPr="006A1EC7" w:rsidRDefault="00F53CB4" w:rsidP="00F53CB4">
      <w:pPr>
        <w:spacing w:line="360" w:lineRule="auto"/>
        <w:rPr>
          <w:lang w:eastAsia="en-GB"/>
        </w:rPr>
      </w:pPr>
    </w:p>
    <w:p w14:paraId="5699D3F7" w14:textId="77777777" w:rsidR="00F53CB4" w:rsidRPr="006A1EC7" w:rsidRDefault="00F53CB4" w:rsidP="00F53CB4">
      <w:pPr>
        <w:spacing w:line="360" w:lineRule="auto"/>
        <w:rPr>
          <w:lang w:eastAsia="en-GB"/>
        </w:rPr>
      </w:pPr>
    </w:p>
    <w:p w14:paraId="66657F66" w14:textId="77777777" w:rsidR="00F53CB4" w:rsidRPr="006A1EC7" w:rsidRDefault="00F53CB4" w:rsidP="00F53CB4">
      <w:pPr>
        <w:spacing w:line="360" w:lineRule="auto"/>
        <w:rPr>
          <w:lang w:eastAsia="en-GB"/>
        </w:rPr>
        <w:sectPr w:rsidR="00F53CB4" w:rsidRPr="006A1EC7" w:rsidSect="00AC2435">
          <w:type w:val="nextColumn"/>
          <w:pgSz w:w="11900" w:h="16840"/>
          <w:pgMar w:top="1440" w:right="1701" w:bottom="1440" w:left="1701" w:header="709" w:footer="709" w:gutter="0"/>
          <w:cols w:space="708"/>
          <w:docGrid w:linePitch="360"/>
        </w:sectPr>
      </w:pPr>
    </w:p>
    <w:p w14:paraId="5ED54FA2" w14:textId="77777777" w:rsidR="00F53CB4" w:rsidRPr="006A1EC7" w:rsidRDefault="00F53CB4" w:rsidP="00F53CB4">
      <w:pPr>
        <w:pStyle w:val="Caption"/>
        <w:keepNext/>
        <w:rPr>
          <w:sz w:val="24"/>
          <w:szCs w:val="24"/>
        </w:rPr>
      </w:pPr>
      <w:bookmarkStart w:id="261" w:name="_Toc40173056"/>
      <w:r w:rsidRPr="006A1EC7">
        <w:rPr>
          <w:sz w:val="24"/>
          <w:szCs w:val="24"/>
        </w:rPr>
        <w:lastRenderedPageBreak/>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32</w:t>
      </w:r>
      <w:r w:rsidRPr="006A1EC7">
        <w:rPr>
          <w:sz w:val="24"/>
          <w:szCs w:val="24"/>
        </w:rPr>
        <w:fldChar w:fldCharType="end"/>
      </w:r>
      <w:r w:rsidRPr="006A1EC7">
        <w:rPr>
          <w:sz w:val="24"/>
          <w:szCs w:val="24"/>
        </w:rPr>
        <w:t>: A priori Hypotheses, results &amp; p-values</w:t>
      </w:r>
      <w:bookmarkEnd w:id="261"/>
    </w:p>
    <w:tbl>
      <w:tblPr>
        <w:tblStyle w:val="TableGrid"/>
        <w:tblW w:w="0" w:type="auto"/>
        <w:tblLook w:val="04A0" w:firstRow="1" w:lastRow="0" w:firstColumn="1" w:lastColumn="0" w:noHBand="0" w:noVBand="1"/>
      </w:tblPr>
      <w:tblGrid>
        <w:gridCol w:w="4489"/>
        <w:gridCol w:w="7873"/>
        <w:gridCol w:w="1066"/>
      </w:tblGrid>
      <w:tr w:rsidR="00F53CB4" w:rsidRPr="006A1EC7" w14:paraId="03F37FB1" w14:textId="77777777" w:rsidTr="00AC2435">
        <w:tc>
          <w:tcPr>
            <w:tcW w:w="5240" w:type="dxa"/>
          </w:tcPr>
          <w:p w14:paraId="385CE30D" w14:textId="77777777" w:rsidR="00F53CB4" w:rsidRPr="006A1EC7" w:rsidRDefault="00F53CB4" w:rsidP="00AC2435">
            <w:pPr>
              <w:spacing w:line="360" w:lineRule="auto"/>
              <w:rPr>
                <w:b/>
                <w:bCs/>
                <w:sz w:val="18"/>
              </w:rPr>
            </w:pPr>
            <w:r w:rsidRPr="006A1EC7">
              <w:rPr>
                <w:b/>
                <w:bCs/>
                <w:sz w:val="18"/>
              </w:rPr>
              <w:t>Hypothesis</w:t>
            </w:r>
          </w:p>
        </w:tc>
        <w:tc>
          <w:tcPr>
            <w:tcW w:w="9356" w:type="dxa"/>
          </w:tcPr>
          <w:p w14:paraId="5E7F4476" w14:textId="77777777" w:rsidR="00F53CB4" w:rsidRPr="006A1EC7" w:rsidRDefault="00F53CB4" w:rsidP="00AC2435">
            <w:pPr>
              <w:spacing w:line="360" w:lineRule="auto"/>
              <w:rPr>
                <w:b/>
                <w:bCs/>
                <w:sz w:val="18"/>
              </w:rPr>
            </w:pPr>
            <w:r w:rsidRPr="006A1EC7">
              <w:rPr>
                <w:b/>
                <w:bCs/>
                <w:sz w:val="18"/>
              </w:rPr>
              <w:t>Results (means)</w:t>
            </w:r>
          </w:p>
        </w:tc>
        <w:tc>
          <w:tcPr>
            <w:tcW w:w="532" w:type="dxa"/>
          </w:tcPr>
          <w:p w14:paraId="53723B6E" w14:textId="77777777" w:rsidR="00F53CB4" w:rsidRPr="006A1EC7" w:rsidRDefault="00F53CB4" w:rsidP="00AC2435">
            <w:pPr>
              <w:spacing w:line="360" w:lineRule="auto"/>
              <w:rPr>
                <w:b/>
                <w:bCs/>
                <w:sz w:val="18"/>
              </w:rPr>
            </w:pPr>
            <w:r w:rsidRPr="006A1EC7">
              <w:rPr>
                <w:b/>
                <w:bCs/>
                <w:sz w:val="18"/>
              </w:rPr>
              <w:t>P value</w:t>
            </w:r>
          </w:p>
          <w:p w14:paraId="605EDF9F" w14:textId="77777777" w:rsidR="00F53CB4" w:rsidRPr="006A1EC7" w:rsidRDefault="00F53CB4" w:rsidP="00AC2435">
            <w:pPr>
              <w:spacing w:line="360" w:lineRule="auto"/>
              <w:rPr>
                <w:b/>
                <w:bCs/>
                <w:sz w:val="18"/>
              </w:rPr>
            </w:pPr>
            <w:r w:rsidRPr="006A1EC7">
              <w:rPr>
                <w:sz w:val="18"/>
                <w:lang w:eastAsia="en-GB"/>
              </w:rPr>
              <w:t>(Bonferroni corrected to p-value: .0016)</w:t>
            </w:r>
          </w:p>
          <w:p w14:paraId="32B5CFD9" w14:textId="77777777" w:rsidR="00F53CB4" w:rsidRPr="006A1EC7" w:rsidRDefault="00F53CB4" w:rsidP="00AC2435">
            <w:pPr>
              <w:spacing w:line="360" w:lineRule="auto"/>
              <w:rPr>
                <w:b/>
                <w:bCs/>
                <w:sz w:val="18"/>
              </w:rPr>
            </w:pPr>
          </w:p>
        </w:tc>
      </w:tr>
      <w:tr w:rsidR="00F53CB4" w:rsidRPr="006A1EC7" w14:paraId="4E80878F" w14:textId="77777777" w:rsidTr="00AC2435">
        <w:tc>
          <w:tcPr>
            <w:tcW w:w="5240" w:type="dxa"/>
          </w:tcPr>
          <w:p w14:paraId="2F766432" w14:textId="77777777" w:rsidR="00F53CB4" w:rsidRPr="006A1EC7" w:rsidRDefault="00F53CB4" w:rsidP="00AC2435">
            <w:pPr>
              <w:spacing w:line="360" w:lineRule="auto"/>
              <w:rPr>
                <w:b/>
                <w:bCs/>
                <w:sz w:val="18"/>
              </w:rPr>
            </w:pPr>
          </w:p>
        </w:tc>
        <w:tc>
          <w:tcPr>
            <w:tcW w:w="9356" w:type="dxa"/>
            <w:shd w:val="clear" w:color="auto" w:fill="D9E2F3" w:themeFill="accent1" w:themeFillTint="33"/>
          </w:tcPr>
          <w:p w14:paraId="6BEEA329" w14:textId="77777777" w:rsidR="00F53CB4" w:rsidRPr="006A1EC7" w:rsidRDefault="00F53CB4" w:rsidP="00AC2435">
            <w:pPr>
              <w:spacing w:line="360" w:lineRule="auto"/>
              <w:jc w:val="center"/>
              <w:rPr>
                <w:b/>
                <w:sz w:val="18"/>
              </w:rPr>
            </w:pPr>
            <w:r w:rsidRPr="006A1EC7">
              <w:rPr>
                <w:b/>
                <w:sz w:val="18"/>
                <w:u w:val="single"/>
              </w:rPr>
              <w:t>Hypotheses regarding Total Score (n = 4)</w:t>
            </w:r>
          </w:p>
        </w:tc>
        <w:tc>
          <w:tcPr>
            <w:tcW w:w="532" w:type="dxa"/>
          </w:tcPr>
          <w:p w14:paraId="3CF6434C" w14:textId="77777777" w:rsidR="00F53CB4" w:rsidRPr="006A1EC7" w:rsidRDefault="00F53CB4" w:rsidP="00AC2435">
            <w:pPr>
              <w:spacing w:line="360" w:lineRule="auto"/>
              <w:rPr>
                <w:b/>
                <w:bCs/>
                <w:sz w:val="18"/>
              </w:rPr>
            </w:pPr>
          </w:p>
        </w:tc>
      </w:tr>
      <w:tr w:rsidR="00F53CB4" w:rsidRPr="006A1EC7" w14:paraId="0ED7121F" w14:textId="77777777" w:rsidTr="00AC2435">
        <w:tc>
          <w:tcPr>
            <w:tcW w:w="5240" w:type="dxa"/>
          </w:tcPr>
          <w:p w14:paraId="33DD67B2" w14:textId="77777777" w:rsidR="00F53CB4" w:rsidRPr="006A1EC7" w:rsidRDefault="00F53CB4" w:rsidP="00AC2435">
            <w:pPr>
              <w:spacing w:line="360" w:lineRule="auto"/>
              <w:rPr>
                <w:b/>
                <w:bCs/>
                <w:sz w:val="18"/>
              </w:rPr>
            </w:pPr>
            <w:r w:rsidRPr="006A1EC7">
              <w:rPr>
                <w:b/>
                <w:bCs/>
                <w:sz w:val="18"/>
              </w:rPr>
              <w:t>1:</w:t>
            </w:r>
            <w:r w:rsidRPr="006A1EC7">
              <w:rPr>
                <w:sz w:val="18"/>
              </w:rPr>
              <w:t xml:space="preserve"> Alessandro Total (T1) &gt; Fineen Total (T1)</w:t>
            </w:r>
          </w:p>
        </w:tc>
        <w:tc>
          <w:tcPr>
            <w:tcW w:w="9356" w:type="dxa"/>
          </w:tcPr>
          <w:p w14:paraId="4FDFDCF9" w14:textId="77777777" w:rsidR="00F53CB4" w:rsidRPr="006A1EC7" w:rsidRDefault="00F53CB4" w:rsidP="00AC2435">
            <w:pPr>
              <w:spacing w:line="360" w:lineRule="auto"/>
              <w:rPr>
                <w:b/>
                <w:bCs/>
                <w:sz w:val="18"/>
              </w:rPr>
            </w:pPr>
            <w:r w:rsidRPr="006A1EC7">
              <w:rPr>
                <w:sz w:val="18"/>
              </w:rPr>
              <w:t>Alessandro Total (T1 mean: 69.6, T2) &gt; Fineen Total (T1 mean: 26.3)</w:t>
            </w:r>
          </w:p>
        </w:tc>
        <w:tc>
          <w:tcPr>
            <w:tcW w:w="532" w:type="dxa"/>
            <w:shd w:val="clear" w:color="auto" w:fill="A5A5A5" w:themeFill="accent3"/>
          </w:tcPr>
          <w:p w14:paraId="5A2D16F8" w14:textId="77777777" w:rsidR="00F53CB4" w:rsidRPr="006A1EC7" w:rsidRDefault="00F53CB4" w:rsidP="00AC2435">
            <w:pPr>
              <w:spacing w:line="360" w:lineRule="auto"/>
              <w:rPr>
                <w:b/>
                <w:bCs/>
                <w:sz w:val="18"/>
              </w:rPr>
            </w:pPr>
            <w:r w:rsidRPr="006A1EC7">
              <w:rPr>
                <w:b/>
                <w:bCs/>
                <w:sz w:val="18"/>
              </w:rPr>
              <w:t>.001</w:t>
            </w:r>
          </w:p>
        </w:tc>
      </w:tr>
      <w:tr w:rsidR="00F53CB4" w:rsidRPr="006A1EC7" w14:paraId="74BCA364" w14:textId="77777777" w:rsidTr="00AC2435">
        <w:tc>
          <w:tcPr>
            <w:tcW w:w="5240" w:type="dxa"/>
          </w:tcPr>
          <w:p w14:paraId="6BDEE38F" w14:textId="77777777" w:rsidR="00F53CB4" w:rsidRPr="006A1EC7" w:rsidRDefault="00F53CB4" w:rsidP="00AC2435">
            <w:pPr>
              <w:spacing w:line="360" w:lineRule="auto"/>
              <w:rPr>
                <w:b/>
                <w:bCs/>
                <w:sz w:val="18"/>
              </w:rPr>
            </w:pPr>
            <w:r w:rsidRPr="006A1EC7">
              <w:rPr>
                <w:b/>
                <w:bCs/>
                <w:sz w:val="18"/>
              </w:rPr>
              <w:t>Hypothesis 2:</w:t>
            </w:r>
            <w:r w:rsidRPr="006A1EC7">
              <w:rPr>
                <w:sz w:val="18"/>
              </w:rPr>
              <w:t xml:space="preserve"> Alessandro Total (T1, T2) &gt; Bronagh Total (T1, T2)</w:t>
            </w:r>
          </w:p>
        </w:tc>
        <w:tc>
          <w:tcPr>
            <w:tcW w:w="9356" w:type="dxa"/>
          </w:tcPr>
          <w:p w14:paraId="60CCDCE8" w14:textId="77777777" w:rsidR="00F53CB4" w:rsidRPr="006A1EC7" w:rsidRDefault="00F53CB4" w:rsidP="00AC2435">
            <w:pPr>
              <w:spacing w:line="360" w:lineRule="auto"/>
              <w:rPr>
                <w:sz w:val="18"/>
              </w:rPr>
            </w:pPr>
            <w:r w:rsidRPr="006A1EC7">
              <w:rPr>
                <w:sz w:val="18"/>
              </w:rPr>
              <w:t>Alessandro Total (T1 mean: 69.6, T2 mean: 67.3) &gt; Bronagh Total (T1 mean: 21.8, T2 mean: 18.9)</w:t>
            </w:r>
          </w:p>
        </w:tc>
        <w:tc>
          <w:tcPr>
            <w:tcW w:w="532" w:type="dxa"/>
            <w:shd w:val="clear" w:color="auto" w:fill="A5A5A5" w:themeFill="accent3"/>
          </w:tcPr>
          <w:p w14:paraId="2E43A924" w14:textId="77777777" w:rsidR="00F53CB4" w:rsidRPr="006A1EC7" w:rsidRDefault="00F53CB4" w:rsidP="00AC2435">
            <w:pPr>
              <w:spacing w:line="360" w:lineRule="auto"/>
              <w:rPr>
                <w:b/>
                <w:bCs/>
                <w:sz w:val="18"/>
              </w:rPr>
            </w:pPr>
            <w:r w:rsidRPr="006A1EC7">
              <w:rPr>
                <w:sz w:val="18"/>
              </w:rPr>
              <w:t>p &lt;.001</w:t>
            </w:r>
          </w:p>
        </w:tc>
      </w:tr>
      <w:tr w:rsidR="00F53CB4" w:rsidRPr="006A1EC7" w14:paraId="159AC56C" w14:textId="77777777" w:rsidTr="00AC2435">
        <w:tc>
          <w:tcPr>
            <w:tcW w:w="5240" w:type="dxa"/>
          </w:tcPr>
          <w:p w14:paraId="03D520F4" w14:textId="77777777" w:rsidR="00F53CB4" w:rsidRPr="006A1EC7" w:rsidRDefault="00F53CB4" w:rsidP="00AC2435">
            <w:pPr>
              <w:spacing w:line="360" w:lineRule="auto"/>
              <w:rPr>
                <w:sz w:val="18"/>
              </w:rPr>
            </w:pPr>
            <w:r w:rsidRPr="006A1EC7">
              <w:rPr>
                <w:b/>
                <w:bCs/>
                <w:sz w:val="18"/>
              </w:rPr>
              <w:t>Hypothesis 3</w:t>
            </w:r>
            <w:r w:rsidRPr="006A1EC7">
              <w:rPr>
                <w:sz w:val="18"/>
              </w:rPr>
              <w:t>: Fineen Total (T1, T2) &lt; Joshua Total (T1, T2)</w:t>
            </w:r>
          </w:p>
          <w:p w14:paraId="225DDA3A" w14:textId="77777777" w:rsidR="00F53CB4" w:rsidRPr="006A1EC7" w:rsidRDefault="00F53CB4" w:rsidP="00AC2435">
            <w:pPr>
              <w:jc w:val="center"/>
              <w:rPr>
                <w:sz w:val="18"/>
              </w:rPr>
            </w:pPr>
          </w:p>
        </w:tc>
        <w:tc>
          <w:tcPr>
            <w:tcW w:w="9356" w:type="dxa"/>
          </w:tcPr>
          <w:p w14:paraId="0589B5A5" w14:textId="77777777" w:rsidR="00F53CB4" w:rsidRPr="006A1EC7" w:rsidRDefault="00F53CB4" w:rsidP="00AC2435">
            <w:pPr>
              <w:spacing w:line="360" w:lineRule="auto"/>
              <w:rPr>
                <w:sz w:val="18"/>
              </w:rPr>
            </w:pPr>
            <w:r w:rsidRPr="006A1EC7">
              <w:rPr>
                <w:sz w:val="18"/>
              </w:rPr>
              <w:t>Fineen Total (T1 mean: 26.3, T2 mean: 25.1) &lt; Joshua Total (T1 mean: 58.5, T2 mean: 58.6)</w:t>
            </w:r>
          </w:p>
        </w:tc>
        <w:tc>
          <w:tcPr>
            <w:tcW w:w="532" w:type="dxa"/>
            <w:shd w:val="clear" w:color="auto" w:fill="A5A5A5" w:themeFill="accent3"/>
          </w:tcPr>
          <w:p w14:paraId="0F0A34DD" w14:textId="77777777" w:rsidR="00F53CB4" w:rsidRPr="006A1EC7" w:rsidRDefault="00F53CB4" w:rsidP="00AC2435">
            <w:pPr>
              <w:spacing w:line="360" w:lineRule="auto"/>
              <w:rPr>
                <w:b/>
                <w:bCs/>
                <w:sz w:val="18"/>
              </w:rPr>
            </w:pPr>
            <w:r w:rsidRPr="006A1EC7">
              <w:rPr>
                <w:sz w:val="18"/>
              </w:rPr>
              <w:t>p &lt;.001</w:t>
            </w:r>
          </w:p>
        </w:tc>
      </w:tr>
      <w:tr w:rsidR="00F53CB4" w:rsidRPr="006A1EC7" w14:paraId="00A7C1A2" w14:textId="77777777" w:rsidTr="00AC2435">
        <w:tc>
          <w:tcPr>
            <w:tcW w:w="5240" w:type="dxa"/>
          </w:tcPr>
          <w:p w14:paraId="6D94907B" w14:textId="77777777" w:rsidR="00F53CB4" w:rsidRPr="006A1EC7" w:rsidRDefault="00F53CB4" w:rsidP="00AC2435">
            <w:pPr>
              <w:spacing w:line="360" w:lineRule="auto"/>
              <w:rPr>
                <w:sz w:val="18"/>
              </w:rPr>
            </w:pPr>
            <w:r w:rsidRPr="006A1EC7">
              <w:rPr>
                <w:b/>
                <w:bCs/>
                <w:sz w:val="18"/>
              </w:rPr>
              <w:t>Hypothesis 4:</w:t>
            </w:r>
            <w:r w:rsidRPr="006A1EC7">
              <w:rPr>
                <w:sz w:val="18"/>
              </w:rPr>
              <w:t xml:space="preserve"> Emma Total (T1, T2) &lt; Joshua Total (T1, T2)</w:t>
            </w:r>
          </w:p>
          <w:p w14:paraId="7777AD20" w14:textId="77777777" w:rsidR="00F53CB4" w:rsidRPr="006A1EC7" w:rsidRDefault="00F53CB4" w:rsidP="00AC2435">
            <w:pPr>
              <w:spacing w:line="360" w:lineRule="auto"/>
              <w:rPr>
                <w:b/>
                <w:bCs/>
                <w:sz w:val="18"/>
              </w:rPr>
            </w:pPr>
          </w:p>
        </w:tc>
        <w:tc>
          <w:tcPr>
            <w:tcW w:w="9356" w:type="dxa"/>
          </w:tcPr>
          <w:p w14:paraId="45399AF0" w14:textId="77777777" w:rsidR="00F53CB4" w:rsidRPr="006A1EC7" w:rsidRDefault="00F53CB4" w:rsidP="00AC2435">
            <w:pPr>
              <w:spacing w:line="360" w:lineRule="auto"/>
              <w:rPr>
                <w:sz w:val="18"/>
              </w:rPr>
            </w:pPr>
            <w:r w:rsidRPr="006A1EC7">
              <w:rPr>
                <w:sz w:val="18"/>
              </w:rPr>
              <w:t>Bronagh Total (T1 mean: 51.1, T2 mean: 41.8) &lt; Joshua Total (T1 mean: 58.5, T2 mean: 58.6)</w:t>
            </w:r>
          </w:p>
        </w:tc>
        <w:tc>
          <w:tcPr>
            <w:tcW w:w="532" w:type="dxa"/>
          </w:tcPr>
          <w:p w14:paraId="4DF9BBD5" w14:textId="77777777" w:rsidR="00F53CB4" w:rsidRPr="006A1EC7" w:rsidRDefault="00F53CB4" w:rsidP="00AC2435">
            <w:pPr>
              <w:spacing w:line="360" w:lineRule="auto"/>
              <w:rPr>
                <w:b/>
                <w:bCs/>
                <w:sz w:val="18"/>
              </w:rPr>
            </w:pPr>
            <w:r w:rsidRPr="006A1EC7">
              <w:rPr>
                <w:b/>
                <w:bCs/>
                <w:sz w:val="18"/>
              </w:rPr>
              <w:t>.692</w:t>
            </w:r>
          </w:p>
        </w:tc>
      </w:tr>
      <w:tr w:rsidR="00F53CB4" w:rsidRPr="006A1EC7" w14:paraId="5E9CFE5F" w14:textId="77777777" w:rsidTr="00AC2435">
        <w:tc>
          <w:tcPr>
            <w:tcW w:w="5240" w:type="dxa"/>
          </w:tcPr>
          <w:p w14:paraId="3EBC22DE" w14:textId="77777777" w:rsidR="00F53CB4" w:rsidRPr="006A1EC7" w:rsidRDefault="00F53CB4" w:rsidP="00AC2435">
            <w:pPr>
              <w:jc w:val="center"/>
              <w:rPr>
                <w:b/>
                <w:bCs/>
                <w:sz w:val="18"/>
              </w:rPr>
            </w:pPr>
          </w:p>
        </w:tc>
        <w:tc>
          <w:tcPr>
            <w:tcW w:w="9356" w:type="dxa"/>
            <w:shd w:val="clear" w:color="auto" w:fill="D9E2F3" w:themeFill="accent1" w:themeFillTint="33"/>
          </w:tcPr>
          <w:p w14:paraId="52926F46" w14:textId="77777777" w:rsidR="00F53CB4" w:rsidRPr="006A1EC7" w:rsidRDefault="00F53CB4" w:rsidP="00AC2435">
            <w:pPr>
              <w:jc w:val="center"/>
              <w:rPr>
                <w:b/>
                <w:sz w:val="18"/>
              </w:rPr>
            </w:pPr>
            <w:r w:rsidRPr="006A1EC7">
              <w:rPr>
                <w:b/>
                <w:sz w:val="18"/>
                <w:u w:val="single"/>
              </w:rPr>
              <w:t xml:space="preserve">Hypotheses regarding Facial Score (n = 2) </w:t>
            </w:r>
          </w:p>
          <w:p w14:paraId="56C3A074" w14:textId="77777777" w:rsidR="00F53CB4" w:rsidRPr="006A1EC7" w:rsidRDefault="00F53CB4" w:rsidP="00AC2435">
            <w:pPr>
              <w:spacing w:line="360" w:lineRule="auto"/>
              <w:rPr>
                <w:sz w:val="18"/>
              </w:rPr>
            </w:pPr>
          </w:p>
        </w:tc>
        <w:tc>
          <w:tcPr>
            <w:tcW w:w="532" w:type="dxa"/>
          </w:tcPr>
          <w:p w14:paraId="29EF5BAE" w14:textId="77777777" w:rsidR="00F53CB4" w:rsidRPr="006A1EC7" w:rsidRDefault="00F53CB4" w:rsidP="00AC2435">
            <w:pPr>
              <w:spacing w:line="360" w:lineRule="auto"/>
              <w:rPr>
                <w:b/>
                <w:bCs/>
                <w:sz w:val="18"/>
              </w:rPr>
            </w:pPr>
          </w:p>
        </w:tc>
      </w:tr>
      <w:tr w:rsidR="00F53CB4" w:rsidRPr="006A1EC7" w14:paraId="2C367A4E" w14:textId="77777777" w:rsidTr="00AC2435">
        <w:tc>
          <w:tcPr>
            <w:tcW w:w="5240" w:type="dxa"/>
          </w:tcPr>
          <w:p w14:paraId="47D76C63" w14:textId="77777777" w:rsidR="00F53CB4" w:rsidRPr="006A1EC7" w:rsidRDefault="00F53CB4" w:rsidP="00AC2435">
            <w:pPr>
              <w:spacing w:line="360" w:lineRule="auto"/>
              <w:rPr>
                <w:sz w:val="18"/>
              </w:rPr>
            </w:pPr>
            <w:r w:rsidRPr="006A1EC7">
              <w:rPr>
                <w:b/>
                <w:bCs/>
                <w:sz w:val="18"/>
              </w:rPr>
              <w:t>Hypothesis 5:</w:t>
            </w:r>
            <w:r w:rsidRPr="006A1EC7">
              <w:rPr>
                <w:sz w:val="18"/>
              </w:rPr>
              <w:t xml:space="preserve"> Emma Face (T1, T2) &lt; Joshua Face (T1, T2)</w:t>
            </w:r>
          </w:p>
          <w:p w14:paraId="2E65DEB1" w14:textId="77777777" w:rsidR="00F53CB4" w:rsidRPr="006A1EC7" w:rsidRDefault="00F53CB4" w:rsidP="00AC2435">
            <w:pPr>
              <w:jc w:val="center"/>
              <w:rPr>
                <w:sz w:val="18"/>
                <w:highlight w:val="yellow"/>
                <w:u w:val="single"/>
              </w:rPr>
            </w:pPr>
          </w:p>
        </w:tc>
        <w:tc>
          <w:tcPr>
            <w:tcW w:w="9356" w:type="dxa"/>
          </w:tcPr>
          <w:p w14:paraId="151D0625" w14:textId="77777777" w:rsidR="00F53CB4" w:rsidRPr="006A1EC7" w:rsidRDefault="00F53CB4" w:rsidP="00AC2435">
            <w:pPr>
              <w:spacing w:line="360" w:lineRule="auto"/>
              <w:rPr>
                <w:sz w:val="18"/>
              </w:rPr>
            </w:pPr>
            <w:r w:rsidRPr="006A1EC7">
              <w:rPr>
                <w:sz w:val="18"/>
              </w:rPr>
              <w:t>Emma Face (T1 mean: .0, T2 mean: .0 ) &lt; Joshua Face (T1 mean: 3.3 , T2 mean: 3.3 )</w:t>
            </w:r>
          </w:p>
          <w:p w14:paraId="158164C1" w14:textId="77777777" w:rsidR="00F53CB4" w:rsidRPr="006A1EC7" w:rsidRDefault="00F53CB4" w:rsidP="00AC2435">
            <w:pPr>
              <w:spacing w:line="360" w:lineRule="auto"/>
              <w:rPr>
                <w:sz w:val="18"/>
              </w:rPr>
            </w:pPr>
          </w:p>
        </w:tc>
        <w:tc>
          <w:tcPr>
            <w:tcW w:w="532" w:type="dxa"/>
            <w:shd w:val="clear" w:color="auto" w:fill="A5A5A5" w:themeFill="accent3"/>
          </w:tcPr>
          <w:p w14:paraId="2002F324" w14:textId="77777777" w:rsidR="00F53CB4" w:rsidRPr="006A1EC7" w:rsidRDefault="00F53CB4" w:rsidP="00AC2435">
            <w:pPr>
              <w:spacing w:line="360" w:lineRule="auto"/>
              <w:rPr>
                <w:b/>
                <w:bCs/>
                <w:sz w:val="18"/>
              </w:rPr>
            </w:pPr>
            <w:r w:rsidRPr="006A1EC7">
              <w:rPr>
                <w:sz w:val="18"/>
              </w:rPr>
              <w:t>p &lt;.001</w:t>
            </w:r>
          </w:p>
        </w:tc>
      </w:tr>
      <w:tr w:rsidR="00F53CB4" w:rsidRPr="006A1EC7" w14:paraId="30FE0111" w14:textId="77777777" w:rsidTr="00AC2435">
        <w:tc>
          <w:tcPr>
            <w:tcW w:w="5240" w:type="dxa"/>
          </w:tcPr>
          <w:p w14:paraId="40FECE17" w14:textId="77777777" w:rsidR="00F53CB4" w:rsidRPr="006A1EC7" w:rsidRDefault="00F53CB4" w:rsidP="00AC2435">
            <w:pPr>
              <w:spacing w:line="360" w:lineRule="auto"/>
              <w:rPr>
                <w:sz w:val="18"/>
              </w:rPr>
            </w:pPr>
            <w:r w:rsidRPr="006A1EC7">
              <w:rPr>
                <w:b/>
                <w:bCs/>
                <w:sz w:val="18"/>
              </w:rPr>
              <w:t>Hypothesis 6:</w:t>
            </w:r>
            <w:r w:rsidRPr="006A1EC7">
              <w:rPr>
                <w:sz w:val="18"/>
              </w:rPr>
              <w:t xml:space="preserve"> Bronagh Face (T1, T2) &lt; Alessandro Face (T1, T2)</w:t>
            </w:r>
          </w:p>
          <w:p w14:paraId="0A351456" w14:textId="77777777" w:rsidR="00F53CB4" w:rsidRPr="006A1EC7" w:rsidRDefault="00F53CB4" w:rsidP="00AC2435">
            <w:pPr>
              <w:jc w:val="center"/>
              <w:rPr>
                <w:sz w:val="18"/>
                <w:highlight w:val="yellow"/>
                <w:u w:val="single"/>
              </w:rPr>
            </w:pPr>
          </w:p>
        </w:tc>
        <w:tc>
          <w:tcPr>
            <w:tcW w:w="9356" w:type="dxa"/>
          </w:tcPr>
          <w:p w14:paraId="3159E1C3" w14:textId="77777777" w:rsidR="00F53CB4" w:rsidRPr="006A1EC7" w:rsidRDefault="00F53CB4" w:rsidP="00AC2435">
            <w:pPr>
              <w:spacing w:line="360" w:lineRule="auto"/>
              <w:rPr>
                <w:sz w:val="18"/>
              </w:rPr>
            </w:pPr>
            <w:r w:rsidRPr="006A1EC7">
              <w:rPr>
                <w:sz w:val="18"/>
              </w:rPr>
              <w:t>Bronagh Face (T1 mean 1.0:, T2 mean: 1.0) &lt; Alessandro Face (T1 mean: 3.5, T2 mean: 3.1)</w:t>
            </w:r>
          </w:p>
        </w:tc>
        <w:tc>
          <w:tcPr>
            <w:tcW w:w="532" w:type="dxa"/>
            <w:shd w:val="clear" w:color="auto" w:fill="A5A5A5" w:themeFill="accent3"/>
          </w:tcPr>
          <w:p w14:paraId="6036CA5B" w14:textId="77777777" w:rsidR="00F53CB4" w:rsidRPr="006A1EC7" w:rsidRDefault="00F53CB4" w:rsidP="00AC2435">
            <w:pPr>
              <w:spacing w:line="360" w:lineRule="auto"/>
              <w:rPr>
                <w:b/>
                <w:bCs/>
                <w:sz w:val="18"/>
              </w:rPr>
            </w:pPr>
            <w:r w:rsidRPr="006A1EC7">
              <w:rPr>
                <w:sz w:val="18"/>
              </w:rPr>
              <w:t>p &lt;.001</w:t>
            </w:r>
          </w:p>
        </w:tc>
      </w:tr>
      <w:tr w:rsidR="00F53CB4" w:rsidRPr="006A1EC7" w14:paraId="048F6547" w14:textId="77777777" w:rsidTr="00AC2435">
        <w:tc>
          <w:tcPr>
            <w:tcW w:w="5240" w:type="dxa"/>
          </w:tcPr>
          <w:p w14:paraId="1B7BB442" w14:textId="77777777" w:rsidR="00F53CB4" w:rsidRPr="006A1EC7" w:rsidRDefault="00F53CB4" w:rsidP="00AC2435">
            <w:pPr>
              <w:jc w:val="center"/>
              <w:rPr>
                <w:sz w:val="18"/>
                <w:highlight w:val="yellow"/>
                <w:u w:val="single"/>
              </w:rPr>
            </w:pPr>
          </w:p>
        </w:tc>
        <w:tc>
          <w:tcPr>
            <w:tcW w:w="9356" w:type="dxa"/>
            <w:shd w:val="clear" w:color="auto" w:fill="D9E2F3" w:themeFill="accent1" w:themeFillTint="33"/>
          </w:tcPr>
          <w:p w14:paraId="73BEFB99" w14:textId="77777777" w:rsidR="00F53CB4" w:rsidRPr="006A1EC7" w:rsidRDefault="00F53CB4" w:rsidP="00AC2435">
            <w:pPr>
              <w:jc w:val="center"/>
              <w:rPr>
                <w:b/>
                <w:sz w:val="18"/>
              </w:rPr>
            </w:pPr>
            <w:r w:rsidRPr="006A1EC7">
              <w:rPr>
                <w:b/>
                <w:sz w:val="18"/>
                <w:u w:val="single"/>
              </w:rPr>
              <w:t>Hypotheses regarding Epilepsy Score (n = 4)</w:t>
            </w:r>
            <w:r w:rsidRPr="006A1EC7">
              <w:rPr>
                <w:b/>
                <w:bCs/>
                <w:color w:val="222222"/>
                <w:sz w:val="18"/>
              </w:rPr>
              <w:t xml:space="preserve"> </w:t>
            </w:r>
          </w:p>
          <w:p w14:paraId="00C7228F" w14:textId="77777777" w:rsidR="00F53CB4" w:rsidRPr="006A1EC7" w:rsidRDefault="00F53CB4" w:rsidP="00AC2435">
            <w:pPr>
              <w:spacing w:line="360" w:lineRule="auto"/>
              <w:rPr>
                <w:sz w:val="18"/>
              </w:rPr>
            </w:pPr>
          </w:p>
        </w:tc>
        <w:tc>
          <w:tcPr>
            <w:tcW w:w="532" w:type="dxa"/>
          </w:tcPr>
          <w:p w14:paraId="728572BB" w14:textId="77777777" w:rsidR="00F53CB4" w:rsidRPr="006A1EC7" w:rsidRDefault="00F53CB4" w:rsidP="00AC2435">
            <w:pPr>
              <w:spacing w:line="360" w:lineRule="auto"/>
              <w:rPr>
                <w:b/>
                <w:bCs/>
                <w:sz w:val="18"/>
              </w:rPr>
            </w:pPr>
          </w:p>
        </w:tc>
      </w:tr>
      <w:tr w:rsidR="00F53CB4" w:rsidRPr="006A1EC7" w14:paraId="022022CD" w14:textId="77777777" w:rsidTr="00AC2435">
        <w:tc>
          <w:tcPr>
            <w:tcW w:w="5240" w:type="dxa"/>
          </w:tcPr>
          <w:p w14:paraId="0C2CFEAE" w14:textId="77777777" w:rsidR="00F53CB4" w:rsidRPr="006A1EC7" w:rsidRDefault="00F53CB4" w:rsidP="00AC2435">
            <w:pPr>
              <w:spacing w:line="360" w:lineRule="auto"/>
              <w:rPr>
                <w:sz w:val="18"/>
              </w:rPr>
            </w:pPr>
            <w:r w:rsidRPr="006A1EC7">
              <w:rPr>
                <w:b/>
                <w:bCs/>
                <w:sz w:val="18"/>
              </w:rPr>
              <w:t>Hypothesis 7</w:t>
            </w:r>
            <w:r w:rsidRPr="006A1EC7">
              <w:rPr>
                <w:sz w:val="18"/>
              </w:rPr>
              <w:t>: Bronagh Epilepsy (T1, T2) &gt; Fineen Epilepsy (T1, T2)</w:t>
            </w:r>
          </w:p>
          <w:p w14:paraId="3533214B" w14:textId="77777777" w:rsidR="00F53CB4" w:rsidRPr="006A1EC7" w:rsidRDefault="00F53CB4" w:rsidP="00AC2435">
            <w:pPr>
              <w:jc w:val="center"/>
              <w:rPr>
                <w:sz w:val="18"/>
                <w:highlight w:val="yellow"/>
                <w:u w:val="single"/>
              </w:rPr>
            </w:pPr>
          </w:p>
        </w:tc>
        <w:tc>
          <w:tcPr>
            <w:tcW w:w="9356" w:type="dxa"/>
          </w:tcPr>
          <w:p w14:paraId="05910A0C" w14:textId="77777777" w:rsidR="00F53CB4" w:rsidRPr="006A1EC7" w:rsidRDefault="00F53CB4" w:rsidP="00AC2435">
            <w:pPr>
              <w:spacing w:line="360" w:lineRule="auto"/>
              <w:rPr>
                <w:sz w:val="18"/>
              </w:rPr>
            </w:pPr>
            <w:r w:rsidRPr="006A1EC7">
              <w:rPr>
                <w:sz w:val="18"/>
              </w:rPr>
              <w:t>Bronagh Epilepsy (T1 mean: 1.65, T2 mean: 1.6) &gt; Fineen Epilepsy (T1: .0, T2 mean: .0)</w:t>
            </w:r>
          </w:p>
        </w:tc>
        <w:tc>
          <w:tcPr>
            <w:tcW w:w="532" w:type="dxa"/>
            <w:shd w:val="clear" w:color="auto" w:fill="auto"/>
          </w:tcPr>
          <w:p w14:paraId="283B32FF" w14:textId="77777777" w:rsidR="00F53CB4" w:rsidRPr="006A1EC7" w:rsidRDefault="00F53CB4" w:rsidP="00AC2435">
            <w:pPr>
              <w:spacing w:line="360" w:lineRule="auto"/>
              <w:rPr>
                <w:b/>
                <w:bCs/>
                <w:sz w:val="18"/>
              </w:rPr>
            </w:pPr>
            <w:r w:rsidRPr="006A1EC7">
              <w:rPr>
                <w:b/>
                <w:bCs/>
                <w:sz w:val="18"/>
              </w:rPr>
              <w:t>.003</w:t>
            </w:r>
          </w:p>
        </w:tc>
      </w:tr>
      <w:tr w:rsidR="00F53CB4" w:rsidRPr="006A1EC7" w14:paraId="2553C1FF" w14:textId="77777777" w:rsidTr="00AC2435">
        <w:tc>
          <w:tcPr>
            <w:tcW w:w="5240" w:type="dxa"/>
          </w:tcPr>
          <w:p w14:paraId="25E3D4DC" w14:textId="77777777" w:rsidR="00F53CB4" w:rsidRPr="006A1EC7" w:rsidRDefault="00F53CB4" w:rsidP="00AC2435">
            <w:pPr>
              <w:spacing w:line="360" w:lineRule="auto"/>
              <w:rPr>
                <w:b/>
                <w:bCs/>
                <w:sz w:val="18"/>
              </w:rPr>
            </w:pPr>
            <w:r w:rsidRPr="006A1EC7">
              <w:rPr>
                <w:b/>
                <w:bCs/>
                <w:sz w:val="18"/>
              </w:rPr>
              <w:t>Hypothesis 8</w:t>
            </w:r>
            <w:r w:rsidRPr="006A1EC7">
              <w:rPr>
                <w:sz w:val="18"/>
              </w:rPr>
              <w:t>: Emma Epilepsy (T1, T2) &gt; Bronagh Epilepsy (T1, T2)</w:t>
            </w:r>
          </w:p>
        </w:tc>
        <w:tc>
          <w:tcPr>
            <w:tcW w:w="9356" w:type="dxa"/>
          </w:tcPr>
          <w:p w14:paraId="3069D338" w14:textId="77777777" w:rsidR="00F53CB4" w:rsidRPr="006A1EC7" w:rsidRDefault="00F53CB4" w:rsidP="00AC2435">
            <w:pPr>
              <w:spacing w:line="360" w:lineRule="auto"/>
              <w:rPr>
                <w:sz w:val="18"/>
              </w:rPr>
            </w:pPr>
            <w:r w:rsidRPr="006A1EC7">
              <w:rPr>
                <w:sz w:val="18"/>
              </w:rPr>
              <w:t>Emma Epilepsy (T1 mean: 11, T2 mean: 10.6) &gt; Bronagh Epilepsy (T1 mean: 1.65, T2 mean: 1.6)</w:t>
            </w:r>
          </w:p>
        </w:tc>
        <w:tc>
          <w:tcPr>
            <w:tcW w:w="532" w:type="dxa"/>
            <w:shd w:val="clear" w:color="auto" w:fill="A5A5A5" w:themeFill="accent3"/>
          </w:tcPr>
          <w:p w14:paraId="66D8C6E9" w14:textId="77777777" w:rsidR="00F53CB4" w:rsidRPr="006A1EC7" w:rsidRDefault="00F53CB4" w:rsidP="00AC2435">
            <w:pPr>
              <w:spacing w:line="360" w:lineRule="auto"/>
              <w:rPr>
                <w:b/>
                <w:bCs/>
                <w:sz w:val="18"/>
              </w:rPr>
            </w:pPr>
            <w:r w:rsidRPr="006A1EC7">
              <w:rPr>
                <w:sz w:val="18"/>
              </w:rPr>
              <w:t>p &lt;.001</w:t>
            </w:r>
          </w:p>
        </w:tc>
      </w:tr>
      <w:tr w:rsidR="00F53CB4" w:rsidRPr="006A1EC7" w14:paraId="39E35B6F" w14:textId="77777777" w:rsidTr="00AC2435">
        <w:tc>
          <w:tcPr>
            <w:tcW w:w="5240" w:type="dxa"/>
          </w:tcPr>
          <w:p w14:paraId="194615F3" w14:textId="77777777" w:rsidR="00F53CB4" w:rsidRPr="006A1EC7" w:rsidRDefault="00F53CB4" w:rsidP="00AC2435">
            <w:pPr>
              <w:spacing w:line="360" w:lineRule="auto"/>
              <w:rPr>
                <w:sz w:val="18"/>
              </w:rPr>
            </w:pPr>
            <w:r w:rsidRPr="006A1EC7">
              <w:rPr>
                <w:b/>
                <w:bCs/>
                <w:sz w:val="18"/>
              </w:rPr>
              <w:t>Hypothesis 9</w:t>
            </w:r>
            <w:r w:rsidRPr="006A1EC7">
              <w:rPr>
                <w:sz w:val="18"/>
              </w:rPr>
              <w:t>: Joshua Epilepsy (T1, T2) &gt; Bronagh Epilepsy (T1, T2)</w:t>
            </w:r>
          </w:p>
          <w:p w14:paraId="30C4DB9A" w14:textId="77777777" w:rsidR="00F53CB4" w:rsidRPr="006A1EC7" w:rsidRDefault="00F53CB4" w:rsidP="00AC2435">
            <w:pPr>
              <w:spacing w:line="360" w:lineRule="auto"/>
              <w:rPr>
                <w:b/>
                <w:bCs/>
                <w:sz w:val="18"/>
              </w:rPr>
            </w:pPr>
          </w:p>
        </w:tc>
        <w:tc>
          <w:tcPr>
            <w:tcW w:w="9356" w:type="dxa"/>
          </w:tcPr>
          <w:p w14:paraId="0B297200" w14:textId="77777777" w:rsidR="00F53CB4" w:rsidRPr="006A1EC7" w:rsidRDefault="00F53CB4" w:rsidP="00AC2435">
            <w:pPr>
              <w:spacing w:line="360" w:lineRule="auto"/>
              <w:rPr>
                <w:sz w:val="18"/>
              </w:rPr>
            </w:pPr>
            <w:r w:rsidRPr="006A1EC7">
              <w:rPr>
                <w:sz w:val="18"/>
              </w:rPr>
              <w:t>Joshua Epilepsy (T1 mean: 12.6, T2 mean: 12.6) &gt; Bronagh Epilepsy (T1 mean: 1.65, T2 mean: 1.6)</w:t>
            </w:r>
          </w:p>
        </w:tc>
        <w:tc>
          <w:tcPr>
            <w:tcW w:w="532" w:type="dxa"/>
            <w:shd w:val="clear" w:color="auto" w:fill="A5A5A5" w:themeFill="accent3"/>
          </w:tcPr>
          <w:p w14:paraId="50070F50" w14:textId="77777777" w:rsidR="00F53CB4" w:rsidRPr="006A1EC7" w:rsidRDefault="00F53CB4" w:rsidP="00AC2435">
            <w:pPr>
              <w:spacing w:line="360" w:lineRule="auto"/>
              <w:rPr>
                <w:b/>
                <w:bCs/>
                <w:sz w:val="18"/>
              </w:rPr>
            </w:pPr>
            <w:r w:rsidRPr="006A1EC7">
              <w:rPr>
                <w:sz w:val="18"/>
              </w:rPr>
              <w:t>p &lt;.001</w:t>
            </w:r>
          </w:p>
        </w:tc>
      </w:tr>
      <w:tr w:rsidR="00F53CB4" w:rsidRPr="006A1EC7" w14:paraId="6E882BF7" w14:textId="77777777" w:rsidTr="00AC2435">
        <w:tc>
          <w:tcPr>
            <w:tcW w:w="5240" w:type="dxa"/>
          </w:tcPr>
          <w:p w14:paraId="62379653" w14:textId="77777777" w:rsidR="00F53CB4" w:rsidRPr="006A1EC7" w:rsidRDefault="00F53CB4" w:rsidP="00AC2435">
            <w:pPr>
              <w:spacing w:line="360" w:lineRule="auto"/>
              <w:rPr>
                <w:sz w:val="18"/>
              </w:rPr>
            </w:pPr>
            <w:r w:rsidRPr="006A1EC7">
              <w:rPr>
                <w:b/>
                <w:bCs/>
                <w:sz w:val="18"/>
              </w:rPr>
              <w:t>Hypothesis 10</w:t>
            </w:r>
            <w:r w:rsidRPr="006A1EC7">
              <w:rPr>
                <w:sz w:val="18"/>
              </w:rPr>
              <w:t>: Joshua Epilepsy (T1, T2) &gt; Alessandro Epilepsy (T1, T2)</w:t>
            </w:r>
          </w:p>
        </w:tc>
        <w:tc>
          <w:tcPr>
            <w:tcW w:w="9356" w:type="dxa"/>
          </w:tcPr>
          <w:p w14:paraId="098EE8AA" w14:textId="77777777" w:rsidR="00F53CB4" w:rsidRPr="006A1EC7" w:rsidRDefault="00F53CB4" w:rsidP="00AC2435">
            <w:pPr>
              <w:spacing w:line="360" w:lineRule="auto"/>
              <w:rPr>
                <w:sz w:val="18"/>
              </w:rPr>
            </w:pPr>
            <w:r w:rsidRPr="006A1EC7">
              <w:rPr>
                <w:sz w:val="18"/>
              </w:rPr>
              <w:t>Joshua Epilepsy (T1 mean: 12.6, T2 mean: 12.6) &gt; Alessandro Epilepsy (T1 mean: .2, T2 mean: .0)</w:t>
            </w:r>
          </w:p>
          <w:p w14:paraId="4A80748F" w14:textId="77777777" w:rsidR="00F53CB4" w:rsidRPr="006A1EC7" w:rsidRDefault="00F53CB4" w:rsidP="00AC2435">
            <w:pPr>
              <w:spacing w:line="360" w:lineRule="auto"/>
              <w:rPr>
                <w:sz w:val="18"/>
              </w:rPr>
            </w:pPr>
          </w:p>
        </w:tc>
        <w:tc>
          <w:tcPr>
            <w:tcW w:w="532" w:type="dxa"/>
            <w:shd w:val="clear" w:color="auto" w:fill="A5A5A5" w:themeFill="accent3"/>
          </w:tcPr>
          <w:p w14:paraId="3D0471A2" w14:textId="77777777" w:rsidR="00F53CB4" w:rsidRPr="006A1EC7" w:rsidRDefault="00F53CB4" w:rsidP="00AC2435">
            <w:pPr>
              <w:spacing w:line="360" w:lineRule="auto"/>
              <w:rPr>
                <w:b/>
                <w:bCs/>
                <w:sz w:val="18"/>
              </w:rPr>
            </w:pPr>
            <w:r w:rsidRPr="006A1EC7">
              <w:rPr>
                <w:sz w:val="18"/>
              </w:rPr>
              <w:t>p &lt;.001</w:t>
            </w:r>
          </w:p>
        </w:tc>
      </w:tr>
      <w:tr w:rsidR="00F53CB4" w:rsidRPr="006A1EC7" w14:paraId="22ACF51E" w14:textId="77777777" w:rsidTr="00AC2435">
        <w:tc>
          <w:tcPr>
            <w:tcW w:w="5240" w:type="dxa"/>
          </w:tcPr>
          <w:p w14:paraId="790B93F2" w14:textId="77777777" w:rsidR="00F53CB4" w:rsidRPr="006A1EC7" w:rsidRDefault="00F53CB4" w:rsidP="00AC2435">
            <w:pPr>
              <w:jc w:val="center"/>
              <w:rPr>
                <w:b/>
                <w:bCs/>
                <w:sz w:val="18"/>
              </w:rPr>
            </w:pPr>
          </w:p>
        </w:tc>
        <w:tc>
          <w:tcPr>
            <w:tcW w:w="9356" w:type="dxa"/>
            <w:shd w:val="clear" w:color="auto" w:fill="D9E2F3" w:themeFill="accent1" w:themeFillTint="33"/>
          </w:tcPr>
          <w:p w14:paraId="4C379670" w14:textId="77777777" w:rsidR="00F53CB4" w:rsidRPr="006A1EC7" w:rsidRDefault="00F53CB4" w:rsidP="00AC2435">
            <w:pPr>
              <w:jc w:val="center"/>
              <w:rPr>
                <w:b/>
                <w:sz w:val="18"/>
              </w:rPr>
            </w:pPr>
            <w:r w:rsidRPr="006A1EC7">
              <w:rPr>
                <w:b/>
                <w:sz w:val="18"/>
                <w:u w:val="single"/>
              </w:rPr>
              <w:t xml:space="preserve">Hypotheses regarding Gastro Score (n = 4) </w:t>
            </w:r>
          </w:p>
          <w:p w14:paraId="0B931358" w14:textId="77777777" w:rsidR="00F53CB4" w:rsidRPr="006A1EC7" w:rsidRDefault="00F53CB4" w:rsidP="00AC2435">
            <w:pPr>
              <w:spacing w:line="360" w:lineRule="auto"/>
              <w:rPr>
                <w:sz w:val="18"/>
              </w:rPr>
            </w:pPr>
          </w:p>
        </w:tc>
        <w:tc>
          <w:tcPr>
            <w:tcW w:w="532" w:type="dxa"/>
          </w:tcPr>
          <w:p w14:paraId="2459C37A" w14:textId="77777777" w:rsidR="00F53CB4" w:rsidRPr="006A1EC7" w:rsidRDefault="00F53CB4" w:rsidP="00AC2435">
            <w:pPr>
              <w:spacing w:line="360" w:lineRule="auto"/>
              <w:rPr>
                <w:b/>
                <w:bCs/>
                <w:sz w:val="18"/>
              </w:rPr>
            </w:pPr>
          </w:p>
        </w:tc>
      </w:tr>
      <w:tr w:rsidR="00F53CB4" w:rsidRPr="006A1EC7" w14:paraId="7BC49F03" w14:textId="77777777" w:rsidTr="00AC2435">
        <w:tc>
          <w:tcPr>
            <w:tcW w:w="5240" w:type="dxa"/>
          </w:tcPr>
          <w:p w14:paraId="6044328C" w14:textId="77777777" w:rsidR="00F53CB4" w:rsidRPr="006A1EC7" w:rsidRDefault="00F53CB4" w:rsidP="00AC2435">
            <w:pPr>
              <w:spacing w:line="360" w:lineRule="auto"/>
              <w:rPr>
                <w:sz w:val="18"/>
              </w:rPr>
            </w:pPr>
            <w:r w:rsidRPr="006A1EC7">
              <w:rPr>
                <w:b/>
                <w:bCs/>
                <w:sz w:val="18"/>
              </w:rPr>
              <w:t>Hypothesis 11</w:t>
            </w:r>
            <w:r w:rsidRPr="006A1EC7">
              <w:rPr>
                <w:sz w:val="18"/>
              </w:rPr>
              <w:t>: Alessandro Gastro (T1, T2) &gt; Fineen Gastro (T1, T2)</w:t>
            </w:r>
          </w:p>
          <w:p w14:paraId="33541CF8" w14:textId="77777777" w:rsidR="00F53CB4" w:rsidRPr="006A1EC7" w:rsidRDefault="00F53CB4" w:rsidP="00AC2435">
            <w:pPr>
              <w:jc w:val="center"/>
              <w:rPr>
                <w:sz w:val="18"/>
                <w:highlight w:val="yellow"/>
                <w:u w:val="single"/>
              </w:rPr>
            </w:pPr>
          </w:p>
        </w:tc>
        <w:tc>
          <w:tcPr>
            <w:tcW w:w="9356" w:type="dxa"/>
          </w:tcPr>
          <w:p w14:paraId="3CE83674" w14:textId="77777777" w:rsidR="00F53CB4" w:rsidRPr="006A1EC7" w:rsidRDefault="00F53CB4" w:rsidP="00AC2435">
            <w:pPr>
              <w:spacing w:line="360" w:lineRule="auto"/>
              <w:rPr>
                <w:sz w:val="18"/>
              </w:rPr>
            </w:pPr>
            <w:r w:rsidRPr="006A1EC7">
              <w:rPr>
                <w:sz w:val="18"/>
              </w:rPr>
              <w:t>Alessandro Gastro (T1 mean: 21.0, T2 mean: 20.6) &gt; Fineen Gastro (T1 mean: 4.3, T2 mean: 4.9)</w:t>
            </w:r>
          </w:p>
        </w:tc>
        <w:tc>
          <w:tcPr>
            <w:tcW w:w="532" w:type="dxa"/>
            <w:shd w:val="clear" w:color="auto" w:fill="A5A5A5" w:themeFill="accent3"/>
          </w:tcPr>
          <w:p w14:paraId="337DCA3F" w14:textId="77777777" w:rsidR="00F53CB4" w:rsidRPr="006A1EC7" w:rsidRDefault="00F53CB4" w:rsidP="00AC2435">
            <w:pPr>
              <w:spacing w:line="360" w:lineRule="auto"/>
              <w:rPr>
                <w:b/>
                <w:bCs/>
                <w:sz w:val="18"/>
              </w:rPr>
            </w:pPr>
            <w:r w:rsidRPr="006A1EC7">
              <w:rPr>
                <w:sz w:val="18"/>
              </w:rPr>
              <w:t>p &lt;.001</w:t>
            </w:r>
          </w:p>
        </w:tc>
      </w:tr>
      <w:tr w:rsidR="00F53CB4" w:rsidRPr="006A1EC7" w14:paraId="43E6F186" w14:textId="77777777" w:rsidTr="00AC2435">
        <w:tc>
          <w:tcPr>
            <w:tcW w:w="5240" w:type="dxa"/>
          </w:tcPr>
          <w:p w14:paraId="411524E9" w14:textId="77777777" w:rsidR="00F53CB4" w:rsidRPr="006A1EC7" w:rsidRDefault="00F53CB4" w:rsidP="00AC2435">
            <w:pPr>
              <w:spacing w:line="360" w:lineRule="auto"/>
              <w:rPr>
                <w:sz w:val="18"/>
              </w:rPr>
            </w:pPr>
            <w:r w:rsidRPr="006A1EC7">
              <w:rPr>
                <w:b/>
                <w:bCs/>
                <w:sz w:val="18"/>
              </w:rPr>
              <w:t>Hypothesis 12:</w:t>
            </w:r>
            <w:r w:rsidRPr="006A1EC7">
              <w:rPr>
                <w:sz w:val="18"/>
              </w:rPr>
              <w:t xml:space="preserve"> Alessandro Gastro (T1, T2) &gt; Bronagh Gastro (T1, T2)</w:t>
            </w:r>
          </w:p>
          <w:p w14:paraId="6335CAFF" w14:textId="77777777" w:rsidR="00F53CB4" w:rsidRPr="006A1EC7" w:rsidRDefault="00F53CB4" w:rsidP="00AC2435">
            <w:pPr>
              <w:jc w:val="center"/>
              <w:rPr>
                <w:sz w:val="18"/>
                <w:highlight w:val="yellow"/>
                <w:u w:val="single"/>
              </w:rPr>
            </w:pPr>
          </w:p>
        </w:tc>
        <w:tc>
          <w:tcPr>
            <w:tcW w:w="9356" w:type="dxa"/>
          </w:tcPr>
          <w:p w14:paraId="21B97600" w14:textId="77777777" w:rsidR="00F53CB4" w:rsidRPr="006A1EC7" w:rsidRDefault="00F53CB4" w:rsidP="00AC2435">
            <w:pPr>
              <w:spacing w:line="360" w:lineRule="auto"/>
              <w:rPr>
                <w:sz w:val="18"/>
              </w:rPr>
            </w:pPr>
            <w:r w:rsidRPr="006A1EC7">
              <w:rPr>
                <w:sz w:val="18"/>
              </w:rPr>
              <w:t>Alessandro Gastro (T1 mean: 21.0, T2 mean: 20.6) &gt; Bronagh Gastro (T1 mean: 9.28, T2 mean: 7.8)</w:t>
            </w:r>
          </w:p>
        </w:tc>
        <w:tc>
          <w:tcPr>
            <w:tcW w:w="532" w:type="dxa"/>
            <w:shd w:val="clear" w:color="auto" w:fill="A5A5A5" w:themeFill="accent3"/>
          </w:tcPr>
          <w:p w14:paraId="62F09DE9" w14:textId="77777777" w:rsidR="00F53CB4" w:rsidRPr="006A1EC7" w:rsidRDefault="00F53CB4" w:rsidP="00AC2435">
            <w:pPr>
              <w:spacing w:line="360" w:lineRule="auto"/>
              <w:rPr>
                <w:b/>
                <w:bCs/>
                <w:sz w:val="18"/>
              </w:rPr>
            </w:pPr>
            <w:r w:rsidRPr="006A1EC7">
              <w:rPr>
                <w:sz w:val="18"/>
              </w:rPr>
              <w:t>p &lt;.001</w:t>
            </w:r>
          </w:p>
        </w:tc>
      </w:tr>
      <w:tr w:rsidR="00F53CB4" w:rsidRPr="006A1EC7" w14:paraId="6E239D7E" w14:textId="77777777" w:rsidTr="00AC2435">
        <w:tc>
          <w:tcPr>
            <w:tcW w:w="5240" w:type="dxa"/>
          </w:tcPr>
          <w:p w14:paraId="0DCC8184" w14:textId="77777777" w:rsidR="00F53CB4" w:rsidRPr="006A1EC7" w:rsidRDefault="00F53CB4" w:rsidP="00AC2435">
            <w:pPr>
              <w:jc w:val="center"/>
              <w:rPr>
                <w:sz w:val="18"/>
                <w:highlight w:val="yellow"/>
                <w:u w:val="single"/>
              </w:rPr>
            </w:pPr>
            <w:r w:rsidRPr="006A1EC7">
              <w:rPr>
                <w:b/>
                <w:bCs/>
                <w:sz w:val="18"/>
              </w:rPr>
              <w:t>Hypothesis 13:</w:t>
            </w:r>
            <w:r w:rsidRPr="006A1EC7">
              <w:rPr>
                <w:sz w:val="18"/>
              </w:rPr>
              <w:t xml:space="preserve"> Joshua Gastro (T1, T2) &gt; Bronagh Gastro (T1, T2)</w:t>
            </w:r>
          </w:p>
        </w:tc>
        <w:tc>
          <w:tcPr>
            <w:tcW w:w="9356" w:type="dxa"/>
          </w:tcPr>
          <w:p w14:paraId="799164A4" w14:textId="77777777" w:rsidR="00F53CB4" w:rsidRPr="006A1EC7" w:rsidRDefault="00F53CB4" w:rsidP="00AC2435">
            <w:pPr>
              <w:spacing w:line="360" w:lineRule="auto"/>
              <w:rPr>
                <w:sz w:val="18"/>
              </w:rPr>
            </w:pPr>
            <w:r w:rsidRPr="006A1EC7">
              <w:rPr>
                <w:sz w:val="18"/>
              </w:rPr>
              <w:t>Joshua Gastro (T1 mean:17.5, T2 mean: 17.1) &gt; Bronagh Gastro (T1 mean: 9.28, T2 mean: 7.8)</w:t>
            </w:r>
          </w:p>
        </w:tc>
        <w:tc>
          <w:tcPr>
            <w:tcW w:w="532" w:type="dxa"/>
            <w:shd w:val="clear" w:color="auto" w:fill="A5A5A5" w:themeFill="accent3"/>
          </w:tcPr>
          <w:p w14:paraId="59CED08D" w14:textId="77777777" w:rsidR="00F53CB4" w:rsidRPr="006A1EC7" w:rsidRDefault="00F53CB4" w:rsidP="00AC2435">
            <w:pPr>
              <w:spacing w:line="360" w:lineRule="auto"/>
              <w:rPr>
                <w:b/>
                <w:bCs/>
                <w:sz w:val="18"/>
              </w:rPr>
            </w:pPr>
            <w:r w:rsidRPr="006A1EC7">
              <w:rPr>
                <w:sz w:val="18"/>
              </w:rPr>
              <w:t>p &lt;.001</w:t>
            </w:r>
          </w:p>
        </w:tc>
      </w:tr>
      <w:tr w:rsidR="00F53CB4" w:rsidRPr="006A1EC7" w14:paraId="20DB3B89" w14:textId="77777777" w:rsidTr="00AC2435">
        <w:tc>
          <w:tcPr>
            <w:tcW w:w="5240" w:type="dxa"/>
          </w:tcPr>
          <w:p w14:paraId="675DD6AB" w14:textId="77777777" w:rsidR="00F53CB4" w:rsidRPr="006A1EC7" w:rsidRDefault="00F53CB4" w:rsidP="00AC2435">
            <w:pPr>
              <w:rPr>
                <w:sz w:val="18"/>
                <w:highlight w:val="yellow"/>
                <w:u w:val="single"/>
              </w:rPr>
            </w:pPr>
            <w:r w:rsidRPr="006A1EC7">
              <w:rPr>
                <w:b/>
                <w:bCs/>
                <w:sz w:val="18"/>
              </w:rPr>
              <w:t>Hypothesis 14:</w:t>
            </w:r>
            <w:r w:rsidRPr="006A1EC7">
              <w:rPr>
                <w:sz w:val="18"/>
              </w:rPr>
              <w:t xml:space="preserve"> Emma Gastro (T1, T2) &lt; Alessandro Gastro (T1, T2)</w:t>
            </w:r>
          </w:p>
        </w:tc>
        <w:tc>
          <w:tcPr>
            <w:tcW w:w="9356" w:type="dxa"/>
          </w:tcPr>
          <w:p w14:paraId="16014D8B" w14:textId="77777777" w:rsidR="00F53CB4" w:rsidRPr="006A1EC7" w:rsidRDefault="00F53CB4" w:rsidP="00AC2435">
            <w:pPr>
              <w:spacing w:line="360" w:lineRule="auto"/>
              <w:rPr>
                <w:sz w:val="18"/>
              </w:rPr>
            </w:pPr>
            <w:r w:rsidRPr="006A1EC7">
              <w:rPr>
                <w:sz w:val="18"/>
              </w:rPr>
              <w:t>Emma Gastro (T1 mean: 18.5, T2 mean: 16.4) &lt; Alessandro Gastro (T1 mean: 21.0, T2 mean: 20.6)</w:t>
            </w:r>
          </w:p>
        </w:tc>
        <w:tc>
          <w:tcPr>
            <w:tcW w:w="532" w:type="dxa"/>
            <w:shd w:val="clear" w:color="auto" w:fill="auto"/>
          </w:tcPr>
          <w:p w14:paraId="4B0884CB" w14:textId="77777777" w:rsidR="00F53CB4" w:rsidRPr="006A1EC7" w:rsidRDefault="00F53CB4" w:rsidP="00AC2435">
            <w:pPr>
              <w:spacing w:line="360" w:lineRule="auto"/>
              <w:rPr>
                <w:b/>
                <w:bCs/>
                <w:sz w:val="18"/>
              </w:rPr>
            </w:pPr>
            <w:r w:rsidRPr="006A1EC7">
              <w:rPr>
                <w:b/>
                <w:bCs/>
                <w:sz w:val="18"/>
              </w:rPr>
              <w:t>.002</w:t>
            </w:r>
          </w:p>
        </w:tc>
      </w:tr>
      <w:tr w:rsidR="00F53CB4" w:rsidRPr="006A1EC7" w14:paraId="5AF13870" w14:textId="77777777" w:rsidTr="00AC2435">
        <w:tc>
          <w:tcPr>
            <w:tcW w:w="5240" w:type="dxa"/>
          </w:tcPr>
          <w:p w14:paraId="1587BDCE" w14:textId="77777777" w:rsidR="00F53CB4" w:rsidRPr="006A1EC7" w:rsidRDefault="00F53CB4" w:rsidP="00AC2435">
            <w:pPr>
              <w:spacing w:line="360" w:lineRule="auto"/>
              <w:jc w:val="center"/>
              <w:rPr>
                <w:sz w:val="18"/>
                <w:highlight w:val="yellow"/>
                <w:u w:val="single"/>
              </w:rPr>
            </w:pPr>
          </w:p>
        </w:tc>
        <w:tc>
          <w:tcPr>
            <w:tcW w:w="9356" w:type="dxa"/>
            <w:shd w:val="clear" w:color="auto" w:fill="D9E2F3" w:themeFill="accent1" w:themeFillTint="33"/>
          </w:tcPr>
          <w:p w14:paraId="138942CF" w14:textId="77777777" w:rsidR="00F53CB4" w:rsidRPr="006A1EC7" w:rsidRDefault="00F53CB4" w:rsidP="00AC2435">
            <w:pPr>
              <w:spacing w:line="360" w:lineRule="auto"/>
              <w:jc w:val="center"/>
              <w:rPr>
                <w:b/>
                <w:sz w:val="18"/>
                <w:u w:val="single"/>
              </w:rPr>
            </w:pPr>
            <w:r w:rsidRPr="006A1EC7">
              <w:rPr>
                <w:b/>
                <w:sz w:val="18"/>
                <w:u w:val="single"/>
              </w:rPr>
              <w:t xml:space="preserve">Hypotheses regarding Cardio Score (n = 3) </w:t>
            </w:r>
          </w:p>
          <w:p w14:paraId="13D4B0CE" w14:textId="77777777" w:rsidR="00F53CB4" w:rsidRPr="006A1EC7" w:rsidRDefault="00F53CB4" w:rsidP="00AC2435">
            <w:pPr>
              <w:spacing w:line="360" w:lineRule="auto"/>
              <w:rPr>
                <w:sz w:val="18"/>
              </w:rPr>
            </w:pPr>
          </w:p>
        </w:tc>
        <w:tc>
          <w:tcPr>
            <w:tcW w:w="532" w:type="dxa"/>
          </w:tcPr>
          <w:p w14:paraId="618F8BC0" w14:textId="77777777" w:rsidR="00F53CB4" w:rsidRPr="006A1EC7" w:rsidRDefault="00F53CB4" w:rsidP="00AC2435">
            <w:pPr>
              <w:spacing w:line="360" w:lineRule="auto"/>
              <w:rPr>
                <w:b/>
                <w:bCs/>
                <w:sz w:val="18"/>
              </w:rPr>
            </w:pPr>
          </w:p>
        </w:tc>
      </w:tr>
      <w:tr w:rsidR="00F53CB4" w:rsidRPr="006A1EC7" w14:paraId="310B294D" w14:textId="77777777" w:rsidTr="00AC2435">
        <w:tc>
          <w:tcPr>
            <w:tcW w:w="5240" w:type="dxa"/>
          </w:tcPr>
          <w:p w14:paraId="730F0BE8" w14:textId="77777777" w:rsidR="00F53CB4" w:rsidRPr="006A1EC7" w:rsidRDefault="00F53CB4" w:rsidP="00AC2435">
            <w:pPr>
              <w:spacing w:line="360" w:lineRule="auto"/>
              <w:rPr>
                <w:sz w:val="18"/>
              </w:rPr>
            </w:pPr>
            <w:r w:rsidRPr="006A1EC7">
              <w:rPr>
                <w:b/>
                <w:bCs/>
                <w:sz w:val="18"/>
              </w:rPr>
              <w:lastRenderedPageBreak/>
              <w:t>Hypothesis 15:</w:t>
            </w:r>
            <w:r w:rsidRPr="006A1EC7">
              <w:rPr>
                <w:sz w:val="18"/>
              </w:rPr>
              <w:t xml:space="preserve"> Joshua Cardio (T1, T2) &lt; Bronagh Cardio (T1, T2)</w:t>
            </w:r>
          </w:p>
          <w:p w14:paraId="2348C0B7" w14:textId="77777777" w:rsidR="00F53CB4" w:rsidRPr="006A1EC7" w:rsidRDefault="00F53CB4" w:rsidP="00AC2435">
            <w:pPr>
              <w:rPr>
                <w:sz w:val="18"/>
                <w:highlight w:val="yellow"/>
                <w:u w:val="single"/>
              </w:rPr>
            </w:pPr>
          </w:p>
        </w:tc>
        <w:tc>
          <w:tcPr>
            <w:tcW w:w="9356" w:type="dxa"/>
          </w:tcPr>
          <w:p w14:paraId="3915E2A8" w14:textId="77777777" w:rsidR="00F53CB4" w:rsidRPr="006A1EC7" w:rsidRDefault="00F53CB4" w:rsidP="00AC2435">
            <w:pPr>
              <w:spacing w:line="360" w:lineRule="auto"/>
              <w:rPr>
                <w:sz w:val="18"/>
              </w:rPr>
            </w:pPr>
            <w:r w:rsidRPr="006A1EC7">
              <w:rPr>
                <w:sz w:val="18"/>
              </w:rPr>
              <w:t>Joshua Cardio (T1 mean: .61, T2 mean: .33) &lt; Bronagh Cardio (T1 mean: 3.2, T2 mean: 3.2)</w:t>
            </w:r>
          </w:p>
        </w:tc>
        <w:tc>
          <w:tcPr>
            <w:tcW w:w="532" w:type="dxa"/>
            <w:shd w:val="clear" w:color="auto" w:fill="A5A5A5" w:themeFill="accent3"/>
          </w:tcPr>
          <w:p w14:paraId="17A50706" w14:textId="77777777" w:rsidR="00F53CB4" w:rsidRPr="006A1EC7" w:rsidRDefault="00F53CB4" w:rsidP="00AC2435">
            <w:pPr>
              <w:spacing w:line="360" w:lineRule="auto"/>
              <w:rPr>
                <w:b/>
                <w:bCs/>
                <w:sz w:val="18"/>
              </w:rPr>
            </w:pPr>
            <w:r w:rsidRPr="006A1EC7">
              <w:rPr>
                <w:sz w:val="18"/>
              </w:rPr>
              <w:t>p &lt;.001</w:t>
            </w:r>
          </w:p>
        </w:tc>
      </w:tr>
      <w:tr w:rsidR="00F53CB4" w:rsidRPr="006A1EC7" w14:paraId="3E00A63B" w14:textId="77777777" w:rsidTr="00AC2435">
        <w:tc>
          <w:tcPr>
            <w:tcW w:w="5240" w:type="dxa"/>
          </w:tcPr>
          <w:p w14:paraId="143C4AB0" w14:textId="77777777" w:rsidR="00F53CB4" w:rsidRPr="006A1EC7" w:rsidRDefault="00F53CB4" w:rsidP="00AC2435">
            <w:pPr>
              <w:spacing w:line="360" w:lineRule="auto"/>
              <w:rPr>
                <w:sz w:val="18"/>
              </w:rPr>
            </w:pPr>
            <w:r w:rsidRPr="006A1EC7">
              <w:rPr>
                <w:b/>
                <w:bCs/>
                <w:sz w:val="18"/>
              </w:rPr>
              <w:t xml:space="preserve">Hypothesis 16: </w:t>
            </w:r>
            <w:r w:rsidRPr="006A1EC7">
              <w:rPr>
                <w:sz w:val="18"/>
              </w:rPr>
              <w:t>Fineen Cardio (T1, T2) &lt; Joshua Cardio (T1, T2)</w:t>
            </w:r>
          </w:p>
          <w:p w14:paraId="680A0200" w14:textId="77777777" w:rsidR="00F53CB4" w:rsidRPr="006A1EC7" w:rsidRDefault="00F53CB4" w:rsidP="00AC2435">
            <w:pPr>
              <w:rPr>
                <w:sz w:val="18"/>
                <w:highlight w:val="yellow"/>
                <w:u w:val="single"/>
              </w:rPr>
            </w:pPr>
          </w:p>
        </w:tc>
        <w:tc>
          <w:tcPr>
            <w:tcW w:w="9356" w:type="dxa"/>
          </w:tcPr>
          <w:p w14:paraId="62FB9F73" w14:textId="77777777" w:rsidR="00F53CB4" w:rsidRPr="006A1EC7" w:rsidRDefault="00F53CB4" w:rsidP="00AC2435">
            <w:pPr>
              <w:spacing w:line="360" w:lineRule="auto"/>
              <w:rPr>
                <w:b/>
                <w:bCs/>
                <w:sz w:val="18"/>
              </w:rPr>
            </w:pPr>
            <w:r w:rsidRPr="006A1EC7">
              <w:rPr>
                <w:sz w:val="18"/>
              </w:rPr>
              <w:t>Fineen Cardio (T1 mean: 4.5, T2 mean: 4.5) &lt; Joshua Cardio (T1 mean: .61, T2 mean: .33)</w:t>
            </w:r>
          </w:p>
          <w:p w14:paraId="6A20FCBB" w14:textId="77777777" w:rsidR="00F53CB4" w:rsidRPr="006A1EC7" w:rsidRDefault="00F53CB4" w:rsidP="00AC2435">
            <w:pPr>
              <w:spacing w:line="360" w:lineRule="auto"/>
              <w:rPr>
                <w:sz w:val="18"/>
              </w:rPr>
            </w:pPr>
          </w:p>
        </w:tc>
        <w:tc>
          <w:tcPr>
            <w:tcW w:w="532" w:type="dxa"/>
            <w:shd w:val="clear" w:color="auto" w:fill="A5A5A5" w:themeFill="accent3"/>
          </w:tcPr>
          <w:p w14:paraId="0E8C78BD" w14:textId="77777777" w:rsidR="00F53CB4" w:rsidRPr="006A1EC7" w:rsidRDefault="00F53CB4" w:rsidP="00AC2435">
            <w:pPr>
              <w:spacing w:line="360" w:lineRule="auto"/>
              <w:rPr>
                <w:b/>
                <w:bCs/>
                <w:sz w:val="18"/>
              </w:rPr>
            </w:pPr>
            <w:r w:rsidRPr="006A1EC7">
              <w:rPr>
                <w:sz w:val="18"/>
              </w:rPr>
              <w:t>p &lt;.001</w:t>
            </w:r>
          </w:p>
        </w:tc>
      </w:tr>
      <w:tr w:rsidR="00F53CB4" w:rsidRPr="006A1EC7" w14:paraId="21FE494E" w14:textId="77777777" w:rsidTr="00AC2435">
        <w:tc>
          <w:tcPr>
            <w:tcW w:w="5240" w:type="dxa"/>
          </w:tcPr>
          <w:p w14:paraId="39F5E86C" w14:textId="77777777" w:rsidR="00F53CB4" w:rsidRPr="006A1EC7" w:rsidRDefault="00F53CB4" w:rsidP="00AC2435">
            <w:pPr>
              <w:spacing w:line="360" w:lineRule="auto"/>
              <w:rPr>
                <w:sz w:val="18"/>
              </w:rPr>
            </w:pPr>
            <w:r w:rsidRPr="006A1EC7">
              <w:rPr>
                <w:b/>
                <w:bCs/>
                <w:sz w:val="18"/>
              </w:rPr>
              <w:t xml:space="preserve">Hypothesis 17: </w:t>
            </w:r>
            <w:r w:rsidRPr="006A1EC7">
              <w:rPr>
                <w:sz w:val="18"/>
              </w:rPr>
              <w:t>Emma Cardio</w:t>
            </w:r>
            <w:r w:rsidRPr="006A1EC7">
              <w:rPr>
                <w:b/>
                <w:bCs/>
                <w:sz w:val="18"/>
              </w:rPr>
              <w:t xml:space="preserve">  </w:t>
            </w:r>
            <w:r w:rsidRPr="006A1EC7">
              <w:rPr>
                <w:sz w:val="18"/>
              </w:rPr>
              <w:t>(T1, T2) &lt; Alessandro Cardio (T1, T2)</w:t>
            </w:r>
          </w:p>
          <w:p w14:paraId="29E2398C" w14:textId="77777777" w:rsidR="00F53CB4" w:rsidRPr="006A1EC7" w:rsidRDefault="00F53CB4" w:rsidP="00AC2435">
            <w:pPr>
              <w:rPr>
                <w:sz w:val="18"/>
                <w:highlight w:val="yellow"/>
                <w:u w:val="single"/>
              </w:rPr>
            </w:pPr>
          </w:p>
        </w:tc>
        <w:tc>
          <w:tcPr>
            <w:tcW w:w="9356" w:type="dxa"/>
          </w:tcPr>
          <w:p w14:paraId="66C6802E" w14:textId="77777777" w:rsidR="00F53CB4" w:rsidRPr="006A1EC7" w:rsidRDefault="00F53CB4" w:rsidP="00AC2435">
            <w:pPr>
              <w:spacing w:line="360" w:lineRule="auto"/>
              <w:rPr>
                <w:sz w:val="18"/>
              </w:rPr>
            </w:pPr>
            <w:r w:rsidRPr="006A1EC7">
              <w:rPr>
                <w:sz w:val="18"/>
              </w:rPr>
              <w:t>Emma</w:t>
            </w:r>
            <w:r w:rsidRPr="006A1EC7">
              <w:rPr>
                <w:b/>
                <w:bCs/>
                <w:sz w:val="18"/>
              </w:rPr>
              <w:t xml:space="preserve"> </w:t>
            </w:r>
            <w:r w:rsidRPr="006A1EC7">
              <w:rPr>
                <w:sz w:val="18"/>
              </w:rPr>
              <w:t>(T1 mean: 3.8 , T2 mean: 3.4) &lt; Alessandro Cardio (T1 mean: 5.0, T2 mean: 5.1)</w:t>
            </w:r>
          </w:p>
        </w:tc>
        <w:tc>
          <w:tcPr>
            <w:tcW w:w="532" w:type="dxa"/>
            <w:shd w:val="clear" w:color="auto" w:fill="A5A5A5" w:themeFill="accent3"/>
          </w:tcPr>
          <w:p w14:paraId="68305A1F" w14:textId="77777777" w:rsidR="00F53CB4" w:rsidRPr="006A1EC7" w:rsidRDefault="00F53CB4" w:rsidP="00AC2435">
            <w:pPr>
              <w:spacing w:line="360" w:lineRule="auto"/>
              <w:rPr>
                <w:b/>
                <w:bCs/>
                <w:sz w:val="18"/>
              </w:rPr>
            </w:pPr>
            <w:r w:rsidRPr="006A1EC7">
              <w:rPr>
                <w:sz w:val="18"/>
              </w:rPr>
              <w:t>p &lt;.001</w:t>
            </w:r>
          </w:p>
        </w:tc>
      </w:tr>
      <w:tr w:rsidR="00F53CB4" w:rsidRPr="006A1EC7" w14:paraId="5473CCCD" w14:textId="77777777" w:rsidTr="00AC2435">
        <w:tc>
          <w:tcPr>
            <w:tcW w:w="5240" w:type="dxa"/>
          </w:tcPr>
          <w:p w14:paraId="334EFA59" w14:textId="77777777" w:rsidR="00F53CB4" w:rsidRPr="006A1EC7" w:rsidRDefault="00F53CB4" w:rsidP="00AC2435">
            <w:pPr>
              <w:spacing w:line="360" w:lineRule="auto"/>
              <w:rPr>
                <w:sz w:val="18"/>
                <w:highlight w:val="yellow"/>
                <w:u w:val="single"/>
              </w:rPr>
            </w:pPr>
          </w:p>
        </w:tc>
        <w:tc>
          <w:tcPr>
            <w:tcW w:w="9356" w:type="dxa"/>
            <w:shd w:val="clear" w:color="auto" w:fill="D9E2F3" w:themeFill="accent1" w:themeFillTint="33"/>
          </w:tcPr>
          <w:p w14:paraId="77E6E6F8" w14:textId="77777777" w:rsidR="00F53CB4" w:rsidRPr="006A1EC7" w:rsidRDefault="00F53CB4" w:rsidP="00AC2435">
            <w:pPr>
              <w:spacing w:line="360" w:lineRule="auto"/>
              <w:rPr>
                <w:b/>
                <w:sz w:val="18"/>
                <w:u w:val="single"/>
              </w:rPr>
            </w:pPr>
            <w:r w:rsidRPr="006A1EC7">
              <w:rPr>
                <w:b/>
                <w:sz w:val="18"/>
                <w:u w:val="single"/>
              </w:rPr>
              <w:t xml:space="preserve">Hypotheses regarding CNS Score (n = 3) </w:t>
            </w:r>
          </w:p>
          <w:p w14:paraId="7037B299" w14:textId="77777777" w:rsidR="00F53CB4" w:rsidRPr="006A1EC7" w:rsidRDefault="00F53CB4" w:rsidP="00AC2435">
            <w:pPr>
              <w:spacing w:line="360" w:lineRule="auto"/>
              <w:rPr>
                <w:sz w:val="18"/>
              </w:rPr>
            </w:pPr>
          </w:p>
        </w:tc>
        <w:tc>
          <w:tcPr>
            <w:tcW w:w="532" w:type="dxa"/>
          </w:tcPr>
          <w:p w14:paraId="23CB9730" w14:textId="77777777" w:rsidR="00F53CB4" w:rsidRPr="006A1EC7" w:rsidRDefault="00F53CB4" w:rsidP="00AC2435">
            <w:pPr>
              <w:spacing w:line="360" w:lineRule="auto"/>
              <w:rPr>
                <w:b/>
                <w:bCs/>
                <w:sz w:val="18"/>
              </w:rPr>
            </w:pPr>
          </w:p>
        </w:tc>
      </w:tr>
      <w:tr w:rsidR="00F53CB4" w:rsidRPr="006A1EC7" w14:paraId="7B7EB64E" w14:textId="77777777" w:rsidTr="00AC2435">
        <w:tc>
          <w:tcPr>
            <w:tcW w:w="5240" w:type="dxa"/>
          </w:tcPr>
          <w:p w14:paraId="7984AF6F" w14:textId="77777777" w:rsidR="00F53CB4" w:rsidRPr="006A1EC7" w:rsidRDefault="00F53CB4" w:rsidP="00AC2435">
            <w:pPr>
              <w:spacing w:line="360" w:lineRule="auto"/>
              <w:rPr>
                <w:sz w:val="18"/>
              </w:rPr>
            </w:pPr>
            <w:r w:rsidRPr="006A1EC7">
              <w:rPr>
                <w:b/>
                <w:bCs/>
                <w:sz w:val="18"/>
              </w:rPr>
              <w:t>Hypothesis 18</w:t>
            </w:r>
            <w:r w:rsidRPr="006A1EC7">
              <w:rPr>
                <w:sz w:val="18"/>
              </w:rPr>
              <w:t>: Alessandro CNS (T1, T2) &gt; Bronagh CNS (T1, T2)</w:t>
            </w:r>
          </w:p>
          <w:p w14:paraId="724B22CB" w14:textId="77777777" w:rsidR="00F53CB4" w:rsidRPr="006A1EC7" w:rsidRDefault="00F53CB4" w:rsidP="00AC2435">
            <w:pPr>
              <w:rPr>
                <w:sz w:val="18"/>
                <w:highlight w:val="yellow"/>
                <w:u w:val="single"/>
              </w:rPr>
            </w:pPr>
          </w:p>
        </w:tc>
        <w:tc>
          <w:tcPr>
            <w:tcW w:w="9356" w:type="dxa"/>
          </w:tcPr>
          <w:p w14:paraId="4782AE1F" w14:textId="77777777" w:rsidR="00F53CB4" w:rsidRPr="006A1EC7" w:rsidRDefault="00F53CB4" w:rsidP="00AC2435">
            <w:pPr>
              <w:spacing w:line="360" w:lineRule="auto"/>
              <w:rPr>
                <w:sz w:val="18"/>
              </w:rPr>
            </w:pPr>
            <w:r w:rsidRPr="006A1EC7">
              <w:rPr>
                <w:sz w:val="18"/>
              </w:rPr>
              <w:t>Alessandro CNS (T1 mean: 15.0, T2 mean: 14.7) &gt; Bronagh CNS (T1 mean: .78, T2 mean: .4)</w:t>
            </w:r>
          </w:p>
        </w:tc>
        <w:tc>
          <w:tcPr>
            <w:tcW w:w="532" w:type="dxa"/>
            <w:shd w:val="clear" w:color="auto" w:fill="A5A5A5" w:themeFill="accent3"/>
          </w:tcPr>
          <w:p w14:paraId="7B5EB625" w14:textId="77777777" w:rsidR="00F53CB4" w:rsidRPr="006A1EC7" w:rsidRDefault="00F53CB4" w:rsidP="00AC2435">
            <w:pPr>
              <w:spacing w:line="360" w:lineRule="auto"/>
              <w:rPr>
                <w:b/>
                <w:bCs/>
                <w:sz w:val="18"/>
              </w:rPr>
            </w:pPr>
            <w:r w:rsidRPr="006A1EC7">
              <w:rPr>
                <w:sz w:val="18"/>
              </w:rPr>
              <w:t>p &lt;.001</w:t>
            </w:r>
          </w:p>
        </w:tc>
      </w:tr>
      <w:tr w:rsidR="00F53CB4" w:rsidRPr="006A1EC7" w14:paraId="3828AA3A" w14:textId="77777777" w:rsidTr="00AC2435">
        <w:tc>
          <w:tcPr>
            <w:tcW w:w="5240" w:type="dxa"/>
          </w:tcPr>
          <w:p w14:paraId="4724BAC2" w14:textId="77777777" w:rsidR="00F53CB4" w:rsidRPr="006A1EC7" w:rsidRDefault="00F53CB4" w:rsidP="00AC2435">
            <w:pPr>
              <w:spacing w:line="360" w:lineRule="auto"/>
              <w:rPr>
                <w:sz w:val="18"/>
              </w:rPr>
            </w:pPr>
            <w:r w:rsidRPr="006A1EC7">
              <w:rPr>
                <w:b/>
                <w:bCs/>
                <w:sz w:val="18"/>
              </w:rPr>
              <w:t>Hypothesis 19:</w:t>
            </w:r>
            <w:r w:rsidRPr="006A1EC7">
              <w:rPr>
                <w:sz w:val="18"/>
              </w:rPr>
              <w:t xml:space="preserve"> Joshua CNS (T1, T2) &gt; Fineen CNS (T1, T2)</w:t>
            </w:r>
          </w:p>
          <w:p w14:paraId="671D7805" w14:textId="77777777" w:rsidR="00F53CB4" w:rsidRPr="006A1EC7" w:rsidRDefault="00F53CB4" w:rsidP="00AC2435">
            <w:pPr>
              <w:spacing w:line="360" w:lineRule="auto"/>
              <w:rPr>
                <w:b/>
                <w:bCs/>
                <w:sz w:val="18"/>
              </w:rPr>
            </w:pPr>
          </w:p>
        </w:tc>
        <w:tc>
          <w:tcPr>
            <w:tcW w:w="9356" w:type="dxa"/>
          </w:tcPr>
          <w:p w14:paraId="709245F5" w14:textId="77777777" w:rsidR="00F53CB4" w:rsidRPr="006A1EC7" w:rsidRDefault="00F53CB4" w:rsidP="00AC2435">
            <w:pPr>
              <w:spacing w:line="360" w:lineRule="auto"/>
              <w:rPr>
                <w:sz w:val="18"/>
              </w:rPr>
            </w:pPr>
            <w:r w:rsidRPr="006A1EC7">
              <w:rPr>
                <w:sz w:val="18"/>
              </w:rPr>
              <w:t>Joshua CNS (T1 mean: 11.7 T2 mean: 12.1) &gt; Fineen CNS (T1 mean: 4.5, T2 mean: 4.1)</w:t>
            </w:r>
          </w:p>
        </w:tc>
        <w:tc>
          <w:tcPr>
            <w:tcW w:w="532" w:type="dxa"/>
            <w:shd w:val="clear" w:color="auto" w:fill="A5A5A5" w:themeFill="accent3"/>
          </w:tcPr>
          <w:p w14:paraId="3692C8A8" w14:textId="77777777" w:rsidR="00F53CB4" w:rsidRPr="006A1EC7" w:rsidRDefault="00F53CB4" w:rsidP="00AC2435">
            <w:pPr>
              <w:spacing w:line="360" w:lineRule="auto"/>
              <w:rPr>
                <w:b/>
                <w:bCs/>
                <w:sz w:val="18"/>
              </w:rPr>
            </w:pPr>
            <w:r w:rsidRPr="006A1EC7">
              <w:rPr>
                <w:sz w:val="18"/>
              </w:rPr>
              <w:t>p &lt;.001</w:t>
            </w:r>
          </w:p>
        </w:tc>
      </w:tr>
      <w:tr w:rsidR="00F53CB4" w:rsidRPr="006A1EC7" w14:paraId="2D3F6942" w14:textId="77777777" w:rsidTr="00AC2435">
        <w:tc>
          <w:tcPr>
            <w:tcW w:w="5240" w:type="dxa"/>
          </w:tcPr>
          <w:p w14:paraId="0B173AB5" w14:textId="77777777" w:rsidR="00F53CB4" w:rsidRPr="006A1EC7" w:rsidRDefault="00F53CB4" w:rsidP="00AC2435">
            <w:pPr>
              <w:spacing w:line="360" w:lineRule="auto"/>
              <w:rPr>
                <w:sz w:val="18"/>
              </w:rPr>
            </w:pPr>
            <w:r w:rsidRPr="006A1EC7">
              <w:rPr>
                <w:b/>
                <w:bCs/>
                <w:sz w:val="18"/>
              </w:rPr>
              <w:t>Hypothesis 20</w:t>
            </w:r>
            <w:r w:rsidRPr="006A1EC7">
              <w:rPr>
                <w:sz w:val="18"/>
              </w:rPr>
              <w:t>: Emma CNS (T1, T2) &lt; Alessandro CNS (T1, T2)</w:t>
            </w:r>
          </w:p>
          <w:p w14:paraId="1533D7BF" w14:textId="77777777" w:rsidR="00F53CB4" w:rsidRPr="006A1EC7" w:rsidRDefault="00F53CB4" w:rsidP="00AC2435">
            <w:pPr>
              <w:spacing w:line="360" w:lineRule="auto"/>
              <w:rPr>
                <w:b/>
                <w:bCs/>
                <w:sz w:val="18"/>
              </w:rPr>
            </w:pPr>
          </w:p>
        </w:tc>
        <w:tc>
          <w:tcPr>
            <w:tcW w:w="9356" w:type="dxa"/>
          </w:tcPr>
          <w:p w14:paraId="00E87163" w14:textId="77777777" w:rsidR="00F53CB4" w:rsidRPr="006A1EC7" w:rsidRDefault="00F53CB4" w:rsidP="00AC2435">
            <w:pPr>
              <w:spacing w:line="360" w:lineRule="auto"/>
              <w:rPr>
                <w:sz w:val="18"/>
              </w:rPr>
            </w:pPr>
            <w:r w:rsidRPr="006A1EC7">
              <w:rPr>
                <w:sz w:val="18"/>
              </w:rPr>
              <w:t>Emma CNS (T1 mean: 2.5, T2 mean: 1.4) &lt; Alessandro CNS (T1 mean: 15.0, T2 mean: 14.7)</w:t>
            </w:r>
          </w:p>
        </w:tc>
        <w:tc>
          <w:tcPr>
            <w:tcW w:w="532" w:type="dxa"/>
            <w:shd w:val="clear" w:color="auto" w:fill="A5A5A5" w:themeFill="accent3"/>
          </w:tcPr>
          <w:p w14:paraId="7052A2E0" w14:textId="77777777" w:rsidR="00F53CB4" w:rsidRPr="006A1EC7" w:rsidRDefault="00F53CB4" w:rsidP="00AC2435">
            <w:pPr>
              <w:spacing w:line="360" w:lineRule="auto"/>
              <w:rPr>
                <w:b/>
                <w:bCs/>
                <w:sz w:val="18"/>
              </w:rPr>
            </w:pPr>
            <w:r w:rsidRPr="006A1EC7">
              <w:rPr>
                <w:sz w:val="18"/>
              </w:rPr>
              <w:t>p &lt;.001</w:t>
            </w:r>
          </w:p>
        </w:tc>
      </w:tr>
      <w:tr w:rsidR="00F53CB4" w:rsidRPr="006A1EC7" w14:paraId="6051D963" w14:textId="77777777" w:rsidTr="00AC2435">
        <w:tc>
          <w:tcPr>
            <w:tcW w:w="5240" w:type="dxa"/>
          </w:tcPr>
          <w:p w14:paraId="74B5CDFC" w14:textId="77777777" w:rsidR="00F53CB4" w:rsidRPr="006A1EC7" w:rsidRDefault="00F53CB4" w:rsidP="00AC2435">
            <w:pPr>
              <w:spacing w:line="360" w:lineRule="auto"/>
              <w:jc w:val="center"/>
              <w:rPr>
                <w:sz w:val="18"/>
                <w:u w:val="single"/>
              </w:rPr>
            </w:pPr>
          </w:p>
        </w:tc>
        <w:tc>
          <w:tcPr>
            <w:tcW w:w="9356" w:type="dxa"/>
            <w:shd w:val="clear" w:color="auto" w:fill="D9E2F3" w:themeFill="accent1" w:themeFillTint="33"/>
          </w:tcPr>
          <w:p w14:paraId="7DAC218C" w14:textId="77777777" w:rsidR="00F53CB4" w:rsidRPr="006A1EC7" w:rsidRDefault="00F53CB4" w:rsidP="00AC2435">
            <w:pPr>
              <w:spacing w:line="360" w:lineRule="auto"/>
              <w:rPr>
                <w:b/>
                <w:sz w:val="18"/>
              </w:rPr>
            </w:pPr>
            <w:r w:rsidRPr="006A1EC7">
              <w:rPr>
                <w:b/>
                <w:sz w:val="18"/>
                <w:u w:val="single"/>
              </w:rPr>
              <w:t>Hypotheses regarding Immunity Score (n = 3)</w:t>
            </w:r>
            <w:r w:rsidRPr="006A1EC7">
              <w:rPr>
                <w:b/>
                <w:bCs/>
                <w:color w:val="222222"/>
                <w:sz w:val="18"/>
              </w:rPr>
              <w:t xml:space="preserve"> </w:t>
            </w:r>
          </w:p>
        </w:tc>
        <w:tc>
          <w:tcPr>
            <w:tcW w:w="532" w:type="dxa"/>
          </w:tcPr>
          <w:p w14:paraId="4F8FF25E" w14:textId="77777777" w:rsidR="00F53CB4" w:rsidRPr="006A1EC7" w:rsidRDefault="00F53CB4" w:rsidP="00AC2435">
            <w:pPr>
              <w:spacing w:line="360" w:lineRule="auto"/>
              <w:rPr>
                <w:b/>
                <w:bCs/>
                <w:sz w:val="18"/>
              </w:rPr>
            </w:pPr>
          </w:p>
        </w:tc>
      </w:tr>
      <w:tr w:rsidR="00F53CB4" w:rsidRPr="006A1EC7" w14:paraId="48FC78FA" w14:textId="77777777" w:rsidTr="00AC2435">
        <w:tc>
          <w:tcPr>
            <w:tcW w:w="5240" w:type="dxa"/>
          </w:tcPr>
          <w:p w14:paraId="3F0D919E" w14:textId="77777777" w:rsidR="00F53CB4" w:rsidRPr="006A1EC7" w:rsidRDefault="00F53CB4" w:rsidP="00AC2435">
            <w:pPr>
              <w:spacing w:line="360" w:lineRule="auto"/>
              <w:rPr>
                <w:sz w:val="18"/>
              </w:rPr>
            </w:pPr>
            <w:r w:rsidRPr="006A1EC7">
              <w:rPr>
                <w:b/>
                <w:bCs/>
                <w:sz w:val="18"/>
              </w:rPr>
              <w:t>Hypothesis 21:</w:t>
            </w:r>
            <w:r w:rsidRPr="006A1EC7">
              <w:rPr>
                <w:sz w:val="18"/>
              </w:rPr>
              <w:t xml:space="preserve"> Alessandro Immunity (T1, T2) &gt; Fineen Immunity (T1, T2)</w:t>
            </w:r>
          </w:p>
          <w:p w14:paraId="06982E66" w14:textId="77777777" w:rsidR="00F53CB4" w:rsidRPr="006A1EC7" w:rsidRDefault="00F53CB4" w:rsidP="00AC2435">
            <w:pPr>
              <w:spacing w:line="360" w:lineRule="auto"/>
              <w:rPr>
                <w:b/>
                <w:bCs/>
                <w:sz w:val="18"/>
              </w:rPr>
            </w:pPr>
          </w:p>
        </w:tc>
        <w:tc>
          <w:tcPr>
            <w:tcW w:w="9356" w:type="dxa"/>
          </w:tcPr>
          <w:p w14:paraId="1738A3EC" w14:textId="77777777" w:rsidR="00F53CB4" w:rsidRPr="006A1EC7" w:rsidRDefault="00F53CB4" w:rsidP="00AC2435">
            <w:pPr>
              <w:spacing w:line="360" w:lineRule="auto"/>
              <w:rPr>
                <w:sz w:val="18"/>
              </w:rPr>
            </w:pPr>
            <w:r w:rsidRPr="006A1EC7">
              <w:rPr>
                <w:sz w:val="18"/>
              </w:rPr>
              <w:t>Alessandro Immunity (T1 mean: 8.7, T2 mean: 8.6) &gt; Fineen Immunity (T1 mean: 3.6 , T2 mean: 2.9 )</w:t>
            </w:r>
          </w:p>
        </w:tc>
        <w:tc>
          <w:tcPr>
            <w:tcW w:w="532" w:type="dxa"/>
            <w:shd w:val="clear" w:color="auto" w:fill="A5A5A5" w:themeFill="accent3"/>
          </w:tcPr>
          <w:p w14:paraId="72F5564B" w14:textId="77777777" w:rsidR="00F53CB4" w:rsidRPr="006A1EC7" w:rsidRDefault="00F53CB4" w:rsidP="00AC2435">
            <w:pPr>
              <w:spacing w:line="360" w:lineRule="auto"/>
              <w:rPr>
                <w:b/>
                <w:bCs/>
                <w:sz w:val="18"/>
              </w:rPr>
            </w:pPr>
            <w:r w:rsidRPr="006A1EC7">
              <w:rPr>
                <w:sz w:val="18"/>
              </w:rPr>
              <w:t>p &lt;.001</w:t>
            </w:r>
          </w:p>
        </w:tc>
      </w:tr>
      <w:tr w:rsidR="00F53CB4" w:rsidRPr="006A1EC7" w14:paraId="2CFFC14C" w14:textId="77777777" w:rsidTr="00AC2435">
        <w:tc>
          <w:tcPr>
            <w:tcW w:w="5240" w:type="dxa"/>
          </w:tcPr>
          <w:p w14:paraId="18B9E0DF" w14:textId="77777777" w:rsidR="00F53CB4" w:rsidRPr="006A1EC7" w:rsidRDefault="00F53CB4" w:rsidP="00AC2435">
            <w:pPr>
              <w:spacing w:line="360" w:lineRule="auto"/>
              <w:rPr>
                <w:sz w:val="18"/>
              </w:rPr>
            </w:pPr>
            <w:r w:rsidRPr="006A1EC7">
              <w:rPr>
                <w:b/>
                <w:bCs/>
                <w:sz w:val="18"/>
              </w:rPr>
              <w:lastRenderedPageBreak/>
              <w:t>Hypothesis 22:</w:t>
            </w:r>
            <w:r w:rsidRPr="006A1EC7">
              <w:rPr>
                <w:sz w:val="18"/>
              </w:rPr>
              <w:t xml:space="preserve">  Bronagh Immunity (T1, T2) = Joshua Immunity (T1, T2)</w:t>
            </w:r>
          </w:p>
          <w:p w14:paraId="2DF47A85" w14:textId="77777777" w:rsidR="00F53CB4" w:rsidRPr="006A1EC7" w:rsidRDefault="00F53CB4" w:rsidP="00AC2435">
            <w:pPr>
              <w:spacing w:line="360" w:lineRule="auto"/>
              <w:rPr>
                <w:b/>
                <w:bCs/>
                <w:sz w:val="18"/>
              </w:rPr>
            </w:pPr>
          </w:p>
        </w:tc>
        <w:tc>
          <w:tcPr>
            <w:tcW w:w="9356" w:type="dxa"/>
          </w:tcPr>
          <w:p w14:paraId="170CF9F0" w14:textId="77777777" w:rsidR="00F53CB4" w:rsidRPr="006A1EC7" w:rsidRDefault="00F53CB4" w:rsidP="00AC2435">
            <w:pPr>
              <w:spacing w:line="360" w:lineRule="auto"/>
              <w:rPr>
                <w:sz w:val="18"/>
              </w:rPr>
            </w:pPr>
            <w:r w:rsidRPr="006A1EC7">
              <w:rPr>
                <w:sz w:val="18"/>
              </w:rPr>
              <w:t>Bronagh Immunity (T1 mean: .0, T2 mean: .0) = Joshua Immunity (T1 mean: .1, T2 mean: .0)</w:t>
            </w:r>
          </w:p>
        </w:tc>
        <w:tc>
          <w:tcPr>
            <w:tcW w:w="532" w:type="dxa"/>
          </w:tcPr>
          <w:p w14:paraId="67DD39D0" w14:textId="77777777" w:rsidR="00F53CB4" w:rsidRPr="006A1EC7" w:rsidRDefault="00F53CB4" w:rsidP="00AC2435">
            <w:pPr>
              <w:spacing w:line="360" w:lineRule="auto"/>
              <w:rPr>
                <w:b/>
                <w:bCs/>
                <w:sz w:val="18"/>
              </w:rPr>
            </w:pPr>
            <w:r w:rsidRPr="006A1EC7">
              <w:rPr>
                <w:b/>
                <w:bCs/>
                <w:sz w:val="18"/>
              </w:rPr>
              <w:t>.343</w:t>
            </w:r>
          </w:p>
        </w:tc>
      </w:tr>
      <w:tr w:rsidR="00F53CB4" w:rsidRPr="006A1EC7" w14:paraId="4B4853BC" w14:textId="77777777" w:rsidTr="00AC2435">
        <w:tc>
          <w:tcPr>
            <w:tcW w:w="5240" w:type="dxa"/>
          </w:tcPr>
          <w:p w14:paraId="6AA74731" w14:textId="77777777" w:rsidR="00F53CB4" w:rsidRPr="006A1EC7" w:rsidRDefault="00F53CB4" w:rsidP="00AC2435">
            <w:pPr>
              <w:spacing w:line="360" w:lineRule="auto"/>
              <w:rPr>
                <w:b/>
                <w:bCs/>
                <w:sz w:val="18"/>
              </w:rPr>
            </w:pPr>
            <w:r w:rsidRPr="006A1EC7">
              <w:rPr>
                <w:b/>
                <w:bCs/>
                <w:sz w:val="18"/>
              </w:rPr>
              <w:t>Hypothesis 23:</w:t>
            </w:r>
            <w:r w:rsidRPr="006A1EC7">
              <w:rPr>
                <w:sz w:val="18"/>
              </w:rPr>
              <w:t xml:space="preserve"> Emma Immunity (T1, T2) &lt; Alessandro Immunity (T1, T2)</w:t>
            </w:r>
          </w:p>
        </w:tc>
        <w:tc>
          <w:tcPr>
            <w:tcW w:w="9356" w:type="dxa"/>
          </w:tcPr>
          <w:p w14:paraId="2E6300B0" w14:textId="77777777" w:rsidR="00F53CB4" w:rsidRPr="006A1EC7" w:rsidRDefault="00F53CB4" w:rsidP="00AC2435">
            <w:pPr>
              <w:spacing w:line="360" w:lineRule="auto"/>
              <w:rPr>
                <w:sz w:val="18"/>
              </w:rPr>
            </w:pPr>
            <w:r w:rsidRPr="006A1EC7">
              <w:rPr>
                <w:sz w:val="18"/>
              </w:rPr>
              <w:t>Emma Immunity (T1 mean: 3.2, T2 mean: 2.0) &lt; Alessandro Immunity (T1 mean: 8.7, T2 mean: 8.6)</w:t>
            </w:r>
          </w:p>
        </w:tc>
        <w:tc>
          <w:tcPr>
            <w:tcW w:w="532" w:type="dxa"/>
            <w:shd w:val="clear" w:color="auto" w:fill="A5A5A5" w:themeFill="accent3"/>
          </w:tcPr>
          <w:p w14:paraId="271E2A45" w14:textId="77777777" w:rsidR="00F53CB4" w:rsidRPr="006A1EC7" w:rsidRDefault="00F53CB4" w:rsidP="00AC2435">
            <w:pPr>
              <w:spacing w:line="360" w:lineRule="auto"/>
              <w:rPr>
                <w:b/>
                <w:bCs/>
                <w:sz w:val="18"/>
              </w:rPr>
            </w:pPr>
            <w:r w:rsidRPr="006A1EC7">
              <w:rPr>
                <w:sz w:val="18"/>
              </w:rPr>
              <w:t>p &lt;.001</w:t>
            </w:r>
          </w:p>
        </w:tc>
      </w:tr>
      <w:tr w:rsidR="00F53CB4" w:rsidRPr="006A1EC7" w14:paraId="1F53FCB5" w14:textId="77777777" w:rsidTr="00AC2435">
        <w:tc>
          <w:tcPr>
            <w:tcW w:w="5240" w:type="dxa"/>
          </w:tcPr>
          <w:p w14:paraId="30C135C1" w14:textId="77777777" w:rsidR="00F53CB4" w:rsidRPr="006A1EC7" w:rsidRDefault="00F53CB4" w:rsidP="00AC2435">
            <w:pPr>
              <w:spacing w:line="360" w:lineRule="auto"/>
              <w:rPr>
                <w:b/>
                <w:bCs/>
                <w:sz w:val="18"/>
              </w:rPr>
            </w:pPr>
          </w:p>
        </w:tc>
        <w:tc>
          <w:tcPr>
            <w:tcW w:w="9356" w:type="dxa"/>
            <w:shd w:val="clear" w:color="auto" w:fill="D9E2F3" w:themeFill="accent1" w:themeFillTint="33"/>
          </w:tcPr>
          <w:p w14:paraId="7F37FA83" w14:textId="77777777" w:rsidR="00F53CB4" w:rsidRPr="006A1EC7" w:rsidRDefault="00F53CB4" w:rsidP="00AC2435">
            <w:pPr>
              <w:spacing w:line="360" w:lineRule="auto"/>
              <w:jc w:val="center"/>
              <w:rPr>
                <w:b/>
                <w:sz w:val="18"/>
                <w:u w:val="single"/>
              </w:rPr>
            </w:pPr>
            <w:r w:rsidRPr="006A1EC7">
              <w:rPr>
                <w:b/>
                <w:sz w:val="18"/>
                <w:u w:val="single"/>
              </w:rPr>
              <w:t xml:space="preserve">Hypotheses regarding Functioning Scores (n = 3) </w:t>
            </w:r>
          </w:p>
          <w:p w14:paraId="219265C8" w14:textId="77777777" w:rsidR="00F53CB4" w:rsidRPr="006A1EC7" w:rsidRDefault="00F53CB4" w:rsidP="00AC2435">
            <w:pPr>
              <w:spacing w:line="360" w:lineRule="auto"/>
              <w:rPr>
                <w:sz w:val="18"/>
              </w:rPr>
            </w:pPr>
          </w:p>
        </w:tc>
        <w:tc>
          <w:tcPr>
            <w:tcW w:w="532" w:type="dxa"/>
          </w:tcPr>
          <w:p w14:paraId="08577C9B" w14:textId="77777777" w:rsidR="00F53CB4" w:rsidRPr="006A1EC7" w:rsidRDefault="00F53CB4" w:rsidP="00AC2435">
            <w:pPr>
              <w:spacing w:line="360" w:lineRule="auto"/>
              <w:rPr>
                <w:b/>
                <w:bCs/>
                <w:sz w:val="18"/>
              </w:rPr>
            </w:pPr>
          </w:p>
        </w:tc>
      </w:tr>
      <w:tr w:rsidR="00F53CB4" w:rsidRPr="006A1EC7" w14:paraId="60BC0170" w14:textId="77777777" w:rsidTr="00AC2435">
        <w:tc>
          <w:tcPr>
            <w:tcW w:w="5240" w:type="dxa"/>
          </w:tcPr>
          <w:p w14:paraId="741280A5" w14:textId="77777777" w:rsidR="00F53CB4" w:rsidRPr="006A1EC7" w:rsidRDefault="00F53CB4" w:rsidP="00AC2435">
            <w:pPr>
              <w:spacing w:line="360" w:lineRule="auto"/>
              <w:rPr>
                <w:sz w:val="18"/>
              </w:rPr>
            </w:pPr>
            <w:r w:rsidRPr="006A1EC7">
              <w:rPr>
                <w:b/>
                <w:bCs/>
                <w:sz w:val="18"/>
              </w:rPr>
              <w:t>Hypothesis 24:</w:t>
            </w:r>
            <w:r w:rsidRPr="006A1EC7">
              <w:rPr>
                <w:sz w:val="18"/>
              </w:rPr>
              <w:t xml:space="preserve"> Bronagh Functioning (T1, T2) &gt; Alessandro Functioning (T1, T2)</w:t>
            </w:r>
          </w:p>
          <w:p w14:paraId="04DE326E" w14:textId="77777777" w:rsidR="00F53CB4" w:rsidRPr="006A1EC7" w:rsidRDefault="00F53CB4" w:rsidP="00AC2435">
            <w:pPr>
              <w:spacing w:line="360" w:lineRule="auto"/>
              <w:rPr>
                <w:b/>
                <w:bCs/>
                <w:sz w:val="18"/>
              </w:rPr>
            </w:pPr>
          </w:p>
        </w:tc>
        <w:tc>
          <w:tcPr>
            <w:tcW w:w="9356" w:type="dxa"/>
          </w:tcPr>
          <w:p w14:paraId="5B415C6F" w14:textId="77777777" w:rsidR="00F53CB4" w:rsidRPr="006A1EC7" w:rsidRDefault="00F53CB4" w:rsidP="00AC2435">
            <w:pPr>
              <w:spacing w:line="360" w:lineRule="auto"/>
              <w:rPr>
                <w:sz w:val="18"/>
              </w:rPr>
            </w:pPr>
            <w:r w:rsidRPr="006A1EC7">
              <w:rPr>
                <w:sz w:val="18"/>
              </w:rPr>
              <w:t>Bronagh Functioning (T1 mean: 3.4 , T2 mean: 3.1 ) &gt; Alessandro Functioning (T1 mean: 10.3 , T2 mean: 11.0)</w:t>
            </w:r>
          </w:p>
        </w:tc>
        <w:tc>
          <w:tcPr>
            <w:tcW w:w="532" w:type="dxa"/>
            <w:shd w:val="clear" w:color="auto" w:fill="A5A5A5" w:themeFill="accent3"/>
          </w:tcPr>
          <w:p w14:paraId="7583EA2F" w14:textId="77777777" w:rsidR="00F53CB4" w:rsidRPr="006A1EC7" w:rsidRDefault="00F53CB4" w:rsidP="00AC2435">
            <w:pPr>
              <w:spacing w:line="360" w:lineRule="auto"/>
              <w:rPr>
                <w:b/>
                <w:bCs/>
                <w:sz w:val="18"/>
              </w:rPr>
            </w:pPr>
            <w:r w:rsidRPr="006A1EC7">
              <w:rPr>
                <w:sz w:val="18"/>
              </w:rPr>
              <w:t>p &lt;.001</w:t>
            </w:r>
          </w:p>
        </w:tc>
      </w:tr>
      <w:tr w:rsidR="00F53CB4" w:rsidRPr="006A1EC7" w14:paraId="239A1A91" w14:textId="77777777" w:rsidTr="00AC2435">
        <w:tc>
          <w:tcPr>
            <w:tcW w:w="5240" w:type="dxa"/>
          </w:tcPr>
          <w:p w14:paraId="279002FA" w14:textId="77777777" w:rsidR="00F53CB4" w:rsidRPr="006A1EC7" w:rsidRDefault="00F53CB4" w:rsidP="00AC2435">
            <w:pPr>
              <w:spacing w:line="360" w:lineRule="auto"/>
              <w:rPr>
                <w:b/>
                <w:bCs/>
                <w:sz w:val="18"/>
              </w:rPr>
            </w:pPr>
            <w:r w:rsidRPr="006A1EC7">
              <w:rPr>
                <w:b/>
                <w:bCs/>
                <w:sz w:val="18"/>
              </w:rPr>
              <w:t xml:space="preserve">Hypothesis 25: </w:t>
            </w:r>
            <w:r w:rsidRPr="006A1EC7">
              <w:rPr>
                <w:sz w:val="18"/>
              </w:rPr>
              <w:t>Joshua Functioning</w:t>
            </w:r>
            <w:r w:rsidRPr="006A1EC7">
              <w:rPr>
                <w:b/>
                <w:bCs/>
                <w:sz w:val="18"/>
              </w:rPr>
              <w:t xml:space="preserve"> </w:t>
            </w:r>
            <w:r w:rsidRPr="006A1EC7">
              <w:rPr>
                <w:sz w:val="18"/>
              </w:rPr>
              <w:t>(T1, T2) &gt; Emma Functioning (T1, T2)</w:t>
            </w:r>
          </w:p>
        </w:tc>
        <w:tc>
          <w:tcPr>
            <w:tcW w:w="9356" w:type="dxa"/>
          </w:tcPr>
          <w:p w14:paraId="5ACEE9C4" w14:textId="77777777" w:rsidR="00F53CB4" w:rsidRPr="006A1EC7" w:rsidRDefault="00F53CB4" w:rsidP="00AC2435">
            <w:pPr>
              <w:spacing w:line="360" w:lineRule="auto"/>
              <w:rPr>
                <w:sz w:val="18"/>
              </w:rPr>
            </w:pPr>
            <w:r w:rsidRPr="006A1EC7">
              <w:rPr>
                <w:sz w:val="18"/>
              </w:rPr>
              <w:t>Joshua Functioning (10.8, 11.0) &gt; Emma Functioning (T1 mean: 8.8, T2 mean: 7.5)</w:t>
            </w:r>
          </w:p>
        </w:tc>
        <w:tc>
          <w:tcPr>
            <w:tcW w:w="532" w:type="dxa"/>
          </w:tcPr>
          <w:p w14:paraId="4EEADFD7" w14:textId="77777777" w:rsidR="00F53CB4" w:rsidRPr="006A1EC7" w:rsidRDefault="00F53CB4" w:rsidP="00AC2435">
            <w:pPr>
              <w:spacing w:line="360" w:lineRule="auto"/>
              <w:rPr>
                <w:b/>
                <w:bCs/>
                <w:sz w:val="18"/>
              </w:rPr>
            </w:pPr>
            <w:r w:rsidRPr="006A1EC7">
              <w:rPr>
                <w:b/>
                <w:bCs/>
                <w:sz w:val="18"/>
              </w:rPr>
              <w:t>.070</w:t>
            </w:r>
          </w:p>
        </w:tc>
      </w:tr>
      <w:tr w:rsidR="00F53CB4" w:rsidRPr="006A1EC7" w14:paraId="1FB7BF35" w14:textId="77777777" w:rsidTr="00AC2435">
        <w:tc>
          <w:tcPr>
            <w:tcW w:w="5240" w:type="dxa"/>
          </w:tcPr>
          <w:p w14:paraId="69F9EFE2" w14:textId="77777777" w:rsidR="00F53CB4" w:rsidRPr="006A1EC7" w:rsidRDefault="00F53CB4" w:rsidP="00AC2435">
            <w:pPr>
              <w:spacing w:line="360" w:lineRule="auto"/>
              <w:rPr>
                <w:sz w:val="18"/>
              </w:rPr>
            </w:pPr>
            <w:r w:rsidRPr="006A1EC7">
              <w:rPr>
                <w:b/>
                <w:bCs/>
                <w:sz w:val="18"/>
              </w:rPr>
              <w:t>Hypothesis 26:</w:t>
            </w:r>
            <w:r w:rsidRPr="006A1EC7">
              <w:rPr>
                <w:sz w:val="18"/>
              </w:rPr>
              <w:t xml:space="preserve"> Fineen Functioning (T1, T2) &lt; Emma Functioning (T1, T2)</w:t>
            </w:r>
          </w:p>
          <w:p w14:paraId="3474AEAF" w14:textId="77777777" w:rsidR="00F53CB4" w:rsidRPr="006A1EC7" w:rsidRDefault="00F53CB4" w:rsidP="00AC2435">
            <w:pPr>
              <w:spacing w:line="360" w:lineRule="auto"/>
              <w:rPr>
                <w:b/>
                <w:bCs/>
                <w:sz w:val="18"/>
              </w:rPr>
            </w:pPr>
          </w:p>
        </w:tc>
        <w:tc>
          <w:tcPr>
            <w:tcW w:w="9356" w:type="dxa"/>
          </w:tcPr>
          <w:p w14:paraId="7B5E3388" w14:textId="77777777" w:rsidR="00F53CB4" w:rsidRPr="006A1EC7" w:rsidRDefault="00F53CB4" w:rsidP="00AC2435">
            <w:pPr>
              <w:spacing w:line="360" w:lineRule="auto"/>
              <w:rPr>
                <w:sz w:val="18"/>
              </w:rPr>
            </w:pPr>
            <w:r w:rsidRPr="006A1EC7">
              <w:rPr>
                <w:sz w:val="18"/>
              </w:rPr>
              <w:t>Fineen Functioning (T1 mean: 3.8, T2 mean: 3.4) &lt; Emma Functioning (T1 mean: 8.8, T2 mean: 7.5)</w:t>
            </w:r>
          </w:p>
          <w:p w14:paraId="67EBDEF1" w14:textId="77777777" w:rsidR="00F53CB4" w:rsidRPr="006A1EC7" w:rsidRDefault="00F53CB4" w:rsidP="00AC2435">
            <w:pPr>
              <w:spacing w:line="360" w:lineRule="auto"/>
              <w:rPr>
                <w:sz w:val="18"/>
              </w:rPr>
            </w:pPr>
          </w:p>
        </w:tc>
        <w:tc>
          <w:tcPr>
            <w:tcW w:w="532" w:type="dxa"/>
          </w:tcPr>
          <w:p w14:paraId="5ED4AB2D" w14:textId="77777777" w:rsidR="00F53CB4" w:rsidRPr="006A1EC7" w:rsidRDefault="00F53CB4" w:rsidP="00AC2435">
            <w:pPr>
              <w:spacing w:line="360" w:lineRule="auto"/>
              <w:rPr>
                <w:b/>
                <w:bCs/>
                <w:sz w:val="18"/>
              </w:rPr>
            </w:pPr>
            <w:r w:rsidRPr="006A1EC7">
              <w:rPr>
                <w:b/>
                <w:bCs/>
                <w:sz w:val="18"/>
              </w:rPr>
              <w:t>.258</w:t>
            </w:r>
          </w:p>
        </w:tc>
      </w:tr>
      <w:tr w:rsidR="00F53CB4" w:rsidRPr="006A1EC7" w14:paraId="1A55C36F" w14:textId="77777777" w:rsidTr="00AC2435">
        <w:tc>
          <w:tcPr>
            <w:tcW w:w="5240" w:type="dxa"/>
          </w:tcPr>
          <w:p w14:paraId="672F1045" w14:textId="77777777" w:rsidR="00F53CB4" w:rsidRPr="006A1EC7" w:rsidRDefault="00F53CB4" w:rsidP="00AC2435">
            <w:pPr>
              <w:spacing w:line="360" w:lineRule="auto"/>
              <w:rPr>
                <w:b/>
                <w:bCs/>
                <w:sz w:val="18"/>
              </w:rPr>
            </w:pPr>
          </w:p>
        </w:tc>
        <w:tc>
          <w:tcPr>
            <w:tcW w:w="9356" w:type="dxa"/>
            <w:shd w:val="clear" w:color="auto" w:fill="D9E2F3" w:themeFill="accent1" w:themeFillTint="33"/>
          </w:tcPr>
          <w:p w14:paraId="139013DE" w14:textId="77777777" w:rsidR="00F53CB4" w:rsidRPr="006A1EC7" w:rsidRDefault="00F53CB4" w:rsidP="00AC2435">
            <w:pPr>
              <w:spacing w:line="360" w:lineRule="auto"/>
              <w:jc w:val="center"/>
              <w:rPr>
                <w:b/>
                <w:sz w:val="18"/>
                <w:u w:val="single"/>
              </w:rPr>
            </w:pPr>
            <w:r w:rsidRPr="006A1EC7">
              <w:rPr>
                <w:b/>
                <w:sz w:val="18"/>
                <w:u w:val="single"/>
              </w:rPr>
              <w:t xml:space="preserve">Hypothesis regarding Sleep Scores (n = 3) </w:t>
            </w:r>
          </w:p>
          <w:p w14:paraId="1956D53D" w14:textId="77777777" w:rsidR="00F53CB4" w:rsidRPr="006A1EC7" w:rsidRDefault="00F53CB4" w:rsidP="00AC2435">
            <w:pPr>
              <w:spacing w:line="360" w:lineRule="auto"/>
              <w:rPr>
                <w:sz w:val="18"/>
              </w:rPr>
            </w:pPr>
          </w:p>
        </w:tc>
        <w:tc>
          <w:tcPr>
            <w:tcW w:w="532" w:type="dxa"/>
          </w:tcPr>
          <w:p w14:paraId="333F315E" w14:textId="77777777" w:rsidR="00F53CB4" w:rsidRPr="006A1EC7" w:rsidRDefault="00F53CB4" w:rsidP="00AC2435">
            <w:pPr>
              <w:spacing w:line="360" w:lineRule="auto"/>
              <w:rPr>
                <w:b/>
                <w:bCs/>
                <w:sz w:val="18"/>
              </w:rPr>
            </w:pPr>
          </w:p>
        </w:tc>
      </w:tr>
      <w:tr w:rsidR="00F53CB4" w:rsidRPr="006A1EC7" w14:paraId="38D6312F" w14:textId="77777777" w:rsidTr="00AC2435">
        <w:tc>
          <w:tcPr>
            <w:tcW w:w="5240" w:type="dxa"/>
          </w:tcPr>
          <w:p w14:paraId="67373C75" w14:textId="77777777" w:rsidR="00F53CB4" w:rsidRPr="006A1EC7" w:rsidRDefault="00F53CB4" w:rsidP="00AC2435">
            <w:pPr>
              <w:spacing w:line="360" w:lineRule="auto"/>
              <w:rPr>
                <w:b/>
                <w:bCs/>
                <w:sz w:val="18"/>
              </w:rPr>
            </w:pPr>
            <w:r w:rsidRPr="006A1EC7">
              <w:rPr>
                <w:b/>
                <w:bCs/>
                <w:sz w:val="18"/>
              </w:rPr>
              <w:t>Hypothesis 27:</w:t>
            </w:r>
            <w:r w:rsidRPr="006A1EC7">
              <w:rPr>
                <w:sz w:val="18"/>
              </w:rPr>
              <w:t xml:space="preserve"> Alessandro Sleep (T1, T2) &gt; Emma Sleep (T1, T2)</w:t>
            </w:r>
          </w:p>
          <w:p w14:paraId="4D174B1D" w14:textId="77777777" w:rsidR="00F53CB4" w:rsidRPr="006A1EC7" w:rsidRDefault="00F53CB4" w:rsidP="00AC2435">
            <w:pPr>
              <w:spacing w:line="360" w:lineRule="auto"/>
              <w:jc w:val="center"/>
              <w:rPr>
                <w:sz w:val="18"/>
                <w:highlight w:val="yellow"/>
                <w:u w:val="single"/>
              </w:rPr>
            </w:pPr>
          </w:p>
        </w:tc>
        <w:tc>
          <w:tcPr>
            <w:tcW w:w="9356" w:type="dxa"/>
          </w:tcPr>
          <w:p w14:paraId="11A985FC" w14:textId="77777777" w:rsidR="00F53CB4" w:rsidRPr="006A1EC7" w:rsidRDefault="00F53CB4" w:rsidP="00AC2435">
            <w:pPr>
              <w:spacing w:line="360" w:lineRule="auto"/>
              <w:rPr>
                <w:sz w:val="18"/>
              </w:rPr>
            </w:pPr>
            <w:r w:rsidRPr="006A1EC7">
              <w:rPr>
                <w:sz w:val="18"/>
              </w:rPr>
              <w:t>Alessandro Sleep (T1 mean: 3.0, T2 mean: 3.0) &gt; Emma Sleep (T1 mean: 0.5, T2 mean: 0 )</w:t>
            </w:r>
          </w:p>
        </w:tc>
        <w:tc>
          <w:tcPr>
            <w:tcW w:w="532" w:type="dxa"/>
            <w:shd w:val="clear" w:color="auto" w:fill="A5A5A5" w:themeFill="accent3"/>
          </w:tcPr>
          <w:p w14:paraId="2F85BDFC" w14:textId="77777777" w:rsidR="00F53CB4" w:rsidRPr="006A1EC7" w:rsidRDefault="00F53CB4" w:rsidP="00AC2435">
            <w:pPr>
              <w:spacing w:line="360" w:lineRule="auto"/>
              <w:rPr>
                <w:b/>
                <w:bCs/>
                <w:sz w:val="18"/>
              </w:rPr>
            </w:pPr>
            <w:r w:rsidRPr="006A1EC7">
              <w:rPr>
                <w:sz w:val="18"/>
              </w:rPr>
              <w:t>p &lt;.001</w:t>
            </w:r>
          </w:p>
        </w:tc>
      </w:tr>
      <w:tr w:rsidR="00F53CB4" w:rsidRPr="006A1EC7" w14:paraId="48A9DC22" w14:textId="77777777" w:rsidTr="00AC2435">
        <w:tc>
          <w:tcPr>
            <w:tcW w:w="5240" w:type="dxa"/>
          </w:tcPr>
          <w:p w14:paraId="0C299A3D" w14:textId="77777777" w:rsidR="00F53CB4" w:rsidRPr="006A1EC7" w:rsidRDefault="00F53CB4" w:rsidP="00AC2435">
            <w:pPr>
              <w:spacing w:line="360" w:lineRule="auto"/>
              <w:rPr>
                <w:b/>
                <w:bCs/>
                <w:sz w:val="18"/>
              </w:rPr>
            </w:pPr>
            <w:r w:rsidRPr="006A1EC7">
              <w:rPr>
                <w:b/>
                <w:bCs/>
                <w:sz w:val="18"/>
              </w:rPr>
              <w:t xml:space="preserve">Hypothesis 28: </w:t>
            </w:r>
            <w:r w:rsidRPr="006A1EC7">
              <w:rPr>
                <w:sz w:val="18"/>
              </w:rPr>
              <w:t>Fineen Sleep (T1, T2) &lt; Bronagh Sleep (T1, T2)</w:t>
            </w:r>
          </w:p>
          <w:p w14:paraId="330ED88C" w14:textId="77777777" w:rsidR="00F53CB4" w:rsidRPr="006A1EC7" w:rsidRDefault="00F53CB4" w:rsidP="00AC2435">
            <w:pPr>
              <w:spacing w:line="360" w:lineRule="auto"/>
              <w:jc w:val="center"/>
              <w:rPr>
                <w:sz w:val="18"/>
                <w:highlight w:val="yellow"/>
                <w:u w:val="single"/>
              </w:rPr>
            </w:pPr>
          </w:p>
        </w:tc>
        <w:tc>
          <w:tcPr>
            <w:tcW w:w="9356" w:type="dxa"/>
          </w:tcPr>
          <w:p w14:paraId="5B964A26" w14:textId="77777777" w:rsidR="00F53CB4" w:rsidRPr="006A1EC7" w:rsidRDefault="00F53CB4" w:rsidP="00AC2435">
            <w:pPr>
              <w:spacing w:line="360" w:lineRule="auto"/>
              <w:rPr>
                <w:sz w:val="18"/>
              </w:rPr>
            </w:pPr>
            <w:r w:rsidRPr="006A1EC7">
              <w:rPr>
                <w:sz w:val="18"/>
              </w:rPr>
              <w:t>Fineen Sleep (T1 mean: 2.3, T2 mean 3.0) &lt; Bronagh</w:t>
            </w:r>
            <w:r w:rsidRPr="006A1EC7">
              <w:rPr>
                <w:b/>
                <w:bCs/>
                <w:sz w:val="18"/>
              </w:rPr>
              <w:t xml:space="preserve"> </w:t>
            </w:r>
            <w:r w:rsidRPr="006A1EC7">
              <w:rPr>
                <w:sz w:val="18"/>
              </w:rPr>
              <w:t>Sleep (T1 mean: 1.5, T2 mean: 1.0)</w:t>
            </w:r>
          </w:p>
        </w:tc>
        <w:tc>
          <w:tcPr>
            <w:tcW w:w="532" w:type="dxa"/>
            <w:shd w:val="clear" w:color="auto" w:fill="A5A5A5" w:themeFill="accent3"/>
          </w:tcPr>
          <w:p w14:paraId="2FA78519" w14:textId="77777777" w:rsidR="00F53CB4" w:rsidRPr="006A1EC7" w:rsidRDefault="00F53CB4" w:rsidP="00AC2435">
            <w:pPr>
              <w:spacing w:line="360" w:lineRule="auto"/>
              <w:rPr>
                <w:b/>
                <w:bCs/>
                <w:sz w:val="18"/>
              </w:rPr>
            </w:pPr>
            <w:r w:rsidRPr="006A1EC7">
              <w:rPr>
                <w:b/>
                <w:bCs/>
                <w:sz w:val="18"/>
              </w:rPr>
              <w:t>.001</w:t>
            </w:r>
          </w:p>
        </w:tc>
      </w:tr>
      <w:tr w:rsidR="00F53CB4" w:rsidRPr="006A1EC7" w14:paraId="4B5ABDC7" w14:textId="77777777" w:rsidTr="00AC2435">
        <w:tc>
          <w:tcPr>
            <w:tcW w:w="5240" w:type="dxa"/>
          </w:tcPr>
          <w:p w14:paraId="376EEC34" w14:textId="77777777" w:rsidR="00F53CB4" w:rsidRPr="006A1EC7" w:rsidRDefault="00F53CB4" w:rsidP="00AC2435">
            <w:pPr>
              <w:spacing w:line="360" w:lineRule="auto"/>
              <w:rPr>
                <w:b/>
                <w:bCs/>
                <w:sz w:val="18"/>
              </w:rPr>
            </w:pPr>
            <w:r w:rsidRPr="006A1EC7">
              <w:rPr>
                <w:b/>
                <w:bCs/>
                <w:sz w:val="18"/>
              </w:rPr>
              <w:lastRenderedPageBreak/>
              <w:t xml:space="preserve">Hypothesis 29: Emma </w:t>
            </w:r>
            <w:r w:rsidRPr="006A1EC7">
              <w:rPr>
                <w:sz w:val="18"/>
              </w:rPr>
              <w:t>Sleep (T1, T2) &lt; Alessandro Sleep (T1, T2)</w:t>
            </w:r>
          </w:p>
          <w:p w14:paraId="3568574A" w14:textId="77777777" w:rsidR="00F53CB4" w:rsidRPr="006A1EC7" w:rsidRDefault="00F53CB4" w:rsidP="00AC2435">
            <w:pPr>
              <w:spacing w:line="360" w:lineRule="auto"/>
              <w:jc w:val="center"/>
              <w:rPr>
                <w:sz w:val="18"/>
                <w:highlight w:val="yellow"/>
                <w:u w:val="single"/>
              </w:rPr>
            </w:pPr>
          </w:p>
        </w:tc>
        <w:tc>
          <w:tcPr>
            <w:tcW w:w="9356" w:type="dxa"/>
          </w:tcPr>
          <w:p w14:paraId="7EE987E6" w14:textId="77777777" w:rsidR="00F53CB4" w:rsidRPr="006A1EC7" w:rsidRDefault="00F53CB4" w:rsidP="00AC2435">
            <w:pPr>
              <w:spacing w:line="360" w:lineRule="auto"/>
              <w:rPr>
                <w:sz w:val="18"/>
              </w:rPr>
            </w:pPr>
            <w:r w:rsidRPr="006A1EC7">
              <w:rPr>
                <w:sz w:val="18"/>
              </w:rPr>
              <w:t>Emma Sleep (T1 mean: 0.5, T2 mean: 0) &lt; Alessandro Sleep (T1 mean: 3.0, T2 mean: 3.0)</w:t>
            </w:r>
          </w:p>
        </w:tc>
        <w:tc>
          <w:tcPr>
            <w:tcW w:w="532" w:type="dxa"/>
            <w:shd w:val="clear" w:color="auto" w:fill="A5A5A5" w:themeFill="accent3"/>
          </w:tcPr>
          <w:p w14:paraId="600F7079" w14:textId="77777777" w:rsidR="00F53CB4" w:rsidRPr="006A1EC7" w:rsidRDefault="00F53CB4" w:rsidP="00AC2435">
            <w:pPr>
              <w:spacing w:line="360" w:lineRule="auto"/>
              <w:rPr>
                <w:b/>
                <w:bCs/>
                <w:sz w:val="18"/>
              </w:rPr>
            </w:pPr>
            <w:r w:rsidRPr="006A1EC7">
              <w:rPr>
                <w:sz w:val="18"/>
              </w:rPr>
              <w:t>p &lt;.001</w:t>
            </w:r>
          </w:p>
        </w:tc>
      </w:tr>
      <w:tr w:rsidR="00F53CB4" w:rsidRPr="006A1EC7" w14:paraId="1546D42D" w14:textId="77777777" w:rsidTr="00AC2435">
        <w:tc>
          <w:tcPr>
            <w:tcW w:w="5240" w:type="dxa"/>
          </w:tcPr>
          <w:p w14:paraId="732F63BD" w14:textId="77777777" w:rsidR="00F53CB4" w:rsidRPr="006A1EC7" w:rsidRDefault="00F53CB4" w:rsidP="00AC2435">
            <w:pPr>
              <w:spacing w:line="360" w:lineRule="auto"/>
              <w:rPr>
                <w:sz w:val="18"/>
                <w:highlight w:val="yellow"/>
                <w:u w:val="single"/>
              </w:rPr>
            </w:pPr>
          </w:p>
        </w:tc>
        <w:tc>
          <w:tcPr>
            <w:tcW w:w="9356" w:type="dxa"/>
            <w:shd w:val="clear" w:color="auto" w:fill="D9E2F3" w:themeFill="accent1" w:themeFillTint="33"/>
          </w:tcPr>
          <w:p w14:paraId="7C1251CD" w14:textId="77777777" w:rsidR="00F53CB4" w:rsidRPr="006A1EC7" w:rsidRDefault="00F53CB4" w:rsidP="00AC2435">
            <w:pPr>
              <w:spacing w:line="360" w:lineRule="auto"/>
              <w:rPr>
                <w:b/>
                <w:sz w:val="18"/>
                <w:u w:val="single"/>
              </w:rPr>
            </w:pPr>
            <w:r w:rsidRPr="006A1EC7">
              <w:rPr>
                <w:b/>
                <w:sz w:val="18"/>
                <w:u w:val="single"/>
              </w:rPr>
              <w:t xml:space="preserve">Hypotheses regarding Care Scores (n = 3) </w:t>
            </w:r>
          </w:p>
          <w:p w14:paraId="65D92752" w14:textId="77777777" w:rsidR="00F53CB4" w:rsidRPr="006A1EC7" w:rsidRDefault="00F53CB4" w:rsidP="00AC2435">
            <w:pPr>
              <w:spacing w:line="360" w:lineRule="auto"/>
              <w:rPr>
                <w:sz w:val="18"/>
              </w:rPr>
            </w:pPr>
          </w:p>
        </w:tc>
        <w:tc>
          <w:tcPr>
            <w:tcW w:w="532" w:type="dxa"/>
          </w:tcPr>
          <w:p w14:paraId="56C66CC0" w14:textId="77777777" w:rsidR="00F53CB4" w:rsidRPr="006A1EC7" w:rsidRDefault="00F53CB4" w:rsidP="00AC2435">
            <w:pPr>
              <w:spacing w:line="360" w:lineRule="auto"/>
              <w:rPr>
                <w:b/>
                <w:bCs/>
                <w:sz w:val="18"/>
              </w:rPr>
            </w:pPr>
          </w:p>
        </w:tc>
      </w:tr>
      <w:tr w:rsidR="00F53CB4" w:rsidRPr="006A1EC7" w14:paraId="315123EF" w14:textId="77777777" w:rsidTr="00AC2435">
        <w:tc>
          <w:tcPr>
            <w:tcW w:w="5240" w:type="dxa"/>
          </w:tcPr>
          <w:p w14:paraId="59466E54" w14:textId="77777777" w:rsidR="00F53CB4" w:rsidRPr="006A1EC7" w:rsidRDefault="00F53CB4" w:rsidP="00AC2435">
            <w:pPr>
              <w:spacing w:line="360" w:lineRule="auto"/>
              <w:rPr>
                <w:b/>
                <w:bCs/>
                <w:sz w:val="18"/>
              </w:rPr>
            </w:pPr>
            <w:r w:rsidRPr="006A1EC7">
              <w:rPr>
                <w:b/>
                <w:bCs/>
                <w:sz w:val="18"/>
              </w:rPr>
              <w:t xml:space="preserve">Hypothesis 30: </w:t>
            </w:r>
            <w:r w:rsidRPr="006A1EC7">
              <w:rPr>
                <w:sz w:val="18"/>
              </w:rPr>
              <w:t>Alessandro Care (T1, T2)</w:t>
            </w:r>
            <w:r w:rsidRPr="006A1EC7">
              <w:rPr>
                <w:b/>
                <w:bCs/>
                <w:sz w:val="18"/>
              </w:rPr>
              <w:t xml:space="preserve"> </w:t>
            </w:r>
            <w:r w:rsidRPr="006A1EC7">
              <w:rPr>
                <w:sz w:val="18"/>
              </w:rPr>
              <w:t>&lt; Bronagh Care (T1, T2)</w:t>
            </w:r>
          </w:p>
          <w:p w14:paraId="7E037E41" w14:textId="77777777" w:rsidR="00F53CB4" w:rsidRPr="006A1EC7" w:rsidRDefault="00F53CB4" w:rsidP="00AC2435">
            <w:pPr>
              <w:spacing w:line="360" w:lineRule="auto"/>
              <w:jc w:val="center"/>
              <w:rPr>
                <w:sz w:val="18"/>
                <w:highlight w:val="yellow"/>
                <w:u w:val="single"/>
              </w:rPr>
            </w:pPr>
          </w:p>
        </w:tc>
        <w:tc>
          <w:tcPr>
            <w:tcW w:w="9356" w:type="dxa"/>
          </w:tcPr>
          <w:p w14:paraId="670F7979" w14:textId="77777777" w:rsidR="00F53CB4" w:rsidRPr="006A1EC7" w:rsidRDefault="00F53CB4" w:rsidP="00AC2435">
            <w:pPr>
              <w:spacing w:line="360" w:lineRule="auto"/>
              <w:rPr>
                <w:sz w:val="18"/>
              </w:rPr>
            </w:pPr>
            <w:r w:rsidRPr="006A1EC7">
              <w:rPr>
                <w:sz w:val="18"/>
              </w:rPr>
              <w:t>Alessandro Care (T1 mean: 1.14, T2 mean: 1.14)</w:t>
            </w:r>
            <w:r w:rsidRPr="006A1EC7">
              <w:rPr>
                <w:b/>
                <w:bCs/>
                <w:sz w:val="18"/>
              </w:rPr>
              <w:t xml:space="preserve"> </w:t>
            </w:r>
            <w:r w:rsidRPr="006A1EC7">
              <w:rPr>
                <w:sz w:val="18"/>
              </w:rPr>
              <w:t>&lt; Bronagh Care (T1 mean: .9, T2 mean: 1.0)</w:t>
            </w:r>
          </w:p>
        </w:tc>
        <w:tc>
          <w:tcPr>
            <w:tcW w:w="532" w:type="dxa"/>
          </w:tcPr>
          <w:p w14:paraId="57B40C85" w14:textId="77777777" w:rsidR="00F53CB4" w:rsidRPr="006A1EC7" w:rsidRDefault="00F53CB4" w:rsidP="00AC2435">
            <w:pPr>
              <w:spacing w:line="360" w:lineRule="auto"/>
              <w:rPr>
                <w:b/>
                <w:bCs/>
                <w:sz w:val="18"/>
              </w:rPr>
            </w:pPr>
            <w:r w:rsidRPr="006A1EC7">
              <w:rPr>
                <w:b/>
                <w:bCs/>
                <w:sz w:val="18"/>
              </w:rPr>
              <w:t>0.081</w:t>
            </w:r>
          </w:p>
        </w:tc>
      </w:tr>
      <w:tr w:rsidR="00F53CB4" w:rsidRPr="006A1EC7" w14:paraId="7E07E52F" w14:textId="77777777" w:rsidTr="00AC2435">
        <w:tc>
          <w:tcPr>
            <w:tcW w:w="5240" w:type="dxa"/>
          </w:tcPr>
          <w:p w14:paraId="10DC4498" w14:textId="77777777" w:rsidR="00F53CB4" w:rsidRPr="006A1EC7" w:rsidRDefault="00F53CB4" w:rsidP="00AC2435">
            <w:pPr>
              <w:spacing w:line="360" w:lineRule="auto"/>
              <w:rPr>
                <w:sz w:val="18"/>
              </w:rPr>
            </w:pPr>
            <w:r w:rsidRPr="006A1EC7">
              <w:rPr>
                <w:b/>
                <w:bCs/>
                <w:sz w:val="18"/>
              </w:rPr>
              <w:t xml:space="preserve">Hypothesis 31: </w:t>
            </w:r>
            <w:r w:rsidRPr="006A1EC7">
              <w:rPr>
                <w:sz w:val="18"/>
              </w:rPr>
              <w:t>Joshua Care (T1, T2) = Fineen Care (T1, T2)</w:t>
            </w:r>
          </w:p>
          <w:p w14:paraId="6D403A9B" w14:textId="77777777" w:rsidR="00F53CB4" w:rsidRPr="006A1EC7" w:rsidRDefault="00F53CB4" w:rsidP="00AC2435">
            <w:pPr>
              <w:spacing w:line="360" w:lineRule="auto"/>
              <w:jc w:val="center"/>
              <w:rPr>
                <w:sz w:val="18"/>
                <w:highlight w:val="yellow"/>
                <w:u w:val="single"/>
              </w:rPr>
            </w:pPr>
          </w:p>
        </w:tc>
        <w:tc>
          <w:tcPr>
            <w:tcW w:w="9356" w:type="dxa"/>
          </w:tcPr>
          <w:p w14:paraId="54153FC6" w14:textId="77777777" w:rsidR="00F53CB4" w:rsidRPr="006A1EC7" w:rsidRDefault="00F53CB4" w:rsidP="00AC2435">
            <w:pPr>
              <w:spacing w:line="360" w:lineRule="auto"/>
              <w:rPr>
                <w:sz w:val="18"/>
              </w:rPr>
            </w:pPr>
            <w:r w:rsidRPr="006A1EC7">
              <w:rPr>
                <w:sz w:val="18"/>
              </w:rPr>
              <w:t>Joshua Care (T1 mean: 1.7, T2: 1.7) = Fineen Care (T1 mean: 1.0, T2 mean: 1.0)</w:t>
            </w:r>
          </w:p>
        </w:tc>
        <w:tc>
          <w:tcPr>
            <w:tcW w:w="532" w:type="dxa"/>
          </w:tcPr>
          <w:p w14:paraId="4E3C6552" w14:textId="77777777" w:rsidR="00F53CB4" w:rsidRPr="006A1EC7" w:rsidRDefault="00F53CB4" w:rsidP="00AC2435">
            <w:pPr>
              <w:spacing w:line="360" w:lineRule="auto"/>
              <w:rPr>
                <w:b/>
                <w:bCs/>
                <w:sz w:val="18"/>
              </w:rPr>
            </w:pPr>
            <w:r w:rsidRPr="006A1EC7">
              <w:rPr>
                <w:b/>
                <w:bCs/>
                <w:sz w:val="18"/>
              </w:rPr>
              <w:t>0.05</w:t>
            </w:r>
          </w:p>
        </w:tc>
      </w:tr>
      <w:tr w:rsidR="00F53CB4" w:rsidRPr="006A1EC7" w14:paraId="4F060394" w14:textId="77777777" w:rsidTr="00AC2435">
        <w:tc>
          <w:tcPr>
            <w:tcW w:w="5240" w:type="dxa"/>
          </w:tcPr>
          <w:p w14:paraId="0FF03995" w14:textId="77777777" w:rsidR="00F53CB4" w:rsidRPr="006A1EC7" w:rsidRDefault="00F53CB4" w:rsidP="00AC2435">
            <w:pPr>
              <w:spacing w:line="360" w:lineRule="auto"/>
              <w:rPr>
                <w:sz w:val="18"/>
              </w:rPr>
            </w:pPr>
            <w:r w:rsidRPr="006A1EC7">
              <w:rPr>
                <w:b/>
                <w:bCs/>
                <w:sz w:val="18"/>
              </w:rPr>
              <w:t xml:space="preserve">Hypothesis 32: </w:t>
            </w:r>
            <w:r w:rsidRPr="006A1EC7">
              <w:rPr>
                <w:sz w:val="18"/>
              </w:rPr>
              <w:t>Emma Care  (T1, T2) &gt; Bronagh Care (T1, T2)</w:t>
            </w:r>
          </w:p>
        </w:tc>
        <w:tc>
          <w:tcPr>
            <w:tcW w:w="9356" w:type="dxa"/>
          </w:tcPr>
          <w:p w14:paraId="0DDDC633" w14:textId="77777777" w:rsidR="00F53CB4" w:rsidRPr="006A1EC7" w:rsidRDefault="00F53CB4" w:rsidP="00AC2435">
            <w:pPr>
              <w:spacing w:line="360" w:lineRule="auto"/>
              <w:rPr>
                <w:sz w:val="18"/>
              </w:rPr>
            </w:pPr>
            <w:r w:rsidRPr="006A1EC7">
              <w:rPr>
                <w:sz w:val="18"/>
              </w:rPr>
              <w:t>Emma Care (T1 mean: 1.9 , T2 mean: 2.0 ) &gt; Bronagh Care (T1 mean: .9, T2 mean: 1.0)</w:t>
            </w:r>
          </w:p>
        </w:tc>
        <w:tc>
          <w:tcPr>
            <w:tcW w:w="532" w:type="dxa"/>
          </w:tcPr>
          <w:p w14:paraId="1009476E" w14:textId="77777777" w:rsidR="00F53CB4" w:rsidRPr="006A1EC7" w:rsidRDefault="00F53CB4" w:rsidP="00AC2435">
            <w:pPr>
              <w:spacing w:line="360" w:lineRule="auto"/>
              <w:rPr>
                <w:b/>
                <w:bCs/>
                <w:sz w:val="18"/>
              </w:rPr>
            </w:pPr>
            <w:r w:rsidRPr="006A1EC7">
              <w:rPr>
                <w:b/>
                <w:bCs/>
                <w:sz w:val="18"/>
              </w:rPr>
              <w:t>.004</w:t>
            </w:r>
          </w:p>
        </w:tc>
      </w:tr>
    </w:tbl>
    <w:p w14:paraId="34C41C95" w14:textId="77777777" w:rsidR="00F53CB4" w:rsidRPr="006A1EC7" w:rsidRDefault="00F53CB4" w:rsidP="00F53CB4">
      <w:pPr>
        <w:sectPr w:rsidR="00F53CB4" w:rsidRPr="006A1EC7" w:rsidSect="00AC2435">
          <w:type w:val="nextColumn"/>
          <w:pgSz w:w="16840" w:h="11900" w:orient="landscape"/>
          <w:pgMar w:top="1440" w:right="1701" w:bottom="1440" w:left="1701" w:header="709" w:footer="709" w:gutter="0"/>
          <w:cols w:space="708"/>
          <w:docGrid w:linePitch="360"/>
        </w:sectPr>
      </w:pPr>
    </w:p>
    <w:p w14:paraId="62895578" w14:textId="77777777" w:rsidR="00F53CB4" w:rsidRPr="006A1EC7" w:rsidRDefault="00F53CB4" w:rsidP="00F53CB4">
      <w:pPr>
        <w:pStyle w:val="Heading2"/>
        <w:rPr>
          <w:rFonts w:ascii="Times New Roman" w:hAnsi="Times New Roman" w:cs="Times New Roman"/>
        </w:rPr>
      </w:pPr>
      <w:bookmarkStart w:id="262" w:name="_Toc40173017"/>
      <w:r w:rsidRPr="006A1EC7">
        <w:rPr>
          <w:rFonts w:ascii="Times New Roman" w:hAnsi="Times New Roman" w:cs="Times New Roman"/>
        </w:rPr>
        <w:lastRenderedPageBreak/>
        <w:t>Qualitative Results</w:t>
      </w:r>
      <w:bookmarkEnd w:id="262"/>
    </w:p>
    <w:p w14:paraId="49A0D886" w14:textId="77777777" w:rsidR="00F53CB4" w:rsidRPr="006A1EC7" w:rsidRDefault="00F53CB4" w:rsidP="00F53CB4">
      <w:pPr>
        <w:spacing w:line="360" w:lineRule="auto"/>
      </w:pPr>
    </w:p>
    <w:p w14:paraId="3A9F7727" w14:textId="77777777" w:rsidR="00F53CB4" w:rsidRPr="006A1EC7" w:rsidRDefault="00F53CB4" w:rsidP="00F53CB4">
      <w:pPr>
        <w:pStyle w:val="Caption"/>
        <w:keepNext/>
        <w:rPr>
          <w:sz w:val="24"/>
          <w:szCs w:val="24"/>
        </w:rPr>
      </w:pPr>
      <w:bookmarkStart w:id="263" w:name="_Toc39270378"/>
      <w:bookmarkStart w:id="264" w:name="_Toc40173077"/>
      <w:r w:rsidRPr="006A1EC7">
        <w:rPr>
          <w:sz w:val="24"/>
          <w:szCs w:val="24"/>
        </w:rPr>
        <w:t xml:space="preserve">Graphic </w:t>
      </w:r>
      <w:r w:rsidRPr="006A1EC7">
        <w:rPr>
          <w:sz w:val="24"/>
          <w:szCs w:val="24"/>
        </w:rPr>
        <w:fldChar w:fldCharType="begin"/>
      </w:r>
      <w:r w:rsidRPr="006A1EC7">
        <w:rPr>
          <w:sz w:val="24"/>
          <w:szCs w:val="24"/>
        </w:rPr>
        <w:instrText xml:space="preserve"> SEQ Graphic \* ARABIC </w:instrText>
      </w:r>
      <w:r w:rsidRPr="006A1EC7">
        <w:rPr>
          <w:sz w:val="24"/>
          <w:szCs w:val="24"/>
        </w:rPr>
        <w:fldChar w:fldCharType="separate"/>
      </w:r>
      <w:r w:rsidRPr="006A1EC7">
        <w:rPr>
          <w:noProof/>
          <w:sz w:val="24"/>
          <w:szCs w:val="24"/>
        </w:rPr>
        <w:t>21</w:t>
      </w:r>
      <w:r w:rsidRPr="006A1EC7">
        <w:rPr>
          <w:sz w:val="24"/>
          <w:szCs w:val="24"/>
        </w:rPr>
        <w:fldChar w:fldCharType="end"/>
      </w:r>
      <w:r w:rsidRPr="006A1EC7">
        <w:rPr>
          <w:sz w:val="24"/>
          <w:szCs w:val="24"/>
        </w:rPr>
        <w:t>: Themes derived from Analysis of Vignette Comments, using Content Analysis</w:t>
      </w:r>
      <w:bookmarkEnd w:id="263"/>
      <w:bookmarkEnd w:id="264"/>
    </w:p>
    <w:p w14:paraId="12AAF148" w14:textId="77777777" w:rsidR="00F53CB4" w:rsidRPr="006A1EC7" w:rsidRDefault="00F53CB4" w:rsidP="00F53CB4">
      <w:pPr>
        <w:spacing w:line="360" w:lineRule="auto"/>
      </w:pPr>
      <w:r w:rsidRPr="006A1EC7">
        <w:rPr>
          <w:noProof/>
          <w:lang w:eastAsia="en-GB"/>
        </w:rPr>
        <w:drawing>
          <wp:inline distT="0" distB="0" distL="0" distR="0" wp14:anchorId="4A468C77" wp14:editId="0F878F92">
            <wp:extent cx="3773347" cy="3174146"/>
            <wp:effectExtent l="0" t="0" r="0" b="127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79610" cy="3179415"/>
                    </a:xfrm>
                    <a:prstGeom prst="rect">
                      <a:avLst/>
                    </a:prstGeom>
                  </pic:spPr>
                </pic:pic>
              </a:graphicData>
            </a:graphic>
          </wp:inline>
        </w:drawing>
      </w:r>
    </w:p>
    <w:p w14:paraId="42F71007" w14:textId="77777777" w:rsidR="00F53CB4" w:rsidRPr="006A1EC7" w:rsidRDefault="00F53CB4" w:rsidP="00F53CB4">
      <w:pPr>
        <w:spacing w:line="360" w:lineRule="auto"/>
      </w:pPr>
    </w:p>
    <w:p w14:paraId="1B2EB137" w14:textId="77777777" w:rsidR="00F53CB4" w:rsidRPr="006A1EC7" w:rsidRDefault="00F53CB4" w:rsidP="00F53CB4">
      <w:pPr>
        <w:spacing w:line="360" w:lineRule="auto"/>
        <w:ind w:firstLine="720"/>
      </w:pPr>
      <w:r w:rsidRPr="006A1EC7">
        <w:t xml:space="preserve">Comments made by the participants were analysed using Content Analysis. From these comments, two main themes were developed: Comments about the ClinRo/COA (Theme 1) and Comments about the Vignette Methodology (Theme 2) (Graphic 20). </w:t>
      </w:r>
    </w:p>
    <w:p w14:paraId="69514832" w14:textId="77777777" w:rsidR="00F53CB4" w:rsidRPr="006A1EC7" w:rsidRDefault="00F53CB4" w:rsidP="00F53CB4">
      <w:pPr>
        <w:spacing w:line="360" w:lineRule="auto"/>
        <w:ind w:firstLine="720"/>
      </w:pPr>
      <w:r w:rsidRPr="006A1EC7">
        <w:t>Theme 1 (Comments about the ClinRo) had 14 subthemes, which were General Comments, General, Graphics, Scoring, Section 1: Facial Features, Section 2: Epilepsy/Seizures, Section 3: Gastrointestinal Features, Section 5: CNS, Section 6: Low Immunity, Section 7: Immunity, Section 8: Sleep, Section 9: Level of care, Summary table, Questions and Comments. Table 32 is the corresponding Thematic Table; comments were grouped. This table reflects how, and if, these suggestion were addressed. This information was used to make changes to the COA.</w:t>
      </w:r>
    </w:p>
    <w:p w14:paraId="6E4B8F5C" w14:textId="77777777" w:rsidR="00F53CB4" w:rsidRPr="006A1EC7" w:rsidRDefault="00F53CB4" w:rsidP="00F53CB4">
      <w:pPr>
        <w:spacing w:line="360" w:lineRule="auto"/>
        <w:ind w:firstLine="720"/>
      </w:pPr>
      <w:r w:rsidRPr="006A1EC7">
        <w:t xml:space="preserve">Theme 2, Comments about the Vignette Methodology, had six subthemes, which are spelling mistakes in vignettes, missing information, information in vignette/s doesn’t fit the correct boxes, extra comments about the vignettes, artificial situation and positive comments. Content of this theme was used to evaluate the methodology of </w:t>
      </w:r>
      <w:r w:rsidRPr="006A1EC7">
        <w:lastRenderedPageBreak/>
        <w:t xml:space="preserve">using vignettes to validate a Clinical outcome assessment. Appendix 7.12 is the corresponding Thematic Table. </w:t>
      </w:r>
    </w:p>
    <w:p w14:paraId="63C7BD85" w14:textId="77777777" w:rsidR="00F53CB4" w:rsidRPr="006A1EC7" w:rsidRDefault="00F53CB4" w:rsidP="00F53CB4">
      <w:pPr>
        <w:spacing w:line="360" w:lineRule="auto"/>
        <w:ind w:left="720"/>
        <w:rPr>
          <w:i/>
        </w:rPr>
        <w:sectPr w:rsidR="00F53CB4" w:rsidRPr="006A1EC7" w:rsidSect="00AC2435">
          <w:type w:val="nextColumn"/>
          <w:pgSz w:w="11900" w:h="16840"/>
          <w:pgMar w:top="1440" w:right="1701" w:bottom="1440" w:left="1701" w:header="709" w:footer="709" w:gutter="0"/>
          <w:cols w:space="708"/>
          <w:docGrid w:linePitch="360"/>
        </w:sectPr>
      </w:pPr>
      <w:r w:rsidRPr="006A1EC7">
        <w:rPr>
          <w:i/>
        </w:rPr>
        <w:t xml:space="preserve">The final version (post vignette study) of the COA is found in Appendix 7. </w:t>
      </w:r>
    </w:p>
    <w:p w14:paraId="00BE9653" w14:textId="77777777" w:rsidR="00F53CB4" w:rsidRPr="006A1EC7" w:rsidRDefault="00F53CB4" w:rsidP="00F53CB4">
      <w:pPr>
        <w:pStyle w:val="Caption"/>
        <w:keepNext/>
        <w:rPr>
          <w:sz w:val="24"/>
          <w:szCs w:val="24"/>
        </w:rPr>
      </w:pPr>
      <w:bookmarkStart w:id="265" w:name="_Toc40173057"/>
      <w:r w:rsidRPr="006A1EC7">
        <w:rPr>
          <w:sz w:val="24"/>
          <w:szCs w:val="24"/>
        </w:rPr>
        <w:lastRenderedPageBreak/>
        <w:t xml:space="preserve">Table </w:t>
      </w:r>
      <w:r w:rsidRPr="006A1EC7">
        <w:rPr>
          <w:sz w:val="24"/>
          <w:szCs w:val="24"/>
        </w:rPr>
        <w:fldChar w:fldCharType="begin"/>
      </w:r>
      <w:r w:rsidRPr="006A1EC7">
        <w:rPr>
          <w:sz w:val="24"/>
          <w:szCs w:val="24"/>
        </w:rPr>
        <w:instrText xml:space="preserve"> SEQ Table \* ARABIC </w:instrText>
      </w:r>
      <w:r w:rsidRPr="006A1EC7">
        <w:rPr>
          <w:sz w:val="24"/>
          <w:szCs w:val="24"/>
        </w:rPr>
        <w:fldChar w:fldCharType="separate"/>
      </w:r>
      <w:r w:rsidRPr="006A1EC7">
        <w:rPr>
          <w:noProof/>
          <w:sz w:val="24"/>
          <w:szCs w:val="24"/>
        </w:rPr>
        <w:t>33</w:t>
      </w:r>
      <w:r w:rsidRPr="006A1EC7">
        <w:rPr>
          <w:sz w:val="24"/>
          <w:szCs w:val="24"/>
        </w:rPr>
        <w:fldChar w:fldCharType="end"/>
      </w:r>
      <w:r w:rsidRPr="006A1EC7">
        <w:rPr>
          <w:sz w:val="24"/>
          <w:szCs w:val="24"/>
        </w:rPr>
        <w:t>: Thematic Table for Theme 1 (Comments about the ClinRo)</w:t>
      </w:r>
      <w:bookmarkEnd w:id="265"/>
    </w:p>
    <w:tbl>
      <w:tblPr>
        <w:tblStyle w:val="TableGrid"/>
        <w:tblW w:w="14312" w:type="dxa"/>
        <w:tblLook w:val="04A0" w:firstRow="1" w:lastRow="0" w:firstColumn="1" w:lastColumn="0" w:noHBand="0" w:noVBand="1"/>
      </w:tblPr>
      <w:tblGrid>
        <w:gridCol w:w="1351"/>
        <w:gridCol w:w="6724"/>
        <w:gridCol w:w="5620"/>
        <w:gridCol w:w="617"/>
      </w:tblGrid>
      <w:tr w:rsidR="00F53CB4" w:rsidRPr="006A1EC7" w14:paraId="5F4CC6E9" w14:textId="77777777" w:rsidTr="00AC2435">
        <w:tc>
          <w:tcPr>
            <w:tcW w:w="1351" w:type="dxa"/>
          </w:tcPr>
          <w:p w14:paraId="2A999D0F" w14:textId="77777777" w:rsidR="00F53CB4" w:rsidRPr="006A1EC7" w:rsidRDefault="00F53CB4" w:rsidP="00AC2435">
            <w:pPr>
              <w:rPr>
                <w:sz w:val="20"/>
              </w:rPr>
            </w:pPr>
            <w:r w:rsidRPr="006A1EC7">
              <w:rPr>
                <w:sz w:val="20"/>
              </w:rPr>
              <w:t>Participant number</w:t>
            </w:r>
          </w:p>
        </w:tc>
        <w:tc>
          <w:tcPr>
            <w:tcW w:w="6724" w:type="dxa"/>
          </w:tcPr>
          <w:p w14:paraId="622B170C" w14:textId="77777777" w:rsidR="00F53CB4" w:rsidRPr="006A1EC7" w:rsidRDefault="00F53CB4" w:rsidP="00AC2435">
            <w:pPr>
              <w:rPr>
                <w:sz w:val="20"/>
              </w:rPr>
            </w:pPr>
            <w:r w:rsidRPr="006A1EC7">
              <w:rPr>
                <w:sz w:val="20"/>
              </w:rPr>
              <w:t>Subtheme</w:t>
            </w:r>
          </w:p>
        </w:tc>
        <w:tc>
          <w:tcPr>
            <w:tcW w:w="5620" w:type="dxa"/>
          </w:tcPr>
          <w:p w14:paraId="2A202175" w14:textId="77777777" w:rsidR="00F53CB4" w:rsidRPr="006A1EC7" w:rsidRDefault="00F53CB4" w:rsidP="00AC2435">
            <w:pPr>
              <w:rPr>
                <w:sz w:val="20"/>
              </w:rPr>
            </w:pPr>
            <w:r w:rsidRPr="006A1EC7">
              <w:rPr>
                <w:sz w:val="20"/>
              </w:rPr>
              <w:t>Actioned or not</w:t>
            </w:r>
          </w:p>
        </w:tc>
        <w:tc>
          <w:tcPr>
            <w:tcW w:w="617" w:type="dxa"/>
          </w:tcPr>
          <w:p w14:paraId="2DB04B7D" w14:textId="77777777" w:rsidR="00F53CB4" w:rsidRPr="006A1EC7" w:rsidRDefault="00F53CB4" w:rsidP="00AC2435">
            <w:pPr>
              <w:rPr>
                <w:sz w:val="20"/>
              </w:rPr>
            </w:pPr>
            <w:r w:rsidRPr="006A1EC7">
              <w:rPr>
                <w:rFonts w:ascii="Segoe UI Symbol" w:hAnsi="Segoe UI Symbol" w:cs="Segoe UI Symbol"/>
                <w:b/>
                <w:bCs/>
                <w:color w:val="222222"/>
                <w:sz w:val="20"/>
              </w:rPr>
              <w:t>✓</w:t>
            </w:r>
            <w:r w:rsidRPr="006A1EC7">
              <w:rPr>
                <w:b/>
                <w:bCs/>
                <w:color w:val="222222"/>
                <w:sz w:val="20"/>
              </w:rPr>
              <w:t xml:space="preserve"> or </w:t>
            </w:r>
            <w:r w:rsidRPr="006A1EC7">
              <w:rPr>
                <w:rFonts w:ascii="Segoe UI Symbol" w:hAnsi="Segoe UI Symbol" w:cs="Segoe UI Symbol"/>
                <w:b/>
                <w:bCs/>
                <w:color w:val="222222"/>
                <w:sz w:val="20"/>
              </w:rPr>
              <w:t>☓</w:t>
            </w:r>
          </w:p>
        </w:tc>
      </w:tr>
      <w:tr w:rsidR="00F53CB4" w:rsidRPr="006A1EC7" w14:paraId="2FC0EEE9" w14:textId="77777777" w:rsidTr="00AC2435">
        <w:tc>
          <w:tcPr>
            <w:tcW w:w="1351" w:type="dxa"/>
            <w:shd w:val="clear" w:color="auto" w:fill="70AD47" w:themeFill="accent6"/>
          </w:tcPr>
          <w:p w14:paraId="1F77C3F2" w14:textId="77777777" w:rsidR="00F53CB4" w:rsidRPr="006A1EC7" w:rsidRDefault="00F53CB4" w:rsidP="00AC2435">
            <w:pPr>
              <w:rPr>
                <w:sz w:val="20"/>
              </w:rPr>
            </w:pPr>
          </w:p>
        </w:tc>
        <w:tc>
          <w:tcPr>
            <w:tcW w:w="6724" w:type="dxa"/>
            <w:shd w:val="clear" w:color="auto" w:fill="70AD47" w:themeFill="accent6"/>
          </w:tcPr>
          <w:p w14:paraId="50A4D296" w14:textId="77777777" w:rsidR="00F53CB4" w:rsidRPr="006A1EC7" w:rsidRDefault="00F53CB4" w:rsidP="00AC2435">
            <w:pPr>
              <w:rPr>
                <w:sz w:val="20"/>
              </w:rPr>
            </w:pPr>
            <w:r w:rsidRPr="006A1EC7">
              <w:rPr>
                <w:sz w:val="20"/>
              </w:rPr>
              <w:t>General</w:t>
            </w:r>
          </w:p>
        </w:tc>
        <w:tc>
          <w:tcPr>
            <w:tcW w:w="5620" w:type="dxa"/>
            <w:shd w:val="clear" w:color="auto" w:fill="70AD47" w:themeFill="accent6"/>
          </w:tcPr>
          <w:p w14:paraId="5E2F9CC2" w14:textId="77777777" w:rsidR="00F53CB4" w:rsidRPr="006A1EC7" w:rsidRDefault="00F53CB4" w:rsidP="00AC2435">
            <w:pPr>
              <w:rPr>
                <w:color w:val="FF0000"/>
                <w:sz w:val="20"/>
              </w:rPr>
            </w:pPr>
          </w:p>
        </w:tc>
        <w:tc>
          <w:tcPr>
            <w:tcW w:w="617" w:type="dxa"/>
            <w:shd w:val="clear" w:color="auto" w:fill="70AD47" w:themeFill="accent6"/>
          </w:tcPr>
          <w:p w14:paraId="639D9744" w14:textId="77777777" w:rsidR="00F53CB4" w:rsidRPr="006A1EC7" w:rsidRDefault="00F53CB4" w:rsidP="00AC2435">
            <w:pPr>
              <w:rPr>
                <w:sz w:val="20"/>
              </w:rPr>
            </w:pPr>
          </w:p>
        </w:tc>
      </w:tr>
      <w:tr w:rsidR="00F53CB4" w:rsidRPr="006A1EC7" w14:paraId="7AC33610" w14:textId="77777777" w:rsidTr="00AC2435">
        <w:tc>
          <w:tcPr>
            <w:tcW w:w="1351" w:type="dxa"/>
          </w:tcPr>
          <w:p w14:paraId="179A2701" w14:textId="77777777" w:rsidR="00F53CB4" w:rsidRPr="006A1EC7" w:rsidRDefault="00F53CB4" w:rsidP="00AC2435">
            <w:pPr>
              <w:rPr>
                <w:sz w:val="20"/>
              </w:rPr>
            </w:pPr>
            <w:r w:rsidRPr="006A1EC7">
              <w:rPr>
                <w:sz w:val="20"/>
              </w:rPr>
              <w:t>4</w:t>
            </w:r>
          </w:p>
          <w:p w14:paraId="0FD71A59" w14:textId="77777777" w:rsidR="00F53CB4" w:rsidRPr="006A1EC7" w:rsidRDefault="00F53CB4" w:rsidP="00AC2435">
            <w:pPr>
              <w:rPr>
                <w:sz w:val="20"/>
              </w:rPr>
            </w:pPr>
          </w:p>
        </w:tc>
        <w:tc>
          <w:tcPr>
            <w:tcW w:w="6724" w:type="dxa"/>
          </w:tcPr>
          <w:p w14:paraId="4A1A78A9" w14:textId="77777777" w:rsidR="00F53CB4" w:rsidRPr="006A1EC7" w:rsidRDefault="00F53CB4" w:rsidP="00AC2435">
            <w:pPr>
              <w:rPr>
                <w:sz w:val="20"/>
              </w:rPr>
            </w:pPr>
            <w:r w:rsidRPr="006A1EC7">
              <w:rPr>
                <w:sz w:val="20"/>
              </w:rPr>
              <w:t>Would be good to see results plotted on a graph then can see which domain score the highest; priority needs</w:t>
            </w:r>
          </w:p>
        </w:tc>
        <w:tc>
          <w:tcPr>
            <w:tcW w:w="5620" w:type="dxa"/>
          </w:tcPr>
          <w:p w14:paraId="7493CB4D" w14:textId="77777777" w:rsidR="00F53CB4" w:rsidRPr="006A1EC7" w:rsidRDefault="00F53CB4" w:rsidP="00AC2435">
            <w:pPr>
              <w:rPr>
                <w:color w:val="FF0000"/>
                <w:sz w:val="20"/>
              </w:rPr>
            </w:pPr>
            <w:r w:rsidRPr="006A1EC7">
              <w:rPr>
                <w:color w:val="000000" w:themeColor="text1"/>
                <w:sz w:val="20"/>
              </w:rPr>
              <w:t xml:space="preserve">Have added the maximum/ minimum scores for each domain and total score; therefore allowing comparison of patient scores with potential minimum and maximum </w:t>
            </w:r>
          </w:p>
        </w:tc>
        <w:tc>
          <w:tcPr>
            <w:tcW w:w="617" w:type="dxa"/>
          </w:tcPr>
          <w:p w14:paraId="64EB35FE"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2E833634" w14:textId="77777777" w:rsidR="00F53CB4" w:rsidRPr="006A1EC7" w:rsidRDefault="00F53CB4" w:rsidP="00AC2435">
            <w:pPr>
              <w:rPr>
                <w:sz w:val="20"/>
              </w:rPr>
            </w:pPr>
          </w:p>
        </w:tc>
      </w:tr>
      <w:tr w:rsidR="00F53CB4" w:rsidRPr="006A1EC7" w14:paraId="443179C6" w14:textId="77777777" w:rsidTr="00AC2435">
        <w:tc>
          <w:tcPr>
            <w:tcW w:w="1351" w:type="dxa"/>
          </w:tcPr>
          <w:p w14:paraId="2DFE0777" w14:textId="77777777" w:rsidR="00F53CB4" w:rsidRPr="006A1EC7" w:rsidRDefault="00F53CB4" w:rsidP="00AC2435">
            <w:pPr>
              <w:rPr>
                <w:sz w:val="20"/>
              </w:rPr>
            </w:pPr>
            <w:r w:rsidRPr="006A1EC7">
              <w:rPr>
                <w:sz w:val="20"/>
              </w:rPr>
              <w:t>107</w:t>
            </w:r>
          </w:p>
        </w:tc>
        <w:tc>
          <w:tcPr>
            <w:tcW w:w="6724" w:type="dxa"/>
          </w:tcPr>
          <w:p w14:paraId="05711941" w14:textId="77777777" w:rsidR="00F53CB4" w:rsidRPr="006A1EC7" w:rsidRDefault="00F53CB4" w:rsidP="00AC2435">
            <w:pPr>
              <w:rPr>
                <w:sz w:val="20"/>
              </w:rPr>
            </w:pPr>
            <w:r w:rsidRPr="006A1EC7">
              <w:rPr>
                <w:sz w:val="20"/>
              </w:rPr>
              <w:t>Section titles and content: I would take out the word symptom from the section titles as the questions are symptoms, score are signs of radiological features. Could just say ‘cardiac and respiratory’</w:t>
            </w:r>
          </w:p>
        </w:tc>
        <w:tc>
          <w:tcPr>
            <w:tcW w:w="5620" w:type="dxa"/>
          </w:tcPr>
          <w:p w14:paraId="5EE28EDB" w14:textId="77777777" w:rsidR="00F53CB4" w:rsidRPr="006A1EC7" w:rsidRDefault="00F53CB4" w:rsidP="00AC2435">
            <w:pPr>
              <w:rPr>
                <w:sz w:val="20"/>
              </w:rPr>
            </w:pPr>
            <w:r w:rsidRPr="006A1EC7">
              <w:rPr>
                <w:color w:val="000000" w:themeColor="text1"/>
                <w:sz w:val="20"/>
              </w:rPr>
              <w:t>Taken Out</w:t>
            </w:r>
          </w:p>
        </w:tc>
        <w:tc>
          <w:tcPr>
            <w:tcW w:w="617" w:type="dxa"/>
          </w:tcPr>
          <w:p w14:paraId="348F42E6"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77063523" w14:textId="77777777" w:rsidR="00F53CB4" w:rsidRPr="006A1EC7" w:rsidRDefault="00F53CB4" w:rsidP="00AC2435">
            <w:pPr>
              <w:rPr>
                <w:sz w:val="20"/>
              </w:rPr>
            </w:pPr>
          </w:p>
        </w:tc>
      </w:tr>
      <w:tr w:rsidR="00F53CB4" w:rsidRPr="006A1EC7" w14:paraId="299A0C75" w14:textId="77777777" w:rsidTr="00AC2435">
        <w:tc>
          <w:tcPr>
            <w:tcW w:w="1351" w:type="dxa"/>
            <w:shd w:val="clear" w:color="auto" w:fill="70AD47" w:themeFill="accent6"/>
          </w:tcPr>
          <w:p w14:paraId="391976B9" w14:textId="77777777" w:rsidR="00F53CB4" w:rsidRPr="006A1EC7" w:rsidRDefault="00F53CB4" w:rsidP="00AC2435">
            <w:pPr>
              <w:jc w:val="center"/>
              <w:rPr>
                <w:sz w:val="20"/>
              </w:rPr>
            </w:pPr>
          </w:p>
        </w:tc>
        <w:tc>
          <w:tcPr>
            <w:tcW w:w="12961" w:type="dxa"/>
            <w:gridSpan w:val="3"/>
            <w:shd w:val="clear" w:color="auto" w:fill="70AD47" w:themeFill="accent6"/>
          </w:tcPr>
          <w:p w14:paraId="20EC7039" w14:textId="77777777" w:rsidR="00F53CB4" w:rsidRPr="006A1EC7" w:rsidRDefault="00F53CB4" w:rsidP="00AC2435">
            <w:pPr>
              <w:jc w:val="center"/>
              <w:rPr>
                <w:sz w:val="20"/>
              </w:rPr>
            </w:pPr>
            <w:r w:rsidRPr="006A1EC7">
              <w:rPr>
                <w:sz w:val="20"/>
              </w:rPr>
              <w:t>Graphics</w:t>
            </w:r>
          </w:p>
        </w:tc>
      </w:tr>
      <w:tr w:rsidR="00F53CB4" w:rsidRPr="006A1EC7" w14:paraId="3C8BB93D" w14:textId="77777777" w:rsidTr="00AC2435">
        <w:tc>
          <w:tcPr>
            <w:tcW w:w="1351" w:type="dxa"/>
          </w:tcPr>
          <w:p w14:paraId="15DC9E80" w14:textId="77777777" w:rsidR="00F53CB4" w:rsidRPr="006A1EC7" w:rsidRDefault="00F53CB4" w:rsidP="00AC2435">
            <w:pPr>
              <w:rPr>
                <w:sz w:val="20"/>
              </w:rPr>
            </w:pPr>
            <w:r w:rsidRPr="006A1EC7">
              <w:rPr>
                <w:sz w:val="20"/>
              </w:rPr>
              <w:t>107</w:t>
            </w:r>
          </w:p>
        </w:tc>
        <w:tc>
          <w:tcPr>
            <w:tcW w:w="6724" w:type="dxa"/>
          </w:tcPr>
          <w:p w14:paraId="4BB95E9B" w14:textId="77777777" w:rsidR="00F53CB4" w:rsidRPr="006A1EC7" w:rsidRDefault="00F53CB4" w:rsidP="00AC2435">
            <w:pPr>
              <w:rPr>
                <w:sz w:val="20"/>
              </w:rPr>
            </w:pPr>
            <w:r w:rsidRPr="006A1EC7">
              <w:rPr>
                <w:sz w:val="20"/>
              </w:rPr>
              <w:t>The questions after a positive statement e.g. seizure frequency after someone has answered yes to epilepsy 0 could they have a different format, e.g. italic/indent/grey box</w:t>
            </w:r>
          </w:p>
        </w:tc>
        <w:tc>
          <w:tcPr>
            <w:tcW w:w="5620" w:type="dxa"/>
          </w:tcPr>
          <w:p w14:paraId="216F2C70" w14:textId="77777777" w:rsidR="00F53CB4" w:rsidRPr="006A1EC7" w:rsidRDefault="00F53CB4" w:rsidP="00AC2435">
            <w:pPr>
              <w:rPr>
                <w:color w:val="000000" w:themeColor="text1"/>
                <w:sz w:val="20"/>
              </w:rPr>
            </w:pPr>
            <w:r w:rsidRPr="006A1EC7">
              <w:rPr>
                <w:color w:val="000000" w:themeColor="text1"/>
                <w:sz w:val="20"/>
              </w:rPr>
              <w:t>Attempted to make it graphically clearer</w:t>
            </w:r>
          </w:p>
        </w:tc>
        <w:tc>
          <w:tcPr>
            <w:tcW w:w="617" w:type="dxa"/>
          </w:tcPr>
          <w:p w14:paraId="41088D25"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001B90B9" w14:textId="77777777" w:rsidR="00F53CB4" w:rsidRPr="006A1EC7" w:rsidRDefault="00F53CB4" w:rsidP="00AC2435">
            <w:pPr>
              <w:rPr>
                <w:sz w:val="20"/>
              </w:rPr>
            </w:pPr>
          </w:p>
        </w:tc>
      </w:tr>
      <w:tr w:rsidR="00F53CB4" w:rsidRPr="006A1EC7" w14:paraId="2E184841" w14:textId="77777777" w:rsidTr="00AC2435">
        <w:tc>
          <w:tcPr>
            <w:tcW w:w="1351" w:type="dxa"/>
          </w:tcPr>
          <w:p w14:paraId="574E1D32" w14:textId="77777777" w:rsidR="00F53CB4" w:rsidRPr="006A1EC7" w:rsidRDefault="00F53CB4" w:rsidP="00AC2435">
            <w:pPr>
              <w:rPr>
                <w:sz w:val="20"/>
              </w:rPr>
            </w:pPr>
            <w:r w:rsidRPr="006A1EC7">
              <w:rPr>
                <w:sz w:val="20"/>
              </w:rPr>
              <w:t>107</w:t>
            </w:r>
          </w:p>
        </w:tc>
        <w:tc>
          <w:tcPr>
            <w:tcW w:w="6724" w:type="dxa"/>
          </w:tcPr>
          <w:p w14:paraId="6AC2ECB1" w14:textId="77777777" w:rsidR="00F53CB4" w:rsidRPr="006A1EC7" w:rsidRDefault="00F53CB4" w:rsidP="00AC2435">
            <w:pPr>
              <w:rPr>
                <w:sz w:val="20"/>
              </w:rPr>
            </w:pPr>
            <w:r w:rsidRPr="006A1EC7">
              <w:rPr>
                <w:sz w:val="20"/>
              </w:rPr>
              <w:t>Layout can be confusing, does it work in 1 column better?</w:t>
            </w:r>
          </w:p>
        </w:tc>
        <w:tc>
          <w:tcPr>
            <w:tcW w:w="5620" w:type="dxa"/>
          </w:tcPr>
          <w:p w14:paraId="52FF20DC" w14:textId="77777777" w:rsidR="00F53CB4" w:rsidRPr="006A1EC7" w:rsidRDefault="00F53CB4" w:rsidP="00AC2435">
            <w:pPr>
              <w:rPr>
                <w:color w:val="000000" w:themeColor="text1"/>
                <w:sz w:val="20"/>
              </w:rPr>
            </w:pPr>
            <w:r w:rsidRPr="006A1EC7">
              <w:rPr>
                <w:color w:val="000000" w:themeColor="text1"/>
                <w:sz w:val="20"/>
              </w:rPr>
              <w:t>Would be too long, already 11 pages long</w:t>
            </w:r>
          </w:p>
        </w:tc>
        <w:tc>
          <w:tcPr>
            <w:tcW w:w="617" w:type="dxa"/>
          </w:tcPr>
          <w:p w14:paraId="209C7A9B" w14:textId="77777777" w:rsidR="00F53CB4" w:rsidRPr="006A1EC7" w:rsidRDefault="00F53CB4" w:rsidP="00AC2435">
            <w:pPr>
              <w:rPr>
                <w:sz w:val="20"/>
              </w:rPr>
            </w:pPr>
            <w:r w:rsidRPr="006A1EC7">
              <w:rPr>
                <w:rFonts w:ascii="Segoe UI Symbol" w:hAnsi="Segoe UI Symbol" w:cs="Segoe UI Symbol"/>
                <w:b/>
                <w:bCs/>
                <w:color w:val="222222"/>
                <w:sz w:val="20"/>
              </w:rPr>
              <w:t>☓</w:t>
            </w:r>
          </w:p>
        </w:tc>
      </w:tr>
      <w:tr w:rsidR="00F53CB4" w:rsidRPr="006A1EC7" w14:paraId="21D5E997" w14:textId="77777777" w:rsidTr="00AC2435">
        <w:tc>
          <w:tcPr>
            <w:tcW w:w="1351" w:type="dxa"/>
            <w:shd w:val="clear" w:color="auto" w:fill="70AD47" w:themeFill="accent6"/>
          </w:tcPr>
          <w:p w14:paraId="7498A513" w14:textId="77777777" w:rsidR="00F53CB4" w:rsidRPr="006A1EC7" w:rsidRDefault="00F53CB4" w:rsidP="00AC2435">
            <w:pPr>
              <w:jc w:val="center"/>
              <w:rPr>
                <w:sz w:val="20"/>
              </w:rPr>
            </w:pPr>
          </w:p>
        </w:tc>
        <w:tc>
          <w:tcPr>
            <w:tcW w:w="12961" w:type="dxa"/>
            <w:gridSpan w:val="3"/>
            <w:shd w:val="clear" w:color="auto" w:fill="70AD47" w:themeFill="accent6"/>
          </w:tcPr>
          <w:p w14:paraId="1F01C456" w14:textId="77777777" w:rsidR="00F53CB4" w:rsidRPr="006A1EC7" w:rsidRDefault="00F53CB4" w:rsidP="00AC2435">
            <w:pPr>
              <w:jc w:val="center"/>
              <w:rPr>
                <w:sz w:val="20"/>
              </w:rPr>
            </w:pPr>
            <w:r w:rsidRPr="006A1EC7">
              <w:rPr>
                <w:sz w:val="20"/>
              </w:rPr>
              <w:t>Scoring</w:t>
            </w:r>
          </w:p>
        </w:tc>
      </w:tr>
      <w:tr w:rsidR="00F53CB4" w:rsidRPr="006A1EC7" w14:paraId="356693DA" w14:textId="77777777" w:rsidTr="00AC2435">
        <w:tc>
          <w:tcPr>
            <w:tcW w:w="1351" w:type="dxa"/>
          </w:tcPr>
          <w:p w14:paraId="266F113C" w14:textId="77777777" w:rsidR="00F53CB4" w:rsidRPr="006A1EC7" w:rsidRDefault="00F53CB4" w:rsidP="00AC2435">
            <w:pPr>
              <w:rPr>
                <w:sz w:val="20"/>
              </w:rPr>
            </w:pPr>
            <w:r w:rsidRPr="006A1EC7">
              <w:rPr>
                <w:sz w:val="20"/>
              </w:rPr>
              <w:t>27, 102, 75, 22, 64, 85, 39</w:t>
            </w:r>
          </w:p>
        </w:tc>
        <w:tc>
          <w:tcPr>
            <w:tcW w:w="6724" w:type="dxa"/>
          </w:tcPr>
          <w:p w14:paraId="0DF4FA4D" w14:textId="77777777" w:rsidR="00F53CB4" w:rsidRPr="006A1EC7" w:rsidRDefault="00F53CB4" w:rsidP="00AC2435">
            <w:pPr>
              <w:rPr>
                <w:sz w:val="20"/>
              </w:rPr>
            </w:pPr>
            <w:r w:rsidRPr="006A1EC7">
              <w:rPr>
                <w:sz w:val="20"/>
              </w:rPr>
              <w:t>Incorrect scoring 5D.1 (No should be 0, not 2)</w:t>
            </w:r>
          </w:p>
        </w:tc>
        <w:tc>
          <w:tcPr>
            <w:tcW w:w="5620" w:type="dxa"/>
          </w:tcPr>
          <w:p w14:paraId="0A3304BD" w14:textId="77777777" w:rsidR="00F53CB4" w:rsidRPr="006A1EC7" w:rsidRDefault="00F53CB4" w:rsidP="00AC2435">
            <w:pPr>
              <w:rPr>
                <w:sz w:val="20"/>
              </w:rPr>
            </w:pPr>
            <w:r w:rsidRPr="006A1EC7">
              <w:rPr>
                <w:sz w:val="20"/>
              </w:rPr>
              <w:t>Corrected</w:t>
            </w:r>
          </w:p>
        </w:tc>
        <w:tc>
          <w:tcPr>
            <w:tcW w:w="617" w:type="dxa"/>
          </w:tcPr>
          <w:p w14:paraId="624972F1"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36CB6ECE" w14:textId="77777777" w:rsidR="00F53CB4" w:rsidRPr="006A1EC7" w:rsidRDefault="00F53CB4" w:rsidP="00AC2435">
            <w:pPr>
              <w:rPr>
                <w:sz w:val="20"/>
              </w:rPr>
            </w:pPr>
          </w:p>
        </w:tc>
      </w:tr>
      <w:tr w:rsidR="00F53CB4" w:rsidRPr="006A1EC7" w14:paraId="4DA2EFD8" w14:textId="77777777" w:rsidTr="00AC2435">
        <w:tc>
          <w:tcPr>
            <w:tcW w:w="1351" w:type="dxa"/>
          </w:tcPr>
          <w:p w14:paraId="3B42E2D2" w14:textId="77777777" w:rsidR="00F53CB4" w:rsidRPr="006A1EC7" w:rsidRDefault="00F53CB4" w:rsidP="00AC2435">
            <w:pPr>
              <w:rPr>
                <w:sz w:val="20"/>
              </w:rPr>
            </w:pPr>
            <w:r w:rsidRPr="006A1EC7">
              <w:rPr>
                <w:sz w:val="20"/>
              </w:rPr>
              <w:t>75, 22, 64, 106, 107</w:t>
            </w:r>
          </w:p>
        </w:tc>
        <w:tc>
          <w:tcPr>
            <w:tcW w:w="6724" w:type="dxa"/>
          </w:tcPr>
          <w:p w14:paraId="100456DA" w14:textId="77777777" w:rsidR="00F53CB4" w:rsidRPr="006A1EC7" w:rsidRDefault="00F53CB4" w:rsidP="00AC2435">
            <w:pPr>
              <w:rPr>
                <w:sz w:val="20"/>
              </w:rPr>
            </w:pPr>
            <w:r w:rsidRPr="006A1EC7">
              <w:rPr>
                <w:sz w:val="20"/>
              </w:rPr>
              <w:t>Incorrect scoring 4A1</w:t>
            </w:r>
          </w:p>
        </w:tc>
        <w:tc>
          <w:tcPr>
            <w:tcW w:w="5620" w:type="dxa"/>
          </w:tcPr>
          <w:p w14:paraId="1184A464" w14:textId="77777777" w:rsidR="00F53CB4" w:rsidRPr="006A1EC7" w:rsidRDefault="00F53CB4" w:rsidP="00AC2435">
            <w:pPr>
              <w:rPr>
                <w:sz w:val="20"/>
              </w:rPr>
            </w:pPr>
            <w:r w:rsidRPr="006A1EC7">
              <w:rPr>
                <w:sz w:val="20"/>
              </w:rPr>
              <w:t>Corrected</w:t>
            </w:r>
          </w:p>
        </w:tc>
        <w:tc>
          <w:tcPr>
            <w:tcW w:w="617" w:type="dxa"/>
          </w:tcPr>
          <w:p w14:paraId="28A356D6"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1D4726A9" w14:textId="77777777" w:rsidR="00F53CB4" w:rsidRPr="006A1EC7" w:rsidRDefault="00F53CB4" w:rsidP="00AC2435">
            <w:pPr>
              <w:rPr>
                <w:sz w:val="20"/>
              </w:rPr>
            </w:pPr>
          </w:p>
        </w:tc>
      </w:tr>
      <w:tr w:rsidR="00F53CB4" w:rsidRPr="006A1EC7" w14:paraId="33287863" w14:textId="77777777" w:rsidTr="00AC2435">
        <w:tc>
          <w:tcPr>
            <w:tcW w:w="1351" w:type="dxa"/>
          </w:tcPr>
          <w:p w14:paraId="7ED8121F" w14:textId="77777777" w:rsidR="00F53CB4" w:rsidRPr="006A1EC7" w:rsidRDefault="00F53CB4" w:rsidP="00AC2435">
            <w:pPr>
              <w:rPr>
                <w:sz w:val="20"/>
              </w:rPr>
            </w:pPr>
            <w:r w:rsidRPr="006A1EC7">
              <w:rPr>
                <w:sz w:val="20"/>
              </w:rPr>
              <w:t>26, 81</w:t>
            </w:r>
          </w:p>
        </w:tc>
        <w:tc>
          <w:tcPr>
            <w:tcW w:w="6724" w:type="dxa"/>
          </w:tcPr>
          <w:p w14:paraId="423C3B9A" w14:textId="77777777" w:rsidR="00F53CB4" w:rsidRPr="006A1EC7" w:rsidRDefault="00F53CB4" w:rsidP="00AC2435">
            <w:pPr>
              <w:rPr>
                <w:sz w:val="20"/>
              </w:rPr>
            </w:pPr>
            <w:r w:rsidRPr="006A1EC7">
              <w:rPr>
                <w:sz w:val="20"/>
              </w:rPr>
              <w:t>Add 3F4: N/A = 0</w:t>
            </w:r>
          </w:p>
          <w:p w14:paraId="1BC76507" w14:textId="77777777" w:rsidR="00F53CB4" w:rsidRPr="006A1EC7" w:rsidRDefault="00F53CB4" w:rsidP="00AC2435">
            <w:pPr>
              <w:rPr>
                <w:sz w:val="20"/>
              </w:rPr>
            </w:pPr>
          </w:p>
        </w:tc>
        <w:tc>
          <w:tcPr>
            <w:tcW w:w="5620" w:type="dxa"/>
          </w:tcPr>
          <w:p w14:paraId="4B7B8E77" w14:textId="77777777" w:rsidR="00F53CB4" w:rsidRPr="006A1EC7" w:rsidRDefault="00F53CB4" w:rsidP="00AC2435">
            <w:pPr>
              <w:rPr>
                <w:sz w:val="20"/>
              </w:rPr>
            </w:pPr>
            <w:r w:rsidRPr="006A1EC7">
              <w:rPr>
                <w:sz w:val="20"/>
              </w:rPr>
              <w:t>Added “if applicable” instead in item above</w:t>
            </w:r>
          </w:p>
        </w:tc>
        <w:tc>
          <w:tcPr>
            <w:tcW w:w="617" w:type="dxa"/>
          </w:tcPr>
          <w:p w14:paraId="5E154BA9"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720489D4" w14:textId="77777777" w:rsidR="00F53CB4" w:rsidRPr="006A1EC7" w:rsidRDefault="00F53CB4" w:rsidP="00AC2435">
            <w:pPr>
              <w:rPr>
                <w:sz w:val="20"/>
              </w:rPr>
            </w:pPr>
          </w:p>
        </w:tc>
      </w:tr>
      <w:tr w:rsidR="00F53CB4" w:rsidRPr="006A1EC7" w14:paraId="654F6599" w14:textId="77777777" w:rsidTr="00AC2435">
        <w:tc>
          <w:tcPr>
            <w:tcW w:w="1351" w:type="dxa"/>
          </w:tcPr>
          <w:p w14:paraId="329F36DF" w14:textId="77777777" w:rsidR="00F53CB4" w:rsidRPr="006A1EC7" w:rsidRDefault="00F53CB4" w:rsidP="00AC2435">
            <w:pPr>
              <w:rPr>
                <w:sz w:val="20"/>
              </w:rPr>
            </w:pPr>
            <w:r w:rsidRPr="006A1EC7">
              <w:rPr>
                <w:sz w:val="20"/>
              </w:rPr>
              <w:t>117</w:t>
            </w:r>
          </w:p>
        </w:tc>
        <w:tc>
          <w:tcPr>
            <w:tcW w:w="6724" w:type="dxa"/>
          </w:tcPr>
          <w:p w14:paraId="2108D8BD" w14:textId="77777777" w:rsidR="00F53CB4" w:rsidRPr="006A1EC7" w:rsidRDefault="00F53CB4" w:rsidP="00AC2435">
            <w:pPr>
              <w:rPr>
                <w:sz w:val="20"/>
              </w:rPr>
            </w:pPr>
            <w:r w:rsidRPr="006A1EC7">
              <w:rPr>
                <w:sz w:val="20"/>
              </w:rPr>
              <w:t>3D needs No as answer</w:t>
            </w:r>
          </w:p>
        </w:tc>
        <w:tc>
          <w:tcPr>
            <w:tcW w:w="5620" w:type="dxa"/>
          </w:tcPr>
          <w:p w14:paraId="6B6F8853" w14:textId="77777777" w:rsidR="00F53CB4" w:rsidRPr="006A1EC7" w:rsidRDefault="00F53CB4" w:rsidP="00AC2435">
            <w:pPr>
              <w:rPr>
                <w:sz w:val="20"/>
              </w:rPr>
            </w:pPr>
            <w:r w:rsidRPr="006A1EC7">
              <w:rPr>
                <w:sz w:val="20"/>
              </w:rPr>
              <w:t>Answer changed from N/A to No to make this clear</w:t>
            </w:r>
          </w:p>
        </w:tc>
        <w:tc>
          <w:tcPr>
            <w:tcW w:w="617" w:type="dxa"/>
          </w:tcPr>
          <w:p w14:paraId="30CDC4CD"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6103AEA2" w14:textId="77777777" w:rsidR="00F53CB4" w:rsidRPr="006A1EC7" w:rsidRDefault="00F53CB4" w:rsidP="00AC2435">
            <w:pPr>
              <w:rPr>
                <w:sz w:val="20"/>
              </w:rPr>
            </w:pPr>
          </w:p>
        </w:tc>
      </w:tr>
      <w:tr w:rsidR="00F53CB4" w:rsidRPr="006A1EC7" w14:paraId="2FE254A0" w14:textId="77777777" w:rsidTr="00AC2435">
        <w:tc>
          <w:tcPr>
            <w:tcW w:w="1351" w:type="dxa"/>
          </w:tcPr>
          <w:p w14:paraId="31F99C3D" w14:textId="77777777" w:rsidR="00F53CB4" w:rsidRPr="006A1EC7" w:rsidRDefault="00F53CB4" w:rsidP="00AC2435">
            <w:pPr>
              <w:rPr>
                <w:sz w:val="20"/>
              </w:rPr>
            </w:pPr>
            <w:r w:rsidRPr="006A1EC7">
              <w:rPr>
                <w:sz w:val="20"/>
              </w:rPr>
              <w:t>29, 81, 107</w:t>
            </w:r>
          </w:p>
        </w:tc>
        <w:tc>
          <w:tcPr>
            <w:tcW w:w="6724" w:type="dxa"/>
          </w:tcPr>
          <w:p w14:paraId="4FEB9B16" w14:textId="77777777" w:rsidR="00F53CB4" w:rsidRPr="006A1EC7" w:rsidRDefault="00F53CB4" w:rsidP="00AC2435">
            <w:pPr>
              <w:rPr>
                <w:sz w:val="20"/>
              </w:rPr>
            </w:pPr>
            <w:r w:rsidRPr="006A1EC7">
              <w:rPr>
                <w:sz w:val="20"/>
              </w:rPr>
              <w:t>1K: ‘Why is absent the first choice here? Confusing’</w:t>
            </w:r>
          </w:p>
          <w:p w14:paraId="1CA98D69" w14:textId="77777777" w:rsidR="00F53CB4" w:rsidRPr="006A1EC7" w:rsidRDefault="00F53CB4" w:rsidP="00AC2435">
            <w:pPr>
              <w:rPr>
                <w:sz w:val="20"/>
              </w:rPr>
            </w:pPr>
          </w:p>
        </w:tc>
        <w:tc>
          <w:tcPr>
            <w:tcW w:w="5620" w:type="dxa"/>
          </w:tcPr>
          <w:p w14:paraId="2FA2B6A2" w14:textId="77777777" w:rsidR="00F53CB4" w:rsidRPr="006A1EC7" w:rsidRDefault="00F53CB4" w:rsidP="00AC2435">
            <w:pPr>
              <w:rPr>
                <w:sz w:val="20"/>
              </w:rPr>
            </w:pPr>
            <w:r w:rsidRPr="006A1EC7">
              <w:rPr>
                <w:sz w:val="20"/>
              </w:rPr>
              <w:t>Order changed</w:t>
            </w:r>
          </w:p>
        </w:tc>
        <w:tc>
          <w:tcPr>
            <w:tcW w:w="617" w:type="dxa"/>
          </w:tcPr>
          <w:p w14:paraId="10453541"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4A18AE44" w14:textId="77777777" w:rsidR="00F53CB4" w:rsidRPr="006A1EC7" w:rsidRDefault="00F53CB4" w:rsidP="00AC2435">
            <w:pPr>
              <w:rPr>
                <w:sz w:val="20"/>
              </w:rPr>
            </w:pPr>
          </w:p>
        </w:tc>
      </w:tr>
      <w:tr w:rsidR="00F53CB4" w:rsidRPr="006A1EC7" w14:paraId="534C6F37" w14:textId="77777777" w:rsidTr="00AC2435">
        <w:tc>
          <w:tcPr>
            <w:tcW w:w="1351" w:type="dxa"/>
          </w:tcPr>
          <w:p w14:paraId="18D54383" w14:textId="77777777" w:rsidR="00F53CB4" w:rsidRPr="006A1EC7" w:rsidRDefault="00F53CB4" w:rsidP="00AC2435">
            <w:pPr>
              <w:rPr>
                <w:sz w:val="20"/>
              </w:rPr>
            </w:pPr>
            <w:r w:rsidRPr="006A1EC7">
              <w:rPr>
                <w:sz w:val="20"/>
              </w:rPr>
              <w:t>107</w:t>
            </w:r>
          </w:p>
        </w:tc>
        <w:tc>
          <w:tcPr>
            <w:tcW w:w="6724" w:type="dxa"/>
          </w:tcPr>
          <w:p w14:paraId="488BB3B5" w14:textId="77777777" w:rsidR="00F53CB4" w:rsidRPr="006A1EC7" w:rsidRDefault="00F53CB4" w:rsidP="00AC2435">
            <w:pPr>
              <w:rPr>
                <w:sz w:val="20"/>
              </w:rPr>
            </w:pPr>
            <w:r w:rsidRPr="006A1EC7">
              <w:rPr>
                <w:sz w:val="20"/>
              </w:rPr>
              <w:t>Could you put in what each section score is out of, e.g. max points to give an idea of severity.</w:t>
            </w:r>
          </w:p>
        </w:tc>
        <w:tc>
          <w:tcPr>
            <w:tcW w:w="5620" w:type="dxa"/>
          </w:tcPr>
          <w:p w14:paraId="327A0CA8" w14:textId="77777777" w:rsidR="00F53CB4" w:rsidRPr="006A1EC7" w:rsidRDefault="00F53CB4" w:rsidP="00AC2435">
            <w:pPr>
              <w:rPr>
                <w:sz w:val="20"/>
              </w:rPr>
            </w:pPr>
            <w:r w:rsidRPr="006A1EC7">
              <w:rPr>
                <w:sz w:val="20"/>
              </w:rPr>
              <w:t>Added</w:t>
            </w:r>
          </w:p>
        </w:tc>
        <w:tc>
          <w:tcPr>
            <w:tcW w:w="617" w:type="dxa"/>
          </w:tcPr>
          <w:p w14:paraId="0F446413"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4DBFD49D" w14:textId="77777777" w:rsidR="00F53CB4" w:rsidRPr="006A1EC7" w:rsidRDefault="00F53CB4" w:rsidP="00AC2435">
            <w:pPr>
              <w:rPr>
                <w:sz w:val="20"/>
              </w:rPr>
            </w:pPr>
          </w:p>
        </w:tc>
      </w:tr>
      <w:tr w:rsidR="00F53CB4" w:rsidRPr="006A1EC7" w14:paraId="113D6FF6" w14:textId="77777777" w:rsidTr="00AC2435">
        <w:tc>
          <w:tcPr>
            <w:tcW w:w="1351" w:type="dxa"/>
            <w:shd w:val="clear" w:color="auto" w:fill="70AD47" w:themeFill="accent6"/>
          </w:tcPr>
          <w:p w14:paraId="36536533" w14:textId="77777777" w:rsidR="00F53CB4" w:rsidRPr="006A1EC7" w:rsidRDefault="00F53CB4" w:rsidP="00AC2435">
            <w:pPr>
              <w:jc w:val="center"/>
              <w:rPr>
                <w:sz w:val="20"/>
              </w:rPr>
            </w:pPr>
          </w:p>
        </w:tc>
        <w:tc>
          <w:tcPr>
            <w:tcW w:w="12961" w:type="dxa"/>
            <w:gridSpan w:val="3"/>
            <w:shd w:val="clear" w:color="auto" w:fill="70AD47" w:themeFill="accent6"/>
          </w:tcPr>
          <w:p w14:paraId="385E35A9" w14:textId="77777777" w:rsidR="00F53CB4" w:rsidRPr="006A1EC7" w:rsidRDefault="00F53CB4" w:rsidP="00AC2435">
            <w:pPr>
              <w:jc w:val="center"/>
              <w:rPr>
                <w:sz w:val="20"/>
              </w:rPr>
            </w:pPr>
            <w:r w:rsidRPr="006A1EC7">
              <w:rPr>
                <w:sz w:val="20"/>
              </w:rPr>
              <w:t xml:space="preserve">Section 1: Facial Features </w:t>
            </w:r>
          </w:p>
        </w:tc>
      </w:tr>
      <w:tr w:rsidR="00F53CB4" w:rsidRPr="006A1EC7" w14:paraId="686CCFA8" w14:textId="77777777" w:rsidTr="00AC2435">
        <w:tc>
          <w:tcPr>
            <w:tcW w:w="1351" w:type="dxa"/>
          </w:tcPr>
          <w:p w14:paraId="7CFCE27E" w14:textId="77777777" w:rsidR="00F53CB4" w:rsidRPr="006A1EC7" w:rsidRDefault="00F53CB4" w:rsidP="00AC2435">
            <w:pPr>
              <w:rPr>
                <w:sz w:val="20"/>
              </w:rPr>
            </w:pPr>
            <w:r w:rsidRPr="006A1EC7">
              <w:rPr>
                <w:sz w:val="20"/>
              </w:rPr>
              <w:t>99</w:t>
            </w:r>
          </w:p>
        </w:tc>
        <w:tc>
          <w:tcPr>
            <w:tcW w:w="6724" w:type="dxa"/>
          </w:tcPr>
          <w:p w14:paraId="0C89E979" w14:textId="77777777" w:rsidR="00F53CB4" w:rsidRPr="006A1EC7" w:rsidRDefault="00F53CB4" w:rsidP="00AC2435">
            <w:pPr>
              <w:rPr>
                <w:sz w:val="20"/>
              </w:rPr>
            </w:pPr>
            <w:r w:rsidRPr="006A1EC7">
              <w:rPr>
                <w:sz w:val="20"/>
              </w:rPr>
              <w:t>Question 2 is a little ambiguous. Would need more information for complete assessment.</w:t>
            </w:r>
          </w:p>
        </w:tc>
        <w:tc>
          <w:tcPr>
            <w:tcW w:w="5620" w:type="dxa"/>
          </w:tcPr>
          <w:p w14:paraId="21CE7770" w14:textId="77777777" w:rsidR="00F53CB4" w:rsidRPr="006A1EC7" w:rsidRDefault="00F53CB4" w:rsidP="00AC2435">
            <w:pPr>
              <w:rPr>
                <w:sz w:val="20"/>
              </w:rPr>
            </w:pPr>
            <w:r w:rsidRPr="006A1EC7">
              <w:rPr>
                <w:sz w:val="20"/>
              </w:rPr>
              <w:t>Unclear about this question</w:t>
            </w:r>
          </w:p>
        </w:tc>
        <w:tc>
          <w:tcPr>
            <w:tcW w:w="617" w:type="dxa"/>
          </w:tcPr>
          <w:p w14:paraId="08C8CB2C"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1A271567" w14:textId="77777777" w:rsidR="00F53CB4" w:rsidRPr="006A1EC7" w:rsidRDefault="00F53CB4" w:rsidP="00AC2435">
            <w:pPr>
              <w:rPr>
                <w:sz w:val="20"/>
              </w:rPr>
            </w:pPr>
          </w:p>
        </w:tc>
      </w:tr>
      <w:tr w:rsidR="00F53CB4" w:rsidRPr="006A1EC7" w14:paraId="7B4F11DB" w14:textId="77777777" w:rsidTr="00AC2435">
        <w:tc>
          <w:tcPr>
            <w:tcW w:w="1351" w:type="dxa"/>
          </w:tcPr>
          <w:p w14:paraId="3167458F" w14:textId="77777777" w:rsidR="00F53CB4" w:rsidRPr="006A1EC7" w:rsidRDefault="00F53CB4" w:rsidP="00AC2435">
            <w:pPr>
              <w:rPr>
                <w:sz w:val="20"/>
              </w:rPr>
            </w:pPr>
            <w:r w:rsidRPr="006A1EC7">
              <w:rPr>
                <w:sz w:val="20"/>
              </w:rPr>
              <w:t>95</w:t>
            </w:r>
          </w:p>
        </w:tc>
        <w:tc>
          <w:tcPr>
            <w:tcW w:w="6724" w:type="dxa"/>
          </w:tcPr>
          <w:p w14:paraId="61E45D82" w14:textId="77777777" w:rsidR="00F53CB4" w:rsidRPr="006A1EC7" w:rsidRDefault="00F53CB4" w:rsidP="00AC2435">
            <w:pPr>
              <w:rPr>
                <w:sz w:val="20"/>
              </w:rPr>
            </w:pPr>
            <w:r w:rsidRPr="006A1EC7">
              <w:rPr>
                <w:sz w:val="20"/>
              </w:rPr>
              <w:t>Explain symptoms in facial features section, Glabella, Greek Warrior helmet appearance ‘raised forehead’ instead of high hair-line?</w:t>
            </w:r>
          </w:p>
        </w:tc>
        <w:tc>
          <w:tcPr>
            <w:tcW w:w="5620" w:type="dxa"/>
          </w:tcPr>
          <w:p w14:paraId="10E426E9" w14:textId="77777777" w:rsidR="00F53CB4" w:rsidRPr="006A1EC7" w:rsidRDefault="00F53CB4" w:rsidP="00AC2435">
            <w:pPr>
              <w:rPr>
                <w:sz w:val="20"/>
              </w:rPr>
            </w:pPr>
            <w:r w:rsidRPr="006A1EC7">
              <w:rPr>
                <w:sz w:val="20"/>
              </w:rPr>
              <w:t>Corrected for</w:t>
            </w:r>
          </w:p>
        </w:tc>
        <w:tc>
          <w:tcPr>
            <w:tcW w:w="617" w:type="dxa"/>
          </w:tcPr>
          <w:p w14:paraId="1BB57497"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1B468453" w14:textId="77777777" w:rsidR="00F53CB4" w:rsidRPr="006A1EC7" w:rsidRDefault="00F53CB4" w:rsidP="00AC2435">
            <w:pPr>
              <w:rPr>
                <w:sz w:val="20"/>
              </w:rPr>
            </w:pPr>
          </w:p>
        </w:tc>
      </w:tr>
      <w:tr w:rsidR="00F53CB4" w:rsidRPr="006A1EC7" w14:paraId="2DECCC2F" w14:textId="77777777" w:rsidTr="00AC2435">
        <w:tc>
          <w:tcPr>
            <w:tcW w:w="1351" w:type="dxa"/>
          </w:tcPr>
          <w:p w14:paraId="236CF71F" w14:textId="77777777" w:rsidR="00F53CB4" w:rsidRPr="006A1EC7" w:rsidRDefault="00F53CB4" w:rsidP="00AC2435">
            <w:pPr>
              <w:rPr>
                <w:sz w:val="20"/>
              </w:rPr>
            </w:pPr>
            <w:r w:rsidRPr="006A1EC7">
              <w:rPr>
                <w:sz w:val="20"/>
              </w:rPr>
              <w:t>96, 26, 117</w:t>
            </w:r>
          </w:p>
        </w:tc>
        <w:tc>
          <w:tcPr>
            <w:tcW w:w="6724" w:type="dxa"/>
          </w:tcPr>
          <w:p w14:paraId="26511DC8" w14:textId="77777777" w:rsidR="00F53CB4" w:rsidRPr="006A1EC7" w:rsidRDefault="00F53CB4" w:rsidP="00AC2435">
            <w:pPr>
              <w:rPr>
                <w:sz w:val="20"/>
              </w:rPr>
            </w:pPr>
            <w:r w:rsidRPr="006A1EC7">
              <w:rPr>
                <w:sz w:val="20"/>
              </w:rPr>
              <w:t>Difference between high hairline and high forehead;</w:t>
            </w:r>
          </w:p>
          <w:p w14:paraId="10F03A01" w14:textId="77777777" w:rsidR="00F53CB4" w:rsidRPr="006A1EC7" w:rsidRDefault="00F53CB4" w:rsidP="00AC2435">
            <w:pPr>
              <w:rPr>
                <w:sz w:val="20"/>
              </w:rPr>
            </w:pPr>
            <w:r w:rsidRPr="006A1EC7">
              <w:rPr>
                <w:sz w:val="20"/>
              </w:rPr>
              <w:t>Is high hairline = raised forehead, what does this mean?</w:t>
            </w:r>
          </w:p>
        </w:tc>
        <w:tc>
          <w:tcPr>
            <w:tcW w:w="5620" w:type="dxa"/>
          </w:tcPr>
          <w:p w14:paraId="6AEE029D" w14:textId="77777777" w:rsidR="00F53CB4" w:rsidRPr="006A1EC7" w:rsidRDefault="00F53CB4" w:rsidP="00AC2435">
            <w:pPr>
              <w:rPr>
                <w:sz w:val="20"/>
              </w:rPr>
            </w:pPr>
            <w:r w:rsidRPr="006A1EC7">
              <w:rPr>
                <w:sz w:val="20"/>
              </w:rPr>
              <w:t>Corrected for</w:t>
            </w:r>
          </w:p>
        </w:tc>
        <w:tc>
          <w:tcPr>
            <w:tcW w:w="617" w:type="dxa"/>
          </w:tcPr>
          <w:p w14:paraId="47E74176"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0DC73299" w14:textId="77777777" w:rsidR="00F53CB4" w:rsidRPr="006A1EC7" w:rsidRDefault="00F53CB4" w:rsidP="00AC2435">
            <w:pPr>
              <w:rPr>
                <w:sz w:val="20"/>
              </w:rPr>
            </w:pPr>
          </w:p>
        </w:tc>
      </w:tr>
      <w:tr w:rsidR="00F53CB4" w:rsidRPr="006A1EC7" w14:paraId="7D469DEE" w14:textId="77777777" w:rsidTr="00AC2435">
        <w:tc>
          <w:tcPr>
            <w:tcW w:w="1351" w:type="dxa"/>
            <w:shd w:val="clear" w:color="auto" w:fill="70AD47" w:themeFill="accent6"/>
          </w:tcPr>
          <w:p w14:paraId="7061EE2E" w14:textId="77777777" w:rsidR="00F53CB4" w:rsidRPr="006A1EC7" w:rsidRDefault="00F53CB4" w:rsidP="00AC2435">
            <w:pPr>
              <w:jc w:val="center"/>
              <w:rPr>
                <w:sz w:val="20"/>
              </w:rPr>
            </w:pPr>
          </w:p>
        </w:tc>
        <w:tc>
          <w:tcPr>
            <w:tcW w:w="12961" w:type="dxa"/>
            <w:gridSpan w:val="3"/>
            <w:shd w:val="clear" w:color="auto" w:fill="70AD47" w:themeFill="accent6"/>
          </w:tcPr>
          <w:p w14:paraId="77FB4302" w14:textId="77777777" w:rsidR="00F53CB4" w:rsidRPr="006A1EC7" w:rsidRDefault="00F53CB4" w:rsidP="00AC2435">
            <w:pPr>
              <w:jc w:val="center"/>
              <w:rPr>
                <w:sz w:val="20"/>
              </w:rPr>
            </w:pPr>
            <w:r w:rsidRPr="006A1EC7">
              <w:rPr>
                <w:sz w:val="20"/>
              </w:rPr>
              <w:t>Section 2: Epilepsy</w:t>
            </w:r>
          </w:p>
        </w:tc>
      </w:tr>
      <w:tr w:rsidR="00F53CB4" w:rsidRPr="006A1EC7" w14:paraId="781B7867" w14:textId="77777777" w:rsidTr="00AC2435">
        <w:tc>
          <w:tcPr>
            <w:tcW w:w="1351" w:type="dxa"/>
            <w:shd w:val="clear" w:color="auto" w:fill="FFFFFF" w:themeFill="background1"/>
          </w:tcPr>
          <w:p w14:paraId="1925BD8E" w14:textId="77777777" w:rsidR="00F53CB4" w:rsidRPr="006A1EC7" w:rsidRDefault="00F53CB4" w:rsidP="00AC2435">
            <w:pPr>
              <w:rPr>
                <w:sz w:val="20"/>
              </w:rPr>
            </w:pPr>
            <w:r w:rsidRPr="006A1EC7">
              <w:rPr>
                <w:sz w:val="20"/>
              </w:rPr>
              <w:t>107</w:t>
            </w:r>
          </w:p>
        </w:tc>
        <w:tc>
          <w:tcPr>
            <w:tcW w:w="6724" w:type="dxa"/>
            <w:shd w:val="clear" w:color="auto" w:fill="FFFFFF" w:themeFill="background1"/>
          </w:tcPr>
          <w:p w14:paraId="57E5C16F" w14:textId="77777777" w:rsidR="00F53CB4" w:rsidRPr="006A1EC7" w:rsidRDefault="00F53CB4" w:rsidP="00AC2435">
            <w:pPr>
              <w:rPr>
                <w:sz w:val="20"/>
              </w:rPr>
            </w:pPr>
            <w:r w:rsidRPr="006A1EC7">
              <w:rPr>
                <w:sz w:val="20"/>
              </w:rPr>
              <w:t>Says 2.C.1: strictly should this be 2.C as it breaks into further questions after</w:t>
            </w:r>
          </w:p>
        </w:tc>
        <w:tc>
          <w:tcPr>
            <w:tcW w:w="5620" w:type="dxa"/>
            <w:shd w:val="clear" w:color="auto" w:fill="FFFFFF" w:themeFill="background1"/>
          </w:tcPr>
          <w:p w14:paraId="243A98CA" w14:textId="77777777" w:rsidR="00F53CB4" w:rsidRPr="006A1EC7" w:rsidRDefault="00F53CB4" w:rsidP="00AC2435">
            <w:pPr>
              <w:rPr>
                <w:sz w:val="20"/>
              </w:rPr>
            </w:pPr>
            <w:r w:rsidRPr="006A1EC7">
              <w:rPr>
                <w:sz w:val="20"/>
              </w:rPr>
              <w:t>Numbering is coherent with design</w:t>
            </w:r>
          </w:p>
        </w:tc>
        <w:tc>
          <w:tcPr>
            <w:tcW w:w="617" w:type="dxa"/>
            <w:shd w:val="clear" w:color="auto" w:fill="FFFFFF" w:themeFill="background1"/>
          </w:tcPr>
          <w:p w14:paraId="77045293"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7BE0BF65" w14:textId="77777777" w:rsidR="00F53CB4" w:rsidRPr="006A1EC7" w:rsidRDefault="00F53CB4" w:rsidP="00AC2435">
            <w:pPr>
              <w:rPr>
                <w:sz w:val="20"/>
              </w:rPr>
            </w:pPr>
          </w:p>
        </w:tc>
      </w:tr>
      <w:tr w:rsidR="00F53CB4" w:rsidRPr="006A1EC7" w14:paraId="63B1A656" w14:textId="77777777" w:rsidTr="00AC2435">
        <w:tc>
          <w:tcPr>
            <w:tcW w:w="1351" w:type="dxa"/>
            <w:shd w:val="clear" w:color="auto" w:fill="70AD47" w:themeFill="accent6"/>
          </w:tcPr>
          <w:p w14:paraId="50E70B37" w14:textId="77777777" w:rsidR="00F53CB4" w:rsidRPr="006A1EC7" w:rsidRDefault="00F53CB4" w:rsidP="00AC2435">
            <w:pPr>
              <w:jc w:val="center"/>
              <w:rPr>
                <w:sz w:val="20"/>
              </w:rPr>
            </w:pPr>
          </w:p>
        </w:tc>
        <w:tc>
          <w:tcPr>
            <w:tcW w:w="12961" w:type="dxa"/>
            <w:gridSpan w:val="3"/>
            <w:shd w:val="clear" w:color="auto" w:fill="70AD47" w:themeFill="accent6"/>
          </w:tcPr>
          <w:p w14:paraId="4AA62A4D" w14:textId="77777777" w:rsidR="00F53CB4" w:rsidRPr="006A1EC7" w:rsidRDefault="00F53CB4" w:rsidP="00AC2435">
            <w:pPr>
              <w:jc w:val="center"/>
              <w:rPr>
                <w:sz w:val="20"/>
              </w:rPr>
            </w:pPr>
            <w:r w:rsidRPr="006A1EC7">
              <w:rPr>
                <w:sz w:val="20"/>
              </w:rPr>
              <w:t>Section 3: Gastrointestinal</w:t>
            </w:r>
          </w:p>
        </w:tc>
      </w:tr>
      <w:tr w:rsidR="00F53CB4" w:rsidRPr="006A1EC7" w14:paraId="1F1BB1EF" w14:textId="77777777" w:rsidTr="00AC2435">
        <w:tc>
          <w:tcPr>
            <w:tcW w:w="1351" w:type="dxa"/>
          </w:tcPr>
          <w:p w14:paraId="31470D55" w14:textId="77777777" w:rsidR="00F53CB4" w:rsidRPr="006A1EC7" w:rsidRDefault="00F53CB4" w:rsidP="00AC2435">
            <w:pPr>
              <w:rPr>
                <w:sz w:val="20"/>
              </w:rPr>
            </w:pPr>
            <w:r w:rsidRPr="006A1EC7">
              <w:rPr>
                <w:sz w:val="20"/>
              </w:rPr>
              <w:t>95, 38, 107</w:t>
            </w:r>
          </w:p>
        </w:tc>
        <w:tc>
          <w:tcPr>
            <w:tcW w:w="6724" w:type="dxa"/>
          </w:tcPr>
          <w:p w14:paraId="0DD7326D" w14:textId="77777777" w:rsidR="00F53CB4" w:rsidRPr="006A1EC7" w:rsidRDefault="00F53CB4" w:rsidP="00AC2435">
            <w:pPr>
              <w:rPr>
                <w:sz w:val="20"/>
              </w:rPr>
            </w:pPr>
            <w:r w:rsidRPr="006A1EC7">
              <w:rPr>
                <w:sz w:val="20"/>
              </w:rPr>
              <w:t>Rename section 3</w:t>
            </w:r>
          </w:p>
          <w:p w14:paraId="13B62A16" w14:textId="77777777" w:rsidR="00F53CB4" w:rsidRPr="006A1EC7" w:rsidRDefault="00F53CB4" w:rsidP="00AC2435">
            <w:pPr>
              <w:rPr>
                <w:sz w:val="20"/>
              </w:rPr>
            </w:pPr>
            <w:r w:rsidRPr="006A1EC7">
              <w:rPr>
                <w:sz w:val="20"/>
              </w:rPr>
              <w:t>“Gastrointestinal symptoms + genitourinary symptoms”</w:t>
            </w:r>
          </w:p>
        </w:tc>
        <w:tc>
          <w:tcPr>
            <w:tcW w:w="5620" w:type="dxa"/>
          </w:tcPr>
          <w:p w14:paraId="4E794118" w14:textId="77777777" w:rsidR="00F53CB4" w:rsidRPr="006A1EC7" w:rsidRDefault="00F53CB4" w:rsidP="00AC2435">
            <w:pPr>
              <w:tabs>
                <w:tab w:val="left" w:pos="472"/>
              </w:tabs>
              <w:rPr>
                <w:sz w:val="20"/>
              </w:rPr>
            </w:pPr>
            <w:r w:rsidRPr="006A1EC7">
              <w:rPr>
                <w:sz w:val="20"/>
              </w:rPr>
              <w:t>Changed</w:t>
            </w:r>
          </w:p>
        </w:tc>
        <w:tc>
          <w:tcPr>
            <w:tcW w:w="617" w:type="dxa"/>
          </w:tcPr>
          <w:p w14:paraId="1CC30AEA"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01867AA5" w14:textId="77777777" w:rsidR="00F53CB4" w:rsidRPr="006A1EC7" w:rsidRDefault="00F53CB4" w:rsidP="00AC2435">
            <w:pPr>
              <w:rPr>
                <w:sz w:val="20"/>
              </w:rPr>
            </w:pPr>
          </w:p>
        </w:tc>
      </w:tr>
      <w:tr w:rsidR="00F53CB4" w:rsidRPr="006A1EC7" w14:paraId="6680B0FE" w14:textId="77777777" w:rsidTr="00AC2435">
        <w:tc>
          <w:tcPr>
            <w:tcW w:w="1351" w:type="dxa"/>
          </w:tcPr>
          <w:p w14:paraId="0485D4D4" w14:textId="77777777" w:rsidR="00F53CB4" w:rsidRPr="006A1EC7" w:rsidRDefault="00F53CB4" w:rsidP="00AC2435">
            <w:pPr>
              <w:rPr>
                <w:sz w:val="20"/>
              </w:rPr>
            </w:pPr>
            <w:r w:rsidRPr="006A1EC7">
              <w:rPr>
                <w:sz w:val="20"/>
              </w:rPr>
              <w:t>84</w:t>
            </w:r>
          </w:p>
        </w:tc>
        <w:tc>
          <w:tcPr>
            <w:tcW w:w="6724" w:type="dxa"/>
          </w:tcPr>
          <w:p w14:paraId="1D426E12" w14:textId="77777777" w:rsidR="00F53CB4" w:rsidRPr="006A1EC7" w:rsidRDefault="00F53CB4" w:rsidP="00AC2435">
            <w:pPr>
              <w:rPr>
                <w:sz w:val="20"/>
              </w:rPr>
            </w:pPr>
            <w:r w:rsidRPr="006A1EC7">
              <w:rPr>
                <w:sz w:val="20"/>
              </w:rPr>
              <w:t xml:space="preserve">3A.3 ‘If patient is oral- ? odd phrasing; “If patient is oral” sounds a bit odd/defining; ? “eats (illegible)/orally” </w:t>
            </w:r>
          </w:p>
        </w:tc>
        <w:tc>
          <w:tcPr>
            <w:tcW w:w="5620" w:type="dxa"/>
          </w:tcPr>
          <w:p w14:paraId="18856858" w14:textId="77777777" w:rsidR="00F53CB4" w:rsidRPr="006A1EC7" w:rsidRDefault="00F53CB4" w:rsidP="00AC2435">
            <w:pPr>
              <w:rPr>
                <w:sz w:val="20"/>
              </w:rPr>
            </w:pPr>
            <w:r w:rsidRPr="006A1EC7">
              <w:rPr>
                <w:sz w:val="20"/>
              </w:rPr>
              <w:t>Changed slightly to ‘If Patient is able to eat orally’</w:t>
            </w:r>
          </w:p>
        </w:tc>
        <w:tc>
          <w:tcPr>
            <w:tcW w:w="617" w:type="dxa"/>
          </w:tcPr>
          <w:p w14:paraId="5100B1DA"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22B3CB08" w14:textId="77777777" w:rsidR="00F53CB4" w:rsidRPr="006A1EC7" w:rsidRDefault="00F53CB4" w:rsidP="00AC2435">
            <w:pPr>
              <w:rPr>
                <w:sz w:val="20"/>
              </w:rPr>
            </w:pPr>
          </w:p>
        </w:tc>
      </w:tr>
      <w:tr w:rsidR="00F53CB4" w:rsidRPr="006A1EC7" w14:paraId="3E3D26C2" w14:textId="77777777" w:rsidTr="00AC2435">
        <w:tc>
          <w:tcPr>
            <w:tcW w:w="1351" w:type="dxa"/>
          </w:tcPr>
          <w:p w14:paraId="7212FE3A" w14:textId="77777777" w:rsidR="00F53CB4" w:rsidRPr="006A1EC7" w:rsidRDefault="00F53CB4" w:rsidP="00AC2435">
            <w:pPr>
              <w:rPr>
                <w:sz w:val="20"/>
              </w:rPr>
            </w:pPr>
            <w:r w:rsidRPr="006A1EC7">
              <w:rPr>
                <w:sz w:val="20"/>
              </w:rPr>
              <w:t>26</w:t>
            </w:r>
          </w:p>
        </w:tc>
        <w:tc>
          <w:tcPr>
            <w:tcW w:w="6724" w:type="dxa"/>
          </w:tcPr>
          <w:p w14:paraId="5DAFDDDF" w14:textId="77777777" w:rsidR="00F53CB4" w:rsidRPr="006A1EC7" w:rsidRDefault="00F53CB4" w:rsidP="00AC2435">
            <w:pPr>
              <w:rPr>
                <w:sz w:val="20"/>
              </w:rPr>
            </w:pPr>
            <w:r w:rsidRPr="006A1EC7">
              <w:rPr>
                <w:sz w:val="20"/>
              </w:rPr>
              <w:t>Aspiration: given 0, since PEG solved issue (otherwise would be 2)</w:t>
            </w:r>
          </w:p>
        </w:tc>
        <w:tc>
          <w:tcPr>
            <w:tcW w:w="5620" w:type="dxa"/>
          </w:tcPr>
          <w:p w14:paraId="3EDF95F2" w14:textId="77777777" w:rsidR="00F53CB4" w:rsidRPr="006A1EC7" w:rsidRDefault="00F53CB4" w:rsidP="00AC2435">
            <w:pPr>
              <w:rPr>
                <w:sz w:val="20"/>
              </w:rPr>
            </w:pPr>
            <w:r w:rsidRPr="006A1EC7">
              <w:rPr>
                <w:sz w:val="20"/>
              </w:rPr>
              <w:t>Presence alone counts; even if managed by PEG, presence of aspiration – addressed in COA</w:t>
            </w:r>
          </w:p>
        </w:tc>
        <w:tc>
          <w:tcPr>
            <w:tcW w:w="617" w:type="dxa"/>
          </w:tcPr>
          <w:p w14:paraId="228827E7"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5C6F8B3A" w14:textId="77777777" w:rsidR="00F53CB4" w:rsidRPr="006A1EC7" w:rsidRDefault="00F53CB4" w:rsidP="00AC2435">
            <w:pPr>
              <w:rPr>
                <w:sz w:val="20"/>
              </w:rPr>
            </w:pPr>
          </w:p>
        </w:tc>
      </w:tr>
      <w:tr w:rsidR="00F53CB4" w:rsidRPr="006A1EC7" w14:paraId="164DDCB2" w14:textId="77777777" w:rsidTr="00AC2435">
        <w:tc>
          <w:tcPr>
            <w:tcW w:w="1351" w:type="dxa"/>
          </w:tcPr>
          <w:p w14:paraId="4B04AF87" w14:textId="77777777" w:rsidR="00F53CB4" w:rsidRPr="006A1EC7" w:rsidRDefault="00F53CB4" w:rsidP="00AC2435">
            <w:pPr>
              <w:rPr>
                <w:sz w:val="20"/>
              </w:rPr>
            </w:pPr>
            <w:r w:rsidRPr="006A1EC7">
              <w:rPr>
                <w:sz w:val="20"/>
              </w:rPr>
              <w:t>63</w:t>
            </w:r>
          </w:p>
        </w:tc>
        <w:tc>
          <w:tcPr>
            <w:tcW w:w="6724" w:type="dxa"/>
          </w:tcPr>
          <w:p w14:paraId="0DCE99B9" w14:textId="77777777" w:rsidR="00F53CB4" w:rsidRPr="006A1EC7" w:rsidRDefault="00F53CB4" w:rsidP="00AC2435">
            <w:pPr>
              <w:rPr>
                <w:sz w:val="20"/>
              </w:rPr>
            </w:pPr>
            <w:r w:rsidRPr="006A1EC7">
              <w:rPr>
                <w:sz w:val="20"/>
              </w:rPr>
              <w:t>May help to break up Section 3 into Feeding and Bladder and Bowel Section - hard to keep track of scores</w:t>
            </w:r>
          </w:p>
        </w:tc>
        <w:tc>
          <w:tcPr>
            <w:tcW w:w="5620" w:type="dxa"/>
          </w:tcPr>
          <w:p w14:paraId="49EC1337" w14:textId="77777777" w:rsidR="00F53CB4" w:rsidRPr="006A1EC7" w:rsidRDefault="00F53CB4" w:rsidP="00AC2435">
            <w:pPr>
              <w:rPr>
                <w:sz w:val="20"/>
              </w:rPr>
            </w:pPr>
            <w:r w:rsidRPr="006A1EC7">
              <w:rPr>
                <w:sz w:val="20"/>
              </w:rPr>
              <w:t>Added bigger sub-headings, reflected in summary table</w:t>
            </w:r>
          </w:p>
        </w:tc>
        <w:tc>
          <w:tcPr>
            <w:tcW w:w="617" w:type="dxa"/>
          </w:tcPr>
          <w:p w14:paraId="00AA09FD" w14:textId="77777777" w:rsidR="00F53CB4" w:rsidRPr="006A1EC7" w:rsidRDefault="00F53CB4" w:rsidP="00AC2435">
            <w:pPr>
              <w:rPr>
                <w:sz w:val="20"/>
              </w:rPr>
            </w:pPr>
            <w:r w:rsidRPr="006A1EC7">
              <w:rPr>
                <w:rFonts w:ascii="Segoe UI Symbol" w:hAnsi="Segoe UI Symbol" w:cs="Segoe UI Symbol"/>
                <w:b/>
                <w:bCs/>
                <w:color w:val="222222"/>
                <w:sz w:val="20"/>
              </w:rPr>
              <w:t>✓</w:t>
            </w:r>
          </w:p>
        </w:tc>
      </w:tr>
      <w:tr w:rsidR="00F53CB4" w:rsidRPr="006A1EC7" w14:paraId="2B0AADD7" w14:textId="77777777" w:rsidTr="00AC2435">
        <w:tc>
          <w:tcPr>
            <w:tcW w:w="1351" w:type="dxa"/>
          </w:tcPr>
          <w:p w14:paraId="44184B77" w14:textId="77777777" w:rsidR="00F53CB4" w:rsidRPr="006A1EC7" w:rsidRDefault="00F53CB4" w:rsidP="00AC2435">
            <w:pPr>
              <w:rPr>
                <w:sz w:val="20"/>
              </w:rPr>
            </w:pPr>
            <w:r w:rsidRPr="006A1EC7">
              <w:rPr>
                <w:sz w:val="20"/>
              </w:rPr>
              <w:t>107</w:t>
            </w:r>
          </w:p>
        </w:tc>
        <w:tc>
          <w:tcPr>
            <w:tcW w:w="6724" w:type="dxa"/>
          </w:tcPr>
          <w:p w14:paraId="7313FF6A" w14:textId="77777777" w:rsidR="00F53CB4" w:rsidRPr="006A1EC7" w:rsidRDefault="00F53CB4" w:rsidP="00AC2435">
            <w:pPr>
              <w:rPr>
                <w:sz w:val="20"/>
              </w:rPr>
            </w:pPr>
            <w:r w:rsidRPr="006A1EC7">
              <w:rPr>
                <w:sz w:val="20"/>
              </w:rPr>
              <w:t>Confusing layout with is requiring intervention/if patient is oral. You use NA/move to next question a lot, but not here. May be work ironing out inconsistencies</w:t>
            </w:r>
          </w:p>
        </w:tc>
        <w:tc>
          <w:tcPr>
            <w:tcW w:w="5620" w:type="dxa"/>
          </w:tcPr>
          <w:p w14:paraId="613A6C4F" w14:textId="77777777" w:rsidR="00F53CB4" w:rsidRPr="006A1EC7" w:rsidRDefault="00F53CB4" w:rsidP="00AC2435">
            <w:pPr>
              <w:rPr>
                <w:bCs/>
                <w:color w:val="000000" w:themeColor="text1"/>
                <w:sz w:val="20"/>
              </w:rPr>
            </w:pPr>
            <w:r w:rsidRPr="006A1EC7">
              <w:rPr>
                <w:bCs/>
                <w:color w:val="000000" w:themeColor="text1"/>
                <w:sz w:val="20"/>
              </w:rPr>
              <w:t>Made clearer</w:t>
            </w:r>
          </w:p>
        </w:tc>
        <w:tc>
          <w:tcPr>
            <w:tcW w:w="617" w:type="dxa"/>
          </w:tcPr>
          <w:p w14:paraId="1959F4A2" w14:textId="77777777" w:rsidR="00F53CB4" w:rsidRPr="006A1EC7" w:rsidRDefault="00F53CB4" w:rsidP="00AC2435">
            <w:pPr>
              <w:rPr>
                <w:sz w:val="20"/>
              </w:rPr>
            </w:pPr>
            <w:r w:rsidRPr="006A1EC7">
              <w:rPr>
                <w:rFonts w:ascii="Segoe UI Symbol" w:hAnsi="Segoe UI Symbol" w:cs="Segoe UI Symbol"/>
                <w:b/>
                <w:bCs/>
                <w:color w:val="222222"/>
                <w:sz w:val="20"/>
              </w:rPr>
              <w:t>✓</w:t>
            </w:r>
          </w:p>
        </w:tc>
      </w:tr>
      <w:tr w:rsidR="00F53CB4" w:rsidRPr="006A1EC7" w14:paraId="7E3E5266" w14:textId="77777777" w:rsidTr="00AC2435">
        <w:tc>
          <w:tcPr>
            <w:tcW w:w="1351" w:type="dxa"/>
          </w:tcPr>
          <w:p w14:paraId="53BBD36B" w14:textId="77777777" w:rsidR="00F53CB4" w:rsidRPr="006A1EC7" w:rsidRDefault="00F53CB4" w:rsidP="00AC2435">
            <w:pPr>
              <w:rPr>
                <w:sz w:val="20"/>
              </w:rPr>
            </w:pPr>
            <w:r w:rsidRPr="006A1EC7">
              <w:rPr>
                <w:sz w:val="20"/>
              </w:rPr>
              <w:t>38</w:t>
            </w:r>
          </w:p>
        </w:tc>
        <w:tc>
          <w:tcPr>
            <w:tcW w:w="6724" w:type="dxa"/>
          </w:tcPr>
          <w:p w14:paraId="67AA8031" w14:textId="77777777" w:rsidR="00F53CB4" w:rsidRPr="006A1EC7" w:rsidRDefault="00F53CB4" w:rsidP="00AC2435">
            <w:pPr>
              <w:rPr>
                <w:sz w:val="20"/>
              </w:rPr>
            </w:pPr>
            <w:r w:rsidRPr="006A1EC7">
              <w:rPr>
                <w:sz w:val="20"/>
              </w:rPr>
              <w:t>Add o2 score to GI symptoms</w:t>
            </w:r>
          </w:p>
        </w:tc>
        <w:tc>
          <w:tcPr>
            <w:tcW w:w="5620" w:type="dxa"/>
          </w:tcPr>
          <w:p w14:paraId="1304CD37" w14:textId="77777777" w:rsidR="00F53CB4" w:rsidRPr="006A1EC7" w:rsidRDefault="00F53CB4" w:rsidP="00AC2435">
            <w:pPr>
              <w:rPr>
                <w:color w:val="000000" w:themeColor="text1"/>
                <w:sz w:val="20"/>
              </w:rPr>
            </w:pPr>
            <w:r w:rsidRPr="006A1EC7">
              <w:rPr>
                <w:color w:val="000000" w:themeColor="text1"/>
                <w:sz w:val="20"/>
              </w:rPr>
              <w:t xml:space="preserve">Added to Patient Characteristics part </w:t>
            </w:r>
          </w:p>
        </w:tc>
        <w:tc>
          <w:tcPr>
            <w:tcW w:w="617" w:type="dxa"/>
          </w:tcPr>
          <w:p w14:paraId="3A4182A9" w14:textId="77777777" w:rsidR="00F53CB4" w:rsidRPr="006A1EC7" w:rsidRDefault="00F53CB4" w:rsidP="00AC2435">
            <w:pPr>
              <w:rPr>
                <w:sz w:val="20"/>
              </w:rPr>
            </w:pPr>
            <w:r w:rsidRPr="006A1EC7">
              <w:rPr>
                <w:rFonts w:ascii="Segoe UI Symbol" w:hAnsi="Segoe UI Symbol" w:cs="Segoe UI Symbol"/>
                <w:b/>
                <w:bCs/>
                <w:color w:val="222222"/>
                <w:sz w:val="20"/>
              </w:rPr>
              <w:t>✓</w:t>
            </w:r>
          </w:p>
        </w:tc>
      </w:tr>
      <w:tr w:rsidR="00F53CB4" w:rsidRPr="006A1EC7" w14:paraId="347D011D" w14:textId="77777777" w:rsidTr="00AC2435">
        <w:tc>
          <w:tcPr>
            <w:tcW w:w="1351" w:type="dxa"/>
          </w:tcPr>
          <w:p w14:paraId="37EC1E6C" w14:textId="77777777" w:rsidR="00F53CB4" w:rsidRPr="006A1EC7" w:rsidRDefault="00F53CB4" w:rsidP="00AC2435">
            <w:pPr>
              <w:rPr>
                <w:sz w:val="20"/>
              </w:rPr>
            </w:pPr>
            <w:r w:rsidRPr="006A1EC7">
              <w:rPr>
                <w:sz w:val="20"/>
              </w:rPr>
              <w:t>107</w:t>
            </w:r>
          </w:p>
        </w:tc>
        <w:tc>
          <w:tcPr>
            <w:tcW w:w="6724" w:type="dxa"/>
          </w:tcPr>
          <w:p w14:paraId="7857E960" w14:textId="77777777" w:rsidR="00F53CB4" w:rsidRPr="006A1EC7" w:rsidRDefault="00F53CB4" w:rsidP="00AC2435">
            <w:pPr>
              <w:rPr>
                <w:sz w:val="20"/>
              </w:rPr>
            </w:pPr>
            <w:r w:rsidRPr="006A1EC7">
              <w:rPr>
                <w:sz w:val="20"/>
              </w:rPr>
              <w:t>Structure of bowel movements, then next questions about bladder then bowel control, then genitourinary questions. Maybe put bladder/bowel control first after vomiting</w:t>
            </w:r>
          </w:p>
          <w:p w14:paraId="5FA10767" w14:textId="77777777" w:rsidR="00F53CB4" w:rsidRPr="006A1EC7" w:rsidRDefault="00F53CB4" w:rsidP="00AC2435">
            <w:pPr>
              <w:rPr>
                <w:sz w:val="20"/>
              </w:rPr>
            </w:pPr>
          </w:p>
        </w:tc>
        <w:tc>
          <w:tcPr>
            <w:tcW w:w="5620" w:type="dxa"/>
          </w:tcPr>
          <w:p w14:paraId="3FA5DA40" w14:textId="77777777" w:rsidR="00F53CB4" w:rsidRPr="006A1EC7" w:rsidRDefault="00F53CB4" w:rsidP="00AC2435">
            <w:pPr>
              <w:rPr>
                <w:color w:val="000000" w:themeColor="text1"/>
                <w:sz w:val="20"/>
              </w:rPr>
            </w:pPr>
            <w:r w:rsidRPr="006A1EC7">
              <w:rPr>
                <w:color w:val="000000" w:themeColor="text1"/>
                <w:sz w:val="20"/>
              </w:rPr>
              <w:t>Discussed as a research team, and decided to leave it as it is due to flow (although have cut some questions to make better)</w:t>
            </w:r>
          </w:p>
          <w:p w14:paraId="58B2AF4D" w14:textId="77777777" w:rsidR="00F53CB4" w:rsidRPr="006A1EC7" w:rsidRDefault="00F53CB4" w:rsidP="00AC2435">
            <w:pPr>
              <w:rPr>
                <w:color w:val="000000" w:themeColor="text1"/>
                <w:sz w:val="20"/>
              </w:rPr>
            </w:pPr>
          </w:p>
        </w:tc>
        <w:tc>
          <w:tcPr>
            <w:tcW w:w="617" w:type="dxa"/>
          </w:tcPr>
          <w:p w14:paraId="59FC05F2" w14:textId="77777777" w:rsidR="00F53CB4" w:rsidRPr="006A1EC7" w:rsidRDefault="00F53CB4" w:rsidP="00AC2435">
            <w:pPr>
              <w:rPr>
                <w:sz w:val="20"/>
              </w:rPr>
            </w:pPr>
            <w:r w:rsidRPr="006A1EC7">
              <w:rPr>
                <w:rFonts w:ascii="Segoe UI Symbol" w:hAnsi="Segoe UI Symbol" w:cs="Segoe UI Symbol"/>
                <w:b/>
                <w:bCs/>
                <w:color w:val="222222"/>
                <w:sz w:val="20"/>
              </w:rPr>
              <w:t>✓</w:t>
            </w:r>
          </w:p>
        </w:tc>
      </w:tr>
      <w:tr w:rsidR="00F53CB4" w:rsidRPr="006A1EC7" w14:paraId="6F240EEF" w14:textId="77777777" w:rsidTr="00AC2435">
        <w:tc>
          <w:tcPr>
            <w:tcW w:w="1351" w:type="dxa"/>
          </w:tcPr>
          <w:p w14:paraId="3AA0741A" w14:textId="77777777" w:rsidR="00F53CB4" w:rsidRPr="006A1EC7" w:rsidRDefault="00F53CB4" w:rsidP="00AC2435">
            <w:pPr>
              <w:rPr>
                <w:sz w:val="20"/>
              </w:rPr>
            </w:pPr>
            <w:r w:rsidRPr="006A1EC7">
              <w:rPr>
                <w:sz w:val="20"/>
              </w:rPr>
              <w:t>84</w:t>
            </w:r>
          </w:p>
        </w:tc>
        <w:tc>
          <w:tcPr>
            <w:tcW w:w="6724" w:type="dxa"/>
          </w:tcPr>
          <w:p w14:paraId="3892D69F" w14:textId="77777777" w:rsidR="00F53CB4" w:rsidRPr="006A1EC7" w:rsidRDefault="00F53CB4" w:rsidP="00AC2435">
            <w:pPr>
              <w:rPr>
                <w:sz w:val="20"/>
              </w:rPr>
            </w:pPr>
            <w:r w:rsidRPr="006A1EC7">
              <w:rPr>
                <w:sz w:val="20"/>
              </w:rPr>
              <w:t>3G1/2&gt; Quite confusing, easily mis-interpreted if H21/2 read quickly, as likely the case in clinic</w:t>
            </w:r>
          </w:p>
          <w:p w14:paraId="74406F0B" w14:textId="77777777" w:rsidR="00F53CB4" w:rsidRPr="006A1EC7" w:rsidRDefault="00F53CB4" w:rsidP="00AC2435">
            <w:pPr>
              <w:rPr>
                <w:sz w:val="20"/>
              </w:rPr>
            </w:pPr>
            <w:r w:rsidRPr="006A1EC7">
              <w:rPr>
                <w:sz w:val="20"/>
              </w:rPr>
              <w:lastRenderedPageBreak/>
              <w:t>Would phrase faecally incontinent make it simpler?</w:t>
            </w:r>
          </w:p>
        </w:tc>
        <w:tc>
          <w:tcPr>
            <w:tcW w:w="5620" w:type="dxa"/>
          </w:tcPr>
          <w:p w14:paraId="66F0FEAB" w14:textId="77777777" w:rsidR="00F53CB4" w:rsidRPr="006A1EC7" w:rsidRDefault="00F53CB4" w:rsidP="00AC2435">
            <w:pPr>
              <w:rPr>
                <w:color w:val="000000" w:themeColor="text1"/>
                <w:sz w:val="20"/>
              </w:rPr>
            </w:pPr>
            <w:r w:rsidRPr="006A1EC7">
              <w:rPr>
                <w:color w:val="000000" w:themeColor="text1"/>
                <w:sz w:val="20"/>
              </w:rPr>
              <w:lastRenderedPageBreak/>
              <w:t>Wording changed, items reduced</w:t>
            </w:r>
          </w:p>
        </w:tc>
        <w:tc>
          <w:tcPr>
            <w:tcW w:w="617" w:type="dxa"/>
          </w:tcPr>
          <w:p w14:paraId="4666C1C2" w14:textId="77777777" w:rsidR="00F53CB4" w:rsidRPr="006A1EC7" w:rsidRDefault="00F53CB4" w:rsidP="00AC2435">
            <w:pPr>
              <w:rPr>
                <w:sz w:val="20"/>
              </w:rPr>
            </w:pPr>
            <w:r w:rsidRPr="006A1EC7">
              <w:rPr>
                <w:rFonts w:ascii="Segoe UI Symbol" w:hAnsi="Segoe UI Symbol" w:cs="Segoe UI Symbol"/>
                <w:b/>
                <w:bCs/>
                <w:color w:val="222222"/>
                <w:sz w:val="20"/>
              </w:rPr>
              <w:t>✓</w:t>
            </w:r>
          </w:p>
        </w:tc>
      </w:tr>
      <w:tr w:rsidR="00F53CB4" w:rsidRPr="006A1EC7" w14:paraId="1A4A1143" w14:textId="77777777" w:rsidTr="00AC2435">
        <w:tc>
          <w:tcPr>
            <w:tcW w:w="1351" w:type="dxa"/>
            <w:shd w:val="clear" w:color="auto" w:fill="70AD47" w:themeFill="accent6"/>
          </w:tcPr>
          <w:p w14:paraId="555DD066" w14:textId="77777777" w:rsidR="00F53CB4" w:rsidRPr="006A1EC7" w:rsidRDefault="00F53CB4" w:rsidP="00AC2435">
            <w:pPr>
              <w:jc w:val="center"/>
              <w:rPr>
                <w:sz w:val="20"/>
              </w:rPr>
            </w:pPr>
          </w:p>
        </w:tc>
        <w:tc>
          <w:tcPr>
            <w:tcW w:w="12961" w:type="dxa"/>
            <w:gridSpan w:val="3"/>
            <w:shd w:val="clear" w:color="auto" w:fill="70AD47" w:themeFill="accent6"/>
          </w:tcPr>
          <w:p w14:paraId="0B10B05A" w14:textId="77777777" w:rsidR="00F53CB4" w:rsidRPr="006A1EC7" w:rsidRDefault="00F53CB4" w:rsidP="00AC2435">
            <w:pPr>
              <w:jc w:val="center"/>
              <w:rPr>
                <w:sz w:val="20"/>
              </w:rPr>
            </w:pPr>
            <w:r w:rsidRPr="006A1EC7">
              <w:rPr>
                <w:sz w:val="20"/>
              </w:rPr>
              <w:t>Section 5: Central Nervous System</w:t>
            </w:r>
          </w:p>
        </w:tc>
      </w:tr>
      <w:tr w:rsidR="00F53CB4" w:rsidRPr="006A1EC7" w14:paraId="2AC5D931" w14:textId="77777777" w:rsidTr="00AC2435">
        <w:tc>
          <w:tcPr>
            <w:tcW w:w="1351" w:type="dxa"/>
          </w:tcPr>
          <w:p w14:paraId="26850365" w14:textId="77777777" w:rsidR="00F53CB4" w:rsidRPr="006A1EC7" w:rsidRDefault="00F53CB4" w:rsidP="00AC2435">
            <w:pPr>
              <w:rPr>
                <w:sz w:val="20"/>
              </w:rPr>
            </w:pPr>
            <w:r w:rsidRPr="006A1EC7">
              <w:rPr>
                <w:sz w:val="20"/>
              </w:rPr>
              <w:t>102, 106, 107</w:t>
            </w:r>
          </w:p>
        </w:tc>
        <w:tc>
          <w:tcPr>
            <w:tcW w:w="6724" w:type="dxa"/>
          </w:tcPr>
          <w:p w14:paraId="57DFFB2D" w14:textId="77777777" w:rsidR="00F53CB4" w:rsidRPr="006A1EC7" w:rsidRDefault="00F53CB4" w:rsidP="00AC2435">
            <w:pPr>
              <w:rPr>
                <w:sz w:val="20"/>
              </w:rPr>
            </w:pPr>
            <w:r w:rsidRPr="006A1EC7">
              <w:rPr>
                <w:sz w:val="20"/>
              </w:rPr>
              <w:t>Eye disease versus sight – unclear in ClinRo; is blind a structural eye disease?</w:t>
            </w:r>
          </w:p>
          <w:p w14:paraId="46B3E41C" w14:textId="77777777" w:rsidR="00F53CB4" w:rsidRPr="006A1EC7" w:rsidRDefault="00F53CB4" w:rsidP="00AC2435">
            <w:pPr>
              <w:rPr>
                <w:sz w:val="20"/>
              </w:rPr>
            </w:pPr>
            <w:r w:rsidRPr="006A1EC7">
              <w:rPr>
                <w:sz w:val="20"/>
              </w:rPr>
              <w:t xml:space="preserve">could just put definition for structural eye disease/examples – I’m not sure what these are </w:t>
            </w:r>
          </w:p>
        </w:tc>
        <w:tc>
          <w:tcPr>
            <w:tcW w:w="5620" w:type="dxa"/>
          </w:tcPr>
          <w:p w14:paraId="7E42DC30" w14:textId="77777777" w:rsidR="00F53CB4" w:rsidRPr="006A1EC7" w:rsidRDefault="00F53CB4" w:rsidP="00AC2435">
            <w:pPr>
              <w:rPr>
                <w:sz w:val="20"/>
              </w:rPr>
            </w:pPr>
            <w:r w:rsidRPr="006A1EC7">
              <w:rPr>
                <w:sz w:val="20"/>
              </w:rPr>
              <w:t>Addressed</w:t>
            </w:r>
          </w:p>
        </w:tc>
        <w:tc>
          <w:tcPr>
            <w:tcW w:w="617" w:type="dxa"/>
          </w:tcPr>
          <w:p w14:paraId="66060B5B"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10EE8DE2" w14:textId="77777777" w:rsidR="00F53CB4" w:rsidRPr="006A1EC7" w:rsidRDefault="00F53CB4" w:rsidP="00AC2435">
            <w:pPr>
              <w:rPr>
                <w:sz w:val="20"/>
              </w:rPr>
            </w:pPr>
          </w:p>
        </w:tc>
      </w:tr>
      <w:tr w:rsidR="00F53CB4" w:rsidRPr="006A1EC7" w14:paraId="3BDF6B41" w14:textId="77777777" w:rsidTr="00AC2435">
        <w:tc>
          <w:tcPr>
            <w:tcW w:w="1351" w:type="dxa"/>
          </w:tcPr>
          <w:p w14:paraId="0329E839" w14:textId="77777777" w:rsidR="00F53CB4" w:rsidRPr="006A1EC7" w:rsidRDefault="00F53CB4" w:rsidP="00AC2435">
            <w:pPr>
              <w:rPr>
                <w:sz w:val="20"/>
              </w:rPr>
            </w:pPr>
            <w:r w:rsidRPr="006A1EC7">
              <w:rPr>
                <w:sz w:val="20"/>
              </w:rPr>
              <w:t>107</w:t>
            </w:r>
          </w:p>
        </w:tc>
        <w:tc>
          <w:tcPr>
            <w:tcW w:w="6724" w:type="dxa"/>
          </w:tcPr>
          <w:p w14:paraId="79BE87C1" w14:textId="77777777" w:rsidR="00F53CB4" w:rsidRPr="006A1EC7" w:rsidRDefault="00F53CB4" w:rsidP="00AC2435">
            <w:pPr>
              <w:rPr>
                <w:sz w:val="20"/>
              </w:rPr>
            </w:pPr>
            <w:r w:rsidRPr="006A1EC7">
              <w:rPr>
                <w:sz w:val="20"/>
              </w:rPr>
              <w:t>5A1 just call this section eyes rather than vision,</w:t>
            </w:r>
          </w:p>
        </w:tc>
        <w:tc>
          <w:tcPr>
            <w:tcW w:w="5620" w:type="dxa"/>
          </w:tcPr>
          <w:p w14:paraId="1D6AE809" w14:textId="77777777" w:rsidR="00F53CB4" w:rsidRPr="006A1EC7" w:rsidRDefault="00F53CB4" w:rsidP="00AC2435">
            <w:pPr>
              <w:rPr>
                <w:color w:val="000000" w:themeColor="text1"/>
                <w:sz w:val="20"/>
              </w:rPr>
            </w:pPr>
            <w:r w:rsidRPr="006A1EC7">
              <w:rPr>
                <w:color w:val="000000" w:themeColor="text1"/>
                <w:sz w:val="20"/>
              </w:rPr>
              <w:t>Called it Eyes and Vision</w:t>
            </w:r>
          </w:p>
        </w:tc>
        <w:tc>
          <w:tcPr>
            <w:tcW w:w="617" w:type="dxa"/>
          </w:tcPr>
          <w:p w14:paraId="2954617C"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252C9F13" w14:textId="77777777" w:rsidR="00F53CB4" w:rsidRPr="006A1EC7" w:rsidRDefault="00F53CB4" w:rsidP="00AC2435">
            <w:pPr>
              <w:rPr>
                <w:sz w:val="20"/>
              </w:rPr>
            </w:pPr>
          </w:p>
        </w:tc>
      </w:tr>
      <w:tr w:rsidR="00F53CB4" w:rsidRPr="006A1EC7" w14:paraId="58ACD22D" w14:textId="77777777" w:rsidTr="00AC2435">
        <w:tc>
          <w:tcPr>
            <w:tcW w:w="1351" w:type="dxa"/>
          </w:tcPr>
          <w:p w14:paraId="05225DCE" w14:textId="77777777" w:rsidR="00F53CB4" w:rsidRPr="006A1EC7" w:rsidRDefault="00F53CB4" w:rsidP="00AC2435">
            <w:pPr>
              <w:rPr>
                <w:sz w:val="20"/>
              </w:rPr>
            </w:pPr>
            <w:r w:rsidRPr="006A1EC7">
              <w:rPr>
                <w:sz w:val="20"/>
              </w:rPr>
              <w:t>107</w:t>
            </w:r>
          </w:p>
        </w:tc>
        <w:tc>
          <w:tcPr>
            <w:tcW w:w="6724" w:type="dxa"/>
          </w:tcPr>
          <w:p w14:paraId="12755C5D" w14:textId="77777777" w:rsidR="00F53CB4" w:rsidRPr="006A1EC7" w:rsidRDefault="00F53CB4" w:rsidP="00AC2435">
            <w:pPr>
              <w:rPr>
                <w:sz w:val="20"/>
              </w:rPr>
            </w:pPr>
            <w:r w:rsidRPr="006A1EC7">
              <w:rPr>
                <w:sz w:val="20"/>
              </w:rPr>
              <w:t>Mobility: I would put this in the functional assessment rather than CNS</w:t>
            </w:r>
          </w:p>
        </w:tc>
        <w:tc>
          <w:tcPr>
            <w:tcW w:w="5620" w:type="dxa"/>
          </w:tcPr>
          <w:p w14:paraId="3B651BED" w14:textId="77777777" w:rsidR="00F53CB4" w:rsidRPr="006A1EC7" w:rsidRDefault="00F53CB4" w:rsidP="00AC2435">
            <w:pPr>
              <w:rPr>
                <w:color w:val="000000" w:themeColor="text1"/>
                <w:sz w:val="20"/>
              </w:rPr>
            </w:pPr>
            <w:r w:rsidRPr="006A1EC7">
              <w:rPr>
                <w:color w:val="000000" w:themeColor="text1"/>
                <w:sz w:val="20"/>
              </w:rPr>
              <w:t>In interviews mobility linked with cognitive awareness</w:t>
            </w:r>
          </w:p>
        </w:tc>
        <w:tc>
          <w:tcPr>
            <w:tcW w:w="617" w:type="dxa"/>
          </w:tcPr>
          <w:p w14:paraId="30ED1928" w14:textId="77777777" w:rsidR="00F53CB4" w:rsidRPr="006A1EC7" w:rsidRDefault="00F53CB4" w:rsidP="00AC2435">
            <w:pPr>
              <w:rPr>
                <w:sz w:val="20"/>
              </w:rPr>
            </w:pPr>
            <w:r w:rsidRPr="006A1EC7">
              <w:rPr>
                <w:sz w:val="20"/>
              </w:rPr>
              <w:t>x</w:t>
            </w:r>
          </w:p>
          <w:p w14:paraId="12EAE701" w14:textId="77777777" w:rsidR="00F53CB4" w:rsidRPr="006A1EC7" w:rsidRDefault="00F53CB4" w:rsidP="00AC2435">
            <w:pPr>
              <w:rPr>
                <w:sz w:val="20"/>
              </w:rPr>
            </w:pPr>
          </w:p>
        </w:tc>
      </w:tr>
      <w:tr w:rsidR="00F53CB4" w:rsidRPr="006A1EC7" w14:paraId="2799CFF8" w14:textId="77777777" w:rsidTr="00AC2435">
        <w:tc>
          <w:tcPr>
            <w:tcW w:w="1351" w:type="dxa"/>
            <w:shd w:val="clear" w:color="auto" w:fill="70AD47" w:themeFill="accent6"/>
          </w:tcPr>
          <w:p w14:paraId="7907E6C1" w14:textId="77777777" w:rsidR="00F53CB4" w:rsidRPr="006A1EC7" w:rsidRDefault="00F53CB4" w:rsidP="00AC2435">
            <w:pPr>
              <w:jc w:val="center"/>
              <w:rPr>
                <w:sz w:val="20"/>
              </w:rPr>
            </w:pPr>
          </w:p>
        </w:tc>
        <w:tc>
          <w:tcPr>
            <w:tcW w:w="12961" w:type="dxa"/>
            <w:gridSpan w:val="3"/>
            <w:shd w:val="clear" w:color="auto" w:fill="70AD47" w:themeFill="accent6"/>
          </w:tcPr>
          <w:p w14:paraId="3F2C7539" w14:textId="77777777" w:rsidR="00F53CB4" w:rsidRPr="006A1EC7" w:rsidRDefault="00F53CB4" w:rsidP="00AC2435">
            <w:pPr>
              <w:jc w:val="center"/>
              <w:rPr>
                <w:color w:val="000000" w:themeColor="text1"/>
                <w:sz w:val="20"/>
              </w:rPr>
            </w:pPr>
            <w:r w:rsidRPr="006A1EC7">
              <w:rPr>
                <w:color w:val="000000" w:themeColor="text1"/>
                <w:sz w:val="20"/>
              </w:rPr>
              <w:t>Section 6: Low Immunity</w:t>
            </w:r>
          </w:p>
        </w:tc>
      </w:tr>
      <w:tr w:rsidR="00F53CB4" w:rsidRPr="006A1EC7" w14:paraId="6EC0066F" w14:textId="77777777" w:rsidTr="00AC2435">
        <w:tc>
          <w:tcPr>
            <w:tcW w:w="1351" w:type="dxa"/>
          </w:tcPr>
          <w:p w14:paraId="52CC22C7" w14:textId="77777777" w:rsidR="00F53CB4" w:rsidRPr="006A1EC7" w:rsidRDefault="00F53CB4" w:rsidP="00AC2435">
            <w:pPr>
              <w:rPr>
                <w:sz w:val="20"/>
              </w:rPr>
            </w:pPr>
            <w:r w:rsidRPr="006A1EC7">
              <w:rPr>
                <w:sz w:val="20"/>
              </w:rPr>
              <w:t>106</w:t>
            </w:r>
          </w:p>
        </w:tc>
        <w:tc>
          <w:tcPr>
            <w:tcW w:w="6724" w:type="dxa"/>
          </w:tcPr>
          <w:p w14:paraId="7C5F0348" w14:textId="77777777" w:rsidR="00F53CB4" w:rsidRPr="006A1EC7" w:rsidRDefault="00F53CB4" w:rsidP="00AC2435">
            <w:pPr>
              <w:rPr>
                <w:sz w:val="20"/>
              </w:rPr>
            </w:pPr>
            <w:r w:rsidRPr="006A1EC7">
              <w:rPr>
                <w:sz w:val="20"/>
              </w:rPr>
              <w:t>Found questions re frequency of infections difficult. What constitutes ‘recurrent infections’ – may be good to have specific number/frequency.</w:t>
            </w:r>
          </w:p>
        </w:tc>
        <w:tc>
          <w:tcPr>
            <w:tcW w:w="5620" w:type="dxa"/>
          </w:tcPr>
          <w:p w14:paraId="640DDCF0" w14:textId="77777777" w:rsidR="00F53CB4" w:rsidRPr="006A1EC7" w:rsidRDefault="00F53CB4" w:rsidP="00AC2435">
            <w:pPr>
              <w:rPr>
                <w:color w:val="000000" w:themeColor="text1"/>
                <w:sz w:val="20"/>
              </w:rPr>
            </w:pPr>
            <w:r w:rsidRPr="006A1EC7">
              <w:rPr>
                <w:color w:val="000000" w:themeColor="text1"/>
                <w:sz w:val="20"/>
              </w:rPr>
              <w:t>There are numbers and guidelines already</w:t>
            </w:r>
          </w:p>
        </w:tc>
        <w:tc>
          <w:tcPr>
            <w:tcW w:w="617" w:type="dxa"/>
          </w:tcPr>
          <w:p w14:paraId="02E1BFBA" w14:textId="77777777" w:rsidR="00F53CB4" w:rsidRPr="006A1EC7" w:rsidRDefault="00F53CB4" w:rsidP="00AC2435">
            <w:pPr>
              <w:rPr>
                <w:sz w:val="20"/>
              </w:rPr>
            </w:pPr>
            <w:r w:rsidRPr="006A1EC7">
              <w:rPr>
                <w:sz w:val="20"/>
              </w:rPr>
              <w:t>x</w:t>
            </w:r>
          </w:p>
          <w:p w14:paraId="29850290" w14:textId="77777777" w:rsidR="00F53CB4" w:rsidRPr="006A1EC7" w:rsidRDefault="00F53CB4" w:rsidP="00AC2435">
            <w:pPr>
              <w:rPr>
                <w:sz w:val="20"/>
              </w:rPr>
            </w:pPr>
          </w:p>
        </w:tc>
      </w:tr>
      <w:tr w:rsidR="00F53CB4" w:rsidRPr="006A1EC7" w14:paraId="0C45D212" w14:textId="77777777" w:rsidTr="00AC2435">
        <w:tc>
          <w:tcPr>
            <w:tcW w:w="1351" w:type="dxa"/>
          </w:tcPr>
          <w:p w14:paraId="57C3C30A" w14:textId="77777777" w:rsidR="00F53CB4" w:rsidRPr="006A1EC7" w:rsidRDefault="00F53CB4" w:rsidP="00AC2435">
            <w:pPr>
              <w:rPr>
                <w:sz w:val="20"/>
              </w:rPr>
            </w:pPr>
            <w:r w:rsidRPr="006A1EC7">
              <w:rPr>
                <w:sz w:val="20"/>
              </w:rPr>
              <w:t>107</w:t>
            </w:r>
          </w:p>
        </w:tc>
        <w:tc>
          <w:tcPr>
            <w:tcW w:w="6724" w:type="dxa"/>
          </w:tcPr>
          <w:p w14:paraId="0C1E3412" w14:textId="77777777" w:rsidR="00F53CB4" w:rsidRPr="006A1EC7" w:rsidRDefault="00F53CB4" w:rsidP="00AC2435">
            <w:pPr>
              <w:rPr>
                <w:sz w:val="20"/>
              </w:rPr>
            </w:pPr>
            <w:r w:rsidRPr="006A1EC7">
              <w:rPr>
                <w:sz w:val="20"/>
                <w:u w:val="single"/>
              </w:rPr>
              <w:t xml:space="preserve">Section 6: </w:t>
            </w:r>
            <w:r w:rsidRPr="006A1EC7">
              <w:rPr>
                <w:sz w:val="20"/>
              </w:rPr>
              <w:t>This feels like a bit of a jumble of questions. I wouldn’t call it “low immunity”. Title isn’t medical enough or accurate. Can you put infection questions elsewhere and number of admissions, tumour and skin could go in an ‘other’ section, Could combine this into functional assessment as well</w:t>
            </w:r>
          </w:p>
        </w:tc>
        <w:tc>
          <w:tcPr>
            <w:tcW w:w="5620" w:type="dxa"/>
          </w:tcPr>
          <w:p w14:paraId="7DC05D6B" w14:textId="77777777" w:rsidR="00F53CB4" w:rsidRPr="006A1EC7" w:rsidRDefault="00F53CB4" w:rsidP="00AC2435">
            <w:pPr>
              <w:rPr>
                <w:sz w:val="20"/>
              </w:rPr>
            </w:pPr>
            <w:r w:rsidRPr="006A1EC7">
              <w:rPr>
                <w:sz w:val="20"/>
              </w:rPr>
              <w:t xml:space="preserve">Renamed “Immunity”, not suitable to be included in functional assessment </w:t>
            </w:r>
          </w:p>
        </w:tc>
        <w:tc>
          <w:tcPr>
            <w:tcW w:w="617" w:type="dxa"/>
          </w:tcPr>
          <w:p w14:paraId="57CCCBA1"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66ACBFC5" w14:textId="77777777" w:rsidR="00F53CB4" w:rsidRPr="006A1EC7" w:rsidRDefault="00F53CB4" w:rsidP="00AC2435">
            <w:pPr>
              <w:rPr>
                <w:sz w:val="20"/>
              </w:rPr>
            </w:pPr>
          </w:p>
        </w:tc>
      </w:tr>
      <w:tr w:rsidR="00F53CB4" w:rsidRPr="006A1EC7" w14:paraId="6070C228" w14:textId="77777777" w:rsidTr="00AC2435">
        <w:tc>
          <w:tcPr>
            <w:tcW w:w="1351" w:type="dxa"/>
            <w:shd w:val="clear" w:color="auto" w:fill="70AD47" w:themeFill="accent6"/>
          </w:tcPr>
          <w:p w14:paraId="6D98A66C" w14:textId="77777777" w:rsidR="00F53CB4" w:rsidRPr="006A1EC7" w:rsidRDefault="00F53CB4" w:rsidP="00AC2435">
            <w:pPr>
              <w:jc w:val="center"/>
              <w:rPr>
                <w:sz w:val="20"/>
              </w:rPr>
            </w:pPr>
          </w:p>
        </w:tc>
        <w:tc>
          <w:tcPr>
            <w:tcW w:w="12961" w:type="dxa"/>
            <w:gridSpan w:val="3"/>
            <w:shd w:val="clear" w:color="auto" w:fill="70AD47" w:themeFill="accent6"/>
          </w:tcPr>
          <w:p w14:paraId="14356BAF" w14:textId="77777777" w:rsidR="00F53CB4" w:rsidRPr="006A1EC7" w:rsidRDefault="00F53CB4" w:rsidP="00AC2435">
            <w:pPr>
              <w:jc w:val="center"/>
              <w:rPr>
                <w:sz w:val="20"/>
              </w:rPr>
            </w:pPr>
            <w:r w:rsidRPr="006A1EC7">
              <w:rPr>
                <w:sz w:val="20"/>
              </w:rPr>
              <w:t>Section 7: Functional assessment</w:t>
            </w:r>
          </w:p>
        </w:tc>
      </w:tr>
      <w:tr w:rsidR="00F53CB4" w:rsidRPr="006A1EC7" w14:paraId="7AF417A3" w14:textId="77777777" w:rsidTr="00AC2435">
        <w:tc>
          <w:tcPr>
            <w:tcW w:w="1351" w:type="dxa"/>
          </w:tcPr>
          <w:p w14:paraId="60D57177" w14:textId="77777777" w:rsidR="00F53CB4" w:rsidRPr="006A1EC7" w:rsidRDefault="00F53CB4" w:rsidP="00AC2435">
            <w:pPr>
              <w:rPr>
                <w:sz w:val="20"/>
              </w:rPr>
            </w:pPr>
            <w:r w:rsidRPr="006A1EC7">
              <w:rPr>
                <w:sz w:val="20"/>
              </w:rPr>
              <w:t>64, 84</w:t>
            </w:r>
          </w:p>
        </w:tc>
        <w:tc>
          <w:tcPr>
            <w:tcW w:w="6724" w:type="dxa"/>
          </w:tcPr>
          <w:p w14:paraId="776EC283" w14:textId="77777777" w:rsidR="00F53CB4" w:rsidRPr="006A1EC7" w:rsidRDefault="00F53CB4" w:rsidP="00AC2435">
            <w:pPr>
              <w:rPr>
                <w:sz w:val="20"/>
              </w:rPr>
            </w:pPr>
            <w:r w:rsidRPr="006A1EC7">
              <w:rPr>
                <w:sz w:val="20"/>
              </w:rPr>
              <w:t xml:space="preserve">Slightly clearer definitions would help – </w:t>
            </w:r>
          </w:p>
          <w:p w14:paraId="6F290516" w14:textId="77777777" w:rsidR="00F53CB4" w:rsidRPr="006A1EC7" w:rsidRDefault="00F53CB4" w:rsidP="00AC2435">
            <w:pPr>
              <w:rPr>
                <w:sz w:val="20"/>
              </w:rPr>
            </w:pPr>
            <w:r w:rsidRPr="006A1EC7">
              <w:rPr>
                <w:sz w:val="20"/>
              </w:rPr>
              <w:t>whole SEN classes at mainstream school, is this counted as mainstream school?</w:t>
            </w:r>
          </w:p>
          <w:p w14:paraId="13B5139B" w14:textId="77777777" w:rsidR="00F53CB4" w:rsidRPr="006A1EC7" w:rsidRDefault="00F53CB4" w:rsidP="00AC2435">
            <w:pPr>
              <w:rPr>
                <w:sz w:val="20"/>
              </w:rPr>
            </w:pPr>
            <w:r w:rsidRPr="006A1EC7">
              <w:rPr>
                <w:sz w:val="20"/>
              </w:rPr>
              <w:t>Fineen: Struggled? Mainstream school or SEN school (illegible) attending SEN classes</w:t>
            </w:r>
          </w:p>
        </w:tc>
        <w:tc>
          <w:tcPr>
            <w:tcW w:w="5620" w:type="dxa"/>
          </w:tcPr>
          <w:p w14:paraId="24BDE977" w14:textId="77777777" w:rsidR="00F53CB4" w:rsidRPr="006A1EC7" w:rsidRDefault="00F53CB4" w:rsidP="00AC2435">
            <w:pPr>
              <w:rPr>
                <w:sz w:val="20"/>
              </w:rPr>
            </w:pPr>
            <w:r w:rsidRPr="006A1EC7">
              <w:rPr>
                <w:color w:val="000000" w:themeColor="text1"/>
                <w:sz w:val="20"/>
              </w:rPr>
              <w:t>Added: if no option fits entirely, use subjective judgement</w:t>
            </w:r>
          </w:p>
          <w:p w14:paraId="24B25100" w14:textId="77777777" w:rsidR="00F53CB4" w:rsidRPr="006A1EC7" w:rsidRDefault="00F53CB4" w:rsidP="00AC2435">
            <w:pPr>
              <w:rPr>
                <w:sz w:val="20"/>
              </w:rPr>
            </w:pPr>
          </w:p>
        </w:tc>
        <w:tc>
          <w:tcPr>
            <w:tcW w:w="617" w:type="dxa"/>
          </w:tcPr>
          <w:p w14:paraId="67DA2D83"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3810E37E" w14:textId="77777777" w:rsidR="00F53CB4" w:rsidRPr="006A1EC7" w:rsidRDefault="00F53CB4" w:rsidP="00AC2435">
            <w:pPr>
              <w:rPr>
                <w:sz w:val="20"/>
              </w:rPr>
            </w:pPr>
          </w:p>
        </w:tc>
      </w:tr>
      <w:tr w:rsidR="00F53CB4" w:rsidRPr="006A1EC7" w14:paraId="5E8B09B9" w14:textId="77777777" w:rsidTr="00AC2435">
        <w:tc>
          <w:tcPr>
            <w:tcW w:w="1351" w:type="dxa"/>
          </w:tcPr>
          <w:p w14:paraId="013BB145" w14:textId="77777777" w:rsidR="00F53CB4" w:rsidRPr="006A1EC7" w:rsidRDefault="00F53CB4" w:rsidP="00AC2435">
            <w:pPr>
              <w:rPr>
                <w:sz w:val="20"/>
              </w:rPr>
            </w:pPr>
            <w:r w:rsidRPr="006A1EC7">
              <w:rPr>
                <w:sz w:val="20"/>
              </w:rPr>
              <w:t>107</w:t>
            </w:r>
          </w:p>
        </w:tc>
        <w:tc>
          <w:tcPr>
            <w:tcW w:w="6724" w:type="dxa"/>
          </w:tcPr>
          <w:p w14:paraId="6A0C4AA7" w14:textId="77777777" w:rsidR="00F53CB4" w:rsidRPr="006A1EC7" w:rsidRDefault="00F53CB4" w:rsidP="00AC2435">
            <w:pPr>
              <w:rPr>
                <w:sz w:val="20"/>
              </w:rPr>
            </w:pPr>
            <w:r w:rsidRPr="006A1EC7">
              <w:rPr>
                <w:sz w:val="20"/>
              </w:rPr>
              <w:t>7A play behaviour is not as relevant in adults. Can you change wording?</w:t>
            </w:r>
          </w:p>
        </w:tc>
        <w:tc>
          <w:tcPr>
            <w:tcW w:w="5620" w:type="dxa"/>
          </w:tcPr>
          <w:p w14:paraId="7498D769" w14:textId="77777777" w:rsidR="00F53CB4" w:rsidRPr="006A1EC7" w:rsidRDefault="00F53CB4" w:rsidP="00AC2435">
            <w:pPr>
              <w:rPr>
                <w:sz w:val="20"/>
              </w:rPr>
            </w:pPr>
            <w:r w:rsidRPr="006A1EC7">
              <w:rPr>
                <w:sz w:val="20"/>
              </w:rPr>
              <w:t xml:space="preserve">Changed </w:t>
            </w:r>
          </w:p>
        </w:tc>
        <w:tc>
          <w:tcPr>
            <w:tcW w:w="617" w:type="dxa"/>
          </w:tcPr>
          <w:p w14:paraId="268CCE48"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02D272CE" w14:textId="77777777" w:rsidR="00F53CB4" w:rsidRPr="006A1EC7" w:rsidRDefault="00F53CB4" w:rsidP="00AC2435">
            <w:pPr>
              <w:rPr>
                <w:sz w:val="20"/>
              </w:rPr>
            </w:pPr>
          </w:p>
        </w:tc>
      </w:tr>
      <w:tr w:rsidR="00F53CB4" w:rsidRPr="006A1EC7" w14:paraId="4BC135C1" w14:textId="77777777" w:rsidTr="00AC2435">
        <w:tc>
          <w:tcPr>
            <w:tcW w:w="1351" w:type="dxa"/>
            <w:shd w:val="clear" w:color="auto" w:fill="70AD47" w:themeFill="accent6"/>
          </w:tcPr>
          <w:p w14:paraId="1700E397" w14:textId="77777777" w:rsidR="00F53CB4" w:rsidRPr="006A1EC7" w:rsidRDefault="00F53CB4" w:rsidP="00AC2435">
            <w:pPr>
              <w:rPr>
                <w:sz w:val="20"/>
              </w:rPr>
            </w:pPr>
          </w:p>
        </w:tc>
        <w:tc>
          <w:tcPr>
            <w:tcW w:w="12961" w:type="dxa"/>
            <w:gridSpan w:val="3"/>
            <w:shd w:val="clear" w:color="auto" w:fill="70AD47" w:themeFill="accent6"/>
          </w:tcPr>
          <w:p w14:paraId="1827D91F" w14:textId="77777777" w:rsidR="00F53CB4" w:rsidRPr="006A1EC7" w:rsidRDefault="00F53CB4" w:rsidP="00AC2435">
            <w:pPr>
              <w:rPr>
                <w:sz w:val="20"/>
              </w:rPr>
            </w:pPr>
            <w:r w:rsidRPr="006A1EC7">
              <w:rPr>
                <w:sz w:val="20"/>
              </w:rPr>
              <w:t>Section 8: Sleep</w:t>
            </w:r>
          </w:p>
        </w:tc>
      </w:tr>
      <w:tr w:rsidR="00F53CB4" w:rsidRPr="006A1EC7" w14:paraId="30F387AF" w14:textId="77777777" w:rsidTr="00AC2435">
        <w:tc>
          <w:tcPr>
            <w:tcW w:w="1351" w:type="dxa"/>
          </w:tcPr>
          <w:p w14:paraId="4E380F7E" w14:textId="77777777" w:rsidR="00F53CB4" w:rsidRPr="006A1EC7" w:rsidRDefault="00F53CB4" w:rsidP="00AC2435">
            <w:pPr>
              <w:rPr>
                <w:sz w:val="20"/>
              </w:rPr>
            </w:pPr>
            <w:r w:rsidRPr="006A1EC7">
              <w:rPr>
                <w:sz w:val="20"/>
              </w:rPr>
              <w:t>64, 95, 105</w:t>
            </w:r>
          </w:p>
        </w:tc>
        <w:tc>
          <w:tcPr>
            <w:tcW w:w="6724" w:type="dxa"/>
          </w:tcPr>
          <w:p w14:paraId="57B74191" w14:textId="77777777" w:rsidR="00F53CB4" w:rsidRPr="006A1EC7" w:rsidRDefault="00F53CB4" w:rsidP="00AC2435">
            <w:pPr>
              <w:rPr>
                <w:sz w:val="20"/>
              </w:rPr>
            </w:pPr>
            <w:r w:rsidRPr="006A1EC7">
              <w:rPr>
                <w:sz w:val="20"/>
              </w:rPr>
              <w:t>Sleep: If disturbed every night, but self-soothes with Ipad, does this count?;</w:t>
            </w:r>
          </w:p>
          <w:p w14:paraId="2C5B4DFD" w14:textId="77777777" w:rsidR="00F53CB4" w:rsidRPr="006A1EC7" w:rsidRDefault="00F53CB4" w:rsidP="00AC2435">
            <w:pPr>
              <w:rPr>
                <w:sz w:val="20"/>
              </w:rPr>
            </w:pPr>
            <w:r w:rsidRPr="006A1EC7">
              <w:rPr>
                <w:sz w:val="20"/>
              </w:rPr>
              <w:t>Sleep: Don’t know what to choose as vignette said ‘most nights’</w:t>
            </w:r>
          </w:p>
        </w:tc>
        <w:tc>
          <w:tcPr>
            <w:tcW w:w="5620" w:type="dxa"/>
          </w:tcPr>
          <w:p w14:paraId="45CBB57B" w14:textId="77777777" w:rsidR="00F53CB4" w:rsidRPr="006A1EC7" w:rsidRDefault="00F53CB4" w:rsidP="00AC2435">
            <w:pPr>
              <w:rPr>
                <w:sz w:val="20"/>
              </w:rPr>
            </w:pPr>
            <w:r w:rsidRPr="006A1EC7">
              <w:rPr>
                <w:sz w:val="20"/>
              </w:rPr>
              <w:t>Changes made to reflect this. Disturbed sleep, i.e. broken sleep, as may highlight place for potential intervention. Added ITEM about self-soothing or management techniques.</w:t>
            </w:r>
          </w:p>
        </w:tc>
        <w:tc>
          <w:tcPr>
            <w:tcW w:w="617" w:type="dxa"/>
          </w:tcPr>
          <w:p w14:paraId="32FE0FF8"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57B7603A" w14:textId="77777777" w:rsidR="00F53CB4" w:rsidRPr="006A1EC7" w:rsidRDefault="00F53CB4" w:rsidP="00AC2435">
            <w:pPr>
              <w:rPr>
                <w:sz w:val="20"/>
              </w:rPr>
            </w:pPr>
          </w:p>
        </w:tc>
      </w:tr>
      <w:tr w:rsidR="00F53CB4" w:rsidRPr="006A1EC7" w14:paraId="72F7A803" w14:textId="77777777" w:rsidTr="00AC2435">
        <w:tc>
          <w:tcPr>
            <w:tcW w:w="1351" w:type="dxa"/>
            <w:shd w:val="clear" w:color="auto" w:fill="70AD47" w:themeFill="accent6"/>
          </w:tcPr>
          <w:p w14:paraId="09A90CA9" w14:textId="77777777" w:rsidR="00F53CB4" w:rsidRPr="006A1EC7" w:rsidRDefault="00F53CB4" w:rsidP="00AC2435">
            <w:pPr>
              <w:rPr>
                <w:sz w:val="20"/>
              </w:rPr>
            </w:pPr>
          </w:p>
        </w:tc>
        <w:tc>
          <w:tcPr>
            <w:tcW w:w="12961" w:type="dxa"/>
            <w:gridSpan w:val="3"/>
            <w:shd w:val="clear" w:color="auto" w:fill="70AD47" w:themeFill="accent6"/>
          </w:tcPr>
          <w:p w14:paraId="355758D5" w14:textId="77777777" w:rsidR="00F53CB4" w:rsidRPr="006A1EC7" w:rsidRDefault="00F53CB4" w:rsidP="00AC2435">
            <w:pPr>
              <w:rPr>
                <w:sz w:val="20"/>
              </w:rPr>
            </w:pPr>
            <w:r w:rsidRPr="006A1EC7">
              <w:rPr>
                <w:sz w:val="20"/>
              </w:rPr>
              <w:t>Section 9: Level of care</w:t>
            </w:r>
          </w:p>
        </w:tc>
      </w:tr>
      <w:tr w:rsidR="00F53CB4" w:rsidRPr="006A1EC7" w14:paraId="148A6E60" w14:textId="77777777" w:rsidTr="00AC2435">
        <w:tc>
          <w:tcPr>
            <w:tcW w:w="1351" w:type="dxa"/>
          </w:tcPr>
          <w:p w14:paraId="21F5639E" w14:textId="77777777" w:rsidR="00F53CB4" w:rsidRPr="006A1EC7" w:rsidRDefault="00F53CB4" w:rsidP="00AC2435">
            <w:pPr>
              <w:rPr>
                <w:sz w:val="20"/>
              </w:rPr>
            </w:pPr>
            <w:r w:rsidRPr="006A1EC7">
              <w:rPr>
                <w:sz w:val="20"/>
              </w:rPr>
              <w:t>66</w:t>
            </w:r>
          </w:p>
        </w:tc>
        <w:tc>
          <w:tcPr>
            <w:tcW w:w="6724" w:type="dxa"/>
          </w:tcPr>
          <w:p w14:paraId="5DFB66DC" w14:textId="77777777" w:rsidR="00F53CB4" w:rsidRPr="006A1EC7" w:rsidRDefault="00F53CB4" w:rsidP="00AC2435">
            <w:pPr>
              <w:rPr>
                <w:sz w:val="20"/>
              </w:rPr>
            </w:pPr>
            <w:r w:rsidRPr="006A1EC7">
              <w:rPr>
                <w:sz w:val="20"/>
              </w:rPr>
              <w:t>Emma: Support worker – similar to family. Scored as 2, but 1?</w:t>
            </w:r>
          </w:p>
        </w:tc>
        <w:tc>
          <w:tcPr>
            <w:tcW w:w="5620" w:type="dxa"/>
          </w:tcPr>
          <w:p w14:paraId="10A5E42F" w14:textId="77777777" w:rsidR="00F53CB4" w:rsidRPr="006A1EC7" w:rsidRDefault="00F53CB4" w:rsidP="00AC2435">
            <w:pPr>
              <w:rPr>
                <w:sz w:val="20"/>
              </w:rPr>
            </w:pPr>
            <w:r w:rsidRPr="006A1EC7">
              <w:rPr>
                <w:sz w:val="20"/>
              </w:rPr>
              <w:t>Make categories clearer</w:t>
            </w:r>
          </w:p>
        </w:tc>
        <w:tc>
          <w:tcPr>
            <w:tcW w:w="617" w:type="dxa"/>
          </w:tcPr>
          <w:p w14:paraId="472FA5E2"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09FB9B88" w14:textId="77777777" w:rsidR="00F53CB4" w:rsidRPr="006A1EC7" w:rsidRDefault="00F53CB4" w:rsidP="00AC2435">
            <w:pPr>
              <w:rPr>
                <w:sz w:val="20"/>
              </w:rPr>
            </w:pPr>
          </w:p>
        </w:tc>
      </w:tr>
      <w:tr w:rsidR="00F53CB4" w:rsidRPr="006A1EC7" w14:paraId="13EB9B68" w14:textId="77777777" w:rsidTr="00AC2435">
        <w:tc>
          <w:tcPr>
            <w:tcW w:w="1351" w:type="dxa"/>
            <w:shd w:val="clear" w:color="auto" w:fill="70AD47" w:themeFill="accent6"/>
          </w:tcPr>
          <w:p w14:paraId="1DB914AC" w14:textId="77777777" w:rsidR="00F53CB4" w:rsidRPr="006A1EC7" w:rsidRDefault="00F53CB4" w:rsidP="00AC2435">
            <w:pPr>
              <w:rPr>
                <w:sz w:val="20"/>
              </w:rPr>
            </w:pPr>
          </w:p>
        </w:tc>
        <w:tc>
          <w:tcPr>
            <w:tcW w:w="12961" w:type="dxa"/>
            <w:gridSpan w:val="3"/>
            <w:shd w:val="clear" w:color="auto" w:fill="70AD47" w:themeFill="accent6"/>
          </w:tcPr>
          <w:p w14:paraId="605ABC03" w14:textId="77777777" w:rsidR="00F53CB4" w:rsidRPr="006A1EC7" w:rsidRDefault="00F53CB4" w:rsidP="00AC2435">
            <w:pPr>
              <w:rPr>
                <w:sz w:val="20"/>
              </w:rPr>
            </w:pPr>
            <w:r w:rsidRPr="006A1EC7">
              <w:rPr>
                <w:sz w:val="20"/>
              </w:rPr>
              <w:t>Summary table</w:t>
            </w:r>
          </w:p>
        </w:tc>
      </w:tr>
      <w:tr w:rsidR="00F53CB4" w:rsidRPr="006A1EC7" w14:paraId="727D5542" w14:textId="77777777" w:rsidTr="00AC2435">
        <w:tc>
          <w:tcPr>
            <w:tcW w:w="1351" w:type="dxa"/>
          </w:tcPr>
          <w:p w14:paraId="50B58FDD" w14:textId="77777777" w:rsidR="00F53CB4" w:rsidRPr="006A1EC7" w:rsidRDefault="00F53CB4" w:rsidP="00AC2435">
            <w:pPr>
              <w:rPr>
                <w:sz w:val="20"/>
              </w:rPr>
            </w:pPr>
            <w:r w:rsidRPr="006A1EC7">
              <w:rPr>
                <w:sz w:val="20"/>
              </w:rPr>
              <w:t>95, 38</w:t>
            </w:r>
          </w:p>
        </w:tc>
        <w:tc>
          <w:tcPr>
            <w:tcW w:w="6724" w:type="dxa"/>
          </w:tcPr>
          <w:p w14:paraId="605CFC22" w14:textId="77777777" w:rsidR="00F53CB4" w:rsidRPr="006A1EC7" w:rsidRDefault="00F53CB4" w:rsidP="00AC2435">
            <w:pPr>
              <w:rPr>
                <w:sz w:val="20"/>
              </w:rPr>
            </w:pPr>
            <w:r w:rsidRPr="006A1EC7">
              <w:rPr>
                <w:sz w:val="20"/>
              </w:rPr>
              <w:t>Change summary table, should say</w:t>
            </w:r>
          </w:p>
          <w:p w14:paraId="6A417EF0" w14:textId="77777777" w:rsidR="00F53CB4" w:rsidRPr="006A1EC7" w:rsidRDefault="00F53CB4" w:rsidP="00AC2435">
            <w:pPr>
              <w:rPr>
                <w:sz w:val="20"/>
                <w:u w:val="single"/>
              </w:rPr>
            </w:pPr>
            <w:r w:rsidRPr="006A1EC7">
              <w:rPr>
                <w:sz w:val="20"/>
              </w:rPr>
              <w:t>“Gastrointestinal symptoms + genitourinary symptoms”</w:t>
            </w:r>
          </w:p>
        </w:tc>
        <w:tc>
          <w:tcPr>
            <w:tcW w:w="5620" w:type="dxa"/>
          </w:tcPr>
          <w:p w14:paraId="6DAFAE2D" w14:textId="77777777" w:rsidR="00F53CB4" w:rsidRPr="006A1EC7" w:rsidRDefault="00F53CB4" w:rsidP="00AC2435">
            <w:pPr>
              <w:rPr>
                <w:sz w:val="20"/>
              </w:rPr>
            </w:pPr>
            <w:r w:rsidRPr="006A1EC7">
              <w:rPr>
                <w:sz w:val="20"/>
              </w:rPr>
              <w:t>Changes made</w:t>
            </w:r>
          </w:p>
        </w:tc>
        <w:tc>
          <w:tcPr>
            <w:tcW w:w="617" w:type="dxa"/>
          </w:tcPr>
          <w:p w14:paraId="07B9F142"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03691CAA" w14:textId="77777777" w:rsidR="00F53CB4" w:rsidRPr="006A1EC7" w:rsidRDefault="00F53CB4" w:rsidP="00AC2435">
            <w:pPr>
              <w:rPr>
                <w:sz w:val="20"/>
              </w:rPr>
            </w:pPr>
          </w:p>
        </w:tc>
      </w:tr>
      <w:tr w:rsidR="00F53CB4" w:rsidRPr="006A1EC7" w14:paraId="6A128E6F" w14:textId="77777777" w:rsidTr="00AC2435">
        <w:tc>
          <w:tcPr>
            <w:tcW w:w="1351" w:type="dxa"/>
          </w:tcPr>
          <w:p w14:paraId="4D3CCB53" w14:textId="77777777" w:rsidR="00F53CB4" w:rsidRPr="006A1EC7" w:rsidRDefault="00F53CB4" w:rsidP="00AC2435">
            <w:pPr>
              <w:rPr>
                <w:sz w:val="20"/>
              </w:rPr>
            </w:pPr>
            <w:r w:rsidRPr="006A1EC7">
              <w:rPr>
                <w:sz w:val="20"/>
              </w:rPr>
              <w:t>63</w:t>
            </w:r>
          </w:p>
        </w:tc>
        <w:tc>
          <w:tcPr>
            <w:tcW w:w="6724" w:type="dxa"/>
          </w:tcPr>
          <w:p w14:paraId="3050FCDB" w14:textId="77777777" w:rsidR="00F53CB4" w:rsidRPr="006A1EC7" w:rsidRDefault="00F53CB4" w:rsidP="00AC2435">
            <w:pPr>
              <w:rPr>
                <w:sz w:val="20"/>
                <w:u w:val="single"/>
              </w:rPr>
            </w:pPr>
            <w:r w:rsidRPr="006A1EC7">
              <w:rPr>
                <w:sz w:val="20"/>
              </w:rPr>
              <w:t>Would be helpful to have total to add-up at end of each section</w:t>
            </w:r>
          </w:p>
        </w:tc>
        <w:tc>
          <w:tcPr>
            <w:tcW w:w="5620" w:type="dxa"/>
          </w:tcPr>
          <w:p w14:paraId="2E011EE6" w14:textId="77777777" w:rsidR="00F53CB4" w:rsidRPr="006A1EC7" w:rsidRDefault="00F53CB4" w:rsidP="00AC2435">
            <w:pPr>
              <w:rPr>
                <w:sz w:val="20"/>
              </w:rPr>
            </w:pPr>
            <w:r w:rsidRPr="006A1EC7">
              <w:rPr>
                <w:sz w:val="20"/>
              </w:rPr>
              <w:t>Added after each section</w:t>
            </w:r>
          </w:p>
        </w:tc>
        <w:tc>
          <w:tcPr>
            <w:tcW w:w="617" w:type="dxa"/>
          </w:tcPr>
          <w:p w14:paraId="7C0B2003" w14:textId="77777777" w:rsidR="00F53CB4" w:rsidRPr="006A1EC7" w:rsidRDefault="00F53CB4" w:rsidP="00AC2435">
            <w:pPr>
              <w:rPr>
                <w:sz w:val="20"/>
              </w:rPr>
            </w:pPr>
            <w:r w:rsidRPr="006A1EC7">
              <w:rPr>
                <w:rFonts w:ascii="Segoe UI Symbol" w:hAnsi="Segoe UI Symbol" w:cs="Segoe UI Symbol"/>
                <w:b/>
                <w:bCs/>
                <w:color w:val="222222"/>
                <w:sz w:val="20"/>
              </w:rPr>
              <w:t>✓</w:t>
            </w:r>
          </w:p>
          <w:p w14:paraId="51D817B6" w14:textId="77777777" w:rsidR="00F53CB4" w:rsidRPr="006A1EC7" w:rsidRDefault="00F53CB4" w:rsidP="00AC2435">
            <w:pPr>
              <w:rPr>
                <w:sz w:val="20"/>
              </w:rPr>
            </w:pPr>
          </w:p>
        </w:tc>
      </w:tr>
      <w:tr w:rsidR="00F53CB4" w:rsidRPr="006A1EC7" w14:paraId="7225A97E" w14:textId="77777777" w:rsidTr="00AC2435">
        <w:tc>
          <w:tcPr>
            <w:tcW w:w="1351" w:type="dxa"/>
            <w:shd w:val="clear" w:color="auto" w:fill="auto"/>
          </w:tcPr>
          <w:p w14:paraId="64EF390D" w14:textId="77777777" w:rsidR="00F53CB4" w:rsidRPr="006A1EC7" w:rsidRDefault="00F53CB4" w:rsidP="00AC2435">
            <w:pPr>
              <w:rPr>
                <w:sz w:val="20"/>
              </w:rPr>
            </w:pPr>
            <w:r w:rsidRPr="006A1EC7">
              <w:rPr>
                <w:sz w:val="20"/>
              </w:rPr>
              <w:t>81</w:t>
            </w:r>
          </w:p>
        </w:tc>
        <w:tc>
          <w:tcPr>
            <w:tcW w:w="6724" w:type="dxa"/>
            <w:shd w:val="clear" w:color="auto" w:fill="auto"/>
          </w:tcPr>
          <w:p w14:paraId="486C83CF" w14:textId="77777777" w:rsidR="00F53CB4" w:rsidRPr="006A1EC7" w:rsidRDefault="00F53CB4" w:rsidP="00AC2435">
            <w:pPr>
              <w:rPr>
                <w:sz w:val="20"/>
              </w:rPr>
            </w:pPr>
            <w:r w:rsidRPr="006A1EC7">
              <w:rPr>
                <w:sz w:val="20"/>
              </w:rPr>
              <w:t>Add Mobility score on summary table</w:t>
            </w:r>
          </w:p>
        </w:tc>
        <w:tc>
          <w:tcPr>
            <w:tcW w:w="5620" w:type="dxa"/>
            <w:shd w:val="clear" w:color="auto" w:fill="auto"/>
          </w:tcPr>
          <w:p w14:paraId="06097F1C" w14:textId="77777777" w:rsidR="00F53CB4" w:rsidRPr="006A1EC7" w:rsidRDefault="00F53CB4" w:rsidP="00AC2435">
            <w:pPr>
              <w:rPr>
                <w:sz w:val="20"/>
              </w:rPr>
            </w:pPr>
            <w:r w:rsidRPr="006A1EC7">
              <w:rPr>
                <w:sz w:val="20"/>
              </w:rPr>
              <w:t>Is contained within CNS</w:t>
            </w:r>
          </w:p>
        </w:tc>
        <w:tc>
          <w:tcPr>
            <w:tcW w:w="617" w:type="dxa"/>
            <w:shd w:val="clear" w:color="auto" w:fill="auto"/>
          </w:tcPr>
          <w:p w14:paraId="355DFFA8" w14:textId="77777777" w:rsidR="00F53CB4" w:rsidRPr="006A1EC7" w:rsidRDefault="00F53CB4" w:rsidP="00AC2435">
            <w:pPr>
              <w:rPr>
                <w:sz w:val="20"/>
              </w:rPr>
            </w:pPr>
            <w:r w:rsidRPr="006A1EC7">
              <w:rPr>
                <w:sz w:val="20"/>
              </w:rPr>
              <w:t>x</w:t>
            </w:r>
          </w:p>
        </w:tc>
      </w:tr>
      <w:tr w:rsidR="00F53CB4" w:rsidRPr="006A1EC7" w14:paraId="63F213D0" w14:textId="77777777" w:rsidTr="00AC2435">
        <w:tc>
          <w:tcPr>
            <w:tcW w:w="1351" w:type="dxa"/>
            <w:shd w:val="clear" w:color="auto" w:fill="70AD47" w:themeFill="accent6"/>
          </w:tcPr>
          <w:p w14:paraId="29E44255" w14:textId="77777777" w:rsidR="00F53CB4" w:rsidRPr="006A1EC7" w:rsidRDefault="00F53CB4" w:rsidP="00AC2435">
            <w:pPr>
              <w:rPr>
                <w:sz w:val="20"/>
              </w:rPr>
            </w:pPr>
          </w:p>
        </w:tc>
        <w:tc>
          <w:tcPr>
            <w:tcW w:w="12961" w:type="dxa"/>
            <w:gridSpan w:val="3"/>
            <w:shd w:val="clear" w:color="auto" w:fill="70AD47" w:themeFill="accent6"/>
          </w:tcPr>
          <w:p w14:paraId="34D17E96" w14:textId="77777777" w:rsidR="00F53CB4" w:rsidRPr="006A1EC7" w:rsidRDefault="00F53CB4" w:rsidP="00AC2435">
            <w:pPr>
              <w:rPr>
                <w:sz w:val="20"/>
              </w:rPr>
            </w:pPr>
            <w:r w:rsidRPr="006A1EC7">
              <w:rPr>
                <w:sz w:val="20"/>
              </w:rPr>
              <w:t>Questions</w:t>
            </w:r>
          </w:p>
        </w:tc>
      </w:tr>
      <w:tr w:rsidR="00F53CB4" w:rsidRPr="006A1EC7" w14:paraId="0FDA04D7" w14:textId="77777777" w:rsidTr="00AC2435">
        <w:tc>
          <w:tcPr>
            <w:tcW w:w="1351" w:type="dxa"/>
            <w:shd w:val="clear" w:color="auto" w:fill="auto"/>
          </w:tcPr>
          <w:p w14:paraId="58EEEBCD" w14:textId="77777777" w:rsidR="00F53CB4" w:rsidRPr="006A1EC7" w:rsidRDefault="00F53CB4" w:rsidP="00AC2435">
            <w:pPr>
              <w:rPr>
                <w:sz w:val="20"/>
              </w:rPr>
            </w:pPr>
            <w:r w:rsidRPr="006A1EC7">
              <w:rPr>
                <w:sz w:val="20"/>
              </w:rPr>
              <w:t>106</w:t>
            </w:r>
          </w:p>
        </w:tc>
        <w:tc>
          <w:tcPr>
            <w:tcW w:w="6724" w:type="dxa"/>
            <w:shd w:val="clear" w:color="auto" w:fill="auto"/>
          </w:tcPr>
          <w:p w14:paraId="60D8FE1F" w14:textId="77777777" w:rsidR="00F53CB4" w:rsidRPr="006A1EC7" w:rsidRDefault="00F53CB4" w:rsidP="00AC2435">
            <w:pPr>
              <w:rPr>
                <w:sz w:val="20"/>
              </w:rPr>
            </w:pPr>
            <w:r w:rsidRPr="006A1EC7">
              <w:rPr>
                <w:sz w:val="20"/>
              </w:rPr>
              <w:t xml:space="preserve">? need different threshold for different sexes as hypospadias is in males only. </w:t>
            </w:r>
          </w:p>
        </w:tc>
        <w:tc>
          <w:tcPr>
            <w:tcW w:w="5620" w:type="dxa"/>
            <w:shd w:val="clear" w:color="auto" w:fill="auto"/>
          </w:tcPr>
          <w:p w14:paraId="7F99E59E" w14:textId="77777777" w:rsidR="00F53CB4" w:rsidRPr="006A1EC7" w:rsidRDefault="00F53CB4" w:rsidP="00AC2435">
            <w:pPr>
              <w:rPr>
                <w:sz w:val="20"/>
              </w:rPr>
            </w:pPr>
            <w:r w:rsidRPr="006A1EC7">
              <w:rPr>
                <w:sz w:val="20"/>
              </w:rPr>
              <w:t>Added and taken into account for overall scores</w:t>
            </w:r>
          </w:p>
        </w:tc>
        <w:tc>
          <w:tcPr>
            <w:tcW w:w="617" w:type="dxa"/>
            <w:shd w:val="clear" w:color="auto" w:fill="auto"/>
          </w:tcPr>
          <w:p w14:paraId="4E0ACFFD" w14:textId="77777777" w:rsidR="00F53CB4" w:rsidRPr="006A1EC7" w:rsidRDefault="00F53CB4" w:rsidP="00AC2435">
            <w:pPr>
              <w:rPr>
                <w:sz w:val="20"/>
              </w:rPr>
            </w:pPr>
            <w:r w:rsidRPr="006A1EC7">
              <w:rPr>
                <w:sz w:val="20"/>
              </w:rPr>
              <w:t>N/A</w:t>
            </w:r>
          </w:p>
        </w:tc>
      </w:tr>
      <w:tr w:rsidR="00F53CB4" w:rsidRPr="006A1EC7" w14:paraId="3CF3872A" w14:textId="77777777" w:rsidTr="00AC2435">
        <w:tc>
          <w:tcPr>
            <w:tcW w:w="1351" w:type="dxa"/>
            <w:shd w:val="clear" w:color="auto" w:fill="auto"/>
          </w:tcPr>
          <w:p w14:paraId="39F85D1C" w14:textId="77777777" w:rsidR="00F53CB4" w:rsidRPr="006A1EC7" w:rsidRDefault="00F53CB4" w:rsidP="00AC2435">
            <w:pPr>
              <w:rPr>
                <w:sz w:val="20"/>
              </w:rPr>
            </w:pPr>
            <w:r w:rsidRPr="006A1EC7">
              <w:rPr>
                <w:sz w:val="20"/>
              </w:rPr>
              <w:t>84</w:t>
            </w:r>
          </w:p>
        </w:tc>
        <w:tc>
          <w:tcPr>
            <w:tcW w:w="6724" w:type="dxa"/>
            <w:shd w:val="clear" w:color="auto" w:fill="auto"/>
          </w:tcPr>
          <w:p w14:paraId="0818CD12" w14:textId="77777777" w:rsidR="00F53CB4" w:rsidRPr="006A1EC7" w:rsidRDefault="00F53CB4" w:rsidP="00AC2435">
            <w:pPr>
              <w:rPr>
                <w:sz w:val="20"/>
              </w:rPr>
            </w:pPr>
            <w:r w:rsidRPr="006A1EC7">
              <w:rPr>
                <w:sz w:val="20"/>
              </w:rPr>
              <w:t>Is the assessment for (encephaly??) clinical or based on criteria, i.e. HC?</w:t>
            </w:r>
          </w:p>
        </w:tc>
        <w:tc>
          <w:tcPr>
            <w:tcW w:w="5620" w:type="dxa"/>
            <w:shd w:val="clear" w:color="auto" w:fill="auto"/>
          </w:tcPr>
          <w:p w14:paraId="3A7FF379" w14:textId="77777777" w:rsidR="00F53CB4" w:rsidRPr="006A1EC7" w:rsidRDefault="00F53CB4" w:rsidP="00AC2435">
            <w:pPr>
              <w:rPr>
                <w:sz w:val="20"/>
              </w:rPr>
            </w:pPr>
            <w:r w:rsidRPr="006A1EC7">
              <w:rPr>
                <w:sz w:val="20"/>
              </w:rPr>
              <w:t>Head circumference in patient characteristics part of the scale; should be based on that – made clear in the scale</w:t>
            </w:r>
          </w:p>
        </w:tc>
        <w:tc>
          <w:tcPr>
            <w:tcW w:w="617" w:type="dxa"/>
            <w:shd w:val="clear" w:color="auto" w:fill="auto"/>
          </w:tcPr>
          <w:p w14:paraId="59AC2AD1" w14:textId="77777777" w:rsidR="00F53CB4" w:rsidRPr="006A1EC7" w:rsidRDefault="00F53CB4" w:rsidP="00AC2435">
            <w:pPr>
              <w:rPr>
                <w:sz w:val="20"/>
              </w:rPr>
            </w:pPr>
            <w:r w:rsidRPr="006A1EC7">
              <w:rPr>
                <w:sz w:val="20"/>
              </w:rPr>
              <w:t>N/A</w:t>
            </w:r>
          </w:p>
        </w:tc>
      </w:tr>
      <w:tr w:rsidR="00F53CB4" w:rsidRPr="006A1EC7" w14:paraId="1C1674C0" w14:textId="77777777" w:rsidTr="00AC2435">
        <w:tc>
          <w:tcPr>
            <w:tcW w:w="1351" w:type="dxa"/>
            <w:shd w:val="clear" w:color="auto" w:fill="auto"/>
          </w:tcPr>
          <w:p w14:paraId="65953E08" w14:textId="77777777" w:rsidR="00F53CB4" w:rsidRPr="006A1EC7" w:rsidRDefault="00F53CB4" w:rsidP="00AC2435">
            <w:pPr>
              <w:rPr>
                <w:sz w:val="20"/>
              </w:rPr>
            </w:pPr>
            <w:r w:rsidRPr="006A1EC7">
              <w:rPr>
                <w:sz w:val="20"/>
              </w:rPr>
              <w:t>75</w:t>
            </w:r>
          </w:p>
        </w:tc>
        <w:tc>
          <w:tcPr>
            <w:tcW w:w="6724" w:type="dxa"/>
            <w:shd w:val="clear" w:color="auto" w:fill="auto"/>
          </w:tcPr>
          <w:p w14:paraId="2979A8B3" w14:textId="77777777" w:rsidR="00F53CB4" w:rsidRPr="006A1EC7" w:rsidRDefault="00F53CB4" w:rsidP="00AC2435">
            <w:pPr>
              <w:rPr>
                <w:sz w:val="20"/>
              </w:rPr>
            </w:pPr>
            <w:r w:rsidRPr="006A1EC7">
              <w:rPr>
                <w:sz w:val="20"/>
              </w:rPr>
              <w:t>Q3A3 I wonder whether it needs another word or two to explain the question</w:t>
            </w:r>
          </w:p>
          <w:p w14:paraId="3B49B52B" w14:textId="77777777" w:rsidR="00F53CB4" w:rsidRPr="006A1EC7" w:rsidRDefault="00F53CB4" w:rsidP="00AC2435">
            <w:pPr>
              <w:rPr>
                <w:sz w:val="20"/>
              </w:rPr>
            </w:pPr>
          </w:p>
        </w:tc>
        <w:tc>
          <w:tcPr>
            <w:tcW w:w="5620" w:type="dxa"/>
            <w:shd w:val="clear" w:color="auto" w:fill="auto"/>
          </w:tcPr>
          <w:p w14:paraId="15B7F9CE" w14:textId="77777777" w:rsidR="00F53CB4" w:rsidRPr="006A1EC7" w:rsidRDefault="00F53CB4" w:rsidP="00AC2435">
            <w:pPr>
              <w:rPr>
                <w:sz w:val="20"/>
              </w:rPr>
            </w:pPr>
            <w:r w:rsidRPr="006A1EC7">
              <w:rPr>
                <w:sz w:val="20"/>
              </w:rPr>
              <w:t>Unclear</w:t>
            </w:r>
          </w:p>
        </w:tc>
        <w:tc>
          <w:tcPr>
            <w:tcW w:w="617" w:type="dxa"/>
            <w:shd w:val="clear" w:color="auto" w:fill="auto"/>
          </w:tcPr>
          <w:p w14:paraId="4DF71CBE" w14:textId="77777777" w:rsidR="00F53CB4" w:rsidRPr="006A1EC7" w:rsidRDefault="00F53CB4" w:rsidP="00AC2435">
            <w:pPr>
              <w:rPr>
                <w:sz w:val="20"/>
              </w:rPr>
            </w:pPr>
            <w:r w:rsidRPr="006A1EC7">
              <w:rPr>
                <w:sz w:val="20"/>
              </w:rPr>
              <w:t>N/A</w:t>
            </w:r>
          </w:p>
        </w:tc>
      </w:tr>
      <w:tr w:rsidR="00F53CB4" w:rsidRPr="006A1EC7" w14:paraId="24A3128C" w14:textId="77777777" w:rsidTr="00AC2435">
        <w:tc>
          <w:tcPr>
            <w:tcW w:w="1351" w:type="dxa"/>
            <w:shd w:val="clear" w:color="auto" w:fill="70AD47" w:themeFill="accent6"/>
          </w:tcPr>
          <w:p w14:paraId="2489A76B" w14:textId="77777777" w:rsidR="00F53CB4" w:rsidRPr="006A1EC7" w:rsidRDefault="00F53CB4" w:rsidP="00AC2435">
            <w:pPr>
              <w:rPr>
                <w:sz w:val="20"/>
              </w:rPr>
            </w:pPr>
          </w:p>
        </w:tc>
        <w:tc>
          <w:tcPr>
            <w:tcW w:w="12961" w:type="dxa"/>
            <w:gridSpan w:val="3"/>
            <w:shd w:val="clear" w:color="auto" w:fill="70AD47" w:themeFill="accent6"/>
          </w:tcPr>
          <w:p w14:paraId="4FE87A27" w14:textId="77777777" w:rsidR="00F53CB4" w:rsidRPr="006A1EC7" w:rsidRDefault="00F53CB4" w:rsidP="00AC2435">
            <w:pPr>
              <w:rPr>
                <w:sz w:val="20"/>
              </w:rPr>
            </w:pPr>
            <w:r w:rsidRPr="006A1EC7">
              <w:rPr>
                <w:sz w:val="20"/>
              </w:rPr>
              <w:t>Other comments</w:t>
            </w:r>
          </w:p>
        </w:tc>
      </w:tr>
      <w:tr w:rsidR="00F53CB4" w:rsidRPr="006A1EC7" w14:paraId="1812D6B5" w14:textId="77777777" w:rsidTr="00AC2435">
        <w:tc>
          <w:tcPr>
            <w:tcW w:w="1351" w:type="dxa"/>
            <w:shd w:val="clear" w:color="auto" w:fill="auto"/>
          </w:tcPr>
          <w:p w14:paraId="1F0B3950" w14:textId="77777777" w:rsidR="00F53CB4" w:rsidRPr="006A1EC7" w:rsidRDefault="00F53CB4" w:rsidP="00AC2435">
            <w:pPr>
              <w:rPr>
                <w:sz w:val="20"/>
              </w:rPr>
            </w:pPr>
            <w:r w:rsidRPr="006A1EC7">
              <w:rPr>
                <w:sz w:val="20"/>
              </w:rPr>
              <w:t>67</w:t>
            </w:r>
          </w:p>
        </w:tc>
        <w:tc>
          <w:tcPr>
            <w:tcW w:w="6724" w:type="dxa"/>
            <w:shd w:val="clear" w:color="auto" w:fill="auto"/>
          </w:tcPr>
          <w:p w14:paraId="0CA26B3C" w14:textId="77777777" w:rsidR="00F53CB4" w:rsidRPr="006A1EC7" w:rsidRDefault="00F53CB4" w:rsidP="00AC2435">
            <w:pPr>
              <w:rPr>
                <w:sz w:val="20"/>
              </w:rPr>
            </w:pPr>
            <w:r w:rsidRPr="006A1EC7">
              <w:rPr>
                <w:sz w:val="20"/>
              </w:rPr>
              <w:t>Doesn’t seem to be as relevant to babies, speech particularly and functional assessment</w:t>
            </w:r>
          </w:p>
        </w:tc>
        <w:tc>
          <w:tcPr>
            <w:tcW w:w="5620" w:type="dxa"/>
            <w:shd w:val="clear" w:color="auto" w:fill="auto"/>
          </w:tcPr>
          <w:p w14:paraId="4DF8A6FA" w14:textId="77777777" w:rsidR="00F53CB4" w:rsidRPr="006A1EC7" w:rsidRDefault="00F53CB4" w:rsidP="00AC2435">
            <w:pPr>
              <w:rPr>
                <w:sz w:val="20"/>
              </w:rPr>
            </w:pPr>
            <w:r w:rsidRPr="006A1EC7">
              <w:rPr>
                <w:sz w:val="20"/>
              </w:rPr>
              <w:t>N/A</w:t>
            </w:r>
          </w:p>
        </w:tc>
        <w:tc>
          <w:tcPr>
            <w:tcW w:w="617" w:type="dxa"/>
            <w:shd w:val="clear" w:color="auto" w:fill="auto"/>
          </w:tcPr>
          <w:p w14:paraId="572A97EA" w14:textId="77777777" w:rsidR="00F53CB4" w:rsidRPr="006A1EC7" w:rsidRDefault="00F53CB4" w:rsidP="00AC2435">
            <w:pPr>
              <w:rPr>
                <w:sz w:val="20"/>
              </w:rPr>
            </w:pPr>
            <w:r w:rsidRPr="006A1EC7">
              <w:rPr>
                <w:sz w:val="20"/>
              </w:rPr>
              <w:t>N/A</w:t>
            </w:r>
          </w:p>
        </w:tc>
      </w:tr>
      <w:tr w:rsidR="00F53CB4" w:rsidRPr="006A1EC7" w14:paraId="246748DA" w14:textId="77777777" w:rsidTr="00AC2435">
        <w:tc>
          <w:tcPr>
            <w:tcW w:w="1351" w:type="dxa"/>
            <w:shd w:val="clear" w:color="auto" w:fill="auto"/>
          </w:tcPr>
          <w:p w14:paraId="25C3AA68" w14:textId="77777777" w:rsidR="00F53CB4" w:rsidRPr="006A1EC7" w:rsidRDefault="00F53CB4" w:rsidP="00AC2435">
            <w:pPr>
              <w:rPr>
                <w:sz w:val="20"/>
              </w:rPr>
            </w:pPr>
            <w:r w:rsidRPr="006A1EC7">
              <w:rPr>
                <w:sz w:val="20"/>
              </w:rPr>
              <w:t>99</w:t>
            </w:r>
          </w:p>
        </w:tc>
        <w:tc>
          <w:tcPr>
            <w:tcW w:w="6724" w:type="dxa"/>
            <w:shd w:val="clear" w:color="auto" w:fill="auto"/>
          </w:tcPr>
          <w:p w14:paraId="5E6D2AA7" w14:textId="77777777" w:rsidR="00F53CB4" w:rsidRPr="006A1EC7" w:rsidRDefault="00F53CB4" w:rsidP="00AC2435">
            <w:pPr>
              <w:rPr>
                <w:sz w:val="20"/>
              </w:rPr>
            </w:pPr>
            <w:r w:rsidRPr="006A1EC7">
              <w:rPr>
                <w:sz w:val="20"/>
              </w:rPr>
              <w:t>I would definitely take this from into a consult if intending to use it.</w:t>
            </w:r>
          </w:p>
        </w:tc>
        <w:tc>
          <w:tcPr>
            <w:tcW w:w="5620" w:type="dxa"/>
            <w:shd w:val="clear" w:color="auto" w:fill="auto"/>
          </w:tcPr>
          <w:p w14:paraId="1D0A1E77" w14:textId="77777777" w:rsidR="00F53CB4" w:rsidRPr="006A1EC7" w:rsidRDefault="00F53CB4" w:rsidP="00AC2435">
            <w:pPr>
              <w:rPr>
                <w:sz w:val="20"/>
              </w:rPr>
            </w:pPr>
            <w:r w:rsidRPr="006A1EC7">
              <w:rPr>
                <w:sz w:val="20"/>
              </w:rPr>
              <w:t>N/A</w:t>
            </w:r>
          </w:p>
        </w:tc>
        <w:tc>
          <w:tcPr>
            <w:tcW w:w="617" w:type="dxa"/>
            <w:shd w:val="clear" w:color="auto" w:fill="auto"/>
          </w:tcPr>
          <w:p w14:paraId="283F6DE2" w14:textId="77777777" w:rsidR="00F53CB4" w:rsidRPr="006A1EC7" w:rsidRDefault="00F53CB4" w:rsidP="00AC2435">
            <w:pPr>
              <w:rPr>
                <w:sz w:val="20"/>
              </w:rPr>
            </w:pPr>
            <w:r w:rsidRPr="006A1EC7">
              <w:rPr>
                <w:sz w:val="20"/>
              </w:rPr>
              <w:t>N/A</w:t>
            </w:r>
          </w:p>
        </w:tc>
      </w:tr>
      <w:tr w:rsidR="00F53CB4" w:rsidRPr="006A1EC7" w14:paraId="1A1CA63A" w14:textId="77777777" w:rsidTr="00AC2435">
        <w:tc>
          <w:tcPr>
            <w:tcW w:w="1351" w:type="dxa"/>
            <w:shd w:val="clear" w:color="auto" w:fill="auto"/>
          </w:tcPr>
          <w:p w14:paraId="29628D31" w14:textId="77777777" w:rsidR="00F53CB4" w:rsidRPr="006A1EC7" w:rsidRDefault="00F53CB4" w:rsidP="00AC2435">
            <w:pPr>
              <w:rPr>
                <w:sz w:val="20"/>
              </w:rPr>
            </w:pPr>
            <w:r w:rsidRPr="006A1EC7">
              <w:rPr>
                <w:sz w:val="20"/>
              </w:rPr>
              <w:t>24</w:t>
            </w:r>
          </w:p>
        </w:tc>
        <w:tc>
          <w:tcPr>
            <w:tcW w:w="6724" w:type="dxa"/>
            <w:shd w:val="clear" w:color="auto" w:fill="auto"/>
          </w:tcPr>
          <w:p w14:paraId="44CF5AE8" w14:textId="77777777" w:rsidR="00F53CB4" w:rsidRPr="006A1EC7" w:rsidRDefault="00F53CB4" w:rsidP="00AC2435">
            <w:pPr>
              <w:rPr>
                <w:sz w:val="20"/>
              </w:rPr>
            </w:pPr>
            <w:r w:rsidRPr="006A1EC7">
              <w:rPr>
                <w:sz w:val="20"/>
              </w:rPr>
              <w:t>Really interesting to consider variation in syndrome presentation and severity in different domains.</w:t>
            </w:r>
          </w:p>
        </w:tc>
        <w:tc>
          <w:tcPr>
            <w:tcW w:w="5620" w:type="dxa"/>
            <w:shd w:val="clear" w:color="auto" w:fill="auto"/>
          </w:tcPr>
          <w:p w14:paraId="61DF4268" w14:textId="77777777" w:rsidR="00F53CB4" w:rsidRPr="006A1EC7" w:rsidRDefault="00F53CB4" w:rsidP="00AC2435">
            <w:pPr>
              <w:rPr>
                <w:sz w:val="20"/>
              </w:rPr>
            </w:pPr>
            <w:r w:rsidRPr="006A1EC7">
              <w:rPr>
                <w:sz w:val="20"/>
              </w:rPr>
              <w:t>N/A</w:t>
            </w:r>
          </w:p>
        </w:tc>
        <w:tc>
          <w:tcPr>
            <w:tcW w:w="617" w:type="dxa"/>
            <w:shd w:val="clear" w:color="auto" w:fill="auto"/>
          </w:tcPr>
          <w:p w14:paraId="4D037E9A" w14:textId="77777777" w:rsidR="00F53CB4" w:rsidRPr="006A1EC7" w:rsidRDefault="00F53CB4" w:rsidP="00AC2435">
            <w:pPr>
              <w:rPr>
                <w:sz w:val="20"/>
              </w:rPr>
            </w:pPr>
            <w:r w:rsidRPr="006A1EC7">
              <w:rPr>
                <w:sz w:val="20"/>
              </w:rPr>
              <w:t>N/A</w:t>
            </w:r>
          </w:p>
        </w:tc>
      </w:tr>
      <w:tr w:rsidR="00F53CB4" w:rsidRPr="006A1EC7" w14:paraId="2946B406" w14:textId="77777777" w:rsidTr="00AC2435">
        <w:tc>
          <w:tcPr>
            <w:tcW w:w="1351" w:type="dxa"/>
            <w:shd w:val="clear" w:color="auto" w:fill="auto"/>
          </w:tcPr>
          <w:p w14:paraId="5821AF19" w14:textId="77777777" w:rsidR="00F53CB4" w:rsidRPr="006A1EC7" w:rsidRDefault="00F53CB4" w:rsidP="00AC2435">
            <w:pPr>
              <w:rPr>
                <w:sz w:val="20"/>
              </w:rPr>
            </w:pPr>
            <w:r w:rsidRPr="006A1EC7">
              <w:rPr>
                <w:sz w:val="20"/>
              </w:rPr>
              <w:t>83</w:t>
            </w:r>
          </w:p>
        </w:tc>
        <w:tc>
          <w:tcPr>
            <w:tcW w:w="6724" w:type="dxa"/>
            <w:shd w:val="clear" w:color="auto" w:fill="auto"/>
          </w:tcPr>
          <w:p w14:paraId="1F473C7C" w14:textId="77777777" w:rsidR="00F53CB4" w:rsidRPr="006A1EC7" w:rsidRDefault="00F53CB4" w:rsidP="00AC2435">
            <w:pPr>
              <w:rPr>
                <w:sz w:val="20"/>
              </w:rPr>
            </w:pPr>
            <w:r w:rsidRPr="006A1EC7">
              <w:rPr>
                <w:sz w:val="20"/>
              </w:rPr>
              <w:t>I can see this tool may be useful in a specialist clinic but doubt I would use it in my practice – many items are common with other genetic/developmental disorders and I ask about routinely anyway. Otherwise I would appreciate a checklist of a specific complication of Wolf-Hirschhorn as a reminder rather than a questionnaire. Thanks! Very interesting project</w:t>
            </w:r>
          </w:p>
        </w:tc>
        <w:tc>
          <w:tcPr>
            <w:tcW w:w="5620" w:type="dxa"/>
            <w:shd w:val="clear" w:color="auto" w:fill="auto"/>
          </w:tcPr>
          <w:p w14:paraId="0AE811D4" w14:textId="77777777" w:rsidR="00F53CB4" w:rsidRPr="006A1EC7" w:rsidRDefault="00F53CB4" w:rsidP="00AC2435">
            <w:pPr>
              <w:rPr>
                <w:sz w:val="20"/>
              </w:rPr>
            </w:pPr>
            <w:r w:rsidRPr="006A1EC7">
              <w:rPr>
                <w:sz w:val="20"/>
              </w:rPr>
              <w:t>N/A</w:t>
            </w:r>
          </w:p>
        </w:tc>
        <w:tc>
          <w:tcPr>
            <w:tcW w:w="617" w:type="dxa"/>
            <w:shd w:val="clear" w:color="auto" w:fill="auto"/>
          </w:tcPr>
          <w:p w14:paraId="0400AF03" w14:textId="77777777" w:rsidR="00F53CB4" w:rsidRPr="006A1EC7" w:rsidRDefault="00F53CB4" w:rsidP="00AC2435">
            <w:pPr>
              <w:rPr>
                <w:sz w:val="20"/>
              </w:rPr>
            </w:pPr>
            <w:r w:rsidRPr="006A1EC7">
              <w:rPr>
                <w:sz w:val="20"/>
              </w:rPr>
              <w:t>N/A</w:t>
            </w:r>
          </w:p>
        </w:tc>
      </w:tr>
      <w:tr w:rsidR="00F53CB4" w:rsidRPr="006A1EC7" w14:paraId="081AE52C" w14:textId="77777777" w:rsidTr="00AC2435">
        <w:tc>
          <w:tcPr>
            <w:tcW w:w="1351" w:type="dxa"/>
            <w:shd w:val="clear" w:color="auto" w:fill="auto"/>
          </w:tcPr>
          <w:p w14:paraId="18750AEC" w14:textId="77777777" w:rsidR="00F53CB4" w:rsidRPr="006A1EC7" w:rsidRDefault="00F53CB4" w:rsidP="00AC2435">
            <w:pPr>
              <w:rPr>
                <w:sz w:val="20"/>
              </w:rPr>
            </w:pPr>
            <w:r w:rsidRPr="006A1EC7">
              <w:rPr>
                <w:sz w:val="20"/>
              </w:rPr>
              <w:t>84</w:t>
            </w:r>
          </w:p>
        </w:tc>
        <w:tc>
          <w:tcPr>
            <w:tcW w:w="6724" w:type="dxa"/>
            <w:shd w:val="clear" w:color="auto" w:fill="auto"/>
          </w:tcPr>
          <w:p w14:paraId="5D30B0D0" w14:textId="77777777" w:rsidR="00F53CB4" w:rsidRPr="006A1EC7" w:rsidRDefault="00F53CB4" w:rsidP="00AC2435">
            <w:pPr>
              <w:rPr>
                <w:sz w:val="20"/>
              </w:rPr>
            </w:pPr>
            <w:r w:rsidRPr="006A1EC7">
              <w:rPr>
                <w:sz w:val="20"/>
              </w:rPr>
              <w:t>Overall really comprehensive and easy to follow.</w:t>
            </w:r>
          </w:p>
        </w:tc>
        <w:tc>
          <w:tcPr>
            <w:tcW w:w="5620" w:type="dxa"/>
            <w:shd w:val="clear" w:color="auto" w:fill="auto"/>
          </w:tcPr>
          <w:p w14:paraId="2FFBF46E" w14:textId="77777777" w:rsidR="00F53CB4" w:rsidRPr="006A1EC7" w:rsidRDefault="00F53CB4" w:rsidP="00AC2435">
            <w:pPr>
              <w:rPr>
                <w:sz w:val="20"/>
              </w:rPr>
            </w:pPr>
            <w:r w:rsidRPr="006A1EC7">
              <w:rPr>
                <w:sz w:val="20"/>
              </w:rPr>
              <w:t>N/A</w:t>
            </w:r>
          </w:p>
        </w:tc>
        <w:tc>
          <w:tcPr>
            <w:tcW w:w="617" w:type="dxa"/>
            <w:shd w:val="clear" w:color="auto" w:fill="auto"/>
          </w:tcPr>
          <w:p w14:paraId="6FDCE3C5" w14:textId="77777777" w:rsidR="00F53CB4" w:rsidRPr="006A1EC7" w:rsidRDefault="00F53CB4" w:rsidP="00AC2435">
            <w:pPr>
              <w:rPr>
                <w:sz w:val="20"/>
              </w:rPr>
            </w:pPr>
            <w:r w:rsidRPr="006A1EC7">
              <w:rPr>
                <w:sz w:val="20"/>
              </w:rPr>
              <w:t>N/A</w:t>
            </w:r>
          </w:p>
        </w:tc>
      </w:tr>
      <w:tr w:rsidR="00F53CB4" w:rsidRPr="006A1EC7" w14:paraId="6D0A4FDA" w14:textId="77777777" w:rsidTr="00AC2435">
        <w:tc>
          <w:tcPr>
            <w:tcW w:w="1351" w:type="dxa"/>
            <w:shd w:val="clear" w:color="auto" w:fill="auto"/>
          </w:tcPr>
          <w:p w14:paraId="0AD66BFB" w14:textId="77777777" w:rsidR="00F53CB4" w:rsidRPr="006A1EC7" w:rsidRDefault="00F53CB4" w:rsidP="00AC2435">
            <w:pPr>
              <w:rPr>
                <w:sz w:val="20"/>
              </w:rPr>
            </w:pPr>
            <w:r w:rsidRPr="006A1EC7">
              <w:rPr>
                <w:sz w:val="20"/>
              </w:rPr>
              <w:t>107</w:t>
            </w:r>
          </w:p>
        </w:tc>
        <w:tc>
          <w:tcPr>
            <w:tcW w:w="6724" w:type="dxa"/>
            <w:shd w:val="clear" w:color="auto" w:fill="auto"/>
          </w:tcPr>
          <w:p w14:paraId="5EF928FD" w14:textId="77777777" w:rsidR="00F53CB4" w:rsidRPr="006A1EC7" w:rsidRDefault="00F53CB4" w:rsidP="00AC2435">
            <w:pPr>
              <w:rPr>
                <w:sz w:val="20"/>
              </w:rPr>
            </w:pPr>
            <w:r w:rsidRPr="006A1EC7">
              <w:rPr>
                <w:sz w:val="20"/>
              </w:rPr>
              <w:t>Very comprehensive, detailed</w:t>
            </w:r>
          </w:p>
        </w:tc>
        <w:tc>
          <w:tcPr>
            <w:tcW w:w="5620" w:type="dxa"/>
            <w:shd w:val="clear" w:color="auto" w:fill="auto"/>
          </w:tcPr>
          <w:p w14:paraId="17A66394" w14:textId="77777777" w:rsidR="00F53CB4" w:rsidRPr="006A1EC7" w:rsidRDefault="00F53CB4" w:rsidP="00AC2435">
            <w:pPr>
              <w:rPr>
                <w:sz w:val="20"/>
              </w:rPr>
            </w:pPr>
            <w:r w:rsidRPr="006A1EC7">
              <w:rPr>
                <w:sz w:val="20"/>
              </w:rPr>
              <w:t>N/A</w:t>
            </w:r>
          </w:p>
        </w:tc>
        <w:tc>
          <w:tcPr>
            <w:tcW w:w="617" w:type="dxa"/>
            <w:shd w:val="clear" w:color="auto" w:fill="auto"/>
          </w:tcPr>
          <w:p w14:paraId="6546ED4B" w14:textId="77777777" w:rsidR="00F53CB4" w:rsidRPr="006A1EC7" w:rsidRDefault="00F53CB4" w:rsidP="00AC2435">
            <w:pPr>
              <w:rPr>
                <w:sz w:val="20"/>
              </w:rPr>
            </w:pPr>
          </w:p>
        </w:tc>
      </w:tr>
      <w:tr w:rsidR="00F53CB4" w:rsidRPr="006A1EC7" w14:paraId="000BD1DB" w14:textId="77777777" w:rsidTr="00AC2435">
        <w:tc>
          <w:tcPr>
            <w:tcW w:w="1351" w:type="dxa"/>
            <w:shd w:val="clear" w:color="auto" w:fill="auto"/>
          </w:tcPr>
          <w:p w14:paraId="3FA656D5" w14:textId="77777777" w:rsidR="00F53CB4" w:rsidRPr="006A1EC7" w:rsidRDefault="00F53CB4" w:rsidP="00AC2435">
            <w:pPr>
              <w:rPr>
                <w:sz w:val="20"/>
              </w:rPr>
            </w:pPr>
            <w:r w:rsidRPr="006A1EC7">
              <w:rPr>
                <w:sz w:val="20"/>
              </w:rPr>
              <w:t>39</w:t>
            </w:r>
          </w:p>
        </w:tc>
        <w:tc>
          <w:tcPr>
            <w:tcW w:w="6724" w:type="dxa"/>
            <w:shd w:val="clear" w:color="auto" w:fill="auto"/>
          </w:tcPr>
          <w:p w14:paraId="6B5DEDF0" w14:textId="77777777" w:rsidR="00F53CB4" w:rsidRPr="006A1EC7" w:rsidRDefault="00F53CB4" w:rsidP="00AC2435">
            <w:pPr>
              <w:rPr>
                <w:sz w:val="20"/>
              </w:rPr>
            </w:pPr>
            <w:r w:rsidRPr="006A1EC7">
              <w:rPr>
                <w:sz w:val="20"/>
              </w:rPr>
              <w:t>Could use the tool as an interview style approach/checklist</w:t>
            </w:r>
          </w:p>
        </w:tc>
        <w:tc>
          <w:tcPr>
            <w:tcW w:w="5620" w:type="dxa"/>
            <w:shd w:val="clear" w:color="auto" w:fill="auto"/>
          </w:tcPr>
          <w:p w14:paraId="0D7DF1BF" w14:textId="77777777" w:rsidR="00F53CB4" w:rsidRPr="006A1EC7" w:rsidRDefault="00F53CB4" w:rsidP="00AC2435">
            <w:pPr>
              <w:rPr>
                <w:sz w:val="20"/>
              </w:rPr>
            </w:pPr>
            <w:r w:rsidRPr="006A1EC7">
              <w:rPr>
                <w:sz w:val="20"/>
              </w:rPr>
              <w:t>N/A</w:t>
            </w:r>
          </w:p>
        </w:tc>
        <w:tc>
          <w:tcPr>
            <w:tcW w:w="617" w:type="dxa"/>
            <w:shd w:val="clear" w:color="auto" w:fill="auto"/>
          </w:tcPr>
          <w:p w14:paraId="33AFF30C" w14:textId="77777777" w:rsidR="00F53CB4" w:rsidRPr="006A1EC7" w:rsidRDefault="00F53CB4" w:rsidP="00AC2435">
            <w:pPr>
              <w:rPr>
                <w:sz w:val="20"/>
              </w:rPr>
            </w:pPr>
          </w:p>
        </w:tc>
      </w:tr>
    </w:tbl>
    <w:p w14:paraId="607E5E67" w14:textId="77777777" w:rsidR="00F53CB4" w:rsidRPr="006A1EC7" w:rsidRDefault="00F53CB4" w:rsidP="00F53CB4"/>
    <w:p w14:paraId="6AF876D3" w14:textId="77777777" w:rsidR="00F53CB4" w:rsidRPr="006A1EC7" w:rsidRDefault="00F53CB4" w:rsidP="00F53CB4">
      <w:pPr>
        <w:pStyle w:val="Heading2"/>
        <w:rPr>
          <w:rFonts w:ascii="Times New Roman" w:hAnsi="Times New Roman" w:cs="Times New Roman"/>
        </w:rPr>
        <w:sectPr w:rsidR="00F53CB4" w:rsidRPr="006A1EC7" w:rsidSect="00AC2435">
          <w:pgSz w:w="16840" w:h="11900" w:orient="landscape"/>
          <w:pgMar w:top="1440" w:right="1440" w:bottom="1440" w:left="1440" w:header="720" w:footer="720" w:gutter="0"/>
          <w:cols w:space="720"/>
          <w:docGrid w:linePitch="360"/>
        </w:sectPr>
      </w:pPr>
      <w:bookmarkStart w:id="266" w:name="_Toc23522741"/>
      <w:bookmarkStart w:id="267" w:name="_Toc38821464"/>
    </w:p>
    <w:p w14:paraId="58F36939" w14:textId="77777777" w:rsidR="00F53CB4" w:rsidRPr="006A1EC7" w:rsidRDefault="00F53CB4" w:rsidP="00F53CB4">
      <w:pPr>
        <w:pStyle w:val="Heading2"/>
        <w:rPr>
          <w:rFonts w:ascii="Times New Roman" w:hAnsi="Times New Roman" w:cs="Times New Roman"/>
        </w:rPr>
      </w:pPr>
      <w:bookmarkStart w:id="268" w:name="_Toc40173018"/>
      <w:r w:rsidRPr="006A1EC7">
        <w:rPr>
          <w:rFonts w:ascii="Times New Roman" w:hAnsi="Times New Roman" w:cs="Times New Roman"/>
        </w:rPr>
        <w:lastRenderedPageBreak/>
        <w:t>Discussion</w:t>
      </w:r>
      <w:bookmarkEnd w:id="266"/>
      <w:bookmarkEnd w:id="267"/>
      <w:bookmarkEnd w:id="268"/>
    </w:p>
    <w:p w14:paraId="0D189131" w14:textId="77777777" w:rsidR="00F53CB4" w:rsidRPr="006A1EC7" w:rsidRDefault="00F53CB4" w:rsidP="00F53CB4">
      <w:pPr>
        <w:spacing w:line="360" w:lineRule="auto"/>
      </w:pPr>
    </w:p>
    <w:bookmarkEnd w:id="227"/>
    <w:bookmarkEnd w:id="228"/>
    <w:p w14:paraId="5927C70B" w14:textId="005D8CED" w:rsidR="006E58E3" w:rsidRPr="006A1EC7" w:rsidRDefault="006E58E3" w:rsidP="006E58E3">
      <w:pPr>
        <w:spacing w:line="360" w:lineRule="auto"/>
        <w:ind w:firstLine="720"/>
      </w:pPr>
      <w:r w:rsidRPr="006A1EC7">
        <w:t xml:space="preserve">When developing a COA, it is essential that its reliability and construct validity are assessed to ensure that the inferences made, based on data obtained via the COA, are valid and appropriate </w:t>
      </w:r>
      <w:r w:rsidRPr="006A1EC7">
        <w:fldChar w:fldCharType="begin" w:fldLock="1"/>
      </w:r>
      <w:r w:rsidR="00AD67F5" w:rsidRPr="006A1EC7">
        <w:instrText>ADDIN CSL_CITATION {"citationItems":[{"id":"ITEM-1","itemData":{"DOI":"10.1016/j.jcm.2016.02.012","ISSN":"1556-3707","PMID":"27330520","abstract":"Objective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medicine","id":"ITEM-1","issue":"2","issued":{"date-parts":[["2016"]]},"page":"155-63","title":"A Guideline of Selecting and Reporting Intraclass Correlation Coefficients for Reliability Research.","type":"article-journal","volume":"15"},"uris":["http://www.mendeley.com/documents/?uuid=f83ff027-460f-4b9e-b0cf-0fdcf74b4aa7"]}],"mendeley":{"formattedCitation":"(Koo &amp; Li, 2016b)","manualFormatting":"(Koo &amp; Li, 2016)","plainTextFormattedCitation":"(Koo &amp; Li, 2016b)","previouslyFormattedCitation":"(Koo &amp; Li, 2016b)"},"properties":{"noteIndex":0},"schema":"https://github.com/citation-style-language/schema/raw/master/csl-citation.json"}</w:instrText>
      </w:r>
      <w:r w:rsidRPr="006A1EC7">
        <w:fldChar w:fldCharType="separate"/>
      </w:r>
      <w:r w:rsidRPr="006A1EC7">
        <w:rPr>
          <w:noProof/>
        </w:rPr>
        <w:t>(Koo &amp; Li, 2016)</w:t>
      </w:r>
      <w:r w:rsidRPr="006A1EC7">
        <w:fldChar w:fldCharType="end"/>
      </w:r>
      <w:r w:rsidRPr="006A1EC7">
        <w:t xml:space="preserve">. Traditional methods to assess these psychometric properties were neither suitable nor appropriate for the current project, due to a number of reasons. Firstly, these challenges included a lack of patients with WHS to validate the COA with, and subsequently being unable to satisfy the large sample sizes required for most statistical tests commonly used for this purpose. While these issues are documented in the literature, it offers no solutions. Secondly, as a result of the lack of solutions offered in the literature, a novel approach was developed in this thesis, to potentially address these issues. While in the first instance, the use of vignettes enabled the assessment of some psychometric properties, it did still not allow for validation with well-recognised and well-used statistical methods, such as ICCs. </w:t>
      </w:r>
    </w:p>
    <w:p w14:paraId="660BD732" w14:textId="77777777" w:rsidR="006E58E3" w:rsidRPr="006A1EC7" w:rsidRDefault="006E58E3" w:rsidP="006E58E3">
      <w:pPr>
        <w:spacing w:line="360" w:lineRule="auto"/>
        <w:ind w:firstLine="720"/>
      </w:pPr>
      <w:r w:rsidRPr="006A1EC7">
        <w:t xml:space="preserve">Nonetheless, the current study findings do suggest that, within the remit of possible analyses methods, the COA developed for WHS has good equity (inter-rater reliability), moderate stability (intra-rater reliability) and high construct validity (assessed via a priori hypotheses). </w:t>
      </w:r>
    </w:p>
    <w:p w14:paraId="6F4B9013" w14:textId="77777777" w:rsidR="006E58E3" w:rsidRPr="006A1EC7" w:rsidRDefault="006E58E3" w:rsidP="006E58E3">
      <w:pPr>
        <w:spacing w:line="360" w:lineRule="auto"/>
      </w:pPr>
    </w:p>
    <w:p w14:paraId="40E30CDB" w14:textId="77777777" w:rsidR="006E58E3" w:rsidRPr="006A1EC7" w:rsidRDefault="006E58E3" w:rsidP="006E58E3">
      <w:pPr>
        <w:pStyle w:val="Heading3"/>
        <w:rPr>
          <w:rFonts w:ascii="Times New Roman" w:hAnsi="Times New Roman" w:cs="Times New Roman"/>
        </w:rPr>
      </w:pPr>
      <w:r w:rsidRPr="006A1EC7">
        <w:rPr>
          <w:rFonts w:ascii="Times New Roman" w:hAnsi="Times New Roman" w:cs="Times New Roman"/>
        </w:rPr>
        <w:t>Intra-rater reliability</w:t>
      </w:r>
    </w:p>
    <w:p w14:paraId="61711362" w14:textId="77777777" w:rsidR="006E58E3" w:rsidRPr="006A1EC7" w:rsidRDefault="006E58E3" w:rsidP="006E58E3">
      <w:pPr>
        <w:spacing w:line="360" w:lineRule="auto"/>
        <w:ind w:firstLine="720"/>
      </w:pPr>
      <w:r w:rsidRPr="006A1EC7">
        <w:t>To</w:t>
      </w:r>
      <w:r w:rsidRPr="006A1EC7">
        <w:rPr>
          <w:color w:val="000000" w:themeColor="text1"/>
        </w:rPr>
        <w:t xml:space="preserve"> assess the COA’s equity, one-sample t-tests were conducted comparing the mean scores given by the developers of the vignettes/COA to the mean scores given by the respective sample for each vignette. </w:t>
      </w:r>
      <w:r w:rsidRPr="006A1EC7">
        <w:t>The desired outcome would have been for there to be no significant difference between the mean score given by the developers and the sample;</w:t>
      </w:r>
    </w:p>
    <w:p w14:paraId="4A019109" w14:textId="77777777" w:rsidR="006E58E3" w:rsidRPr="006A1EC7" w:rsidRDefault="006E58E3" w:rsidP="006E58E3">
      <w:pPr>
        <w:spacing w:line="360" w:lineRule="auto"/>
      </w:pPr>
      <w:r w:rsidRPr="006A1EC7">
        <w:t xml:space="preserve">on any subscale or total score. For these comparisons, the p-value was corrected; as aforementioned, may have led to type-II errors. This, unfortunately, is a limitation of the study design. </w:t>
      </w:r>
    </w:p>
    <w:p w14:paraId="3925D877" w14:textId="77777777" w:rsidR="006E58E3" w:rsidRPr="006A1EC7" w:rsidRDefault="006E58E3" w:rsidP="006E58E3">
      <w:pPr>
        <w:spacing w:line="360" w:lineRule="auto"/>
        <w:ind w:firstLine="720"/>
      </w:pPr>
      <w:r w:rsidRPr="006A1EC7">
        <w:t xml:space="preserve">Within the results, two types results were identified: ‘statistically significant’ results and ‘both statistically and clinically’ significant results. Subscales where both statistical and clinical significance were found, and thus where low inter-rater reliability was indicated, were the following subscales: Gastrointestinal (Bronagh), Epilepsy (Emma), Immunology (Emma, Fineen) and Cardiac-respiratory (Fineen). However, </w:t>
      </w:r>
      <w:r w:rsidRPr="006A1EC7">
        <w:lastRenderedPageBreak/>
        <w:t xml:space="preserve">from the current study design, it is challenging distinguishing whether these significant differences are the result of the scale itself, the way information was presented in the vignettes or participant error. Cleary, a much larger study with real patients in needed to address these issues. In the meantime, some clarifications on these subscales were made (in accordance with participant comments), which should address some of these issues; if they were indeed the result of unclear response categories or information contained in the vignettes. Some of these incongruencies should now be addressed and reduced. </w:t>
      </w:r>
    </w:p>
    <w:p w14:paraId="7BEE3108" w14:textId="77777777" w:rsidR="006E58E3" w:rsidRPr="006A1EC7" w:rsidRDefault="006E58E3" w:rsidP="006E58E3">
      <w:pPr>
        <w:spacing w:line="360" w:lineRule="auto"/>
        <w:ind w:firstLine="720"/>
      </w:pPr>
      <w:r w:rsidRPr="006A1EC7">
        <w:t>Furthermore, in a clinical setting, clarification can be sought from caregivers which may further help prevent differences between raters. This was not possible for the current study and is therefore an obvious limitation of the current vignette design. It is hoped that these differences would not arise to such a large extent in the clinical setting.</w:t>
      </w:r>
    </w:p>
    <w:p w14:paraId="7BDBFE02" w14:textId="77777777" w:rsidR="006E58E3" w:rsidRPr="006A1EC7" w:rsidRDefault="006E58E3" w:rsidP="006E58E3">
      <w:pPr>
        <w:spacing w:line="360" w:lineRule="auto"/>
      </w:pPr>
    </w:p>
    <w:p w14:paraId="41AC878A" w14:textId="77777777" w:rsidR="006E58E3" w:rsidRPr="006A1EC7" w:rsidRDefault="006E58E3" w:rsidP="006E58E3">
      <w:pPr>
        <w:pStyle w:val="Heading3"/>
        <w:rPr>
          <w:rFonts w:ascii="Times New Roman" w:hAnsi="Times New Roman" w:cs="Times New Roman"/>
        </w:rPr>
      </w:pPr>
      <w:r w:rsidRPr="006A1EC7">
        <w:rPr>
          <w:rFonts w:ascii="Times New Roman" w:hAnsi="Times New Roman" w:cs="Times New Roman"/>
        </w:rPr>
        <w:t>Intra-rater reliability</w:t>
      </w:r>
    </w:p>
    <w:p w14:paraId="12D899DE" w14:textId="77777777" w:rsidR="006E58E3" w:rsidRPr="006A1EC7" w:rsidRDefault="006E58E3" w:rsidP="006E58E3">
      <w:pPr>
        <w:spacing w:line="360" w:lineRule="auto"/>
        <w:ind w:firstLine="720"/>
      </w:pPr>
      <w:r w:rsidRPr="006A1EC7">
        <w:t xml:space="preserve">To assess the COA’s stability, Percent of Agreement Calculations were used. While using Agreement Scores may be perceived as simplistic; the benefits of this are that it is firstly, a straight-forward way to assess stability over time and secondly, an important parameter for scales which are used to determine outcomes in health care </w:t>
      </w:r>
      <w:r w:rsidRPr="006A1EC7">
        <w:fldChar w:fldCharType="begin" w:fldLock="1"/>
      </w:r>
      <w:r w:rsidRPr="006A1EC7">
        <w:instrText>ADDIN CSL_CITATION {"citationItems":[{"id":"ITEM-1","itemData":{"DOI":"10.1016/j.jclinepi.2005.10.015","ISSN":"08954356","PMID":"16980142","abstract":"Background: Reproducibility concerns the degree to which repeated measurements provide similar results. Agreement parameters assess how close the results of the repeated measurements are, by estimating the measurement error in repeated measurements. Reliability parameters assess whether study objects, often persons, can be distinguished from each other, despite measurement errors. In that case, the measurement error is related to the variability between persons. Consequently, reliability parameters are highly dependent on the heterogeneity of the study sample, while the agreement parameters, based on measurement error, are more a pure characteristic of the measurement instrument. Methods and Results: Using an example of an interrater study, in which different physical therapists measure the range of motion of the arm in patients with shoulder complaints, the differences and relationships between reliability and agreement parameters for continuous variables are illustrated. Conclusion: If the research question concerns the distinction of persons, reliability parameters are the most appropriate. But if the aim is to measure change in health status, which is often the case in clinical practice, parameters of agreement are preferred. © 2006 Elsevier Inc. All rights reserved.","author":[{"dropping-particle":"","family":"Vet","given":"Henrica C.W.","non-dropping-particle":"de","parse-names":false,"suffix":""},{"dropping-particle":"","family":"Terwee","given":"Caroline B.","non-dropping-particle":"","parse-names":false,"suffix":""},{"dropping-particle":"","family":"Knol","given":"Dirk L.","non-dropping-particle":"","parse-names":false,"suffix":""},{"dropping-particle":"","family":"Bouter","given":"Lex M.","non-dropping-particle":"","parse-names":false,"suffix":""}],"container-title":"Journal of Clinical Epidemiology","id":"ITEM-1","issue":"10","issued":{"date-parts":[["2006"]]},"page":"1033-1039","title":"When to use agreement versus reliability measures","type":"article-journal","volume":"59"},"uris":["http://www.mendeley.com/documents/?uuid=66af37e9-a0d2-413f-83dc-bd743af6eb03"]}],"mendeley":{"formattedCitation":"(de Vet, Terwee, Knol, &amp; Bouter, 2006)","plainTextFormattedCitation":"(de Vet, Terwee, Knol, &amp; Bouter, 2006)","previouslyFormattedCitation":"(de Vet, Terwee, Knol, &amp; Bouter, 2006)"},"properties":{"noteIndex":0},"schema":"https://github.com/citation-style-language/schema/raw/master/csl-citation.json"}</w:instrText>
      </w:r>
      <w:r w:rsidRPr="006A1EC7">
        <w:fldChar w:fldCharType="separate"/>
      </w:r>
      <w:r w:rsidRPr="006A1EC7">
        <w:rPr>
          <w:noProof/>
        </w:rPr>
        <w:t>(de Vet, Terwee, Knol, &amp; Bouter, 2006)</w:t>
      </w:r>
      <w:r w:rsidRPr="006A1EC7">
        <w:fldChar w:fldCharType="end"/>
      </w:r>
      <w:r w:rsidRPr="006A1EC7">
        <w:t xml:space="preserve">. </w:t>
      </w:r>
      <w:r w:rsidRPr="006A1EC7">
        <w:fldChar w:fldCharType="begin" w:fldLock="1"/>
      </w:r>
      <w:r w:rsidRPr="006A1EC7">
        <w:instrText>ADDIN CSL_CITATION {"citationItems":[{"id":"ITEM-1","itemData":{"DOI":"10.1016/j.jclinepi.2005.10.015","ISSN":"08954356","PMID":"16980142","abstract":"Background: Reproducibility concerns the degree to which repeated measurements provide similar results. Agreement parameters assess how close the results of the repeated measurements are, by estimating the measurement error in repeated measurements. Reliability parameters assess whether study objects, often persons, can be distinguished from each other, despite measurement errors. In that case, the measurement error is related to the variability between persons. Consequently, reliability parameters are highly dependent on the heterogeneity of the study sample, while the agreement parameters, based on measurement error, are more a pure characteristic of the measurement instrument. Methods and Results: Using an example of an interrater study, in which different physical therapists measure the range of motion of the arm in patients with shoulder complaints, the differences and relationships between reliability and agreement parameters for continuous variables are illustrated. Conclusion: If the research question concerns the distinction of persons, reliability parameters are the most appropriate. But if the aim is to measure change in health status, which is often the case in clinical practice, parameters of agreement are preferred. © 2006 Elsevier Inc. All rights reserved.","author":[{"dropping-particle":"","family":"Vet","given":"Henrica C.W.","non-dropping-particle":"de","parse-names":false,"suffix":""},{"dropping-particle":"","family":"Terwee","given":"Caroline B.","non-dropping-particle":"","parse-names":false,"suffix":""},{"dropping-particle":"","family":"Knol","given":"Dirk L.","non-dropping-particle":"","parse-names":false,"suffix":""},{"dropping-particle":"","family":"Bouter","given":"Lex M.","non-dropping-particle":"","parse-names":false,"suffix":""}],"container-title":"Journal of Clinical Epidemiology","id":"ITEM-1","issue":"10","issued":{"date-parts":[["2006"]]},"page":"1033-1039","title":"When to use agreement versus reliability measures","type":"article-journal","volume":"59"},"uris":["http://www.mendeley.com/documents/?uuid=66af37e9-a0d2-413f-83dc-bd743af6eb03"]}],"mendeley":{"formattedCitation":"(de Vet et al., 2006)","manualFormatting":"De Vet et al. (2006)","plainTextFormattedCitation":"(de Vet et al., 2006)","previouslyFormattedCitation":"(de Vet et al., 2006)"},"properties":{"noteIndex":0},"schema":"https://github.com/citation-style-language/schema/raw/master/csl-citation.json"}</w:instrText>
      </w:r>
      <w:r w:rsidRPr="006A1EC7">
        <w:fldChar w:fldCharType="separate"/>
      </w:r>
      <w:r w:rsidRPr="006A1EC7">
        <w:rPr>
          <w:noProof/>
        </w:rPr>
        <w:t>De Vet et al. (2006)</w:t>
      </w:r>
      <w:r w:rsidRPr="006A1EC7">
        <w:fldChar w:fldCharType="end"/>
      </w:r>
      <w:r w:rsidRPr="006A1EC7">
        <w:t xml:space="preserve">, for example, even argue that the application of agreement scores is superior to using reliability parameters in this context. </w:t>
      </w:r>
    </w:p>
    <w:p w14:paraId="1A93A03C" w14:textId="77777777" w:rsidR="006E58E3" w:rsidRPr="006A1EC7" w:rsidRDefault="006E58E3" w:rsidP="006E58E3">
      <w:pPr>
        <w:spacing w:line="360" w:lineRule="auto"/>
        <w:ind w:firstLine="720"/>
      </w:pPr>
      <w:r w:rsidRPr="006A1EC7">
        <w:t xml:space="preserve">Comparisons of the exact scores given by participants at Time 1 and Time 2 yielded low intra-rater reliability; with varying degrees of intra-rater reliability for each vignette (range 20 – 100%), subscales with especially low intra-rater reliability were Gastrointestinal, CNS and Functioning were implicated (Percent Agreement &lt; 50%). Using the adjacent agreement percentage approach improved scores across all subscales. In fact, for four out of the five vignettes, some participants scored 100% agreement. It was the vignette “Emma” which achieved the lowest percent agreement rating out of all vignettes. In the first calculation, this was 20 to 70%, which only improved to 40% - 70%. It could be suggested that the reason for this scoring may be the vignette itself, rather than the scale. </w:t>
      </w:r>
    </w:p>
    <w:p w14:paraId="2C76D552" w14:textId="77777777" w:rsidR="006E58E3" w:rsidRPr="006A1EC7" w:rsidRDefault="006E58E3" w:rsidP="006E58E3">
      <w:pPr>
        <w:spacing w:line="360" w:lineRule="auto"/>
        <w:ind w:firstLine="720"/>
      </w:pPr>
      <w:r w:rsidRPr="006A1EC7">
        <w:t xml:space="preserve">Furthermore, there was a very small sample size for Time 1 and Time 2 for Emma, which may have further impacted the results – although, the vignette </w:t>
      </w:r>
      <w:r w:rsidRPr="006A1EC7">
        <w:lastRenderedPageBreak/>
        <w:t xml:space="preserve">“Alessandro” only had three participants at Time 1 and Time 2 and achieved significantly higher percent agreement scores. </w:t>
      </w:r>
    </w:p>
    <w:p w14:paraId="65E2751E" w14:textId="77777777" w:rsidR="006E58E3" w:rsidRPr="006A1EC7" w:rsidRDefault="006E58E3" w:rsidP="006E58E3">
      <w:pPr>
        <w:spacing w:line="360" w:lineRule="auto"/>
        <w:ind w:firstLine="720"/>
      </w:pPr>
      <w:r w:rsidRPr="006A1EC7">
        <w:t xml:space="preserve">The subscale Gastrointestinal features had the lowest intra-rater reliability. This may be the result of this subscale being the largest subscale with 25 items; while other subscales had between 1 and 15 items. The discrepancies of intra-rater reliability may be the result of the scale itself, participant error and the degree of ambiguity of the vignette design. However, these cannot be distinguished from the current study design. </w:t>
      </w:r>
    </w:p>
    <w:p w14:paraId="3BB3E0EE" w14:textId="77777777" w:rsidR="006E58E3" w:rsidRPr="006A1EC7" w:rsidRDefault="006E58E3" w:rsidP="006E58E3">
      <w:pPr>
        <w:spacing w:line="360" w:lineRule="auto"/>
        <w:ind w:firstLine="720"/>
      </w:pPr>
      <w:r w:rsidRPr="006A1EC7">
        <w:t xml:space="preserve">Nonetheless, using the adjacent agreement approach significantly improved intra-rater reliability, suggesting that the scale does have moderate intra-rater reliability. Arguably, being face-to-face with a patient would likely also improve the scores as clarification can be sought and practice effects could be minimised (i.e. participants thinking they may remember symptoms from the first time they completed the questionnaires, skim reading the vignettes or mis-reading information). The artificial situation of this study design will have likely caused some of these discrepancies between Time 1 and Time 2; nonetheless, this remains a novel and new approach to addressing validation issues for scales developed rare diseases. </w:t>
      </w:r>
      <w:r w:rsidRPr="006A1EC7">
        <w:br/>
      </w:r>
    </w:p>
    <w:p w14:paraId="7EC8ECEA" w14:textId="77777777" w:rsidR="006E58E3" w:rsidRPr="006A1EC7" w:rsidRDefault="006E58E3" w:rsidP="006E58E3">
      <w:pPr>
        <w:pStyle w:val="Heading3"/>
        <w:rPr>
          <w:rFonts w:ascii="Times New Roman" w:hAnsi="Times New Roman" w:cs="Times New Roman"/>
        </w:rPr>
      </w:pPr>
      <w:r w:rsidRPr="006A1EC7">
        <w:rPr>
          <w:rFonts w:ascii="Times New Roman" w:hAnsi="Times New Roman" w:cs="Times New Roman"/>
        </w:rPr>
        <w:t>Construct validity</w:t>
      </w:r>
    </w:p>
    <w:p w14:paraId="7D35C0C5" w14:textId="77777777" w:rsidR="006E58E3" w:rsidRPr="006A1EC7" w:rsidRDefault="006E58E3" w:rsidP="006E58E3">
      <w:pPr>
        <w:spacing w:line="360" w:lineRule="auto"/>
        <w:ind w:firstLine="720"/>
      </w:pPr>
      <w:r w:rsidRPr="006A1EC7">
        <w:t xml:space="preserve">To assess construct validity, a priori hypotheses were used. Firstly, it was found that there were no difference on total scores given by more experienced HCPs compared to less experienced HCPs. </w:t>
      </w:r>
    </w:p>
    <w:p w14:paraId="123137D6" w14:textId="77777777" w:rsidR="006E58E3" w:rsidRPr="006A1EC7" w:rsidRDefault="006E58E3" w:rsidP="006E58E3">
      <w:pPr>
        <w:spacing w:line="360" w:lineRule="auto"/>
      </w:pPr>
      <w:r w:rsidRPr="006A1EC7">
        <w:t>Secondly, there was no difference on total scores given on the vignettes by those who had previously heard of WHS before and those who had not. These are reassuring results and in keeping with the hypothesis made; demonstrating that the COA does not necessarily require specialist training, is easy to administer across HCP group; and does not rely on previous knowledge of WHS. Furthermore, these findings support the idea that this COA may help less experienced HCPs with the adequate assessment of patients with WHS (which has been reported as often lacking).</w:t>
      </w:r>
    </w:p>
    <w:p w14:paraId="0537C05F" w14:textId="77777777" w:rsidR="006E58E3" w:rsidRPr="006A1EC7" w:rsidRDefault="006E58E3" w:rsidP="006E58E3">
      <w:pPr>
        <w:spacing w:line="360" w:lineRule="auto"/>
      </w:pPr>
      <w:r w:rsidRPr="006A1EC7">
        <w:t xml:space="preserve"> </w:t>
      </w:r>
      <w:r w:rsidRPr="006A1EC7">
        <w:tab/>
        <w:t xml:space="preserve">Thirdly, 32 hypotheses about the different vignettes and their expected scoring on the COA were made. In the first instance, the decision as to whether to retain or reject the hypotheses was made based on the mean scores given per vignette and appropriate subscale, then on the p-values calculated via paired sample t-tests. The p-values were only considered as additional information as predictions made did not </w:t>
      </w:r>
      <w:r w:rsidRPr="006A1EC7">
        <w:lastRenderedPageBreak/>
        <w:t xml:space="preserve">include aspects about statistical significance, merely scores given. A further reason for this was also the fact that when adjusting the p-value for 32 comparisons, may have likely led to type-II errors (when making decisions to retain/reject solely on the p-value). Results revealed that, on the simple basis of an assessment of the means only, all 32 predictions hold true (with 23 being both clinically and statistically significant) </w:t>
      </w:r>
      <w:r w:rsidRPr="006A1EC7">
        <w:rPr>
          <w:lang w:eastAsia="en-GB"/>
        </w:rPr>
        <w:t xml:space="preserve">These results </w:t>
      </w:r>
      <w:r w:rsidRPr="006A1EC7">
        <w:t>suggest</w:t>
      </w:r>
      <w:r w:rsidRPr="006A1EC7">
        <w:rPr>
          <w:lang w:eastAsia="en-GB"/>
        </w:rPr>
        <w:t xml:space="preserve"> high construct validity of the COA. It further indicates that the application of the COA can yield meaningful insights into health status and enable differentiation between different patients with varying degrees of clinical severity. However, one has to acknowledge that these predictions were made for highly controlled experimental conditions, i.e. participants being given vignettes rather than ‘real patients’, and the results may therefore – to a degree – lack ecological validity. This is another limitation of the study design.</w:t>
      </w:r>
      <w:r w:rsidRPr="006A1EC7">
        <w:t xml:space="preserve"> </w:t>
      </w:r>
    </w:p>
    <w:p w14:paraId="46DBB5C2" w14:textId="77777777" w:rsidR="006E58E3" w:rsidRPr="006A1EC7" w:rsidRDefault="006E58E3" w:rsidP="006E58E3">
      <w:pPr>
        <w:spacing w:line="360" w:lineRule="auto"/>
      </w:pPr>
    </w:p>
    <w:p w14:paraId="75D8A49F" w14:textId="77777777" w:rsidR="006E58E3" w:rsidRPr="006A1EC7" w:rsidRDefault="006E58E3" w:rsidP="006E58E3">
      <w:pPr>
        <w:pStyle w:val="Heading3"/>
        <w:rPr>
          <w:rFonts w:ascii="Times New Roman" w:hAnsi="Times New Roman" w:cs="Times New Roman"/>
          <w:lang w:eastAsia="en-GB"/>
        </w:rPr>
      </w:pPr>
      <w:r w:rsidRPr="006A1EC7">
        <w:rPr>
          <w:rFonts w:ascii="Times New Roman" w:hAnsi="Times New Roman" w:cs="Times New Roman"/>
          <w:lang w:eastAsia="en-GB"/>
        </w:rPr>
        <w:t>Qualitative findings</w:t>
      </w:r>
    </w:p>
    <w:p w14:paraId="13305D1A" w14:textId="77777777" w:rsidR="006E58E3" w:rsidRPr="006A1EC7" w:rsidRDefault="006E58E3" w:rsidP="006E58E3">
      <w:pPr>
        <w:spacing w:line="360" w:lineRule="auto"/>
        <w:ind w:firstLine="720"/>
        <w:rPr>
          <w:lang w:eastAsia="en-GB"/>
        </w:rPr>
      </w:pPr>
      <w:r w:rsidRPr="006A1EC7">
        <w:rPr>
          <w:lang w:eastAsia="en-GB"/>
        </w:rPr>
        <w:t xml:space="preserve">In the qualitative part of this study, participants had the opportunity to provide feedback on both the </w:t>
      </w:r>
      <w:r w:rsidRPr="006A1EC7">
        <w:t xml:space="preserve">COA but also the novel methodology of using vignettes to validate COAs for rare diseases. Analysis of comments revealed that some clarifications were needed for some items on the scale; for example, explaining the difference between a high forehead and a high hairline. It also revealed some spelling mistakes and scoring incongruities (which were corrected for in the analysis). The different relevance of different items for different age groups (i.e. babies, children and adults) was mentioned a number of times, wording was changed in accordance and does now reflect this. </w:t>
      </w:r>
    </w:p>
    <w:p w14:paraId="4170734E" w14:textId="77777777" w:rsidR="006E58E3" w:rsidRPr="006A1EC7" w:rsidRDefault="006E58E3" w:rsidP="006E58E3">
      <w:pPr>
        <w:spacing w:line="360" w:lineRule="auto"/>
        <w:ind w:firstLine="720"/>
      </w:pPr>
      <w:r w:rsidRPr="006A1EC7">
        <w:t xml:space="preserve">Some positive comments were also made about the utility of the COA in practice. Interestingly, while one consultant in paediatrics praised the comprehensive nature of the scale, she also indicated that she would not use this in practice as she would ask a majority of these questions routinely. On the other hand, a registrar working in A&amp; E said he would definitely use the COA in consultation. It could be argued that this difference in opinion may result from different work environments, i.e. a paediatrician being more attuned to potential issues around rare genetic diseases than an A &amp; E registrar who does not necessarily encounter such patients on a regular basis. This further supports the case for using the COA in clinical practice; especially in environments where medical professionals may be unsure about the diagnosis of WHS, its clinical features, potential complications and how to assess these patients adequately. </w:t>
      </w:r>
      <w:r w:rsidRPr="006A1EC7">
        <w:lastRenderedPageBreak/>
        <w:t xml:space="preserve">It also links to findings from the study with experts on WHS, reported in Chapter 6, who were not in agreement regarding the clinical utility of the COA. It appears to be much more perceived as more helpful and clinically useful by less specialist and more junior HCPs. This is also supported by the fact that especially doctors who either were unfamiliar with WHS or with assessing children and adults with learning disabilities, felt they would profit from using this in consultations. </w:t>
      </w:r>
    </w:p>
    <w:p w14:paraId="12044E68" w14:textId="77777777" w:rsidR="006E58E3" w:rsidRPr="006A1EC7" w:rsidRDefault="006E58E3" w:rsidP="006E58E3">
      <w:pPr>
        <w:spacing w:line="360" w:lineRule="auto"/>
        <w:ind w:firstLine="720"/>
      </w:pPr>
      <w:r w:rsidRPr="006A1EC7">
        <w:t>It is also noteworthy that one of the participants (Junior Doctor, Paediatrics trainee in their second year) of this study emailed the researcher a number of weeks after taking part in the study, stating “Have looked after two kids with Wolf-Hirschhorn in the last week! Was a lot more knowledgeable thanks to your study”. This demonstrates the real-world impact of using the scale in practice by increasing knowledge and awareness among medical professionals.</w:t>
      </w:r>
    </w:p>
    <w:p w14:paraId="4A40A1CE" w14:textId="77777777" w:rsidR="006E58E3" w:rsidRPr="006A1EC7" w:rsidRDefault="006E58E3" w:rsidP="006E58E3">
      <w:pPr>
        <w:spacing w:line="360" w:lineRule="auto"/>
        <w:ind w:firstLine="720"/>
      </w:pPr>
      <w:r w:rsidRPr="006A1EC7">
        <w:t>Using the COA as a checklist -style approach was also suggested by two participants; this was also envisaged by the researcher team. A lot of items can already be answered during conversation with parents/caregivers and do not need to be asked directly but can be the result of the clinician’s judgement (e.g. obvious facial features, sitting/standing posture). Some ideas for further research also emerged, such as being able to map a patient’s score along WHS population-specific scores; which was addressed in the final version.</w:t>
      </w:r>
    </w:p>
    <w:p w14:paraId="2C8C3441" w14:textId="77777777" w:rsidR="006E58E3" w:rsidRPr="006A1EC7" w:rsidRDefault="006E58E3" w:rsidP="006E58E3">
      <w:pPr>
        <w:spacing w:line="360" w:lineRule="auto"/>
        <w:ind w:firstLine="720"/>
      </w:pPr>
      <w:r w:rsidRPr="006A1EC7">
        <w:t xml:space="preserve">Theme 2, Comments about the Vignettes, revealed that many participants apparently missed the information that, if something is not mentioned in the vignette, they can assume that it is negative/not present. Future research utilising vignettes must make this clearer, such as possibly mention this on every page of the COA given to participants as a header or footer. As aforementioned, the artificial situation of rating a supposedly ‘real’ patient on the basis of a clinical case study was perceived as insufficient, especially due to not being able to ask clarifying questions. At the same time however, using this methodology enabled the collection of data to validate the COA; which otherwise would not have been possible. </w:t>
      </w:r>
    </w:p>
    <w:p w14:paraId="19BD61FB" w14:textId="77777777" w:rsidR="006E58E3" w:rsidRPr="006A1EC7" w:rsidRDefault="006E58E3" w:rsidP="006E58E3">
      <w:pPr>
        <w:spacing w:line="360" w:lineRule="auto"/>
      </w:pPr>
    </w:p>
    <w:p w14:paraId="11648EC9" w14:textId="77777777" w:rsidR="006E58E3" w:rsidRPr="006A1EC7" w:rsidRDefault="006E58E3" w:rsidP="006E58E3">
      <w:pPr>
        <w:pStyle w:val="Heading3"/>
        <w:rPr>
          <w:rFonts w:ascii="Times New Roman" w:hAnsi="Times New Roman" w:cs="Times New Roman"/>
        </w:rPr>
      </w:pPr>
      <w:r w:rsidRPr="006A1EC7">
        <w:rPr>
          <w:rFonts w:ascii="Times New Roman" w:hAnsi="Times New Roman" w:cs="Times New Roman"/>
        </w:rPr>
        <w:t>Comparisons with other validated COAs for rare diseases</w:t>
      </w:r>
    </w:p>
    <w:p w14:paraId="59C67C20" w14:textId="77777777" w:rsidR="006E58E3" w:rsidRPr="006A1EC7" w:rsidRDefault="006E58E3" w:rsidP="006E58E3">
      <w:pPr>
        <w:spacing w:line="360" w:lineRule="auto"/>
        <w:rPr>
          <w:lang w:eastAsia="en-GB"/>
        </w:rPr>
      </w:pPr>
      <w:r w:rsidRPr="006A1EC7">
        <w:rPr>
          <w:lang w:eastAsia="en-GB"/>
        </w:rPr>
        <w:tab/>
        <w:t xml:space="preserve">As discussed repeatedly in this thesis, there are significant issues with validation for rating scales for rare diseases, especially around validation (for example, see Chapter 3). Nonetheless, it is important to compare the current findings to those </w:t>
      </w:r>
      <w:r w:rsidRPr="006A1EC7">
        <w:rPr>
          <w:lang w:eastAsia="en-GB"/>
        </w:rPr>
        <w:lastRenderedPageBreak/>
        <w:t xml:space="preserve">obtained for other COAs for rare diseases. Firstly, the Unified Batten Rating Scale was found to have high inter-rater reliability (assessed via ICCs, r = .68 - .83); yet the results are somewhat limited due to a small sample size and incomplete data (as outlined in the Introduction of Chapter 7). </w:t>
      </w:r>
    </w:p>
    <w:p w14:paraId="2E94BFED" w14:textId="77777777" w:rsidR="006E58E3" w:rsidRPr="006A1EC7" w:rsidRDefault="006E58E3" w:rsidP="006E58E3">
      <w:pPr>
        <w:spacing w:line="360" w:lineRule="auto"/>
        <w:ind w:firstLine="720"/>
        <w:rPr>
          <w:lang w:eastAsia="en-GB"/>
        </w:rPr>
      </w:pPr>
      <w:r w:rsidRPr="006A1EC7">
        <w:rPr>
          <w:lang w:eastAsia="en-GB"/>
        </w:rPr>
        <w:t xml:space="preserve">Due to having used a different study design (real patients as opposed to vignettes) and ICCs (as opposed to means, one-sample t-tests), the results are not directly comparable to the current study (Marshall et al., 2005). However, despite using a different test to assess this, the current COA was also found to have good inter-rater reliability and thus compares with the Unified Batten Rating Scale. Intra-rater reliability was not assessed for the Unified Batten Rating Scale. The developers of the Wolfram Unified Rating Scale also used ICCs to determine inter-rater reliability (r &gt;.93) and report good internal consistency (Nguyen et al., 2012). As for the Unified Batten Rating Scale, intra-rater reliability was not assessed or discussed. Thompson et al. (2013), for their Prion disease rating scale, also did not assess intra-rater reliability, but assessed inter-rater reliability with ICCs, which were concluded to demonstrate ‘excellent’ inter-rater reliability (r = .95). </w:t>
      </w:r>
    </w:p>
    <w:p w14:paraId="1B93BAF2" w14:textId="77777777" w:rsidR="006E58E3" w:rsidRPr="006A1EC7" w:rsidRDefault="006E58E3" w:rsidP="006E58E3">
      <w:pPr>
        <w:spacing w:line="360" w:lineRule="auto"/>
        <w:rPr>
          <w:lang w:eastAsia="en-GB"/>
        </w:rPr>
      </w:pPr>
    </w:p>
    <w:p w14:paraId="0D779335" w14:textId="77777777" w:rsidR="006E58E3" w:rsidRPr="006A1EC7" w:rsidRDefault="006E58E3" w:rsidP="006E58E3">
      <w:pPr>
        <w:spacing w:line="360" w:lineRule="auto"/>
        <w:rPr>
          <w:lang w:eastAsia="en-GB"/>
        </w:rPr>
      </w:pPr>
    </w:p>
    <w:p w14:paraId="3F57220F" w14:textId="77777777" w:rsidR="006E58E3" w:rsidRPr="006A1EC7" w:rsidRDefault="006E58E3" w:rsidP="006E58E3">
      <w:pPr>
        <w:pStyle w:val="Heading3"/>
        <w:rPr>
          <w:rFonts w:ascii="Times New Roman" w:hAnsi="Times New Roman" w:cs="Times New Roman"/>
          <w:lang w:eastAsia="en-GB"/>
        </w:rPr>
      </w:pPr>
      <w:r w:rsidRPr="006A1EC7">
        <w:rPr>
          <w:rFonts w:ascii="Times New Roman" w:hAnsi="Times New Roman" w:cs="Times New Roman"/>
          <w:lang w:eastAsia="en-GB"/>
        </w:rPr>
        <w:t>Clinimetrics: an important new direction?</w:t>
      </w:r>
    </w:p>
    <w:p w14:paraId="0CC27012" w14:textId="77777777" w:rsidR="006E58E3" w:rsidRPr="006A1EC7" w:rsidRDefault="006E58E3" w:rsidP="006E58E3">
      <w:pPr>
        <w:spacing w:line="360" w:lineRule="auto"/>
        <w:ind w:firstLine="720"/>
        <w:rPr>
          <w:lang w:eastAsia="en-GB"/>
        </w:rPr>
      </w:pPr>
      <w:r w:rsidRPr="006A1EC7">
        <w:rPr>
          <w:lang w:eastAsia="en-GB"/>
        </w:rPr>
        <w:t xml:space="preserve">The discussion of the quantitative results of this validation study reveal that, the COA has good equity, moderate stability and high construct validity. Demonstrating high reliability and validity is important for a measure, as it instils confidence in the measure and its obtained scores. However, it has to be acknowledged that this is not always achievable, and that getting ‘perfect’ results, for example for inter-rater reliability, is not always key for good outcome measures. Essentially this means that a scale can be clinically useful, yet its psychometric properties may not be ‘gold-standard’, i.e. high for all aspects of reliability (Fava, Tomba &amp; Sonino, 2012). The term ‘Clinimetrics’ is being increasingly used for such situations; taking into account both the quality of a scale’s but also of its performance and utility in clinical practice </w:t>
      </w:r>
      <w:r w:rsidRPr="006A1EC7">
        <w:rPr>
          <w:lang w:eastAsia="en-GB"/>
        </w:rPr>
        <w:fldChar w:fldCharType="begin" w:fldLock="1"/>
      </w:r>
      <w:r w:rsidRPr="006A1EC7">
        <w:rPr>
          <w:lang w:eastAsia="en-GB"/>
        </w:rPr>
        <w:instrText>ADDIN CSL_CITATION {"citationItems":[{"id":"ITEM-1","itemData":{"URL":"http://www.clinimetrics.nl/clinimetrics_1_0.html","accessed":{"date-parts":[["2019","10","29"]]},"author":[{"dropping-particle":"","family":"VU University Medical Center","given":"","non-dropping-particle":"","parse-names":false,"suffix":""}],"container-title":"Clinimetrics","id":"ITEM-1","issued":{"date-parts":[["2019"]]},"title":"Clinimetrics","type":"webpage"},"uris":["http://www.mendeley.com/documents/?uuid=55e50ee8-071e-4e37-8228-ec4ec5709a4c"]}],"mendeley":{"formattedCitation":"(VU University Medical Center, 2019)","plainTextFormattedCitation":"(VU University Medical Center, 2019)","previouslyFormattedCitation":"(VU University Medical Center, 2019)"},"properties":{"noteIndex":0},"schema":"https://github.com/citation-style-language/schema/raw/master/csl-citation.json"}</w:instrText>
      </w:r>
      <w:r w:rsidRPr="006A1EC7">
        <w:rPr>
          <w:lang w:eastAsia="en-GB"/>
        </w:rPr>
        <w:fldChar w:fldCharType="separate"/>
      </w:r>
      <w:r w:rsidRPr="006A1EC7">
        <w:rPr>
          <w:noProof/>
          <w:lang w:eastAsia="en-GB"/>
        </w:rPr>
        <w:t>(VU University Medical Center, 2019)</w:t>
      </w:r>
      <w:r w:rsidRPr="006A1EC7">
        <w:rPr>
          <w:lang w:eastAsia="en-GB"/>
        </w:rPr>
        <w:fldChar w:fldCharType="end"/>
      </w:r>
      <w:r w:rsidRPr="006A1EC7">
        <w:rPr>
          <w:lang w:eastAsia="en-GB"/>
        </w:rPr>
        <w:t xml:space="preserve">. In detail, the field of ‘Clinimetrics’ “provides an intellectual home for clinical judgment, whose implementation is likely to improve outcomes both in clinical research and practice” (Fava, Tomba &amp; Sonino, 2012, p. 14). </w:t>
      </w:r>
      <w:r w:rsidRPr="006A1EC7">
        <w:rPr>
          <w:lang w:eastAsia="en-GB"/>
        </w:rPr>
        <w:lastRenderedPageBreak/>
        <w:t xml:space="preserve">In their review article, Fava, Toomba &amp; Sonino (2012) demonstrate how the concept of ‘Clinimetrics’ is becoming ever more prominent. The authors argue that while </w:t>
      </w:r>
    </w:p>
    <w:p w14:paraId="1A52151E" w14:textId="77777777" w:rsidR="006E58E3" w:rsidRPr="006A1EC7" w:rsidRDefault="006E58E3" w:rsidP="006E58E3">
      <w:pPr>
        <w:spacing w:line="360" w:lineRule="auto"/>
        <w:rPr>
          <w:lang w:eastAsia="en-GB"/>
        </w:rPr>
      </w:pPr>
      <w:r w:rsidRPr="006A1EC7">
        <w:rPr>
          <w:lang w:eastAsia="en-GB"/>
        </w:rPr>
        <w:t xml:space="preserve">(standardised) measurements are becoming more prominent in clinical use, the ‘traditional’ methods to assess the properties of measures are not always appropriate and ‘perfect’ inter-rater reliability between HCPs are often unattainable (as ratings/assessment are still the result of a degree of judgement). </w:t>
      </w:r>
    </w:p>
    <w:p w14:paraId="5A00EAAD" w14:textId="66224DC3" w:rsidR="006E58E3" w:rsidRPr="006A1EC7" w:rsidRDefault="006E58E3" w:rsidP="006E58E3">
      <w:pPr>
        <w:spacing w:line="360" w:lineRule="auto"/>
        <w:ind w:firstLine="720"/>
        <w:rPr>
          <w:lang w:eastAsia="en-GB"/>
        </w:rPr>
      </w:pPr>
      <w:r w:rsidRPr="006A1EC7">
        <w:rPr>
          <w:lang w:eastAsia="en-GB"/>
        </w:rPr>
        <w:t xml:space="preserve">Arguably, this thesis is part of this growing momentum of ‘Clinimetrics’ as a new approach to scale development and validation. While the results of the reliability analyses are not as high as typically desired across all three assessed aspects, it has been demonstrated (especially in the qualitative comments and a priori hypotheses) that the COA is a valuable and useful tool for clinical assessment that is able to differentiate meaningfully between different patients with WHS. Furthermore, this also links with the notion of ‘clinically’ versus ‘statistically’ significant difference, discussed above. In the current study, the majority of hypotheses were based on means scores (rather than ‘significance’/p-value/s); this is uncommon. The rationale of this was that, as this work was conducted in an exploratory manner and there was no information to suggest what a ‘statistically’ significant result would look like, this was felt the most appropriate strategy. This argument reflects therefore that clinical significance cannot always be equated with statistical significance; and is an important lesson. It is hoped that this study further helps to inform the field of ‘Clinimetrics’, as this grows in momentum, as well as the field of validation and psychometrics testing, discussions about ‘acceptable’ and useful measures of validity and reliability. </w:t>
      </w:r>
    </w:p>
    <w:p w14:paraId="4D0E2D19" w14:textId="77777777" w:rsidR="00D56051" w:rsidRPr="006A1EC7" w:rsidRDefault="00D56051" w:rsidP="006E58E3">
      <w:pPr>
        <w:spacing w:line="360" w:lineRule="auto"/>
        <w:ind w:firstLine="720"/>
        <w:rPr>
          <w:lang w:eastAsia="en-GB"/>
        </w:rPr>
      </w:pPr>
    </w:p>
    <w:p w14:paraId="7037D353" w14:textId="77777777" w:rsidR="006E58E3" w:rsidRPr="006A1EC7" w:rsidRDefault="006E58E3" w:rsidP="006E58E3">
      <w:pPr>
        <w:pStyle w:val="Heading3"/>
        <w:rPr>
          <w:rFonts w:ascii="Times New Roman" w:hAnsi="Times New Roman" w:cs="Times New Roman"/>
          <w:lang w:eastAsia="en-GB"/>
        </w:rPr>
      </w:pPr>
      <w:r w:rsidRPr="006A1EC7">
        <w:rPr>
          <w:rFonts w:ascii="Times New Roman" w:hAnsi="Times New Roman" w:cs="Times New Roman"/>
          <w:lang w:eastAsia="en-GB"/>
        </w:rPr>
        <w:t>Implications of the findings for the use of the COA &amp; recommendations for future work</w:t>
      </w:r>
    </w:p>
    <w:p w14:paraId="52429384" w14:textId="77777777" w:rsidR="00E648AF" w:rsidRPr="006A1EC7" w:rsidRDefault="006E58E3" w:rsidP="00E648AF">
      <w:pPr>
        <w:spacing w:line="360" w:lineRule="auto"/>
        <w:ind w:firstLine="720"/>
      </w:pPr>
      <w:r w:rsidRPr="006A1EC7">
        <w:t xml:space="preserve">There are implications of the current findings for clinical practice as well as research. </w:t>
      </w:r>
    </w:p>
    <w:p w14:paraId="197223D5" w14:textId="6BF5DD95" w:rsidR="006E58E3" w:rsidRPr="006A1EC7" w:rsidRDefault="006E58E3" w:rsidP="00E648AF">
      <w:pPr>
        <w:spacing w:line="360" w:lineRule="auto"/>
        <w:ind w:firstLine="720"/>
      </w:pPr>
      <w:r w:rsidRPr="006A1EC7">
        <w:t xml:space="preserve">Firstly, the COA can act as a tool to enable HCPs to both comprehensively, adequately and confidently assess patients with WHS in clinical settings, and help HCPs not to miss out potentially important aspects (as highlighted throughout the thesis) of WHS. Its construct validity and utility has been confirmed and supported in the current study; suggesting that clinicians who wish to use this COA can be confident in their assessment process of patients with WHS. In addition, the finding of moderate equity (as opposed to poor equity) is reassuring, considering the clinical importance of </w:t>
      </w:r>
      <w:r w:rsidRPr="006A1EC7">
        <w:lastRenderedPageBreak/>
        <w:t>multi-disciplinary team working, i.e. where more than one HCP will be able to use the results of one test/outcome to inform their practice. Achieving ‘perfect’ inter-rater reliability is a well-recognised issue in scale development (</w:t>
      </w:r>
      <w:r w:rsidRPr="006A1EC7">
        <w:rPr>
          <w:lang w:eastAsia="en-GB"/>
        </w:rPr>
        <w:t xml:space="preserve">Fava, Tomba &amp; Sonino, 2012). </w:t>
      </w:r>
    </w:p>
    <w:p w14:paraId="4AD56CEF" w14:textId="77777777" w:rsidR="006E58E3" w:rsidRPr="006A1EC7" w:rsidRDefault="006E58E3" w:rsidP="006E58E3">
      <w:pPr>
        <w:spacing w:line="360" w:lineRule="auto"/>
        <w:ind w:firstLine="720"/>
      </w:pPr>
      <w:r w:rsidRPr="006A1EC7">
        <w:t>Outside the clinical setting, the COA has much to offer to the field of research too: as the COA was developed largely in accordance with FDA guidelines (as reported in Chapter 2), the COA can act as Both an endpoint/assessment for natural history studies into the course of WHS , and an endpoint/assessment for clinical trials of treatments for WHS.</w:t>
      </w:r>
    </w:p>
    <w:p w14:paraId="78C0DC65" w14:textId="77777777" w:rsidR="006E58E3" w:rsidRPr="006A1EC7" w:rsidRDefault="006E58E3" w:rsidP="006E58E3">
      <w:pPr>
        <w:spacing w:line="360" w:lineRule="auto"/>
        <w:ind w:firstLine="720"/>
      </w:pPr>
      <w:r w:rsidRPr="006A1EC7">
        <w:t xml:space="preserve">In terms of generalisability to the patient population of WHS, it could be argued that the COA has high generalisability, given that the clinical features of the condition will be the same, regardless of country. Naturally, this scale is not applicable to other medical conditions as it was developed for WHS. </w:t>
      </w:r>
    </w:p>
    <w:p w14:paraId="19D40B26" w14:textId="77777777" w:rsidR="006E58E3" w:rsidRPr="006A1EC7" w:rsidRDefault="006E58E3" w:rsidP="006E58E3">
      <w:pPr>
        <w:spacing w:line="360" w:lineRule="auto"/>
        <w:ind w:firstLine="720"/>
      </w:pPr>
      <w:r w:rsidRPr="006A1EC7">
        <w:t xml:space="preserve">To increase the generalisability of findings obtained via the COA, a larger validation study of the COA should be performed (i.e. without the use of vignettes). This may be achieved via the development of a national (automatic) register and data base, as was utilised in Thompson et al.’s (2013) Prion Disease Rating Scale validation. This future study should have a large (real patient) sample (i.e. not be utilising vignettes); and should be designed in such a way as to allow for the conduction of the same tests as described above. </w:t>
      </w:r>
    </w:p>
    <w:p w14:paraId="76BC7F67" w14:textId="77777777" w:rsidR="006E58E3" w:rsidRPr="006A1EC7" w:rsidRDefault="006E58E3" w:rsidP="006E58E3">
      <w:pPr>
        <w:spacing w:line="360" w:lineRule="auto"/>
        <w:ind w:firstLine="720"/>
      </w:pPr>
      <w:r w:rsidRPr="006A1EC7">
        <w:t xml:space="preserve"> </w:t>
      </w:r>
    </w:p>
    <w:p w14:paraId="6903CBF3" w14:textId="77777777" w:rsidR="00E648AF" w:rsidRPr="006A1EC7" w:rsidRDefault="006E58E3" w:rsidP="00E648AF">
      <w:pPr>
        <w:pStyle w:val="Heading3"/>
        <w:rPr>
          <w:rFonts w:ascii="Times New Roman" w:hAnsi="Times New Roman" w:cs="Times New Roman"/>
        </w:rPr>
      </w:pPr>
      <w:r w:rsidRPr="006A1EC7">
        <w:rPr>
          <w:rFonts w:ascii="Times New Roman" w:hAnsi="Times New Roman" w:cs="Times New Roman"/>
        </w:rPr>
        <w:t>Implications of the findings for the use of the vignette method &amp; recommendations for future work</w:t>
      </w:r>
    </w:p>
    <w:p w14:paraId="4F122DD3" w14:textId="7ED5BEC0" w:rsidR="006E58E3" w:rsidRPr="006A1EC7" w:rsidRDefault="006E58E3" w:rsidP="00E648AF">
      <w:pPr>
        <w:spacing w:line="360" w:lineRule="auto"/>
        <w:ind w:firstLine="720"/>
      </w:pPr>
      <w:r w:rsidRPr="006A1EC7">
        <w:t>The use of vignettes was a novel and create approach, used in the hope to assess the issues around psychometric testing and its sample size requirements. Due to vignettes being popular across especially the social sciences and medical education, the current project further aimed to potentially extend its utility to also include the area of (health) measurement. However, the use (and utility) of this method also warrants discussion.</w:t>
      </w:r>
    </w:p>
    <w:p w14:paraId="0774DA69" w14:textId="77777777" w:rsidR="006E58E3" w:rsidRPr="006A1EC7" w:rsidRDefault="006E58E3" w:rsidP="006E58E3">
      <w:pPr>
        <w:spacing w:line="360" w:lineRule="auto"/>
      </w:pPr>
    </w:p>
    <w:p w14:paraId="28EBB10F" w14:textId="77777777" w:rsidR="006E58E3" w:rsidRPr="006A1EC7" w:rsidRDefault="006E58E3" w:rsidP="006E58E3">
      <w:pPr>
        <w:pStyle w:val="Heading4"/>
        <w:rPr>
          <w:rFonts w:ascii="Times New Roman" w:hAnsi="Times New Roman" w:cs="Times New Roman"/>
        </w:rPr>
      </w:pPr>
      <w:r w:rsidRPr="006A1EC7">
        <w:rPr>
          <w:rFonts w:ascii="Times New Roman" w:hAnsi="Times New Roman" w:cs="Times New Roman"/>
        </w:rPr>
        <w:t>Study design &amp; recommendations for further development of the ‘vignette design’</w:t>
      </w:r>
    </w:p>
    <w:p w14:paraId="74F447CA" w14:textId="77777777" w:rsidR="006E58E3" w:rsidRPr="006A1EC7" w:rsidRDefault="006E58E3" w:rsidP="006E58E3">
      <w:pPr>
        <w:spacing w:line="360" w:lineRule="auto"/>
        <w:ind w:firstLine="720"/>
      </w:pPr>
      <w:r w:rsidRPr="006A1EC7">
        <w:t xml:space="preserve">Due to the exploratory nature of this vignette study, discussions took place about how many vignettes to include in the study. The study team eventually decided that five </w:t>
      </w:r>
      <w:r w:rsidRPr="006A1EC7">
        <w:lastRenderedPageBreak/>
        <w:t xml:space="preserve">vignettes would be a sufficient number, and would allow for meaningful comparisons (and predictions) to be made – spanning the ‘severity spectrum’ of WHS. Furthermore, not to overburden busy clinicians and HCPs, it was decided that, per participant, two vignettes would be administered, per participant. Naturally, this reduced the number of raters per vignette. </w:t>
      </w:r>
    </w:p>
    <w:p w14:paraId="5A730B30" w14:textId="77777777" w:rsidR="006E58E3" w:rsidRPr="006A1EC7" w:rsidRDefault="006E58E3" w:rsidP="006E58E3">
      <w:pPr>
        <w:spacing w:line="360" w:lineRule="auto"/>
        <w:ind w:firstLine="720"/>
      </w:pPr>
      <w:r w:rsidRPr="006A1EC7">
        <w:t xml:space="preserve">In addition, the study team ensured that the vignettes were given out in equal numbers (i.e. as many people saw Vignettte “Bronagh” as well as “Alessandro”); however, not all study packs were returned (due to drop out) which explains the range of raters for each vignette. One way to combat this would have been to follow up the data collection by giving out non-randomised study packs, i.e. purposefully giving participants one vignette over another, yet this was not done due to time constraints. </w:t>
      </w:r>
    </w:p>
    <w:p w14:paraId="0A81258E" w14:textId="77777777" w:rsidR="006E58E3" w:rsidRPr="006A1EC7" w:rsidRDefault="006E58E3" w:rsidP="006E58E3">
      <w:pPr>
        <w:spacing w:line="360" w:lineRule="auto"/>
        <w:ind w:firstLine="720"/>
      </w:pPr>
      <w:r w:rsidRPr="006A1EC7">
        <w:t xml:space="preserve">A significant amount of comparisons was made in this study (one-sample t-tests, paired sample t-tests) with a small sample, which may have led to an under-powered study. Due to the exploratory nature of this study (design), sample size calculation/power analyses were not conducted. In retrospect, this would have been helpful to conduct as it may have alerted the researcher team to a further number of issues: with five vignettes, nine subscales and a total score meant that a significant number of t-tests had to be conducted. Calculating sample size/power calculations for each of these was perceived as inefficient by the study team. </w:t>
      </w:r>
    </w:p>
    <w:p w14:paraId="178A6865" w14:textId="2D2AC572" w:rsidR="006E58E3" w:rsidRPr="006A1EC7" w:rsidRDefault="006E58E3" w:rsidP="006E58E3">
      <w:pPr>
        <w:spacing w:line="360" w:lineRule="auto"/>
        <w:ind w:firstLine="720"/>
      </w:pPr>
      <w:r w:rsidRPr="006A1EC7">
        <w:t>Retrospectively, including five vignettes may have been ‘too ambitious’ a decision, especially considering the exploratory nature of this study and the number of comparisons made, via the a priori hypotheses. As a starting point, future research may wish to replicate the current study with a smaller number of vignettes. This would have a number of advantages: all participants would assess the same two patients, which would lead to a higher number of participants per case study and sample size/power calculations would be much easier to conduct. For example, if only two case studies were used, the minimum sample size for the one-sample t-tests was calculated at 45 participants, per vignette, to achieve a power of .95. For the paired-sample t-tests, the minimum sample size was calculated at 45 participants, per vignette (Appendix 7.14</w:t>
      </w:r>
      <w:r w:rsidR="004B32CA" w:rsidRPr="006A1EC7">
        <w:t>; 7.15</w:t>
      </w:r>
      <w:r w:rsidRPr="006A1EC7">
        <w:t>)</w:t>
      </w:r>
      <w:r w:rsidR="004B32CA" w:rsidRPr="006A1EC7">
        <w:t xml:space="preserve"> </w:t>
      </w:r>
      <w:r w:rsidR="004B32CA" w:rsidRPr="006A1EC7">
        <w:rPr>
          <w:lang w:eastAsia="en-GB"/>
        </w:rPr>
        <w:t>(calculated via G-Power 3.1; developed by Faul, Erdfelder, Lang &amp; Buchner, 2007)</w:t>
      </w:r>
      <w:r w:rsidRPr="006A1EC7">
        <w:t xml:space="preserve">. From these numbers, it also becomes obvious that current study is significantly underpowered. However, it is important to emphasise the exploratory nature of the current project; and it is hoped that the current findings, as well as ‘lessons learnt’, will </w:t>
      </w:r>
      <w:r w:rsidRPr="006A1EC7">
        <w:lastRenderedPageBreak/>
        <w:t xml:space="preserve">inform future research investigating the utility of using vignettes for scale validation for rare diseases. </w:t>
      </w:r>
    </w:p>
    <w:p w14:paraId="33D399D3" w14:textId="77777777" w:rsidR="006E58E3" w:rsidRPr="006A1EC7" w:rsidRDefault="006E58E3" w:rsidP="006E58E3">
      <w:pPr>
        <w:spacing w:line="360" w:lineRule="auto"/>
      </w:pPr>
      <w:r w:rsidRPr="006A1EC7">
        <w:tab/>
        <w:t xml:space="preserve">In addition to issues for statistical testing arising from the vignettes, there were also some issues with the artificial situation, using the vignettes, created: using vignettes, rather than ‘real patients’ may have led to low ecological validity and to issues around generalisability of the results to clinical practice. However, due to the positive results of this current study and the involvement of now over 100 medical professionals (9 in the expert study, 91 in the current study), clinical utility has – to some degree – already been established. </w:t>
      </w:r>
    </w:p>
    <w:p w14:paraId="57C0F0CB" w14:textId="77777777" w:rsidR="006E58E3" w:rsidRPr="006A1EC7" w:rsidRDefault="006E58E3" w:rsidP="006E58E3">
      <w:pPr>
        <w:spacing w:line="360" w:lineRule="auto"/>
      </w:pPr>
    </w:p>
    <w:p w14:paraId="1FE27DFB" w14:textId="77777777" w:rsidR="006E58E3" w:rsidRPr="006A1EC7" w:rsidRDefault="006E58E3" w:rsidP="006E58E3">
      <w:pPr>
        <w:pStyle w:val="Heading3"/>
        <w:rPr>
          <w:rFonts w:ascii="Times New Roman" w:hAnsi="Times New Roman" w:cs="Times New Roman"/>
        </w:rPr>
      </w:pPr>
      <w:r w:rsidRPr="006A1EC7">
        <w:rPr>
          <w:rFonts w:ascii="Times New Roman" w:hAnsi="Times New Roman" w:cs="Times New Roman"/>
        </w:rPr>
        <w:t>Further research</w:t>
      </w:r>
    </w:p>
    <w:p w14:paraId="4F07BEAE" w14:textId="77777777" w:rsidR="006E58E3" w:rsidRPr="006A1EC7" w:rsidRDefault="006E58E3" w:rsidP="006E58E3">
      <w:pPr>
        <w:spacing w:line="360" w:lineRule="auto"/>
        <w:ind w:firstLine="720"/>
      </w:pPr>
      <w:r w:rsidRPr="006A1EC7">
        <w:t>Some suggestions have already been made in this thesis how some limitations of the validation phase of the COA can be addressed:</w:t>
      </w:r>
    </w:p>
    <w:p w14:paraId="772AF166" w14:textId="77777777" w:rsidR="006E58E3" w:rsidRPr="006A1EC7" w:rsidRDefault="006E58E3" w:rsidP="006E58E3">
      <w:pPr>
        <w:spacing w:line="360" w:lineRule="auto"/>
        <w:ind w:firstLine="720"/>
      </w:pPr>
      <w:r w:rsidRPr="006A1EC7">
        <w:t>Firstly, a much larger validation study with ‘real’ patients, as opposed to vignettes, should be conducted. Ideally, a very large sample of a minimum of 300 patients should be collected to enable the conduction of CFA of the factor structure of the COA. An international study may be desirable for this to ensure this sample size is achieved, or the development of a national register (as aforementioned). Alternatively, as an interim step, the vignette study should be replicated but the number of vignettes reduced to two and recruitment of a sufficient sample size, as suggested above.</w:t>
      </w:r>
    </w:p>
    <w:p w14:paraId="457BCE3D" w14:textId="77777777" w:rsidR="006E58E3" w:rsidRPr="006A1EC7" w:rsidRDefault="006E58E3" w:rsidP="006E58E3">
      <w:pPr>
        <w:spacing w:line="360" w:lineRule="auto"/>
      </w:pPr>
      <w:r w:rsidRPr="006A1EC7">
        <w:t xml:space="preserve">Secondly, it was not possible to assess the criterion validity of the current COA. This was due to the fact that there is no ‘gold standard measure’, or any other measure , developed or validated </w:t>
      </w:r>
      <w:r w:rsidRPr="006A1EC7">
        <w:fldChar w:fldCharType="begin" w:fldLock="1"/>
      </w:r>
      <w:r w:rsidRPr="006A1EC7">
        <w:instrText>ADDIN CSL_CITATION {"citationItems":[{"id":"ITEM-1","itemData":{"DOI":"10.1016/j.jclinepi.2003.08.012","ISSN":"08954356","abstract":"Clinimetrics is a methodologic discipline that focuses on the quality of clinical measurements, for example, diagnostic characteristics and disease outcomes. Different clinimetric properties, such as reproducibility and responsiveness, are important in both the development and the evaluation of measurement instruments. This article presents a number of the current challenges in clinimetrics: there is much confusion with regard to terminology, clinimetric properties are population and situation-dependent, and the abundance of different measurement instruments in specific fields hampers the comparison of study results. Further challenges lie in the improvement of the quality of both the measurement instruments and the performance of the actual measurements, and the assessment of the suitability for use in clinical practice. From the perspective of evidence-based medicine, it is essential to have measurement instruments that make it possible to detect clinically relevant improvements that are due to diagnostic and therapeutic interventions. Close collaboration between clinicians, statisticians, epidemiologists, and psychologists is necessary to guarantee healthy future developments in clinimetrics, serving the needs of both clinical research and clinical practice. © 2003 Elsevier Inc. All rights reserved.","author":[{"dropping-particle":"","family":"Vet","given":"Henrica C.W.","non-dropping-particle":"De","parse-names":false,"suffix":""},{"dropping-particle":"","family":"Terwee","given":"Caroline B.","non-dropping-particle":"","parse-names":false,"suffix":""},{"dropping-particle":"","family":"Bouter","given":"Lex M.","non-dropping-particle":"","parse-names":false,"suffix":""}],"container-title":"Journal of Clinical Epidemiology","id":"ITEM-1","issue":"12","issued":{"date-parts":[["2003"]]},"page":"1137-1141","title":"Current challenges in clinimetrics","type":"article-journal","volume":"56"},"uris":["http://www.mendeley.com/documents/?uuid=26c16dfd-3567-4741-b28a-d11adbc647ac"]}],"mendeley":{"formattedCitation":"(De Vet, Terwee, &amp; Bouter, 2003)","plainTextFormattedCitation":"(De Vet, Terwee, &amp; Bouter, 2003)","previouslyFormattedCitation":"(De Vet, Terwee, &amp; Bouter, 2003)"},"properties":{"noteIndex":0},"schema":"https://github.com/citation-style-language/schema/raw/master/csl-citation.json"}</w:instrText>
      </w:r>
      <w:r w:rsidRPr="006A1EC7">
        <w:fldChar w:fldCharType="separate"/>
      </w:r>
      <w:r w:rsidRPr="006A1EC7">
        <w:rPr>
          <w:noProof/>
        </w:rPr>
        <w:t>(De Vet, Terwee, &amp; Bouter, 2003)</w:t>
      </w:r>
      <w:r w:rsidRPr="006A1EC7">
        <w:fldChar w:fldCharType="end"/>
      </w:r>
      <w:r w:rsidRPr="006A1EC7">
        <w:t xml:space="preserve"> for use with WHS (links with Chapter 2; Systematic Review 1). This is an obvious limitation relating directly to the validity of COA. While there is no overall measure validated for use with WHS, a general measure could be administered simultaneously and used to compare scoring on the subscale Epilepsy &amp; Seizures. This way, some subscales could be validated. </w:t>
      </w:r>
    </w:p>
    <w:p w14:paraId="39A3E17D" w14:textId="77777777" w:rsidR="006E58E3" w:rsidRPr="006A1EC7" w:rsidRDefault="006E58E3" w:rsidP="006E58E3">
      <w:pPr>
        <w:spacing w:line="360" w:lineRule="auto"/>
        <w:ind w:firstLine="720"/>
      </w:pPr>
      <w:r w:rsidRPr="006A1EC7">
        <w:t xml:space="preserve">Thirdly, while scales must be able to achieve comparable results across time, they must equally be able to capture change and have discriminatory properties if a patient has deteriorated or improved over time </w:t>
      </w:r>
      <w:r w:rsidRPr="006A1EC7">
        <w:fldChar w:fldCharType="begin" w:fldLock="1"/>
      </w:r>
      <w:r w:rsidRPr="006A1EC7">
        <w:instrText>ADDIN CSL_CITATION {"citationItems":[{"id":"ITEM-1","itemData":{"author":[{"dropping-particle":"","family":"Kline","given":"P","non-dropping-particle":"","parse-names":false,"suffix":""}],"id":"ITEM-1","issued":{"date-parts":[["1998"]]},"publisher":"Routledge","publisher-place":"New York","title":"The New Psychometrics : Science, Psychology and Measurement.","type":"book"},"locator":"26","uris":["http://www.mendeley.com/documents/?uuid=eec22be8-8c7b-47cc-ba18-e37787dd833f"]}],"mendeley":{"formattedCitation":"(Kline, 1998, p. 26)","manualFormatting":"(Kline, 1998, p. 39)","plainTextFormattedCitation":"(Kline, 1998, p. 26)","previouslyFormattedCitation":"(Kline, 1998, p. 26)"},"properties":{"noteIndex":0},"schema":"https://github.com/citation-style-language/schema/raw/master/csl-citation.json"}</w:instrText>
      </w:r>
      <w:r w:rsidRPr="006A1EC7">
        <w:fldChar w:fldCharType="separate"/>
      </w:r>
      <w:r w:rsidRPr="006A1EC7">
        <w:rPr>
          <w:noProof/>
        </w:rPr>
        <w:t>(Kline, 1998, p. 39)</w:t>
      </w:r>
      <w:r w:rsidRPr="006A1EC7">
        <w:fldChar w:fldCharType="end"/>
      </w:r>
      <w:r w:rsidRPr="006A1EC7">
        <w:t xml:space="preserve">; responsiveness was not assessed in this study. This is a further limitation of the study, the COA and must be addressed in future work. The reasons for non-assessment of these aspects were </w:t>
      </w:r>
      <w:r w:rsidRPr="006A1EC7">
        <w:lastRenderedPageBreak/>
        <w:t>methodological issues as well as time constrains of the current project. Future studies may wish to assess patients longitudinally.</w:t>
      </w:r>
    </w:p>
    <w:p w14:paraId="5F0E3E64" w14:textId="77777777" w:rsidR="006E58E3" w:rsidRPr="006A1EC7" w:rsidRDefault="006E58E3" w:rsidP="006E58E3">
      <w:pPr>
        <w:spacing w:line="360" w:lineRule="auto"/>
        <w:ind w:firstLine="720"/>
      </w:pPr>
      <w:r w:rsidRPr="006A1EC7">
        <w:t>In addition, the methodology of using vignettes to evaluate COA for rare disease can also be developed further; with future studies replicating the current study design with a different, much larger sample of medical professionals, or reduced number of vignettes. Furthermore, the potential use of voice-recorded or filmed conversation between an assessor and patient caregiver, might address some of the issues raised in the participant evaluation of the vignette methodology regarding lack of possibility for clarification and lack of detail. Due to the current study having been predominantly exploratory in terms of methodology to address an area with no previous literature, the simplest and most basic format was chosen; but it could very well be developed further.</w:t>
      </w:r>
    </w:p>
    <w:p w14:paraId="407C7532" w14:textId="77777777" w:rsidR="006E58E3" w:rsidRPr="006A1EC7" w:rsidRDefault="006E58E3" w:rsidP="006E58E3">
      <w:pPr>
        <w:spacing w:line="360" w:lineRule="auto"/>
        <w:ind w:firstLine="720"/>
      </w:pPr>
    </w:p>
    <w:p w14:paraId="01A8C41A" w14:textId="77777777" w:rsidR="006E58E3" w:rsidRPr="006A1EC7" w:rsidRDefault="006E58E3" w:rsidP="006E58E3">
      <w:pPr>
        <w:pStyle w:val="Heading3"/>
        <w:rPr>
          <w:rFonts w:ascii="Times New Roman" w:hAnsi="Times New Roman" w:cs="Times New Roman"/>
        </w:rPr>
      </w:pPr>
      <w:r w:rsidRPr="006A1EC7">
        <w:rPr>
          <w:rFonts w:ascii="Times New Roman" w:hAnsi="Times New Roman" w:cs="Times New Roman"/>
        </w:rPr>
        <w:t>Conclusion</w:t>
      </w:r>
    </w:p>
    <w:p w14:paraId="759F1EFC" w14:textId="77777777" w:rsidR="00AD67F5" w:rsidRPr="006A1EC7" w:rsidRDefault="006E58E3" w:rsidP="006E58E3">
      <w:pPr>
        <w:spacing w:line="360" w:lineRule="auto"/>
        <w:sectPr w:rsidR="00AD67F5" w:rsidRPr="006A1EC7" w:rsidSect="00AC2435">
          <w:footerReference w:type="default" r:id="rId35"/>
          <w:type w:val="nextColumn"/>
          <w:pgSz w:w="11900" w:h="16840"/>
          <w:pgMar w:top="1440" w:right="1701" w:bottom="1440" w:left="1701" w:header="709" w:footer="709" w:gutter="0"/>
          <w:cols w:space="708"/>
          <w:docGrid w:linePitch="360"/>
        </w:sectPr>
      </w:pPr>
      <w:r w:rsidRPr="006A1EC7">
        <w:tab/>
        <w:t>This study aimed to validate the reliability and construct validity of the COA for WHS that was developed in this thesis. Results indicate that it has excellent construct validity, moderate stability over time as well as good equity. Participants suggestions about further developments, use and utility of the COA were incorporated into the final version of the COA. It is hoped that this final version of the COA will have an immediate effect on patients in clinical practice; and will be validated further in the context of a much larger study in the future.</w:t>
      </w:r>
    </w:p>
    <w:p w14:paraId="4277D11E" w14:textId="598C477B" w:rsidR="006E58E3" w:rsidRPr="006A1EC7" w:rsidRDefault="006E58E3" w:rsidP="006E58E3">
      <w:pPr>
        <w:spacing w:line="360" w:lineRule="auto"/>
      </w:pPr>
    </w:p>
    <w:p w14:paraId="7C4D8618" w14:textId="57AB1688" w:rsidR="00AD67F5" w:rsidRPr="006A1EC7" w:rsidRDefault="00AD67F5" w:rsidP="00AD67F5">
      <w:pPr>
        <w:pStyle w:val="Heading1"/>
        <w:rPr>
          <w:rFonts w:ascii="Times New Roman" w:hAnsi="Times New Roman" w:cs="Times New Roman"/>
        </w:rPr>
      </w:pPr>
      <w:bookmarkStart w:id="269" w:name="_Toc40173019"/>
      <w:r w:rsidRPr="006A1EC7">
        <w:rPr>
          <w:rFonts w:ascii="Times New Roman" w:hAnsi="Times New Roman" w:cs="Times New Roman"/>
        </w:rPr>
        <w:t>References</w:t>
      </w:r>
      <w:bookmarkEnd w:id="269"/>
      <w:r w:rsidRPr="006A1EC7">
        <w:rPr>
          <w:rFonts w:ascii="Times New Roman" w:hAnsi="Times New Roman" w:cs="Times New Roman"/>
        </w:rPr>
        <w:t xml:space="preserve"> </w:t>
      </w:r>
    </w:p>
    <w:p w14:paraId="5C9B7307" w14:textId="70154D90" w:rsidR="00AD67F5" w:rsidRPr="006A1EC7" w:rsidRDefault="00AD67F5" w:rsidP="00421249">
      <w:pPr>
        <w:widowControl w:val="0"/>
        <w:autoSpaceDE w:val="0"/>
        <w:autoSpaceDN w:val="0"/>
        <w:adjustRightInd w:val="0"/>
        <w:ind w:left="480" w:hanging="480"/>
        <w:rPr>
          <w:noProof/>
        </w:rPr>
      </w:pPr>
      <w:r w:rsidRPr="006A1EC7">
        <w:fldChar w:fldCharType="begin" w:fldLock="1"/>
      </w:r>
      <w:r w:rsidRPr="006A1EC7">
        <w:instrText xml:space="preserve">ADDIN Mendeley Bibliography CSL_BIBLIOGRAPHY </w:instrText>
      </w:r>
      <w:r w:rsidRPr="006A1EC7">
        <w:fldChar w:fldCharType="separate"/>
      </w:r>
      <w:r w:rsidRPr="006A1EC7">
        <w:rPr>
          <w:noProof/>
        </w:rPr>
        <w:t xml:space="preserve">Abbeduto, L., Seltzer, M. M., Shattuck, P., Krauss, M. W., Orsmond, G., &amp; Murphy, M. M. (2004). Psychological Well-Being and Coping in Mothers of Youths With Autism, Down Syndrome, or Fragile X Syndrome. </w:t>
      </w:r>
      <w:r w:rsidRPr="006A1EC7">
        <w:rPr>
          <w:i/>
          <w:iCs/>
          <w:noProof/>
        </w:rPr>
        <w:t>American Association on Mental Retardation</w:t>
      </w:r>
      <w:r w:rsidRPr="006A1EC7">
        <w:rPr>
          <w:noProof/>
        </w:rPr>
        <w:t xml:space="preserve">, </w:t>
      </w:r>
      <w:r w:rsidRPr="006A1EC7">
        <w:rPr>
          <w:i/>
          <w:iCs/>
          <w:noProof/>
        </w:rPr>
        <w:t>237</w:t>
      </w:r>
      <w:r w:rsidRPr="006A1EC7">
        <w:rPr>
          <w:noProof/>
        </w:rPr>
        <w:t>(3), 237–254. https://doi.org/10.1352/0895-8017(2004)109&lt;237:PWACIM&gt;2.0.CO;2</w:t>
      </w:r>
    </w:p>
    <w:p w14:paraId="5298BE5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Acquadro, C., Berzon, R., Dubois, D., Leidy, N. K., Marquis, P., Revicki, D., &amp; Rothman, M. (2003). Incorporating the patient’s perspective into drug development and communication: An ad hoc task force report of the patient-reported outcomes (PRO) Harmonization Group meeting at the food and drug administration, February 16, 2001. </w:t>
      </w:r>
      <w:r w:rsidRPr="006A1EC7">
        <w:rPr>
          <w:i/>
          <w:iCs/>
          <w:noProof/>
        </w:rPr>
        <w:t>Value in Health</w:t>
      </w:r>
      <w:r w:rsidRPr="006A1EC7">
        <w:rPr>
          <w:noProof/>
        </w:rPr>
        <w:t xml:space="preserve">, </w:t>
      </w:r>
      <w:r w:rsidRPr="006A1EC7">
        <w:rPr>
          <w:i/>
          <w:iCs/>
          <w:noProof/>
        </w:rPr>
        <w:t>6</w:t>
      </w:r>
      <w:r w:rsidRPr="006A1EC7">
        <w:rPr>
          <w:noProof/>
        </w:rPr>
        <w:t>(5), 522–531. https://doi.org/10.1046/j.1524-4733.2003.65309.x</w:t>
      </w:r>
    </w:p>
    <w:p w14:paraId="48C9FD0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Adegoke, S. A., &amp; Kuteyi, E. A. (2012). Psychosocial burden of sickle cell disease on the family, Nigeria. </w:t>
      </w:r>
      <w:r w:rsidRPr="006A1EC7">
        <w:rPr>
          <w:i/>
          <w:iCs/>
          <w:noProof/>
        </w:rPr>
        <w:t>African Journal of Primary Health Care and Family Medicine</w:t>
      </w:r>
      <w:r w:rsidRPr="006A1EC7">
        <w:rPr>
          <w:noProof/>
        </w:rPr>
        <w:t xml:space="preserve">, </w:t>
      </w:r>
      <w:r w:rsidRPr="006A1EC7">
        <w:rPr>
          <w:i/>
          <w:iCs/>
          <w:noProof/>
        </w:rPr>
        <w:t>4</w:t>
      </w:r>
      <w:r w:rsidRPr="006A1EC7">
        <w:rPr>
          <w:noProof/>
        </w:rPr>
        <w:t>(1), 6–11. https://doi.org/10.4102/phcfm.v4i1.380</w:t>
      </w:r>
    </w:p>
    <w:p w14:paraId="07FD841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Ahonniska-Assa, J., Polack, O., Saraf, E., Wine, J., Silberg, T., Nissenkorn, A., &amp; Ben-Zeev, B. (2018). Assessing cognitive functioning in females with Rett syndrome by eye-tracking methodology. </w:t>
      </w:r>
      <w:r w:rsidRPr="006A1EC7">
        <w:rPr>
          <w:i/>
          <w:iCs/>
          <w:noProof/>
        </w:rPr>
        <w:t>European Journal of Paediatric Neurology</w:t>
      </w:r>
      <w:r w:rsidRPr="006A1EC7">
        <w:rPr>
          <w:noProof/>
        </w:rPr>
        <w:t xml:space="preserve">, </w:t>
      </w:r>
      <w:r w:rsidRPr="006A1EC7">
        <w:rPr>
          <w:i/>
          <w:iCs/>
          <w:noProof/>
        </w:rPr>
        <w:t>22</w:t>
      </w:r>
      <w:r w:rsidRPr="006A1EC7">
        <w:rPr>
          <w:noProof/>
        </w:rPr>
        <w:t>(1), 39–45. https://doi.org/10.1016/j.ejpn.2017.09.010</w:t>
      </w:r>
    </w:p>
    <w:p w14:paraId="23C1FC5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Al-Busaidi, Z. Q. (2008). Qualitative research and its uses in health care. </w:t>
      </w:r>
      <w:r w:rsidRPr="006A1EC7">
        <w:rPr>
          <w:i/>
          <w:iCs/>
          <w:noProof/>
        </w:rPr>
        <w:t>Sultan Qaboos University Medical Journal</w:t>
      </w:r>
      <w:r w:rsidRPr="006A1EC7">
        <w:rPr>
          <w:noProof/>
        </w:rPr>
        <w:t xml:space="preserve">, </w:t>
      </w:r>
      <w:r w:rsidRPr="006A1EC7">
        <w:rPr>
          <w:i/>
          <w:iCs/>
          <w:noProof/>
        </w:rPr>
        <w:t>8</w:t>
      </w:r>
      <w:r w:rsidRPr="006A1EC7">
        <w:rPr>
          <w:noProof/>
        </w:rPr>
        <w:t>(1), 11–19. https://doi.org/10.1177/1524839910363537.Appraising</w:t>
      </w:r>
    </w:p>
    <w:p w14:paraId="63FA6B1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Albrecht, G. L., &amp; Devlieger, P. J. (1999). The disability paradox. </w:t>
      </w:r>
      <w:r w:rsidRPr="006A1EC7">
        <w:rPr>
          <w:i/>
          <w:iCs/>
          <w:noProof/>
        </w:rPr>
        <w:t>Social Science &amp; Medicine</w:t>
      </w:r>
      <w:r w:rsidRPr="006A1EC7">
        <w:rPr>
          <w:noProof/>
        </w:rPr>
        <w:t xml:space="preserve">, </w:t>
      </w:r>
      <w:r w:rsidRPr="006A1EC7">
        <w:rPr>
          <w:i/>
          <w:iCs/>
          <w:noProof/>
        </w:rPr>
        <w:t>48</w:t>
      </w:r>
      <w:r w:rsidRPr="006A1EC7">
        <w:rPr>
          <w:noProof/>
        </w:rPr>
        <w:t>, 977–988. https://doi.org/10.1016/S0277-9536(98)00411-0</w:t>
      </w:r>
    </w:p>
    <w:p w14:paraId="18EB819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Allen, M. (2018). Intercoder Reliability Techniques: Percent Agreement. In D. Roche (Ed.), </w:t>
      </w:r>
      <w:r w:rsidRPr="006A1EC7">
        <w:rPr>
          <w:i/>
          <w:iCs/>
          <w:noProof/>
        </w:rPr>
        <w:t>The SAGE Encyclopedia of Communication Research Methods</w:t>
      </w:r>
      <w:r w:rsidRPr="006A1EC7">
        <w:rPr>
          <w:noProof/>
        </w:rPr>
        <w:t>. Thousand Oaks, California: Sage Publications Inc. https://doi.org/10.4135/9781483381411.n260</w:t>
      </w:r>
    </w:p>
    <w:p w14:paraId="1DD739B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Almanasreh, E., Moles, R., &amp; Chen, T. F. (2019). Evaluation of methods used for estimating content validity. </w:t>
      </w:r>
      <w:r w:rsidRPr="006A1EC7">
        <w:rPr>
          <w:i/>
          <w:iCs/>
          <w:noProof/>
        </w:rPr>
        <w:t>Research in Social and Administrative Pharmacy</w:t>
      </w:r>
      <w:r w:rsidRPr="006A1EC7">
        <w:rPr>
          <w:noProof/>
        </w:rPr>
        <w:t xml:space="preserve">, </w:t>
      </w:r>
      <w:r w:rsidRPr="006A1EC7">
        <w:rPr>
          <w:i/>
          <w:iCs/>
          <w:noProof/>
        </w:rPr>
        <w:t>15</w:t>
      </w:r>
      <w:r w:rsidRPr="006A1EC7">
        <w:rPr>
          <w:noProof/>
        </w:rPr>
        <w:t>(2), 214–221. https://doi.org/10.1016/j.sapharm.2018.03.066</w:t>
      </w:r>
    </w:p>
    <w:p w14:paraId="64CE4D1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Andersen, J., Øyen, N., Bjorvatn, C., &amp; Gjengedal, E. (2008). Living with long QT syndrome: A qualitative study of coping with increased risk of sudden cardiac death. </w:t>
      </w:r>
      <w:r w:rsidRPr="006A1EC7">
        <w:rPr>
          <w:i/>
          <w:iCs/>
          <w:noProof/>
        </w:rPr>
        <w:t>Journal of Genetic Counseling</w:t>
      </w:r>
      <w:r w:rsidRPr="006A1EC7">
        <w:rPr>
          <w:noProof/>
        </w:rPr>
        <w:t xml:space="preserve">, </w:t>
      </w:r>
      <w:r w:rsidRPr="006A1EC7">
        <w:rPr>
          <w:i/>
          <w:iCs/>
          <w:noProof/>
        </w:rPr>
        <w:t>17</w:t>
      </w:r>
      <w:r w:rsidRPr="006A1EC7">
        <w:rPr>
          <w:noProof/>
        </w:rPr>
        <w:t>(5), 489–498. https://doi.org/10.1007/s10897-008-9167-y</w:t>
      </w:r>
    </w:p>
    <w:p w14:paraId="596F5D5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Anderson, M., Elliott, E. J., &amp; Zurynski, Y. A. (2013). Australian families living with rare disease: experiences of diagnosis, health services use and needs for psychosocial support. </w:t>
      </w:r>
      <w:r w:rsidRPr="006A1EC7">
        <w:rPr>
          <w:i/>
          <w:iCs/>
          <w:noProof/>
        </w:rPr>
        <w:t>Orphanet Journal of Rare Diseases</w:t>
      </w:r>
      <w:r w:rsidRPr="006A1EC7">
        <w:rPr>
          <w:noProof/>
        </w:rPr>
        <w:t xml:space="preserve">, </w:t>
      </w:r>
      <w:r w:rsidRPr="006A1EC7">
        <w:rPr>
          <w:i/>
          <w:iCs/>
          <w:noProof/>
        </w:rPr>
        <w:t>8</w:t>
      </w:r>
      <w:r w:rsidRPr="006A1EC7">
        <w:rPr>
          <w:noProof/>
        </w:rPr>
        <w:t>(1), 1. https://doi.org/10.1186/1750-1172-8-22</w:t>
      </w:r>
    </w:p>
    <w:p w14:paraId="205DB0F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Anderson, T., &amp; Davis, C. (2011). Evidence-based practice with families of chronically ill children: A critical literature review. </w:t>
      </w:r>
      <w:r w:rsidRPr="006A1EC7">
        <w:rPr>
          <w:i/>
          <w:iCs/>
          <w:noProof/>
        </w:rPr>
        <w:t>Journal of Evidence-Based Social Work</w:t>
      </w:r>
      <w:r w:rsidRPr="006A1EC7">
        <w:rPr>
          <w:noProof/>
        </w:rPr>
        <w:t xml:space="preserve">, </w:t>
      </w:r>
      <w:r w:rsidRPr="006A1EC7">
        <w:rPr>
          <w:i/>
          <w:iCs/>
          <w:noProof/>
        </w:rPr>
        <w:t>8</w:t>
      </w:r>
      <w:r w:rsidRPr="006A1EC7">
        <w:rPr>
          <w:noProof/>
        </w:rPr>
        <w:t>(4), 416–425. https://doi.org/10.1080/15433710903269172</w:t>
      </w:r>
    </w:p>
    <w:p w14:paraId="455B016B" w14:textId="77777777" w:rsidR="00AD67F5" w:rsidRPr="006A1EC7" w:rsidRDefault="00AD67F5" w:rsidP="00421249">
      <w:pPr>
        <w:widowControl w:val="0"/>
        <w:autoSpaceDE w:val="0"/>
        <w:autoSpaceDN w:val="0"/>
        <w:adjustRightInd w:val="0"/>
        <w:ind w:left="480" w:hanging="480"/>
        <w:rPr>
          <w:noProof/>
        </w:rPr>
      </w:pPr>
      <w:r w:rsidRPr="006A1EC7">
        <w:rPr>
          <w:noProof/>
        </w:rPr>
        <w:t>Angelis, A., Tordrup, D., &amp; Kanavos, P. (2015). Socio-economic burden of rare diseases : a systematic review of cost of illness evidence. https://doi.org/10.1016/j.healthpol.2014.12.016</w:t>
      </w:r>
    </w:p>
    <w:p w14:paraId="4F52523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Antonius, T., Draaisma, J., Levtchenko, E., Knoers, N., Renier, W., &amp; Van </w:t>
      </w:r>
      <w:r w:rsidRPr="006A1EC7">
        <w:rPr>
          <w:noProof/>
        </w:rPr>
        <w:lastRenderedPageBreak/>
        <w:t xml:space="preserve">Ravenswaaij, C. (2008). Growth charts for Wolf-Hirschhorn syndrome (0-4 years of age). </w:t>
      </w:r>
      <w:r w:rsidRPr="006A1EC7">
        <w:rPr>
          <w:i/>
          <w:iCs/>
          <w:noProof/>
        </w:rPr>
        <w:t>European Journal of Pediatrics</w:t>
      </w:r>
      <w:r w:rsidRPr="006A1EC7">
        <w:rPr>
          <w:noProof/>
        </w:rPr>
        <w:t xml:space="preserve">, </w:t>
      </w:r>
      <w:r w:rsidRPr="006A1EC7">
        <w:rPr>
          <w:i/>
          <w:iCs/>
          <w:noProof/>
        </w:rPr>
        <w:t>167</w:t>
      </w:r>
      <w:r w:rsidRPr="006A1EC7">
        <w:rPr>
          <w:noProof/>
        </w:rPr>
        <w:t>(7), 807–810. https://doi.org/10.1007/s00431-007-0595-8</w:t>
      </w:r>
    </w:p>
    <w:p w14:paraId="2428FAD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Arakawa, C., Fujita, Y., Fuchigami, T., Kawamura, Y., Ishii, W., Endo, A., … Takahashi, S. (2014). Affinity for music in wolf-hirschhorn syndrome: Two case reports. </w:t>
      </w:r>
      <w:r w:rsidRPr="006A1EC7">
        <w:rPr>
          <w:i/>
          <w:iCs/>
          <w:noProof/>
        </w:rPr>
        <w:t>Pediatric Neurology</w:t>
      </w:r>
      <w:r w:rsidRPr="006A1EC7">
        <w:rPr>
          <w:noProof/>
        </w:rPr>
        <w:t xml:space="preserve">, </w:t>
      </w:r>
      <w:r w:rsidRPr="006A1EC7">
        <w:rPr>
          <w:i/>
          <w:iCs/>
          <w:noProof/>
        </w:rPr>
        <w:t>51</w:t>
      </w:r>
      <w:r w:rsidRPr="006A1EC7">
        <w:rPr>
          <w:noProof/>
        </w:rPr>
        <w:t>(4), 550–552. https://doi.org/10.1016/j.pediatrneurol.2014.07.012</w:t>
      </w:r>
    </w:p>
    <w:p w14:paraId="532C1BC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Atkinson, T. M., Sit, L., Mendoza, T. R., Fruscione, M., Lavene, D., Shaw, M., … Basch, E. M. (2017). Confirmatory factor analysis to evaluate construct validity of the Brief Pain Inventory (BPI). </w:t>
      </w:r>
      <w:r w:rsidRPr="006A1EC7">
        <w:rPr>
          <w:i/>
          <w:iCs/>
          <w:noProof/>
        </w:rPr>
        <w:t>Journal of Clinical Oncology</w:t>
      </w:r>
      <w:r w:rsidRPr="006A1EC7">
        <w:rPr>
          <w:noProof/>
        </w:rPr>
        <w:t xml:space="preserve">, </w:t>
      </w:r>
      <w:r w:rsidRPr="006A1EC7">
        <w:rPr>
          <w:i/>
          <w:iCs/>
          <w:noProof/>
        </w:rPr>
        <w:t>28</w:t>
      </w:r>
      <w:r w:rsidRPr="006A1EC7">
        <w:rPr>
          <w:noProof/>
        </w:rPr>
        <w:t>(15_suppl), e19505–e19505. https://doi.org/10.1200/jco.2010.28.15_suppl.e19505</w:t>
      </w:r>
    </w:p>
    <w:p w14:paraId="5E320C3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Augustine, E., Adams, H., &amp; Wink, J. (2013). Clinical Trials in Rare Disease: Challenges and Opportunities. </w:t>
      </w:r>
      <w:r w:rsidRPr="006A1EC7">
        <w:rPr>
          <w:i/>
          <w:iCs/>
          <w:noProof/>
        </w:rPr>
        <w:t>Journal of Clinical Neurology</w:t>
      </w:r>
      <w:r w:rsidRPr="006A1EC7">
        <w:rPr>
          <w:noProof/>
        </w:rPr>
        <w:t xml:space="preserve">, </w:t>
      </w:r>
      <w:r w:rsidRPr="006A1EC7">
        <w:rPr>
          <w:i/>
          <w:iCs/>
          <w:noProof/>
        </w:rPr>
        <w:t>28</w:t>
      </w:r>
      <w:r w:rsidRPr="006A1EC7">
        <w:rPr>
          <w:noProof/>
        </w:rPr>
        <w:t>(9), 1142–1150. https://doi.org/10.1177/0883073813495959.Clinical</w:t>
      </w:r>
    </w:p>
    <w:p w14:paraId="410C586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Austin, D. E., Gunn, A. J., &amp; Jefferies, C. A. (2015). Severe short stature and Wolf-Hirschhorn syndrome: response to growth hormone in two cases without growth hormone deficiency. </w:t>
      </w:r>
      <w:r w:rsidRPr="006A1EC7">
        <w:rPr>
          <w:i/>
          <w:iCs/>
          <w:noProof/>
        </w:rPr>
        <w:t>Oxford Medical Case Reports</w:t>
      </w:r>
      <w:r w:rsidRPr="006A1EC7">
        <w:rPr>
          <w:noProof/>
        </w:rPr>
        <w:t xml:space="preserve">, </w:t>
      </w:r>
      <w:r w:rsidRPr="006A1EC7">
        <w:rPr>
          <w:i/>
          <w:iCs/>
          <w:noProof/>
        </w:rPr>
        <w:t>2015</w:t>
      </w:r>
      <w:r w:rsidRPr="006A1EC7">
        <w:rPr>
          <w:noProof/>
        </w:rPr>
        <w:t>(2), 211–214. https://doi.org/10.1093/omcr/omv008</w:t>
      </w:r>
    </w:p>
    <w:p w14:paraId="11A9266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Austin, J. K., Haber, L. C., Dunn, D. W., Shore, C. P., Johnson, C. S., &amp; Perkins, S. M. (2015). Children with new onset seizures: A prospective study of parent variables, child behavior problems, and seizure occurrence. </w:t>
      </w:r>
      <w:r w:rsidRPr="006A1EC7">
        <w:rPr>
          <w:i/>
          <w:iCs/>
          <w:noProof/>
        </w:rPr>
        <w:t>Epilepsy and Behavior</w:t>
      </w:r>
      <w:r w:rsidRPr="006A1EC7">
        <w:rPr>
          <w:noProof/>
        </w:rPr>
        <w:t xml:space="preserve">, </w:t>
      </w:r>
      <w:r w:rsidRPr="006A1EC7">
        <w:rPr>
          <w:i/>
          <w:iCs/>
          <w:noProof/>
        </w:rPr>
        <w:t>53</w:t>
      </w:r>
      <w:r w:rsidRPr="006A1EC7">
        <w:rPr>
          <w:noProof/>
        </w:rPr>
        <w:t>, 73–77. https://doi.org/10.1016/j.yebeh.2015.09.019</w:t>
      </w:r>
    </w:p>
    <w:p w14:paraId="2132872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Aydin, A., &amp; Yamac, A. (2014). The Relations Between the Acceptance and Child- Rearing Attitudes of Parents Of Children With Mental Disabilities. </w:t>
      </w:r>
      <w:r w:rsidRPr="006A1EC7">
        <w:rPr>
          <w:i/>
          <w:iCs/>
          <w:noProof/>
        </w:rPr>
        <w:t>Eurasian Journal of Educational Research</w:t>
      </w:r>
      <w:r w:rsidRPr="006A1EC7">
        <w:rPr>
          <w:noProof/>
        </w:rPr>
        <w:t>, (54), 79–98.</w:t>
      </w:r>
    </w:p>
    <w:p w14:paraId="2A78695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Aytch, L. S., Hammond, R., &amp; White, C. (2001). Seizures in infants and young children: an exploratory study of family experiences and needs for information and support. </w:t>
      </w:r>
      <w:r w:rsidRPr="006A1EC7">
        <w:rPr>
          <w:i/>
          <w:iCs/>
          <w:noProof/>
        </w:rPr>
        <w:t>The Journal of Neuroscience Nursing : Journal of the American Association of Neuroscience Nurses</w:t>
      </w:r>
      <w:r w:rsidRPr="006A1EC7">
        <w:rPr>
          <w:noProof/>
        </w:rPr>
        <w:t>. https://doi.org/10.1097/01376517-200110000-00008</w:t>
      </w:r>
    </w:p>
    <w:p w14:paraId="686E1DF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Baliousis, M., Huabdn, N., Duggan, C., Mccarthy, L., &amp; Voellm, B. (2015). Development and validation of a treatment progress scale for personality disordered offenders. </w:t>
      </w:r>
      <w:r w:rsidRPr="006A1EC7">
        <w:rPr>
          <w:i/>
          <w:iCs/>
          <w:noProof/>
        </w:rPr>
        <w:t>Personality and Mental Health</w:t>
      </w:r>
      <w:r w:rsidRPr="006A1EC7">
        <w:rPr>
          <w:noProof/>
        </w:rPr>
        <w:t xml:space="preserve">, </w:t>
      </w:r>
      <w:r w:rsidRPr="006A1EC7">
        <w:rPr>
          <w:i/>
          <w:iCs/>
          <w:noProof/>
        </w:rPr>
        <w:t>9</w:t>
      </w:r>
      <w:r w:rsidRPr="006A1EC7">
        <w:rPr>
          <w:noProof/>
        </w:rPr>
        <w:t>, 107–123. https://doi.org/10.1002/pmh.1291</w:t>
      </w:r>
    </w:p>
    <w:p w14:paraId="637FC9F8" w14:textId="0979BA48" w:rsidR="00AD67F5" w:rsidRPr="006A1EC7" w:rsidRDefault="00AD67F5" w:rsidP="00421249">
      <w:pPr>
        <w:widowControl w:val="0"/>
        <w:autoSpaceDE w:val="0"/>
        <w:autoSpaceDN w:val="0"/>
        <w:adjustRightInd w:val="0"/>
        <w:ind w:left="480" w:hanging="480"/>
        <w:rPr>
          <w:noProof/>
        </w:rPr>
      </w:pPr>
      <w:r w:rsidRPr="006A1EC7">
        <w:rPr>
          <w:noProof/>
        </w:rPr>
        <w:t xml:space="preserve">Ballinger, R., Kerr, C., Mowbray, F., &amp; Bush, E. N. (2018). Evaluating the Content Validity of Four Performance Outcome Measures in Patients with Elective Hip Replacements and Hip Fractures. </w:t>
      </w:r>
      <w:r w:rsidRPr="006A1EC7">
        <w:rPr>
          <w:i/>
          <w:iCs/>
          <w:noProof/>
        </w:rPr>
        <w:t>Value in Health</w:t>
      </w:r>
      <w:r w:rsidRPr="006A1EC7">
        <w:rPr>
          <w:noProof/>
        </w:rPr>
        <w:t xml:space="preserve">, </w:t>
      </w:r>
      <w:r w:rsidRPr="006A1EC7">
        <w:rPr>
          <w:i/>
          <w:iCs/>
          <w:noProof/>
        </w:rPr>
        <w:t>21</w:t>
      </w:r>
      <w:r w:rsidRPr="006A1EC7">
        <w:rPr>
          <w:noProof/>
        </w:rPr>
        <w:t>(9), 1115–1123. https://doi.org/10.1016/j.jval.2018.02.005</w:t>
      </w:r>
    </w:p>
    <w:p w14:paraId="57706005" w14:textId="4CAE8F47" w:rsidR="00AD67F5" w:rsidRPr="006A1EC7" w:rsidRDefault="00AD67F5" w:rsidP="00421249">
      <w:pPr>
        <w:widowControl w:val="0"/>
        <w:autoSpaceDE w:val="0"/>
        <w:autoSpaceDN w:val="0"/>
        <w:adjustRightInd w:val="0"/>
        <w:ind w:left="480" w:hanging="480"/>
        <w:rPr>
          <w:noProof/>
        </w:rPr>
      </w:pPr>
      <w:r w:rsidRPr="006A1EC7">
        <w:rPr>
          <w:noProof/>
        </w:rPr>
        <w:t xml:space="preserve">Bamshad, M., O’Quinn, J., &amp; Carey, J. (1998). </w:t>
      </w:r>
      <w:r w:rsidR="00A95372" w:rsidRPr="006A1EC7">
        <w:rPr>
          <w:noProof/>
        </w:rPr>
        <w:t xml:space="preserve">Wolf-Hirschhorn Syndrome: Split Hand Formation. </w:t>
      </w:r>
      <w:r w:rsidRPr="006A1EC7">
        <w:rPr>
          <w:i/>
          <w:iCs/>
          <w:noProof/>
        </w:rPr>
        <w:t>American Journal of Medical Genetics</w:t>
      </w:r>
      <w:r w:rsidRPr="006A1EC7">
        <w:rPr>
          <w:noProof/>
        </w:rPr>
        <w:t xml:space="preserve">, </w:t>
      </w:r>
      <w:r w:rsidRPr="006A1EC7">
        <w:rPr>
          <w:i/>
          <w:iCs/>
          <w:noProof/>
        </w:rPr>
        <w:t>354</w:t>
      </w:r>
      <w:r w:rsidRPr="006A1EC7">
        <w:rPr>
          <w:noProof/>
        </w:rPr>
        <w:t>, 351–354.</w:t>
      </w:r>
    </w:p>
    <w:p w14:paraId="0D2084A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Barber, M. D., Walters, M. D., &amp; Bump, R. C. (2005). Short forms of two condition-specific quality-of-life questionnaires for women with pelvic floor disorders (PFDI-20 and PFIQ-7). </w:t>
      </w:r>
      <w:r w:rsidRPr="006A1EC7">
        <w:rPr>
          <w:i/>
          <w:iCs/>
          <w:noProof/>
        </w:rPr>
        <w:t>American Journal of Obstetrics and Gynecology</w:t>
      </w:r>
      <w:r w:rsidRPr="006A1EC7">
        <w:rPr>
          <w:noProof/>
        </w:rPr>
        <w:t xml:space="preserve">, </w:t>
      </w:r>
      <w:r w:rsidRPr="006A1EC7">
        <w:rPr>
          <w:i/>
          <w:iCs/>
          <w:noProof/>
        </w:rPr>
        <w:t>193</w:t>
      </w:r>
      <w:r w:rsidRPr="006A1EC7">
        <w:rPr>
          <w:noProof/>
        </w:rPr>
        <w:t>(1), 103–113. https://doi.org/10.1016/j.ajog.2004.12.025</w:t>
      </w:r>
    </w:p>
    <w:p w14:paraId="338E80B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Barke, J., Coad, J., &amp; Harcourt, D. (2016). Parents’ experiences of caring for a young person with neurofibromatosis type 1 (NF1): a qualitative study. </w:t>
      </w:r>
      <w:r w:rsidRPr="006A1EC7">
        <w:rPr>
          <w:i/>
          <w:iCs/>
          <w:noProof/>
        </w:rPr>
        <w:t>Journal of Community Genetics</w:t>
      </w:r>
      <w:r w:rsidRPr="006A1EC7">
        <w:rPr>
          <w:noProof/>
        </w:rPr>
        <w:t xml:space="preserve">, </w:t>
      </w:r>
      <w:r w:rsidRPr="006A1EC7">
        <w:rPr>
          <w:i/>
          <w:iCs/>
          <w:noProof/>
        </w:rPr>
        <w:t>7</w:t>
      </w:r>
      <w:r w:rsidRPr="006A1EC7">
        <w:rPr>
          <w:noProof/>
        </w:rPr>
        <w:t>(1), 33–39. https://doi.org/10.1007/s12687-015-0247-z</w:t>
      </w:r>
    </w:p>
    <w:p w14:paraId="7CEBE7B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Barnett, D., Clements, M., Kaplan-estrin, M., &amp; Fialka, J. (2003). Building New Dreams: Supporting Parents’ Adaptation to Their Child With Special Needs. </w:t>
      </w:r>
      <w:r w:rsidRPr="006A1EC7">
        <w:rPr>
          <w:i/>
          <w:iCs/>
          <w:noProof/>
        </w:rPr>
        <w:lastRenderedPageBreak/>
        <w:t>Infants &amp; Young Children</w:t>
      </w:r>
      <w:r w:rsidRPr="006A1EC7">
        <w:rPr>
          <w:noProof/>
        </w:rPr>
        <w:t xml:space="preserve">, </w:t>
      </w:r>
      <w:r w:rsidRPr="006A1EC7">
        <w:rPr>
          <w:i/>
          <w:iCs/>
          <w:noProof/>
        </w:rPr>
        <w:t>16</w:t>
      </w:r>
      <w:r w:rsidRPr="006A1EC7">
        <w:rPr>
          <w:noProof/>
        </w:rPr>
        <w:t>(3), 184–200.</w:t>
      </w:r>
    </w:p>
    <w:p w14:paraId="0124E9B1" w14:textId="331C5CB3" w:rsidR="00AD67F5" w:rsidRPr="006A1EC7" w:rsidRDefault="00AD67F5" w:rsidP="00421249">
      <w:pPr>
        <w:widowControl w:val="0"/>
        <w:autoSpaceDE w:val="0"/>
        <w:autoSpaceDN w:val="0"/>
        <w:adjustRightInd w:val="0"/>
        <w:ind w:left="480" w:hanging="480"/>
        <w:rPr>
          <w:noProof/>
        </w:rPr>
      </w:pPr>
      <w:r w:rsidRPr="006A1EC7">
        <w:rPr>
          <w:noProof/>
        </w:rPr>
        <w:t xml:space="preserve">Battaglia, A. (2014). </w:t>
      </w:r>
      <w:r w:rsidR="00A95372" w:rsidRPr="006A1EC7">
        <w:rPr>
          <w:noProof/>
        </w:rPr>
        <w:t>Wolf-Hirschhorn (4p-) Syndrome: Clinical Features And Natural History</w:t>
      </w:r>
      <w:r w:rsidRPr="006A1EC7">
        <w:rPr>
          <w:noProof/>
        </w:rPr>
        <w:t xml:space="preserve">. </w:t>
      </w:r>
      <w:r w:rsidRPr="006A1EC7">
        <w:rPr>
          <w:i/>
          <w:iCs/>
          <w:noProof/>
        </w:rPr>
        <w:t>Journal of Intellectual Disability Research</w:t>
      </w:r>
      <w:r w:rsidRPr="006A1EC7">
        <w:rPr>
          <w:noProof/>
        </w:rPr>
        <w:t xml:space="preserve">, </w:t>
      </w:r>
      <w:r w:rsidRPr="006A1EC7">
        <w:rPr>
          <w:i/>
          <w:iCs/>
          <w:noProof/>
        </w:rPr>
        <w:t>58</w:t>
      </w:r>
      <w:r w:rsidRPr="006A1EC7">
        <w:rPr>
          <w:noProof/>
        </w:rPr>
        <w:t>(10), 890. https://doi.org/10.1111/jir.12157</w:t>
      </w:r>
    </w:p>
    <w:p w14:paraId="0025E42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Battaglia, A, &amp; Carey, J. C. (2008). Wolf-Hirschhorn syndrome and the 4p-related syndromes. </w:t>
      </w:r>
      <w:r w:rsidRPr="006A1EC7">
        <w:rPr>
          <w:i/>
          <w:iCs/>
          <w:noProof/>
        </w:rPr>
        <w:t>American Journal of Medical Genetics, Part C: Seminars in Medical Genetics</w:t>
      </w:r>
      <w:r w:rsidRPr="006A1EC7">
        <w:rPr>
          <w:noProof/>
        </w:rPr>
        <w:t xml:space="preserve">, </w:t>
      </w:r>
      <w:r w:rsidRPr="006A1EC7">
        <w:rPr>
          <w:i/>
          <w:iCs/>
          <w:noProof/>
        </w:rPr>
        <w:t>148</w:t>
      </w:r>
      <w:r w:rsidRPr="006A1EC7">
        <w:rPr>
          <w:noProof/>
        </w:rPr>
        <w:t>(4), 241–243. https://doi.org/10.1002/ajmg.c.30189</w:t>
      </w:r>
    </w:p>
    <w:p w14:paraId="48AF40A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Battaglia, A, Carey, J. C., Cederholm, P., Viskochil, D. H., Brothman, A. R., &amp; Galasso, C. (1999). Natural history of Wolf-Hirschhorn syndrome: Experience with 15 cases. </w:t>
      </w:r>
      <w:r w:rsidRPr="006A1EC7">
        <w:rPr>
          <w:i/>
          <w:iCs/>
          <w:noProof/>
        </w:rPr>
        <w:t>Pediatrics</w:t>
      </w:r>
      <w:r w:rsidRPr="006A1EC7">
        <w:rPr>
          <w:noProof/>
        </w:rPr>
        <w:t xml:space="preserve">, </w:t>
      </w:r>
      <w:r w:rsidRPr="006A1EC7">
        <w:rPr>
          <w:i/>
          <w:iCs/>
          <w:noProof/>
        </w:rPr>
        <w:t>103</w:t>
      </w:r>
      <w:r w:rsidRPr="006A1EC7">
        <w:rPr>
          <w:noProof/>
        </w:rPr>
        <w:t>(4 I), 830–836. https://doi.org/10.1542/peds.103.4.830</w:t>
      </w:r>
    </w:p>
    <w:p w14:paraId="065035C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Battaglia, A, Carey, J. C., Viskochil, D. H., Cederholm, P., &amp; Opitz, J. M. (2000). Wolf-Hirschhorn syndrome (WHS): A history in pictures. </w:t>
      </w:r>
      <w:r w:rsidRPr="006A1EC7">
        <w:rPr>
          <w:i/>
          <w:iCs/>
          <w:noProof/>
        </w:rPr>
        <w:t>Clinical Dysmorphology</w:t>
      </w:r>
      <w:r w:rsidRPr="006A1EC7">
        <w:rPr>
          <w:noProof/>
        </w:rPr>
        <w:t xml:space="preserve">, </w:t>
      </w:r>
      <w:r w:rsidRPr="006A1EC7">
        <w:rPr>
          <w:i/>
          <w:iCs/>
          <w:noProof/>
        </w:rPr>
        <w:t>9</w:t>
      </w:r>
      <w:r w:rsidRPr="006A1EC7">
        <w:rPr>
          <w:noProof/>
        </w:rPr>
        <w:t>(1), 25–30. Retrieved from https://www.scopus.com/inward/record.uri?eid=2-s2.0-0033954143&amp;partnerID=40&amp;md5=cefce51c1c90e3444ddf58c838464396</w:t>
      </w:r>
    </w:p>
    <w:p w14:paraId="4E2AC41E" w14:textId="3CA50EDF" w:rsidR="00AD67F5" w:rsidRPr="006A1EC7" w:rsidRDefault="00AD67F5" w:rsidP="00421249">
      <w:pPr>
        <w:widowControl w:val="0"/>
        <w:autoSpaceDE w:val="0"/>
        <w:autoSpaceDN w:val="0"/>
        <w:adjustRightInd w:val="0"/>
        <w:ind w:left="480" w:hanging="480"/>
        <w:rPr>
          <w:noProof/>
        </w:rPr>
      </w:pPr>
      <w:r w:rsidRPr="006A1EC7">
        <w:rPr>
          <w:noProof/>
        </w:rPr>
        <w:t xml:space="preserve">Battaglia, </w:t>
      </w:r>
      <w:r w:rsidR="00A95372" w:rsidRPr="006A1EC7">
        <w:rPr>
          <w:noProof/>
        </w:rPr>
        <w:t>A.</w:t>
      </w:r>
      <w:r w:rsidRPr="006A1EC7">
        <w:rPr>
          <w:noProof/>
        </w:rPr>
        <w:t xml:space="preserve">, &amp; Carey, J. C. (2005). Seizure and EEG patterns in Wolf-Hirschhorn (4p-) syndrome. </w:t>
      </w:r>
      <w:r w:rsidRPr="006A1EC7">
        <w:rPr>
          <w:i/>
          <w:iCs/>
          <w:noProof/>
        </w:rPr>
        <w:t>Brain &amp; Development</w:t>
      </w:r>
      <w:r w:rsidRPr="006A1EC7">
        <w:rPr>
          <w:noProof/>
        </w:rPr>
        <w:t xml:space="preserve">, </w:t>
      </w:r>
      <w:r w:rsidRPr="006A1EC7">
        <w:rPr>
          <w:i/>
          <w:iCs/>
          <w:noProof/>
        </w:rPr>
        <w:t>27</w:t>
      </w:r>
      <w:r w:rsidRPr="006A1EC7">
        <w:rPr>
          <w:noProof/>
        </w:rPr>
        <w:t>(5), 362–364. https://doi.org/10.1016/j.braindev.2004.02.017</w:t>
      </w:r>
    </w:p>
    <w:p w14:paraId="59B283AB" w14:textId="4397D3A7" w:rsidR="00AD67F5" w:rsidRPr="006A1EC7" w:rsidRDefault="00AD67F5" w:rsidP="00421249">
      <w:pPr>
        <w:widowControl w:val="0"/>
        <w:autoSpaceDE w:val="0"/>
        <w:autoSpaceDN w:val="0"/>
        <w:adjustRightInd w:val="0"/>
        <w:ind w:left="480" w:hanging="480"/>
        <w:rPr>
          <w:noProof/>
        </w:rPr>
      </w:pPr>
      <w:r w:rsidRPr="006A1EC7">
        <w:rPr>
          <w:noProof/>
        </w:rPr>
        <w:t xml:space="preserve">Battaglia, </w:t>
      </w:r>
      <w:r w:rsidR="00A95372" w:rsidRPr="006A1EC7">
        <w:rPr>
          <w:noProof/>
        </w:rPr>
        <w:t>A.</w:t>
      </w:r>
      <w:r w:rsidRPr="006A1EC7">
        <w:rPr>
          <w:noProof/>
        </w:rPr>
        <w:t xml:space="preserve">, Carey, J. C., &amp; South, S. T. (1993). </w:t>
      </w:r>
      <w:r w:rsidRPr="006A1EC7">
        <w:rPr>
          <w:i/>
          <w:iCs/>
          <w:noProof/>
        </w:rPr>
        <w:t>Wolf-Hirschhorn Syndrome</w:t>
      </w:r>
      <w:r w:rsidRPr="006A1EC7">
        <w:rPr>
          <w:noProof/>
        </w:rPr>
        <w:t xml:space="preserve">. </w:t>
      </w:r>
      <w:r w:rsidRPr="006A1EC7">
        <w:rPr>
          <w:i/>
          <w:iCs/>
          <w:noProof/>
        </w:rPr>
        <w:t>GeneReviews®</w:t>
      </w:r>
      <w:r w:rsidRPr="006A1EC7">
        <w:rPr>
          <w:noProof/>
        </w:rPr>
        <w:t>. Retrieved from http://www.ncbi.nlm.nih.gov/pubmed/20301362</w:t>
      </w:r>
    </w:p>
    <w:p w14:paraId="30722FFB" w14:textId="0E0F46CA" w:rsidR="00AD67F5" w:rsidRPr="006A1EC7" w:rsidRDefault="00AD67F5" w:rsidP="00421249">
      <w:pPr>
        <w:widowControl w:val="0"/>
        <w:autoSpaceDE w:val="0"/>
        <w:autoSpaceDN w:val="0"/>
        <w:adjustRightInd w:val="0"/>
        <w:ind w:left="480" w:hanging="480"/>
        <w:rPr>
          <w:noProof/>
        </w:rPr>
      </w:pPr>
      <w:r w:rsidRPr="006A1EC7">
        <w:rPr>
          <w:noProof/>
        </w:rPr>
        <w:t xml:space="preserve">Battaglia, </w:t>
      </w:r>
      <w:r w:rsidR="00A95372" w:rsidRPr="006A1EC7">
        <w:rPr>
          <w:noProof/>
        </w:rPr>
        <w:t>A.</w:t>
      </w:r>
      <w:r w:rsidRPr="006A1EC7">
        <w:rPr>
          <w:noProof/>
        </w:rPr>
        <w:t xml:space="preserve">, Carey, J. C., &amp; South, S. T. (2015a). Wolf-Hirschhorn syndrome: A review and update. </w:t>
      </w:r>
      <w:r w:rsidRPr="006A1EC7">
        <w:rPr>
          <w:i/>
          <w:iCs/>
          <w:noProof/>
        </w:rPr>
        <w:t>American Journal of Medical Genetics, Part C: Seminars in Medical Genetics</w:t>
      </w:r>
      <w:r w:rsidRPr="006A1EC7">
        <w:rPr>
          <w:noProof/>
        </w:rPr>
        <w:t xml:space="preserve">, </w:t>
      </w:r>
      <w:r w:rsidRPr="006A1EC7">
        <w:rPr>
          <w:i/>
          <w:iCs/>
          <w:noProof/>
        </w:rPr>
        <w:t>169</w:t>
      </w:r>
      <w:r w:rsidRPr="006A1EC7">
        <w:rPr>
          <w:noProof/>
        </w:rPr>
        <w:t>(3), 216–223. https://doi.org/10.1002/ajmg.c.31449</w:t>
      </w:r>
    </w:p>
    <w:p w14:paraId="6152BAC1" w14:textId="67AA1C0C" w:rsidR="00AD67F5" w:rsidRPr="006A1EC7" w:rsidRDefault="00AD67F5" w:rsidP="00421249">
      <w:pPr>
        <w:widowControl w:val="0"/>
        <w:autoSpaceDE w:val="0"/>
        <w:autoSpaceDN w:val="0"/>
        <w:adjustRightInd w:val="0"/>
        <w:ind w:left="480" w:hanging="480"/>
        <w:rPr>
          <w:noProof/>
        </w:rPr>
      </w:pPr>
      <w:r w:rsidRPr="006A1EC7">
        <w:rPr>
          <w:noProof/>
        </w:rPr>
        <w:t xml:space="preserve">Battaglia, </w:t>
      </w:r>
      <w:r w:rsidR="00A95372" w:rsidRPr="006A1EC7">
        <w:rPr>
          <w:noProof/>
        </w:rPr>
        <w:t>A.</w:t>
      </w:r>
      <w:r w:rsidRPr="006A1EC7">
        <w:rPr>
          <w:noProof/>
        </w:rPr>
        <w:t xml:space="preserve">, Carey, J. C., &amp; Wright, C. G. (2001). Wolf– Hirschhorn (4p-) syndrome. </w:t>
      </w:r>
      <w:r w:rsidRPr="006A1EC7">
        <w:rPr>
          <w:i/>
          <w:iCs/>
          <w:noProof/>
        </w:rPr>
        <w:t>Advances in Pediatrics</w:t>
      </w:r>
      <w:r w:rsidRPr="006A1EC7">
        <w:rPr>
          <w:noProof/>
        </w:rPr>
        <w:t xml:space="preserve">, </w:t>
      </w:r>
      <w:r w:rsidRPr="006A1EC7">
        <w:rPr>
          <w:i/>
          <w:iCs/>
          <w:noProof/>
        </w:rPr>
        <w:t>48</w:t>
      </w:r>
      <w:r w:rsidRPr="006A1EC7">
        <w:rPr>
          <w:noProof/>
        </w:rPr>
        <w:t>, 75–113.</w:t>
      </w:r>
    </w:p>
    <w:p w14:paraId="3DD3745A" w14:textId="7BE7B8F4" w:rsidR="00AD67F5" w:rsidRPr="006A1EC7" w:rsidRDefault="00AD67F5" w:rsidP="00421249">
      <w:pPr>
        <w:widowControl w:val="0"/>
        <w:autoSpaceDE w:val="0"/>
        <w:autoSpaceDN w:val="0"/>
        <w:adjustRightInd w:val="0"/>
        <w:ind w:left="480" w:hanging="480"/>
        <w:rPr>
          <w:noProof/>
        </w:rPr>
      </w:pPr>
      <w:r w:rsidRPr="006A1EC7">
        <w:rPr>
          <w:noProof/>
        </w:rPr>
        <w:t xml:space="preserve">Battaglia, </w:t>
      </w:r>
      <w:r w:rsidR="00A95372" w:rsidRPr="006A1EC7">
        <w:rPr>
          <w:noProof/>
        </w:rPr>
        <w:t>A.</w:t>
      </w:r>
      <w:r w:rsidRPr="006A1EC7">
        <w:rPr>
          <w:noProof/>
        </w:rPr>
        <w:t xml:space="preserve">, Filippi, T., &amp; Carey, J. C. (2008). Update on the clinical features and natural history of Wolf-Hirschhorn (4p-) syndrome: Experience with 87 patients and recommendations for routine health supervision. </w:t>
      </w:r>
      <w:r w:rsidRPr="006A1EC7">
        <w:rPr>
          <w:i/>
          <w:iCs/>
          <w:noProof/>
        </w:rPr>
        <w:t>American Journal of Medical Genetics, Part C: Seminars in Medical Genetics</w:t>
      </w:r>
      <w:r w:rsidRPr="006A1EC7">
        <w:rPr>
          <w:noProof/>
        </w:rPr>
        <w:t xml:space="preserve">, </w:t>
      </w:r>
      <w:r w:rsidRPr="006A1EC7">
        <w:rPr>
          <w:i/>
          <w:iCs/>
          <w:noProof/>
        </w:rPr>
        <w:t>148</w:t>
      </w:r>
      <w:r w:rsidRPr="006A1EC7">
        <w:rPr>
          <w:noProof/>
        </w:rPr>
        <w:t>(4), 246–251. https://doi.org/10.1002/ajmg.c.30187</w:t>
      </w:r>
    </w:p>
    <w:p w14:paraId="74236C4C" w14:textId="7B2DBA06" w:rsidR="00AD67F5" w:rsidRPr="006A1EC7" w:rsidRDefault="00AD67F5" w:rsidP="00421249">
      <w:pPr>
        <w:widowControl w:val="0"/>
        <w:autoSpaceDE w:val="0"/>
        <w:autoSpaceDN w:val="0"/>
        <w:adjustRightInd w:val="0"/>
        <w:ind w:left="480" w:hanging="480"/>
        <w:rPr>
          <w:noProof/>
        </w:rPr>
      </w:pPr>
      <w:r w:rsidRPr="006A1EC7">
        <w:rPr>
          <w:noProof/>
        </w:rPr>
        <w:t xml:space="preserve">Battaglia, </w:t>
      </w:r>
      <w:r w:rsidR="00A95372" w:rsidRPr="006A1EC7">
        <w:rPr>
          <w:noProof/>
        </w:rPr>
        <w:t>A.</w:t>
      </w:r>
      <w:r w:rsidRPr="006A1EC7">
        <w:rPr>
          <w:noProof/>
        </w:rPr>
        <w:t xml:space="preserve">, Filippi, T., South, S. T., &amp; Carey, J. C. (2009). Spectrum of epilepsy and electroencephalogram patterns in Wolf-Hirschhorn syndrome: Experience with 87 patients. </w:t>
      </w:r>
      <w:r w:rsidRPr="006A1EC7">
        <w:rPr>
          <w:i/>
          <w:iCs/>
          <w:noProof/>
        </w:rPr>
        <w:t>Developmental Medicine and Child Neurology</w:t>
      </w:r>
      <w:r w:rsidRPr="006A1EC7">
        <w:rPr>
          <w:noProof/>
        </w:rPr>
        <w:t xml:space="preserve">, </w:t>
      </w:r>
      <w:r w:rsidRPr="006A1EC7">
        <w:rPr>
          <w:i/>
          <w:iCs/>
          <w:noProof/>
        </w:rPr>
        <w:t>51</w:t>
      </w:r>
      <w:r w:rsidRPr="006A1EC7">
        <w:rPr>
          <w:noProof/>
        </w:rPr>
        <w:t>(5), 373–380. https://doi.org/10.1111/j.1469-8749.2008.03233.x</w:t>
      </w:r>
    </w:p>
    <w:p w14:paraId="0DFE8404" w14:textId="77777777" w:rsidR="00AD67F5" w:rsidRPr="006A1EC7" w:rsidRDefault="00AD67F5" w:rsidP="00421249">
      <w:pPr>
        <w:widowControl w:val="0"/>
        <w:autoSpaceDE w:val="0"/>
        <w:autoSpaceDN w:val="0"/>
        <w:adjustRightInd w:val="0"/>
        <w:ind w:left="480" w:hanging="480"/>
        <w:rPr>
          <w:noProof/>
        </w:rPr>
      </w:pPr>
      <w:r w:rsidRPr="006A1EC7">
        <w:rPr>
          <w:noProof/>
        </w:rPr>
        <w:t>Baumbusch, J. (2018). Alone in a Crowd ? Parents of Children with Rare Diseases ’ Experiences of Navigating the Healthcare System.</w:t>
      </w:r>
    </w:p>
    <w:p w14:paraId="781B503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Beaton, D. E., Katz, J. N., Fossel, A. H., Wright, J. G., Tarasuk, V., &amp; Bombardier, C. (2001). Measuring the whole or the parts? Validity, Reliability and Responsiveness of the Disabilities of the Arm, Shoulder and Hand Outcome Measure in Different Regions of the Upper Extremity. </w:t>
      </w:r>
      <w:r w:rsidRPr="006A1EC7">
        <w:rPr>
          <w:i/>
          <w:iCs/>
          <w:noProof/>
        </w:rPr>
        <w:t>Journal of Hand Therapy</w:t>
      </w:r>
      <w:r w:rsidRPr="006A1EC7">
        <w:rPr>
          <w:noProof/>
        </w:rPr>
        <w:t xml:space="preserve">, </w:t>
      </w:r>
      <w:r w:rsidRPr="006A1EC7">
        <w:rPr>
          <w:i/>
          <w:iCs/>
          <w:noProof/>
        </w:rPr>
        <w:t>14</w:t>
      </w:r>
      <w:r w:rsidRPr="006A1EC7">
        <w:rPr>
          <w:noProof/>
        </w:rPr>
        <w:t>(2), 128–142. https://doi.org/10.1016/S0894-1130(01)80043-0</w:t>
      </w:r>
    </w:p>
    <w:p w14:paraId="4AE121C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Beck, A. T., Steer, R. A., &amp; Garbin, M. G. (1988). Psychometric properties of the Beck Depression Inventory: Twenty-five years of evaluation. </w:t>
      </w:r>
      <w:r w:rsidRPr="006A1EC7">
        <w:rPr>
          <w:i/>
          <w:iCs/>
          <w:noProof/>
        </w:rPr>
        <w:t>Clinical Psychology Review</w:t>
      </w:r>
      <w:r w:rsidRPr="006A1EC7">
        <w:rPr>
          <w:noProof/>
        </w:rPr>
        <w:t xml:space="preserve">, </w:t>
      </w:r>
      <w:r w:rsidRPr="006A1EC7">
        <w:rPr>
          <w:i/>
          <w:iCs/>
          <w:noProof/>
        </w:rPr>
        <w:t>8</w:t>
      </w:r>
      <w:r w:rsidRPr="006A1EC7">
        <w:rPr>
          <w:noProof/>
        </w:rPr>
        <w:t>(1), 77–10.</w:t>
      </w:r>
    </w:p>
    <w:p w14:paraId="39D89F9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Beck, C., &amp; Gable, R. (2001). Ensuring content validity: an illustration of the process. </w:t>
      </w:r>
      <w:r w:rsidRPr="006A1EC7">
        <w:rPr>
          <w:i/>
          <w:iCs/>
          <w:noProof/>
        </w:rPr>
        <w:t>Journal of Nursing Measurement</w:t>
      </w:r>
      <w:r w:rsidRPr="006A1EC7">
        <w:rPr>
          <w:noProof/>
        </w:rPr>
        <w:t>.</w:t>
      </w:r>
    </w:p>
    <w:p w14:paraId="466F195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Beckstead, J. W. (2009). Content validity is naught. </w:t>
      </w:r>
      <w:r w:rsidRPr="006A1EC7">
        <w:rPr>
          <w:i/>
          <w:iCs/>
          <w:noProof/>
        </w:rPr>
        <w:t>International Journal of Nursing Studies</w:t>
      </w:r>
      <w:r w:rsidRPr="006A1EC7">
        <w:rPr>
          <w:noProof/>
        </w:rPr>
        <w:t xml:space="preserve">, </w:t>
      </w:r>
      <w:r w:rsidRPr="006A1EC7">
        <w:rPr>
          <w:i/>
          <w:iCs/>
          <w:noProof/>
        </w:rPr>
        <w:t>46</w:t>
      </w:r>
      <w:r w:rsidRPr="006A1EC7">
        <w:rPr>
          <w:noProof/>
        </w:rPr>
        <w:t>(9), 1274–1283. https://doi.org/10.1016/j.ijnurstu.2009.04.014</w:t>
      </w:r>
    </w:p>
    <w:p w14:paraId="2F2C860F"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 xml:space="preserve">Bergemann, A. D. (2009). Distinctive EEG patterns in patients with Wolf-Hirschhorn syndrome. </w:t>
      </w:r>
      <w:r w:rsidRPr="006A1EC7">
        <w:rPr>
          <w:i/>
          <w:iCs/>
          <w:noProof/>
        </w:rPr>
        <w:t>Developmental Medicine and Child Neurology</w:t>
      </w:r>
      <w:r w:rsidRPr="006A1EC7">
        <w:rPr>
          <w:noProof/>
        </w:rPr>
        <w:t xml:space="preserve">, </w:t>
      </w:r>
      <w:r w:rsidRPr="006A1EC7">
        <w:rPr>
          <w:i/>
          <w:iCs/>
          <w:noProof/>
        </w:rPr>
        <w:t>51</w:t>
      </w:r>
      <w:r w:rsidRPr="006A1EC7">
        <w:rPr>
          <w:noProof/>
        </w:rPr>
        <w:t>(5), 337–338. https://doi.org/http://dx.doi.org/10.1111/j.1469-8749.2009.03282.x</w:t>
      </w:r>
    </w:p>
    <w:p w14:paraId="5A1FCAA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Bhatia, S., Jain, S., Singh, C. B., Bains, L., Kaushik, R., &amp; Gowda, N. S. (2018). Malrotation of the Gut in Adults: An Often Forgotten Entity. </w:t>
      </w:r>
      <w:r w:rsidRPr="006A1EC7">
        <w:rPr>
          <w:i/>
          <w:iCs/>
          <w:noProof/>
        </w:rPr>
        <w:t>Cureus</w:t>
      </w:r>
      <w:r w:rsidRPr="006A1EC7">
        <w:rPr>
          <w:noProof/>
        </w:rPr>
        <w:t xml:space="preserve">, </w:t>
      </w:r>
      <w:r w:rsidRPr="006A1EC7">
        <w:rPr>
          <w:i/>
          <w:iCs/>
          <w:noProof/>
        </w:rPr>
        <w:t>10</w:t>
      </w:r>
      <w:r w:rsidRPr="006A1EC7">
        <w:rPr>
          <w:noProof/>
        </w:rPr>
        <w:t>(3). https://doi.org/10.7759/cureus.2313</w:t>
      </w:r>
    </w:p>
    <w:p w14:paraId="10AE8DB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Bi, J., &amp; Kuesten, C. (2012). Intraclass Correlation Coefficient (ICC): A Framework for Monitoring and Assessing Performance of Trained Sensory Panels and Panelists. </w:t>
      </w:r>
      <w:r w:rsidRPr="006A1EC7">
        <w:rPr>
          <w:i/>
          <w:iCs/>
          <w:noProof/>
        </w:rPr>
        <w:t>Journal of Sensory Studies</w:t>
      </w:r>
      <w:r w:rsidRPr="006A1EC7">
        <w:rPr>
          <w:noProof/>
        </w:rPr>
        <w:t xml:space="preserve">, </w:t>
      </w:r>
      <w:r w:rsidRPr="006A1EC7">
        <w:rPr>
          <w:i/>
          <w:iCs/>
          <w:noProof/>
        </w:rPr>
        <w:t>27</w:t>
      </w:r>
      <w:r w:rsidRPr="006A1EC7">
        <w:rPr>
          <w:noProof/>
        </w:rPr>
        <w:t>(5), 352–364. https://doi.org/10.1111/j.1745-459X.2012.00399.x</w:t>
      </w:r>
    </w:p>
    <w:p w14:paraId="1380450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Biswas, P., Choudhury, R., Gayen, S., Guha, D., Roy, S., &amp; Dasgupta, M. K. (2014). Greek warrior helmet facies (Wolf-hirschhorn syndrome). </w:t>
      </w:r>
      <w:r w:rsidRPr="006A1EC7">
        <w:rPr>
          <w:i/>
          <w:iCs/>
          <w:noProof/>
        </w:rPr>
        <w:t>Journal of Nepal Paediatric Society</w:t>
      </w:r>
      <w:r w:rsidRPr="006A1EC7">
        <w:rPr>
          <w:noProof/>
        </w:rPr>
        <w:t xml:space="preserve">, </w:t>
      </w:r>
      <w:r w:rsidRPr="006A1EC7">
        <w:rPr>
          <w:i/>
          <w:iCs/>
          <w:noProof/>
        </w:rPr>
        <w:t>34</w:t>
      </w:r>
      <w:r w:rsidRPr="006A1EC7">
        <w:rPr>
          <w:noProof/>
        </w:rPr>
        <w:t>(3), 239–243. https://doi.org/10.3126/jnps.v34i3.10289</w:t>
      </w:r>
    </w:p>
    <w:p w14:paraId="3AE6092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Blake, D. D. (2001). “ We Wanted to Include Him ”: Personhood in One Hispanic Family ’ s Experience of the Genetic Illness and Loss of Their Son. </w:t>
      </w:r>
      <w:r w:rsidRPr="006A1EC7">
        <w:rPr>
          <w:i/>
          <w:iCs/>
          <w:noProof/>
        </w:rPr>
        <w:t>Illness, Crisis, &amp; Loss</w:t>
      </w:r>
      <w:r w:rsidRPr="006A1EC7">
        <w:rPr>
          <w:noProof/>
        </w:rPr>
        <w:t xml:space="preserve">, </w:t>
      </w:r>
      <w:r w:rsidRPr="006A1EC7">
        <w:rPr>
          <w:i/>
          <w:iCs/>
          <w:noProof/>
        </w:rPr>
        <w:t>9</w:t>
      </w:r>
      <w:r w:rsidRPr="006A1EC7">
        <w:rPr>
          <w:noProof/>
        </w:rPr>
        <w:t>(4), 323–335.</w:t>
      </w:r>
    </w:p>
    <w:p w14:paraId="25FAA3B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Bluebond-Langner, M., Hargrave, D., Henderson, E. M., &amp; Langner, R. (2017). I have to live with the decisions i make: Laying a foundation for decision making for children with life-limiting conditions and life-threatening illnesses. </w:t>
      </w:r>
      <w:r w:rsidRPr="006A1EC7">
        <w:rPr>
          <w:i/>
          <w:iCs/>
          <w:noProof/>
        </w:rPr>
        <w:t>Archives of Disease in Childhood</w:t>
      </w:r>
      <w:r w:rsidRPr="006A1EC7">
        <w:rPr>
          <w:noProof/>
        </w:rPr>
        <w:t xml:space="preserve">, </w:t>
      </w:r>
      <w:r w:rsidRPr="006A1EC7">
        <w:rPr>
          <w:i/>
          <w:iCs/>
          <w:noProof/>
        </w:rPr>
        <w:t>102</w:t>
      </w:r>
      <w:r w:rsidRPr="006A1EC7">
        <w:rPr>
          <w:noProof/>
        </w:rPr>
        <w:t>(5), 468–471. https://doi.org/10.1136/archdischild-2015-310345</w:t>
      </w:r>
    </w:p>
    <w:p w14:paraId="1B678F4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Boardman, F. K. (2014). The expressivist objection to prenatal testing: The experiences of families living with genetic disease. </w:t>
      </w:r>
      <w:r w:rsidRPr="006A1EC7">
        <w:rPr>
          <w:i/>
          <w:iCs/>
          <w:noProof/>
        </w:rPr>
        <w:t>Social Science and Medicine</w:t>
      </w:r>
      <w:r w:rsidRPr="006A1EC7">
        <w:rPr>
          <w:noProof/>
        </w:rPr>
        <w:t xml:space="preserve">, </w:t>
      </w:r>
      <w:r w:rsidRPr="006A1EC7">
        <w:rPr>
          <w:i/>
          <w:iCs/>
          <w:noProof/>
        </w:rPr>
        <w:t>107</w:t>
      </w:r>
      <w:r w:rsidRPr="006A1EC7">
        <w:rPr>
          <w:noProof/>
        </w:rPr>
        <w:t>, 18–25. https://doi.org/10.1016/j.socscimed.2014.02.025</w:t>
      </w:r>
    </w:p>
    <w:p w14:paraId="6EF1656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Boateng, G. O., Neilands, T. B., Frongillo, E. A., Melgar-Quiñonez, H. R., &amp; Young, S. L. (2018). Best Practices for Developing and Validating Scales for Health, Social, and Behavioral Research: A Primer. </w:t>
      </w:r>
      <w:r w:rsidRPr="006A1EC7">
        <w:rPr>
          <w:i/>
          <w:iCs/>
          <w:noProof/>
        </w:rPr>
        <w:t>Frontiers in Public Health</w:t>
      </w:r>
      <w:r w:rsidRPr="006A1EC7">
        <w:rPr>
          <w:noProof/>
        </w:rPr>
        <w:t xml:space="preserve">, </w:t>
      </w:r>
      <w:r w:rsidRPr="006A1EC7">
        <w:rPr>
          <w:i/>
          <w:iCs/>
          <w:noProof/>
        </w:rPr>
        <w:t>6</w:t>
      </w:r>
      <w:r w:rsidRPr="006A1EC7">
        <w:rPr>
          <w:noProof/>
        </w:rPr>
        <w:t>(June), 1–18. https://doi.org/10.3389/fpubh.2018.00149</w:t>
      </w:r>
    </w:p>
    <w:p w14:paraId="3DCCC20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Bobak, C. A., Barr, P. J., &amp; O’Malley, A. J. (2018). Estimation of an inter-rater intra-class correlation coefficient that overcomes common assumption violations in the assessment of health measurement scales. </w:t>
      </w:r>
      <w:r w:rsidRPr="006A1EC7">
        <w:rPr>
          <w:i/>
          <w:iCs/>
          <w:noProof/>
        </w:rPr>
        <w:t>BMC Medical Research Methodology</w:t>
      </w:r>
      <w:r w:rsidRPr="006A1EC7">
        <w:rPr>
          <w:noProof/>
        </w:rPr>
        <w:t xml:space="preserve">, </w:t>
      </w:r>
      <w:r w:rsidRPr="006A1EC7">
        <w:rPr>
          <w:i/>
          <w:iCs/>
          <w:noProof/>
        </w:rPr>
        <w:t>18</w:t>
      </w:r>
      <w:r w:rsidRPr="006A1EC7">
        <w:rPr>
          <w:noProof/>
        </w:rPr>
        <w:t>(1), 1–11. https://doi.org/10.1186/s12874-018-0550-6</w:t>
      </w:r>
    </w:p>
    <w:p w14:paraId="733BEEF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Bohannon, R. W. (2017). Normative reference values for the two-minute walk test derived by meta-analysis. </w:t>
      </w:r>
      <w:r w:rsidRPr="006A1EC7">
        <w:rPr>
          <w:i/>
          <w:iCs/>
          <w:noProof/>
        </w:rPr>
        <w:t>Journal of Physical Therapy Science</w:t>
      </w:r>
      <w:r w:rsidRPr="006A1EC7">
        <w:rPr>
          <w:noProof/>
        </w:rPr>
        <w:t xml:space="preserve">, </w:t>
      </w:r>
      <w:r w:rsidRPr="006A1EC7">
        <w:rPr>
          <w:i/>
          <w:iCs/>
          <w:noProof/>
        </w:rPr>
        <w:t>29</w:t>
      </w:r>
      <w:r w:rsidRPr="006A1EC7">
        <w:rPr>
          <w:noProof/>
        </w:rPr>
        <w:t>(12), 2224–2227. https://doi.org/10.1589/jpts.29.2224</w:t>
      </w:r>
    </w:p>
    <w:p w14:paraId="5D4A651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Boomsma, A. (1985). Nonconvergence, improper solutions, and starting values in lisrel maximum likelihood estimation. </w:t>
      </w:r>
      <w:r w:rsidRPr="006A1EC7">
        <w:rPr>
          <w:i/>
          <w:iCs/>
          <w:noProof/>
        </w:rPr>
        <w:t>Psychometrika</w:t>
      </w:r>
      <w:r w:rsidRPr="006A1EC7">
        <w:rPr>
          <w:noProof/>
        </w:rPr>
        <w:t>. https://doi.org/10.1007/BF02294248</w:t>
      </w:r>
    </w:p>
    <w:p w14:paraId="0A14555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Bornstein, R. (2011). Face Validity. In M. Lewis-Beck, A. Bryman, &amp; T. Liao (Eds.), </w:t>
      </w:r>
      <w:r w:rsidRPr="006A1EC7">
        <w:rPr>
          <w:i/>
          <w:iCs/>
          <w:noProof/>
        </w:rPr>
        <w:t>The SAGE Encyclopedia of Social Sciences Reserach Methods</w:t>
      </w:r>
      <w:r w:rsidRPr="006A1EC7">
        <w:rPr>
          <w:noProof/>
        </w:rPr>
        <w:t>. Thousand Oaks, California: Sage Publications.</w:t>
      </w:r>
    </w:p>
    <w:p w14:paraId="491B5A8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Borsboom, D. (2005). </w:t>
      </w:r>
      <w:r w:rsidRPr="006A1EC7">
        <w:rPr>
          <w:i/>
          <w:iCs/>
          <w:noProof/>
        </w:rPr>
        <w:t>Measuring the mind: Conceptyal Issues in Contemporary Psychometrics</w:t>
      </w:r>
      <w:r w:rsidRPr="006A1EC7">
        <w:rPr>
          <w:noProof/>
        </w:rPr>
        <w:t>. Cambridge: Cambridge University Press.</w:t>
      </w:r>
    </w:p>
    <w:p w14:paraId="396CB80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Bourke, E., Snow, P., Herlihy, A., Amor, D., &amp; Metcalfe, S. (2014). A qualitative exploration of mothers’ and fathers’ experiences of having a child with Klinefelter syndrome and the process of reaching this diagnosis. </w:t>
      </w:r>
      <w:r w:rsidRPr="006A1EC7">
        <w:rPr>
          <w:i/>
          <w:iCs/>
          <w:noProof/>
        </w:rPr>
        <w:t>European Journal of Human Genetics : EJHG</w:t>
      </w:r>
      <w:r w:rsidRPr="006A1EC7">
        <w:rPr>
          <w:noProof/>
        </w:rPr>
        <w:t xml:space="preserve">, </w:t>
      </w:r>
      <w:r w:rsidRPr="006A1EC7">
        <w:rPr>
          <w:i/>
          <w:iCs/>
          <w:noProof/>
        </w:rPr>
        <w:t>22</w:t>
      </w:r>
      <w:r w:rsidRPr="006A1EC7">
        <w:rPr>
          <w:noProof/>
        </w:rPr>
        <w:t>(1), 18–24. https://doi.org/10.1038/ejhg.2013.102</w:t>
      </w:r>
    </w:p>
    <w:p w14:paraId="1ADD776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Braun, V., &amp; Clarke, V. (2006). Using thematic analysis in psychology. </w:t>
      </w:r>
      <w:r w:rsidRPr="006A1EC7">
        <w:rPr>
          <w:i/>
          <w:iCs/>
          <w:noProof/>
        </w:rPr>
        <w:t>Qualitative Research in Psychology</w:t>
      </w:r>
      <w:r w:rsidRPr="006A1EC7">
        <w:rPr>
          <w:noProof/>
        </w:rPr>
        <w:t xml:space="preserve">, </w:t>
      </w:r>
      <w:r w:rsidRPr="006A1EC7">
        <w:rPr>
          <w:i/>
          <w:iCs/>
          <w:noProof/>
        </w:rPr>
        <w:t>3</w:t>
      </w:r>
      <w:r w:rsidRPr="006A1EC7">
        <w:rPr>
          <w:noProof/>
        </w:rPr>
        <w:t>(2), 77–101.</w:t>
      </w:r>
    </w:p>
    <w:p w14:paraId="3D39A7F8"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 xml:space="preserve">Braun, V., &amp; Clarke, V. (2012). Thematic analysis. In H. Cooper, P. Camic, D. Long, A. Panter, D. Rindskopf, &amp; K. Sher (Eds.), </w:t>
      </w:r>
      <w:r w:rsidRPr="006A1EC7">
        <w:rPr>
          <w:i/>
          <w:iCs/>
          <w:noProof/>
        </w:rPr>
        <w:t>APA handbook of research methods in psychology. Research designs: Quantitative, qualitative, neuropsychological, and biological</w:t>
      </w:r>
      <w:r w:rsidRPr="006A1EC7">
        <w:rPr>
          <w:noProof/>
        </w:rPr>
        <w:t xml:space="preserve"> (2nd ed., pp. 57–71). Washington: American Psychological Association.</w:t>
      </w:r>
    </w:p>
    <w:p w14:paraId="67EDA5D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Brouwers, L. A. M., Engels, J. A., Heerkens, Y. F., &amp; Van Der Beek, A. J. (2015). Development of a Vitality Scan related to workers’ sustainable employability: A study assessing its internal consistency and construct validity. </w:t>
      </w:r>
      <w:r w:rsidRPr="006A1EC7">
        <w:rPr>
          <w:i/>
          <w:iCs/>
          <w:noProof/>
        </w:rPr>
        <w:t>BMC Public Health</w:t>
      </w:r>
      <w:r w:rsidRPr="006A1EC7">
        <w:rPr>
          <w:noProof/>
        </w:rPr>
        <w:t xml:space="preserve">, </w:t>
      </w:r>
      <w:r w:rsidRPr="006A1EC7">
        <w:rPr>
          <w:i/>
          <w:iCs/>
          <w:noProof/>
        </w:rPr>
        <w:t>15</w:t>
      </w:r>
      <w:r w:rsidRPr="006A1EC7">
        <w:rPr>
          <w:noProof/>
        </w:rPr>
        <w:t>(1), 1–8. https://doi.org/10.1186/s12889-015-1894-z</w:t>
      </w:r>
    </w:p>
    <w:p w14:paraId="23010826" w14:textId="77777777" w:rsidR="00AD67F5" w:rsidRPr="006A1EC7" w:rsidRDefault="00AD67F5" w:rsidP="00421249">
      <w:pPr>
        <w:widowControl w:val="0"/>
        <w:autoSpaceDE w:val="0"/>
        <w:autoSpaceDN w:val="0"/>
        <w:adjustRightInd w:val="0"/>
        <w:ind w:left="480" w:hanging="480"/>
        <w:rPr>
          <w:noProof/>
        </w:rPr>
      </w:pPr>
      <w:r w:rsidRPr="006A1EC7">
        <w:rPr>
          <w:noProof/>
        </w:rPr>
        <w:t>Buckeridge, K., Clarke, C., &amp; Sellers, D. (2019). Adolescents ’ experiences of communication following acquired brain injury, 1–13. https://doi.org/10.1111/1460-6984.12506</w:t>
      </w:r>
    </w:p>
    <w:p w14:paraId="79A24CC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Buesser, K. E., Leventhal, J. M., Gaither, J. R., Tate, V., Cooperman, D. R., Moles, R. L., … Sharkey, M. S. (2017). Inter-rater reliability of physical abuse determinations in young children with fractures. </w:t>
      </w:r>
      <w:r w:rsidRPr="006A1EC7">
        <w:rPr>
          <w:i/>
          <w:iCs/>
          <w:noProof/>
        </w:rPr>
        <w:t>Child Abuse and Neglect</w:t>
      </w:r>
      <w:r w:rsidRPr="006A1EC7">
        <w:rPr>
          <w:noProof/>
        </w:rPr>
        <w:t xml:space="preserve">, </w:t>
      </w:r>
      <w:r w:rsidRPr="006A1EC7">
        <w:rPr>
          <w:i/>
          <w:iCs/>
          <w:noProof/>
        </w:rPr>
        <w:t>72</w:t>
      </w:r>
      <w:r w:rsidRPr="006A1EC7">
        <w:rPr>
          <w:noProof/>
        </w:rPr>
        <w:t>(December 2016), 140–146. https://doi.org/10.1016/j.chiabu.2017.08.001</w:t>
      </w:r>
    </w:p>
    <w:p w14:paraId="626775B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Bujang, M. A., &amp; Baharum, N. (2017). A simplified guide to determination of sample size requirements for estimating the value of intraclass correlation coefficient: A review. </w:t>
      </w:r>
      <w:r w:rsidRPr="006A1EC7">
        <w:rPr>
          <w:i/>
          <w:iCs/>
          <w:noProof/>
        </w:rPr>
        <w:t>Archives of Orofacial Sciences</w:t>
      </w:r>
      <w:r w:rsidRPr="006A1EC7">
        <w:rPr>
          <w:noProof/>
        </w:rPr>
        <w:t xml:space="preserve">, </w:t>
      </w:r>
      <w:r w:rsidRPr="006A1EC7">
        <w:rPr>
          <w:i/>
          <w:iCs/>
          <w:noProof/>
        </w:rPr>
        <w:t>12</w:t>
      </w:r>
      <w:r w:rsidRPr="006A1EC7">
        <w:rPr>
          <w:noProof/>
        </w:rPr>
        <w:t>(1), 1–11.</w:t>
      </w:r>
    </w:p>
    <w:p w14:paraId="361C7D3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Bunge, E. M., Essink-Bot, M. L., Kobussen, M. P. H. M., Van Suijlekom-Smit, L. W. A., Moll, H. A., &amp; Raat, H. (2005). Reliability and validity of health status measurement by the TAPQOL. </w:t>
      </w:r>
      <w:r w:rsidRPr="006A1EC7">
        <w:rPr>
          <w:i/>
          <w:iCs/>
          <w:noProof/>
        </w:rPr>
        <w:t>Archives of Disease in Childhood</w:t>
      </w:r>
      <w:r w:rsidRPr="006A1EC7">
        <w:rPr>
          <w:noProof/>
        </w:rPr>
        <w:t xml:space="preserve">, </w:t>
      </w:r>
      <w:r w:rsidRPr="006A1EC7">
        <w:rPr>
          <w:i/>
          <w:iCs/>
          <w:noProof/>
        </w:rPr>
        <w:t>90</w:t>
      </w:r>
      <w:r w:rsidRPr="006A1EC7">
        <w:rPr>
          <w:noProof/>
        </w:rPr>
        <w:t>(4), 351–358. https://doi.org/10.1136/adc.2003.048645</w:t>
      </w:r>
    </w:p>
    <w:p w14:paraId="7DFDAC7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Burgess, P. M., Harris, M. G., Coombs, T., &amp; Pirkis, J. E. (2017). A systematic review of clinician-rated instruments to assess adults’ levels of functioning in specialised public sector mental health services. </w:t>
      </w:r>
      <w:r w:rsidRPr="006A1EC7">
        <w:rPr>
          <w:i/>
          <w:iCs/>
          <w:noProof/>
        </w:rPr>
        <w:t>Australian and New Zealand Journal of Psychiatry</w:t>
      </w:r>
      <w:r w:rsidRPr="006A1EC7">
        <w:rPr>
          <w:noProof/>
        </w:rPr>
        <w:t xml:space="preserve">, </w:t>
      </w:r>
      <w:r w:rsidRPr="006A1EC7">
        <w:rPr>
          <w:i/>
          <w:iCs/>
          <w:noProof/>
        </w:rPr>
        <w:t>51</w:t>
      </w:r>
      <w:r w:rsidRPr="006A1EC7">
        <w:rPr>
          <w:noProof/>
        </w:rPr>
        <w:t>(4), 338–354. https://doi.org/10.1177/0004867416688098</w:t>
      </w:r>
    </w:p>
    <w:p w14:paraId="07CDE4C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Cammarata-Scalisi, F., Callea, M., Araque, D., Lacruz-Rengel, M. A., Da Silva, G., Ramirez, R. J., … Lopez, F. (2015). Clinical and cytogenetic features in Wolf-Hirschhorn syndrome. Case series. </w:t>
      </w:r>
      <w:r w:rsidRPr="006A1EC7">
        <w:rPr>
          <w:i/>
          <w:iCs/>
          <w:noProof/>
        </w:rPr>
        <w:t>Avances En Biomedicina</w:t>
      </w:r>
      <w:r w:rsidRPr="006A1EC7">
        <w:rPr>
          <w:noProof/>
        </w:rPr>
        <w:t xml:space="preserve">, </w:t>
      </w:r>
      <w:r w:rsidRPr="006A1EC7">
        <w:rPr>
          <w:i/>
          <w:iCs/>
          <w:noProof/>
        </w:rPr>
        <w:t>4</w:t>
      </w:r>
      <w:r w:rsidRPr="006A1EC7">
        <w:rPr>
          <w:noProof/>
        </w:rPr>
        <w:t>(2), 48–55.</w:t>
      </w:r>
    </w:p>
    <w:p w14:paraId="00CEDC9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Campos-Sanchez, E., Deleyto-Seldas, N., Dominguez, V., Carrillo-de-Santa-Pau, E., Ura, K., Rocha, P. P., … Cobaleda, C. (2017). Wolf-Hirschhorn Syndrome Candidate 1 Is Necessary for Correct Hematopoietic and B Cell Development. </w:t>
      </w:r>
      <w:r w:rsidRPr="006A1EC7">
        <w:rPr>
          <w:i/>
          <w:iCs/>
          <w:noProof/>
        </w:rPr>
        <w:t>Cell Reports</w:t>
      </w:r>
      <w:r w:rsidRPr="006A1EC7">
        <w:rPr>
          <w:noProof/>
        </w:rPr>
        <w:t xml:space="preserve">, </w:t>
      </w:r>
      <w:r w:rsidRPr="006A1EC7">
        <w:rPr>
          <w:i/>
          <w:iCs/>
          <w:noProof/>
        </w:rPr>
        <w:t>19</w:t>
      </w:r>
      <w:r w:rsidRPr="006A1EC7">
        <w:rPr>
          <w:noProof/>
        </w:rPr>
        <w:t>(8), 1586–1601. https://doi.org/10.1016/j.celrep.2017.04.069</w:t>
      </w:r>
    </w:p>
    <w:p w14:paraId="1AF18A7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Caples, M., Martin, A. M., Dalton, C., Marsh, L., Savage, E., Knafl, G., &amp; Van Riper, M. (2018). Adaptation and resilience in families of individuals with down syndrome living in Ireland. </w:t>
      </w:r>
      <w:r w:rsidRPr="006A1EC7">
        <w:rPr>
          <w:i/>
          <w:iCs/>
          <w:noProof/>
        </w:rPr>
        <w:t>British Journal of Learning Disabilities</w:t>
      </w:r>
      <w:r w:rsidRPr="006A1EC7">
        <w:rPr>
          <w:noProof/>
        </w:rPr>
        <w:t xml:space="preserve">, </w:t>
      </w:r>
      <w:r w:rsidRPr="006A1EC7">
        <w:rPr>
          <w:i/>
          <w:iCs/>
          <w:noProof/>
        </w:rPr>
        <w:t>46</w:t>
      </w:r>
      <w:r w:rsidRPr="006A1EC7">
        <w:rPr>
          <w:noProof/>
        </w:rPr>
        <w:t>(3), 146–154. https://doi.org/10.1111/bld.12231</w:t>
      </w:r>
    </w:p>
    <w:p w14:paraId="3F58AEA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Carlozzi, N. E., Schilling, S. G., Lai, J.-S., Paulsen, J. S., Hahn, E. A., Perlmutter, J. S., … Cella, D. (2016). HDQLIFE: development and assessment of health-related quality of life in Huntington disease (HD). </w:t>
      </w:r>
      <w:r w:rsidRPr="006A1EC7">
        <w:rPr>
          <w:i/>
          <w:iCs/>
          <w:noProof/>
        </w:rPr>
        <w:t>Quality of Life Research : An International Journal of Quality of Life Aspects of Treatment, Care and Rehabilitation</w:t>
      </w:r>
      <w:r w:rsidRPr="006A1EC7">
        <w:rPr>
          <w:noProof/>
        </w:rPr>
        <w:t xml:space="preserve">, </w:t>
      </w:r>
      <w:r w:rsidRPr="006A1EC7">
        <w:rPr>
          <w:i/>
          <w:iCs/>
          <w:noProof/>
        </w:rPr>
        <w:t>25</w:t>
      </w:r>
      <w:r w:rsidRPr="006A1EC7">
        <w:rPr>
          <w:noProof/>
        </w:rPr>
        <w:t>(10), 2441–2455. https://doi.org/10.1007/s11136-016-1386-3</w:t>
      </w:r>
    </w:p>
    <w:p w14:paraId="4830F1F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Carpenter, S. (2018). Ten Steps in Scale Development and Reporting: A Guide for Researchers. </w:t>
      </w:r>
      <w:r w:rsidRPr="006A1EC7">
        <w:rPr>
          <w:i/>
          <w:iCs/>
          <w:noProof/>
        </w:rPr>
        <w:t>Communication Methods and Measures</w:t>
      </w:r>
      <w:r w:rsidRPr="006A1EC7">
        <w:rPr>
          <w:noProof/>
        </w:rPr>
        <w:t xml:space="preserve">, </w:t>
      </w:r>
      <w:r w:rsidRPr="006A1EC7">
        <w:rPr>
          <w:i/>
          <w:iCs/>
          <w:noProof/>
        </w:rPr>
        <w:t>12</w:t>
      </w:r>
      <w:r w:rsidRPr="006A1EC7">
        <w:rPr>
          <w:noProof/>
        </w:rPr>
        <w:t>(1), 25–44. https://doi.org/10.1080/19312458.2017.1396583</w:t>
      </w:r>
    </w:p>
    <w:p w14:paraId="18BFF9E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Carter, R. D., Raia, M., Ewing-Cobbs, L., Gambello, M., Hashmi, S. S., Peterson, S. K., … Potocki, L. (2013). Stress and well-being among parents of children with potocki-lupski syndrome. </w:t>
      </w:r>
      <w:r w:rsidRPr="006A1EC7">
        <w:rPr>
          <w:i/>
          <w:iCs/>
          <w:noProof/>
        </w:rPr>
        <w:t>Journal of Genetic Counseling</w:t>
      </w:r>
      <w:r w:rsidRPr="006A1EC7">
        <w:rPr>
          <w:noProof/>
        </w:rPr>
        <w:t xml:space="preserve">, </w:t>
      </w:r>
      <w:r w:rsidRPr="006A1EC7">
        <w:rPr>
          <w:i/>
          <w:iCs/>
          <w:noProof/>
        </w:rPr>
        <w:t>22</w:t>
      </w:r>
      <w:r w:rsidRPr="006A1EC7">
        <w:rPr>
          <w:noProof/>
        </w:rPr>
        <w:t>(5), 633–642. https://doi.org/10.1007/s10897-013-9602-6</w:t>
      </w:r>
    </w:p>
    <w:p w14:paraId="17E31D50"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 xml:space="preserve">Centerwall, W., Thompson, W., Irving, A., &amp; Fobes, C. (1975). Translocation 4p- Syndrome: A general review. </w:t>
      </w:r>
      <w:r w:rsidRPr="006A1EC7">
        <w:rPr>
          <w:i/>
          <w:iCs/>
          <w:noProof/>
        </w:rPr>
        <w:t>American Journal of Disease of Children</w:t>
      </w:r>
      <w:r w:rsidRPr="006A1EC7">
        <w:rPr>
          <w:noProof/>
        </w:rPr>
        <w:t xml:space="preserve">, </w:t>
      </w:r>
      <w:r w:rsidRPr="006A1EC7">
        <w:rPr>
          <w:i/>
          <w:iCs/>
          <w:noProof/>
        </w:rPr>
        <w:t>129</w:t>
      </w:r>
      <w:r w:rsidRPr="006A1EC7">
        <w:rPr>
          <w:noProof/>
        </w:rPr>
        <w:t>.</w:t>
      </w:r>
    </w:p>
    <w:p w14:paraId="7EE84C5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Chiarotto, A., Ostelo, R. W., Boers, M., &amp; Terwee, C. B. (2018). A systematic review highlights the need to investigate the content validity of patient-reported outcome measures for physical functioning in patients with low back pain. </w:t>
      </w:r>
      <w:r w:rsidRPr="006A1EC7">
        <w:rPr>
          <w:i/>
          <w:iCs/>
          <w:noProof/>
        </w:rPr>
        <w:t>Journal of Clinical Epidemiology</w:t>
      </w:r>
      <w:r w:rsidRPr="006A1EC7">
        <w:rPr>
          <w:noProof/>
        </w:rPr>
        <w:t xml:space="preserve">, </w:t>
      </w:r>
      <w:r w:rsidRPr="006A1EC7">
        <w:rPr>
          <w:i/>
          <w:iCs/>
          <w:noProof/>
        </w:rPr>
        <w:t>95</w:t>
      </w:r>
      <w:r w:rsidRPr="006A1EC7">
        <w:rPr>
          <w:noProof/>
        </w:rPr>
        <w:t>, 73–93. https://doi.org/10.1016/j.jclinepi.2017.11.005</w:t>
      </w:r>
    </w:p>
    <w:p w14:paraId="30C5B458" w14:textId="77777777" w:rsidR="00AD67F5" w:rsidRPr="006A1EC7" w:rsidRDefault="00AD67F5" w:rsidP="00421249">
      <w:pPr>
        <w:widowControl w:val="0"/>
        <w:autoSpaceDE w:val="0"/>
        <w:autoSpaceDN w:val="0"/>
        <w:adjustRightInd w:val="0"/>
        <w:ind w:left="480" w:hanging="480"/>
        <w:rPr>
          <w:noProof/>
        </w:rPr>
      </w:pPr>
      <w:r w:rsidRPr="006A1EC7">
        <w:rPr>
          <w:noProof/>
        </w:rPr>
        <w:t>Child Psychologist Australia. (n.d.). Griffiths Mental Development Scale. Retrieved April 22, 2019, from https://childpsychologist.com.au/service/assessments/developmental-assessments/the-griffith-mental-development-scales/</w:t>
      </w:r>
    </w:p>
    <w:p w14:paraId="2BA46ED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Ching, S., Thoma, A., McCabe, R. E., &amp; Antony, M. M. (2003). Measuring outcomes in aesthetic surgery: A comprehensive review of the literature. </w:t>
      </w:r>
      <w:r w:rsidRPr="006A1EC7">
        <w:rPr>
          <w:i/>
          <w:iCs/>
          <w:noProof/>
        </w:rPr>
        <w:t>Plastic and Reconstructive Surgery</w:t>
      </w:r>
      <w:r w:rsidRPr="006A1EC7">
        <w:rPr>
          <w:noProof/>
        </w:rPr>
        <w:t xml:space="preserve">, </w:t>
      </w:r>
      <w:r w:rsidRPr="006A1EC7">
        <w:rPr>
          <w:i/>
          <w:iCs/>
          <w:noProof/>
        </w:rPr>
        <w:t>111</w:t>
      </w:r>
      <w:r w:rsidRPr="006A1EC7">
        <w:rPr>
          <w:noProof/>
        </w:rPr>
        <w:t>(1), 469–480. https://doi.org/10.1097/00006534-200301000-00085</w:t>
      </w:r>
    </w:p>
    <w:p w14:paraId="5E3DAE0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Chlebowski, C., Green, J. A., Barton, M. L., &amp; Fein, D. (2013). Using the CARS to diagnose Autism Spectrum disorders, </w:t>
      </w:r>
      <w:r w:rsidRPr="006A1EC7">
        <w:rPr>
          <w:i/>
          <w:iCs/>
          <w:noProof/>
        </w:rPr>
        <w:t>40</w:t>
      </w:r>
      <w:r w:rsidRPr="006A1EC7">
        <w:rPr>
          <w:noProof/>
        </w:rPr>
        <w:t>(7), 787–799. https://doi.org/10.1007/s10803-009-0926-x.Using</w:t>
      </w:r>
    </w:p>
    <w:p w14:paraId="7F4B61D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Chong, L. S. H., Fitzgerald, D. A., Craig, J. C., Manera, K. E., Hanson, C. S., Celermajer, D., … Tong, A. (2018). Children’s experiences of congenital heart disease: a systematic review of qualitative studies. </w:t>
      </w:r>
      <w:r w:rsidRPr="006A1EC7">
        <w:rPr>
          <w:i/>
          <w:iCs/>
          <w:noProof/>
        </w:rPr>
        <w:t>European Journal of Pediatrics</w:t>
      </w:r>
      <w:r w:rsidRPr="006A1EC7">
        <w:rPr>
          <w:noProof/>
        </w:rPr>
        <w:t xml:space="preserve">, </w:t>
      </w:r>
      <w:r w:rsidRPr="006A1EC7">
        <w:rPr>
          <w:i/>
          <w:iCs/>
          <w:noProof/>
        </w:rPr>
        <w:t>177</w:t>
      </w:r>
      <w:r w:rsidRPr="006A1EC7">
        <w:rPr>
          <w:noProof/>
        </w:rPr>
        <w:t>(3), 319–336. https://doi.org/10.1007/s00431-017-3081-y</w:t>
      </w:r>
    </w:p>
    <w:p w14:paraId="09F67B7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Cipriani, A., &amp; Geddes, J. (2003). Comparison of systematic and narrative reviews: The example of the atypical antipsychotics. </w:t>
      </w:r>
      <w:r w:rsidRPr="006A1EC7">
        <w:rPr>
          <w:i/>
          <w:iCs/>
          <w:noProof/>
        </w:rPr>
        <w:t>Epidemiologia e Psichiatria Sociale</w:t>
      </w:r>
      <w:r w:rsidRPr="006A1EC7">
        <w:rPr>
          <w:noProof/>
        </w:rPr>
        <w:t xml:space="preserve">, </w:t>
      </w:r>
      <w:r w:rsidRPr="006A1EC7">
        <w:rPr>
          <w:i/>
          <w:iCs/>
          <w:noProof/>
        </w:rPr>
        <w:t>12</w:t>
      </w:r>
      <w:r w:rsidRPr="006A1EC7">
        <w:rPr>
          <w:noProof/>
        </w:rPr>
        <w:t>(3), 146–153. https://doi.org/10.1017/S1121189X00002918</w:t>
      </w:r>
    </w:p>
    <w:p w14:paraId="4FEC050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Clark, L. A., &amp; Watson, D. (1995). Constructing validity: Basic issues in objective scale development. </w:t>
      </w:r>
      <w:r w:rsidRPr="006A1EC7">
        <w:rPr>
          <w:i/>
          <w:iCs/>
          <w:noProof/>
        </w:rPr>
        <w:t>Psychological Assessment</w:t>
      </w:r>
      <w:r w:rsidRPr="006A1EC7">
        <w:rPr>
          <w:noProof/>
        </w:rPr>
        <w:t xml:space="preserve">, </w:t>
      </w:r>
      <w:r w:rsidRPr="006A1EC7">
        <w:rPr>
          <w:i/>
          <w:iCs/>
          <w:noProof/>
        </w:rPr>
        <w:t>7</w:t>
      </w:r>
      <w:r w:rsidRPr="006A1EC7">
        <w:rPr>
          <w:noProof/>
        </w:rPr>
        <w:t>(3), 309–319. https://doi.org/10.1037/1040-3590.7.3.309</w:t>
      </w:r>
    </w:p>
    <w:p w14:paraId="2C890A1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Clemens, N., Ragan, K., &amp; Pickett, C. (2018). Predictive validity. In B. Frey (Ed.), </w:t>
      </w:r>
      <w:r w:rsidRPr="006A1EC7">
        <w:rPr>
          <w:i/>
          <w:iCs/>
          <w:noProof/>
        </w:rPr>
        <w:t>The SAGE Encyclopedia of Educational Research, Measurement, and Evaluation</w:t>
      </w:r>
      <w:r w:rsidRPr="006A1EC7">
        <w:rPr>
          <w:noProof/>
        </w:rPr>
        <w:t xml:space="preserve"> (p. 1289). Thousand Oaks, California: Sage Publication. https://doi.org/10.4135/9781506326139</w:t>
      </w:r>
    </w:p>
    <w:p w14:paraId="2054476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Cobb, A. (2011). Assistive Technology: Enhancing the Life Skills of Students With Learning Disabilities. </w:t>
      </w:r>
      <w:r w:rsidRPr="006A1EC7">
        <w:rPr>
          <w:i/>
          <w:iCs/>
          <w:noProof/>
        </w:rPr>
        <w:t>Distance Learning</w:t>
      </w:r>
      <w:r w:rsidRPr="006A1EC7">
        <w:rPr>
          <w:noProof/>
        </w:rPr>
        <w:t xml:space="preserve">, </w:t>
      </w:r>
      <w:r w:rsidRPr="006A1EC7">
        <w:rPr>
          <w:i/>
          <w:iCs/>
          <w:noProof/>
        </w:rPr>
        <w:t>8</w:t>
      </w:r>
      <w:r w:rsidRPr="006A1EC7">
        <w:rPr>
          <w:noProof/>
        </w:rPr>
        <w:t>(4), 47–57. Retrieved from https://libproxy.library.unt.edu/login?url=http://search.proquest.com/docview/1014264682?accountid=7113%5Cnhttp://dq4wu5nl3d.search.serialssolutions.com/?ctx_ver=Z39.88-2004&amp;ctx_enc=info:ofi/enc:UTF-8&amp;rfr_id=info:sid/ProQ:pqrl&amp;rft_val_fmt=info:ofi/fmt:kev:m</w:t>
      </w:r>
    </w:p>
    <w:p w14:paraId="5C4425B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Cohen, J. (1988). Statistical power analysis for the behavioral sciences. </w:t>
      </w:r>
      <w:r w:rsidRPr="006A1EC7">
        <w:rPr>
          <w:i/>
          <w:iCs/>
          <w:noProof/>
        </w:rPr>
        <w:t>Hillsdale, NJ, England: Lawerence Erlbaum Associates</w:t>
      </w:r>
      <w:r w:rsidRPr="006A1EC7">
        <w:rPr>
          <w:noProof/>
        </w:rPr>
        <w:t>.</w:t>
      </w:r>
    </w:p>
    <w:p w14:paraId="3D67BB84" w14:textId="7D14A942" w:rsidR="00AD67F5" w:rsidRPr="006A1EC7" w:rsidRDefault="00AD67F5" w:rsidP="00421249">
      <w:pPr>
        <w:widowControl w:val="0"/>
        <w:autoSpaceDE w:val="0"/>
        <w:autoSpaceDN w:val="0"/>
        <w:adjustRightInd w:val="0"/>
        <w:ind w:left="480" w:hanging="480"/>
        <w:rPr>
          <w:noProof/>
        </w:rPr>
      </w:pPr>
      <w:r w:rsidRPr="006A1EC7">
        <w:rPr>
          <w:noProof/>
        </w:rPr>
        <w:t>Cohen, J</w:t>
      </w:r>
      <w:r w:rsidR="00421249" w:rsidRPr="006A1EC7">
        <w:rPr>
          <w:noProof/>
        </w:rPr>
        <w:t>.</w:t>
      </w:r>
      <w:r w:rsidRPr="006A1EC7">
        <w:rPr>
          <w:noProof/>
        </w:rPr>
        <w:t xml:space="preserve">, &amp; Biesecker, B. (2010). Quality of Life in Rare Genetic Conditions: A Systematic Review of the Literature. </w:t>
      </w:r>
      <w:r w:rsidRPr="006A1EC7">
        <w:rPr>
          <w:i/>
          <w:iCs/>
          <w:noProof/>
        </w:rPr>
        <w:t>American Journal of Medical Genetics, Part A</w:t>
      </w:r>
      <w:r w:rsidRPr="006A1EC7">
        <w:rPr>
          <w:noProof/>
        </w:rPr>
        <w:t xml:space="preserve">, </w:t>
      </w:r>
      <w:r w:rsidRPr="006A1EC7">
        <w:rPr>
          <w:i/>
          <w:iCs/>
          <w:noProof/>
        </w:rPr>
        <w:t>152!</w:t>
      </w:r>
      <w:r w:rsidRPr="006A1EC7">
        <w:rPr>
          <w:noProof/>
        </w:rPr>
        <w:t>(5), 1136–1156. https://doi.org/10.1002/ajmg.a.33380.Quality</w:t>
      </w:r>
    </w:p>
    <w:p w14:paraId="4F918F3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Conners, C. K., Sitarenios, G., Parker, J. D. A., &amp; Epstein, J. N. (1998). The revised Connors’ Parent Rating Scale (CPRS-R): factor structure, reliability, and criterion validity. </w:t>
      </w:r>
      <w:r w:rsidRPr="006A1EC7">
        <w:rPr>
          <w:i/>
          <w:iCs/>
          <w:noProof/>
        </w:rPr>
        <w:t>Journal of Abnormal Child Psychology</w:t>
      </w:r>
      <w:r w:rsidRPr="006A1EC7">
        <w:rPr>
          <w:noProof/>
        </w:rPr>
        <w:t xml:space="preserve">, </w:t>
      </w:r>
      <w:r w:rsidRPr="006A1EC7">
        <w:rPr>
          <w:i/>
          <w:iCs/>
          <w:noProof/>
        </w:rPr>
        <w:t>26</w:t>
      </w:r>
      <w:r w:rsidRPr="006A1EC7">
        <w:rPr>
          <w:noProof/>
        </w:rPr>
        <w:t>(4), 257–268. https://doi.org/10.1023/A</w:t>
      </w:r>
    </w:p>
    <w:p w14:paraId="1E303023" w14:textId="77777777" w:rsidR="00AD67F5" w:rsidRPr="006A1EC7" w:rsidRDefault="00AD67F5" w:rsidP="00421249">
      <w:pPr>
        <w:widowControl w:val="0"/>
        <w:autoSpaceDE w:val="0"/>
        <w:autoSpaceDN w:val="0"/>
        <w:adjustRightInd w:val="0"/>
        <w:ind w:left="480" w:hanging="480"/>
        <w:rPr>
          <w:noProof/>
        </w:rPr>
      </w:pPr>
      <w:r w:rsidRPr="006A1EC7">
        <w:rPr>
          <w:noProof/>
        </w:rPr>
        <w:t>COnsensus-based Standards for the selection of health Measurement INstruments. (2019a). COnsensus-based Standards for the selection of health Measurement INstruments. Retrieved November 12, 2019, from https://www.cosmin.nl/</w:t>
      </w:r>
    </w:p>
    <w:p w14:paraId="39B36B8F"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COnsensus-based Standards for the selection of health Measurement INstruments. (2019b). COSMIN Taxonomy of Measurement Properties. Retrieved November 12, 2019, from https://www.cosmin.nl/tools/cosmin-taxonomy-measurement-properties/</w:t>
      </w:r>
    </w:p>
    <w:p w14:paraId="3332134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Cook, D. A., &amp; Beckman, T. J. (2006). Current concepts in validity and reliability for psychometric instruments: Theory and application. </w:t>
      </w:r>
      <w:r w:rsidRPr="006A1EC7">
        <w:rPr>
          <w:i/>
          <w:iCs/>
          <w:noProof/>
        </w:rPr>
        <w:t>American Journal of Medicine</w:t>
      </w:r>
      <w:r w:rsidRPr="006A1EC7">
        <w:rPr>
          <w:noProof/>
        </w:rPr>
        <w:t xml:space="preserve">, </w:t>
      </w:r>
      <w:r w:rsidRPr="006A1EC7">
        <w:rPr>
          <w:i/>
          <w:iCs/>
          <w:noProof/>
        </w:rPr>
        <w:t>119</w:t>
      </w:r>
      <w:r w:rsidRPr="006A1EC7">
        <w:rPr>
          <w:noProof/>
        </w:rPr>
        <w:t>(2). https://doi.org/10.1016/j.amjmed.2005.10.036</w:t>
      </w:r>
    </w:p>
    <w:p w14:paraId="231B86A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Coombes, L., Roberts, M., Zahra, D., &amp; Burr, S. (2016). Twelve tips for assessment psychometrics. </w:t>
      </w:r>
      <w:r w:rsidRPr="006A1EC7">
        <w:rPr>
          <w:i/>
          <w:iCs/>
          <w:noProof/>
        </w:rPr>
        <w:t>Medical Teacher</w:t>
      </w:r>
      <w:r w:rsidRPr="006A1EC7">
        <w:rPr>
          <w:noProof/>
        </w:rPr>
        <w:t xml:space="preserve">, </w:t>
      </w:r>
      <w:r w:rsidRPr="006A1EC7">
        <w:rPr>
          <w:i/>
          <w:iCs/>
          <w:noProof/>
        </w:rPr>
        <w:t>38</w:t>
      </w:r>
      <w:r w:rsidRPr="006A1EC7">
        <w:rPr>
          <w:noProof/>
        </w:rPr>
        <w:t>(3), 250–254. https://doi.org/10.3109/0142159X.2015.1060306</w:t>
      </w:r>
    </w:p>
    <w:p w14:paraId="720A97E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Cooper-Brown, L., Downey, D., Copeland, S., Stimson, C., Van Dyke, D. C., Petersen, M. C., &amp; Dailey, S. (2008). Feeding and swallowing dysfunction in genetic syndromes. </w:t>
      </w:r>
      <w:r w:rsidRPr="006A1EC7">
        <w:rPr>
          <w:i/>
          <w:iCs/>
          <w:noProof/>
        </w:rPr>
        <w:t>Developmental Disabilities Research Reviews</w:t>
      </w:r>
      <w:r w:rsidRPr="006A1EC7">
        <w:rPr>
          <w:noProof/>
        </w:rPr>
        <w:t xml:space="preserve">, </w:t>
      </w:r>
      <w:r w:rsidRPr="006A1EC7">
        <w:rPr>
          <w:i/>
          <w:iCs/>
          <w:noProof/>
        </w:rPr>
        <w:t>14</w:t>
      </w:r>
      <w:r w:rsidRPr="006A1EC7">
        <w:rPr>
          <w:noProof/>
        </w:rPr>
        <w:t>(2), 147–157. https://doi.org/10.1002/ddrr.19</w:t>
      </w:r>
    </w:p>
    <w:p w14:paraId="1B7258D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Cooper, H., &amp; Hirschhorn, K. (1961). Apparent deletion of short arms of one chromosome (4 or 5) in a child with defects of midline fusion. </w:t>
      </w:r>
      <w:r w:rsidRPr="006A1EC7">
        <w:rPr>
          <w:i/>
          <w:iCs/>
          <w:noProof/>
        </w:rPr>
        <w:t>Mammalian Chromosomes Newsletter</w:t>
      </w:r>
      <w:r w:rsidRPr="006A1EC7">
        <w:rPr>
          <w:noProof/>
        </w:rPr>
        <w:t xml:space="preserve">, </w:t>
      </w:r>
      <w:r w:rsidRPr="006A1EC7">
        <w:rPr>
          <w:i/>
          <w:iCs/>
          <w:noProof/>
        </w:rPr>
        <w:t>4</w:t>
      </w:r>
      <w:r w:rsidRPr="006A1EC7">
        <w:rPr>
          <w:noProof/>
        </w:rPr>
        <w:t>(14).</w:t>
      </w:r>
    </w:p>
    <w:p w14:paraId="0CC683A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Coppola, A., Chinthapalli, K., Hammond, P., Sander, J. W., &amp; Sisodiya, S. M. (2013). Pediatric diagnosis not made until adulthood: A case of Wolf-Hirschhorn syndrome. </w:t>
      </w:r>
      <w:r w:rsidRPr="006A1EC7">
        <w:rPr>
          <w:i/>
          <w:iCs/>
          <w:noProof/>
        </w:rPr>
        <w:t>Gene</w:t>
      </w:r>
      <w:r w:rsidRPr="006A1EC7">
        <w:rPr>
          <w:noProof/>
        </w:rPr>
        <w:t xml:space="preserve">, </w:t>
      </w:r>
      <w:r w:rsidRPr="006A1EC7">
        <w:rPr>
          <w:i/>
          <w:iCs/>
          <w:noProof/>
        </w:rPr>
        <w:t>512</w:t>
      </w:r>
      <w:r w:rsidRPr="006A1EC7">
        <w:rPr>
          <w:noProof/>
        </w:rPr>
        <w:t>(2), 532–535. https://doi.org/10.1016/j.gene.2012.09.108</w:t>
      </w:r>
    </w:p>
    <w:p w14:paraId="36B6425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Cordova, A. (1981). The Mongolian Spot: A Study of Ethnic Differences and a Literature Review. </w:t>
      </w:r>
      <w:r w:rsidRPr="006A1EC7">
        <w:rPr>
          <w:i/>
          <w:iCs/>
          <w:noProof/>
        </w:rPr>
        <w:t>Clinical Pediatrics</w:t>
      </w:r>
      <w:r w:rsidRPr="006A1EC7">
        <w:rPr>
          <w:noProof/>
        </w:rPr>
        <w:t>. https://doi.org/10.1177/000992288102001105</w:t>
      </w:r>
    </w:p>
    <w:p w14:paraId="091BC9D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Cossu, M. C., Albergo, A., Galluzzi, C., Stefani, C., &amp; Antonucci, G. (2014). Neuropsychological phenotype in Wolf-Hirschhorn syndrome. </w:t>
      </w:r>
      <w:r w:rsidRPr="006A1EC7">
        <w:rPr>
          <w:i/>
          <w:iCs/>
          <w:noProof/>
        </w:rPr>
        <w:t>Journal of Intellectual Disability - Diagnosis and Treatment</w:t>
      </w:r>
      <w:r w:rsidRPr="006A1EC7">
        <w:rPr>
          <w:noProof/>
        </w:rPr>
        <w:t xml:space="preserve">, </w:t>
      </w:r>
      <w:r w:rsidRPr="006A1EC7">
        <w:rPr>
          <w:i/>
          <w:iCs/>
          <w:noProof/>
        </w:rPr>
        <w:t>2</w:t>
      </w:r>
      <w:r w:rsidRPr="006A1EC7">
        <w:rPr>
          <w:noProof/>
        </w:rPr>
        <w:t>(2), 101–111. https://doi.org/10.6000/2292-2598.2014.02.02.3</w:t>
      </w:r>
    </w:p>
    <w:p w14:paraId="0A1A11F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Costain, G., Chow, E. W. C., Ray, P. N., &amp; Bassett, A. S. (2012). Caregiver and adult patient perspectives on the importance of a diagnosis of 22q11.2 deletion syndrome. </w:t>
      </w:r>
      <w:r w:rsidRPr="006A1EC7">
        <w:rPr>
          <w:i/>
          <w:iCs/>
          <w:noProof/>
        </w:rPr>
        <w:t>Journal of Intellectual Disability Research</w:t>
      </w:r>
      <w:r w:rsidRPr="006A1EC7">
        <w:rPr>
          <w:noProof/>
        </w:rPr>
        <w:t xml:space="preserve">, </w:t>
      </w:r>
      <w:r w:rsidRPr="006A1EC7">
        <w:rPr>
          <w:i/>
          <w:iCs/>
          <w:noProof/>
        </w:rPr>
        <w:t>56</w:t>
      </w:r>
      <w:r w:rsidRPr="006A1EC7">
        <w:rPr>
          <w:noProof/>
        </w:rPr>
        <w:t>(6), 641–651. https://doi.org/10.1111/j.1365-2788.2011.01510.x</w:t>
      </w:r>
    </w:p>
    <w:p w14:paraId="2530360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Coster, W. J. (2013). Making the best match: Selecting outcome measures for clinical trials and outcome studies. </w:t>
      </w:r>
      <w:r w:rsidRPr="006A1EC7">
        <w:rPr>
          <w:i/>
          <w:iCs/>
          <w:noProof/>
        </w:rPr>
        <w:t>American Journal of Occupational Therapy</w:t>
      </w:r>
      <w:r w:rsidRPr="006A1EC7">
        <w:rPr>
          <w:noProof/>
        </w:rPr>
        <w:t xml:space="preserve">, </w:t>
      </w:r>
      <w:r w:rsidRPr="006A1EC7">
        <w:rPr>
          <w:i/>
          <w:iCs/>
          <w:noProof/>
        </w:rPr>
        <w:t>67</w:t>
      </w:r>
      <w:r w:rsidRPr="006A1EC7">
        <w:rPr>
          <w:noProof/>
        </w:rPr>
        <w:t>(2), 162–170. https://doi.org/10.5014/ajot.2013.006015</w:t>
      </w:r>
    </w:p>
    <w:p w14:paraId="459589B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Courtad, C. A., &amp; Bouck, E. C. (2013). </w:t>
      </w:r>
      <w:r w:rsidRPr="006A1EC7">
        <w:rPr>
          <w:i/>
          <w:iCs/>
          <w:noProof/>
        </w:rPr>
        <w:t>Assistive technology for students with learning disabilities</w:t>
      </w:r>
      <w:r w:rsidRPr="006A1EC7">
        <w:rPr>
          <w:noProof/>
        </w:rPr>
        <w:t xml:space="preserve">. </w:t>
      </w:r>
      <w:r w:rsidRPr="006A1EC7">
        <w:rPr>
          <w:i/>
          <w:iCs/>
          <w:noProof/>
        </w:rPr>
        <w:t>Journal of Learning Disabilities</w:t>
      </w:r>
      <w:r w:rsidRPr="006A1EC7">
        <w:rPr>
          <w:noProof/>
        </w:rPr>
        <w:t xml:space="preserve"> (Vol. 29). Emerald Group Publishing Limited. https://doi.org/10.1108/S0270-4013(2013)0000025011</w:t>
      </w:r>
    </w:p>
    <w:p w14:paraId="14D08C1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Cruz, N. V, Mahmoud, S. A., Chen, H., Lowery-Nordberg, M., Berlin, K., &amp; Bahna, S. L. (2009). Follow-up study of immune defects in patients with dysmorphic disorders. </w:t>
      </w:r>
      <w:r w:rsidRPr="006A1EC7">
        <w:rPr>
          <w:i/>
          <w:iCs/>
          <w:noProof/>
        </w:rPr>
        <w:t>Annals of Allergy, Asthma and Immunology</w:t>
      </w:r>
      <w:r w:rsidRPr="006A1EC7">
        <w:rPr>
          <w:noProof/>
        </w:rPr>
        <w:t xml:space="preserve">, </w:t>
      </w:r>
      <w:r w:rsidRPr="006A1EC7">
        <w:rPr>
          <w:i/>
          <w:iCs/>
          <w:noProof/>
        </w:rPr>
        <w:t>102</w:t>
      </w:r>
      <w:r w:rsidRPr="006A1EC7">
        <w:rPr>
          <w:noProof/>
        </w:rPr>
        <w:t>(5), 426–431. https://doi.org/10.1016/S1081-1206(10)60516-9</w:t>
      </w:r>
    </w:p>
    <w:p w14:paraId="1F9B360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Curfs, L. M., Didden, R., Sikkema, S. P., &amp; De Die-Smulders, C. E. (1999). Management of sleeping problems in Wolf-Hirschhorn syndrome: a case study. </w:t>
      </w:r>
      <w:r w:rsidRPr="006A1EC7">
        <w:rPr>
          <w:i/>
          <w:iCs/>
          <w:noProof/>
        </w:rPr>
        <w:t>Genetic Counseling (Geneva, Switzerland)</w:t>
      </w:r>
      <w:r w:rsidRPr="006A1EC7">
        <w:rPr>
          <w:noProof/>
        </w:rPr>
        <w:t xml:space="preserve">, </w:t>
      </w:r>
      <w:r w:rsidRPr="006A1EC7">
        <w:rPr>
          <w:i/>
          <w:iCs/>
          <w:noProof/>
        </w:rPr>
        <w:t>10</w:t>
      </w:r>
      <w:r w:rsidRPr="006A1EC7">
        <w:rPr>
          <w:noProof/>
        </w:rPr>
        <w:t>(4), 345–350. Retrieved from http://www.ncbi.nlm.nih.gov/pubmed/10631921</w:t>
      </w:r>
    </w:p>
    <w:p w14:paraId="20759FEA" w14:textId="18877148" w:rsidR="00AD67F5" w:rsidRPr="006A1EC7" w:rsidRDefault="00421249" w:rsidP="00421249">
      <w:pPr>
        <w:widowControl w:val="0"/>
        <w:autoSpaceDE w:val="0"/>
        <w:autoSpaceDN w:val="0"/>
        <w:adjustRightInd w:val="0"/>
        <w:ind w:left="480" w:hanging="480"/>
        <w:rPr>
          <w:noProof/>
        </w:rPr>
      </w:pPr>
      <w:r w:rsidRPr="006A1EC7">
        <w:rPr>
          <w:noProof/>
        </w:rPr>
        <w:t>D</w:t>
      </w:r>
      <w:r w:rsidR="00AD67F5" w:rsidRPr="006A1EC7">
        <w:rPr>
          <w:noProof/>
        </w:rPr>
        <w:t xml:space="preserve">a Silva, M., Comerlatto Junior, A., Bevilacqua, M., &amp; Lopes-Herrerda, S. (2011). Instruments to assess the oral language of children. </w:t>
      </w:r>
      <w:r w:rsidR="00AD67F5" w:rsidRPr="006A1EC7">
        <w:rPr>
          <w:i/>
          <w:iCs/>
          <w:noProof/>
        </w:rPr>
        <w:t>J App Oral Sci</w:t>
      </w:r>
      <w:r w:rsidR="00AD67F5" w:rsidRPr="006A1EC7">
        <w:rPr>
          <w:noProof/>
        </w:rPr>
        <w:t xml:space="preserve">, </w:t>
      </w:r>
      <w:r w:rsidR="00AD67F5" w:rsidRPr="006A1EC7">
        <w:rPr>
          <w:i/>
          <w:iCs/>
          <w:noProof/>
        </w:rPr>
        <w:t>19</w:t>
      </w:r>
      <w:r w:rsidR="00AD67F5" w:rsidRPr="006A1EC7">
        <w:rPr>
          <w:noProof/>
        </w:rPr>
        <w:t>(6), 549–553. https://doi.org/10.1590/S1678-77572011000600002</w:t>
      </w:r>
    </w:p>
    <w:p w14:paraId="5B848BE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Dai, Y., Yang, J., Chen, Y., Bao, L., &amp; Cheng, Q. (2013). Microarray analysis of </w:t>
      </w:r>
      <w:r w:rsidRPr="006A1EC7">
        <w:rPr>
          <w:noProof/>
        </w:rPr>
        <w:lastRenderedPageBreak/>
        <w:t xml:space="preserve">unbalanced translocation in Wolf-Hirschhorn syndrome. </w:t>
      </w:r>
      <w:r w:rsidRPr="006A1EC7">
        <w:rPr>
          <w:i/>
          <w:iCs/>
          <w:noProof/>
        </w:rPr>
        <w:t>Pediatrics International</w:t>
      </w:r>
      <w:r w:rsidRPr="006A1EC7">
        <w:rPr>
          <w:noProof/>
        </w:rPr>
        <w:t xml:space="preserve">, </w:t>
      </w:r>
      <w:r w:rsidRPr="006A1EC7">
        <w:rPr>
          <w:i/>
          <w:iCs/>
          <w:noProof/>
        </w:rPr>
        <w:t>55</w:t>
      </w:r>
      <w:r w:rsidRPr="006A1EC7">
        <w:rPr>
          <w:noProof/>
        </w:rPr>
        <w:t>(3), 368–370. https://doi.org/10.1111/j.1442-200X.2012.03684.x</w:t>
      </w:r>
    </w:p>
    <w:p w14:paraId="06F80A18" w14:textId="62CA7798" w:rsidR="00AD67F5" w:rsidRPr="006A1EC7" w:rsidRDefault="00421249" w:rsidP="00421249">
      <w:pPr>
        <w:widowControl w:val="0"/>
        <w:autoSpaceDE w:val="0"/>
        <w:autoSpaceDN w:val="0"/>
        <w:adjustRightInd w:val="0"/>
        <w:ind w:left="480" w:hanging="480"/>
        <w:rPr>
          <w:noProof/>
        </w:rPr>
      </w:pPr>
      <w:r w:rsidRPr="006A1EC7">
        <w:rPr>
          <w:noProof/>
        </w:rPr>
        <w:t>D</w:t>
      </w:r>
      <w:r w:rsidR="00AD67F5" w:rsidRPr="006A1EC7">
        <w:rPr>
          <w:noProof/>
        </w:rPr>
        <w:t xml:space="preserve">e Chesnay, M. [Ed]. (2015). Nursing research using grounded theory: Qualitative designs and methods in nursing. </w:t>
      </w:r>
      <w:r w:rsidR="00AD67F5" w:rsidRPr="006A1EC7">
        <w:rPr>
          <w:i/>
          <w:iCs/>
          <w:noProof/>
        </w:rPr>
        <w:t>Nursing Research Using Grounded Theory: Qualitative Designs and Methods in Nursing.</w:t>
      </w:r>
    </w:p>
    <w:p w14:paraId="74A7E0C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De Clercq, E., Rost, M., Pacurari, N., Elger, B. S., &amp; Wangmo, T. (2017). Aligning guidelines and medical practice: Literature review on pediatric palliative care guidelines. </w:t>
      </w:r>
      <w:r w:rsidRPr="006A1EC7">
        <w:rPr>
          <w:i/>
          <w:iCs/>
          <w:noProof/>
        </w:rPr>
        <w:t>Palliative and Supportive Care</w:t>
      </w:r>
      <w:r w:rsidRPr="006A1EC7">
        <w:rPr>
          <w:noProof/>
        </w:rPr>
        <w:t xml:space="preserve">, </w:t>
      </w:r>
      <w:r w:rsidRPr="006A1EC7">
        <w:rPr>
          <w:i/>
          <w:iCs/>
          <w:noProof/>
        </w:rPr>
        <w:t>15</w:t>
      </w:r>
      <w:r w:rsidRPr="006A1EC7">
        <w:rPr>
          <w:noProof/>
        </w:rPr>
        <w:t>(4), 474–489. https://doi.org/10.1017/S1478951516000882</w:t>
      </w:r>
    </w:p>
    <w:p w14:paraId="67673CF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De Vet, H. C. W., Terwee, C. B., &amp; Bouter, L. M. (2003). Current challenges in clinimetrics. </w:t>
      </w:r>
      <w:r w:rsidRPr="006A1EC7">
        <w:rPr>
          <w:i/>
          <w:iCs/>
          <w:noProof/>
        </w:rPr>
        <w:t>Journal of Clinical Epidemiology</w:t>
      </w:r>
      <w:r w:rsidRPr="006A1EC7">
        <w:rPr>
          <w:noProof/>
        </w:rPr>
        <w:t xml:space="preserve">, </w:t>
      </w:r>
      <w:r w:rsidRPr="006A1EC7">
        <w:rPr>
          <w:i/>
          <w:iCs/>
          <w:noProof/>
        </w:rPr>
        <w:t>56</w:t>
      </w:r>
      <w:r w:rsidRPr="006A1EC7">
        <w:rPr>
          <w:noProof/>
        </w:rPr>
        <w:t>(12), 1137–1141. https://doi.org/10.1016/j.jclinepi.2003.08.012</w:t>
      </w:r>
    </w:p>
    <w:p w14:paraId="7E9B71C6" w14:textId="024A74A3" w:rsidR="00AD67F5" w:rsidRPr="006A1EC7" w:rsidRDefault="00421249" w:rsidP="00421249">
      <w:pPr>
        <w:widowControl w:val="0"/>
        <w:autoSpaceDE w:val="0"/>
        <w:autoSpaceDN w:val="0"/>
        <w:adjustRightInd w:val="0"/>
        <w:ind w:left="480" w:hanging="480"/>
        <w:rPr>
          <w:noProof/>
        </w:rPr>
      </w:pPr>
      <w:r w:rsidRPr="006A1EC7">
        <w:rPr>
          <w:noProof/>
        </w:rPr>
        <w:t>D</w:t>
      </w:r>
      <w:r w:rsidR="00AD67F5" w:rsidRPr="006A1EC7">
        <w:rPr>
          <w:noProof/>
        </w:rPr>
        <w:t xml:space="preserve">e Vet, H. C. W., Terwee, C. B., Knol, D. L., &amp; Bouter, L. M. (2006). When to use agreement versus reliability measures. </w:t>
      </w:r>
      <w:r w:rsidR="00AD67F5" w:rsidRPr="006A1EC7">
        <w:rPr>
          <w:i/>
          <w:iCs/>
          <w:noProof/>
        </w:rPr>
        <w:t>Journal of Clinical Epidemiology</w:t>
      </w:r>
      <w:r w:rsidR="00AD67F5" w:rsidRPr="006A1EC7">
        <w:rPr>
          <w:noProof/>
        </w:rPr>
        <w:t xml:space="preserve">, </w:t>
      </w:r>
      <w:r w:rsidR="00AD67F5" w:rsidRPr="006A1EC7">
        <w:rPr>
          <w:i/>
          <w:iCs/>
          <w:noProof/>
        </w:rPr>
        <w:t>59</w:t>
      </w:r>
      <w:r w:rsidR="00AD67F5" w:rsidRPr="006A1EC7">
        <w:rPr>
          <w:noProof/>
        </w:rPr>
        <w:t>(10), 1033–1039. https://doi.org/10.1016/j.jclinepi.2005.10.015</w:t>
      </w:r>
    </w:p>
    <w:p w14:paraId="2C68BE2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Department of Health. (2012). Liberating the NHS: No decision about me without me - Government response. </w:t>
      </w:r>
      <w:r w:rsidRPr="006A1EC7">
        <w:rPr>
          <w:i/>
          <w:iCs/>
          <w:noProof/>
        </w:rPr>
        <w:t>Department of Health</w:t>
      </w:r>
      <w:r w:rsidRPr="006A1EC7">
        <w:rPr>
          <w:noProof/>
        </w:rPr>
        <w:t>, 39.</w:t>
      </w:r>
    </w:p>
    <w:p w14:paraId="4953B68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Department of Health. (2013). </w:t>
      </w:r>
      <w:r w:rsidRPr="006A1EC7">
        <w:rPr>
          <w:i/>
          <w:iCs/>
          <w:noProof/>
        </w:rPr>
        <w:t>The UK Strategy for Rare Diseases</w:t>
      </w:r>
      <w:r w:rsidRPr="006A1EC7">
        <w:rPr>
          <w:noProof/>
        </w:rPr>
        <w:t>.</w:t>
      </w:r>
    </w:p>
    <w:p w14:paraId="2B8D78F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Department of Human Services. (2008). </w:t>
      </w:r>
      <w:r w:rsidRPr="006A1EC7">
        <w:rPr>
          <w:i/>
          <w:iCs/>
          <w:noProof/>
        </w:rPr>
        <w:t>Strengthening care for children with a life-threatening condition</w:t>
      </w:r>
      <w:r w:rsidRPr="006A1EC7">
        <w:rPr>
          <w:noProof/>
        </w:rPr>
        <w:t>. Retrieved from https://www2.health.vic.gov.au/Api/downloadmedia/%7B038AB8EA-A24D-49CB-83D9-5DA1BAFFCC54%7D</w:t>
      </w:r>
    </w:p>
    <w:p w14:paraId="6D673AA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DeVellis, R. F. (2017). </w:t>
      </w:r>
      <w:r w:rsidRPr="006A1EC7">
        <w:rPr>
          <w:i/>
          <w:iCs/>
          <w:noProof/>
        </w:rPr>
        <w:t>Scale development: Theory and Applications</w:t>
      </w:r>
      <w:r w:rsidRPr="006A1EC7">
        <w:rPr>
          <w:noProof/>
        </w:rPr>
        <w:t xml:space="preserve"> (4th ed.). Los Angeles: SAGE Publications Inc.</w:t>
      </w:r>
    </w:p>
    <w:p w14:paraId="2C411F9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Dickmann, A, Parrilla, R., Salerni, A., Savino, G., Vasta, I., Zollino, M., … Zampino, G. (2009). Ocular manifestations in Wolf-Hirschhorn syndrome. </w:t>
      </w:r>
      <w:r w:rsidRPr="006A1EC7">
        <w:rPr>
          <w:i/>
          <w:iCs/>
          <w:noProof/>
        </w:rPr>
        <w:t>Journal of AAPOS</w:t>
      </w:r>
      <w:r w:rsidRPr="006A1EC7">
        <w:rPr>
          <w:noProof/>
        </w:rPr>
        <w:t xml:space="preserve">, </w:t>
      </w:r>
      <w:r w:rsidRPr="006A1EC7">
        <w:rPr>
          <w:i/>
          <w:iCs/>
          <w:noProof/>
        </w:rPr>
        <w:t>13</w:t>
      </w:r>
      <w:r w:rsidRPr="006A1EC7">
        <w:rPr>
          <w:noProof/>
        </w:rPr>
        <w:t>(3), 264–267. https://doi.org/10.1016/j.jaapos.2009.02.011</w:t>
      </w:r>
    </w:p>
    <w:p w14:paraId="596582F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Dickmann, Anna, Parrilla, R., Salerni, A., Savino, G., Vasta, I., Zollino, M., … Zampino, G. (2009). Ocular manifestations in Wolf-Hirschhorn syndrome. </w:t>
      </w:r>
      <w:r w:rsidRPr="006A1EC7">
        <w:rPr>
          <w:i/>
          <w:iCs/>
          <w:noProof/>
        </w:rPr>
        <w:t>Journal of AAPOS</w:t>
      </w:r>
      <w:r w:rsidRPr="006A1EC7">
        <w:rPr>
          <w:noProof/>
        </w:rPr>
        <w:t xml:space="preserve">, </w:t>
      </w:r>
      <w:r w:rsidRPr="006A1EC7">
        <w:rPr>
          <w:i/>
          <w:iCs/>
          <w:noProof/>
        </w:rPr>
        <w:t>13</w:t>
      </w:r>
      <w:r w:rsidRPr="006A1EC7">
        <w:rPr>
          <w:noProof/>
        </w:rPr>
        <w:t>(3), 264–267. https://doi.org/10.1016/j.jaapos.2009.02.011</w:t>
      </w:r>
    </w:p>
    <w:p w14:paraId="265D8CB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Didden, R., &amp; Curfs, L. (2000). </w:t>
      </w:r>
      <w:r w:rsidRPr="006A1EC7">
        <w:rPr>
          <w:i/>
          <w:iCs/>
          <w:noProof/>
        </w:rPr>
        <w:t>Sleep problems in children with developmental disabilities who live at home : prevalence , correlates and treatment</w:t>
      </w:r>
      <w:r w:rsidRPr="006A1EC7">
        <w:rPr>
          <w:noProof/>
        </w:rPr>
        <w:t>.</w:t>
      </w:r>
    </w:p>
    <w:p w14:paraId="6DEC9D5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Didden, R., Sigafoos, J., &amp; Curfs, L. (2000). </w:t>
      </w:r>
      <w:r w:rsidRPr="006A1EC7">
        <w:rPr>
          <w:i/>
          <w:iCs/>
          <w:noProof/>
        </w:rPr>
        <w:t>Slaapstoornissen bij kinderen met ontwikkelingsstoornissen: een overzicht.</w:t>
      </w:r>
    </w:p>
    <w:p w14:paraId="295D611C" w14:textId="6EBE63D1" w:rsidR="00AD67F5" w:rsidRPr="006A1EC7" w:rsidRDefault="00AD67F5" w:rsidP="00421249">
      <w:pPr>
        <w:widowControl w:val="0"/>
        <w:autoSpaceDE w:val="0"/>
        <w:autoSpaceDN w:val="0"/>
        <w:adjustRightInd w:val="0"/>
        <w:ind w:left="480" w:hanging="480"/>
        <w:rPr>
          <w:noProof/>
        </w:rPr>
      </w:pPr>
      <w:r w:rsidRPr="006A1EC7">
        <w:rPr>
          <w:noProof/>
        </w:rPr>
        <w:t xml:space="preserve">Didden, R., Sigafoos, J., Green, V. A., Korzilius, H., Mouws, C., Lancioni, G. E., … Curfs  G. E.(2008). Behavioural flexibility in individuals with Angelman syndrome, Down syndrome, non-specific intellectual disability and Autism spectrum disorder. </w:t>
      </w:r>
      <w:r w:rsidRPr="006A1EC7">
        <w:rPr>
          <w:i/>
          <w:iCs/>
          <w:noProof/>
        </w:rPr>
        <w:t>Journal of Intellectual Disability Research</w:t>
      </w:r>
      <w:r w:rsidRPr="006A1EC7">
        <w:rPr>
          <w:noProof/>
        </w:rPr>
        <w:t>.</w:t>
      </w:r>
      <w:r w:rsidR="00421249" w:rsidRPr="006A1EC7">
        <w:rPr>
          <w:noProof/>
        </w:rPr>
        <w:t xml:space="preserve"> </w:t>
      </w:r>
      <w:r w:rsidRPr="006A1EC7">
        <w:rPr>
          <w:noProof/>
        </w:rPr>
        <w:t>Retrieved from</w:t>
      </w:r>
      <w:r w:rsidR="00421249" w:rsidRPr="006A1EC7">
        <w:rPr>
          <w:noProof/>
        </w:rPr>
        <w:t xml:space="preserve"> </w:t>
      </w:r>
      <w:r w:rsidRPr="006A1EC7">
        <w:rPr>
          <w:noProof/>
        </w:rPr>
        <w:t>http://ovidsp.ovid.com/ovidweb.cgi?T=JS&amp;PAGE=reference&amp;D=psyc6&amp;NEWS=N&amp;AN=2008-06447-004</w:t>
      </w:r>
    </w:p>
    <w:p w14:paraId="7E6339B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Djukic, A., &amp; Valicenti McDermott, M. (2012). Social preferences in Rett syndrome. </w:t>
      </w:r>
      <w:r w:rsidRPr="006A1EC7">
        <w:rPr>
          <w:i/>
          <w:iCs/>
          <w:noProof/>
        </w:rPr>
        <w:t>Pediatric Neurology</w:t>
      </w:r>
      <w:r w:rsidRPr="006A1EC7">
        <w:rPr>
          <w:noProof/>
        </w:rPr>
        <w:t xml:space="preserve">, </w:t>
      </w:r>
      <w:r w:rsidRPr="006A1EC7">
        <w:rPr>
          <w:i/>
          <w:iCs/>
          <w:noProof/>
        </w:rPr>
        <w:t>46</w:t>
      </w:r>
      <w:r w:rsidRPr="006A1EC7">
        <w:rPr>
          <w:noProof/>
        </w:rPr>
        <w:t>(4), 240–242. https://doi.org/10.1016/j.pediatrneurol.2012.01.011</w:t>
      </w:r>
    </w:p>
    <w:p w14:paraId="3FAA642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Dobbels, F., de Jong, C., Drost, E., Elberse, J., Feridou, C., Jacobs, L., … PROactive Consortium. (2014). The PROactive innovative conceptual framework on physical activity. </w:t>
      </w:r>
      <w:r w:rsidRPr="006A1EC7">
        <w:rPr>
          <w:i/>
          <w:iCs/>
          <w:noProof/>
        </w:rPr>
        <w:t>European Respiratory Journal</w:t>
      </w:r>
      <w:r w:rsidRPr="006A1EC7">
        <w:rPr>
          <w:noProof/>
        </w:rPr>
        <w:t xml:space="preserve">, </w:t>
      </w:r>
      <w:r w:rsidRPr="006A1EC7">
        <w:rPr>
          <w:i/>
          <w:iCs/>
          <w:noProof/>
        </w:rPr>
        <w:t>44</w:t>
      </w:r>
      <w:r w:rsidRPr="006A1EC7">
        <w:rPr>
          <w:noProof/>
        </w:rPr>
        <w:t>, 1223–1233. https://doi.org/10.1183/09031936.00004814</w:t>
      </w:r>
    </w:p>
    <w:p w14:paraId="06D0B5B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Donnelly, C., &amp; Carswell, A. (2002). Individualized outcome measures: a review of the literature. </w:t>
      </w:r>
      <w:r w:rsidRPr="006A1EC7">
        <w:rPr>
          <w:i/>
          <w:iCs/>
          <w:noProof/>
        </w:rPr>
        <w:t xml:space="preserve">Canadian Journal of Occupational Therapy. Revue Canadienne </w:t>
      </w:r>
      <w:r w:rsidRPr="006A1EC7">
        <w:rPr>
          <w:i/>
          <w:iCs/>
          <w:noProof/>
        </w:rPr>
        <w:lastRenderedPageBreak/>
        <w:t>d’ergotherapie</w:t>
      </w:r>
      <w:r w:rsidRPr="006A1EC7">
        <w:rPr>
          <w:noProof/>
        </w:rPr>
        <w:t xml:space="preserve">, </w:t>
      </w:r>
      <w:r w:rsidRPr="006A1EC7">
        <w:rPr>
          <w:i/>
          <w:iCs/>
          <w:noProof/>
        </w:rPr>
        <w:t>69</w:t>
      </w:r>
      <w:r w:rsidRPr="006A1EC7">
        <w:rPr>
          <w:noProof/>
        </w:rPr>
        <w:t>(2), 84–94. https://doi.org/10.1177/000841740206900204</w:t>
      </w:r>
    </w:p>
    <w:p w14:paraId="0FD6D70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Downing, S. M. (2006). Face validity of assessments: Faith-based interpretations or evidence-based science? </w:t>
      </w:r>
      <w:r w:rsidRPr="006A1EC7">
        <w:rPr>
          <w:i/>
          <w:iCs/>
          <w:noProof/>
        </w:rPr>
        <w:t>Medical Education</w:t>
      </w:r>
      <w:r w:rsidRPr="006A1EC7">
        <w:rPr>
          <w:noProof/>
        </w:rPr>
        <w:t xml:space="preserve">, </w:t>
      </w:r>
      <w:r w:rsidRPr="006A1EC7">
        <w:rPr>
          <w:i/>
          <w:iCs/>
          <w:noProof/>
        </w:rPr>
        <w:t>40</w:t>
      </w:r>
      <w:r w:rsidRPr="006A1EC7">
        <w:rPr>
          <w:noProof/>
        </w:rPr>
        <w:t>(1), 7–8. https://doi.org/10.1111/j.1365-2929.2005.02361.x</w:t>
      </w:r>
    </w:p>
    <w:p w14:paraId="400453A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Duncan, R., Essat, M., Jones, G., Booth, A., Buckley Woods, H., Poku, E., … Michaels, J. (2017). Systematic review and qualitative evidence synthesis of patient-reported outcome measures for abdominal aortic aneurysm. </w:t>
      </w:r>
      <w:r w:rsidRPr="006A1EC7">
        <w:rPr>
          <w:i/>
          <w:iCs/>
          <w:noProof/>
        </w:rPr>
        <w:t>British Journal of Surgery</w:t>
      </w:r>
      <w:r w:rsidRPr="006A1EC7">
        <w:rPr>
          <w:noProof/>
        </w:rPr>
        <w:t xml:space="preserve">, </w:t>
      </w:r>
      <w:r w:rsidRPr="006A1EC7">
        <w:rPr>
          <w:i/>
          <w:iCs/>
          <w:noProof/>
        </w:rPr>
        <w:t>104</w:t>
      </w:r>
      <w:r w:rsidRPr="006A1EC7">
        <w:rPr>
          <w:noProof/>
        </w:rPr>
        <w:t>(4), 317–327. https://doi.org/10.1002/bjs.10407</w:t>
      </w:r>
    </w:p>
    <w:p w14:paraId="010A104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Dyson, L. (2010). Unanticipated effects of children with learning disabilities on their families. </w:t>
      </w:r>
      <w:r w:rsidRPr="006A1EC7">
        <w:rPr>
          <w:i/>
          <w:iCs/>
          <w:noProof/>
        </w:rPr>
        <w:t>Learning Disability Quarterly</w:t>
      </w:r>
      <w:r w:rsidRPr="006A1EC7">
        <w:rPr>
          <w:noProof/>
        </w:rPr>
        <w:t xml:space="preserve">, </w:t>
      </w:r>
      <w:r w:rsidRPr="006A1EC7">
        <w:rPr>
          <w:i/>
          <w:iCs/>
          <w:noProof/>
        </w:rPr>
        <w:t>33</w:t>
      </w:r>
      <w:r w:rsidRPr="006A1EC7">
        <w:rPr>
          <w:noProof/>
        </w:rPr>
        <w:t>(1), 43–55.</w:t>
      </w:r>
    </w:p>
    <w:p w14:paraId="7A1F28C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Ebesutani, C., Bernstein, A., Nakamura, B. J., Chorpita, B. F., Higa-Mcmillan, C. K., &amp; Weisz, J. R. (2010). Concurrent validity of the child behavior checklist DSM-Oriented Scales: Correspondence with DSM diagnoses and comparison to syndrome scales. </w:t>
      </w:r>
      <w:r w:rsidRPr="006A1EC7">
        <w:rPr>
          <w:i/>
          <w:iCs/>
          <w:noProof/>
        </w:rPr>
        <w:t>Journal of Psychopathology and Behavioral Assessment</w:t>
      </w:r>
      <w:r w:rsidRPr="006A1EC7">
        <w:rPr>
          <w:noProof/>
        </w:rPr>
        <w:t xml:space="preserve">, </w:t>
      </w:r>
      <w:r w:rsidRPr="006A1EC7">
        <w:rPr>
          <w:i/>
          <w:iCs/>
          <w:noProof/>
        </w:rPr>
        <w:t>32</w:t>
      </w:r>
      <w:r w:rsidRPr="006A1EC7">
        <w:rPr>
          <w:noProof/>
        </w:rPr>
        <w:t>(3), 373–384. https://doi.org/10.1007/s10862-009-9174-9</w:t>
      </w:r>
    </w:p>
    <w:p w14:paraId="186BD12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Edelstein, H., Schippke, J., Sheffe, S., &amp; Kingsnorth, S. (2017). Children with medical complexity: a scoping review of interventions to support caregiver stress. </w:t>
      </w:r>
      <w:r w:rsidRPr="006A1EC7">
        <w:rPr>
          <w:i/>
          <w:iCs/>
          <w:noProof/>
        </w:rPr>
        <w:t>Child: Care, Health and Development</w:t>
      </w:r>
      <w:r w:rsidRPr="006A1EC7">
        <w:rPr>
          <w:noProof/>
        </w:rPr>
        <w:t xml:space="preserve">, </w:t>
      </w:r>
      <w:r w:rsidRPr="006A1EC7">
        <w:rPr>
          <w:i/>
          <w:iCs/>
          <w:noProof/>
        </w:rPr>
        <w:t>43</w:t>
      </w:r>
      <w:r w:rsidRPr="006A1EC7">
        <w:rPr>
          <w:noProof/>
        </w:rPr>
        <w:t>(3), 323–333. https://doi.org/10.1111/cch.12430</w:t>
      </w:r>
    </w:p>
    <w:p w14:paraId="7B43A46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Eiser, C., &amp; Morse, R. (2001). Quality-of-life measures in chronic diseases of childhood. </w:t>
      </w:r>
      <w:r w:rsidRPr="006A1EC7">
        <w:rPr>
          <w:i/>
          <w:iCs/>
          <w:noProof/>
        </w:rPr>
        <w:t>Health Technology Assessment</w:t>
      </w:r>
      <w:r w:rsidRPr="006A1EC7">
        <w:rPr>
          <w:noProof/>
        </w:rPr>
        <w:t>. https://doi.org/10.3310/hta5040</w:t>
      </w:r>
    </w:p>
    <w:p w14:paraId="6D06D81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El Miedany, Y. (2016). </w:t>
      </w:r>
      <w:r w:rsidRPr="006A1EC7">
        <w:rPr>
          <w:i/>
          <w:iCs/>
          <w:noProof/>
        </w:rPr>
        <w:t>Patient Reported Outcome Measures in Rheumatic Diseases</w:t>
      </w:r>
      <w:r w:rsidRPr="006A1EC7">
        <w:rPr>
          <w:noProof/>
        </w:rPr>
        <w:t>. Switzerland: Springer International Publishing.</w:t>
      </w:r>
    </w:p>
    <w:p w14:paraId="3A9CA7B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Elo, S., &amp; Kyngäs, H. (2008). The qualitative content analysis process. </w:t>
      </w:r>
      <w:r w:rsidRPr="006A1EC7">
        <w:rPr>
          <w:i/>
          <w:iCs/>
          <w:noProof/>
        </w:rPr>
        <w:t>Journal of Advanced Nursing</w:t>
      </w:r>
      <w:r w:rsidRPr="006A1EC7">
        <w:rPr>
          <w:noProof/>
        </w:rPr>
        <w:t xml:space="preserve">, </w:t>
      </w:r>
      <w:r w:rsidRPr="006A1EC7">
        <w:rPr>
          <w:i/>
          <w:iCs/>
          <w:noProof/>
        </w:rPr>
        <w:t>62</w:t>
      </w:r>
      <w:r w:rsidRPr="006A1EC7">
        <w:rPr>
          <w:noProof/>
        </w:rPr>
        <w:t>(1), 107–115. https://doi.org/10.1111/j.1365-2648.2007.04569.x</w:t>
      </w:r>
    </w:p>
    <w:p w14:paraId="26DB350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Emerson, E., &amp; Robertson, J. (2011). The Estimated Prevalence of Visual Impairment among People with Learning Disabilities in the UK. </w:t>
      </w:r>
      <w:r w:rsidRPr="006A1EC7">
        <w:rPr>
          <w:i/>
          <w:iCs/>
          <w:noProof/>
        </w:rPr>
        <w:t>RNIB and SeeAbility</w:t>
      </w:r>
      <w:r w:rsidRPr="006A1EC7">
        <w:rPr>
          <w:noProof/>
        </w:rPr>
        <w:t>, 35. https://doi.org/IHAL 2010-05</w:t>
      </w:r>
    </w:p>
    <w:p w14:paraId="428F338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Engel, L., Bryan, S., Evers, S. M. A. A., Dirksen, C. D., Noonan, V. K., &amp; Whitehurst, D. G. T. (2014). Exploring psychometric properties of the SF-6D, a preference-based health-related quality of life measure, in the context of spinal cord injury. </w:t>
      </w:r>
      <w:r w:rsidRPr="006A1EC7">
        <w:rPr>
          <w:i/>
          <w:iCs/>
          <w:noProof/>
        </w:rPr>
        <w:t>Quality of Life Research : An International Journal of Quality of Life Aspects of Treatment, Care and Rehabilitation</w:t>
      </w:r>
      <w:r w:rsidRPr="006A1EC7">
        <w:rPr>
          <w:noProof/>
        </w:rPr>
        <w:t xml:space="preserve">, </w:t>
      </w:r>
      <w:r w:rsidRPr="006A1EC7">
        <w:rPr>
          <w:i/>
          <w:iCs/>
          <w:noProof/>
        </w:rPr>
        <w:t>23</w:t>
      </w:r>
      <w:r w:rsidRPr="006A1EC7">
        <w:rPr>
          <w:noProof/>
        </w:rPr>
        <w:t>(8), 2383–2393. https://doi.org/10.1007/s11136-014-0677-9</w:t>
      </w:r>
    </w:p>
    <w:p w14:paraId="0AB97D6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Ergün, S., &amp; Ertem, G. (2012). Difficulties of mothers living with mentally disabled children. </w:t>
      </w:r>
      <w:r w:rsidRPr="006A1EC7">
        <w:rPr>
          <w:i/>
          <w:iCs/>
          <w:noProof/>
        </w:rPr>
        <w:t>JPMA. The Journal of the Pakistan Medical Association</w:t>
      </w:r>
      <w:r w:rsidRPr="006A1EC7">
        <w:rPr>
          <w:noProof/>
        </w:rPr>
        <w:t xml:space="preserve">, </w:t>
      </w:r>
      <w:r w:rsidRPr="006A1EC7">
        <w:rPr>
          <w:i/>
          <w:iCs/>
          <w:noProof/>
        </w:rPr>
        <w:t>62</w:t>
      </w:r>
      <w:r w:rsidRPr="006A1EC7">
        <w:rPr>
          <w:noProof/>
        </w:rPr>
        <w:t>(8), 776–780.</w:t>
      </w:r>
    </w:p>
    <w:p w14:paraId="090D398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Eton, D., Elraiyah, T. A., Yost, K., Ridgeway, J., Johnson, A., Egginton, J., … Montori, V. (2013). A systematic review of patient-reported measures of burden of treatment in three chronic diseases. </w:t>
      </w:r>
      <w:r w:rsidRPr="006A1EC7">
        <w:rPr>
          <w:i/>
          <w:iCs/>
          <w:noProof/>
        </w:rPr>
        <w:t>Patient Related Outcome Measures</w:t>
      </w:r>
      <w:r w:rsidRPr="006A1EC7">
        <w:rPr>
          <w:noProof/>
        </w:rPr>
        <w:t>, 7. https://doi.org/10.2147/PROM.S44694</w:t>
      </w:r>
    </w:p>
    <w:p w14:paraId="5B63D63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Eurodis (Rare Diseases Europe). (2005). </w:t>
      </w:r>
      <w:r w:rsidRPr="006A1EC7">
        <w:rPr>
          <w:i/>
          <w:iCs/>
          <w:noProof/>
        </w:rPr>
        <w:t>“ Rare Diseases : understanding this Public Health Priority .”</w:t>
      </w:r>
    </w:p>
    <w:p w14:paraId="201DD958" w14:textId="77777777" w:rsidR="00AD67F5" w:rsidRPr="006A1EC7" w:rsidRDefault="00AD67F5" w:rsidP="00421249">
      <w:pPr>
        <w:widowControl w:val="0"/>
        <w:autoSpaceDE w:val="0"/>
        <w:autoSpaceDN w:val="0"/>
        <w:adjustRightInd w:val="0"/>
        <w:ind w:left="480" w:hanging="480"/>
        <w:rPr>
          <w:noProof/>
        </w:rPr>
      </w:pPr>
      <w:r w:rsidRPr="006A1EC7">
        <w:rPr>
          <w:noProof/>
        </w:rPr>
        <w:t>Eurodis (Rare Diseases Europe). (2014). What is a rare disease? Retrieved September 19, 2017, from http://www.eurordis.org/content/what-rare-disease</w:t>
      </w:r>
    </w:p>
    <w:p w14:paraId="3427C4E2" w14:textId="77777777" w:rsidR="00AD67F5" w:rsidRPr="006A1EC7" w:rsidRDefault="00AD67F5" w:rsidP="00421249">
      <w:pPr>
        <w:widowControl w:val="0"/>
        <w:autoSpaceDE w:val="0"/>
        <w:autoSpaceDN w:val="0"/>
        <w:adjustRightInd w:val="0"/>
        <w:ind w:left="480" w:hanging="480"/>
        <w:rPr>
          <w:noProof/>
        </w:rPr>
      </w:pPr>
      <w:r w:rsidRPr="006A1EC7">
        <w:rPr>
          <w:noProof/>
        </w:rPr>
        <w:t>Eurodis (Rare Diseases Europe). (2017). About Rare Diseases. Retrieved September 18, 2017, from http://www.eurordis.org/about-rare-diseases</w:t>
      </w:r>
    </w:p>
    <w:p w14:paraId="74B8E99D" w14:textId="41162312" w:rsidR="00AD67F5" w:rsidRPr="006A1EC7" w:rsidRDefault="00AD67F5" w:rsidP="00421249">
      <w:pPr>
        <w:widowControl w:val="0"/>
        <w:autoSpaceDE w:val="0"/>
        <w:autoSpaceDN w:val="0"/>
        <w:adjustRightInd w:val="0"/>
        <w:ind w:left="480" w:hanging="480"/>
        <w:rPr>
          <w:noProof/>
        </w:rPr>
      </w:pPr>
      <w:r w:rsidRPr="006A1EC7">
        <w:rPr>
          <w:noProof/>
        </w:rPr>
        <w:t xml:space="preserve">Eypasch, E., Williams, J. I., Wood‐Dauphinee, S., Ure, B. M., Schmulling, C., Neugebauer, E., &amp; Troidl, H. (1995). Gastrointestinal Quality of Life Index: Development, validation and application of a new instrument. </w:t>
      </w:r>
      <w:r w:rsidRPr="006A1EC7">
        <w:rPr>
          <w:i/>
          <w:iCs/>
          <w:noProof/>
        </w:rPr>
        <w:t xml:space="preserve">British Journal of </w:t>
      </w:r>
      <w:r w:rsidRPr="006A1EC7">
        <w:rPr>
          <w:i/>
          <w:iCs/>
          <w:noProof/>
        </w:rPr>
        <w:lastRenderedPageBreak/>
        <w:t>Surgery</w:t>
      </w:r>
      <w:r w:rsidRPr="006A1EC7">
        <w:rPr>
          <w:noProof/>
        </w:rPr>
        <w:t xml:space="preserve">, </w:t>
      </w:r>
      <w:r w:rsidRPr="006A1EC7">
        <w:rPr>
          <w:i/>
          <w:iCs/>
          <w:noProof/>
        </w:rPr>
        <w:t>82</w:t>
      </w:r>
      <w:r w:rsidRPr="006A1EC7">
        <w:rPr>
          <w:noProof/>
        </w:rPr>
        <w:t>(2), 216–222. https://doi.org/10.1002/bjs.1800820229</w:t>
      </w:r>
    </w:p>
    <w:p w14:paraId="094C324C" w14:textId="05CC208A" w:rsidR="004B32CA" w:rsidRPr="006A1EC7" w:rsidRDefault="004B32CA" w:rsidP="004B32CA">
      <w:pPr>
        <w:spacing w:before="100" w:beforeAutospacing="1" w:after="100" w:afterAutospacing="1" w:line="360" w:lineRule="auto"/>
        <w:ind w:left="480" w:hanging="480"/>
        <w:rPr>
          <w:lang w:eastAsia="en-GB"/>
        </w:rPr>
      </w:pPr>
      <w:r w:rsidRPr="006A1EC7">
        <w:rPr>
          <w:lang w:eastAsia="en-GB"/>
        </w:rPr>
        <w:t xml:space="preserve">Faul, F., Erdfelder, E., Lang, A. G., &amp; Buchner, A. (2007). G*Power 3: A flexible statistical power analysis program for the social, behavioral, and biomedical sciences. In </w:t>
      </w:r>
      <w:r w:rsidRPr="006A1EC7">
        <w:rPr>
          <w:i/>
          <w:iCs/>
          <w:lang w:eastAsia="en-GB"/>
        </w:rPr>
        <w:t>Behavior Research Methods</w:t>
      </w:r>
      <w:r w:rsidRPr="006A1EC7">
        <w:rPr>
          <w:lang w:eastAsia="en-GB"/>
        </w:rPr>
        <w:t>. https://doi.org/10.3758/BF03193146</w:t>
      </w:r>
    </w:p>
    <w:p w14:paraId="55CBDDD3" w14:textId="03043F34" w:rsidR="00421249" w:rsidRPr="006A1EC7" w:rsidRDefault="00421249" w:rsidP="00421249">
      <w:pPr>
        <w:spacing w:before="100" w:beforeAutospacing="1" w:after="100" w:afterAutospacing="1"/>
        <w:ind w:left="480" w:hanging="480"/>
        <w:rPr>
          <w:lang w:eastAsia="en-GB"/>
        </w:rPr>
      </w:pPr>
      <w:r w:rsidRPr="006A1EC7">
        <w:rPr>
          <w:lang w:eastAsia="en-GB"/>
        </w:rPr>
        <w:t xml:space="preserve">Fava, G. A., Tomba, E., &amp; Sonino, N. (2012). Clinimetrics: The science of clinical measurements. </w:t>
      </w:r>
      <w:r w:rsidRPr="006A1EC7">
        <w:rPr>
          <w:i/>
          <w:iCs/>
          <w:lang w:eastAsia="en-GB"/>
        </w:rPr>
        <w:t>International Journal of Clinical Practice</w:t>
      </w:r>
      <w:r w:rsidRPr="006A1EC7">
        <w:rPr>
          <w:lang w:eastAsia="en-GB"/>
        </w:rPr>
        <w:t xml:space="preserve">, </w:t>
      </w:r>
      <w:r w:rsidRPr="006A1EC7">
        <w:rPr>
          <w:i/>
          <w:iCs/>
          <w:lang w:eastAsia="en-GB"/>
        </w:rPr>
        <w:t>66</w:t>
      </w:r>
      <w:r w:rsidRPr="006A1EC7">
        <w:rPr>
          <w:lang w:eastAsia="en-GB"/>
        </w:rPr>
        <w:t>(1), 11–15. https://doi.org/10.1111/j.1742-1241.2011.02825.</w:t>
      </w:r>
    </w:p>
    <w:p w14:paraId="3CCD9921" w14:textId="36786B9E" w:rsidR="00421249" w:rsidRPr="006A1EC7" w:rsidRDefault="00AD67F5" w:rsidP="00421249">
      <w:pPr>
        <w:widowControl w:val="0"/>
        <w:autoSpaceDE w:val="0"/>
        <w:autoSpaceDN w:val="0"/>
        <w:adjustRightInd w:val="0"/>
        <w:ind w:left="480" w:hanging="480"/>
        <w:rPr>
          <w:noProof/>
        </w:rPr>
      </w:pPr>
      <w:r w:rsidRPr="006A1EC7">
        <w:rPr>
          <w:noProof/>
        </w:rPr>
        <w:t xml:space="preserve">Feise, R. J. (2002). Do multiple outcome measures require p-value adjustment? </w:t>
      </w:r>
      <w:r w:rsidRPr="006A1EC7">
        <w:rPr>
          <w:i/>
          <w:iCs/>
          <w:noProof/>
        </w:rPr>
        <w:t>BMC Medical Research Methodology</w:t>
      </w:r>
      <w:r w:rsidRPr="006A1EC7">
        <w:rPr>
          <w:noProof/>
        </w:rPr>
        <w:t xml:space="preserve">, </w:t>
      </w:r>
      <w:r w:rsidRPr="006A1EC7">
        <w:rPr>
          <w:i/>
          <w:iCs/>
          <w:noProof/>
        </w:rPr>
        <w:t>2</w:t>
      </w:r>
      <w:r w:rsidRPr="006A1EC7">
        <w:rPr>
          <w:noProof/>
        </w:rPr>
        <w:t>, 1–4. https://doi.org/10.1186/1471-2288-2-8</w:t>
      </w:r>
    </w:p>
    <w:p w14:paraId="647EE78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Ferguson, L., &amp; Paul, C. (2007). An exploration of the experience of parents caring for babies fed by naso-gastric tube. </w:t>
      </w:r>
      <w:r w:rsidRPr="006A1EC7">
        <w:rPr>
          <w:i/>
          <w:iCs/>
          <w:noProof/>
        </w:rPr>
        <w:t>Signal</w:t>
      </w:r>
      <w:r w:rsidRPr="006A1EC7">
        <w:rPr>
          <w:noProof/>
        </w:rPr>
        <w:t xml:space="preserve">, </w:t>
      </w:r>
      <w:r w:rsidRPr="006A1EC7">
        <w:rPr>
          <w:i/>
          <w:iCs/>
          <w:noProof/>
        </w:rPr>
        <w:t>January</w:t>
      </w:r>
      <w:r w:rsidRPr="006A1EC7">
        <w:rPr>
          <w:noProof/>
        </w:rPr>
        <w:t>-(June), 10.</w:t>
      </w:r>
    </w:p>
    <w:p w14:paraId="738648F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Ferrara, P., Del Bufalo, F., Nicoletti, A., Romano, V., Gatto, A., Leoni, C., &amp; Zampino, G. (2010). Wolf-Hirschhorn syndrome with improvement of renal function. </w:t>
      </w:r>
      <w:r w:rsidRPr="006A1EC7">
        <w:rPr>
          <w:i/>
          <w:iCs/>
          <w:noProof/>
        </w:rPr>
        <w:t>American Journal of Medical Genetics. Part A</w:t>
      </w:r>
      <w:r w:rsidRPr="006A1EC7">
        <w:rPr>
          <w:noProof/>
        </w:rPr>
        <w:t xml:space="preserve">, </w:t>
      </w:r>
      <w:r w:rsidRPr="006A1EC7">
        <w:rPr>
          <w:i/>
          <w:iCs/>
          <w:noProof/>
        </w:rPr>
        <w:t>152A</w:t>
      </w:r>
      <w:r w:rsidRPr="006A1EC7">
        <w:rPr>
          <w:noProof/>
        </w:rPr>
        <w:t>(5), 1283–1284. https://doi.org/10.1002/ajmg.a.33357</w:t>
      </w:r>
    </w:p>
    <w:p w14:paraId="01AA1AC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Finch, J. (1987). Research Note: The Vignette Technique in Survey Research. </w:t>
      </w:r>
      <w:r w:rsidRPr="006A1EC7">
        <w:rPr>
          <w:i/>
          <w:iCs/>
          <w:noProof/>
        </w:rPr>
        <w:t>Sociology</w:t>
      </w:r>
      <w:r w:rsidRPr="006A1EC7">
        <w:rPr>
          <w:noProof/>
        </w:rPr>
        <w:t xml:space="preserve">, </w:t>
      </w:r>
      <w:r w:rsidRPr="006A1EC7">
        <w:rPr>
          <w:i/>
          <w:iCs/>
          <w:noProof/>
        </w:rPr>
        <w:t>21</w:t>
      </w:r>
      <w:r w:rsidRPr="006A1EC7">
        <w:rPr>
          <w:noProof/>
        </w:rPr>
        <w:t>(1), 105–114.</w:t>
      </w:r>
    </w:p>
    <w:p w14:paraId="75D1FF4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Fisch, G S, Battaglia, A., Parrini, B., Youngblom, J., &amp; Simensen, R. (2008). Cognitive-behavioral features of children with Wolf-Hirschhorn sndrome: Preliminary report of 12 cases. </w:t>
      </w:r>
      <w:r w:rsidRPr="006A1EC7">
        <w:rPr>
          <w:i/>
          <w:iCs/>
          <w:noProof/>
        </w:rPr>
        <w:t>American Journal of Medical Genetics, Part C: Seminars in Medical Genetics</w:t>
      </w:r>
      <w:r w:rsidRPr="006A1EC7">
        <w:rPr>
          <w:noProof/>
        </w:rPr>
        <w:t xml:space="preserve">, </w:t>
      </w:r>
      <w:r w:rsidRPr="006A1EC7">
        <w:rPr>
          <w:i/>
          <w:iCs/>
          <w:noProof/>
        </w:rPr>
        <w:t>148</w:t>
      </w:r>
      <w:r w:rsidRPr="006A1EC7">
        <w:rPr>
          <w:noProof/>
        </w:rPr>
        <w:t>(4), 252–256. https://doi.org/10.1002/ajmg.c.30185</w:t>
      </w:r>
    </w:p>
    <w:p w14:paraId="143A854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Fisch, Gene S., Carpenter, N., Howard-Peebles, P. N., Holden, J. J. A., Tarleton, J., Simensen, R., &amp; Battaglia, A. (2012). Developmental trajectories in syndromes with intellectual disability, with a focus on wolf-hirschhorn and its cognitive-behavioral profile. </w:t>
      </w:r>
      <w:r w:rsidRPr="006A1EC7">
        <w:rPr>
          <w:i/>
          <w:iCs/>
          <w:noProof/>
        </w:rPr>
        <w:t>American Journal on Intellectual and Developmental Disabilities</w:t>
      </w:r>
      <w:r w:rsidRPr="006A1EC7">
        <w:rPr>
          <w:noProof/>
        </w:rPr>
        <w:t xml:space="preserve">, </w:t>
      </w:r>
      <w:r w:rsidRPr="006A1EC7">
        <w:rPr>
          <w:i/>
          <w:iCs/>
          <w:noProof/>
        </w:rPr>
        <w:t>117</w:t>
      </w:r>
      <w:r w:rsidRPr="006A1EC7">
        <w:rPr>
          <w:noProof/>
        </w:rPr>
        <w:t>(2), 167–179. https://doi.org/10.1352/1944-7558-117.2.167</w:t>
      </w:r>
    </w:p>
    <w:p w14:paraId="2418F02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Fisch, Gene S., Grossfeld, P., Falk, R., Battaglia, A., Youngblom, J., &amp; Simensen, R. (2010). Cognitive-behavioral features of Wolf-Hirschhorn syndrome and other subtelomeric microdeletions. </w:t>
      </w:r>
      <w:r w:rsidRPr="006A1EC7">
        <w:rPr>
          <w:i/>
          <w:iCs/>
          <w:noProof/>
        </w:rPr>
        <w:t>American Journal of Medical Genetics, Part C: Seminars in Medical Genetics</w:t>
      </w:r>
      <w:r w:rsidRPr="006A1EC7">
        <w:rPr>
          <w:noProof/>
        </w:rPr>
        <w:t xml:space="preserve">, </w:t>
      </w:r>
      <w:r w:rsidRPr="006A1EC7">
        <w:rPr>
          <w:i/>
          <w:iCs/>
          <w:noProof/>
        </w:rPr>
        <w:t>154</w:t>
      </w:r>
      <w:r w:rsidRPr="006A1EC7">
        <w:rPr>
          <w:noProof/>
        </w:rPr>
        <w:t>(4), 417–426. https://doi.org/10.1002/ajmg.c.30279</w:t>
      </w:r>
    </w:p>
    <w:p w14:paraId="0BBFAD98" w14:textId="19084C5A" w:rsidR="00AD67F5" w:rsidRPr="006A1EC7" w:rsidRDefault="00AD67F5" w:rsidP="00421249">
      <w:pPr>
        <w:widowControl w:val="0"/>
        <w:autoSpaceDE w:val="0"/>
        <w:autoSpaceDN w:val="0"/>
        <w:adjustRightInd w:val="0"/>
        <w:ind w:left="480" w:hanging="480"/>
        <w:rPr>
          <w:noProof/>
        </w:rPr>
      </w:pPr>
      <w:r w:rsidRPr="006A1EC7">
        <w:rPr>
          <w:noProof/>
        </w:rPr>
        <w:t xml:space="preserve">Fitzpatrick, R., Davey, C., Davey, C., Buxton, M. J., Buxton, M. J., … Jones, D. R. (1998). Evaluating patient-based outcome measures for use in clinical trials. </w:t>
      </w:r>
      <w:r w:rsidRPr="006A1EC7">
        <w:rPr>
          <w:i/>
          <w:iCs/>
          <w:noProof/>
        </w:rPr>
        <w:t>Health Technology Assessment</w:t>
      </w:r>
      <w:r w:rsidRPr="006A1EC7">
        <w:rPr>
          <w:noProof/>
        </w:rPr>
        <w:t xml:space="preserve">, </w:t>
      </w:r>
      <w:r w:rsidRPr="006A1EC7">
        <w:rPr>
          <w:i/>
          <w:iCs/>
          <w:noProof/>
        </w:rPr>
        <w:t>2</w:t>
      </w:r>
      <w:r w:rsidRPr="006A1EC7">
        <w:rPr>
          <w:noProof/>
        </w:rPr>
        <w:t>(14), i–iv, 1–74. https://doi.org/9812244</w:t>
      </w:r>
    </w:p>
    <w:p w14:paraId="5373645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Foley, G., &amp; Timonen, V. (2015). Using grounded theory method to capture and analyze health care experiences. </w:t>
      </w:r>
      <w:r w:rsidRPr="006A1EC7">
        <w:rPr>
          <w:i/>
          <w:iCs/>
          <w:noProof/>
        </w:rPr>
        <w:t>Health Services Research</w:t>
      </w:r>
      <w:r w:rsidRPr="006A1EC7">
        <w:rPr>
          <w:noProof/>
        </w:rPr>
        <w:t xml:space="preserve">, </w:t>
      </w:r>
      <w:r w:rsidRPr="006A1EC7">
        <w:rPr>
          <w:i/>
          <w:iCs/>
          <w:noProof/>
        </w:rPr>
        <w:t>50</w:t>
      </w:r>
      <w:r w:rsidRPr="006A1EC7">
        <w:rPr>
          <w:noProof/>
        </w:rPr>
        <w:t>(4), 1195–1210. https://doi.org/10.1111/1475-6773.12275</w:t>
      </w:r>
    </w:p>
    <w:p w14:paraId="0CDCC8A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Foster, R. H., Kozachek, S., Stern, M., &amp; Elsea, S. H. (2010). Caring for the caregivers: An investigation of factors related to well-being among parents caring for a child with smith-magenis syndrome. </w:t>
      </w:r>
      <w:r w:rsidRPr="006A1EC7">
        <w:rPr>
          <w:i/>
          <w:iCs/>
          <w:noProof/>
        </w:rPr>
        <w:t>Journal of Genetic Counseling</w:t>
      </w:r>
      <w:r w:rsidRPr="006A1EC7">
        <w:rPr>
          <w:noProof/>
        </w:rPr>
        <w:t xml:space="preserve">, </w:t>
      </w:r>
      <w:r w:rsidRPr="006A1EC7">
        <w:rPr>
          <w:i/>
          <w:iCs/>
          <w:noProof/>
        </w:rPr>
        <w:t>19</w:t>
      </w:r>
      <w:r w:rsidRPr="006A1EC7">
        <w:rPr>
          <w:noProof/>
        </w:rPr>
        <w:t>(2), 187–198. https://doi.org/10.1007/s10897-009-9273-5</w:t>
      </w:r>
    </w:p>
    <w:p w14:paraId="0D09815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Funk, M., &amp; Seem, J. (1998). A mother’s perspective on chronic childhood illness: Parenting a child with cystic fibrosis. </w:t>
      </w:r>
      <w:r w:rsidRPr="006A1EC7">
        <w:rPr>
          <w:i/>
          <w:iCs/>
          <w:noProof/>
        </w:rPr>
        <w:t>Illness, Crisis, &amp; Loss</w:t>
      </w:r>
      <w:r w:rsidRPr="006A1EC7">
        <w:rPr>
          <w:noProof/>
        </w:rPr>
        <w:t xml:space="preserve">, </w:t>
      </w:r>
      <w:r w:rsidRPr="006A1EC7">
        <w:rPr>
          <w:i/>
          <w:iCs/>
          <w:noProof/>
        </w:rPr>
        <w:t>6</w:t>
      </w:r>
      <w:r w:rsidRPr="006A1EC7">
        <w:rPr>
          <w:noProof/>
        </w:rPr>
        <w:t>(2), 127–141. https://doi.org/10.2190/IL6.2.b</w:t>
      </w:r>
    </w:p>
    <w:p w14:paraId="40B47B1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Fusch, P. I., &amp; Ness, L. R. (2015). Are we there yet? Data saturation in qualitative </w:t>
      </w:r>
      <w:r w:rsidRPr="006A1EC7">
        <w:rPr>
          <w:noProof/>
        </w:rPr>
        <w:lastRenderedPageBreak/>
        <w:t xml:space="preserve">research. </w:t>
      </w:r>
      <w:r w:rsidRPr="006A1EC7">
        <w:rPr>
          <w:i/>
          <w:iCs/>
          <w:noProof/>
        </w:rPr>
        <w:t>Qualitative Report</w:t>
      </w:r>
      <w:r w:rsidRPr="006A1EC7">
        <w:rPr>
          <w:noProof/>
        </w:rPr>
        <w:t xml:space="preserve">, </w:t>
      </w:r>
      <w:r w:rsidRPr="006A1EC7">
        <w:rPr>
          <w:i/>
          <w:iCs/>
          <w:noProof/>
        </w:rPr>
        <w:t>20</w:t>
      </w:r>
      <w:r w:rsidRPr="006A1EC7">
        <w:rPr>
          <w:noProof/>
        </w:rPr>
        <w:t>(9), 1408–1416.</w:t>
      </w:r>
    </w:p>
    <w:p w14:paraId="66E304E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Gagne, J. J., Thompson, L., O’Keefe, K., &amp; Kesselheim, A. S. (2014). Innovative research methods for studying treatments for rare diseases: Methodological review. </w:t>
      </w:r>
      <w:r w:rsidRPr="006A1EC7">
        <w:rPr>
          <w:i/>
          <w:iCs/>
          <w:noProof/>
        </w:rPr>
        <w:t>BMJ (Online)</w:t>
      </w:r>
      <w:r w:rsidRPr="006A1EC7">
        <w:rPr>
          <w:noProof/>
        </w:rPr>
        <w:t xml:space="preserve">, </w:t>
      </w:r>
      <w:r w:rsidRPr="006A1EC7">
        <w:rPr>
          <w:i/>
          <w:iCs/>
          <w:noProof/>
        </w:rPr>
        <w:t>349</w:t>
      </w:r>
      <w:r w:rsidRPr="006A1EC7">
        <w:rPr>
          <w:noProof/>
        </w:rPr>
        <w:t>(November), 1–10. https://doi.org/10.1136/bmj.g6802</w:t>
      </w:r>
    </w:p>
    <w:p w14:paraId="2E412E0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Gallo, A. M., Knafl, K. A., &amp; Angst, D. B. (2009). Information Management in Families Who Have a Child With a Genetic Condition. </w:t>
      </w:r>
      <w:r w:rsidRPr="006A1EC7">
        <w:rPr>
          <w:i/>
          <w:iCs/>
          <w:noProof/>
        </w:rPr>
        <w:t>Journal of Pediatric Nursing</w:t>
      </w:r>
      <w:r w:rsidRPr="006A1EC7">
        <w:rPr>
          <w:noProof/>
        </w:rPr>
        <w:t xml:space="preserve">, </w:t>
      </w:r>
      <w:r w:rsidRPr="006A1EC7">
        <w:rPr>
          <w:i/>
          <w:iCs/>
          <w:noProof/>
        </w:rPr>
        <w:t>24</w:t>
      </w:r>
      <w:r w:rsidRPr="006A1EC7">
        <w:rPr>
          <w:noProof/>
        </w:rPr>
        <w:t>(3), 194–204. https://doi.org/10.1016/j.pedn.2008.07.010</w:t>
      </w:r>
    </w:p>
    <w:p w14:paraId="158F76E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Garcia, R. U., Aggarwal, S., &amp; Natarajan, G. (2016). Parental perception of functional status and impact on the family of children with congenital heart surgery. </w:t>
      </w:r>
      <w:r w:rsidRPr="006A1EC7">
        <w:rPr>
          <w:i/>
          <w:iCs/>
          <w:noProof/>
        </w:rPr>
        <w:t>Early Human Development</w:t>
      </w:r>
      <w:r w:rsidRPr="006A1EC7">
        <w:rPr>
          <w:noProof/>
        </w:rPr>
        <w:t xml:space="preserve">, </w:t>
      </w:r>
      <w:r w:rsidRPr="006A1EC7">
        <w:rPr>
          <w:i/>
          <w:iCs/>
          <w:noProof/>
        </w:rPr>
        <w:t>96</w:t>
      </w:r>
      <w:r w:rsidRPr="006A1EC7">
        <w:rPr>
          <w:noProof/>
        </w:rPr>
        <w:t>, 45–51. https://doi.org/10.1016/j.earlhumdev.2016.03.004</w:t>
      </w:r>
    </w:p>
    <w:p w14:paraId="3BD1EDF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Garratt, A. M., Schmidt, L., &amp; Fitzpatrick, R. (2001). Patient-assessed health outcome measures for diabetes: a structured review. </w:t>
      </w:r>
      <w:r w:rsidRPr="006A1EC7">
        <w:rPr>
          <w:i/>
          <w:iCs/>
          <w:noProof/>
        </w:rPr>
        <w:t>Diabetes UK: Diabetic Medicine</w:t>
      </w:r>
      <w:r w:rsidRPr="006A1EC7">
        <w:rPr>
          <w:noProof/>
        </w:rPr>
        <w:t>, 1–11.</w:t>
      </w:r>
    </w:p>
    <w:p w14:paraId="7FA1DE7C" w14:textId="77777777" w:rsidR="00AD67F5" w:rsidRPr="006A1EC7" w:rsidRDefault="00AD67F5" w:rsidP="00421249">
      <w:pPr>
        <w:widowControl w:val="0"/>
        <w:autoSpaceDE w:val="0"/>
        <w:autoSpaceDN w:val="0"/>
        <w:adjustRightInd w:val="0"/>
        <w:ind w:left="480" w:hanging="480"/>
        <w:rPr>
          <w:noProof/>
        </w:rPr>
      </w:pPr>
      <w:r w:rsidRPr="006A1EC7">
        <w:rPr>
          <w:noProof/>
        </w:rPr>
        <w:t>Genetic and Rare Diseases Information Center. (2017). FAQ about Rare Diseases. Retrieved September 18, 2017, from https://rarediseases.info.nih.gov/diseases/pages/31/faqs-about-rare-diseases</w:t>
      </w:r>
    </w:p>
    <w:p w14:paraId="7FE1342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Gilbody, S. M., House, A. O., &amp; Sheldon, T. (2002). Routine administration of Health Related Quality of Life (HRQoL) and needs assessment instruments to improve psychological outcome - A systemic review. </w:t>
      </w:r>
      <w:r w:rsidRPr="006A1EC7">
        <w:rPr>
          <w:i/>
          <w:iCs/>
          <w:noProof/>
        </w:rPr>
        <w:t>Psychological Medicine</w:t>
      </w:r>
      <w:r w:rsidRPr="006A1EC7">
        <w:rPr>
          <w:noProof/>
        </w:rPr>
        <w:t>. https://doi.org/10.1017/S0033291702006001</w:t>
      </w:r>
    </w:p>
    <w:p w14:paraId="7D99C434" w14:textId="77777777" w:rsidR="00AD67F5" w:rsidRPr="006A1EC7" w:rsidRDefault="00AD67F5" w:rsidP="00421249">
      <w:pPr>
        <w:widowControl w:val="0"/>
        <w:autoSpaceDE w:val="0"/>
        <w:autoSpaceDN w:val="0"/>
        <w:adjustRightInd w:val="0"/>
        <w:ind w:left="480" w:hanging="480"/>
        <w:rPr>
          <w:noProof/>
        </w:rPr>
      </w:pPr>
      <w:r w:rsidRPr="006A1EC7">
        <w:rPr>
          <w:noProof/>
        </w:rPr>
        <w:t>Gilker, W. (2014). PTSD and the caregiver. Retrieved April 12, 2017, from http://thecaregiverspace.org/ptsd-caregiver/</w:t>
      </w:r>
    </w:p>
    <w:p w14:paraId="0F09069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Gilker, W. (2016). </w:t>
      </w:r>
      <w:r w:rsidRPr="006A1EC7">
        <w:rPr>
          <w:i/>
          <w:iCs/>
          <w:noProof/>
        </w:rPr>
        <w:t>Swan: The story of a very special person and her mom.</w:t>
      </w:r>
      <w:r w:rsidRPr="006A1EC7">
        <w:rPr>
          <w:noProof/>
        </w:rPr>
        <w:t xml:space="preserve"> CreateSpace Independent Publishing Platform.</w:t>
      </w:r>
    </w:p>
    <w:p w14:paraId="684E808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Glaser, B. G. (1992). </w:t>
      </w:r>
      <w:r w:rsidRPr="006A1EC7">
        <w:rPr>
          <w:i/>
          <w:iCs/>
          <w:noProof/>
        </w:rPr>
        <w:t>Basics of Grounded Theory Analysis</w:t>
      </w:r>
      <w:r w:rsidRPr="006A1EC7">
        <w:rPr>
          <w:noProof/>
        </w:rPr>
        <w:t xml:space="preserve">. </w:t>
      </w:r>
      <w:r w:rsidRPr="006A1EC7">
        <w:rPr>
          <w:i/>
          <w:iCs/>
          <w:noProof/>
        </w:rPr>
        <w:t>Recherche</w:t>
      </w:r>
      <w:r w:rsidRPr="006A1EC7">
        <w:rPr>
          <w:noProof/>
        </w:rPr>
        <w:t>.</w:t>
      </w:r>
    </w:p>
    <w:p w14:paraId="26A5CBA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Global Genes. (2017). </w:t>
      </w:r>
      <w:r w:rsidRPr="006A1EC7">
        <w:rPr>
          <w:i/>
          <w:iCs/>
          <w:noProof/>
        </w:rPr>
        <w:t>Rare Disease: Facts and Statistics</w:t>
      </w:r>
      <w:r w:rsidRPr="006A1EC7">
        <w:rPr>
          <w:noProof/>
        </w:rPr>
        <w:t>. Retrieved from https://globalgenes.org/rare-diseases-facts-statistics/</w:t>
      </w:r>
    </w:p>
    <w:p w14:paraId="4182B53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Graungaard, A. H., &amp; Skov, L. (2007). Why do we need a diagnosis? A qualitative study of parents’ experiences, coping and needs, when the newborn child is severely disabled. </w:t>
      </w:r>
      <w:r w:rsidRPr="006A1EC7">
        <w:rPr>
          <w:i/>
          <w:iCs/>
          <w:noProof/>
        </w:rPr>
        <w:t>Child: Care, Health and Development</w:t>
      </w:r>
      <w:r w:rsidRPr="006A1EC7">
        <w:rPr>
          <w:noProof/>
        </w:rPr>
        <w:t xml:space="preserve">, </w:t>
      </w:r>
      <w:r w:rsidRPr="006A1EC7">
        <w:rPr>
          <w:i/>
          <w:iCs/>
          <w:noProof/>
        </w:rPr>
        <w:t>33</w:t>
      </w:r>
      <w:r w:rsidRPr="006A1EC7">
        <w:rPr>
          <w:noProof/>
        </w:rPr>
        <w:t>(3), 296–307. https://doi.org/10.1111/j.1365-2214.2006.00666.x</w:t>
      </w:r>
    </w:p>
    <w:p w14:paraId="4E6FAA6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Gray, T. G., Moores, K. L., James, E., Connor, M. E., Jones, G. L., &amp; Radley, S. C. (2019). Development and initial validation of an electronic personal assessment questionnaire for menstrual, pelvic pain and gynaecological hormonal disorders (ePAQ-MPH). </w:t>
      </w:r>
      <w:r w:rsidRPr="006A1EC7">
        <w:rPr>
          <w:i/>
          <w:iCs/>
          <w:noProof/>
        </w:rPr>
        <w:t>European Journal of Obstetrics &amp; Gynecology and Reproductive Biology</w:t>
      </w:r>
      <w:r w:rsidRPr="006A1EC7">
        <w:rPr>
          <w:noProof/>
        </w:rPr>
        <w:t xml:space="preserve">, </w:t>
      </w:r>
      <w:r w:rsidRPr="006A1EC7">
        <w:rPr>
          <w:i/>
          <w:iCs/>
          <w:noProof/>
        </w:rPr>
        <w:t>238</w:t>
      </w:r>
      <w:r w:rsidRPr="006A1EC7">
        <w:rPr>
          <w:noProof/>
        </w:rPr>
        <w:t>, 148–156. https://doi.org/10.1016/j.ejogrb.2019.05.024</w:t>
      </w:r>
    </w:p>
    <w:p w14:paraId="2CE8B83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Green, J. M., &amp; Murton, F. E. (1996). Diagnosis of Duchenne musuclar dystrophy: parents’ experiences and satisfaction. </w:t>
      </w:r>
      <w:r w:rsidRPr="006A1EC7">
        <w:rPr>
          <w:i/>
          <w:iCs/>
          <w:noProof/>
        </w:rPr>
        <w:t>Blackwell Science Ltd</w:t>
      </w:r>
      <w:r w:rsidRPr="006A1EC7">
        <w:rPr>
          <w:noProof/>
        </w:rPr>
        <w:t xml:space="preserve">, </w:t>
      </w:r>
      <w:r w:rsidRPr="006A1EC7">
        <w:rPr>
          <w:i/>
          <w:iCs/>
          <w:noProof/>
        </w:rPr>
        <w:t>22</w:t>
      </w:r>
      <w:r w:rsidRPr="006A1EC7">
        <w:rPr>
          <w:noProof/>
        </w:rPr>
        <w:t>(2), 113–128.</w:t>
      </w:r>
    </w:p>
    <w:p w14:paraId="76F0C3F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Griffith, G. M., Hastings, R. P., Oliver, C., Howlin, P., Moss, J., Petty, J., &amp; Tunnicliffe, P. (2011). Psychological well-being in parents of children with Angelman, Cornelia de Lange and Cri du Chat syndromes. </w:t>
      </w:r>
      <w:r w:rsidRPr="006A1EC7">
        <w:rPr>
          <w:i/>
          <w:iCs/>
          <w:noProof/>
        </w:rPr>
        <w:t>Journal of Intellectual Disability Research</w:t>
      </w:r>
      <w:r w:rsidRPr="006A1EC7">
        <w:rPr>
          <w:noProof/>
        </w:rPr>
        <w:t xml:space="preserve">, </w:t>
      </w:r>
      <w:r w:rsidRPr="006A1EC7">
        <w:rPr>
          <w:i/>
          <w:iCs/>
          <w:noProof/>
        </w:rPr>
        <w:t>55</w:t>
      </w:r>
      <w:r w:rsidRPr="006A1EC7">
        <w:rPr>
          <w:noProof/>
        </w:rPr>
        <w:t>(4), 397–410. https://doi.org/10.1111/j.1365-2788.2011.01386.x</w:t>
      </w:r>
    </w:p>
    <w:p w14:paraId="0D99CED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Griffith, Gemma Maria, Hastings, R. P., Nash, S., Petalas, M., Oliver, C., Howlin, P., … Tunnicliffe, P. (2011). “You have to sit and explain it all, and explain yourself.” mothers’ experiences of support services for their offspring with a rare genetic intellectual disability syndrome. </w:t>
      </w:r>
      <w:r w:rsidRPr="006A1EC7">
        <w:rPr>
          <w:i/>
          <w:iCs/>
          <w:noProof/>
        </w:rPr>
        <w:t>Journal of Genetic Counseling</w:t>
      </w:r>
      <w:r w:rsidRPr="006A1EC7">
        <w:rPr>
          <w:noProof/>
        </w:rPr>
        <w:t xml:space="preserve">, </w:t>
      </w:r>
      <w:r w:rsidRPr="006A1EC7">
        <w:rPr>
          <w:i/>
          <w:iCs/>
          <w:noProof/>
        </w:rPr>
        <w:t>20</w:t>
      </w:r>
      <w:r w:rsidRPr="006A1EC7">
        <w:rPr>
          <w:noProof/>
        </w:rPr>
        <w:t>(2), 165–177. https://doi.org/10.1007/s10897-010-9339-4</w:t>
      </w:r>
    </w:p>
    <w:p w14:paraId="60A0E34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Griffiths. (1970). Griffiths Mental Development Scales – GMDS. </w:t>
      </w:r>
      <w:r w:rsidRPr="006A1EC7">
        <w:rPr>
          <w:i/>
          <w:iCs/>
          <w:noProof/>
        </w:rPr>
        <w:t>1970</w:t>
      </w:r>
      <w:r w:rsidRPr="006A1EC7">
        <w:rPr>
          <w:noProof/>
        </w:rPr>
        <w:t>.</w:t>
      </w:r>
    </w:p>
    <w:p w14:paraId="173CC89B"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 xml:space="preserve">Guest, B. G., Macqueen, K. M., &amp; Namey, E. E. (2014). </w:t>
      </w:r>
      <w:r w:rsidRPr="006A1EC7">
        <w:rPr>
          <w:i/>
          <w:iCs/>
          <w:noProof/>
        </w:rPr>
        <w:t>Introduction to Applied Thematic Analysis</w:t>
      </w:r>
      <w:r w:rsidRPr="006A1EC7">
        <w:rPr>
          <w:noProof/>
        </w:rPr>
        <w:t>. Sage Publications.</w:t>
      </w:r>
    </w:p>
    <w:p w14:paraId="11E8AEA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Gummesson, C., Atroshi, I., &amp; Ekdahl, C. (2003). The disabilities of the arm, shoulder and hand (DASH) outcome questionnaire: longitudinal construct validity and measuring self-rated health change after surgery. </w:t>
      </w:r>
      <w:r w:rsidRPr="006A1EC7">
        <w:rPr>
          <w:i/>
          <w:iCs/>
          <w:noProof/>
        </w:rPr>
        <w:t>BMC Musculoskelet Disord</w:t>
      </w:r>
      <w:r w:rsidRPr="006A1EC7">
        <w:rPr>
          <w:noProof/>
        </w:rPr>
        <w:t xml:space="preserve">, </w:t>
      </w:r>
      <w:r w:rsidRPr="006A1EC7">
        <w:rPr>
          <w:i/>
          <w:iCs/>
          <w:noProof/>
        </w:rPr>
        <w:t>4</w:t>
      </w:r>
      <w:r w:rsidRPr="006A1EC7">
        <w:rPr>
          <w:noProof/>
        </w:rPr>
        <w:t>, 11. https://doi.org/10.1186/1471-2474-4-11</w:t>
      </w:r>
    </w:p>
    <w:p w14:paraId="268166C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Gupta, D. (2013). Mongolian spots: How important are they? </w:t>
      </w:r>
      <w:r w:rsidRPr="006A1EC7">
        <w:rPr>
          <w:i/>
          <w:iCs/>
          <w:noProof/>
        </w:rPr>
        <w:t>World Journal of Clinical Cases</w:t>
      </w:r>
      <w:r w:rsidRPr="006A1EC7">
        <w:rPr>
          <w:noProof/>
        </w:rPr>
        <w:t xml:space="preserve">, </w:t>
      </w:r>
      <w:r w:rsidRPr="006A1EC7">
        <w:rPr>
          <w:i/>
          <w:iCs/>
          <w:noProof/>
        </w:rPr>
        <w:t>1</w:t>
      </w:r>
      <w:r w:rsidRPr="006A1EC7">
        <w:rPr>
          <w:noProof/>
        </w:rPr>
        <w:t>(8), 230. https://doi.org/10.12998/wjcc.v1.i8.230</w:t>
      </w:r>
    </w:p>
    <w:p w14:paraId="4D4FE06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Gwet, K. L. (2008). Intrarater Reliability. In </w:t>
      </w:r>
      <w:r w:rsidRPr="006A1EC7">
        <w:rPr>
          <w:i/>
          <w:iCs/>
          <w:noProof/>
        </w:rPr>
        <w:t>WileyEncyclopedia of Clinical Trials,</w:t>
      </w:r>
      <w:r w:rsidRPr="006A1EC7">
        <w:rPr>
          <w:noProof/>
        </w:rPr>
        <w:t>. John Wiley &amp; Sons. https://doi.org/10.1002/9780471462422.eoct631</w:t>
      </w:r>
    </w:p>
    <w:p w14:paraId="0C6033D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Hallberg, U., Oskarsdottir, S., &amp; Klingberg, G. (2010). 22q11 deletion syndrome - the meaning of a diagnosis. A qualitative study on parental perspectives. </w:t>
      </w:r>
      <w:r w:rsidRPr="006A1EC7">
        <w:rPr>
          <w:i/>
          <w:iCs/>
          <w:noProof/>
        </w:rPr>
        <w:t>Child: Care, Health and Development</w:t>
      </w:r>
      <w:r w:rsidRPr="006A1EC7">
        <w:rPr>
          <w:noProof/>
        </w:rPr>
        <w:t>, 719–725. https://doi.org/10.1111/j.1365-2214.2010.01108.x</w:t>
      </w:r>
    </w:p>
    <w:p w14:paraId="61B1C54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Hallgren, K. (2012). Computing Inter-Rater Reliability for Observational Data: An Overview and Tutorial Kevin. </w:t>
      </w:r>
      <w:r w:rsidRPr="006A1EC7">
        <w:rPr>
          <w:i/>
          <w:iCs/>
          <w:noProof/>
        </w:rPr>
        <w:t>Tutor Quant Methods Psychol</w:t>
      </w:r>
      <w:r w:rsidRPr="006A1EC7">
        <w:rPr>
          <w:noProof/>
        </w:rPr>
        <w:t xml:space="preserve">, </w:t>
      </w:r>
      <w:r w:rsidRPr="006A1EC7">
        <w:rPr>
          <w:i/>
          <w:iCs/>
          <w:noProof/>
        </w:rPr>
        <w:t>8</w:t>
      </w:r>
      <w:r w:rsidRPr="006A1EC7">
        <w:rPr>
          <w:noProof/>
        </w:rPr>
        <w:t>(1), 23–34.</w:t>
      </w:r>
    </w:p>
    <w:p w14:paraId="7BEB010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Hamera, E., &amp; Brown, C. E. (2000). Developing a Context-Based Performance Measure for Persons with Schizophrenia: The Test of Grocery Shopping Skills. </w:t>
      </w:r>
      <w:r w:rsidRPr="006A1EC7">
        <w:rPr>
          <w:i/>
          <w:iCs/>
          <w:noProof/>
        </w:rPr>
        <w:t>American Journal of Occupational Therapy</w:t>
      </w:r>
      <w:r w:rsidRPr="006A1EC7">
        <w:rPr>
          <w:noProof/>
        </w:rPr>
        <w:t xml:space="preserve">, </w:t>
      </w:r>
      <w:r w:rsidRPr="006A1EC7">
        <w:rPr>
          <w:i/>
          <w:iCs/>
          <w:noProof/>
        </w:rPr>
        <w:t>54</w:t>
      </w:r>
      <w:r w:rsidRPr="006A1EC7">
        <w:rPr>
          <w:noProof/>
        </w:rPr>
        <w:t>, 20–25.</w:t>
      </w:r>
    </w:p>
    <w:p w14:paraId="0611C071" w14:textId="0BD5DCF1" w:rsidR="00AD67F5" w:rsidRPr="006A1EC7" w:rsidRDefault="00AD67F5" w:rsidP="00421249">
      <w:pPr>
        <w:widowControl w:val="0"/>
        <w:autoSpaceDE w:val="0"/>
        <w:autoSpaceDN w:val="0"/>
        <w:adjustRightInd w:val="0"/>
        <w:ind w:left="480" w:hanging="480"/>
        <w:rPr>
          <w:noProof/>
        </w:rPr>
      </w:pPr>
      <w:r w:rsidRPr="006A1EC7">
        <w:rPr>
          <w:noProof/>
        </w:rPr>
        <w:t xml:space="preserve">Hanley-Lopez, J, Estabrooks, L. L., &amp; Stiehm, E. R. (1998). Antibody deficiency in Wolf-Hirschhorn syndrome. </w:t>
      </w:r>
      <w:r w:rsidRPr="006A1EC7">
        <w:rPr>
          <w:i/>
          <w:iCs/>
          <w:noProof/>
        </w:rPr>
        <w:t>Journal of Pediatrics</w:t>
      </w:r>
      <w:r w:rsidRPr="006A1EC7">
        <w:rPr>
          <w:noProof/>
        </w:rPr>
        <w:t xml:space="preserve">, </w:t>
      </w:r>
      <w:r w:rsidRPr="006A1EC7">
        <w:rPr>
          <w:i/>
          <w:iCs/>
          <w:noProof/>
        </w:rPr>
        <w:t>133</w:t>
      </w:r>
      <w:r w:rsidRPr="006A1EC7">
        <w:rPr>
          <w:noProof/>
        </w:rPr>
        <w:t>(1), 141–143. https://doi.org/10.1016/S0022-3476(98)70194-5</w:t>
      </w:r>
    </w:p>
    <w:p w14:paraId="7210749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Hannes, F., Drozniewska, M., Vermeesch, J. R., &amp; Haus, O. (2010). Duplication of the Wolf-Hirschhorn syndrome critical region causes neurodevelopmental delay. </w:t>
      </w:r>
      <w:r w:rsidRPr="006A1EC7">
        <w:rPr>
          <w:i/>
          <w:iCs/>
          <w:noProof/>
        </w:rPr>
        <w:t>European Journal of Medical Genetics</w:t>
      </w:r>
      <w:r w:rsidRPr="006A1EC7">
        <w:rPr>
          <w:noProof/>
        </w:rPr>
        <w:t xml:space="preserve">, </w:t>
      </w:r>
      <w:r w:rsidRPr="006A1EC7">
        <w:rPr>
          <w:i/>
          <w:iCs/>
          <w:noProof/>
        </w:rPr>
        <w:t>53</w:t>
      </w:r>
      <w:r w:rsidRPr="006A1EC7">
        <w:rPr>
          <w:noProof/>
        </w:rPr>
        <w:t>(3), 136–140. https://doi.org/10.1016/j.ejmg.2010.02.004</w:t>
      </w:r>
    </w:p>
    <w:p w14:paraId="7C55730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Hawkins, E. J., &amp; Riddick, W. (2018). Reliability, Validity, and Responsiveness of Clinical Performance–Based Outcome Measures of Walking for Individuals With Lower Limb Amputations: A Systematic Revie. </w:t>
      </w:r>
      <w:r w:rsidRPr="006A1EC7">
        <w:rPr>
          <w:i/>
          <w:iCs/>
          <w:noProof/>
        </w:rPr>
        <w:t>Physical Therapy</w:t>
      </w:r>
      <w:r w:rsidRPr="006A1EC7">
        <w:rPr>
          <w:noProof/>
        </w:rPr>
        <w:t xml:space="preserve">, </w:t>
      </w:r>
      <w:r w:rsidRPr="006A1EC7">
        <w:rPr>
          <w:i/>
          <w:iCs/>
          <w:noProof/>
        </w:rPr>
        <w:t>98</w:t>
      </w:r>
      <w:r w:rsidRPr="006A1EC7">
        <w:rPr>
          <w:noProof/>
        </w:rPr>
        <w:t>(12), 1037–1045.</w:t>
      </w:r>
    </w:p>
    <w:p w14:paraId="752B51C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Haynes, S.N., Richard, D.C.S. &amp; Kubany, E. S. (1995). Content Validity in Psychological Assessment: A Functional Approach to Concepts and Methods. </w:t>
      </w:r>
      <w:r w:rsidRPr="006A1EC7">
        <w:rPr>
          <w:i/>
          <w:iCs/>
          <w:noProof/>
        </w:rPr>
        <w:t>The American Psychological Association, Inc.</w:t>
      </w:r>
    </w:p>
    <w:p w14:paraId="19ECFE9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Heiman, T. (2002). Parents of Children with Disabilities: Resilience, Coping, and Future Expectations. </w:t>
      </w:r>
      <w:r w:rsidRPr="006A1EC7">
        <w:rPr>
          <w:i/>
          <w:iCs/>
          <w:noProof/>
        </w:rPr>
        <w:t>Journal of Developmental and Physical Disabilities</w:t>
      </w:r>
      <w:r w:rsidRPr="006A1EC7">
        <w:rPr>
          <w:noProof/>
        </w:rPr>
        <w:t xml:space="preserve">, </w:t>
      </w:r>
      <w:r w:rsidRPr="006A1EC7">
        <w:rPr>
          <w:i/>
          <w:iCs/>
          <w:noProof/>
        </w:rPr>
        <w:t>14</w:t>
      </w:r>
      <w:r w:rsidRPr="006A1EC7">
        <w:rPr>
          <w:noProof/>
        </w:rPr>
        <w:t>(2).</w:t>
      </w:r>
    </w:p>
    <w:p w14:paraId="33F06CE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Hercher, L., &amp; Bruenner, G. (2013). Parents’ experiences of living with, and caring for children, adolescents and young adults with Mucopolysaccharidosis (MPS). </w:t>
      </w:r>
      <w:r w:rsidRPr="006A1EC7">
        <w:rPr>
          <w:i/>
          <w:iCs/>
          <w:noProof/>
        </w:rPr>
        <w:t>Journal of Genetic Counseling</w:t>
      </w:r>
      <w:r w:rsidRPr="006A1EC7">
        <w:rPr>
          <w:noProof/>
        </w:rPr>
        <w:t xml:space="preserve">, </w:t>
      </w:r>
      <w:r w:rsidRPr="006A1EC7">
        <w:rPr>
          <w:i/>
          <w:iCs/>
          <w:noProof/>
        </w:rPr>
        <w:t>24</w:t>
      </w:r>
      <w:r w:rsidRPr="006A1EC7">
        <w:rPr>
          <w:noProof/>
        </w:rPr>
        <w:t>(1), 1574–1581. https://doi.org/10.1007/s10897-011-9361-1</w:t>
      </w:r>
    </w:p>
    <w:p w14:paraId="298DD52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Herlihy, A. S., Mclachlan, R. I., Gillam, L., Cock, M. L., Collins, V., &amp; Halliday, J. L. (2011). The psychosocial impact of Klinefelter syndrome and factors influencing quality of life, </w:t>
      </w:r>
      <w:r w:rsidRPr="006A1EC7">
        <w:rPr>
          <w:i/>
          <w:iCs/>
          <w:noProof/>
        </w:rPr>
        <w:t>13</w:t>
      </w:r>
      <w:r w:rsidRPr="006A1EC7">
        <w:rPr>
          <w:noProof/>
        </w:rPr>
        <w:t>(7). https://doi.org/10.1097/GIM.0b013e3182136d19</w:t>
      </w:r>
    </w:p>
    <w:p w14:paraId="4136CB6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Hinkin, T. R. (1995). A Review of Scale Development Practices in the Study of Organizations. </w:t>
      </w:r>
      <w:r w:rsidRPr="006A1EC7">
        <w:rPr>
          <w:i/>
          <w:iCs/>
          <w:noProof/>
        </w:rPr>
        <w:t>Journal of Management</w:t>
      </w:r>
      <w:r w:rsidRPr="006A1EC7">
        <w:rPr>
          <w:noProof/>
        </w:rPr>
        <w:t xml:space="preserve">, </w:t>
      </w:r>
      <w:r w:rsidRPr="006A1EC7">
        <w:rPr>
          <w:i/>
          <w:iCs/>
          <w:noProof/>
        </w:rPr>
        <w:t>21</w:t>
      </w:r>
      <w:r w:rsidRPr="006A1EC7">
        <w:rPr>
          <w:noProof/>
        </w:rPr>
        <w:t>(5), 967–988. https://doi.org/10.1177/014920639502100509</w:t>
      </w:r>
    </w:p>
    <w:p w14:paraId="6E25010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Hirschhorn, K, Cooper, H., &amp; Firschein, I. (1965). Deletion of short arms of chromosome 4–5 in a child with defects of midline fusion. </w:t>
      </w:r>
      <w:r w:rsidRPr="006A1EC7">
        <w:rPr>
          <w:i/>
          <w:iCs/>
          <w:noProof/>
        </w:rPr>
        <w:t>Humangenetik</w:t>
      </w:r>
      <w:r w:rsidRPr="006A1EC7">
        <w:rPr>
          <w:noProof/>
        </w:rPr>
        <w:t xml:space="preserve">, </w:t>
      </w:r>
      <w:r w:rsidRPr="006A1EC7">
        <w:rPr>
          <w:i/>
          <w:iCs/>
          <w:noProof/>
        </w:rPr>
        <w:t>1</w:t>
      </w:r>
      <w:r w:rsidRPr="006A1EC7">
        <w:rPr>
          <w:noProof/>
        </w:rPr>
        <w:t>, 479–482.</w:t>
      </w:r>
    </w:p>
    <w:p w14:paraId="1CA583F9" w14:textId="77777777" w:rsidR="00AD67F5" w:rsidRPr="006A1EC7" w:rsidRDefault="00AD67F5" w:rsidP="00421249">
      <w:pPr>
        <w:widowControl w:val="0"/>
        <w:autoSpaceDE w:val="0"/>
        <w:autoSpaceDN w:val="0"/>
        <w:adjustRightInd w:val="0"/>
        <w:ind w:left="480" w:hanging="480"/>
        <w:rPr>
          <w:noProof/>
        </w:rPr>
      </w:pPr>
      <w:r w:rsidRPr="006A1EC7">
        <w:rPr>
          <w:noProof/>
        </w:rPr>
        <w:t>Hirschhorn, Kurt. (2008). A short history of the initial discovery of the Wolf-</w:t>
      </w:r>
      <w:r w:rsidRPr="006A1EC7">
        <w:rPr>
          <w:noProof/>
        </w:rPr>
        <w:lastRenderedPageBreak/>
        <w:t xml:space="preserve">Hirschhorn syndrome. </w:t>
      </w:r>
      <w:r w:rsidRPr="006A1EC7">
        <w:rPr>
          <w:i/>
          <w:iCs/>
          <w:noProof/>
        </w:rPr>
        <w:t>American Journal of Medical Genetics, Part C: Seminars in Medical Genetics</w:t>
      </w:r>
      <w:r w:rsidRPr="006A1EC7">
        <w:rPr>
          <w:noProof/>
        </w:rPr>
        <w:t xml:space="preserve">, </w:t>
      </w:r>
      <w:r w:rsidRPr="006A1EC7">
        <w:rPr>
          <w:i/>
          <w:iCs/>
          <w:noProof/>
        </w:rPr>
        <w:t>148</w:t>
      </w:r>
      <w:r w:rsidRPr="006A1EC7">
        <w:rPr>
          <w:noProof/>
        </w:rPr>
        <w:t>(4), 244–245. https://doi.org/10.1002/ajmg.c.30186</w:t>
      </w:r>
    </w:p>
    <w:p w14:paraId="14C4A8DF" w14:textId="682280A6" w:rsidR="00AD67F5" w:rsidRPr="006A1EC7" w:rsidRDefault="00AD67F5" w:rsidP="00421249">
      <w:pPr>
        <w:widowControl w:val="0"/>
        <w:autoSpaceDE w:val="0"/>
        <w:autoSpaceDN w:val="0"/>
        <w:adjustRightInd w:val="0"/>
        <w:ind w:left="480" w:hanging="480"/>
        <w:rPr>
          <w:noProof/>
        </w:rPr>
      </w:pPr>
      <w:r w:rsidRPr="006A1EC7">
        <w:rPr>
          <w:noProof/>
        </w:rPr>
        <w:t>Ho, K. S., Markham, L. M., Twede, H., Lortz, A., Olson, L. M., Sheng, X., … Battaglia, A. (</w:t>
      </w:r>
      <w:r w:rsidR="00421249" w:rsidRPr="006A1EC7">
        <w:rPr>
          <w:noProof/>
        </w:rPr>
        <w:t>2018</w:t>
      </w:r>
      <w:r w:rsidRPr="006A1EC7">
        <w:rPr>
          <w:noProof/>
        </w:rPr>
        <w:t xml:space="preserve">). A survey of antiepileptic drug responses identifies drugs with potential efficacy for seizure control in Wolf–Hirschhorn syndrome. </w:t>
      </w:r>
      <w:r w:rsidRPr="006A1EC7">
        <w:rPr>
          <w:i/>
          <w:iCs/>
          <w:noProof/>
        </w:rPr>
        <w:t>Epilepsy and Behavior</w:t>
      </w:r>
      <w:r w:rsidRPr="006A1EC7">
        <w:rPr>
          <w:noProof/>
        </w:rPr>
        <w:t xml:space="preserve">, </w:t>
      </w:r>
      <w:r w:rsidRPr="006A1EC7">
        <w:rPr>
          <w:i/>
          <w:iCs/>
          <w:noProof/>
        </w:rPr>
        <w:t>81</w:t>
      </w:r>
      <w:r w:rsidRPr="006A1EC7">
        <w:rPr>
          <w:noProof/>
        </w:rPr>
        <w:t>, 55–61. https://doi.org/10.1016/j.yebeh.2017.12.008</w:t>
      </w:r>
    </w:p>
    <w:p w14:paraId="2D0E953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Ho, K. S., South, S. T., Lortz, A., Hensel, C. H., Sdano, M. R., Vanzo, R. J., … Battaglia, A. (2016). Chromosomal microarray testing identifies a 4p terminal region associated with seizures in Wolf-Hirschhorn syndrome. </w:t>
      </w:r>
      <w:r w:rsidRPr="006A1EC7">
        <w:rPr>
          <w:i/>
          <w:iCs/>
          <w:noProof/>
        </w:rPr>
        <w:t>Journal of Medical Genetics</w:t>
      </w:r>
      <w:r w:rsidRPr="006A1EC7">
        <w:rPr>
          <w:noProof/>
        </w:rPr>
        <w:t xml:space="preserve">, </w:t>
      </w:r>
      <w:r w:rsidRPr="006A1EC7">
        <w:rPr>
          <w:i/>
          <w:iCs/>
          <w:noProof/>
        </w:rPr>
        <w:t>53</w:t>
      </w:r>
      <w:r w:rsidRPr="006A1EC7">
        <w:rPr>
          <w:noProof/>
        </w:rPr>
        <w:t>(4), 1–8. https://doi.org/10.1136/jmedgenet-2015-103626</w:t>
      </w:r>
    </w:p>
    <w:p w14:paraId="237E3FF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Hobart, J. C., Cano, S. J., Zajicek, J. P., &amp; Thompson, A. J. (2007). Rating scales as outcome measures for clinical trials in neurology: problems, solutions, and recommendations. </w:t>
      </w:r>
      <w:r w:rsidRPr="006A1EC7">
        <w:rPr>
          <w:i/>
          <w:iCs/>
          <w:noProof/>
        </w:rPr>
        <w:t>Lancet Neurol</w:t>
      </w:r>
      <w:r w:rsidRPr="006A1EC7">
        <w:rPr>
          <w:noProof/>
        </w:rPr>
        <w:t xml:space="preserve">, </w:t>
      </w:r>
      <w:r w:rsidRPr="006A1EC7">
        <w:rPr>
          <w:i/>
          <w:iCs/>
          <w:noProof/>
        </w:rPr>
        <w:t>6</w:t>
      </w:r>
      <w:r w:rsidRPr="006A1EC7">
        <w:rPr>
          <w:noProof/>
        </w:rPr>
        <w:t>(12), 1094–1105. https://doi.org/10.1016/S1474-4422(07)70290-9</w:t>
      </w:r>
    </w:p>
    <w:p w14:paraId="3D696F7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Hofman, C. S., Lutomski, J. E., Boter, H., Buurman, B. M., De Craen, A. J. M., Donders, R., … Qin, L. (2017). Examining the construct and known-group validity of a composite endpoint for the Older Persons and Informal Caregivers Survey Minimum Data Set (TOPICS-MDS); A largescale data sharing initiative. </w:t>
      </w:r>
      <w:r w:rsidRPr="006A1EC7">
        <w:rPr>
          <w:i/>
          <w:iCs/>
          <w:noProof/>
        </w:rPr>
        <w:t>PLoS ONE</w:t>
      </w:r>
      <w:r w:rsidRPr="006A1EC7">
        <w:rPr>
          <w:noProof/>
        </w:rPr>
        <w:t xml:space="preserve">, </w:t>
      </w:r>
      <w:r w:rsidRPr="006A1EC7">
        <w:rPr>
          <w:i/>
          <w:iCs/>
          <w:noProof/>
        </w:rPr>
        <w:t>12</w:t>
      </w:r>
      <w:r w:rsidRPr="006A1EC7">
        <w:rPr>
          <w:noProof/>
        </w:rPr>
        <w:t>(3), 1–12. https://doi.org/10.1371/journal.pone.0173081</w:t>
      </w:r>
    </w:p>
    <w:p w14:paraId="10E584D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Hollman, G., &amp; Olsson, A. G. (2004). The Meaning of Quality of Life Among Patients With Familial Hypercholesterolemia, </w:t>
      </w:r>
      <w:r w:rsidRPr="006A1EC7">
        <w:rPr>
          <w:i/>
          <w:iCs/>
          <w:noProof/>
        </w:rPr>
        <w:t>19</w:t>
      </w:r>
      <w:r w:rsidRPr="006A1EC7">
        <w:rPr>
          <w:noProof/>
        </w:rPr>
        <w:t>(4), 243–250.</w:t>
      </w:r>
    </w:p>
    <w:p w14:paraId="5026F65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Homlitas, C., Rosales, R., &amp; Candel, L. (2014). A further evaluation of behavioral skills training for implementation of the picture exchange communication system. </w:t>
      </w:r>
      <w:r w:rsidRPr="006A1EC7">
        <w:rPr>
          <w:i/>
          <w:iCs/>
          <w:noProof/>
        </w:rPr>
        <w:t>Journal of Applied Behavior Analysis</w:t>
      </w:r>
      <w:r w:rsidRPr="006A1EC7">
        <w:rPr>
          <w:noProof/>
        </w:rPr>
        <w:t xml:space="preserve">, </w:t>
      </w:r>
      <w:r w:rsidRPr="006A1EC7">
        <w:rPr>
          <w:i/>
          <w:iCs/>
          <w:noProof/>
        </w:rPr>
        <w:t>47</w:t>
      </w:r>
      <w:r w:rsidRPr="006A1EC7">
        <w:rPr>
          <w:noProof/>
        </w:rPr>
        <w:t>(1), 198–203. https://doi.org/10.1002/jaba.99</w:t>
      </w:r>
    </w:p>
    <w:p w14:paraId="01C447B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Howell, D. (2012). Intraclass Correlation. In N. Salkind (Ed.), </w:t>
      </w:r>
      <w:r w:rsidRPr="006A1EC7">
        <w:rPr>
          <w:i/>
          <w:iCs/>
          <w:noProof/>
        </w:rPr>
        <w:t>Encyclopedia of Research Design</w:t>
      </w:r>
      <w:r w:rsidRPr="006A1EC7">
        <w:rPr>
          <w:noProof/>
        </w:rPr>
        <w:t xml:space="preserve"> (pp. 637–641). Thousand: Sage Publication. https://doi.org/10.4135/9781412961288.n198</w:t>
      </w:r>
    </w:p>
    <w:p w14:paraId="61FFD32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Huber, M., Knotterus, A., Green, L., van der Horst, H., Jadad, A., Kromhout, D., … Smid, H. (2011). How should we define health ? </w:t>
      </w:r>
      <w:r w:rsidRPr="006A1EC7">
        <w:rPr>
          <w:i/>
          <w:iCs/>
          <w:noProof/>
        </w:rPr>
        <w:t>British Medical Journal</w:t>
      </w:r>
      <w:r w:rsidRPr="006A1EC7">
        <w:rPr>
          <w:noProof/>
        </w:rPr>
        <w:t>, 1–3. https://doi.org/10.1136/bmj.d4163</w:t>
      </w:r>
    </w:p>
    <w:p w14:paraId="2E5373C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Hubley, A. (2014). Discriminant validity. In A. Michalos (Ed.), </w:t>
      </w:r>
      <w:r w:rsidRPr="006A1EC7">
        <w:rPr>
          <w:i/>
          <w:iCs/>
          <w:noProof/>
        </w:rPr>
        <w:t>Encyclopedia of Quality of Life and Well-Being Research</w:t>
      </w:r>
      <w:r w:rsidRPr="006A1EC7">
        <w:rPr>
          <w:noProof/>
        </w:rPr>
        <w:t>. Dordrecht: Springer. https://doi.org/10.1007/978-94-007-0753-5_751</w:t>
      </w:r>
    </w:p>
    <w:p w14:paraId="528E760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Hudgens, S., Spalding, J., &amp; Chaudhari, P. (2016). Validation of a Patient-reported Outcome (PRO) Measure and a Clinician-reported Outcome (CRO) Measure to Assess Satisfaction with Pharmacologic Stress Agents for Single-photon Emission Computed Tomography (SPECT) Myocardial Perfusion Imaging (MPI). </w:t>
      </w:r>
      <w:r w:rsidRPr="006A1EC7">
        <w:rPr>
          <w:i/>
          <w:iCs/>
          <w:noProof/>
        </w:rPr>
        <w:t>Clinical Therapeutics</w:t>
      </w:r>
      <w:r w:rsidRPr="006A1EC7">
        <w:rPr>
          <w:noProof/>
        </w:rPr>
        <w:t xml:space="preserve">, </w:t>
      </w:r>
      <w:r w:rsidRPr="006A1EC7">
        <w:rPr>
          <w:i/>
          <w:iCs/>
          <w:noProof/>
        </w:rPr>
        <w:t>38</w:t>
      </w:r>
      <w:r w:rsidRPr="006A1EC7">
        <w:rPr>
          <w:noProof/>
        </w:rPr>
        <w:t>(5), 1141–1150. https://doi.org/10.1016/j.clinthera.2016.02.024</w:t>
      </w:r>
    </w:p>
    <w:p w14:paraId="3E52123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Humphrey, A., Ploubidis, G. B., Yates, J. R. W., Steinberg, T., &amp; Bolton, P. F. (2008). The Early Childhood Epilepsy Severity Scale (E-Chess). </w:t>
      </w:r>
      <w:r w:rsidRPr="006A1EC7">
        <w:rPr>
          <w:i/>
          <w:iCs/>
          <w:noProof/>
        </w:rPr>
        <w:t>Epilepsy Research</w:t>
      </w:r>
      <w:r w:rsidRPr="006A1EC7">
        <w:rPr>
          <w:noProof/>
        </w:rPr>
        <w:t xml:space="preserve">, </w:t>
      </w:r>
      <w:r w:rsidRPr="006A1EC7">
        <w:rPr>
          <w:i/>
          <w:iCs/>
          <w:noProof/>
        </w:rPr>
        <w:t>79</w:t>
      </w:r>
      <w:r w:rsidRPr="006A1EC7">
        <w:rPr>
          <w:noProof/>
        </w:rPr>
        <w:t>(2–3), 139–145. https://doi.org/10.1016/j.eplepsyres.2008.01.007</w:t>
      </w:r>
    </w:p>
    <w:p w14:paraId="6D9128CF" w14:textId="77777777" w:rsidR="00AD67F5" w:rsidRPr="006A1EC7" w:rsidRDefault="00AD67F5" w:rsidP="00421249">
      <w:pPr>
        <w:widowControl w:val="0"/>
        <w:autoSpaceDE w:val="0"/>
        <w:autoSpaceDN w:val="0"/>
        <w:adjustRightInd w:val="0"/>
        <w:ind w:left="480" w:hanging="480"/>
        <w:rPr>
          <w:noProof/>
        </w:rPr>
      </w:pPr>
      <w:r w:rsidRPr="006A1EC7">
        <w:rPr>
          <w:noProof/>
        </w:rPr>
        <w:t>Iii, J. H. P., Fidsa, F., Patrick, D. L., Walton, M., Cano, S., Hobart, J., … Burke, L. B. (n.d.). Clinician Reported Outcome (ClinRO) Assessments of Treatment Benefit: Report of the ISPOR Clinical Outcome Assessment Emerging Good Practices Task Force, 1–27.</w:t>
      </w:r>
    </w:p>
    <w:p w14:paraId="74D777D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Imenda, S. (2014). Is There a Conceptual Difference between Theoretical and Conceptual Frameworks ?, </w:t>
      </w:r>
      <w:r w:rsidRPr="006A1EC7">
        <w:rPr>
          <w:i/>
          <w:iCs/>
          <w:noProof/>
        </w:rPr>
        <w:t>38</w:t>
      </w:r>
      <w:r w:rsidRPr="006A1EC7">
        <w:rPr>
          <w:noProof/>
        </w:rPr>
        <w:t>(2), 185–195.</w:t>
      </w:r>
    </w:p>
    <w:p w14:paraId="091C9F6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International Society for Quality of life research. (2019). ISOQOL: Who we are. </w:t>
      </w:r>
      <w:r w:rsidRPr="006A1EC7">
        <w:rPr>
          <w:noProof/>
        </w:rPr>
        <w:lastRenderedPageBreak/>
        <w:t>Retrieved November 13, 2019, from https://www.isoqol.org/who-we-are/</w:t>
      </w:r>
    </w:p>
    <w:p w14:paraId="2A1C5D2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IRDiRc. (2016). Patient-Centered Outcome Measures Initiatives in the Field of Rare Diseases February 2016. </w:t>
      </w:r>
      <w:r w:rsidRPr="006A1EC7">
        <w:rPr>
          <w:i/>
          <w:iCs/>
          <w:noProof/>
        </w:rPr>
        <w:t>International Rare Disease Research Consortium</w:t>
      </w:r>
      <w:r w:rsidRPr="006A1EC7">
        <w:rPr>
          <w:noProof/>
        </w:rPr>
        <w:t>, (February).</w:t>
      </w:r>
    </w:p>
    <w:p w14:paraId="1D2F85FB" w14:textId="77777777" w:rsidR="00AD67F5" w:rsidRPr="006A1EC7" w:rsidRDefault="00AD67F5" w:rsidP="00421249">
      <w:pPr>
        <w:widowControl w:val="0"/>
        <w:autoSpaceDE w:val="0"/>
        <w:autoSpaceDN w:val="0"/>
        <w:adjustRightInd w:val="0"/>
        <w:ind w:left="480" w:hanging="480"/>
        <w:rPr>
          <w:noProof/>
        </w:rPr>
      </w:pPr>
      <w:r w:rsidRPr="006A1EC7">
        <w:rPr>
          <w:noProof/>
        </w:rPr>
        <w:t>Jabareen, Y. (2009). Building a Conceptual Framework : Philosophy , Definitions , and Procedure, 49–62.</w:t>
      </w:r>
    </w:p>
    <w:p w14:paraId="4333A09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Jadad, A. R., &amp; Grady, L. O. (2008). How should health be defined ? </w:t>
      </w:r>
      <w:r w:rsidRPr="006A1EC7">
        <w:rPr>
          <w:i/>
          <w:iCs/>
          <w:noProof/>
        </w:rPr>
        <w:t>British Medical Journal</w:t>
      </w:r>
      <w:r w:rsidRPr="006A1EC7">
        <w:rPr>
          <w:noProof/>
        </w:rPr>
        <w:t xml:space="preserve">, </w:t>
      </w:r>
      <w:r w:rsidRPr="006A1EC7">
        <w:rPr>
          <w:i/>
          <w:iCs/>
          <w:noProof/>
        </w:rPr>
        <w:t>337</w:t>
      </w:r>
      <w:r w:rsidRPr="006A1EC7">
        <w:rPr>
          <w:noProof/>
        </w:rPr>
        <w:t>(7683), 1363–1364. https://doi.org/10.1136/bmj.a2900</w:t>
      </w:r>
    </w:p>
    <w:p w14:paraId="2EA563E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Jadhav, R. R., &amp; Pai, V. D. (2015). Adult Intestinal Malrotation Presenting as Recurrent Vomiting: a Case Report. </w:t>
      </w:r>
      <w:r w:rsidRPr="006A1EC7">
        <w:rPr>
          <w:i/>
          <w:iCs/>
          <w:noProof/>
        </w:rPr>
        <w:t>Indian Journal of Surgery</w:t>
      </w:r>
      <w:r w:rsidRPr="006A1EC7">
        <w:rPr>
          <w:noProof/>
        </w:rPr>
        <w:t xml:space="preserve">, </w:t>
      </w:r>
      <w:r w:rsidRPr="006A1EC7">
        <w:rPr>
          <w:i/>
          <w:iCs/>
          <w:noProof/>
        </w:rPr>
        <w:t>77</w:t>
      </w:r>
      <w:r w:rsidRPr="006A1EC7">
        <w:rPr>
          <w:noProof/>
        </w:rPr>
        <w:t>(January), 162–163. https://doi.org/10.1007/s12262-015-1230-y</w:t>
      </w:r>
    </w:p>
    <w:p w14:paraId="19F5751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Jenkins, N., Bloor, M., Fischer, J., Berney, L., &amp; Neale, J. (2010). Putting it in context: the use of vignettes in qualitative interviewing. </w:t>
      </w:r>
      <w:r w:rsidRPr="006A1EC7">
        <w:rPr>
          <w:i/>
          <w:iCs/>
          <w:noProof/>
        </w:rPr>
        <w:t>Qualitative Research</w:t>
      </w:r>
      <w:r w:rsidRPr="006A1EC7">
        <w:rPr>
          <w:noProof/>
        </w:rPr>
        <w:t xml:space="preserve">, </w:t>
      </w:r>
      <w:r w:rsidRPr="006A1EC7">
        <w:rPr>
          <w:i/>
          <w:iCs/>
          <w:noProof/>
        </w:rPr>
        <w:t>10</w:t>
      </w:r>
      <w:r w:rsidRPr="006A1EC7">
        <w:rPr>
          <w:noProof/>
        </w:rPr>
        <w:t>(2), 175–198. https://doi.org/10.1177/1468794109356737</w:t>
      </w:r>
    </w:p>
    <w:p w14:paraId="789A090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Joffe, H. (2012). </w:t>
      </w:r>
      <w:r w:rsidRPr="006A1EC7">
        <w:rPr>
          <w:i/>
          <w:iCs/>
          <w:noProof/>
        </w:rPr>
        <w:t>Qualitative Research Methods in Mental Health and Psychotherapy: A Guide for Students and Practitioners</w:t>
      </w:r>
      <w:r w:rsidRPr="006A1EC7">
        <w:rPr>
          <w:noProof/>
        </w:rPr>
        <w:t>. (D. Harper &amp; A. Thompson, Eds.). Chichester: Blackwell Publishing.</w:t>
      </w:r>
    </w:p>
    <w:p w14:paraId="485A818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Johnsson, P. M., Sandqvist, G., Sturesson, A. L., Gulfe, A., Kopylov, P., Tägil, M., &amp; Geborek, P. (2012). Individualized outcome measures of daily activities are sensitive tools for evaluating hand surgery in rheumatic diseases. </w:t>
      </w:r>
      <w:r w:rsidRPr="006A1EC7">
        <w:rPr>
          <w:i/>
          <w:iCs/>
          <w:noProof/>
        </w:rPr>
        <w:t>Rheumatology (United Kingdom)</w:t>
      </w:r>
      <w:r w:rsidRPr="006A1EC7">
        <w:rPr>
          <w:noProof/>
        </w:rPr>
        <w:t xml:space="preserve">, </w:t>
      </w:r>
      <w:r w:rsidRPr="006A1EC7">
        <w:rPr>
          <w:i/>
          <w:iCs/>
          <w:noProof/>
        </w:rPr>
        <w:t>51</w:t>
      </w:r>
      <w:r w:rsidRPr="006A1EC7">
        <w:rPr>
          <w:noProof/>
        </w:rPr>
        <w:t>(12), 2246–2251. https://doi.org/10.1093/rheumatology/kes224</w:t>
      </w:r>
    </w:p>
    <w:p w14:paraId="532711D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Johnston, N. J., &amp; Franklin, D. L. (2006). Dental findings of a child with Wolf – Hirschhorn syndrome. </w:t>
      </w:r>
      <w:r w:rsidRPr="006A1EC7">
        <w:rPr>
          <w:i/>
          <w:iCs/>
          <w:noProof/>
        </w:rPr>
        <w:t>International Journal of Paediatric Dentistry</w:t>
      </w:r>
      <w:r w:rsidRPr="006A1EC7">
        <w:rPr>
          <w:noProof/>
        </w:rPr>
        <w:t>, 139–142.</w:t>
      </w:r>
    </w:p>
    <w:p w14:paraId="1CE47F7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Johnston, S. A., Krasuska, M., Millings, A., Lavda, A. C., &amp; Thompson, A. R. (2018). Experiences of rosacea and its treatment: an interpretative phenomenological analysis. </w:t>
      </w:r>
      <w:r w:rsidRPr="006A1EC7">
        <w:rPr>
          <w:i/>
          <w:iCs/>
          <w:noProof/>
        </w:rPr>
        <w:t>British Journal of Dermatology</w:t>
      </w:r>
      <w:r w:rsidRPr="006A1EC7">
        <w:rPr>
          <w:noProof/>
        </w:rPr>
        <w:t xml:space="preserve">, </w:t>
      </w:r>
      <w:r w:rsidRPr="006A1EC7">
        <w:rPr>
          <w:i/>
          <w:iCs/>
          <w:noProof/>
        </w:rPr>
        <w:t>178</w:t>
      </w:r>
      <w:r w:rsidRPr="006A1EC7">
        <w:rPr>
          <w:noProof/>
        </w:rPr>
        <w:t>(1), 154–160. https://doi.org/10.1111/bjd.15780</w:t>
      </w:r>
    </w:p>
    <w:p w14:paraId="04FA8C3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Jones, G. L., Hughes, J., Mahmoodi, N., Greenfield, D., Brauten-Smith, G., Skull, J., … Bekker, H. L. (2017). Observational study of the development and evaluation of a fertility preservation patient decision aid for teenage and adult women diagnosed with cancer: the Cancer, Fertility and Me research protocol. </w:t>
      </w:r>
      <w:r w:rsidRPr="006A1EC7">
        <w:rPr>
          <w:i/>
          <w:iCs/>
          <w:noProof/>
        </w:rPr>
        <w:t>BMJ Open</w:t>
      </w:r>
      <w:r w:rsidRPr="006A1EC7">
        <w:rPr>
          <w:noProof/>
        </w:rPr>
        <w:t xml:space="preserve">, </w:t>
      </w:r>
      <w:r w:rsidRPr="006A1EC7">
        <w:rPr>
          <w:i/>
          <w:iCs/>
          <w:noProof/>
        </w:rPr>
        <w:t>7</w:t>
      </w:r>
      <w:r w:rsidRPr="006A1EC7">
        <w:rPr>
          <w:noProof/>
        </w:rPr>
        <w:t>(3), e013219. https://doi.org/10.1136/bmjopen-2016-013219</w:t>
      </w:r>
    </w:p>
    <w:p w14:paraId="1AE2C6B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Kamm, M. A. (2011). Fortnightly review : Faecal incontinence. </w:t>
      </w:r>
      <w:r w:rsidRPr="006A1EC7">
        <w:rPr>
          <w:i/>
          <w:iCs/>
          <w:noProof/>
        </w:rPr>
        <w:t>Bmj</w:t>
      </w:r>
      <w:r w:rsidRPr="006A1EC7">
        <w:rPr>
          <w:noProof/>
        </w:rPr>
        <w:t xml:space="preserve">, </w:t>
      </w:r>
      <w:r w:rsidRPr="006A1EC7">
        <w:rPr>
          <w:i/>
          <w:iCs/>
          <w:noProof/>
        </w:rPr>
        <w:t>316</w:t>
      </w:r>
      <w:r w:rsidRPr="006A1EC7">
        <w:rPr>
          <w:noProof/>
        </w:rPr>
        <w:t>(7130), 528–532. https://doi.org/10.1136/bmj.316.7130.528</w:t>
      </w:r>
    </w:p>
    <w:p w14:paraId="08EF44E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Kanemura, H., Sano, F., Mizorogi, S., Tando, T., Sugita, K., &amp; Aihara, M. (2013). Parental thoughts and actions regarding their child’s first febrile seizure. </w:t>
      </w:r>
      <w:r w:rsidRPr="006A1EC7">
        <w:rPr>
          <w:i/>
          <w:iCs/>
          <w:noProof/>
        </w:rPr>
        <w:t>Pediatrics International</w:t>
      </w:r>
      <w:r w:rsidRPr="006A1EC7">
        <w:rPr>
          <w:noProof/>
        </w:rPr>
        <w:t>. https://doi.org/10.1111/ped.12058</w:t>
      </w:r>
    </w:p>
    <w:p w14:paraId="5E3368F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Karabekiroglu, K., Yüce, M., &amp; Karabekiroğlu, A. (2014). Wolf-Hirschhorn Syndrome with Autistic Spectrum Disorder Diagnosis: A Case Report. In </w:t>
      </w:r>
      <w:r w:rsidRPr="006A1EC7">
        <w:rPr>
          <w:i/>
          <w:iCs/>
          <w:noProof/>
        </w:rPr>
        <w:t>6th International Congress on Psychopharmacology</w:t>
      </w:r>
      <w:r w:rsidRPr="006A1EC7">
        <w:rPr>
          <w:noProof/>
        </w:rPr>
        <w:t>.</w:t>
      </w:r>
    </w:p>
    <w:p w14:paraId="754EF97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Karaer, K., Koç, A., Karaoǧuz, Y. M., Cansu, A., &amp; Perçin, E. F. (2010). A case of Wolf-Hirschhorn syndrome with a characteristic EEG pattern; clinical and molecular cytogenetic diagnosis . </w:t>
      </w:r>
      <w:r w:rsidRPr="006A1EC7">
        <w:rPr>
          <w:i/>
          <w:iCs/>
          <w:noProof/>
        </w:rPr>
        <w:t>Turkiye Klinikleri Pediatri</w:t>
      </w:r>
      <w:r w:rsidRPr="006A1EC7">
        <w:rPr>
          <w:noProof/>
        </w:rPr>
        <w:t xml:space="preserve">, </w:t>
      </w:r>
      <w:r w:rsidRPr="006A1EC7">
        <w:rPr>
          <w:i/>
          <w:iCs/>
          <w:noProof/>
        </w:rPr>
        <w:t>19</w:t>
      </w:r>
      <w:r w:rsidRPr="006A1EC7">
        <w:rPr>
          <w:noProof/>
        </w:rPr>
        <w:t>(2), 171–175. Retrieved from https://www.scopus.com/inward/record.uri?eid=2-s2.0-77953747924&amp;partnerID=40&amp;md5=2903de46168b42658f667e5c06a0f75c</w:t>
      </w:r>
    </w:p>
    <w:p w14:paraId="71C612D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Kearney, P. M., &amp; Griffin, T. (2001). Between joy and sorrow: Being a parent of a child with developmental disability. </w:t>
      </w:r>
      <w:r w:rsidRPr="006A1EC7">
        <w:rPr>
          <w:i/>
          <w:iCs/>
          <w:noProof/>
        </w:rPr>
        <w:t>Journal of Advanced Nursing</w:t>
      </w:r>
      <w:r w:rsidRPr="006A1EC7">
        <w:rPr>
          <w:noProof/>
        </w:rPr>
        <w:t xml:space="preserve">, </w:t>
      </w:r>
      <w:r w:rsidRPr="006A1EC7">
        <w:rPr>
          <w:i/>
          <w:iCs/>
          <w:noProof/>
        </w:rPr>
        <w:t>34</w:t>
      </w:r>
      <w:r w:rsidRPr="006A1EC7">
        <w:rPr>
          <w:noProof/>
        </w:rPr>
        <w:t>(5), 582–592. https://doi.org/10.1046/j.1365-2648.2001.01787.x</w:t>
      </w:r>
    </w:p>
    <w:p w14:paraId="56CE9C33"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 xml:space="preserve">Keim-Malpass, J., Letzkus, L. C., &amp; Kennedy, C. (2015). Parent/caregiver health literacy among children with special health care needs: A systematic review of the literature. </w:t>
      </w:r>
      <w:r w:rsidRPr="006A1EC7">
        <w:rPr>
          <w:i/>
          <w:iCs/>
          <w:noProof/>
        </w:rPr>
        <w:t>BMC Pediatrics</w:t>
      </w:r>
      <w:r w:rsidRPr="006A1EC7">
        <w:rPr>
          <w:noProof/>
        </w:rPr>
        <w:t xml:space="preserve">, </w:t>
      </w:r>
      <w:r w:rsidRPr="006A1EC7">
        <w:rPr>
          <w:i/>
          <w:iCs/>
          <w:noProof/>
        </w:rPr>
        <w:t>15</w:t>
      </w:r>
      <w:r w:rsidRPr="006A1EC7">
        <w:rPr>
          <w:noProof/>
        </w:rPr>
        <w:t>(1). https://doi.org/10.1186/s12887-015-0412-x</w:t>
      </w:r>
    </w:p>
    <w:p w14:paraId="4F4B2A5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Kerr, C., Nixon, A., &amp; Angalakuditi, M. (2011a). The impact of epilepsy on children and adult patients’ lives: Development of a conceptual model from qualitative literature. </w:t>
      </w:r>
      <w:r w:rsidRPr="006A1EC7">
        <w:rPr>
          <w:i/>
          <w:iCs/>
          <w:noProof/>
        </w:rPr>
        <w:t>Seizure</w:t>
      </w:r>
      <w:r w:rsidRPr="006A1EC7">
        <w:rPr>
          <w:noProof/>
        </w:rPr>
        <w:t xml:space="preserve">, </w:t>
      </w:r>
      <w:r w:rsidRPr="006A1EC7">
        <w:rPr>
          <w:i/>
          <w:iCs/>
          <w:noProof/>
        </w:rPr>
        <w:t>20</w:t>
      </w:r>
      <w:r w:rsidRPr="006A1EC7">
        <w:rPr>
          <w:noProof/>
        </w:rPr>
        <w:t>(10), 764–774. https://doi.org/10.1016/j.seizure.2011.07.007</w:t>
      </w:r>
    </w:p>
    <w:p w14:paraId="11A529D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Kerr, C., Nixon, A., &amp; Angalakuditi, M. (2011b). The impact of epilepsy on children and adult patients’ lives: Development of a conceptual model from qualitative literature. </w:t>
      </w:r>
      <w:r w:rsidRPr="006A1EC7">
        <w:rPr>
          <w:i/>
          <w:iCs/>
          <w:noProof/>
        </w:rPr>
        <w:t>Seizure</w:t>
      </w:r>
      <w:r w:rsidRPr="006A1EC7">
        <w:rPr>
          <w:noProof/>
        </w:rPr>
        <w:t xml:space="preserve">, </w:t>
      </w:r>
      <w:r w:rsidRPr="006A1EC7">
        <w:rPr>
          <w:i/>
          <w:iCs/>
          <w:noProof/>
        </w:rPr>
        <w:t>20</w:t>
      </w:r>
      <w:r w:rsidRPr="006A1EC7">
        <w:rPr>
          <w:noProof/>
        </w:rPr>
        <w:t>(10), 764–774. https://doi.org/10.1016/j.seizure.2011.07.007</w:t>
      </w:r>
    </w:p>
    <w:p w14:paraId="084236A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Kline, P. (1998). </w:t>
      </w:r>
      <w:r w:rsidRPr="006A1EC7">
        <w:rPr>
          <w:i/>
          <w:iCs/>
          <w:noProof/>
        </w:rPr>
        <w:t>The New Psychometrics : Science, Psychology and Measurement.</w:t>
      </w:r>
      <w:r w:rsidRPr="006A1EC7">
        <w:rPr>
          <w:noProof/>
        </w:rPr>
        <w:t xml:space="preserve"> New York: Routledge.</w:t>
      </w:r>
    </w:p>
    <w:p w14:paraId="6F387F6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Koch, K. D., &amp; Jones, B. L. (2018). Supporting Parent Caregivers of Children with Life-Limiting Illness. </w:t>
      </w:r>
      <w:r w:rsidRPr="006A1EC7">
        <w:rPr>
          <w:i/>
          <w:iCs/>
          <w:noProof/>
        </w:rPr>
        <w:t>Children (Basel, Switzerland)</w:t>
      </w:r>
      <w:r w:rsidRPr="006A1EC7">
        <w:rPr>
          <w:noProof/>
        </w:rPr>
        <w:t xml:space="preserve">, </w:t>
      </w:r>
      <w:r w:rsidRPr="006A1EC7">
        <w:rPr>
          <w:i/>
          <w:iCs/>
          <w:noProof/>
        </w:rPr>
        <w:t>5</w:t>
      </w:r>
      <w:r w:rsidRPr="006A1EC7">
        <w:rPr>
          <w:noProof/>
        </w:rPr>
        <w:t>(7). https://doi.org/https://dx.doi.org/10.3390/children5070085</w:t>
      </w:r>
    </w:p>
    <w:p w14:paraId="657DB770" w14:textId="2E6D3814" w:rsidR="00AD67F5" w:rsidRPr="006A1EC7" w:rsidRDefault="00AD67F5" w:rsidP="00421249">
      <w:pPr>
        <w:widowControl w:val="0"/>
        <w:autoSpaceDE w:val="0"/>
        <w:autoSpaceDN w:val="0"/>
        <w:adjustRightInd w:val="0"/>
        <w:ind w:left="480" w:hanging="480"/>
        <w:rPr>
          <w:noProof/>
        </w:rPr>
      </w:pPr>
      <w:r w:rsidRPr="006A1EC7">
        <w:rPr>
          <w:noProof/>
        </w:rPr>
        <w:t xml:space="preserve">Koo, T. K., &amp; Li, M. Y. (2016). A Guideline of Selecting and Reporting Intraclass Correlation Coefficients for Reliability Research. </w:t>
      </w:r>
      <w:r w:rsidRPr="006A1EC7">
        <w:rPr>
          <w:i/>
          <w:iCs/>
          <w:noProof/>
        </w:rPr>
        <w:t>Journal of Chiropractic Medicine</w:t>
      </w:r>
      <w:r w:rsidRPr="006A1EC7">
        <w:rPr>
          <w:noProof/>
        </w:rPr>
        <w:t xml:space="preserve">, </w:t>
      </w:r>
      <w:r w:rsidRPr="006A1EC7">
        <w:rPr>
          <w:i/>
          <w:iCs/>
          <w:noProof/>
        </w:rPr>
        <w:t>15</w:t>
      </w:r>
      <w:r w:rsidRPr="006A1EC7">
        <w:rPr>
          <w:noProof/>
        </w:rPr>
        <w:t>(2), 155–163. https://doi.org/10.1016/j.jcm.2016.02.012</w:t>
      </w:r>
    </w:p>
    <w:p w14:paraId="22F3361B" w14:textId="0CB59DA3" w:rsidR="00AD67F5" w:rsidRPr="006A1EC7" w:rsidRDefault="00AD67F5" w:rsidP="00421249">
      <w:pPr>
        <w:widowControl w:val="0"/>
        <w:autoSpaceDE w:val="0"/>
        <w:autoSpaceDN w:val="0"/>
        <w:adjustRightInd w:val="0"/>
        <w:ind w:left="480" w:hanging="480"/>
        <w:rPr>
          <w:noProof/>
        </w:rPr>
      </w:pPr>
      <w:r w:rsidRPr="006A1EC7">
        <w:rPr>
          <w:noProof/>
        </w:rPr>
        <w:t>https://doi.org/10.1016/j.jcm.2016.02.012</w:t>
      </w:r>
    </w:p>
    <w:p w14:paraId="38741302" w14:textId="0E1997C6" w:rsidR="00AD67F5" w:rsidRPr="006A1EC7" w:rsidRDefault="00AD67F5" w:rsidP="00421249">
      <w:pPr>
        <w:widowControl w:val="0"/>
        <w:autoSpaceDE w:val="0"/>
        <w:autoSpaceDN w:val="0"/>
        <w:adjustRightInd w:val="0"/>
        <w:ind w:left="480" w:hanging="480"/>
        <w:rPr>
          <w:noProof/>
        </w:rPr>
      </w:pPr>
      <w:r w:rsidRPr="006A1EC7">
        <w:rPr>
          <w:noProof/>
        </w:rPr>
        <w:t>Kroner, B. L., Ardini, M. A., Bumbut, A., &amp; Gaillard, W. D. (</w:t>
      </w:r>
      <w:r w:rsidR="00421249" w:rsidRPr="006A1EC7">
        <w:rPr>
          <w:noProof/>
        </w:rPr>
        <w:t>2018</w:t>
      </w:r>
      <w:r w:rsidRPr="006A1EC7">
        <w:rPr>
          <w:noProof/>
        </w:rPr>
        <w:t xml:space="preserve">). Parental Perspectives of the Impact of Epilepsy and Seizures on Siblings of Children with Epilepsy. </w:t>
      </w:r>
      <w:r w:rsidRPr="006A1EC7">
        <w:rPr>
          <w:i/>
          <w:iCs/>
          <w:noProof/>
        </w:rPr>
        <w:t>Journal of Pediatric Health Care</w:t>
      </w:r>
      <w:r w:rsidRPr="006A1EC7">
        <w:rPr>
          <w:noProof/>
        </w:rPr>
        <w:t xml:space="preserve">, </w:t>
      </w:r>
      <w:r w:rsidRPr="006A1EC7">
        <w:rPr>
          <w:i/>
          <w:iCs/>
          <w:noProof/>
        </w:rPr>
        <w:t>32</w:t>
      </w:r>
      <w:r w:rsidRPr="006A1EC7">
        <w:rPr>
          <w:noProof/>
        </w:rPr>
        <w:t>(4), 348–355. https://doi.org/10.1016/j.pedhc.2017.12.004</w:t>
      </w:r>
    </w:p>
    <w:p w14:paraId="580A09B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Kyte, D. G., Calvert, M., van der Wees, P. J., ten Hove, R., Tolan, S., &amp; Hill, J. C. (2015). An introduction to patient-reported outcome measures (PROMs) in physiotherapy. </w:t>
      </w:r>
      <w:r w:rsidRPr="006A1EC7">
        <w:rPr>
          <w:i/>
          <w:iCs/>
          <w:noProof/>
        </w:rPr>
        <w:t>Physiotherapy (United Kingdom)</w:t>
      </w:r>
      <w:r w:rsidRPr="006A1EC7">
        <w:rPr>
          <w:noProof/>
        </w:rPr>
        <w:t xml:space="preserve">, </w:t>
      </w:r>
      <w:r w:rsidRPr="006A1EC7">
        <w:rPr>
          <w:i/>
          <w:iCs/>
          <w:noProof/>
        </w:rPr>
        <w:t>101</w:t>
      </w:r>
      <w:r w:rsidRPr="006A1EC7">
        <w:rPr>
          <w:noProof/>
        </w:rPr>
        <w:t>(2), 119–125. https://doi.org/10.1016/j.physio.2014.11.003</w:t>
      </w:r>
    </w:p>
    <w:p w14:paraId="1424ABF2" w14:textId="77777777" w:rsidR="00AD67F5" w:rsidRPr="006A1EC7" w:rsidRDefault="00AD67F5" w:rsidP="00421249">
      <w:pPr>
        <w:widowControl w:val="0"/>
        <w:autoSpaceDE w:val="0"/>
        <w:autoSpaceDN w:val="0"/>
        <w:adjustRightInd w:val="0"/>
        <w:ind w:left="480" w:hanging="480"/>
        <w:rPr>
          <w:noProof/>
        </w:rPr>
      </w:pPr>
      <w:r w:rsidRPr="006A1EC7">
        <w:rPr>
          <w:noProof/>
        </w:rPr>
        <w:t>Leamy, M., Bird, V., Boutillier, C. Le, Williams, J., &amp; Slade, M. (2011). Conceptual framework for personal recovery in mental health : systematic review and narrative synthesis, 445–452. https://doi.org/10.1192/bjp.bp.110.083733</w:t>
      </w:r>
    </w:p>
    <w:p w14:paraId="5DE5284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Lee, J., Yim, M. H., &amp; Kim, J. Y. (2018). Test-retest reliability of the questionnaire in the Sasang constitutional analysis tool (SCAT). </w:t>
      </w:r>
      <w:r w:rsidRPr="006A1EC7">
        <w:rPr>
          <w:i/>
          <w:iCs/>
          <w:noProof/>
        </w:rPr>
        <w:t>Integrative Medicine Research</w:t>
      </w:r>
      <w:r w:rsidRPr="006A1EC7">
        <w:rPr>
          <w:noProof/>
        </w:rPr>
        <w:t xml:space="preserve">, </w:t>
      </w:r>
      <w:r w:rsidRPr="006A1EC7">
        <w:rPr>
          <w:i/>
          <w:iCs/>
          <w:noProof/>
        </w:rPr>
        <w:t>7</w:t>
      </w:r>
      <w:r w:rsidRPr="006A1EC7">
        <w:rPr>
          <w:noProof/>
        </w:rPr>
        <w:t>(2), 136–140. https://doi.org/10.1016/j.imr.2018.02.001</w:t>
      </w:r>
    </w:p>
    <w:p w14:paraId="3B47CD1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Leppink, J. (2019). </w:t>
      </w:r>
      <w:r w:rsidRPr="006A1EC7">
        <w:rPr>
          <w:i/>
          <w:iCs/>
          <w:noProof/>
        </w:rPr>
        <w:t>Statistical Methods for Experimental Research in Education and Psychology</w:t>
      </w:r>
      <w:r w:rsidRPr="006A1EC7">
        <w:rPr>
          <w:noProof/>
        </w:rPr>
        <w:t xml:space="preserve"> (1st ed.). Cham, Switzerland: Springer.</w:t>
      </w:r>
    </w:p>
    <w:p w14:paraId="4C93D14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Lewis, S., DeMuro, C., Block, S. L., Senders, S., Wisman, P., Toback, S., … Williams, V. (2017). Development of a novel observer-reported outcome measure for the assessment of Respiratory Syncytial Virus (RSV) infection symptoms in pediatric clinical trials. </w:t>
      </w:r>
      <w:r w:rsidRPr="006A1EC7">
        <w:rPr>
          <w:i/>
          <w:iCs/>
          <w:noProof/>
        </w:rPr>
        <w:t>Journal of Patient-Reported Outcomes</w:t>
      </w:r>
      <w:r w:rsidRPr="006A1EC7">
        <w:rPr>
          <w:noProof/>
        </w:rPr>
        <w:t xml:space="preserve">, </w:t>
      </w:r>
      <w:r w:rsidRPr="006A1EC7">
        <w:rPr>
          <w:i/>
          <w:iCs/>
          <w:noProof/>
        </w:rPr>
        <w:t>2</w:t>
      </w:r>
      <w:r w:rsidRPr="006A1EC7">
        <w:rPr>
          <w:noProof/>
        </w:rPr>
        <w:t>(1), 9. https://doi.org/10.1186/s41687-018-0034-9</w:t>
      </w:r>
    </w:p>
    <w:p w14:paraId="5DCFAC0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Li, J. C., Wong, K., Park, A. S., Fricke, T. R., &amp; Jackson, A. J. (2015). The challenges of providing eye care for adults with intellectual disabilities. </w:t>
      </w:r>
      <w:r w:rsidRPr="006A1EC7">
        <w:rPr>
          <w:i/>
          <w:iCs/>
          <w:noProof/>
        </w:rPr>
        <w:t>Clinical and Experimental Optometry</w:t>
      </w:r>
      <w:r w:rsidRPr="006A1EC7">
        <w:rPr>
          <w:noProof/>
        </w:rPr>
        <w:t xml:space="preserve">, </w:t>
      </w:r>
      <w:r w:rsidRPr="006A1EC7">
        <w:rPr>
          <w:i/>
          <w:iCs/>
          <w:noProof/>
        </w:rPr>
        <w:t>98</w:t>
      </w:r>
      <w:r w:rsidRPr="006A1EC7">
        <w:rPr>
          <w:noProof/>
        </w:rPr>
        <w:t>(5), 420–429. https://doi.org/10.1111/cxo.12304</w:t>
      </w:r>
    </w:p>
    <w:p w14:paraId="0306E38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Liehr, P., &amp; Smith, M. (1999). Middle range theory: Spin- ning research and practice to create knowledge for the new millennium. </w:t>
      </w:r>
      <w:r w:rsidRPr="006A1EC7">
        <w:rPr>
          <w:i/>
          <w:iCs/>
          <w:noProof/>
        </w:rPr>
        <w:t>Advances in Nursing Science</w:t>
      </w:r>
      <w:r w:rsidRPr="006A1EC7">
        <w:rPr>
          <w:noProof/>
        </w:rPr>
        <w:t xml:space="preserve">, </w:t>
      </w:r>
      <w:r w:rsidRPr="006A1EC7">
        <w:rPr>
          <w:i/>
          <w:iCs/>
          <w:noProof/>
        </w:rPr>
        <w:t>21</w:t>
      </w:r>
      <w:r w:rsidRPr="006A1EC7">
        <w:rPr>
          <w:noProof/>
        </w:rPr>
        <w:t>(4), 81–91.</w:t>
      </w:r>
    </w:p>
    <w:p w14:paraId="3A539639" w14:textId="77777777" w:rsidR="00AD67F5" w:rsidRPr="006A1EC7" w:rsidRDefault="00AD67F5" w:rsidP="00421249">
      <w:pPr>
        <w:widowControl w:val="0"/>
        <w:autoSpaceDE w:val="0"/>
        <w:autoSpaceDN w:val="0"/>
        <w:adjustRightInd w:val="0"/>
        <w:ind w:left="480" w:hanging="480"/>
        <w:rPr>
          <w:noProof/>
        </w:rPr>
      </w:pPr>
      <w:r w:rsidRPr="006A1EC7">
        <w:rPr>
          <w:noProof/>
        </w:rPr>
        <w:t>Limb, L., Nutt, S., &amp; Sen, A. (2010). Experience of Rare Diseases: An insight from patients and families, (December), 37. Retrieved from www.raredisease.org.uk/documents/RDUK-Family-Report.pdf</w:t>
      </w:r>
    </w:p>
    <w:p w14:paraId="33B6DCE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Lin, W.-L., &amp; Yao, G. (2014). Predictive validity. In A. Michalos (Ed.), </w:t>
      </w:r>
      <w:r w:rsidRPr="006A1EC7">
        <w:rPr>
          <w:i/>
          <w:iCs/>
          <w:noProof/>
        </w:rPr>
        <w:t xml:space="preserve">Encyclopedia </w:t>
      </w:r>
      <w:r w:rsidRPr="006A1EC7">
        <w:rPr>
          <w:i/>
          <w:iCs/>
          <w:noProof/>
        </w:rPr>
        <w:lastRenderedPageBreak/>
        <w:t>of Quality of Life and Well-Being Research</w:t>
      </w:r>
      <w:r w:rsidRPr="006A1EC7">
        <w:rPr>
          <w:noProof/>
        </w:rPr>
        <w:t>. Dordrecht: Springer. https://doi.org/10.1007/978-94-007-0753-5_2241</w:t>
      </w:r>
    </w:p>
    <w:p w14:paraId="0946673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Lindeboom, R., Sprangers, M. A., &amp; Zwinderman, A. H. (2005). Responsiveness: A reinvention of the wheel? </w:t>
      </w:r>
      <w:r w:rsidRPr="006A1EC7">
        <w:rPr>
          <w:i/>
          <w:iCs/>
          <w:noProof/>
        </w:rPr>
        <w:t>Health and Quality of Life Outcomes</w:t>
      </w:r>
      <w:r w:rsidRPr="006A1EC7">
        <w:rPr>
          <w:noProof/>
        </w:rPr>
        <w:t xml:space="preserve">, </w:t>
      </w:r>
      <w:r w:rsidRPr="006A1EC7">
        <w:rPr>
          <w:i/>
          <w:iCs/>
          <w:noProof/>
        </w:rPr>
        <w:t>3</w:t>
      </w:r>
      <w:r w:rsidRPr="006A1EC7">
        <w:rPr>
          <w:noProof/>
        </w:rPr>
        <w:t>, 1–5. https://doi.org/10.1186/1477-7525-3-8</w:t>
      </w:r>
    </w:p>
    <w:p w14:paraId="6CF33B4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Loening-Baucke, V. (1993). Chronic constipation in children. </w:t>
      </w:r>
      <w:r w:rsidRPr="006A1EC7">
        <w:rPr>
          <w:i/>
          <w:iCs/>
          <w:noProof/>
        </w:rPr>
        <w:t>Gastroenterology</w:t>
      </w:r>
      <w:r w:rsidRPr="006A1EC7">
        <w:rPr>
          <w:noProof/>
        </w:rPr>
        <w:t xml:space="preserve">, </w:t>
      </w:r>
      <w:r w:rsidRPr="006A1EC7">
        <w:rPr>
          <w:i/>
          <w:iCs/>
          <w:noProof/>
        </w:rPr>
        <w:t>105</w:t>
      </w:r>
      <w:r w:rsidRPr="006A1EC7">
        <w:rPr>
          <w:noProof/>
        </w:rPr>
        <w:t>(5), 1557–1564. https://doi.org/10.1016/0016-5085(93)90166-A</w:t>
      </w:r>
    </w:p>
    <w:p w14:paraId="4A36858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Luiz, D. M., Foxcroft, C. D., &amp; Stewart, R. (2003). The construct validity of the Griffiths Scales of Mental Development. </w:t>
      </w:r>
      <w:r w:rsidRPr="006A1EC7">
        <w:rPr>
          <w:i/>
          <w:iCs/>
          <w:noProof/>
        </w:rPr>
        <w:t>Child: Care, Health and Development</w:t>
      </w:r>
      <w:r w:rsidRPr="006A1EC7">
        <w:rPr>
          <w:noProof/>
        </w:rPr>
        <w:t xml:space="preserve">, </w:t>
      </w:r>
      <w:r w:rsidRPr="006A1EC7">
        <w:rPr>
          <w:i/>
          <w:iCs/>
          <w:noProof/>
        </w:rPr>
        <w:t>27</w:t>
      </w:r>
      <w:r w:rsidRPr="006A1EC7">
        <w:rPr>
          <w:noProof/>
        </w:rPr>
        <w:t>(1), 73–83. https://doi.org/10.1046/j.1365-2214.2001.00158.x</w:t>
      </w:r>
    </w:p>
    <w:p w14:paraId="28AEAC9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Lurie, I. W., Lazjuk, G. I., Ussova, Y. I., Presman, E. B., &amp; Gurevich, D. B. (1980). The Wolf-Hirschhorn syndrome. I. Genetics. </w:t>
      </w:r>
      <w:r w:rsidRPr="006A1EC7">
        <w:rPr>
          <w:i/>
          <w:iCs/>
          <w:noProof/>
        </w:rPr>
        <w:t>Clinical Genetics</w:t>
      </w:r>
      <w:r w:rsidRPr="006A1EC7">
        <w:rPr>
          <w:noProof/>
        </w:rPr>
        <w:t xml:space="preserve">, </w:t>
      </w:r>
      <w:r w:rsidRPr="006A1EC7">
        <w:rPr>
          <w:i/>
          <w:iCs/>
          <w:noProof/>
        </w:rPr>
        <w:t>17</w:t>
      </w:r>
      <w:r w:rsidRPr="006A1EC7">
        <w:rPr>
          <w:noProof/>
        </w:rPr>
        <w:t>(6), 375–384. https://doi.org/10.1111/j.1399-0004.1980.tb00167.x</w:t>
      </w:r>
    </w:p>
    <w:p w14:paraId="501F2CE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Maas, N. M. C., Van Buggenhout, G., Hannes, F., Thienpont, B., Sanlaville, D., Kok, K., … Vermeesch, J. R. (2008). Genotype-phenotype correlation in 21 patients with Wolf-Hirschhorn syndrome using high resolution array comparative genome hybridisation (CGH). </w:t>
      </w:r>
      <w:r w:rsidRPr="006A1EC7">
        <w:rPr>
          <w:i/>
          <w:iCs/>
          <w:noProof/>
        </w:rPr>
        <w:t>Journal of Medical Genetics</w:t>
      </w:r>
      <w:r w:rsidRPr="006A1EC7">
        <w:rPr>
          <w:noProof/>
        </w:rPr>
        <w:t xml:space="preserve">, </w:t>
      </w:r>
      <w:r w:rsidRPr="006A1EC7">
        <w:rPr>
          <w:i/>
          <w:iCs/>
          <w:noProof/>
        </w:rPr>
        <w:t>45</w:t>
      </w:r>
      <w:r w:rsidRPr="006A1EC7">
        <w:rPr>
          <w:noProof/>
        </w:rPr>
        <w:t>(2), 71–80. https://doi.org/10.1136/jmg.2007.052910</w:t>
      </w:r>
    </w:p>
    <w:p w14:paraId="570AD89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MacCallum, R. C., Widaman, K. F., Zhang, S., &amp; Hong, S. (1999). Sample size in factor analysis. </w:t>
      </w:r>
      <w:r w:rsidRPr="006A1EC7">
        <w:rPr>
          <w:i/>
          <w:iCs/>
          <w:noProof/>
        </w:rPr>
        <w:t>Psychological Methods</w:t>
      </w:r>
      <w:r w:rsidRPr="006A1EC7">
        <w:rPr>
          <w:noProof/>
        </w:rPr>
        <w:t xml:space="preserve">, </w:t>
      </w:r>
      <w:r w:rsidRPr="006A1EC7">
        <w:rPr>
          <w:i/>
          <w:iCs/>
          <w:noProof/>
        </w:rPr>
        <w:t>4</w:t>
      </w:r>
      <w:r w:rsidRPr="006A1EC7">
        <w:rPr>
          <w:noProof/>
        </w:rPr>
        <w:t>(1), 84–99. https://doi.org/10.1037/1082-989X.4.1.84</w:t>
      </w:r>
    </w:p>
    <w:p w14:paraId="5624BD1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Mahmoud, S. A., Lowery-Nordberg, M., Chen, H., Thurmon, T., Ursin, S., &amp; Bahna, S. L. (2005). Immune defects in subjects with dysmorphic disorders. </w:t>
      </w:r>
      <w:r w:rsidRPr="006A1EC7">
        <w:rPr>
          <w:i/>
          <w:iCs/>
          <w:noProof/>
        </w:rPr>
        <w:t>Allergy and Asthma Proceedings</w:t>
      </w:r>
      <w:r w:rsidRPr="006A1EC7">
        <w:rPr>
          <w:noProof/>
        </w:rPr>
        <w:t xml:space="preserve">, </w:t>
      </w:r>
      <w:r w:rsidRPr="006A1EC7">
        <w:rPr>
          <w:i/>
          <w:iCs/>
          <w:noProof/>
        </w:rPr>
        <w:t>26</w:t>
      </w:r>
      <w:r w:rsidRPr="006A1EC7">
        <w:rPr>
          <w:noProof/>
        </w:rPr>
        <w:t>(5), 373–381.</w:t>
      </w:r>
    </w:p>
    <w:p w14:paraId="5A766B0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Marcotte, A. C., Thacher, P. V, Butters, M., Bortz, J., Acebo, C., &amp; Carskadon, M. A. (1998). Parental report of sleep problems in children with attentional and learning disorders. </w:t>
      </w:r>
      <w:r w:rsidRPr="006A1EC7">
        <w:rPr>
          <w:i/>
          <w:iCs/>
          <w:noProof/>
        </w:rPr>
        <w:t>Journal Of Developmental And Behavioral Pediatrics: JDBP</w:t>
      </w:r>
      <w:r w:rsidRPr="006A1EC7">
        <w:rPr>
          <w:noProof/>
        </w:rPr>
        <w:t xml:space="preserve">, </w:t>
      </w:r>
      <w:r w:rsidRPr="006A1EC7">
        <w:rPr>
          <w:i/>
          <w:iCs/>
          <w:noProof/>
        </w:rPr>
        <w:t>19</w:t>
      </w:r>
      <w:r w:rsidRPr="006A1EC7">
        <w:rPr>
          <w:noProof/>
        </w:rPr>
        <w:t>(3), 178–186. https://doi.org/10.1097/00004703-199806000-00005</w:t>
      </w:r>
    </w:p>
    <w:p w14:paraId="0BF4BF5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Marshall, A. T. (2010). Impact of Chromosome 4p- Syndrome on Communication and Expressive Language Skills: A Preliminary Investigation. </w:t>
      </w:r>
      <w:r w:rsidRPr="006A1EC7">
        <w:rPr>
          <w:i/>
          <w:iCs/>
          <w:noProof/>
        </w:rPr>
        <w:t>Language Speech and Hearing Services in Schools</w:t>
      </w:r>
      <w:r w:rsidRPr="006A1EC7">
        <w:rPr>
          <w:noProof/>
        </w:rPr>
        <w:t xml:space="preserve">, </w:t>
      </w:r>
      <w:r w:rsidRPr="006A1EC7">
        <w:rPr>
          <w:i/>
          <w:iCs/>
          <w:noProof/>
        </w:rPr>
        <w:t>41</w:t>
      </w:r>
      <w:r w:rsidRPr="006A1EC7">
        <w:rPr>
          <w:noProof/>
        </w:rPr>
        <w:t>(3), 265. https://doi.org/10.1044/0161-1461(2009/08-0098)</w:t>
      </w:r>
    </w:p>
    <w:p w14:paraId="08CA461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Marshall, F. J., De Blieck, E. A., Mink, J. W., Dure, L., Adams, H., Messing, S., … Pearce, D. A. (2005). A clinical rating scale for Batten disease: Reliable and relevant for clinical trials. </w:t>
      </w:r>
      <w:r w:rsidRPr="006A1EC7">
        <w:rPr>
          <w:i/>
          <w:iCs/>
          <w:noProof/>
        </w:rPr>
        <w:t>Neurology</w:t>
      </w:r>
      <w:r w:rsidRPr="006A1EC7">
        <w:rPr>
          <w:noProof/>
        </w:rPr>
        <w:t xml:space="preserve">, </w:t>
      </w:r>
      <w:r w:rsidRPr="006A1EC7">
        <w:rPr>
          <w:i/>
          <w:iCs/>
          <w:noProof/>
        </w:rPr>
        <w:t>65</w:t>
      </w:r>
      <w:r w:rsidRPr="006A1EC7">
        <w:rPr>
          <w:noProof/>
        </w:rPr>
        <w:t>(2), 275–279. https://doi.org/10.1212/01.wnl.0000169019.41332.8a</w:t>
      </w:r>
    </w:p>
    <w:p w14:paraId="52EFBCD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Martinez-Martin, P. (2010). Composite rating scales. </w:t>
      </w:r>
      <w:r w:rsidRPr="006A1EC7">
        <w:rPr>
          <w:i/>
          <w:iCs/>
          <w:noProof/>
        </w:rPr>
        <w:t>Journal of the Neurological Sciences</w:t>
      </w:r>
      <w:r w:rsidRPr="006A1EC7">
        <w:rPr>
          <w:noProof/>
        </w:rPr>
        <w:t xml:space="preserve">, </w:t>
      </w:r>
      <w:r w:rsidRPr="006A1EC7">
        <w:rPr>
          <w:i/>
          <w:iCs/>
          <w:noProof/>
        </w:rPr>
        <w:t>289</w:t>
      </w:r>
      <w:r w:rsidRPr="006A1EC7">
        <w:rPr>
          <w:noProof/>
        </w:rPr>
        <w:t>(1–2), 7–11. https://doi.org/10.1016/j.jns.2009.08.013</w:t>
      </w:r>
    </w:p>
    <w:p w14:paraId="522B7D4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Martinez, L. (2017). Validity, Face and Content. In M. Allen (Ed.), </w:t>
      </w:r>
      <w:r w:rsidRPr="006A1EC7">
        <w:rPr>
          <w:i/>
          <w:iCs/>
          <w:noProof/>
        </w:rPr>
        <w:t>The SAGE Encyclopedia of Communication Research Methods</w:t>
      </w:r>
      <w:r w:rsidRPr="006A1EC7">
        <w:rPr>
          <w:noProof/>
        </w:rPr>
        <w:t xml:space="preserve"> (pp. 1823–1824). Thousand Oaks, California: Sage Publication.</w:t>
      </w:r>
    </w:p>
    <w:p w14:paraId="6973224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Maslach, C. Schaufeli, W.B. Leiter, M. P. (2001). Job burnout. </w:t>
      </w:r>
      <w:r w:rsidRPr="006A1EC7">
        <w:rPr>
          <w:i/>
          <w:iCs/>
          <w:noProof/>
        </w:rPr>
        <w:t>Annu. Rev. Psychol.</w:t>
      </w:r>
      <w:r w:rsidRPr="006A1EC7">
        <w:rPr>
          <w:noProof/>
        </w:rPr>
        <w:t xml:space="preserve">, </w:t>
      </w:r>
      <w:r w:rsidRPr="006A1EC7">
        <w:rPr>
          <w:i/>
          <w:iCs/>
          <w:noProof/>
        </w:rPr>
        <w:t>52</w:t>
      </w:r>
      <w:r w:rsidRPr="006A1EC7">
        <w:rPr>
          <w:noProof/>
        </w:rPr>
        <w:t>, 397–422.</w:t>
      </w:r>
    </w:p>
    <w:p w14:paraId="00F7E5A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Mathison, S. (2019). Construct Validity. In </w:t>
      </w:r>
      <w:r w:rsidRPr="006A1EC7">
        <w:rPr>
          <w:i/>
          <w:iCs/>
          <w:noProof/>
        </w:rPr>
        <w:t>Encyclopedia of Evaluation</w:t>
      </w:r>
      <w:r w:rsidRPr="006A1EC7">
        <w:rPr>
          <w:noProof/>
        </w:rPr>
        <w:t>. Thousand Oaks, California: Sage Publication.</w:t>
      </w:r>
    </w:p>
    <w:p w14:paraId="4132E16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Matuszczak, E., Hermanowicz, A., Klek, S., Komarowska, M., Pawlowska, D., Zoubek-Wojcik, A., … Debek, W. (2014). Parents’ perceptions of gastrostomy feeding for children with neurological disabilities a multicenter study. </w:t>
      </w:r>
      <w:r w:rsidRPr="006A1EC7">
        <w:rPr>
          <w:i/>
          <w:iCs/>
          <w:noProof/>
        </w:rPr>
        <w:t>Journal of Hospice and Palliative Nursing</w:t>
      </w:r>
      <w:r w:rsidRPr="006A1EC7">
        <w:rPr>
          <w:noProof/>
        </w:rPr>
        <w:t xml:space="preserve">, </w:t>
      </w:r>
      <w:r w:rsidRPr="006A1EC7">
        <w:rPr>
          <w:i/>
          <w:iCs/>
          <w:noProof/>
        </w:rPr>
        <w:t>16</w:t>
      </w:r>
      <w:r w:rsidRPr="006A1EC7">
        <w:rPr>
          <w:noProof/>
        </w:rPr>
        <w:t xml:space="preserve">(8), 521–525. </w:t>
      </w:r>
      <w:r w:rsidRPr="006A1EC7">
        <w:rPr>
          <w:noProof/>
        </w:rPr>
        <w:lastRenderedPageBreak/>
        <w:t>https://doi.org/10.1097/NJH.0000000000000113</w:t>
      </w:r>
    </w:p>
    <w:p w14:paraId="57FF330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Maxwell, J. (2012). Conceptual Framework: What Do You Think Is Going On? In </w:t>
      </w:r>
      <w:r w:rsidRPr="006A1EC7">
        <w:rPr>
          <w:i/>
          <w:iCs/>
          <w:noProof/>
        </w:rPr>
        <w:t>Qualitative research design: an interactive approach</w:t>
      </w:r>
      <w:r w:rsidRPr="006A1EC7">
        <w:rPr>
          <w:noProof/>
        </w:rPr>
        <w:t xml:space="preserve"> (pp. 141–151). Thousand Oaks, California: Sage Publication.</w:t>
      </w:r>
    </w:p>
    <w:p w14:paraId="745527F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Mazzeu, J. F., Krepischi-Santos, A. C., Rosenberg, C., Lourenço, C. M., Lezirovitz, K., Szuhai, K., … Vianna-Morgante, A. M. (2007). Widening the clinical spectrum of Pitt-Rogers-Danks/Wolf-Hirschhorn syndromes. </w:t>
      </w:r>
      <w:r w:rsidRPr="006A1EC7">
        <w:rPr>
          <w:i/>
          <w:iCs/>
          <w:noProof/>
        </w:rPr>
        <w:t>Genetics and Molecular Biology</w:t>
      </w:r>
      <w:r w:rsidRPr="006A1EC7">
        <w:rPr>
          <w:noProof/>
        </w:rPr>
        <w:t xml:space="preserve">, </w:t>
      </w:r>
      <w:r w:rsidRPr="006A1EC7">
        <w:rPr>
          <w:i/>
          <w:iCs/>
          <w:noProof/>
        </w:rPr>
        <w:t>30</w:t>
      </w:r>
      <w:r w:rsidRPr="006A1EC7">
        <w:rPr>
          <w:noProof/>
        </w:rPr>
        <w:t>(2), 339–342. https://doi.org/10.1590/S1415-47572007000300007</w:t>
      </w:r>
    </w:p>
    <w:p w14:paraId="01EC520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McClimans, L. (2011). Interpretability, validity, and the minimum important difference. </w:t>
      </w:r>
      <w:r w:rsidRPr="006A1EC7">
        <w:rPr>
          <w:i/>
          <w:iCs/>
          <w:noProof/>
        </w:rPr>
        <w:t>Theoretical Medicine and Bioethics</w:t>
      </w:r>
      <w:r w:rsidRPr="006A1EC7">
        <w:rPr>
          <w:noProof/>
        </w:rPr>
        <w:t xml:space="preserve">, </w:t>
      </w:r>
      <w:r w:rsidRPr="006A1EC7">
        <w:rPr>
          <w:i/>
          <w:iCs/>
          <w:noProof/>
        </w:rPr>
        <w:t>32</w:t>
      </w:r>
      <w:r w:rsidRPr="006A1EC7">
        <w:rPr>
          <w:noProof/>
        </w:rPr>
        <w:t>(6), 389–401. https://doi.org/10.1007/s11017-011-9186-9</w:t>
      </w:r>
    </w:p>
    <w:p w14:paraId="6213C21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Mcclimens, A., Brennan, S., &amp; Hargreaves, P. (2015). Hearing problems in the learning disability population: Is anybody listening? </w:t>
      </w:r>
      <w:r w:rsidRPr="006A1EC7">
        <w:rPr>
          <w:i/>
          <w:iCs/>
          <w:noProof/>
        </w:rPr>
        <w:t>British Journal of Learning Disabilities</w:t>
      </w:r>
      <w:r w:rsidRPr="006A1EC7">
        <w:rPr>
          <w:noProof/>
        </w:rPr>
        <w:t xml:space="preserve">, </w:t>
      </w:r>
      <w:r w:rsidRPr="006A1EC7">
        <w:rPr>
          <w:i/>
          <w:iCs/>
          <w:noProof/>
        </w:rPr>
        <w:t>43</w:t>
      </w:r>
      <w:r w:rsidRPr="006A1EC7">
        <w:rPr>
          <w:noProof/>
        </w:rPr>
        <w:t>(3), 153–160. https://doi.org/10.1111/bld.12090</w:t>
      </w:r>
    </w:p>
    <w:p w14:paraId="2B08D2C2" w14:textId="511A236B" w:rsidR="00AD67F5" w:rsidRPr="006A1EC7" w:rsidRDefault="00AD67F5" w:rsidP="00421249">
      <w:pPr>
        <w:widowControl w:val="0"/>
        <w:autoSpaceDE w:val="0"/>
        <w:autoSpaceDN w:val="0"/>
        <w:adjustRightInd w:val="0"/>
        <w:ind w:left="480" w:hanging="480"/>
        <w:rPr>
          <w:noProof/>
        </w:rPr>
      </w:pPr>
      <w:r w:rsidRPr="006A1EC7">
        <w:rPr>
          <w:noProof/>
        </w:rPr>
        <w:t xml:space="preserve">McDowell, I. (2006). </w:t>
      </w:r>
      <w:r w:rsidRPr="006A1EC7">
        <w:rPr>
          <w:i/>
          <w:iCs/>
          <w:noProof/>
        </w:rPr>
        <w:t>Measuring health : a guide to rating scales and questionnaires</w:t>
      </w:r>
      <w:r w:rsidRPr="006A1EC7">
        <w:rPr>
          <w:noProof/>
        </w:rPr>
        <w:t xml:space="preserve">. </w:t>
      </w:r>
      <w:r w:rsidRPr="006A1EC7">
        <w:rPr>
          <w:i/>
          <w:iCs/>
          <w:noProof/>
        </w:rPr>
        <w:t>The Theoretical and Technical Foundations of Health Measurement</w:t>
      </w:r>
      <w:r w:rsidRPr="006A1EC7">
        <w:rPr>
          <w:noProof/>
        </w:rPr>
        <w:t xml:space="preserve"> (3rd ed.). Oxford: Oxford University Press.</w:t>
      </w:r>
    </w:p>
    <w:p w14:paraId="4BB16809" w14:textId="77777777" w:rsidR="00421249" w:rsidRPr="006A1EC7" w:rsidRDefault="00421249" w:rsidP="00421249">
      <w:pPr>
        <w:spacing w:before="100" w:beforeAutospacing="1" w:after="100" w:afterAutospacing="1"/>
        <w:ind w:left="480" w:hanging="480"/>
        <w:rPr>
          <w:lang w:eastAsia="en-GB"/>
        </w:rPr>
      </w:pPr>
      <w:r w:rsidRPr="006A1EC7">
        <w:rPr>
          <w:lang w:eastAsia="en-GB"/>
        </w:rPr>
        <w:t xml:space="preserve">Mchugh, M. L. (2012). Interrater Reliability: The Kappa Statistic. </w:t>
      </w:r>
      <w:r w:rsidRPr="006A1EC7">
        <w:rPr>
          <w:i/>
          <w:iCs/>
          <w:lang w:eastAsia="en-GB"/>
        </w:rPr>
        <w:t>Biochemia Medica</w:t>
      </w:r>
      <w:r w:rsidRPr="006A1EC7">
        <w:rPr>
          <w:lang w:eastAsia="en-GB"/>
        </w:rPr>
        <w:t xml:space="preserve">, </w:t>
      </w:r>
      <w:r w:rsidRPr="006A1EC7">
        <w:rPr>
          <w:i/>
          <w:iCs/>
          <w:lang w:eastAsia="en-GB"/>
        </w:rPr>
        <w:t>22</w:t>
      </w:r>
      <w:r w:rsidRPr="006A1EC7">
        <w:rPr>
          <w:lang w:eastAsia="en-GB"/>
        </w:rPr>
        <w:t>(3), 276–282.</w:t>
      </w:r>
    </w:p>
    <w:p w14:paraId="0C8A1906" w14:textId="4BE92EB3" w:rsidR="00AD67F5" w:rsidRPr="006A1EC7" w:rsidRDefault="00AD67F5" w:rsidP="00421249">
      <w:pPr>
        <w:spacing w:before="100" w:beforeAutospacing="1" w:after="100" w:afterAutospacing="1"/>
        <w:ind w:left="480" w:hanging="480"/>
        <w:rPr>
          <w:lang w:eastAsia="en-GB"/>
        </w:rPr>
      </w:pPr>
      <w:r w:rsidRPr="006A1EC7">
        <w:rPr>
          <w:noProof/>
        </w:rPr>
        <w:t xml:space="preserve">Meltzer, L., &amp; Montgomery-Downs, H. (2011). Sleep in the family. </w:t>
      </w:r>
      <w:r w:rsidRPr="006A1EC7">
        <w:rPr>
          <w:i/>
          <w:iCs/>
          <w:noProof/>
        </w:rPr>
        <w:t>Pediatr Clin North Am</w:t>
      </w:r>
      <w:r w:rsidRPr="006A1EC7">
        <w:rPr>
          <w:noProof/>
        </w:rPr>
        <w:t xml:space="preserve">, </w:t>
      </w:r>
      <w:r w:rsidRPr="006A1EC7">
        <w:rPr>
          <w:i/>
          <w:iCs/>
          <w:noProof/>
        </w:rPr>
        <w:t>58</w:t>
      </w:r>
      <w:r w:rsidRPr="006A1EC7">
        <w:rPr>
          <w:noProof/>
        </w:rPr>
        <w:t>(3), 765–774. https://doi.org/10.1016/j.pcl.2011.03.010.Sleep</w:t>
      </w:r>
    </w:p>
    <w:p w14:paraId="28EEA5A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Melzack, R. (1983). The McGill Pain Questionnaire. </w:t>
      </w:r>
      <w:r w:rsidRPr="006A1EC7">
        <w:rPr>
          <w:i/>
          <w:iCs/>
          <w:noProof/>
        </w:rPr>
        <w:t>Pain Measurement and Assessment</w:t>
      </w:r>
      <w:r w:rsidRPr="006A1EC7">
        <w:rPr>
          <w:noProof/>
        </w:rPr>
        <w:t>. https://doi.org/10.1097/00000542-200507000-00028</w:t>
      </w:r>
    </w:p>
    <w:p w14:paraId="6656443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Miller, H., &amp; Kiani, R. (2008). Inter‐relationships between hearing impairment, learning disability services and mental health: are learning disability services ‘deaf’ to hearing impairments? </w:t>
      </w:r>
      <w:r w:rsidRPr="006A1EC7">
        <w:rPr>
          <w:i/>
          <w:iCs/>
          <w:noProof/>
        </w:rPr>
        <w:t>Advances in Mental Health and Learning Disabilities</w:t>
      </w:r>
      <w:r w:rsidRPr="006A1EC7">
        <w:rPr>
          <w:noProof/>
        </w:rPr>
        <w:t xml:space="preserve">, </w:t>
      </w:r>
      <w:r w:rsidRPr="006A1EC7">
        <w:rPr>
          <w:i/>
          <w:iCs/>
          <w:noProof/>
        </w:rPr>
        <w:t>2</w:t>
      </w:r>
      <w:r w:rsidRPr="006A1EC7">
        <w:rPr>
          <w:noProof/>
        </w:rPr>
        <w:t>(2), 25–30. https://doi.org/10.1108/17530180200800014</w:t>
      </w:r>
    </w:p>
    <w:p w14:paraId="168413E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Mokkink, L. B., Prinsen, C. A. C., Patrick, D. L., Alonso, J., Bouter, L. M., de Vet, H. C., &amp; Terwee, C. (2018). </w:t>
      </w:r>
      <w:r w:rsidRPr="006A1EC7">
        <w:rPr>
          <w:i/>
          <w:iCs/>
          <w:noProof/>
        </w:rPr>
        <w:t>COSMIN methodology for systematic reviews of Patient-Reported Outcome Measures (PROMs)</w:t>
      </w:r>
      <w:r w:rsidRPr="006A1EC7">
        <w:rPr>
          <w:noProof/>
        </w:rPr>
        <w:t>. Retrieved from http://www.cosmin.nl/images/upload/files/COSMIN syst review for PROMs manual_version 1_feb 2018.pdf</w:t>
      </w:r>
    </w:p>
    <w:p w14:paraId="63FC4C8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Mokkink, Lidwine B., Terwee, C. B., Patrick, D. L., Alonso, J., Stratford, P. W., Knol, D. L., … De Vet, H. C. W. (2010). The COSMIN checklist for assessing the methodological quality of studies on measurement properties of health status measurement instruments: An international Delphi study. </w:t>
      </w:r>
      <w:r w:rsidRPr="006A1EC7">
        <w:rPr>
          <w:i/>
          <w:iCs/>
          <w:noProof/>
        </w:rPr>
        <w:t>Quality of Life Research</w:t>
      </w:r>
      <w:r w:rsidRPr="006A1EC7">
        <w:rPr>
          <w:noProof/>
        </w:rPr>
        <w:t xml:space="preserve">, </w:t>
      </w:r>
      <w:r w:rsidRPr="006A1EC7">
        <w:rPr>
          <w:i/>
          <w:iCs/>
          <w:noProof/>
        </w:rPr>
        <w:t>19</w:t>
      </w:r>
      <w:r w:rsidRPr="006A1EC7">
        <w:rPr>
          <w:noProof/>
        </w:rPr>
        <w:t>(4), 539–549. https://doi.org/10.1007/s11136-010-9606-8</w:t>
      </w:r>
    </w:p>
    <w:p w14:paraId="6111899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Mokkink, Lidwine B., Terwee, C. B., Patrick, D. L., Alonso, J., Stratford, P. W., Knol, D. L., … de Vet, H. C. W. W. (2014). The COSMIN checklist for evaluating the methodological quality of studies on measurement properties. </w:t>
      </w:r>
      <w:r w:rsidRPr="006A1EC7">
        <w:rPr>
          <w:i/>
          <w:iCs/>
          <w:noProof/>
        </w:rPr>
        <w:t>Quality of Life Research</w:t>
      </w:r>
      <w:r w:rsidRPr="006A1EC7">
        <w:rPr>
          <w:noProof/>
        </w:rPr>
        <w:t xml:space="preserve">, </w:t>
      </w:r>
      <w:r w:rsidRPr="006A1EC7">
        <w:rPr>
          <w:i/>
          <w:iCs/>
          <w:noProof/>
        </w:rPr>
        <w:t>63</w:t>
      </w:r>
      <w:r w:rsidRPr="006A1EC7">
        <w:rPr>
          <w:noProof/>
        </w:rPr>
        <w:t>(7), 32. https://doi.org/10.1016/j.jclinepi.2010.02.006</w:t>
      </w:r>
    </w:p>
    <w:p w14:paraId="78D7A9C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Moores, K. L., Jones, G. L., &amp; Radley, S. C. (2012). Development of an instrument to measure face validity, feasibility and utility of patient questionnaire use during health care: The QQ-10. </w:t>
      </w:r>
      <w:r w:rsidRPr="006A1EC7">
        <w:rPr>
          <w:i/>
          <w:iCs/>
          <w:noProof/>
        </w:rPr>
        <w:t>International Journal for Quality in Health Care</w:t>
      </w:r>
      <w:r w:rsidRPr="006A1EC7">
        <w:rPr>
          <w:noProof/>
        </w:rPr>
        <w:t xml:space="preserve">, </w:t>
      </w:r>
      <w:r w:rsidRPr="006A1EC7">
        <w:rPr>
          <w:i/>
          <w:iCs/>
          <w:noProof/>
        </w:rPr>
        <w:t>24</w:t>
      </w:r>
      <w:r w:rsidRPr="006A1EC7">
        <w:rPr>
          <w:noProof/>
        </w:rPr>
        <w:t>(5), 517–524. https://doi.org/10.1093/intqhc/mzs051</w:t>
      </w:r>
    </w:p>
    <w:p w14:paraId="0498841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Morel, T., &amp; Cano, S. J. (2017). Measuring what matters to rare disease patients - </w:t>
      </w:r>
      <w:r w:rsidRPr="006A1EC7">
        <w:rPr>
          <w:noProof/>
        </w:rPr>
        <w:lastRenderedPageBreak/>
        <w:t xml:space="preserve">Reflections on the work by the IRDiRC taskforce on patient-centered outcome measures. </w:t>
      </w:r>
      <w:r w:rsidRPr="006A1EC7">
        <w:rPr>
          <w:i/>
          <w:iCs/>
          <w:noProof/>
        </w:rPr>
        <w:t>Orphanet Journal of Rare Diseases</w:t>
      </w:r>
      <w:r w:rsidRPr="006A1EC7">
        <w:rPr>
          <w:noProof/>
        </w:rPr>
        <w:t xml:space="preserve">, </w:t>
      </w:r>
      <w:r w:rsidRPr="006A1EC7">
        <w:rPr>
          <w:i/>
          <w:iCs/>
          <w:noProof/>
        </w:rPr>
        <w:t>12</w:t>
      </w:r>
      <w:r w:rsidRPr="006A1EC7">
        <w:rPr>
          <w:noProof/>
        </w:rPr>
        <w:t>(1), 1–13. https://doi.org/10.1186/s13023-017-0718-x</w:t>
      </w:r>
    </w:p>
    <w:p w14:paraId="6A114A7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Morgado, F. F. R., Meireles, J. F. F., Neves, C. M., Amaral, A. C. S., &amp; Ferreira, M. E. C. (2017). Scale development: Ten main limitations and recommendations to improve future research practices. </w:t>
      </w:r>
      <w:r w:rsidRPr="006A1EC7">
        <w:rPr>
          <w:i/>
          <w:iCs/>
          <w:noProof/>
        </w:rPr>
        <w:t>Psicologia: Reflexao e Critica</w:t>
      </w:r>
      <w:r w:rsidRPr="006A1EC7">
        <w:rPr>
          <w:noProof/>
        </w:rPr>
        <w:t xml:space="preserve">, </w:t>
      </w:r>
      <w:r w:rsidRPr="006A1EC7">
        <w:rPr>
          <w:i/>
          <w:iCs/>
          <w:noProof/>
        </w:rPr>
        <w:t>30</w:t>
      </w:r>
      <w:r w:rsidRPr="006A1EC7">
        <w:rPr>
          <w:noProof/>
        </w:rPr>
        <w:t>(1), 1–20. https://doi.org/10.1186/s41155-016-0057-1</w:t>
      </w:r>
    </w:p>
    <w:p w14:paraId="3463843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Morley, D., Jenkinson, C., Doll, H., Lavis, G., Sharp, R., Cooke, P., &amp; Dawson, J. (2013). The Manchester – Oxford Foot Questionnaire ( MOXFQ ) DEVELOPMENT AND VALIDATION OF A SUMMARY INDEX SCORE, </w:t>
      </w:r>
      <w:r w:rsidRPr="006A1EC7">
        <w:rPr>
          <w:i/>
          <w:iCs/>
          <w:noProof/>
        </w:rPr>
        <w:t>2</w:t>
      </w:r>
      <w:r w:rsidRPr="006A1EC7">
        <w:rPr>
          <w:noProof/>
        </w:rPr>
        <w:t>(4), 66–69.</w:t>
      </w:r>
    </w:p>
    <w:p w14:paraId="68D3ED8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Mosier, C. I. (1947). A critical examination of the concepts of face validity. </w:t>
      </w:r>
      <w:r w:rsidRPr="006A1EC7">
        <w:rPr>
          <w:i/>
          <w:iCs/>
          <w:noProof/>
        </w:rPr>
        <w:t>Educational and Psychological Measurement</w:t>
      </w:r>
      <w:r w:rsidRPr="006A1EC7">
        <w:rPr>
          <w:noProof/>
        </w:rPr>
        <w:t>. https://doi.org/10.1177/001316444700700201</w:t>
      </w:r>
    </w:p>
    <w:p w14:paraId="254CFD3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Moyer, V., &amp; Elliot, E. (2008). </w:t>
      </w:r>
      <w:r w:rsidRPr="006A1EC7">
        <w:rPr>
          <w:i/>
          <w:iCs/>
          <w:noProof/>
        </w:rPr>
        <w:t>Evidence-based Pediatrics and Child Health</w:t>
      </w:r>
      <w:r w:rsidRPr="006A1EC7">
        <w:rPr>
          <w:noProof/>
        </w:rPr>
        <w:t xml:space="preserve"> (2nd ed.). Oxford: John Wiley &amp; Sons.</w:t>
      </w:r>
    </w:p>
    <w:p w14:paraId="159AC2E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Mulley, J. C., &amp; Mefford, H. C. (2011). Epilepsy and the new cytogenetics. </w:t>
      </w:r>
      <w:r w:rsidRPr="006A1EC7">
        <w:rPr>
          <w:i/>
          <w:iCs/>
          <w:noProof/>
        </w:rPr>
        <w:t>Epilepsia</w:t>
      </w:r>
      <w:r w:rsidRPr="006A1EC7">
        <w:rPr>
          <w:noProof/>
        </w:rPr>
        <w:t xml:space="preserve">, </w:t>
      </w:r>
      <w:r w:rsidRPr="006A1EC7">
        <w:rPr>
          <w:i/>
          <w:iCs/>
          <w:noProof/>
        </w:rPr>
        <w:t>52</w:t>
      </w:r>
      <w:r w:rsidRPr="006A1EC7">
        <w:rPr>
          <w:noProof/>
        </w:rPr>
        <w:t>(3), 423–432. https://doi.org/10.1111/j.1528-1167.2010.02932.x</w:t>
      </w:r>
    </w:p>
    <w:p w14:paraId="6D34F4C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Mulrow, C. D. (1987). The medical review article: state of the science. </w:t>
      </w:r>
      <w:r w:rsidRPr="006A1EC7">
        <w:rPr>
          <w:i/>
          <w:iCs/>
          <w:noProof/>
        </w:rPr>
        <w:t>Annals of Internal Medicine</w:t>
      </w:r>
      <w:r w:rsidRPr="006A1EC7">
        <w:rPr>
          <w:noProof/>
        </w:rPr>
        <w:t>.</w:t>
      </w:r>
    </w:p>
    <w:p w14:paraId="239F921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Nag, H. E., Bergsaker, D. K., Hunn, B. S., Schmidt, S., &amp; Hoxmark, L. B. (2017). A structured assessment of motor function, behavior, and communication in patients with Wolf-Hirschhorn syndrome. </w:t>
      </w:r>
      <w:r w:rsidRPr="006A1EC7">
        <w:rPr>
          <w:i/>
          <w:iCs/>
          <w:noProof/>
        </w:rPr>
        <w:t>European Journal of Medical Genetics</w:t>
      </w:r>
      <w:r w:rsidRPr="006A1EC7">
        <w:rPr>
          <w:noProof/>
        </w:rPr>
        <w:t xml:space="preserve">, </w:t>
      </w:r>
      <w:r w:rsidRPr="006A1EC7">
        <w:rPr>
          <w:i/>
          <w:iCs/>
          <w:noProof/>
        </w:rPr>
        <w:t>60</w:t>
      </w:r>
      <w:r w:rsidRPr="006A1EC7">
        <w:rPr>
          <w:noProof/>
        </w:rPr>
        <w:t>(11), 610–617. https://doi.org/10.1016/j.ejmg.2017.08.013</w:t>
      </w:r>
    </w:p>
    <w:p w14:paraId="3BB3884B" w14:textId="77777777" w:rsidR="00AD67F5" w:rsidRPr="006A1EC7" w:rsidRDefault="00AD67F5" w:rsidP="00421249">
      <w:pPr>
        <w:widowControl w:val="0"/>
        <w:autoSpaceDE w:val="0"/>
        <w:autoSpaceDN w:val="0"/>
        <w:adjustRightInd w:val="0"/>
        <w:ind w:left="480" w:hanging="480"/>
        <w:rPr>
          <w:noProof/>
        </w:rPr>
      </w:pPr>
      <w:r w:rsidRPr="006A1EC7">
        <w:rPr>
          <w:noProof/>
        </w:rPr>
        <w:t>National Center for Chronic Disease Prevention and Health Promotion: Division of Population Health. (2018). Measurement Properties. Retrieved August 5, 2019, from https://www.cdc.gov/hrqol/measurement.htm</w:t>
      </w:r>
    </w:p>
    <w:p w14:paraId="7180713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Nestler-Parr, S., Korchagina, D., Toumi, M., Pashos, C. L., Blanchette, C., Molsen, E., … Redekop, W. (2018). Challenges in Research and Health Technology Assessment of. </w:t>
      </w:r>
      <w:r w:rsidRPr="006A1EC7">
        <w:rPr>
          <w:i/>
          <w:iCs/>
          <w:noProof/>
        </w:rPr>
        <w:t>Value in Health</w:t>
      </w:r>
      <w:r w:rsidRPr="006A1EC7">
        <w:rPr>
          <w:noProof/>
        </w:rPr>
        <w:t xml:space="preserve">, </w:t>
      </w:r>
      <w:r w:rsidRPr="006A1EC7">
        <w:rPr>
          <w:i/>
          <w:iCs/>
          <w:noProof/>
        </w:rPr>
        <w:t>21</w:t>
      </w:r>
      <w:r w:rsidRPr="006A1EC7">
        <w:rPr>
          <w:noProof/>
        </w:rPr>
        <w:t>, 493–500. https://doi.org/10.1016/j.jval.2018.03.004</w:t>
      </w:r>
    </w:p>
    <w:p w14:paraId="6784789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Newburger, J. W., Alexander, M. E., &amp; Fulton, D. R. (2006). </w:t>
      </w:r>
      <w:r w:rsidRPr="006A1EC7">
        <w:rPr>
          <w:i/>
          <w:iCs/>
          <w:noProof/>
        </w:rPr>
        <w:t>Innocent Murmurs, Syncope, and Chest Pain</w:t>
      </w:r>
      <w:r w:rsidRPr="006A1EC7">
        <w:rPr>
          <w:noProof/>
        </w:rPr>
        <w:t xml:space="preserve">. </w:t>
      </w:r>
      <w:r w:rsidRPr="006A1EC7">
        <w:rPr>
          <w:i/>
          <w:iCs/>
          <w:noProof/>
        </w:rPr>
        <w:t>Nadas’ Pediatric Cardiology</w:t>
      </w:r>
      <w:r w:rsidRPr="006A1EC7">
        <w:rPr>
          <w:noProof/>
        </w:rPr>
        <w:t>. https://doi.org/10.1016/B978-1-4160-2390-6.50027-1</w:t>
      </w:r>
    </w:p>
    <w:p w14:paraId="60130D7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Newton, R. R., &amp; Rudestam, K. E. (2017). Types of Variables and their Treatment in Statistical Analysis. </w:t>
      </w:r>
      <w:r w:rsidRPr="006A1EC7">
        <w:rPr>
          <w:i/>
          <w:iCs/>
          <w:noProof/>
        </w:rPr>
        <w:t>Your Statistical Consultant: Answers to Your Data Analysis Questions</w:t>
      </w:r>
      <w:r w:rsidRPr="006A1EC7">
        <w:rPr>
          <w:noProof/>
        </w:rPr>
        <w:t>, 213–227. https://doi.org/10.4135/9781506374673.n9</w:t>
      </w:r>
    </w:p>
    <w:p w14:paraId="55F7D16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Nguyen, C., Foster, E. R., Paciorkowski, A. R., Viehoever, A., Considine, C., Bondurant, A., … Washington University Wolfram Study Group. (2012). Reliability and validity of the Wolfram Unified Rating Scale (WURS). </w:t>
      </w:r>
      <w:r w:rsidRPr="006A1EC7">
        <w:rPr>
          <w:i/>
          <w:iCs/>
          <w:noProof/>
        </w:rPr>
        <w:t>Orphanet Journal of Rare Diseases</w:t>
      </w:r>
      <w:r w:rsidRPr="006A1EC7">
        <w:rPr>
          <w:noProof/>
        </w:rPr>
        <w:t xml:space="preserve">, </w:t>
      </w:r>
      <w:r w:rsidRPr="006A1EC7">
        <w:rPr>
          <w:i/>
          <w:iCs/>
          <w:noProof/>
        </w:rPr>
        <w:t>7</w:t>
      </w:r>
      <w:r w:rsidRPr="006A1EC7">
        <w:rPr>
          <w:noProof/>
        </w:rPr>
        <w:t>, 89. https://doi.org/10.1186/1750-1172-7-89</w:t>
      </w:r>
    </w:p>
    <w:p w14:paraId="1F28B04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Nicholas, P., Hefford, C., &amp; Tumilty, S. (2012). The use of the Patient-Specific Functional Scale to measure rehabilitative progress in a physiotherapy setting. </w:t>
      </w:r>
      <w:r w:rsidRPr="006A1EC7">
        <w:rPr>
          <w:i/>
          <w:iCs/>
          <w:noProof/>
        </w:rPr>
        <w:t>The Journal of Manual &amp; Manipulative Therapy</w:t>
      </w:r>
      <w:r w:rsidRPr="006A1EC7">
        <w:rPr>
          <w:noProof/>
        </w:rPr>
        <w:t xml:space="preserve">, </w:t>
      </w:r>
      <w:r w:rsidRPr="006A1EC7">
        <w:rPr>
          <w:i/>
          <w:iCs/>
          <w:noProof/>
        </w:rPr>
        <w:t>20</w:t>
      </w:r>
      <w:r w:rsidRPr="006A1EC7">
        <w:rPr>
          <w:noProof/>
        </w:rPr>
        <w:t>(3), 147–152. https://doi.org/10.1179/2042618612Y.0000000006</w:t>
      </w:r>
    </w:p>
    <w:p w14:paraId="76FFBAE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Nicholl, H., Tracey, C., Begley, T., King, C., &amp; Lynch, A. (2017). Internet Use by Parents of Children With Rare Conditions: Findings From a Study on Parents’ Web Information Needs. </w:t>
      </w:r>
      <w:r w:rsidRPr="006A1EC7">
        <w:rPr>
          <w:i/>
          <w:iCs/>
          <w:noProof/>
        </w:rPr>
        <w:t>Journal of Medical Internet Research</w:t>
      </w:r>
      <w:r w:rsidRPr="006A1EC7">
        <w:rPr>
          <w:noProof/>
        </w:rPr>
        <w:t xml:space="preserve">, </w:t>
      </w:r>
      <w:r w:rsidRPr="006A1EC7">
        <w:rPr>
          <w:i/>
          <w:iCs/>
          <w:noProof/>
        </w:rPr>
        <w:t>19</w:t>
      </w:r>
      <w:r w:rsidRPr="006A1EC7">
        <w:rPr>
          <w:noProof/>
        </w:rPr>
        <w:t>(2). https://doi.org/10.2196/jmir.5834</w:t>
      </w:r>
    </w:p>
    <w:p w14:paraId="4BB14C30"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 xml:space="preserve">Nickel, F., Kowalewski, K. F., Rehberger, F., Hendrie, J. D., Mayer, B. F. B., Kenngott, H. G., … Müller-Stich, B. P. (2017). Face validity of the pulsatile organ perfusion trainer for laparoscopic cholecystectomy. </w:t>
      </w:r>
      <w:r w:rsidRPr="006A1EC7">
        <w:rPr>
          <w:i/>
          <w:iCs/>
          <w:noProof/>
        </w:rPr>
        <w:t>Surgical Endoscopy</w:t>
      </w:r>
      <w:r w:rsidRPr="006A1EC7">
        <w:rPr>
          <w:noProof/>
        </w:rPr>
        <w:t xml:space="preserve">, </w:t>
      </w:r>
      <w:r w:rsidRPr="006A1EC7">
        <w:rPr>
          <w:i/>
          <w:iCs/>
          <w:noProof/>
        </w:rPr>
        <w:t>31</w:t>
      </w:r>
      <w:r w:rsidRPr="006A1EC7">
        <w:rPr>
          <w:noProof/>
        </w:rPr>
        <w:t>(2), 714–722. https://doi.org/10.1007/s00464-016-5025-4</w:t>
      </w:r>
    </w:p>
    <w:p w14:paraId="6BC4B06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Noble, A. J., &amp; Marson, A. G. (2016). Which outcomes should we measure in adult epilepsy trials? The views of people with epilepsy and informal carers. </w:t>
      </w:r>
      <w:r w:rsidRPr="006A1EC7">
        <w:rPr>
          <w:i/>
          <w:iCs/>
          <w:noProof/>
        </w:rPr>
        <w:t>Epilepsy and Behavior</w:t>
      </w:r>
      <w:r w:rsidRPr="006A1EC7">
        <w:rPr>
          <w:noProof/>
        </w:rPr>
        <w:t xml:space="preserve">, </w:t>
      </w:r>
      <w:r w:rsidRPr="006A1EC7">
        <w:rPr>
          <w:i/>
          <w:iCs/>
          <w:noProof/>
        </w:rPr>
        <w:t>59</w:t>
      </w:r>
      <w:r w:rsidRPr="006A1EC7">
        <w:rPr>
          <w:noProof/>
        </w:rPr>
        <w:t>, 105–110. https://doi.org/10.1016/j.yebeh.2016.01.036</w:t>
      </w:r>
    </w:p>
    <w:p w14:paraId="73B0D0A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Noble, H., &amp; Smith, J. (2018). Reviewing the literature: choosing a review design. </w:t>
      </w:r>
      <w:r w:rsidRPr="006A1EC7">
        <w:rPr>
          <w:i/>
          <w:iCs/>
          <w:noProof/>
        </w:rPr>
        <w:t>Evidence Based Nursing</w:t>
      </w:r>
      <w:r w:rsidRPr="006A1EC7">
        <w:rPr>
          <w:noProof/>
        </w:rPr>
        <w:t xml:space="preserve">, </w:t>
      </w:r>
      <w:r w:rsidRPr="006A1EC7">
        <w:rPr>
          <w:i/>
          <w:iCs/>
          <w:noProof/>
        </w:rPr>
        <w:t>21</w:t>
      </w:r>
      <w:r w:rsidRPr="006A1EC7">
        <w:rPr>
          <w:noProof/>
        </w:rPr>
        <w:t>(2), 39–41. https://doi.org/10.1136/eb-2018-102895</w:t>
      </w:r>
    </w:p>
    <w:p w14:paraId="6142C54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Norton, C., Thomas, L., &amp; Hill, J. (2007). Management of faecal incontinence in adults: Summary of NICE guidance. </w:t>
      </w:r>
      <w:r w:rsidRPr="006A1EC7">
        <w:rPr>
          <w:i/>
          <w:iCs/>
          <w:noProof/>
        </w:rPr>
        <w:t>British Medical Journal</w:t>
      </w:r>
      <w:r w:rsidRPr="006A1EC7">
        <w:rPr>
          <w:noProof/>
        </w:rPr>
        <w:t xml:space="preserve">, </w:t>
      </w:r>
      <w:r w:rsidRPr="006A1EC7">
        <w:rPr>
          <w:i/>
          <w:iCs/>
          <w:noProof/>
        </w:rPr>
        <w:t>334</w:t>
      </w:r>
      <w:r w:rsidRPr="006A1EC7">
        <w:rPr>
          <w:noProof/>
        </w:rPr>
        <w:t>(7608), 1370–1371. https://doi.org/10.1136/bmj.39231.633275.AD</w:t>
      </w:r>
    </w:p>
    <w:p w14:paraId="599730C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O’ Boyle, C. (1995). Making subjectivity scientific. </w:t>
      </w:r>
      <w:r w:rsidRPr="006A1EC7">
        <w:rPr>
          <w:i/>
          <w:iCs/>
          <w:noProof/>
        </w:rPr>
        <w:t>The Lancet</w:t>
      </w:r>
      <w:r w:rsidRPr="006A1EC7">
        <w:rPr>
          <w:noProof/>
        </w:rPr>
        <w:t xml:space="preserve">, </w:t>
      </w:r>
      <w:r w:rsidRPr="006A1EC7">
        <w:rPr>
          <w:i/>
          <w:iCs/>
          <w:noProof/>
        </w:rPr>
        <w:t>345</w:t>
      </w:r>
      <w:r w:rsidRPr="006A1EC7">
        <w:rPr>
          <w:noProof/>
        </w:rPr>
        <w:t>(11), 602.</w:t>
      </w:r>
    </w:p>
    <w:p w14:paraId="1837F38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O’Brien, S. M. (2004). Cutpoint selection for categorizing a continuous predictor. </w:t>
      </w:r>
      <w:r w:rsidRPr="006A1EC7">
        <w:rPr>
          <w:i/>
          <w:iCs/>
          <w:noProof/>
        </w:rPr>
        <w:t>Biometrics</w:t>
      </w:r>
      <w:r w:rsidRPr="006A1EC7">
        <w:rPr>
          <w:noProof/>
        </w:rPr>
        <w:t xml:space="preserve">, </w:t>
      </w:r>
      <w:r w:rsidRPr="006A1EC7">
        <w:rPr>
          <w:i/>
          <w:iCs/>
          <w:noProof/>
        </w:rPr>
        <w:t>60</w:t>
      </w:r>
      <w:r w:rsidRPr="006A1EC7">
        <w:rPr>
          <w:noProof/>
        </w:rPr>
        <w:t>(2), 504–509. https://doi.org/10.1111/j.0006-341X.2004.00196.x</w:t>
      </w:r>
    </w:p>
    <w:p w14:paraId="3587423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Oberdhan, D., Cole, J. C., Krasa, H. B., Cheng, R., Czerwiec, F. S., Hays, R. D., … Perrone, R. D. (2018). Development of the Autosomal Dominant Polycystic Kidney Disease Impact Scale: A New Health-Related Quality-of-Life Instrument. </w:t>
      </w:r>
      <w:r w:rsidRPr="006A1EC7">
        <w:rPr>
          <w:i/>
          <w:iCs/>
          <w:noProof/>
        </w:rPr>
        <w:t>American Journal of Kidney Diseases</w:t>
      </w:r>
      <w:r w:rsidRPr="006A1EC7">
        <w:rPr>
          <w:noProof/>
        </w:rPr>
        <w:t xml:space="preserve">, </w:t>
      </w:r>
      <w:r w:rsidRPr="006A1EC7">
        <w:rPr>
          <w:i/>
          <w:iCs/>
          <w:noProof/>
        </w:rPr>
        <w:t>71</w:t>
      </w:r>
      <w:r w:rsidRPr="006A1EC7">
        <w:rPr>
          <w:noProof/>
        </w:rPr>
        <w:t>(2), 225–235. https://doi.org/10.1053/j.ajkd.2017.08.020</w:t>
      </w:r>
    </w:p>
    <w:p w14:paraId="2103F13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Olsson, M. B., &amp; Hwang, C. P. (2001). Depression in mothers and fathers of children with intellectual disability. </w:t>
      </w:r>
      <w:r w:rsidRPr="006A1EC7">
        <w:rPr>
          <w:i/>
          <w:iCs/>
          <w:noProof/>
        </w:rPr>
        <w:t>Journal of Intellectual Disability Research</w:t>
      </w:r>
      <w:r w:rsidRPr="006A1EC7">
        <w:rPr>
          <w:noProof/>
        </w:rPr>
        <w:t xml:space="preserve">, </w:t>
      </w:r>
      <w:r w:rsidRPr="006A1EC7">
        <w:rPr>
          <w:i/>
          <w:iCs/>
          <w:noProof/>
        </w:rPr>
        <w:t>45</w:t>
      </w:r>
      <w:r w:rsidRPr="006A1EC7">
        <w:rPr>
          <w:noProof/>
        </w:rPr>
        <w:t>(6), 535–543. https://doi.org/10.1046/j.1365-2788.2001.00372.x</w:t>
      </w:r>
    </w:p>
    <w:p w14:paraId="2F4A0F3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Ouyang, L., Grosse, S. D., Riley, C., Bolen, J., Bishop, E., Raspa, M., &amp; Bailey, D. B. (2014). A comparison of family financial and employment impacts of fragile X syndrome, autism spectrum disorders, and intellectual disability. </w:t>
      </w:r>
      <w:r w:rsidRPr="006A1EC7">
        <w:rPr>
          <w:i/>
          <w:iCs/>
          <w:noProof/>
        </w:rPr>
        <w:t>Research in Developmental Disabilities</w:t>
      </w:r>
      <w:r w:rsidRPr="006A1EC7">
        <w:rPr>
          <w:noProof/>
        </w:rPr>
        <w:t xml:space="preserve">, </w:t>
      </w:r>
      <w:r w:rsidRPr="006A1EC7">
        <w:rPr>
          <w:i/>
          <w:iCs/>
          <w:noProof/>
        </w:rPr>
        <w:t>35</w:t>
      </w:r>
      <w:r w:rsidRPr="006A1EC7">
        <w:rPr>
          <w:noProof/>
        </w:rPr>
        <w:t>(7), 1518–1527. https://doi.org/10.1016/j.ridd.2014.04.009</w:t>
      </w:r>
    </w:p>
    <w:p w14:paraId="4736A65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Ouzzani, M., Hammady, H., Fedorowicz, Z., &amp; Elmagarmid, A. (2016). Rayyan-a web and mobile app for systematic reviews. </w:t>
      </w:r>
      <w:r w:rsidRPr="006A1EC7">
        <w:rPr>
          <w:i/>
          <w:iCs/>
          <w:noProof/>
        </w:rPr>
        <w:t>Systematic Reviews</w:t>
      </w:r>
      <w:r w:rsidRPr="006A1EC7">
        <w:rPr>
          <w:noProof/>
        </w:rPr>
        <w:t>. https://doi.org/10.1186/s13643-016-0384-4</w:t>
      </w:r>
    </w:p>
    <w:p w14:paraId="16975C8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Paradowska-Stolarz, A. M. (2014). Wolf-Hirschhorn Syndrome (WHS) - Literature review on the features of the syndrome. </w:t>
      </w:r>
      <w:r w:rsidRPr="006A1EC7">
        <w:rPr>
          <w:i/>
          <w:iCs/>
          <w:noProof/>
        </w:rPr>
        <w:t>Advances in Clinical and Experimental Medicine</w:t>
      </w:r>
      <w:r w:rsidRPr="006A1EC7">
        <w:rPr>
          <w:noProof/>
        </w:rPr>
        <w:t xml:space="preserve">, </w:t>
      </w:r>
      <w:r w:rsidRPr="006A1EC7">
        <w:rPr>
          <w:i/>
          <w:iCs/>
          <w:noProof/>
        </w:rPr>
        <w:t>23</w:t>
      </w:r>
      <w:r w:rsidRPr="006A1EC7">
        <w:rPr>
          <w:noProof/>
        </w:rPr>
        <w:t>(3), 485–489. Retrieved from https://www.scopus.com/inward/record.uri?eid=2-s2.0-84905690436&amp;partnerID=40&amp;md5=68345f4708c8e0d02c057a222fecc828</w:t>
      </w:r>
    </w:p>
    <w:p w14:paraId="47C463A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Park, M. S., Kang, K. J., Jang, S. J., Lee, J. Y., &amp; Chang, S. J. (2018). Evaluating test-retest reliability in patient-reported outcome measures for older people: A systematic review. </w:t>
      </w:r>
      <w:r w:rsidRPr="006A1EC7">
        <w:rPr>
          <w:i/>
          <w:iCs/>
          <w:noProof/>
        </w:rPr>
        <w:t>International Journal of Nursing Studies</w:t>
      </w:r>
      <w:r w:rsidRPr="006A1EC7">
        <w:rPr>
          <w:noProof/>
        </w:rPr>
        <w:t xml:space="preserve">, </w:t>
      </w:r>
      <w:r w:rsidRPr="006A1EC7">
        <w:rPr>
          <w:i/>
          <w:iCs/>
          <w:noProof/>
        </w:rPr>
        <w:t>79</w:t>
      </w:r>
      <w:r w:rsidRPr="006A1EC7">
        <w:rPr>
          <w:noProof/>
        </w:rPr>
        <w:t>(November 2017), 58–69. https://doi.org/10.1016/j.ijnurstu.2017.11.003</w:t>
      </w:r>
    </w:p>
    <w:p w14:paraId="542EFC1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Parker, M. (1996). Families Caring for Chronically Ill children with tuberous sclerosis complex. </w:t>
      </w:r>
      <w:r w:rsidRPr="006A1EC7">
        <w:rPr>
          <w:i/>
          <w:iCs/>
          <w:noProof/>
        </w:rPr>
        <w:t>Family &amp; Community Health</w:t>
      </w:r>
      <w:r w:rsidRPr="006A1EC7">
        <w:rPr>
          <w:noProof/>
        </w:rPr>
        <w:t xml:space="preserve">, </w:t>
      </w:r>
      <w:r w:rsidRPr="006A1EC7">
        <w:rPr>
          <w:i/>
          <w:iCs/>
          <w:noProof/>
        </w:rPr>
        <w:t>19</w:t>
      </w:r>
      <w:r w:rsidRPr="006A1EC7">
        <w:rPr>
          <w:noProof/>
        </w:rPr>
        <w:t>(2), 73–84.</w:t>
      </w:r>
    </w:p>
    <w:p w14:paraId="298AE29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Pasta, D. J. (2009). Learning When to Be Discrete : Continuous vs . Categorical Predictors SAS Global Forum 2009 Statistics and Data Analysis. In </w:t>
      </w:r>
      <w:r w:rsidRPr="006A1EC7">
        <w:rPr>
          <w:i/>
          <w:iCs/>
          <w:noProof/>
        </w:rPr>
        <w:t>SAS Global Forum 2009 Statistics and Data Analysis</w:t>
      </w:r>
      <w:r w:rsidRPr="006A1EC7">
        <w:rPr>
          <w:noProof/>
        </w:rPr>
        <w:t xml:space="preserve"> (pp. 1–10).</w:t>
      </w:r>
    </w:p>
    <w:p w14:paraId="50229C1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Payne, K., Nicholls, S., McAllister, M., MacLeod, R., Donnai, D., &amp; Davies, L. M. (2008). Outcome measurement in clinical genetics services: A systematic review of validated measures. </w:t>
      </w:r>
      <w:r w:rsidRPr="006A1EC7">
        <w:rPr>
          <w:i/>
          <w:iCs/>
          <w:noProof/>
        </w:rPr>
        <w:t>Value in Health</w:t>
      </w:r>
      <w:r w:rsidRPr="006A1EC7">
        <w:rPr>
          <w:noProof/>
        </w:rPr>
        <w:t xml:space="preserve">, </w:t>
      </w:r>
      <w:r w:rsidRPr="006A1EC7">
        <w:rPr>
          <w:i/>
          <w:iCs/>
          <w:noProof/>
        </w:rPr>
        <w:t>11</w:t>
      </w:r>
      <w:r w:rsidRPr="006A1EC7">
        <w:rPr>
          <w:noProof/>
        </w:rPr>
        <w:t>(3), 497–508. https://doi.org/10.1111/j.1524-4733.2007.00259.x</w:t>
      </w:r>
    </w:p>
    <w:p w14:paraId="5ACAAF70"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PDUFA. (2015). Outcomes Assessment Development and Implementation : Opportunities and Challenges Public Workshop April 1 , 2015 – FDA , White Oak Campus Meeting Transcript.</w:t>
      </w:r>
    </w:p>
    <w:p w14:paraId="2CB9456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Peat, J, &amp; Barton, B. (2014). </w:t>
      </w:r>
      <w:r w:rsidRPr="006A1EC7">
        <w:rPr>
          <w:i/>
          <w:iCs/>
          <w:noProof/>
        </w:rPr>
        <w:t>Medical Statistics: A Guide to Data Analysis and Critical Appraisal</w:t>
      </w:r>
      <w:r w:rsidRPr="006A1EC7">
        <w:rPr>
          <w:noProof/>
        </w:rPr>
        <w:t xml:space="preserve"> (2nd ed.). Chichester: Blackwell Publishing.</w:t>
      </w:r>
    </w:p>
    <w:p w14:paraId="5AA8B24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Peat, Jennifer. (2016). </w:t>
      </w:r>
      <w:r w:rsidRPr="006A1EC7">
        <w:rPr>
          <w:i/>
          <w:iCs/>
          <w:noProof/>
        </w:rPr>
        <w:t>Reporting the Results</w:t>
      </w:r>
      <w:r w:rsidRPr="006A1EC7">
        <w:rPr>
          <w:noProof/>
        </w:rPr>
        <w:t xml:space="preserve">. </w:t>
      </w:r>
      <w:r w:rsidRPr="006A1EC7">
        <w:rPr>
          <w:i/>
          <w:iCs/>
          <w:noProof/>
        </w:rPr>
        <w:t>Health Science Research</w:t>
      </w:r>
      <w:r w:rsidRPr="006A1EC7">
        <w:rPr>
          <w:noProof/>
        </w:rPr>
        <w:t>. https://doi.org/10.4135/9781849209250.n7</w:t>
      </w:r>
    </w:p>
    <w:p w14:paraId="14CCEFB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Pedrosa, R. B. D. S., Rodrigues, R. C. M., Alexandre, N. M. C., Padilha, K. M., &amp; Gallani, M. C. B. J. (2016). Factor analysis of an instrument to measure the impact of disease on daily life. </w:t>
      </w:r>
      <w:r w:rsidRPr="006A1EC7">
        <w:rPr>
          <w:i/>
          <w:iCs/>
          <w:noProof/>
        </w:rPr>
        <w:t>Revista Brasileira de Enfermagem</w:t>
      </w:r>
      <w:r w:rsidRPr="006A1EC7">
        <w:rPr>
          <w:noProof/>
        </w:rPr>
        <w:t xml:space="preserve">, </w:t>
      </w:r>
      <w:r w:rsidRPr="006A1EC7">
        <w:rPr>
          <w:i/>
          <w:iCs/>
          <w:noProof/>
        </w:rPr>
        <w:t>69</w:t>
      </w:r>
      <w:r w:rsidRPr="006A1EC7">
        <w:rPr>
          <w:noProof/>
        </w:rPr>
        <w:t>(4), 697–704. https://doi.org/10.1590/0034-7167.2016690412i</w:t>
      </w:r>
    </w:p>
    <w:p w14:paraId="15142A3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Pelentsov, L., Fielder, A. L., Laws, T. A., &amp; Esterman, A. J. (2016). Development of the parental needs scale for rare diseases : a tool for measuring the supportive care needs of parents caring for a child with a rare disease. </w:t>
      </w:r>
      <w:r w:rsidRPr="006A1EC7">
        <w:rPr>
          <w:i/>
          <w:iCs/>
          <w:noProof/>
        </w:rPr>
        <w:t>Journal of Multidisciplinary Healthcare</w:t>
      </w:r>
      <w:r w:rsidRPr="006A1EC7">
        <w:rPr>
          <w:noProof/>
        </w:rPr>
        <w:t xml:space="preserve">, </w:t>
      </w:r>
      <w:r w:rsidRPr="006A1EC7">
        <w:rPr>
          <w:i/>
          <w:iCs/>
          <w:noProof/>
        </w:rPr>
        <w:t>6</w:t>
      </w:r>
      <w:r w:rsidRPr="006A1EC7">
        <w:rPr>
          <w:noProof/>
        </w:rPr>
        <w:t>(9), 425–433.</w:t>
      </w:r>
    </w:p>
    <w:p w14:paraId="41A4AD2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Pelentsov, L., O’Shaughnessy, P., Laws, T., &amp; Esterman, A. (2014). What are the supportive care needs of parents caring for a child diagnosed with ectodermal dysplasia: A rare genetic disorder? </w:t>
      </w:r>
      <w:r w:rsidRPr="006A1EC7">
        <w:rPr>
          <w:i/>
          <w:iCs/>
          <w:noProof/>
        </w:rPr>
        <w:t>International Journal of Child Health and Human Development</w:t>
      </w:r>
      <w:r w:rsidRPr="006A1EC7">
        <w:rPr>
          <w:noProof/>
        </w:rPr>
        <w:t xml:space="preserve">, </w:t>
      </w:r>
      <w:r w:rsidRPr="006A1EC7">
        <w:rPr>
          <w:i/>
          <w:iCs/>
          <w:noProof/>
        </w:rPr>
        <w:t>7</w:t>
      </w:r>
      <w:r w:rsidRPr="006A1EC7">
        <w:rPr>
          <w:noProof/>
        </w:rPr>
        <w:t>(1), 23–29. Retrieved from http://ovidsp.ovid.com/ovidweb.cgi?T=JS&amp;PAGE=reference&amp;D=psyc11&amp;NEWS=N&amp;AN=2014-14359-004</w:t>
      </w:r>
    </w:p>
    <w:p w14:paraId="65930F2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Peng, L., Manatunga, A., Wang, M., Guo, Y., &amp; Rahman, A. (2017). A general approach to categorizing a continuous scale according to an ordinal outcome. </w:t>
      </w:r>
      <w:r w:rsidRPr="006A1EC7">
        <w:rPr>
          <w:i/>
          <w:iCs/>
          <w:noProof/>
        </w:rPr>
        <w:t>J Stat Plan Inference</w:t>
      </w:r>
      <w:r w:rsidRPr="006A1EC7">
        <w:rPr>
          <w:noProof/>
        </w:rPr>
        <w:t xml:space="preserve">, </w:t>
      </w:r>
      <w:r w:rsidRPr="006A1EC7">
        <w:rPr>
          <w:i/>
          <w:iCs/>
          <w:noProof/>
        </w:rPr>
        <w:t>172</w:t>
      </w:r>
      <w:r w:rsidRPr="006A1EC7">
        <w:rPr>
          <w:noProof/>
        </w:rPr>
        <w:t>, 23–25. https://doi.org/10.1016/j.jspi.2015.12.006.</w:t>
      </w:r>
    </w:p>
    <w:p w14:paraId="55B9132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Petersen, M. C., Kedia, S., Davis, P., Newman, L., &amp; Temple, C. (2006). Eating and feeding are not the same: Caregivers’ perceptions of gastrostomy feeding for children with cerebral palsy. </w:t>
      </w:r>
      <w:r w:rsidRPr="006A1EC7">
        <w:rPr>
          <w:i/>
          <w:iCs/>
          <w:noProof/>
        </w:rPr>
        <w:t>Developmental Medicine and Child Neurology</w:t>
      </w:r>
      <w:r w:rsidRPr="006A1EC7">
        <w:rPr>
          <w:noProof/>
        </w:rPr>
        <w:t xml:space="preserve">, </w:t>
      </w:r>
      <w:r w:rsidRPr="006A1EC7">
        <w:rPr>
          <w:i/>
          <w:iCs/>
          <w:noProof/>
        </w:rPr>
        <w:t>48</w:t>
      </w:r>
      <w:r w:rsidRPr="006A1EC7">
        <w:rPr>
          <w:noProof/>
        </w:rPr>
        <w:t>(9), 713–717. https://doi.org/10.1017/S0012162206001538</w:t>
      </w:r>
    </w:p>
    <w:p w14:paraId="38216E2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Piazza, V., Floyd, D., Mallick, M., &amp; Greenberg, J. (2014). Coping and Psychological Health of Aging Parents of Adult Children With Developmental Disabilities. </w:t>
      </w:r>
      <w:r w:rsidRPr="006A1EC7">
        <w:rPr>
          <w:i/>
          <w:iCs/>
          <w:noProof/>
        </w:rPr>
        <w:t>Am J Intellect Dec Disabil.</w:t>
      </w:r>
      <w:r w:rsidRPr="006A1EC7">
        <w:rPr>
          <w:noProof/>
        </w:rPr>
        <w:t xml:space="preserve">, </w:t>
      </w:r>
      <w:r w:rsidRPr="006A1EC7">
        <w:rPr>
          <w:i/>
          <w:iCs/>
          <w:noProof/>
        </w:rPr>
        <w:t>119</w:t>
      </w:r>
      <w:r w:rsidRPr="006A1EC7">
        <w:rPr>
          <w:noProof/>
        </w:rPr>
        <w:t>(2). https://doi.org/10.1352/1944-7558-119.2.186. Coping</w:t>
      </w:r>
    </w:p>
    <w:p w14:paraId="758CA37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Pirkis, J., Burgess, P., Kirk, P., Dodgson, S., Coombs, T., &amp; Williamson, M. (2005). A review of the psychometric properties of the Health of the Nation Outcome Scales (HoNOS) family of measures. </w:t>
      </w:r>
      <w:r w:rsidRPr="006A1EC7">
        <w:rPr>
          <w:i/>
          <w:iCs/>
          <w:noProof/>
        </w:rPr>
        <w:t>Health and Quality of Life Outcomes</w:t>
      </w:r>
      <w:r w:rsidRPr="006A1EC7">
        <w:rPr>
          <w:noProof/>
        </w:rPr>
        <w:t xml:space="preserve">, </w:t>
      </w:r>
      <w:r w:rsidRPr="006A1EC7">
        <w:rPr>
          <w:i/>
          <w:iCs/>
          <w:noProof/>
        </w:rPr>
        <w:t>3</w:t>
      </w:r>
      <w:r w:rsidRPr="006A1EC7">
        <w:rPr>
          <w:noProof/>
        </w:rPr>
        <w:t>(7), 76. https://doi.org/10.1186/1477-7525-3-76</w:t>
      </w:r>
    </w:p>
    <w:p w14:paraId="2F67F46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Pitchforth, J., &amp; Lemer, C. (2014). Improving the use of phlebotomy services in a paediatric inpatient setting. </w:t>
      </w:r>
      <w:r w:rsidRPr="006A1EC7">
        <w:rPr>
          <w:i/>
          <w:iCs/>
          <w:noProof/>
        </w:rPr>
        <w:t>BMJ Quality Improvement Reports</w:t>
      </w:r>
      <w:r w:rsidRPr="006A1EC7">
        <w:rPr>
          <w:noProof/>
        </w:rPr>
        <w:t xml:space="preserve">, </w:t>
      </w:r>
      <w:r w:rsidRPr="006A1EC7">
        <w:rPr>
          <w:i/>
          <w:iCs/>
          <w:noProof/>
        </w:rPr>
        <w:t>2</w:t>
      </w:r>
      <w:r w:rsidRPr="006A1EC7">
        <w:rPr>
          <w:noProof/>
        </w:rPr>
        <w:t>(2), u202230.w1115. https://doi.org/10.1136/bmjquality.u202230.w1115</w:t>
      </w:r>
    </w:p>
    <w:p w14:paraId="421719A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Plaiasu, V., Ochiana, D., Motei, G., Avram, P., Anca, I., &amp; Georgescu, A. (2011). Wolf-Hirschhorn syndrome - A recognized rare chromosomal defect of clinical importance, </w:t>
      </w:r>
      <w:r w:rsidRPr="006A1EC7">
        <w:rPr>
          <w:i/>
          <w:iCs/>
          <w:noProof/>
        </w:rPr>
        <w:t>61</w:t>
      </w:r>
      <w:r w:rsidRPr="006A1EC7">
        <w:rPr>
          <w:noProof/>
        </w:rPr>
        <w:t>(1–2), 92–97.</w:t>
      </w:r>
    </w:p>
    <w:p w14:paraId="0B403BD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Polit, D. F., Beck, C. T., &amp; Owen, S. V. (2007). Is the CVI an acceptable indicator of content validity? </w:t>
      </w:r>
      <w:r w:rsidRPr="006A1EC7">
        <w:rPr>
          <w:i/>
          <w:iCs/>
          <w:noProof/>
        </w:rPr>
        <w:t>Research in Nursing &amp; Health</w:t>
      </w:r>
      <w:r w:rsidRPr="006A1EC7">
        <w:rPr>
          <w:noProof/>
        </w:rPr>
        <w:t xml:space="preserve">, </w:t>
      </w:r>
      <w:r w:rsidRPr="006A1EC7">
        <w:rPr>
          <w:i/>
          <w:iCs/>
          <w:noProof/>
        </w:rPr>
        <w:t>31</w:t>
      </w:r>
      <w:r w:rsidRPr="006A1EC7">
        <w:rPr>
          <w:noProof/>
        </w:rPr>
        <w:t>, 341–354. https://doi.org/10.1002/nur</w:t>
      </w:r>
    </w:p>
    <w:p w14:paraId="3A45747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Pope, C., &amp; Mays, N. (1995). Qualitative Research. </w:t>
      </w:r>
      <w:r w:rsidRPr="006A1EC7">
        <w:rPr>
          <w:i/>
          <w:iCs/>
          <w:noProof/>
        </w:rPr>
        <w:t>British Medical Journal</w:t>
      </w:r>
      <w:r w:rsidRPr="006A1EC7">
        <w:rPr>
          <w:noProof/>
        </w:rPr>
        <w:t>, (311), 42–45. https://doi.org/10.1177/1468794106068019</w:t>
      </w:r>
    </w:p>
    <w:p w14:paraId="1591B14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Powell, J., Powell, S., &amp; Robson, A. (2018). A systematic review of patient-reported outcome measures in paediatric otolaryngology. </w:t>
      </w:r>
      <w:r w:rsidRPr="006A1EC7">
        <w:rPr>
          <w:i/>
          <w:iCs/>
          <w:noProof/>
        </w:rPr>
        <w:t xml:space="preserve">Journal of Laryngology and </w:t>
      </w:r>
      <w:r w:rsidRPr="006A1EC7">
        <w:rPr>
          <w:i/>
          <w:iCs/>
          <w:noProof/>
        </w:rPr>
        <w:lastRenderedPageBreak/>
        <w:t>Otology</w:t>
      </w:r>
      <w:r w:rsidRPr="006A1EC7">
        <w:rPr>
          <w:noProof/>
        </w:rPr>
        <w:t xml:space="preserve">, </w:t>
      </w:r>
      <w:r w:rsidRPr="006A1EC7">
        <w:rPr>
          <w:i/>
          <w:iCs/>
          <w:noProof/>
        </w:rPr>
        <w:t>132</w:t>
      </w:r>
      <w:r w:rsidRPr="006A1EC7">
        <w:rPr>
          <w:noProof/>
        </w:rPr>
        <w:t>(1), 2–7. https://doi.org/10.1017/S0022215117002420</w:t>
      </w:r>
    </w:p>
    <w:p w14:paraId="114AC58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Powers, J. H. (2017). Clinician-reported outcome assessments of treatment benefit. </w:t>
      </w:r>
      <w:r w:rsidRPr="006A1EC7">
        <w:rPr>
          <w:i/>
          <w:iCs/>
          <w:noProof/>
        </w:rPr>
        <w:t>Value in Health</w:t>
      </w:r>
      <w:r w:rsidRPr="006A1EC7">
        <w:rPr>
          <w:noProof/>
        </w:rPr>
        <w:t xml:space="preserve">, </w:t>
      </w:r>
      <w:r w:rsidRPr="006A1EC7">
        <w:rPr>
          <w:i/>
          <w:iCs/>
          <w:noProof/>
        </w:rPr>
        <w:t>4</w:t>
      </w:r>
      <w:r w:rsidRPr="006A1EC7">
        <w:rPr>
          <w:noProof/>
        </w:rPr>
        <w:t>(1), 139–148. https://doi.org/10.1038/nmeth.2839.A</w:t>
      </w:r>
    </w:p>
    <w:p w14:paraId="2F511F81" w14:textId="04A0DA62" w:rsidR="00AD67F5" w:rsidRPr="006A1EC7" w:rsidRDefault="00AD67F5" w:rsidP="00421249">
      <w:pPr>
        <w:widowControl w:val="0"/>
        <w:autoSpaceDE w:val="0"/>
        <w:autoSpaceDN w:val="0"/>
        <w:adjustRightInd w:val="0"/>
        <w:ind w:left="480" w:hanging="480"/>
        <w:rPr>
          <w:noProof/>
        </w:rPr>
      </w:pPr>
      <w:r w:rsidRPr="006A1EC7">
        <w:rPr>
          <w:noProof/>
        </w:rPr>
        <w:t xml:space="preserve">Powers, J., Patrick, D., Walton, M., Marquis, P., Cano, S., Hobart, J., … Burke, L. (2017). Clinician-Reported Outcome Assessments of Treatment Benefit: Report of the ISPOR Clinical Outcome Assessment Emerging Good Practices Task Force. </w:t>
      </w:r>
      <w:r w:rsidRPr="006A1EC7">
        <w:rPr>
          <w:i/>
          <w:iCs/>
          <w:noProof/>
        </w:rPr>
        <w:t>Value in Health</w:t>
      </w:r>
      <w:r w:rsidRPr="006A1EC7">
        <w:rPr>
          <w:noProof/>
        </w:rPr>
        <w:t xml:space="preserve">, </w:t>
      </w:r>
      <w:r w:rsidRPr="006A1EC7">
        <w:rPr>
          <w:i/>
          <w:iCs/>
          <w:noProof/>
        </w:rPr>
        <w:t>18</w:t>
      </w:r>
      <w:r w:rsidRPr="006A1EC7">
        <w:rPr>
          <w:noProof/>
        </w:rPr>
        <w:t>, 2–14. https://doi.org/10.1016/j.jval.2015.09.2863</w:t>
      </w:r>
    </w:p>
    <w:p w14:paraId="5632730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Preston, N. J., Wilson, N., Wood, N. J., Brine, J., Ferreira, J., &amp; Brearley, S. G. (2015). Patient-reported outcome measures for use in gynaecological oncology: A systematic review. </w:t>
      </w:r>
      <w:r w:rsidRPr="006A1EC7">
        <w:rPr>
          <w:i/>
          <w:iCs/>
          <w:noProof/>
        </w:rPr>
        <w:t>BJOG: An International Journal of Obstetrics and Gynaecology</w:t>
      </w:r>
      <w:r w:rsidRPr="006A1EC7">
        <w:rPr>
          <w:noProof/>
        </w:rPr>
        <w:t xml:space="preserve">, </w:t>
      </w:r>
      <w:r w:rsidRPr="006A1EC7">
        <w:rPr>
          <w:i/>
          <w:iCs/>
          <w:noProof/>
        </w:rPr>
        <w:t>122</w:t>
      </w:r>
      <w:r w:rsidRPr="006A1EC7">
        <w:rPr>
          <w:noProof/>
        </w:rPr>
        <w:t>(5), 615–622. https://doi.org/10.1111/1471-0528.13251</w:t>
      </w:r>
    </w:p>
    <w:p w14:paraId="687495B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Prieto, L., Alonso, J., &amp; Lamarca, R. (2003). Classical test theory versus Rasch analysis for quality of life questionnaire reduction. </w:t>
      </w:r>
      <w:r w:rsidRPr="006A1EC7">
        <w:rPr>
          <w:i/>
          <w:iCs/>
          <w:noProof/>
        </w:rPr>
        <w:t>Health and Quality of Life Outcomes</w:t>
      </w:r>
      <w:r w:rsidRPr="006A1EC7">
        <w:rPr>
          <w:noProof/>
        </w:rPr>
        <w:t xml:space="preserve">, </w:t>
      </w:r>
      <w:r w:rsidRPr="006A1EC7">
        <w:rPr>
          <w:i/>
          <w:iCs/>
          <w:noProof/>
        </w:rPr>
        <w:t>1</w:t>
      </w:r>
      <w:r w:rsidRPr="006A1EC7">
        <w:rPr>
          <w:noProof/>
        </w:rPr>
        <w:t>, 1–13. https://doi.org/10.1186/1477-7525-1-27</w:t>
      </w:r>
    </w:p>
    <w:p w14:paraId="5BA1293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Prunotto, G., Cianci, P., Cereda, A., Scatigno, A., Fossati, C., Maitz, S., … Selicorni, A. (2013). Two cases of hepatic adenomas in patients with wolf-hirschhorn syndrome: A new rare complication? </w:t>
      </w:r>
      <w:r w:rsidRPr="006A1EC7">
        <w:rPr>
          <w:i/>
          <w:iCs/>
          <w:noProof/>
        </w:rPr>
        <w:t>American Journal of Medical Genetics. Part A</w:t>
      </w:r>
      <w:r w:rsidRPr="006A1EC7">
        <w:rPr>
          <w:noProof/>
        </w:rPr>
        <w:t xml:space="preserve">, </w:t>
      </w:r>
      <w:r w:rsidRPr="006A1EC7">
        <w:rPr>
          <w:i/>
          <w:iCs/>
          <w:noProof/>
        </w:rPr>
        <w:t>161</w:t>
      </w:r>
      <w:r w:rsidRPr="006A1EC7">
        <w:rPr>
          <w:noProof/>
        </w:rPr>
        <w:t>(7), 1759–1762. https://doi.org/10.1002/ajmg.a.35966</w:t>
      </w:r>
    </w:p>
    <w:p w14:paraId="50B7B7C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Ranganathan, P., Pramesh, C., &amp; Aggarwal, R. (2017). Common pitfalls in statistical analysis: Measures of agreement. </w:t>
      </w:r>
      <w:r w:rsidRPr="006A1EC7">
        <w:rPr>
          <w:i/>
          <w:iCs/>
          <w:noProof/>
        </w:rPr>
        <w:t>Perspectives in Clinical Research</w:t>
      </w:r>
      <w:r w:rsidRPr="006A1EC7">
        <w:rPr>
          <w:noProof/>
        </w:rPr>
        <w:t xml:space="preserve">, </w:t>
      </w:r>
      <w:r w:rsidRPr="006A1EC7">
        <w:rPr>
          <w:i/>
          <w:iCs/>
          <w:noProof/>
        </w:rPr>
        <w:t>8</w:t>
      </w:r>
      <w:r w:rsidRPr="006A1EC7">
        <w:rPr>
          <w:noProof/>
        </w:rPr>
        <w:t>, 187–191.</w:t>
      </w:r>
    </w:p>
    <w:p w14:paraId="3311B34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Rauch, A., Schellmoser, S., Kraus, C., Doerr, H., Trautmann, U., Altherr, M., … Reis, A. (2001). Rapid Publication First Known Microdeletion Within the Wolf- Hirschhorn-Syndrome Critical Region Re ® nes Genotype ± Phenotype Correlation, </w:t>
      </w:r>
      <w:r w:rsidRPr="006A1EC7">
        <w:rPr>
          <w:i/>
          <w:iCs/>
          <w:noProof/>
        </w:rPr>
        <w:t>342</w:t>
      </w:r>
      <w:r w:rsidRPr="006A1EC7">
        <w:rPr>
          <w:noProof/>
        </w:rPr>
        <w:t>(January), 338–342.</w:t>
      </w:r>
    </w:p>
    <w:p w14:paraId="49181CF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Relja, M. (2012). Clinical rating scales. </w:t>
      </w:r>
      <w:r w:rsidRPr="006A1EC7">
        <w:rPr>
          <w:i/>
          <w:iCs/>
          <w:noProof/>
        </w:rPr>
        <w:t>Parkinsonism Relat Disord</w:t>
      </w:r>
      <w:r w:rsidRPr="006A1EC7">
        <w:rPr>
          <w:noProof/>
        </w:rPr>
        <w:t xml:space="preserve">, </w:t>
      </w:r>
      <w:r w:rsidRPr="006A1EC7">
        <w:rPr>
          <w:i/>
          <w:iCs/>
          <w:noProof/>
        </w:rPr>
        <w:t>18 Suppl 1</w:t>
      </w:r>
      <w:r w:rsidRPr="006A1EC7">
        <w:rPr>
          <w:noProof/>
        </w:rPr>
        <w:t>, S229–S232. https://doi.org/10.1016/S1353-8020(11)70070-0</w:t>
      </w:r>
    </w:p>
    <w:p w14:paraId="3D1BE59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Roache, D. (2018). Intercoder Reliability Techniques: Percent Agreement. In M. Allen (Ed.), </w:t>
      </w:r>
      <w:r w:rsidRPr="006A1EC7">
        <w:rPr>
          <w:i/>
          <w:iCs/>
          <w:noProof/>
        </w:rPr>
        <w:t>The SAGE Encyclopedia of Communication Research Methods</w:t>
      </w:r>
      <w:r w:rsidRPr="006A1EC7">
        <w:rPr>
          <w:noProof/>
        </w:rPr>
        <w:t>. Thousand Oaks: Sage Publication. https://doi.org/10.4135/9781483381411.n260</w:t>
      </w:r>
    </w:p>
    <w:p w14:paraId="724435C9" w14:textId="77777777" w:rsidR="00AD67F5" w:rsidRPr="006A1EC7" w:rsidRDefault="00AD67F5" w:rsidP="00421249">
      <w:pPr>
        <w:widowControl w:val="0"/>
        <w:autoSpaceDE w:val="0"/>
        <w:autoSpaceDN w:val="0"/>
        <w:adjustRightInd w:val="0"/>
        <w:ind w:left="480" w:hanging="480"/>
        <w:rPr>
          <w:noProof/>
        </w:rPr>
      </w:pPr>
      <w:r w:rsidRPr="006A1EC7">
        <w:rPr>
          <w:noProof/>
        </w:rPr>
        <w:t>Robertson, G. (2017). Developing Valid and Reliable: Survey Scale, (October), 26.</w:t>
      </w:r>
    </w:p>
    <w:p w14:paraId="3DD04EF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Robling, A. M., Matthews, S. J., Hood, K., Russell, I. T., Holloway, R., Wilkinson, C., … Thapar, A. (2002). The Development of a New Site-Specific Measure of Quality of Life for Breast Problems : The Cardiff Breast Scales, </w:t>
      </w:r>
      <w:r w:rsidRPr="006A1EC7">
        <w:rPr>
          <w:i/>
          <w:iCs/>
          <w:noProof/>
        </w:rPr>
        <w:t>11</w:t>
      </w:r>
      <w:r w:rsidRPr="006A1EC7">
        <w:rPr>
          <w:noProof/>
        </w:rPr>
        <w:t>(4), 339–348.</w:t>
      </w:r>
    </w:p>
    <w:p w14:paraId="7B731A3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Rodriguez, L., Zollino, M., Climent, S., Mansilla, E., Lopez-Grondona, F., Martinez-Fernandez, M. L., … Martinez-Frias, M. L. (2005). The new Wolf-Hirschhorn syndrome critical region (WHSCR-2): A description of a second case. </w:t>
      </w:r>
      <w:r w:rsidRPr="006A1EC7">
        <w:rPr>
          <w:i/>
          <w:iCs/>
          <w:noProof/>
        </w:rPr>
        <w:t>American Journal of Medical Genetics</w:t>
      </w:r>
      <w:r w:rsidRPr="006A1EC7">
        <w:rPr>
          <w:noProof/>
        </w:rPr>
        <w:t xml:space="preserve">, </w:t>
      </w:r>
      <w:r w:rsidRPr="006A1EC7">
        <w:rPr>
          <w:i/>
          <w:iCs/>
          <w:noProof/>
        </w:rPr>
        <w:t>136 A</w:t>
      </w:r>
      <w:r w:rsidRPr="006A1EC7">
        <w:rPr>
          <w:noProof/>
        </w:rPr>
        <w:t>(2), 175–178. https://doi.org/10.1002/ajmg.a.30775</w:t>
      </w:r>
    </w:p>
    <w:p w14:paraId="09C0EBA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Ronen, G. M., Streiner, D. L., Verhey, L. H., Lach, L., Boyle, M. H., Cunningham, C. E., &amp; Rosenbaum, P. L. (2010). Disease characteristics and psychosocial factors: Explaining the expression of quality of life in childhood epilepsy. </w:t>
      </w:r>
      <w:r w:rsidRPr="006A1EC7">
        <w:rPr>
          <w:i/>
          <w:iCs/>
          <w:noProof/>
        </w:rPr>
        <w:t>Epilepsy and Behavior</w:t>
      </w:r>
      <w:r w:rsidRPr="006A1EC7">
        <w:rPr>
          <w:noProof/>
        </w:rPr>
        <w:t xml:space="preserve">, </w:t>
      </w:r>
      <w:r w:rsidRPr="006A1EC7">
        <w:rPr>
          <w:i/>
          <w:iCs/>
          <w:noProof/>
        </w:rPr>
        <w:t>18</w:t>
      </w:r>
      <w:r w:rsidRPr="006A1EC7">
        <w:rPr>
          <w:noProof/>
        </w:rPr>
        <w:t>(1–2), 88–93. https://doi.org/10.1016/j.yebeh.2010.02.023</w:t>
      </w:r>
    </w:p>
    <w:p w14:paraId="491CFFF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Rosales, R. S., Martin-Hidalgo, Y., Reboso-Morales, L., &amp; Atroshi, I. (2016). Reliability and construct validity of the Spanish version of the 6-item CTS symptoms scale for outcomes assessment in carpal tunnel syndrome. </w:t>
      </w:r>
      <w:r w:rsidRPr="006A1EC7">
        <w:rPr>
          <w:i/>
          <w:iCs/>
          <w:noProof/>
        </w:rPr>
        <w:t>BMC Musculoskeletal Disorders</w:t>
      </w:r>
      <w:r w:rsidRPr="006A1EC7">
        <w:rPr>
          <w:noProof/>
        </w:rPr>
        <w:t xml:space="preserve">, </w:t>
      </w:r>
      <w:r w:rsidRPr="006A1EC7">
        <w:rPr>
          <w:i/>
          <w:iCs/>
          <w:noProof/>
        </w:rPr>
        <w:t>17</w:t>
      </w:r>
      <w:r w:rsidRPr="006A1EC7">
        <w:rPr>
          <w:noProof/>
        </w:rPr>
        <w:t>(1), 17–20. https://doi.org/10.1186/s12891-016-0963-5</w:t>
      </w:r>
    </w:p>
    <w:p w14:paraId="78949D9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Rosen, D., Lombardo, A., Sc, B., Skotko, B., &amp; Jean, E. (2011). Parental perceptions of sleep disturbances and seep disordered breathing in children with Down syndrome. </w:t>
      </w:r>
      <w:r w:rsidRPr="006A1EC7">
        <w:rPr>
          <w:i/>
          <w:iCs/>
          <w:noProof/>
        </w:rPr>
        <w:lastRenderedPageBreak/>
        <w:t>Clin. Pediatr (Phila)</w:t>
      </w:r>
      <w:r w:rsidRPr="006A1EC7">
        <w:rPr>
          <w:noProof/>
        </w:rPr>
        <w:t xml:space="preserve">, </w:t>
      </w:r>
      <w:r w:rsidRPr="006A1EC7">
        <w:rPr>
          <w:i/>
          <w:iCs/>
          <w:noProof/>
        </w:rPr>
        <w:t>50</w:t>
      </w:r>
      <w:r w:rsidRPr="006A1EC7">
        <w:rPr>
          <w:noProof/>
        </w:rPr>
        <w:t>(2), 121–125. https://doi.org/10.1177/0009922810384260.Parental</w:t>
      </w:r>
    </w:p>
    <w:p w14:paraId="786DA0A9" w14:textId="43E7F724" w:rsidR="00AD67F5" w:rsidRPr="006A1EC7" w:rsidRDefault="00AD67F5" w:rsidP="00421249">
      <w:pPr>
        <w:widowControl w:val="0"/>
        <w:autoSpaceDE w:val="0"/>
        <w:autoSpaceDN w:val="0"/>
        <w:adjustRightInd w:val="0"/>
        <w:ind w:left="480" w:hanging="480"/>
        <w:rPr>
          <w:noProof/>
        </w:rPr>
      </w:pPr>
      <w:r w:rsidRPr="006A1EC7">
        <w:rPr>
          <w:noProof/>
        </w:rPr>
        <w:t xml:space="preserve">Royal, K. (2016). “Face validity” is not a legitimate type of validity evidence! </w:t>
      </w:r>
      <w:r w:rsidRPr="006A1EC7">
        <w:rPr>
          <w:i/>
          <w:iCs/>
          <w:noProof/>
        </w:rPr>
        <w:t>American Journal of Surgery</w:t>
      </w:r>
      <w:r w:rsidRPr="006A1EC7">
        <w:rPr>
          <w:noProof/>
        </w:rPr>
        <w:t xml:space="preserve">, </w:t>
      </w:r>
      <w:r w:rsidRPr="006A1EC7">
        <w:rPr>
          <w:i/>
          <w:iCs/>
          <w:noProof/>
        </w:rPr>
        <w:t>212</w:t>
      </w:r>
      <w:r w:rsidRPr="006A1EC7">
        <w:rPr>
          <w:noProof/>
        </w:rPr>
        <w:t>(5), 1026–1027. https://doi.org/10.1016/j.amjsurg.2016.02.018</w:t>
      </w:r>
    </w:p>
    <w:p w14:paraId="023BECD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Sabbadini, M., Bombardi, P., Carlesimo, G. A., Rosato, V., &amp; Pierro, M. M. (2002). Evaluation of communicative and functional abilities in Wolf-Hirshhorn syndrome. </w:t>
      </w:r>
      <w:r w:rsidRPr="006A1EC7">
        <w:rPr>
          <w:i/>
          <w:iCs/>
          <w:noProof/>
        </w:rPr>
        <w:t>Journal of Intellectual Disability Research</w:t>
      </w:r>
      <w:r w:rsidRPr="006A1EC7">
        <w:rPr>
          <w:noProof/>
        </w:rPr>
        <w:t xml:space="preserve">, </w:t>
      </w:r>
      <w:r w:rsidRPr="006A1EC7">
        <w:rPr>
          <w:i/>
          <w:iCs/>
          <w:noProof/>
        </w:rPr>
        <w:t>46</w:t>
      </w:r>
      <w:r w:rsidRPr="006A1EC7">
        <w:rPr>
          <w:noProof/>
        </w:rPr>
        <w:t>(7), 575–582. https://doi.org/10.1046/j.1365-2788.2002.00441.x</w:t>
      </w:r>
    </w:p>
    <w:p w14:paraId="4FFAE17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Saiga, T., Hashimoto, K., Kimura, N., Ono, H., &amp; Hiai, H. (2007). Trisomy 10p and translocation of 10q to 4p associated with selective dysgenesis of IgA-producing cells in lymphoid tissue. </w:t>
      </w:r>
      <w:r w:rsidRPr="006A1EC7">
        <w:rPr>
          <w:i/>
          <w:iCs/>
          <w:noProof/>
        </w:rPr>
        <w:t>Pathology International</w:t>
      </w:r>
      <w:r w:rsidRPr="006A1EC7">
        <w:rPr>
          <w:noProof/>
        </w:rPr>
        <w:t xml:space="preserve">, </w:t>
      </w:r>
      <w:r w:rsidRPr="006A1EC7">
        <w:rPr>
          <w:i/>
          <w:iCs/>
          <w:noProof/>
        </w:rPr>
        <w:t>57</w:t>
      </w:r>
      <w:r w:rsidRPr="006A1EC7">
        <w:rPr>
          <w:noProof/>
        </w:rPr>
        <w:t>(1), 37–42. https://doi.org/10.1111/j.1440-1827.2007.02054.x</w:t>
      </w:r>
    </w:p>
    <w:p w14:paraId="66A8130E" w14:textId="77777777" w:rsidR="00AD67F5" w:rsidRPr="006A1EC7" w:rsidRDefault="00AD67F5" w:rsidP="00421249">
      <w:pPr>
        <w:widowControl w:val="0"/>
        <w:autoSpaceDE w:val="0"/>
        <w:autoSpaceDN w:val="0"/>
        <w:adjustRightInd w:val="0"/>
        <w:ind w:left="480" w:hanging="480"/>
        <w:rPr>
          <w:noProof/>
        </w:rPr>
      </w:pPr>
      <w:r w:rsidRPr="006A1EC7">
        <w:rPr>
          <w:noProof/>
        </w:rPr>
        <w:t>Sailkind, N. (2011). Encyclopedia of Measurement and Statistics. Thousand Oaks, California: Sage Publication. https://doi.org/10.4135/9781412952644 Print</w:t>
      </w:r>
    </w:p>
    <w:p w14:paraId="58EFF0D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Salmond, S. (2008). Evaluating the Reliability and Validity of Measurement Instruments. </w:t>
      </w:r>
      <w:r w:rsidRPr="006A1EC7">
        <w:rPr>
          <w:i/>
          <w:iCs/>
          <w:noProof/>
        </w:rPr>
        <w:t>Orthopaedic Nursing</w:t>
      </w:r>
      <w:r w:rsidRPr="006A1EC7">
        <w:rPr>
          <w:noProof/>
        </w:rPr>
        <w:t xml:space="preserve">, </w:t>
      </w:r>
      <w:r w:rsidRPr="006A1EC7">
        <w:rPr>
          <w:i/>
          <w:iCs/>
          <w:noProof/>
        </w:rPr>
        <w:t>27</w:t>
      </w:r>
      <w:r w:rsidRPr="006A1EC7">
        <w:rPr>
          <w:noProof/>
        </w:rPr>
        <w:t>(1), 28–30.</w:t>
      </w:r>
    </w:p>
    <w:p w14:paraId="07F7C33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Scheel, C., Mecham, J., Zuccarello, V., &amp; Mattes, R. (2018). An evaluation of the inter-rater and intra-rater reliability of OccuPro’s functional capacity evaluation. </w:t>
      </w:r>
      <w:r w:rsidRPr="006A1EC7">
        <w:rPr>
          <w:i/>
          <w:iCs/>
          <w:noProof/>
        </w:rPr>
        <w:t>Work</w:t>
      </w:r>
      <w:r w:rsidRPr="006A1EC7">
        <w:rPr>
          <w:noProof/>
        </w:rPr>
        <w:t xml:space="preserve">, </w:t>
      </w:r>
      <w:r w:rsidRPr="006A1EC7">
        <w:rPr>
          <w:i/>
          <w:iCs/>
          <w:noProof/>
        </w:rPr>
        <w:t>60</w:t>
      </w:r>
      <w:r w:rsidRPr="006A1EC7">
        <w:rPr>
          <w:noProof/>
        </w:rPr>
        <w:t>(3), 465–473. https://doi.org/10.3233/WOR-182754</w:t>
      </w:r>
    </w:p>
    <w:p w14:paraId="4708338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Schopler, E., Reichler, R. J., DeVellis, R. F., &amp; Daly, K. (1980). Toward objective classification of childhood autism: Childhood Autism Rating Scale (CARS). </w:t>
      </w:r>
      <w:r w:rsidRPr="006A1EC7">
        <w:rPr>
          <w:i/>
          <w:iCs/>
          <w:noProof/>
        </w:rPr>
        <w:t>Journal of Autism and Developmental Disorders</w:t>
      </w:r>
      <w:r w:rsidRPr="006A1EC7">
        <w:rPr>
          <w:noProof/>
        </w:rPr>
        <w:t xml:space="preserve">, </w:t>
      </w:r>
      <w:r w:rsidRPr="006A1EC7">
        <w:rPr>
          <w:i/>
          <w:iCs/>
          <w:noProof/>
        </w:rPr>
        <w:t>10</w:t>
      </w:r>
      <w:r w:rsidRPr="006A1EC7">
        <w:rPr>
          <w:noProof/>
        </w:rPr>
        <w:t>(1), 91–103. https://doi.org/10.1007/BF02408436</w:t>
      </w:r>
    </w:p>
    <w:p w14:paraId="20AC834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Scotland, J. (2012). Exploring the philosophical underpinnings of research: Relating ontology and epistemology to the methodology and methods of the scientific, interpretive, and critical research paradigms. </w:t>
      </w:r>
      <w:r w:rsidRPr="006A1EC7">
        <w:rPr>
          <w:i/>
          <w:iCs/>
          <w:noProof/>
        </w:rPr>
        <w:t>English Language Teaching</w:t>
      </w:r>
      <w:r w:rsidRPr="006A1EC7">
        <w:rPr>
          <w:noProof/>
        </w:rPr>
        <w:t xml:space="preserve">, </w:t>
      </w:r>
      <w:r w:rsidRPr="006A1EC7">
        <w:rPr>
          <w:i/>
          <w:iCs/>
          <w:noProof/>
        </w:rPr>
        <w:t>5</w:t>
      </w:r>
      <w:r w:rsidRPr="006A1EC7">
        <w:rPr>
          <w:noProof/>
        </w:rPr>
        <w:t>(9), 9–16. https://doi.org/10.5539/elt.v5n9p9</w:t>
      </w:r>
    </w:p>
    <w:p w14:paraId="1535031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Sechrest, L., McKnight, P., &amp; McKnight, K. (1996). Calibration of Measures for Psychotherapy Outcome Studies. </w:t>
      </w:r>
      <w:r w:rsidRPr="006A1EC7">
        <w:rPr>
          <w:i/>
          <w:iCs/>
          <w:noProof/>
        </w:rPr>
        <w:t>American Psychologist</w:t>
      </w:r>
      <w:r w:rsidRPr="006A1EC7">
        <w:rPr>
          <w:noProof/>
        </w:rPr>
        <w:t>. https://doi.org/10.1037/0003-066X.51.10.1065</w:t>
      </w:r>
    </w:p>
    <w:p w14:paraId="2DC4BAC9"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Shannon, N. L., Maltby, E. L., Rigby, A. S., &amp; Quarrell, O. W. J. (2001). An epidemiological study of Wolf-Hirschhorn syndrome: life expectancy and cause of mortality. </w:t>
      </w:r>
      <w:r w:rsidRPr="006A1EC7">
        <w:rPr>
          <w:i/>
          <w:iCs/>
          <w:noProof/>
        </w:rPr>
        <w:t>Journal of Medical Genetics</w:t>
      </w:r>
      <w:r w:rsidRPr="006A1EC7">
        <w:rPr>
          <w:noProof/>
        </w:rPr>
        <w:t xml:space="preserve">, </w:t>
      </w:r>
      <w:r w:rsidRPr="006A1EC7">
        <w:rPr>
          <w:i/>
          <w:iCs/>
          <w:noProof/>
        </w:rPr>
        <w:t>38</w:t>
      </w:r>
      <w:r w:rsidRPr="006A1EC7">
        <w:rPr>
          <w:noProof/>
        </w:rPr>
        <w:t>(10), 674–679. https://doi.org/10.1136/jmg.38.10.674</w:t>
      </w:r>
    </w:p>
    <w:p w14:paraId="6F3E8FA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Shanske, A. L., Yachelevich, N., Ala-Kokko, L., Leonard, J., &amp; Levy, B. (2010). Wolf-Hirschhorn syndrome and ectrodactyly: New findings and a review of the literature. </w:t>
      </w:r>
      <w:r w:rsidRPr="006A1EC7">
        <w:rPr>
          <w:i/>
          <w:iCs/>
          <w:noProof/>
        </w:rPr>
        <w:t>American Journal of Medical Genetics, Part A</w:t>
      </w:r>
      <w:r w:rsidRPr="006A1EC7">
        <w:rPr>
          <w:noProof/>
        </w:rPr>
        <w:t xml:space="preserve">, </w:t>
      </w:r>
      <w:r w:rsidRPr="006A1EC7">
        <w:rPr>
          <w:i/>
          <w:iCs/>
          <w:noProof/>
        </w:rPr>
        <w:t>152</w:t>
      </w:r>
      <w:r w:rsidRPr="006A1EC7">
        <w:rPr>
          <w:noProof/>
        </w:rPr>
        <w:t>(1), 203–208. https://doi.org/10.1002/ajmg.a.33159</w:t>
      </w:r>
    </w:p>
    <w:p w14:paraId="4E19E35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Shantanu Sahu; Shailendra Raghuvanshi; Arvind Sinha; Praveendra Kumar Sachan. (2016). Adult Intestinal Malrotation Presenting as Migut Volvulus, Case Report. </w:t>
      </w:r>
      <w:r w:rsidRPr="006A1EC7">
        <w:rPr>
          <w:i/>
          <w:iCs/>
          <w:noProof/>
        </w:rPr>
        <w:t>Journal of Surgical Arts</w:t>
      </w:r>
      <w:r w:rsidRPr="006A1EC7">
        <w:rPr>
          <w:noProof/>
        </w:rPr>
        <w:t>, (January), 64–67.</w:t>
      </w:r>
    </w:p>
    <w:p w14:paraId="523278C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Sharathkumar, A., Kirby, M., Freedman, M., Abdelhaleem, M., Chitayat, D., Teshima, I. E., &amp; Dror, Y. (2003). Malignant hematological disorders in children with Wolf-Hirschhorn syndrome. </w:t>
      </w:r>
      <w:r w:rsidRPr="006A1EC7">
        <w:rPr>
          <w:i/>
          <w:iCs/>
          <w:noProof/>
        </w:rPr>
        <w:t>American Journal of Medical Genetics. Part A</w:t>
      </w:r>
      <w:r w:rsidRPr="006A1EC7">
        <w:rPr>
          <w:noProof/>
        </w:rPr>
        <w:t xml:space="preserve">, </w:t>
      </w:r>
      <w:r w:rsidRPr="006A1EC7">
        <w:rPr>
          <w:i/>
          <w:iCs/>
          <w:noProof/>
        </w:rPr>
        <w:t>119A</w:t>
      </w:r>
      <w:r w:rsidRPr="006A1EC7">
        <w:rPr>
          <w:noProof/>
        </w:rPr>
        <w:t>(2), 194–199. https://doi.org/10.1002/ajmg.a.20080</w:t>
      </w:r>
    </w:p>
    <w:p w14:paraId="754F9E9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Shilling, V., Starkings, R., Jenkins, V., Cella, D., &amp; Fallowfield, L. (2018). Development and validation of the patient roles and responsibilities scale in cancer patients. </w:t>
      </w:r>
      <w:r w:rsidRPr="006A1EC7">
        <w:rPr>
          <w:i/>
          <w:iCs/>
          <w:noProof/>
        </w:rPr>
        <w:t>Quality of Life Research</w:t>
      </w:r>
      <w:r w:rsidRPr="006A1EC7">
        <w:rPr>
          <w:noProof/>
        </w:rPr>
        <w:t xml:space="preserve">, </w:t>
      </w:r>
      <w:r w:rsidRPr="006A1EC7">
        <w:rPr>
          <w:i/>
          <w:iCs/>
          <w:noProof/>
        </w:rPr>
        <w:t>27</w:t>
      </w:r>
      <w:r w:rsidRPr="006A1EC7">
        <w:rPr>
          <w:noProof/>
        </w:rPr>
        <w:t xml:space="preserve">(11), 2923–2934. </w:t>
      </w:r>
      <w:r w:rsidRPr="006A1EC7">
        <w:rPr>
          <w:noProof/>
        </w:rPr>
        <w:lastRenderedPageBreak/>
        <w:t>https://doi.org/10.1007/s11136-018-1940-2</w:t>
      </w:r>
    </w:p>
    <w:p w14:paraId="0A84DBB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Shilling, V., Starkings, R., Jenkins, V., Cella, D., &amp; Fallowfield, L. (2019). Development and validation of the caregiver roles and responsibilities scale in cancer caregivers. </w:t>
      </w:r>
      <w:r w:rsidRPr="006A1EC7">
        <w:rPr>
          <w:i/>
          <w:iCs/>
          <w:noProof/>
        </w:rPr>
        <w:t>Quality of Life Research</w:t>
      </w:r>
      <w:r w:rsidRPr="006A1EC7">
        <w:rPr>
          <w:noProof/>
        </w:rPr>
        <w:t xml:space="preserve">, </w:t>
      </w:r>
      <w:r w:rsidRPr="006A1EC7">
        <w:rPr>
          <w:i/>
          <w:iCs/>
          <w:noProof/>
        </w:rPr>
        <w:t>28</w:t>
      </w:r>
      <w:r w:rsidRPr="006A1EC7">
        <w:rPr>
          <w:noProof/>
        </w:rPr>
        <w:t>(6), 1655–1668. https://doi.org/10.1007/s11136-019-02154-4</w:t>
      </w:r>
    </w:p>
    <w:p w14:paraId="25ED6D2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Simon, R., &amp; Bergemann, A. D. (2008). Mouse models of Wolf-Hirschhorn syndrome. </w:t>
      </w:r>
      <w:r w:rsidRPr="006A1EC7">
        <w:rPr>
          <w:i/>
          <w:iCs/>
          <w:noProof/>
        </w:rPr>
        <w:t>American Journal of Medical Genetics, Part C: Seminars in Medical Genetics</w:t>
      </w:r>
      <w:r w:rsidRPr="006A1EC7">
        <w:rPr>
          <w:noProof/>
        </w:rPr>
        <w:t xml:space="preserve">, </w:t>
      </w:r>
      <w:r w:rsidRPr="006A1EC7">
        <w:rPr>
          <w:i/>
          <w:iCs/>
          <w:noProof/>
        </w:rPr>
        <w:t>148</w:t>
      </w:r>
      <w:r w:rsidRPr="006A1EC7">
        <w:rPr>
          <w:noProof/>
        </w:rPr>
        <w:t>(4), 275–280. https://doi.org/10.1002/ajmg.c.30184</w:t>
      </w:r>
    </w:p>
    <w:p w14:paraId="2081F03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Sinno, H. H., Ibrahim, A. M. S., Izadpanah, A., Thibaudeau, S., Christodoulou, G., Tahiri, Y., … Lin, S. J. (2012). Utility Outcome Assessment of the Aging Neck following Massive Weight Loss. </w:t>
      </w:r>
      <w:r w:rsidRPr="006A1EC7">
        <w:rPr>
          <w:i/>
          <w:iCs/>
          <w:noProof/>
        </w:rPr>
        <w:t>Otolaryngology -- Head and Neck Surgery</w:t>
      </w:r>
      <w:r w:rsidRPr="006A1EC7">
        <w:rPr>
          <w:noProof/>
        </w:rPr>
        <w:t xml:space="preserve">, </w:t>
      </w:r>
      <w:r w:rsidRPr="006A1EC7">
        <w:rPr>
          <w:i/>
          <w:iCs/>
          <w:noProof/>
        </w:rPr>
        <w:t>147</w:t>
      </w:r>
      <w:r w:rsidRPr="006A1EC7">
        <w:rPr>
          <w:noProof/>
        </w:rPr>
        <w:t>(1), 26–32. https://doi.org/10.1177/0194599812439028</w:t>
      </w:r>
    </w:p>
    <w:p w14:paraId="33E9A03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Sinno, Hani H, Thibaudeau, S., Duggal, A., &amp; Lessard, L. (2010). Utility scores for facial disfigurement requiring facial transplantation [outcomes article]. </w:t>
      </w:r>
      <w:r w:rsidRPr="006A1EC7">
        <w:rPr>
          <w:i/>
          <w:iCs/>
          <w:noProof/>
        </w:rPr>
        <w:t>Plastic and Reconstructive Surgery</w:t>
      </w:r>
      <w:r w:rsidRPr="006A1EC7">
        <w:rPr>
          <w:noProof/>
        </w:rPr>
        <w:t xml:space="preserve">, </w:t>
      </w:r>
      <w:r w:rsidRPr="006A1EC7">
        <w:rPr>
          <w:i/>
          <w:iCs/>
          <w:noProof/>
        </w:rPr>
        <w:t>126</w:t>
      </w:r>
      <w:r w:rsidRPr="006A1EC7">
        <w:rPr>
          <w:noProof/>
        </w:rPr>
        <w:t>(2), 443–449. https://doi.org/10.1097/PRS.0b013e3181e094fa</w:t>
      </w:r>
    </w:p>
    <w:p w14:paraId="24B4FC5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Sireci, S. G. (1998). The Construct of Content Validity. </w:t>
      </w:r>
      <w:r w:rsidRPr="006A1EC7">
        <w:rPr>
          <w:i/>
          <w:iCs/>
          <w:noProof/>
        </w:rPr>
        <w:t>Social Indicators Research</w:t>
      </w:r>
      <w:r w:rsidRPr="006A1EC7">
        <w:rPr>
          <w:noProof/>
        </w:rPr>
        <w:t xml:space="preserve">, </w:t>
      </w:r>
      <w:r w:rsidRPr="006A1EC7">
        <w:rPr>
          <w:i/>
          <w:iCs/>
          <w:noProof/>
        </w:rPr>
        <w:t>45</w:t>
      </w:r>
      <w:r w:rsidRPr="006A1EC7">
        <w:rPr>
          <w:noProof/>
        </w:rPr>
        <w:t>, 83–117.</w:t>
      </w:r>
    </w:p>
    <w:p w14:paraId="4E4211B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Slade, A., Isa, F., Kyte, D., Pankhurst, T., Kerecuk, L., Ferguson, J., … Calvert, M. (2018). Patient reported outcome measures in rare diseases: A narrative review. </w:t>
      </w:r>
      <w:r w:rsidRPr="006A1EC7">
        <w:rPr>
          <w:i/>
          <w:iCs/>
          <w:noProof/>
        </w:rPr>
        <w:t>Orphanet Journal of Rare Diseases</w:t>
      </w:r>
      <w:r w:rsidRPr="006A1EC7">
        <w:rPr>
          <w:noProof/>
        </w:rPr>
        <w:t xml:space="preserve">, </w:t>
      </w:r>
      <w:r w:rsidRPr="006A1EC7">
        <w:rPr>
          <w:i/>
          <w:iCs/>
          <w:noProof/>
        </w:rPr>
        <w:t>13</w:t>
      </w:r>
      <w:r w:rsidRPr="006A1EC7">
        <w:rPr>
          <w:noProof/>
        </w:rPr>
        <w:t>(1), 1–9. https://doi.org/10.1186/s13023-018-0810-x</w:t>
      </w:r>
    </w:p>
    <w:p w14:paraId="57AF61F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Slevin, M. L., Plant, H., Lynch, D., Drinkwater, J., &amp; Gregory, W. M. (1988). Who Should Measure Quality of Life, the Doctor or the Patient? </w:t>
      </w:r>
      <w:r w:rsidRPr="006A1EC7">
        <w:rPr>
          <w:i/>
          <w:iCs/>
          <w:noProof/>
        </w:rPr>
        <w:t>British Journal of Cancer</w:t>
      </w:r>
      <w:r w:rsidRPr="006A1EC7">
        <w:rPr>
          <w:noProof/>
        </w:rPr>
        <w:t xml:space="preserve">, </w:t>
      </w:r>
      <w:r w:rsidRPr="006A1EC7">
        <w:rPr>
          <w:i/>
          <w:iCs/>
          <w:noProof/>
        </w:rPr>
        <w:t>57</w:t>
      </w:r>
      <w:r w:rsidRPr="006A1EC7">
        <w:rPr>
          <w:noProof/>
        </w:rPr>
        <w:t>(1), 109–112. https://doi.org/10.1038/bjc.1988.20</w:t>
      </w:r>
    </w:p>
    <w:p w14:paraId="7E4E268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Slocum-Gori, S., &amp; Zumbo, B. (2011). Assessing the Unidimensionality of Psychological Scales : Using Multiple Criteria from Factor Analysis. </w:t>
      </w:r>
      <w:r w:rsidRPr="006A1EC7">
        <w:rPr>
          <w:i/>
          <w:iCs/>
          <w:noProof/>
        </w:rPr>
        <w:t>Social Indicators Research</w:t>
      </w:r>
      <w:r w:rsidRPr="006A1EC7">
        <w:rPr>
          <w:noProof/>
        </w:rPr>
        <w:t xml:space="preserve">, </w:t>
      </w:r>
      <w:r w:rsidRPr="006A1EC7">
        <w:rPr>
          <w:i/>
          <w:iCs/>
          <w:noProof/>
        </w:rPr>
        <w:t>102</w:t>
      </w:r>
      <w:r w:rsidRPr="006A1EC7">
        <w:rPr>
          <w:noProof/>
        </w:rPr>
        <w:t>(3), 443–461. https://doi.org/10.1007/s11205-010-9682-8</w:t>
      </w:r>
    </w:p>
    <w:p w14:paraId="172A100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Smith, J A, Flowers, P., &amp; Larkin, M. (2009). </w:t>
      </w:r>
      <w:r w:rsidRPr="006A1EC7">
        <w:rPr>
          <w:i/>
          <w:iCs/>
          <w:noProof/>
        </w:rPr>
        <w:t>interpretative phenomenological anlaysis. Theory , Method and Research</w:t>
      </w:r>
      <w:r w:rsidRPr="006A1EC7">
        <w:rPr>
          <w:noProof/>
        </w:rPr>
        <w:t xml:space="preserve">. </w:t>
      </w:r>
      <w:r w:rsidRPr="006A1EC7">
        <w:rPr>
          <w:i/>
          <w:iCs/>
          <w:noProof/>
        </w:rPr>
        <w:t>SAGE Publications Ltd</w:t>
      </w:r>
      <w:r w:rsidRPr="006A1EC7">
        <w:rPr>
          <w:noProof/>
        </w:rPr>
        <w:t>.</w:t>
      </w:r>
    </w:p>
    <w:p w14:paraId="43B5622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Smith, Jonathan A. (2011). Evaluating the contribution of interpretative phenomenological analysis. </w:t>
      </w:r>
      <w:r w:rsidRPr="006A1EC7">
        <w:rPr>
          <w:i/>
          <w:iCs/>
          <w:noProof/>
        </w:rPr>
        <w:t>Health Psychology Review</w:t>
      </w:r>
      <w:r w:rsidRPr="006A1EC7">
        <w:rPr>
          <w:noProof/>
        </w:rPr>
        <w:t xml:space="preserve">, </w:t>
      </w:r>
      <w:r w:rsidRPr="006A1EC7">
        <w:rPr>
          <w:i/>
          <w:iCs/>
          <w:noProof/>
        </w:rPr>
        <w:t>5</w:t>
      </w:r>
      <w:r w:rsidRPr="006A1EC7">
        <w:rPr>
          <w:noProof/>
        </w:rPr>
        <w:t>(1), 9–27. https://doi.org/10.1080/17437199.2010.510659</w:t>
      </w:r>
    </w:p>
    <w:p w14:paraId="2083B0A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Smith, Jonathan A., Brewer, H. M., Eatough, V., Stanley, C. A., Glendinning, N. W., &amp; Quarrell, O. W. J. (2006). The personal experience of juvenile Huntington’s disease: An interpretative phenomenological analysis of parents’ accounts of the primary features of a rare genetic condition. </w:t>
      </w:r>
      <w:r w:rsidRPr="006A1EC7">
        <w:rPr>
          <w:i/>
          <w:iCs/>
          <w:noProof/>
        </w:rPr>
        <w:t>Clinical Genetics</w:t>
      </w:r>
      <w:r w:rsidRPr="006A1EC7">
        <w:rPr>
          <w:noProof/>
        </w:rPr>
        <w:t xml:space="preserve">, </w:t>
      </w:r>
      <w:r w:rsidRPr="006A1EC7">
        <w:rPr>
          <w:i/>
          <w:iCs/>
          <w:noProof/>
        </w:rPr>
        <w:t>69</w:t>
      </w:r>
      <w:r w:rsidRPr="006A1EC7">
        <w:rPr>
          <w:noProof/>
        </w:rPr>
        <w:t>(6), 486–496. https://doi.org/10.1111/j.1399-0004.2006.00624.x</w:t>
      </w:r>
    </w:p>
    <w:p w14:paraId="771C2CB6"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Smith, Jonathan A., &amp; Osborn, M. (2015). Interpretative phenomenological analysis as a useful methodology for research on the lived experience of pain. </w:t>
      </w:r>
      <w:r w:rsidRPr="006A1EC7">
        <w:rPr>
          <w:i/>
          <w:iCs/>
          <w:noProof/>
        </w:rPr>
        <w:t>British Journal of Pain</w:t>
      </w:r>
      <w:r w:rsidRPr="006A1EC7">
        <w:rPr>
          <w:noProof/>
        </w:rPr>
        <w:t xml:space="preserve">, </w:t>
      </w:r>
      <w:r w:rsidRPr="006A1EC7">
        <w:rPr>
          <w:i/>
          <w:iCs/>
          <w:noProof/>
        </w:rPr>
        <w:t>9</w:t>
      </w:r>
      <w:r w:rsidRPr="006A1EC7">
        <w:rPr>
          <w:noProof/>
        </w:rPr>
        <w:t>(1), 41–42. https://doi.org/10.1177/2049463714541642</w:t>
      </w:r>
    </w:p>
    <w:p w14:paraId="0EEC379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Smith, L., Smith, P., &amp; Lee, S. K. Y. (2000). Behavioural treatment of urinary incontinence and encopresis in children with learning disabilities: Transfer of stimulus control. </w:t>
      </w:r>
      <w:r w:rsidRPr="006A1EC7">
        <w:rPr>
          <w:i/>
          <w:iCs/>
          <w:noProof/>
        </w:rPr>
        <w:t>Developmental Medicine and Child Neurology</w:t>
      </w:r>
      <w:r w:rsidRPr="006A1EC7">
        <w:rPr>
          <w:noProof/>
        </w:rPr>
        <w:t xml:space="preserve">, </w:t>
      </w:r>
      <w:r w:rsidRPr="006A1EC7">
        <w:rPr>
          <w:i/>
          <w:iCs/>
          <w:noProof/>
        </w:rPr>
        <w:t>42</w:t>
      </w:r>
      <w:r w:rsidRPr="006A1EC7">
        <w:rPr>
          <w:noProof/>
        </w:rPr>
        <w:t>(4), 276–279. https://doi.org/10.1017/S0012162200000475</w:t>
      </w:r>
    </w:p>
    <w:p w14:paraId="171E07F5" w14:textId="77777777" w:rsidR="00AD67F5" w:rsidRPr="006A1EC7" w:rsidRDefault="00AD67F5" w:rsidP="00421249">
      <w:pPr>
        <w:widowControl w:val="0"/>
        <w:autoSpaceDE w:val="0"/>
        <w:autoSpaceDN w:val="0"/>
        <w:adjustRightInd w:val="0"/>
        <w:ind w:left="480" w:hanging="480"/>
        <w:rPr>
          <w:noProof/>
        </w:rPr>
      </w:pPr>
      <w:r w:rsidRPr="006A1EC7">
        <w:rPr>
          <w:noProof/>
        </w:rPr>
        <w:t>Smith, R. (2008). The end of disease and the beginning of health. Retrieved September 18, 2017, from http://blogs.bmj.com/bmj/2008/07/08/richard-smith-the-end-of-disease-and-the-beginning-of-health/</w:t>
      </w:r>
    </w:p>
    <w:p w14:paraId="762402E4" w14:textId="77777777" w:rsidR="00AD67F5" w:rsidRPr="006A1EC7" w:rsidRDefault="00AD67F5" w:rsidP="00421249">
      <w:pPr>
        <w:widowControl w:val="0"/>
        <w:autoSpaceDE w:val="0"/>
        <w:autoSpaceDN w:val="0"/>
        <w:adjustRightInd w:val="0"/>
        <w:ind w:left="480" w:hanging="480"/>
        <w:rPr>
          <w:noProof/>
        </w:rPr>
      </w:pPr>
      <w:r w:rsidRPr="006A1EC7">
        <w:rPr>
          <w:noProof/>
        </w:rPr>
        <w:t>Smith, S., &amp; Weldring, T. (2013). Patient-Reported Outcomes (PROs) and Patient-</w:t>
      </w:r>
      <w:r w:rsidRPr="006A1EC7">
        <w:rPr>
          <w:noProof/>
        </w:rPr>
        <w:lastRenderedPageBreak/>
        <w:t xml:space="preserve">Reported Outcome Measures (PROMs). </w:t>
      </w:r>
      <w:r w:rsidRPr="006A1EC7">
        <w:rPr>
          <w:i/>
          <w:iCs/>
          <w:noProof/>
        </w:rPr>
        <w:t>Health Services Insights</w:t>
      </w:r>
      <w:r w:rsidRPr="006A1EC7">
        <w:rPr>
          <w:noProof/>
        </w:rPr>
        <w:t>, 61. https://doi.org/10.4137/HSI.S11093</w:t>
      </w:r>
    </w:p>
    <w:p w14:paraId="5E8FCA3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Smout, A., &amp; Fox, M. (2012). Weak and absent peristalsis. </w:t>
      </w:r>
      <w:r w:rsidRPr="006A1EC7">
        <w:rPr>
          <w:i/>
          <w:iCs/>
          <w:noProof/>
        </w:rPr>
        <w:t>Neurogastroenterology and Motility</w:t>
      </w:r>
      <w:r w:rsidRPr="006A1EC7">
        <w:rPr>
          <w:noProof/>
        </w:rPr>
        <w:t xml:space="preserve">, </w:t>
      </w:r>
      <w:r w:rsidRPr="006A1EC7">
        <w:rPr>
          <w:i/>
          <w:iCs/>
          <w:noProof/>
        </w:rPr>
        <w:t>24</w:t>
      </w:r>
      <w:r w:rsidRPr="006A1EC7">
        <w:rPr>
          <w:noProof/>
        </w:rPr>
        <w:t>(SUPPL. 1), 40–47. Retrieved from http://www.embase.com/search/results?subaction=viewrecord&amp;from=export&amp;id=L364108748%5Cnhttp://dx.doi.org/10.1111/j.1365-2982.2011.01831.x%5Cnhttp://sfx.library.uu.nl/utrecht?sid=EMBASE&amp;issn=13501925&amp;id=doi:10.1111%2Fj.1365-2982.2011.01831.x&amp;atitle=Weak+an</w:t>
      </w:r>
    </w:p>
    <w:p w14:paraId="4D4D23F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Somanadhan, S., &amp; Larkin, P. J. (2016). Parents’ experiences of living with, and caring for children, adolescents and young adults with Mucopolysaccharidosis (MPS). </w:t>
      </w:r>
      <w:r w:rsidRPr="006A1EC7">
        <w:rPr>
          <w:i/>
          <w:iCs/>
          <w:noProof/>
        </w:rPr>
        <w:t>Orphanet Journal of Rare Diseases</w:t>
      </w:r>
      <w:r w:rsidRPr="006A1EC7">
        <w:rPr>
          <w:noProof/>
        </w:rPr>
        <w:t xml:space="preserve">, </w:t>
      </w:r>
      <w:r w:rsidRPr="006A1EC7">
        <w:rPr>
          <w:i/>
          <w:iCs/>
          <w:noProof/>
        </w:rPr>
        <w:t>11</w:t>
      </w:r>
      <w:r w:rsidRPr="006A1EC7">
        <w:rPr>
          <w:noProof/>
        </w:rPr>
        <w:t>(1), 138. https://doi.org/10.1186/s13023-016-0521-0</w:t>
      </w:r>
    </w:p>
    <w:p w14:paraId="2369132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Sonke, G. S., Verbeek, A. L. M., &amp; Kiemeney, L. A. L. M. (2009). A philosophical perspective supports the need for patient-outcome studies in diagnostic test evaluation. </w:t>
      </w:r>
      <w:r w:rsidRPr="006A1EC7">
        <w:rPr>
          <w:i/>
          <w:iCs/>
          <w:noProof/>
        </w:rPr>
        <w:t>Journal of Clinical Epidemiology</w:t>
      </w:r>
      <w:r w:rsidRPr="006A1EC7">
        <w:rPr>
          <w:noProof/>
        </w:rPr>
        <w:t>. https://doi.org/10.1016/j.jclinepi.2008.02.005</w:t>
      </w:r>
    </w:p>
    <w:p w14:paraId="1111360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South, S. T., Whitby, H., Battaglia, A., Carey, J. C., &amp; Brothman, A. R. (2008). Comprehensive analysis of Wolf–Hirschhorn syndrome using array CGH indicates a high prevalence of translocations. </w:t>
      </w:r>
      <w:r w:rsidRPr="006A1EC7">
        <w:rPr>
          <w:i/>
          <w:iCs/>
          <w:noProof/>
        </w:rPr>
        <w:t>European Journal of Human Genetics</w:t>
      </w:r>
      <w:r w:rsidRPr="006A1EC7">
        <w:rPr>
          <w:noProof/>
        </w:rPr>
        <w:t xml:space="preserve">, </w:t>
      </w:r>
      <w:r w:rsidRPr="006A1EC7">
        <w:rPr>
          <w:i/>
          <w:iCs/>
          <w:noProof/>
        </w:rPr>
        <w:t>16</w:t>
      </w:r>
      <w:r w:rsidRPr="006A1EC7">
        <w:rPr>
          <w:noProof/>
        </w:rPr>
        <w:t>(1), 45–52. https://doi.org/10.1038/sj.ejhg.5201915</w:t>
      </w:r>
    </w:p>
    <w:p w14:paraId="5C53A45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Souza, A. C. de, Alexandre, N. M. C., &amp; Guirardello, E. de B. (2017). Psychometric properties in instruments evaluation of reliability and validity. </w:t>
      </w:r>
      <w:r w:rsidRPr="006A1EC7">
        <w:rPr>
          <w:i/>
          <w:iCs/>
          <w:noProof/>
        </w:rPr>
        <w:t>Epidemiologia e Servicos de Saude : Revista Do Sistema Unico de Saude Do Brasil</w:t>
      </w:r>
      <w:r w:rsidRPr="006A1EC7">
        <w:rPr>
          <w:noProof/>
        </w:rPr>
        <w:t xml:space="preserve">, </w:t>
      </w:r>
      <w:r w:rsidRPr="006A1EC7">
        <w:rPr>
          <w:i/>
          <w:iCs/>
          <w:noProof/>
        </w:rPr>
        <w:t>26</w:t>
      </w:r>
      <w:r w:rsidRPr="006A1EC7">
        <w:rPr>
          <w:noProof/>
        </w:rPr>
        <w:t>(3), 649–659. https://doi.org/10.5123/S1679-49742017000300022</w:t>
      </w:r>
    </w:p>
    <w:p w14:paraId="0FD4244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Spilkin, A., &amp; Ballantyne, A. (2007). “Behavior in children with a chronic illness: A descriptive study of child characteristics, family, adjustment, and school issues in children with cystinosis”: Correction. </w:t>
      </w:r>
      <w:r w:rsidRPr="006A1EC7">
        <w:rPr>
          <w:i/>
          <w:iCs/>
          <w:noProof/>
        </w:rPr>
        <w:t>Families, Systems, &amp; Health</w:t>
      </w:r>
      <w:r w:rsidRPr="006A1EC7">
        <w:rPr>
          <w:noProof/>
        </w:rPr>
        <w:t xml:space="preserve">, </w:t>
      </w:r>
      <w:r w:rsidRPr="006A1EC7">
        <w:rPr>
          <w:i/>
          <w:iCs/>
          <w:noProof/>
        </w:rPr>
        <w:t>25</w:t>
      </w:r>
      <w:r w:rsidRPr="006A1EC7">
        <w:rPr>
          <w:noProof/>
        </w:rPr>
        <w:t>(2), 161–161. https://doi.org/10.1037/1091-7527.25.2.161</w:t>
      </w:r>
    </w:p>
    <w:p w14:paraId="588071A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Stefanacci, R., &amp; Riddle, A. (2019). Caring for caregivers. </w:t>
      </w:r>
      <w:r w:rsidRPr="006A1EC7">
        <w:rPr>
          <w:i/>
          <w:iCs/>
          <w:noProof/>
        </w:rPr>
        <w:t>Geriatric Nursing</w:t>
      </w:r>
      <w:r w:rsidRPr="006A1EC7">
        <w:rPr>
          <w:noProof/>
        </w:rPr>
        <w:t xml:space="preserve">, </w:t>
      </w:r>
      <w:r w:rsidRPr="006A1EC7">
        <w:rPr>
          <w:i/>
          <w:iCs/>
          <w:noProof/>
        </w:rPr>
        <w:t>40</w:t>
      </w:r>
      <w:r w:rsidRPr="006A1EC7">
        <w:rPr>
          <w:noProof/>
        </w:rPr>
        <w:t>, 214–216. https://doi.org/10.1016/j.gerinurse.2019.03.003</w:t>
      </w:r>
    </w:p>
    <w:p w14:paraId="52945CB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Stemler, S. E., &amp; Tsai, J. (2011). Best Practices in Interrater Reliability Three Common Approaches. In J. Osborne (Ed.), </w:t>
      </w:r>
      <w:r w:rsidRPr="006A1EC7">
        <w:rPr>
          <w:i/>
          <w:iCs/>
          <w:noProof/>
        </w:rPr>
        <w:t>Best Practices in Quantitative Methods</w:t>
      </w:r>
      <w:r w:rsidRPr="006A1EC7">
        <w:rPr>
          <w:noProof/>
        </w:rPr>
        <w:t xml:space="preserve"> (pp. 29–49). Thousand Oaks: Sage Publication. https://doi.org/10.4135/9781412995627.d5</w:t>
      </w:r>
    </w:p>
    <w:p w14:paraId="20B6DFC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Stolarova, M., Wolf, C., Rinker, T., &amp; Brielmann, A. (2014). How to assess and compare inter-rater reliability, agreement and correlation of ratings: an exemplary analysis of mother-father and parent-teacher expressive vocabulary rating pairs. </w:t>
      </w:r>
      <w:r w:rsidRPr="006A1EC7">
        <w:rPr>
          <w:i/>
          <w:iCs/>
          <w:noProof/>
        </w:rPr>
        <w:t>Frontiers in Psychology</w:t>
      </w:r>
      <w:r w:rsidRPr="006A1EC7">
        <w:rPr>
          <w:noProof/>
        </w:rPr>
        <w:t xml:space="preserve">, </w:t>
      </w:r>
      <w:r w:rsidRPr="006A1EC7">
        <w:rPr>
          <w:i/>
          <w:iCs/>
          <w:noProof/>
        </w:rPr>
        <w:t>5</w:t>
      </w:r>
      <w:r w:rsidRPr="006A1EC7">
        <w:rPr>
          <w:noProof/>
        </w:rPr>
        <w:t>. https://doi.org/10.3389/fpsyg.2014.00509</w:t>
      </w:r>
    </w:p>
    <w:p w14:paraId="22B2DD2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Streiner, D. L., &amp; Norman, G. R. (2008). </w:t>
      </w:r>
      <w:r w:rsidRPr="006A1EC7">
        <w:rPr>
          <w:i/>
          <w:iCs/>
          <w:noProof/>
        </w:rPr>
        <w:t>Health measurement scales: A practical guide to their development and use</w:t>
      </w:r>
      <w:r w:rsidRPr="006A1EC7">
        <w:rPr>
          <w:noProof/>
        </w:rPr>
        <w:t xml:space="preserve">. </w:t>
      </w:r>
      <w:r w:rsidRPr="006A1EC7">
        <w:rPr>
          <w:i/>
          <w:iCs/>
          <w:noProof/>
        </w:rPr>
        <w:t>Oxford University Press</w:t>
      </w:r>
      <w:r w:rsidRPr="006A1EC7">
        <w:rPr>
          <w:noProof/>
        </w:rPr>
        <w:t xml:space="preserve"> (Vol. Fourth Edi). https://doi.org/10.1093/acprof:oso/9780199231881.001.0001</w:t>
      </w:r>
    </w:p>
    <w:p w14:paraId="42DC276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Streiner, D., Norman, G. R., &amp; Cairney, J. (2015). </w:t>
      </w:r>
      <w:r w:rsidRPr="006A1EC7">
        <w:rPr>
          <w:i/>
          <w:iCs/>
          <w:noProof/>
        </w:rPr>
        <w:t>Health measurement scales: a practical guide to their development and use</w:t>
      </w:r>
      <w:r w:rsidRPr="006A1EC7">
        <w:rPr>
          <w:noProof/>
        </w:rPr>
        <w:t xml:space="preserve"> (5th ed.). Oxford: Oxford University Press.</w:t>
      </w:r>
    </w:p>
    <w:p w14:paraId="12E026EF"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Sukarova-Angelovska, E., Kocova, M., Sabolich, V., Palcevska, S., &amp; Angelkova, N. (2014). Phenotypic Variations in Wolfhirschhorn Syndrome. </w:t>
      </w:r>
      <w:r w:rsidRPr="006A1EC7">
        <w:rPr>
          <w:i/>
          <w:iCs/>
          <w:noProof/>
        </w:rPr>
        <w:t>Balkan Journal of Medical Genetics</w:t>
      </w:r>
      <w:r w:rsidRPr="006A1EC7">
        <w:rPr>
          <w:noProof/>
        </w:rPr>
        <w:t xml:space="preserve">, </w:t>
      </w:r>
      <w:r w:rsidRPr="006A1EC7">
        <w:rPr>
          <w:i/>
          <w:iCs/>
          <w:noProof/>
        </w:rPr>
        <w:t>17</w:t>
      </w:r>
      <w:r w:rsidRPr="006A1EC7">
        <w:rPr>
          <w:noProof/>
        </w:rPr>
        <w:t>(1), 23–30. https://doi.org/10.2478/bjmg-2014-0021</w:t>
      </w:r>
    </w:p>
    <w:p w14:paraId="3C425F1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Sun, R., Liu, M., Lu, L., Zheng, Y., &amp; Zhang, P. (2015). Congenital Heart Disease: Causes, Diagnosis, Symptoms, and Treatments. </w:t>
      </w:r>
      <w:r w:rsidRPr="006A1EC7">
        <w:rPr>
          <w:i/>
          <w:iCs/>
          <w:noProof/>
        </w:rPr>
        <w:t>Cell Biochemistry and Biophysics</w:t>
      </w:r>
      <w:r w:rsidRPr="006A1EC7">
        <w:rPr>
          <w:noProof/>
        </w:rPr>
        <w:t xml:space="preserve">, </w:t>
      </w:r>
      <w:r w:rsidRPr="006A1EC7">
        <w:rPr>
          <w:i/>
          <w:iCs/>
          <w:noProof/>
        </w:rPr>
        <w:t>72</w:t>
      </w:r>
      <w:r w:rsidRPr="006A1EC7">
        <w:rPr>
          <w:noProof/>
        </w:rPr>
        <w:t>(3), 857–860. https://doi.org/10.1007/s12013-015-0551-6</w:t>
      </w:r>
    </w:p>
    <w:p w14:paraId="5947AF87"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 xml:space="preserve">Tautz, J., Veenma, D., Eussen, B., Joosen, L., Poddighe, P., Tibboel, D., … Schaible, T. (2010). Congenital Diaphragmatic Hernia and a Complex Heart Defect in Association With Wolf-Hirschhorn Syndrome. </w:t>
      </w:r>
      <w:r w:rsidRPr="006A1EC7">
        <w:rPr>
          <w:i/>
          <w:iCs/>
          <w:noProof/>
        </w:rPr>
        <w:t>American Journal of Medical Genetics, Part A</w:t>
      </w:r>
      <w:r w:rsidRPr="006A1EC7">
        <w:rPr>
          <w:noProof/>
        </w:rPr>
        <w:t xml:space="preserve">, </w:t>
      </w:r>
      <w:r w:rsidRPr="006A1EC7">
        <w:rPr>
          <w:i/>
          <w:iCs/>
          <w:noProof/>
        </w:rPr>
        <w:t>152A</w:t>
      </w:r>
      <w:r w:rsidRPr="006A1EC7">
        <w:rPr>
          <w:noProof/>
        </w:rPr>
        <w:t>(11), 2891–2894. https://doi.org/10.1002/ajmg.a.33660</w:t>
      </w:r>
    </w:p>
    <w:p w14:paraId="2E25BFA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Taylor, B. J. (2006). Factorial surveys: Using vignettes to study professional judgement. </w:t>
      </w:r>
      <w:r w:rsidRPr="006A1EC7">
        <w:rPr>
          <w:i/>
          <w:iCs/>
          <w:noProof/>
        </w:rPr>
        <w:t>British Journal of Social Work</w:t>
      </w:r>
      <w:r w:rsidRPr="006A1EC7">
        <w:rPr>
          <w:noProof/>
        </w:rPr>
        <w:t xml:space="preserve">, </w:t>
      </w:r>
      <w:r w:rsidRPr="006A1EC7">
        <w:rPr>
          <w:i/>
          <w:iCs/>
          <w:noProof/>
        </w:rPr>
        <w:t>36</w:t>
      </w:r>
      <w:r w:rsidRPr="006A1EC7">
        <w:rPr>
          <w:noProof/>
        </w:rPr>
        <w:t>(7), 1187–1207. https://doi.org/10.1093/bjsw/bch345</w:t>
      </w:r>
    </w:p>
    <w:p w14:paraId="793591C6" w14:textId="77777777" w:rsidR="00AD67F5" w:rsidRPr="006A1EC7" w:rsidRDefault="00AD67F5" w:rsidP="00421249">
      <w:pPr>
        <w:widowControl w:val="0"/>
        <w:autoSpaceDE w:val="0"/>
        <w:autoSpaceDN w:val="0"/>
        <w:adjustRightInd w:val="0"/>
        <w:ind w:left="480" w:hanging="480"/>
        <w:rPr>
          <w:noProof/>
        </w:rPr>
      </w:pPr>
      <w:r w:rsidRPr="006A1EC7">
        <w:rPr>
          <w:noProof/>
        </w:rPr>
        <w:t>Tengland, P. (2006). Scientific Contribution The goals of health work : Quality of life , health and welfare, 155–167. https://doi.org/10.1007/s11019-005-5642-5</w:t>
      </w:r>
    </w:p>
    <w:p w14:paraId="172656A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Terrone, G., Cappuccio, G., Genesio, R., Esposito, A., Fiorentino, V., Riccitelli, M., … Del Giudice, E. (2014). A case of 14q11.2 microdeletion with autistic features, severe obesity and facial dysmorphisms suggestive of Wolf-Hirschhorn syndrome. </w:t>
      </w:r>
      <w:r w:rsidRPr="006A1EC7">
        <w:rPr>
          <w:i/>
          <w:iCs/>
          <w:noProof/>
        </w:rPr>
        <w:t>American Journal of Medical Genetics, Part A</w:t>
      </w:r>
      <w:r w:rsidRPr="006A1EC7">
        <w:rPr>
          <w:noProof/>
        </w:rPr>
        <w:t xml:space="preserve">, </w:t>
      </w:r>
      <w:r w:rsidRPr="006A1EC7">
        <w:rPr>
          <w:i/>
          <w:iCs/>
          <w:noProof/>
        </w:rPr>
        <w:t>164</w:t>
      </w:r>
      <w:r w:rsidRPr="006A1EC7">
        <w:rPr>
          <w:noProof/>
        </w:rPr>
        <w:t>(1), 190–193. https://doi.org/10.1002/ajmg.a.36200</w:t>
      </w:r>
    </w:p>
    <w:p w14:paraId="34D7637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Thompson, A. G. B. B., Lowe, J., Fox, Z., Lukic, A., Porter, M. C., Ford, L., … Mead, S. (2013). The medical research council prion disease rating scale: A new outcome measure for prion disease therapeutic trials developed and validated using systematic observational studies. </w:t>
      </w:r>
      <w:r w:rsidRPr="006A1EC7">
        <w:rPr>
          <w:i/>
          <w:iCs/>
          <w:noProof/>
        </w:rPr>
        <w:t>Brain</w:t>
      </w:r>
      <w:r w:rsidRPr="006A1EC7">
        <w:rPr>
          <w:noProof/>
        </w:rPr>
        <w:t xml:space="preserve">, </w:t>
      </w:r>
      <w:r w:rsidRPr="006A1EC7">
        <w:rPr>
          <w:i/>
          <w:iCs/>
          <w:noProof/>
        </w:rPr>
        <w:t>136</w:t>
      </w:r>
      <w:r w:rsidRPr="006A1EC7">
        <w:rPr>
          <w:noProof/>
        </w:rPr>
        <w:t>(4), 1116–1127. https://doi.org/10.1093/brain/awt048</w:t>
      </w:r>
    </w:p>
    <w:p w14:paraId="460EBBE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Thorne, S. E., Radford, M. J., &amp; McCormick, J. (1997). The multiple meanings of long-term gastrostomy in children with severe disability. </w:t>
      </w:r>
      <w:r w:rsidRPr="006A1EC7">
        <w:rPr>
          <w:i/>
          <w:iCs/>
          <w:noProof/>
        </w:rPr>
        <w:t>Journal of Pediatric Nursing</w:t>
      </w:r>
      <w:r w:rsidRPr="006A1EC7">
        <w:rPr>
          <w:noProof/>
        </w:rPr>
        <w:t xml:space="preserve">, </w:t>
      </w:r>
      <w:r w:rsidRPr="006A1EC7">
        <w:rPr>
          <w:i/>
          <w:iCs/>
          <w:noProof/>
        </w:rPr>
        <w:t>12</w:t>
      </w:r>
      <w:r w:rsidRPr="006A1EC7">
        <w:rPr>
          <w:noProof/>
        </w:rPr>
        <w:t>(2), 89–99. https://doi.org/10.1016/S0882-5963(97)80029-2</w:t>
      </w:r>
    </w:p>
    <w:p w14:paraId="3E4C065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Timonen, V., Foley, G., &amp; Conlon, C. (2018). Challenges when using grounded theory: A pragmatic introduction to doing GT research. </w:t>
      </w:r>
      <w:r w:rsidRPr="006A1EC7">
        <w:rPr>
          <w:i/>
          <w:iCs/>
          <w:noProof/>
        </w:rPr>
        <w:t>International Journal of Qualitative Methods</w:t>
      </w:r>
      <w:r w:rsidRPr="006A1EC7">
        <w:rPr>
          <w:noProof/>
        </w:rPr>
        <w:t xml:space="preserve">, </w:t>
      </w:r>
      <w:r w:rsidRPr="006A1EC7">
        <w:rPr>
          <w:i/>
          <w:iCs/>
          <w:noProof/>
        </w:rPr>
        <w:t>17</w:t>
      </w:r>
      <w:r w:rsidRPr="006A1EC7">
        <w:rPr>
          <w:noProof/>
        </w:rPr>
        <w:t>(1), 1–10. https://doi.org/10.1177/1609406918758086</w:t>
      </w:r>
    </w:p>
    <w:p w14:paraId="059C9EB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Treweek, C., Wood, C., Martin, J., &amp; Freeth, M. (2019). Autistic people’s perspectives on stereotypes: An interpretative phenomenological analysis. </w:t>
      </w:r>
      <w:r w:rsidRPr="006A1EC7">
        <w:rPr>
          <w:i/>
          <w:iCs/>
          <w:noProof/>
        </w:rPr>
        <w:t>Autism</w:t>
      </w:r>
      <w:r w:rsidRPr="006A1EC7">
        <w:rPr>
          <w:noProof/>
        </w:rPr>
        <w:t xml:space="preserve">, </w:t>
      </w:r>
      <w:r w:rsidRPr="006A1EC7">
        <w:rPr>
          <w:i/>
          <w:iCs/>
          <w:noProof/>
        </w:rPr>
        <w:t>23</w:t>
      </w:r>
      <w:r w:rsidRPr="006A1EC7">
        <w:rPr>
          <w:noProof/>
        </w:rPr>
        <w:t>(3), 759–769. https://doi.org/10.1177/1362361318778286</w:t>
      </w:r>
    </w:p>
    <w:p w14:paraId="6480804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Trninic, V., Jelaska, I., &amp; Stalec, J. (2013). Appropriateness and limitations of factor analysis methods utilized in psychology and kinesiology: Part II. </w:t>
      </w:r>
      <w:r w:rsidRPr="006A1EC7">
        <w:rPr>
          <w:i/>
          <w:iCs/>
          <w:noProof/>
        </w:rPr>
        <w:t>Fizicka Kultura</w:t>
      </w:r>
      <w:r w:rsidRPr="006A1EC7">
        <w:rPr>
          <w:noProof/>
        </w:rPr>
        <w:t xml:space="preserve">, </w:t>
      </w:r>
      <w:r w:rsidRPr="006A1EC7">
        <w:rPr>
          <w:i/>
          <w:iCs/>
          <w:noProof/>
        </w:rPr>
        <w:t>67</w:t>
      </w:r>
      <w:r w:rsidRPr="006A1EC7">
        <w:rPr>
          <w:noProof/>
        </w:rPr>
        <w:t>(1), 1–17. https://doi.org/10.5937/fizkul1301001t</w:t>
      </w:r>
    </w:p>
    <w:p w14:paraId="30C71D4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Tsai, T. I., &amp; Lee, S. Y. D. (2018). Development and validation of a Weight-Specific Health Literacy Instrument (WSHLI). </w:t>
      </w:r>
      <w:r w:rsidRPr="006A1EC7">
        <w:rPr>
          <w:i/>
          <w:iCs/>
          <w:noProof/>
        </w:rPr>
        <w:t>Obesity Research and Clinical Practice</w:t>
      </w:r>
      <w:r w:rsidRPr="006A1EC7">
        <w:rPr>
          <w:noProof/>
        </w:rPr>
        <w:t xml:space="preserve">, </w:t>
      </w:r>
      <w:r w:rsidRPr="006A1EC7">
        <w:rPr>
          <w:i/>
          <w:iCs/>
          <w:noProof/>
        </w:rPr>
        <w:t>12</w:t>
      </w:r>
      <w:r w:rsidRPr="006A1EC7">
        <w:rPr>
          <w:noProof/>
        </w:rPr>
        <w:t>(2), 214–221. https://doi.org/10.1016/j.orcp.2017.11.003</w:t>
      </w:r>
    </w:p>
    <w:p w14:paraId="61BB310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Tsuchie, S. Y., Guerreiro, M. M., Chuang, E., Baccin, C. E., &amp; Montenegro, M. A. (2006). What about us?. Siblings of children with epilepsy. </w:t>
      </w:r>
      <w:r w:rsidRPr="006A1EC7">
        <w:rPr>
          <w:i/>
          <w:iCs/>
          <w:noProof/>
        </w:rPr>
        <w:t>Seizure</w:t>
      </w:r>
      <w:r w:rsidRPr="006A1EC7">
        <w:rPr>
          <w:noProof/>
        </w:rPr>
        <w:t xml:space="preserve">, </w:t>
      </w:r>
      <w:r w:rsidRPr="006A1EC7">
        <w:rPr>
          <w:i/>
          <w:iCs/>
          <w:noProof/>
        </w:rPr>
        <w:t>15</w:t>
      </w:r>
      <w:r w:rsidRPr="006A1EC7">
        <w:rPr>
          <w:noProof/>
        </w:rPr>
        <w:t>(8), 610–614. https://doi.org/10.1016/j.seizure.2006.08.007</w:t>
      </w:r>
    </w:p>
    <w:p w14:paraId="65553D5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Turner, J., Biesecker, B., Leib, J., Biesecker, L., &amp; Peters, K. (2007). Parenting Children with Proteus Syndrome: Experiences With, and Adapttion to, Courtesy Stigma. </w:t>
      </w:r>
      <w:r w:rsidRPr="006A1EC7">
        <w:rPr>
          <w:i/>
          <w:iCs/>
          <w:noProof/>
        </w:rPr>
        <w:t>American Journal of Medical Genetics, Part A</w:t>
      </w:r>
      <w:r w:rsidRPr="006A1EC7">
        <w:rPr>
          <w:noProof/>
        </w:rPr>
        <w:t xml:space="preserve">, </w:t>
      </w:r>
      <w:r w:rsidRPr="006A1EC7">
        <w:rPr>
          <w:i/>
          <w:iCs/>
          <w:noProof/>
        </w:rPr>
        <w:t>143A</w:t>
      </w:r>
      <w:r w:rsidRPr="006A1EC7">
        <w:rPr>
          <w:noProof/>
        </w:rPr>
        <w:t>, 2089–2097. https://doi.org/10.1002/ajmg.a.31904</w:t>
      </w:r>
    </w:p>
    <w:p w14:paraId="121E7A3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U.S. Department of Health and Human Services: Food and Drug Administration. (2009). Guidance for Industry Patient-Reported Outcome Measures: Use in Medical Product Development to Support Labeling Claims. </w:t>
      </w:r>
      <w:r w:rsidRPr="006A1EC7">
        <w:rPr>
          <w:i/>
          <w:iCs/>
          <w:noProof/>
        </w:rPr>
        <w:t>Clinical/Medical Federal Register</w:t>
      </w:r>
      <w:r w:rsidRPr="006A1EC7">
        <w:rPr>
          <w:noProof/>
        </w:rPr>
        <w:t>, (December), 1–39. https://doi.org/10.1111/j.1524-4733.2009.00609.x</w:t>
      </w:r>
    </w:p>
    <w:p w14:paraId="36423F8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U.S. Department of Health and Human Services: Food and Drug Administration, &amp; U.S. Food and Drug Administration. (2017). Clinical Outcome Assessment Qualification Program. Retrieved September 11, 2017, from </w:t>
      </w:r>
      <w:r w:rsidRPr="006A1EC7">
        <w:rPr>
          <w:noProof/>
        </w:rPr>
        <w:lastRenderedPageBreak/>
        <w:t>https://www.fda.gov/drugs/developmentapprovalprocess/drugdevelopmenttoolsqualificationprogram/ucm284077.htm</w:t>
      </w:r>
    </w:p>
    <w:p w14:paraId="268C11CF" w14:textId="77777777" w:rsidR="00AD67F5" w:rsidRPr="006A1EC7" w:rsidRDefault="00AD67F5" w:rsidP="00421249">
      <w:pPr>
        <w:widowControl w:val="0"/>
        <w:autoSpaceDE w:val="0"/>
        <w:autoSpaceDN w:val="0"/>
        <w:adjustRightInd w:val="0"/>
        <w:ind w:left="480" w:hanging="480"/>
        <w:rPr>
          <w:noProof/>
        </w:rPr>
      </w:pPr>
      <w:r w:rsidRPr="006A1EC7">
        <w:rPr>
          <w:noProof/>
        </w:rPr>
        <w:t>U.S. Food and Drug Administration. (2017a). Clinical Outcome Assessment Qualification Program. Retrieved September 11, 2017, from https://www.fda.gov/drugs/developmentapprovalprocess/drugdevelopmenttoolsqualificationprogram/ucm284077.htm</w:t>
      </w:r>
    </w:p>
    <w:p w14:paraId="6693FE06" w14:textId="77777777" w:rsidR="00AD67F5" w:rsidRPr="006A1EC7" w:rsidRDefault="00AD67F5" w:rsidP="00421249">
      <w:pPr>
        <w:widowControl w:val="0"/>
        <w:autoSpaceDE w:val="0"/>
        <w:autoSpaceDN w:val="0"/>
        <w:adjustRightInd w:val="0"/>
        <w:ind w:left="480" w:hanging="480"/>
        <w:rPr>
          <w:noProof/>
        </w:rPr>
      </w:pPr>
      <w:r w:rsidRPr="006A1EC7">
        <w:rPr>
          <w:noProof/>
        </w:rPr>
        <w:t>U.S. Food and Drug Administration. (2017b). FDA Fundamentals. Retrieved September 20, 2017, from https://www.fda.gov/AboutFDA/Transparency/Basics/ucm192695.htm</w:t>
      </w:r>
    </w:p>
    <w:p w14:paraId="5685257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Vaismoradi, M., Turunen, H., &amp; Bondas, T. (2013). Content analysis and thematic analysis: Implications for conducting a qualitative descriptive study. </w:t>
      </w:r>
      <w:r w:rsidRPr="006A1EC7">
        <w:rPr>
          <w:i/>
          <w:iCs/>
          <w:noProof/>
        </w:rPr>
        <w:t>Nursing and Health Sciences</w:t>
      </w:r>
      <w:r w:rsidRPr="006A1EC7">
        <w:rPr>
          <w:noProof/>
        </w:rPr>
        <w:t xml:space="preserve">, </w:t>
      </w:r>
      <w:r w:rsidRPr="006A1EC7">
        <w:rPr>
          <w:i/>
          <w:iCs/>
          <w:noProof/>
        </w:rPr>
        <w:t>15</w:t>
      </w:r>
      <w:r w:rsidRPr="006A1EC7">
        <w:rPr>
          <w:noProof/>
        </w:rPr>
        <w:t>(3), 398–405. https://doi.org/10.1111/nhs.12048</w:t>
      </w:r>
    </w:p>
    <w:p w14:paraId="4CFC092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Van Borsel, J., De Grande, S., Van Buggenhout, G., &amp; Fryns, J.-P. P. (2004). Speech and language in Wolf-Hirschhorn syndrome: A case-study. </w:t>
      </w:r>
      <w:r w:rsidRPr="006A1EC7">
        <w:rPr>
          <w:i/>
          <w:iCs/>
          <w:noProof/>
        </w:rPr>
        <w:t>Journal of Communication Disorders</w:t>
      </w:r>
      <w:r w:rsidRPr="006A1EC7">
        <w:rPr>
          <w:noProof/>
        </w:rPr>
        <w:t xml:space="preserve">, </w:t>
      </w:r>
      <w:r w:rsidRPr="006A1EC7">
        <w:rPr>
          <w:i/>
          <w:iCs/>
          <w:noProof/>
        </w:rPr>
        <w:t>37</w:t>
      </w:r>
      <w:r w:rsidRPr="006A1EC7">
        <w:rPr>
          <w:noProof/>
        </w:rPr>
        <w:t>(1), 21–33. https://doi.org/10.1016/S0021-9924(03)00037-6</w:t>
      </w:r>
    </w:p>
    <w:p w14:paraId="7BF8B1E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Van Lummel, R. C., Walgaard, S., Hobert, M. A., Maetzler, W., Van Dieën, J. H., Galindo-Garre, F., &amp; Terwee, C. B. (2016). Intra-rater, inter-rater and test-retest reliability of an instrumented timed up and Go (iTUG) test in patients with Parkinson’s disease. </w:t>
      </w:r>
      <w:r w:rsidRPr="006A1EC7">
        <w:rPr>
          <w:i/>
          <w:iCs/>
          <w:noProof/>
        </w:rPr>
        <w:t>PLoS ONE</w:t>
      </w:r>
      <w:r w:rsidRPr="006A1EC7">
        <w:rPr>
          <w:noProof/>
        </w:rPr>
        <w:t xml:space="preserve">, </w:t>
      </w:r>
      <w:r w:rsidRPr="006A1EC7">
        <w:rPr>
          <w:i/>
          <w:iCs/>
          <w:noProof/>
        </w:rPr>
        <w:t>11</w:t>
      </w:r>
      <w:r w:rsidRPr="006A1EC7">
        <w:rPr>
          <w:noProof/>
        </w:rPr>
        <w:t>(3). https://doi.org/10.1371/journal.pone.0151881</w:t>
      </w:r>
    </w:p>
    <w:p w14:paraId="0ECCD6DD"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van Melle, M. A., van Stel, H. F., Poldervaart, J. M., de Wit, N. J., &amp; Zwart, D. L. M. (2018). Measurement tools and outcome measures used in transitional patient safety; a systematic review. </w:t>
      </w:r>
      <w:r w:rsidRPr="006A1EC7">
        <w:rPr>
          <w:i/>
          <w:iCs/>
          <w:noProof/>
        </w:rPr>
        <w:t>PLoS ONE</w:t>
      </w:r>
      <w:r w:rsidRPr="006A1EC7">
        <w:rPr>
          <w:noProof/>
        </w:rPr>
        <w:t xml:space="preserve">, </w:t>
      </w:r>
      <w:r w:rsidRPr="006A1EC7">
        <w:rPr>
          <w:i/>
          <w:iCs/>
          <w:noProof/>
        </w:rPr>
        <w:t>13</w:t>
      </w:r>
      <w:r w:rsidRPr="006A1EC7">
        <w:rPr>
          <w:noProof/>
        </w:rPr>
        <w:t>(6), 1–18. https://doi.org/10.1371/journal.pone.0197312</w:t>
      </w:r>
    </w:p>
    <w:p w14:paraId="635B92C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Van Oers, H. A., Haverman, L., Limperg, P. F., Van Dijk-Lokkart, E. M., Maurice-Stam, H., &amp; Grootenhuis, M. A. (2014). Anxiety and Depression in Mothers and Fathers of a Chronically Ill Child. </w:t>
      </w:r>
      <w:r w:rsidRPr="006A1EC7">
        <w:rPr>
          <w:i/>
          <w:iCs/>
          <w:noProof/>
        </w:rPr>
        <w:t>Maternal and Child Health Journal</w:t>
      </w:r>
      <w:r w:rsidRPr="006A1EC7">
        <w:rPr>
          <w:noProof/>
        </w:rPr>
        <w:t xml:space="preserve">, </w:t>
      </w:r>
      <w:r w:rsidRPr="006A1EC7">
        <w:rPr>
          <w:i/>
          <w:iCs/>
          <w:noProof/>
        </w:rPr>
        <w:t>18</w:t>
      </w:r>
      <w:r w:rsidRPr="006A1EC7">
        <w:rPr>
          <w:noProof/>
        </w:rPr>
        <w:t>(8), 1993–2002. https://doi.org/10.1007/s10995-014-1445-8</w:t>
      </w:r>
    </w:p>
    <w:p w14:paraId="4B19F85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Van Osch, S., &amp; Stiggelbout, A. (2008). The construction of standard gamble utilities. </w:t>
      </w:r>
      <w:r w:rsidRPr="006A1EC7">
        <w:rPr>
          <w:i/>
          <w:iCs/>
          <w:noProof/>
        </w:rPr>
        <w:t>Health Economics</w:t>
      </w:r>
      <w:r w:rsidRPr="006A1EC7">
        <w:rPr>
          <w:noProof/>
        </w:rPr>
        <w:t xml:space="preserve">, </w:t>
      </w:r>
      <w:r w:rsidRPr="006A1EC7">
        <w:rPr>
          <w:i/>
          <w:iCs/>
          <w:noProof/>
        </w:rPr>
        <w:t>17</w:t>
      </w:r>
      <w:r w:rsidRPr="006A1EC7">
        <w:rPr>
          <w:noProof/>
        </w:rPr>
        <w:t>, 31–40. https://doi.org/10.1002/hec</w:t>
      </w:r>
    </w:p>
    <w:p w14:paraId="3E58EF9B"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Velentgas, P., Dreyer, N. A., Nourjah, P., Smith, S., &amp; Torchia, M. (2013). </w:t>
      </w:r>
      <w:r w:rsidRPr="006A1EC7">
        <w:rPr>
          <w:i/>
          <w:iCs/>
          <w:noProof/>
        </w:rPr>
        <w:t>Developing a Protocol for Observational Comparative Effectiveness in Research: A User’s Guide</w:t>
      </w:r>
      <w:r w:rsidRPr="006A1EC7">
        <w:rPr>
          <w:noProof/>
        </w:rPr>
        <w:t xml:space="preserve">. </w:t>
      </w:r>
      <w:r w:rsidRPr="006A1EC7">
        <w:rPr>
          <w:i/>
          <w:iCs/>
          <w:noProof/>
        </w:rPr>
        <w:t>AHRQ</w:t>
      </w:r>
      <w:r w:rsidRPr="006A1EC7">
        <w:rPr>
          <w:noProof/>
        </w:rPr>
        <w:t>.</w:t>
      </w:r>
    </w:p>
    <w:p w14:paraId="74ECEA84"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Vo, O. K., Mcneill, A., &amp; Vogt, K. S. (2018). The psychosocial impact of 22q11 deletion syndrome on patients and families: A systematic review. </w:t>
      </w:r>
      <w:r w:rsidRPr="006A1EC7">
        <w:rPr>
          <w:i/>
          <w:iCs/>
          <w:noProof/>
        </w:rPr>
        <w:t>American Journal of Medical Genetics, Part A</w:t>
      </w:r>
      <w:r w:rsidRPr="006A1EC7">
        <w:rPr>
          <w:noProof/>
        </w:rPr>
        <w:t>, (December 2017), 1–11. https://doi.org/10.1002/ajmg.a.38673</w:t>
      </w:r>
    </w:p>
    <w:p w14:paraId="3FEDC8A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Vogt, P. (2011). Intraclass Correlation ( ICC ). In </w:t>
      </w:r>
      <w:r w:rsidRPr="006A1EC7">
        <w:rPr>
          <w:i/>
          <w:iCs/>
          <w:noProof/>
        </w:rPr>
        <w:t>Dictionary of Statistics &amp; Methodology</w:t>
      </w:r>
      <w:r w:rsidRPr="006A1EC7">
        <w:rPr>
          <w:noProof/>
        </w:rPr>
        <w:t>.</w:t>
      </w:r>
    </w:p>
    <w:p w14:paraId="2037B4D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von Elten, K., Sawyer, T., Lentz-Kapua, S., Kanis, A., &amp; Studer, M. (2013). A case of Wolf-Hirschhorn syndrome and hypoplastic left heart syndrome. </w:t>
      </w:r>
      <w:r w:rsidRPr="006A1EC7">
        <w:rPr>
          <w:i/>
          <w:iCs/>
          <w:noProof/>
        </w:rPr>
        <w:t>Pediatric Cardiology</w:t>
      </w:r>
      <w:r w:rsidRPr="006A1EC7">
        <w:rPr>
          <w:noProof/>
        </w:rPr>
        <w:t xml:space="preserve">, </w:t>
      </w:r>
      <w:r w:rsidRPr="006A1EC7">
        <w:rPr>
          <w:i/>
          <w:iCs/>
          <w:noProof/>
        </w:rPr>
        <w:t>34</w:t>
      </w:r>
      <w:r w:rsidRPr="006A1EC7">
        <w:rPr>
          <w:noProof/>
        </w:rPr>
        <w:t>(5), 1244–1246. https://doi.org/10.1007/s00246-012-0367-8</w:t>
      </w:r>
    </w:p>
    <w:p w14:paraId="14226857" w14:textId="77777777" w:rsidR="00AD67F5" w:rsidRPr="006A1EC7" w:rsidRDefault="00AD67F5" w:rsidP="00421249">
      <w:pPr>
        <w:widowControl w:val="0"/>
        <w:autoSpaceDE w:val="0"/>
        <w:autoSpaceDN w:val="0"/>
        <w:adjustRightInd w:val="0"/>
        <w:ind w:left="480" w:hanging="480"/>
        <w:rPr>
          <w:noProof/>
        </w:rPr>
      </w:pPr>
      <w:r w:rsidRPr="006A1EC7">
        <w:rPr>
          <w:noProof/>
        </w:rPr>
        <w:t>VU University Medical Center. (2019). Clinimetrics. Retrieved October 29, 2019, from http://www.clinimetrics.nl/clinimetrics_1_0.html</w:t>
      </w:r>
    </w:p>
    <w:p w14:paraId="0709943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Walton, M. K., Iii, J. H. P., Hobart, J., Patrick, D., Marquis, P., Vamvakas, S., … Burke, L. B. (2015). Clinical Outcome Assessments: Conceptual Foundation — Report of the ISPOR Clinical Outcomes Assessment – Emerging Good Practices for Outcomes Research Task Force. </w:t>
      </w:r>
      <w:r w:rsidRPr="006A1EC7">
        <w:rPr>
          <w:i/>
          <w:iCs/>
          <w:noProof/>
        </w:rPr>
        <w:t>Value in Health</w:t>
      </w:r>
      <w:r w:rsidRPr="006A1EC7">
        <w:rPr>
          <w:noProof/>
        </w:rPr>
        <w:t xml:space="preserve">, </w:t>
      </w:r>
      <w:r w:rsidRPr="006A1EC7">
        <w:rPr>
          <w:i/>
          <w:iCs/>
          <w:noProof/>
        </w:rPr>
        <w:t>18</w:t>
      </w:r>
      <w:r w:rsidRPr="006A1EC7">
        <w:rPr>
          <w:noProof/>
        </w:rPr>
        <w:t xml:space="preserve">, 741–752. </w:t>
      </w:r>
      <w:r w:rsidRPr="006A1EC7">
        <w:rPr>
          <w:noProof/>
        </w:rPr>
        <w:lastRenderedPageBreak/>
        <w:t>https://doi.org/10.1016/j.jval.2015.09.2863</w:t>
      </w:r>
    </w:p>
    <w:p w14:paraId="1587EE2E"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Ware, J. E. (2000). SF-36 Health Survey update. </w:t>
      </w:r>
      <w:r w:rsidRPr="006A1EC7">
        <w:rPr>
          <w:i/>
          <w:iCs/>
          <w:noProof/>
        </w:rPr>
        <w:t>Spine</w:t>
      </w:r>
      <w:r w:rsidRPr="006A1EC7">
        <w:rPr>
          <w:noProof/>
        </w:rPr>
        <w:t>. https://doi.org/10.1097/00007632-200012150-00008</w:t>
      </w:r>
    </w:p>
    <w:p w14:paraId="1AC9194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Wei, H., Roscigno, C. I., Hanson, C. C., &amp; Swanson, K. M. (2015). Families of children with congenital heart disease: A literature review. </w:t>
      </w:r>
      <w:r w:rsidRPr="006A1EC7">
        <w:rPr>
          <w:i/>
          <w:iCs/>
          <w:noProof/>
        </w:rPr>
        <w:t>Heart and Lung: Journal of Acute and Critical Care</w:t>
      </w:r>
      <w:r w:rsidRPr="006A1EC7">
        <w:rPr>
          <w:noProof/>
        </w:rPr>
        <w:t xml:space="preserve">, </w:t>
      </w:r>
      <w:r w:rsidRPr="006A1EC7">
        <w:rPr>
          <w:i/>
          <w:iCs/>
          <w:noProof/>
        </w:rPr>
        <w:t>44</w:t>
      </w:r>
      <w:r w:rsidRPr="006A1EC7">
        <w:rPr>
          <w:noProof/>
        </w:rPr>
        <w:t>(6), 494–511. https://doi.org/10.1016/j.hrtlng.2015.08.005</w:t>
      </w:r>
    </w:p>
    <w:p w14:paraId="2FDB85F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Weng, H. J., Niu, D. M., Turale, S., Tsao, L. I., Shih, F. J., Yamamoto-Mitani, N., … Shih, F. J. (2012). Family caregiver distress with children having rare genetic disorders: A qualitative study involving Russell-Silver Syndrome in Taiwan. </w:t>
      </w:r>
      <w:r w:rsidRPr="006A1EC7">
        <w:rPr>
          <w:i/>
          <w:iCs/>
          <w:noProof/>
        </w:rPr>
        <w:t>Journal of Clinical Nursing</w:t>
      </w:r>
      <w:r w:rsidRPr="006A1EC7">
        <w:rPr>
          <w:noProof/>
        </w:rPr>
        <w:t xml:space="preserve">, </w:t>
      </w:r>
      <w:r w:rsidRPr="006A1EC7">
        <w:rPr>
          <w:i/>
          <w:iCs/>
          <w:noProof/>
        </w:rPr>
        <w:t>21</w:t>
      </w:r>
      <w:r w:rsidRPr="006A1EC7">
        <w:rPr>
          <w:noProof/>
        </w:rPr>
        <w:t>(1–2), 160–169. https://doi.org/10.1111/j.1365-2702.2010.03583.x</w:t>
      </w:r>
    </w:p>
    <w:p w14:paraId="13AF5862" w14:textId="0E82CFBA" w:rsidR="00AD67F5" w:rsidRPr="006A1EC7" w:rsidRDefault="00AD67F5" w:rsidP="00421249">
      <w:pPr>
        <w:widowControl w:val="0"/>
        <w:autoSpaceDE w:val="0"/>
        <w:autoSpaceDN w:val="0"/>
        <w:adjustRightInd w:val="0"/>
        <w:ind w:left="480" w:hanging="480"/>
        <w:rPr>
          <w:noProof/>
        </w:rPr>
      </w:pPr>
      <w:r w:rsidRPr="006A1EC7">
        <w:rPr>
          <w:noProof/>
        </w:rPr>
        <w:t>Westin, E., &amp; Sund Levander, M. (</w:t>
      </w:r>
      <w:r w:rsidR="00421249" w:rsidRPr="006A1EC7">
        <w:rPr>
          <w:noProof/>
        </w:rPr>
        <w:t>2018</w:t>
      </w:r>
      <w:r w:rsidRPr="006A1EC7">
        <w:rPr>
          <w:noProof/>
        </w:rPr>
        <w:t xml:space="preserve">). Parent’s Experiences of Their Children Suffering Febrile Seizures. </w:t>
      </w:r>
      <w:r w:rsidRPr="006A1EC7">
        <w:rPr>
          <w:i/>
          <w:iCs/>
          <w:noProof/>
        </w:rPr>
        <w:t>Journal of Pediatric Nursing</w:t>
      </w:r>
      <w:r w:rsidRPr="006A1EC7">
        <w:rPr>
          <w:noProof/>
        </w:rPr>
        <w:t xml:space="preserve">, </w:t>
      </w:r>
      <w:r w:rsidRPr="006A1EC7">
        <w:rPr>
          <w:i/>
          <w:iCs/>
          <w:noProof/>
        </w:rPr>
        <w:t>38</w:t>
      </w:r>
      <w:r w:rsidRPr="006A1EC7">
        <w:rPr>
          <w:noProof/>
        </w:rPr>
        <w:t>, 68–73. https://doi.org/10.1016/j.pedn.2017.11.001</w:t>
      </w:r>
    </w:p>
    <w:p w14:paraId="162AB68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Wieczorek, D., Krause, M., Majewski, F., Albrecht, B., Horn, D., Riess, O., &amp; Gillessen-Kaesbach, G. (2000). Effect of the size of the deletion and clinical manifestation in Wolf-Hirschhorn syndrome: Analysis of 13 patients with a de novo deletion. </w:t>
      </w:r>
      <w:r w:rsidRPr="006A1EC7">
        <w:rPr>
          <w:i/>
          <w:iCs/>
          <w:noProof/>
        </w:rPr>
        <w:t>European Journal of Human Genetics</w:t>
      </w:r>
      <w:r w:rsidRPr="006A1EC7">
        <w:rPr>
          <w:noProof/>
        </w:rPr>
        <w:t xml:space="preserve">, </w:t>
      </w:r>
      <w:r w:rsidRPr="006A1EC7">
        <w:rPr>
          <w:i/>
          <w:iCs/>
          <w:noProof/>
        </w:rPr>
        <w:t>8</w:t>
      </w:r>
      <w:r w:rsidRPr="006A1EC7">
        <w:rPr>
          <w:noProof/>
        </w:rPr>
        <w:t>(7), 519–526. https://doi.org/10.1038/sj.ejhg.5200498</w:t>
      </w:r>
    </w:p>
    <w:p w14:paraId="7FA80598"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Wilkins, E. J., Archibald, A. D., Sahhar, M. A., &amp; White, S. M. (2016). ???It wasn’t a disaster or anything???: Parents??? experiences of their child’s uncertain chromosomal microarray result. </w:t>
      </w:r>
      <w:r w:rsidRPr="006A1EC7">
        <w:rPr>
          <w:i/>
          <w:iCs/>
          <w:noProof/>
        </w:rPr>
        <w:t>American Journal of Medical Genetics, Part A</w:t>
      </w:r>
      <w:r w:rsidRPr="006A1EC7">
        <w:rPr>
          <w:noProof/>
        </w:rPr>
        <w:t xml:space="preserve">, </w:t>
      </w:r>
      <w:r w:rsidRPr="006A1EC7">
        <w:rPr>
          <w:i/>
          <w:iCs/>
          <w:noProof/>
        </w:rPr>
        <w:t>170</w:t>
      </w:r>
      <w:r w:rsidRPr="006A1EC7">
        <w:rPr>
          <w:noProof/>
        </w:rPr>
        <w:t>(11), 2895–2904. https://doi.org/10.1002/ajmg.a.37838</w:t>
      </w:r>
    </w:p>
    <w:p w14:paraId="6BEB81C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Williams, K. L., Morrison, V., &amp; Robinson, C. A. (2014). Exploring caregiving experiences: Caregiver coping and making sense of illness. </w:t>
      </w:r>
      <w:r w:rsidRPr="006A1EC7">
        <w:rPr>
          <w:i/>
          <w:iCs/>
          <w:noProof/>
        </w:rPr>
        <w:t>Aging and Mental Health</w:t>
      </w:r>
      <w:r w:rsidRPr="006A1EC7">
        <w:rPr>
          <w:noProof/>
        </w:rPr>
        <w:t xml:space="preserve">, </w:t>
      </w:r>
      <w:r w:rsidRPr="006A1EC7">
        <w:rPr>
          <w:i/>
          <w:iCs/>
          <w:noProof/>
        </w:rPr>
        <w:t>18</w:t>
      </w:r>
      <w:r w:rsidRPr="006A1EC7">
        <w:rPr>
          <w:noProof/>
        </w:rPr>
        <w:t>(5), 600–609. https://doi.org/10.1080/13607863.2013.860425</w:t>
      </w:r>
    </w:p>
    <w:p w14:paraId="44DF200A"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Williams, R. (2019). </w:t>
      </w:r>
      <w:r w:rsidRPr="006A1EC7">
        <w:rPr>
          <w:i/>
          <w:iCs/>
          <w:noProof/>
        </w:rPr>
        <w:t>Ordinal Independent Variables</w:t>
      </w:r>
      <w:r w:rsidRPr="006A1EC7">
        <w:rPr>
          <w:noProof/>
        </w:rPr>
        <w:t xml:space="preserve">. </w:t>
      </w:r>
      <w:r w:rsidRPr="006A1EC7">
        <w:rPr>
          <w:i/>
          <w:iCs/>
          <w:noProof/>
        </w:rPr>
        <w:t>University of Notre Dam</w:t>
      </w:r>
      <w:r w:rsidRPr="006A1EC7">
        <w:rPr>
          <w:noProof/>
        </w:rPr>
        <w:t>.</w:t>
      </w:r>
    </w:p>
    <w:p w14:paraId="3EDCEAA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Wolf, E., Harrington, K., &amp; Willer, M. (2013). Sample Size Requirements for Structural Equation Models: An Evaluation of Power, Bias, and Solution Propriety. </w:t>
      </w:r>
      <w:r w:rsidRPr="006A1EC7">
        <w:rPr>
          <w:i/>
          <w:iCs/>
          <w:noProof/>
        </w:rPr>
        <w:t>Educational and Psychological Measurement</w:t>
      </w:r>
      <w:r w:rsidRPr="006A1EC7">
        <w:rPr>
          <w:noProof/>
        </w:rPr>
        <w:t xml:space="preserve">, </w:t>
      </w:r>
      <w:r w:rsidRPr="006A1EC7">
        <w:rPr>
          <w:i/>
          <w:iCs/>
          <w:noProof/>
        </w:rPr>
        <w:t>76</w:t>
      </w:r>
      <w:r w:rsidRPr="006A1EC7">
        <w:rPr>
          <w:noProof/>
        </w:rPr>
        <w:t>(6), 913–934. https://doi.org/10.1177/0013164413495237.Sample</w:t>
      </w:r>
    </w:p>
    <w:p w14:paraId="3C22423C"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Wolf, U., Reinwein, H., Porsch, R., Schroter, R., &amp; Baitsch, H. (1965). Defizienz an den kurzen Armen eines Chromosoms Nr. 4. </w:t>
      </w:r>
      <w:r w:rsidRPr="006A1EC7">
        <w:rPr>
          <w:i/>
          <w:iCs/>
          <w:noProof/>
        </w:rPr>
        <w:t>Humangenetik</w:t>
      </w:r>
      <w:r w:rsidRPr="006A1EC7">
        <w:rPr>
          <w:noProof/>
        </w:rPr>
        <w:t xml:space="preserve">, </w:t>
      </w:r>
      <w:r w:rsidRPr="006A1EC7">
        <w:rPr>
          <w:i/>
          <w:iCs/>
          <w:noProof/>
        </w:rPr>
        <w:t>1</w:t>
      </w:r>
      <w:r w:rsidRPr="006A1EC7">
        <w:rPr>
          <w:noProof/>
        </w:rPr>
        <w:t>(397).</w:t>
      </w:r>
    </w:p>
    <w:p w14:paraId="0953DB88" w14:textId="77777777" w:rsidR="00AD67F5" w:rsidRPr="006A1EC7" w:rsidRDefault="00AD67F5" w:rsidP="00421249">
      <w:pPr>
        <w:widowControl w:val="0"/>
        <w:autoSpaceDE w:val="0"/>
        <w:autoSpaceDN w:val="0"/>
        <w:adjustRightInd w:val="0"/>
        <w:ind w:left="480" w:hanging="480"/>
        <w:rPr>
          <w:noProof/>
        </w:rPr>
      </w:pPr>
      <w:r w:rsidRPr="006A1EC7">
        <w:rPr>
          <w:noProof/>
        </w:rPr>
        <w:t>Wolfhirschhorn.org. (2016). Paige Stealing our hearts - Halloween 18 months. Retrieved April 22, 2017, from ttp://wolfhirschhorn.org/2016/11/halloween/paige-halloween-18-months/</w:t>
      </w:r>
    </w:p>
    <w:p w14:paraId="71199AD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Woolf-King, S. E., Anger, A., Arnold, E. A., Weiss, S. J., &amp; Teitel, D. (2017). Mental health among parents of children with critical congenital heart defects: A systematic review. </w:t>
      </w:r>
      <w:r w:rsidRPr="006A1EC7">
        <w:rPr>
          <w:i/>
          <w:iCs/>
          <w:noProof/>
        </w:rPr>
        <w:t>Journal of the American Heart Association</w:t>
      </w:r>
      <w:r w:rsidRPr="006A1EC7">
        <w:rPr>
          <w:noProof/>
        </w:rPr>
        <w:t xml:space="preserve">, </w:t>
      </w:r>
      <w:r w:rsidRPr="006A1EC7">
        <w:rPr>
          <w:i/>
          <w:iCs/>
          <w:noProof/>
        </w:rPr>
        <w:t>6</w:t>
      </w:r>
      <w:r w:rsidRPr="006A1EC7">
        <w:rPr>
          <w:noProof/>
        </w:rPr>
        <w:t>(2), 1–15. https://doi.org/10.1161/JAHA.116.004862</w:t>
      </w:r>
    </w:p>
    <w:p w14:paraId="7E55166B" w14:textId="77777777" w:rsidR="00AD67F5" w:rsidRPr="006A1EC7" w:rsidRDefault="00AD67F5" w:rsidP="00421249">
      <w:pPr>
        <w:widowControl w:val="0"/>
        <w:autoSpaceDE w:val="0"/>
        <w:autoSpaceDN w:val="0"/>
        <w:adjustRightInd w:val="0"/>
        <w:ind w:left="480" w:hanging="480"/>
        <w:rPr>
          <w:noProof/>
        </w:rPr>
      </w:pPr>
      <w:r w:rsidRPr="006A1EC7">
        <w:rPr>
          <w:noProof/>
        </w:rPr>
        <w:t>World Health Organisation. (2016). International Statistical Classification of Disease and Related Health Problems, 10th Revision (ICD-10) - Chapter XVII: Congenital malformations, deformations and chromosomal abnormalities (Q00-Q99). Retrieved from http://apps.who.int/classifications/icd10/browse/2016/en#/Q90-Q99</w:t>
      </w:r>
    </w:p>
    <w:p w14:paraId="214A06A0"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World Health Organization. (2010). </w:t>
      </w:r>
      <w:r w:rsidRPr="006A1EC7">
        <w:rPr>
          <w:i/>
          <w:iCs/>
          <w:noProof/>
        </w:rPr>
        <w:t>WHO Guidelines on Drawing Blood: Best Practices in Phlebotomy</w:t>
      </w:r>
      <w:r w:rsidRPr="006A1EC7">
        <w:rPr>
          <w:noProof/>
        </w:rPr>
        <w:t>. Geneva. Retrieved from https://www.ncbi.nlm.nih.gov/books/NBK138647/</w:t>
      </w:r>
    </w:p>
    <w:p w14:paraId="2FECF66D" w14:textId="77777777" w:rsidR="00AD67F5" w:rsidRPr="006A1EC7" w:rsidRDefault="00AD67F5" w:rsidP="00421249">
      <w:pPr>
        <w:widowControl w:val="0"/>
        <w:autoSpaceDE w:val="0"/>
        <w:autoSpaceDN w:val="0"/>
        <w:adjustRightInd w:val="0"/>
        <w:ind w:left="480" w:hanging="480"/>
        <w:rPr>
          <w:noProof/>
        </w:rPr>
      </w:pPr>
      <w:r w:rsidRPr="006A1EC7">
        <w:rPr>
          <w:noProof/>
        </w:rPr>
        <w:lastRenderedPageBreak/>
        <w:t xml:space="preserve">Worthington, J. C., Rigby, A. S., &amp; Quarrell, O. W. (2008). Seizure frequency in adults with Wolf-Hirschhorn syndrome. </w:t>
      </w:r>
      <w:r w:rsidRPr="006A1EC7">
        <w:rPr>
          <w:i/>
          <w:iCs/>
          <w:noProof/>
        </w:rPr>
        <w:t>American Journal of Medical Genetics, Part A</w:t>
      </w:r>
      <w:r w:rsidRPr="006A1EC7">
        <w:rPr>
          <w:noProof/>
        </w:rPr>
        <w:t xml:space="preserve">, </w:t>
      </w:r>
      <w:r w:rsidRPr="006A1EC7">
        <w:rPr>
          <w:i/>
          <w:iCs/>
          <w:noProof/>
        </w:rPr>
        <w:t>146</w:t>
      </w:r>
      <w:r w:rsidRPr="006A1EC7">
        <w:rPr>
          <w:noProof/>
        </w:rPr>
        <w:t>(19), 2528–2531. https://doi.org/10.1002/ajmg.a.32483</w:t>
      </w:r>
    </w:p>
    <w:p w14:paraId="30B68652"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Wu-Chen, W. Y., Christiansen, S. P., Berry, S. A., Engel, W. K., Fray, K. J., &amp; Summers, C. G. (2004). Ophthalmic manifestations of Wolf-Hirschhorn syndrome. </w:t>
      </w:r>
      <w:r w:rsidRPr="006A1EC7">
        <w:rPr>
          <w:i/>
          <w:iCs/>
          <w:noProof/>
        </w:rPr>
        <w:t>Journal of AAPOS</w:t>
      </w:r>
      <w:r w:rsidRPr="006A1EC7">
        <w:rPr>
          <w:noProof/>
        </w:rPr>
        <w:t xml:space="preserve">, </w:t>
      </w:r>
      <w:r w:rsidRPr="006A1EC7">
        <w:rPr>
          <w:i/>
          <w:iCs/>
          <w:noProof/>
        </w:rPr>
        <w:t>8</w:t>
      </w:r>
      <w:r w:rsidRPr="006A1EC7">
        <w:rPr>
          <w:noProof/>
        </w:rPr>
        <w:t>(4), 345–348. https://doi.org/10.1016/j.jaapos.2004.04.009</w:t>
      </w:r>
    </w:p>
    <w:p w14:paraId="654BBFA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Yardley, L., &amp; Marks, D. F. (2011). Research Methods for Clinical and Health Psychology. In </w:t>
      </w:r>
      <w:r w:rsidRPr="006A1EC7">
        <w:rPr>
          <w:i/>
          <w:iCs/>
          <w:noProof/>
        </w:rPr>
        <w:t>Research Methods for Clinical and Health Psychology</w:t>
      </w:r>
      <w:r w:rsidRPr="006A1EC7">
        <w:rPr>
          <w:noProof/>
        </w:rPr>
        <w:t>. Sage Publications. https://doi.org/dx.doi.org/10.4135/9781849209793</w:t>
      </w:r>
    </w:p>
    <w:p w14:paraId="2603FE3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Young, T., Brazier, J., Tsuchiya, A., &amp; Coyne, K. (2009). Making Rasch decisions: The use of Rasch analysis in the consturction for preference based health related quality of life instruments. </w:t>
      </w:r>
      <w:r w:rsidRPr="006A1EC7">
        <w:rPr>
          <w:i/>
          <w:iCs/>
          <w:noProof/>
        </w:rPr>
        <w:t>Quality of Life Research</w:t>
      </w:r>
      <w:r w:rsidRPr="006A1EC7">
        <w:rPr>
          <w:noProof/>
        </w:rPr>
        <w:t>.</w:t>
      </w:r>
    </w:p>
    <w:p w14:paraId="023BBB87"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Zaki, R., Bulgiba, A., Nordin, N., &amp; Ismail, N. A. (2013). A systematic review of statistical methods used to test for reliability of medical instruments measuring continuous variables. </w:t>
      </w:r>
      <w:r w:rsidRPr="006A1EC7">
        <w:rPr>
          <w:i/>
          <w:iCs/>
          <w:noProof/>
        </w:rPr>
        <w:t>Iranian Journal of Basic Medical Sciences</w:t>
      </w:r>
      <w:r w:rsidRPr="006A1EC7">
        <w:rPr>
          <w:noProof/>
        </w:rPr>
        <w:t xml:space="preserve">, </w:t>
      </w:r>
      <w:r w:rsidRPr="006A1EC7">
        <w:rPr>
          <w:i/>
          <w:iCs/>
          <w:noProof/>
        </w:rPr>
        <w:t>16</w:t>
      </w:r>
      <w:r w:rsidRPr="006A1EC7">
        <w:rPr>
          <w:noProof/>
        </w:rPr>
        <w:t>(6), 803–807.</w:t>
      </w:r>
    </w:p>
    <w:p w14:paraId="4895EB1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Zengin, A., Uçar, B. I., Düzgün, Ş. A., Bayhan, Z., Zeren, S., Yaylak, F., … Bayhan, N. A. (2016). Adult midgut malrotation presented with acute bowel obstruction and ischemia. </w:t>
      </w:r>
      <w:r w:rsidRPr="006A1EC7">
        <w:rPr>
          <w:i/>
          <w:iCs/>
          <w:noProof/>
        </w:rPr>
        <w:t>International Journal of Surgery Case Reports</w:t>
      </w:r>
      <w:r w:rsidRPr="006A1EC7">
        <w:rPr>
          <w:noProof/>
        </w:rPr>
        <w:t xml:space="preserve">, </w:t>
      </w:r>
      <w:r w:rsidRPr="006A1EC7">
        <w:rPr>
          <w:i/>
          <w:iCs/>
          <w:noProof/>
        </w:rPr>
        <w:t>22</w:t>
      </w:r>
      <w:r w:rsidRPr="006A1EC7">
        <w:rPr>
          <w:noProof/>
        </w:rPr>
        <w:t>, 5–7. https://doi.org/10.1016/j.ijscr.2016.03.018</w:t>
      </w:r>
    </w:p>
    <w:p w14:paraId="3A685195"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Zollino, M., Lecce, R., Fischetto, R., Murdolo, M., Faravelli, F., Selicorni, A., … Neri, G. (2003). Mapping the Wolf-Hirschhorn syndrome phenotype outside the currently accepted WHS critical region and defining a new critical region, WHSCR-2. </w:t>
      </w:r>
      <w:r w:rsidRPr="006A1EC7">
        <w:rPr>
          <w:i/>
          <w:iCs/>
          <w:noProof/>
        </w:rPr>
        <w:t>American Journal of Human Genetics</w:t>
      </w:r>
      <w:r w:rsidRPr="006A1EC7">
        <w:rPr>
          <w:noProof/>
        </w:rPr>
        <w:t xml:space="preserve">, </w:t>
      </w:r>
      <w:r w:rsidRPr="006A1EC7">
        <w:rPr>
          <w:i/>
          <w:iCs/>
          <w:noProof/>
        </w:rPr>
        <w:t>72</w:t>
      </w:r>
      <w:r w:rsidRPr="006A1EC7">
        <w:rPr>
          <w:noProof/>
        </w:rPr>
        <w:t>(3), 590–597. https://doi.org/10.1086/367925</w:t>
      </w:r>
    </w:p>
    <w:p w14:paraId="4F0EA083"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Zollino, M., Lecce, R., Selicorni, A., Murdolo, M., Mancuso, I., Marangi, G., … Neri, G. (2004). A double cryptic chromosome imbalance is an important factor to explain phenotypic variability in Wolf-Hirschhorn syndrome. </w:t>
      </w:r>
      <w:r w:rsidRPr="006A1EC7">
        <w:rPr>
          <w:i/>
          <w:iCs/>
          <w:noProof/>
        </w:rPr>
        <w:t>Eur J Hum Genet</w:t>
      </w:r>
      <w:r w:rsidRPr="006A1EC7">
        <w:rPr>
          <w:noProof/>
        </w:rPr>
        <w:t xml:space="preserve">, </w:t>
      </w:r>
      <w:r w:rsidRPr="006A1EC7">
        <w:rPr>
          <w:i/>
          <w:iCs/>
          <w:noProof/>
        </w:rPr>
        <w:t>12</w:t>
      </w:r>
      <w:r w:rsidRPr="006A1EC7">
        <w:rPr>
          <w:noProof/>
        </w:rPr>
        <w:t>(10), 797–804. https://doi.org/10.1038/sj.ejhg.5201203\n5201203 [pii]</w:t>
      </w:r>
    </w:p>
    <w:p w14:paraId="7F30A431" w14:textId="77777777" w:rsidR="00AD67F5" w:rsidRPr="006A1EC7" w:rsidRDefault="00AD67F5" w:rsidP="00421249">
      <w:pPr>
        <w:widowControl w:val="0"/>
        <w:autoSpaceDE w:val="0"/>
        <w:autoSpaceDN w:val="0"/>
        <w:adjustRightInd w:val="0"/>
        <w:ind w:left="480" w:hanging="480"/>
        <w:rPr>
          <w:noProof/>
        </w:rPr>
      </w:pPr>
      <w:r w:rsidRPr="006A1EC7">
        <w:rPr>
          <w:noProof/>
        </w:rPr>
        <w:t xml:space="preserve">Zollino, M., Murdolo, M., Marangi, G., Pecile, V., Galasso, C., Mazzanti, L., &amp; Neri, G. (2008). On the nosology and pathogenesis of Wolf-Hirschhorn syndrome: Genotype-phenotype correlation analysis of 80 patients and literature review. </w:t>
      </w:r>
      <w:r w:rsidRPr="006A1EC7">
        <w:rPr>
          <w:i/>
          <w:iCs/>
          <w:noProof/>
        </w:rPr>
        <w:t>American Journal of Medical Genetics. Part C, Seminars in Medical Genetics</w:t>
      </w:r>
      <w:r w:rsidRPr="006A1EC7">
        <w:rPr>
          <w:noProof/>
        </w:rPr>
        <w:t xml:space="preserve">, </w:t>
      </w:r>
      <w:r w:rsidRPr="006A1EC7">
        <w:rPr>
          <w:i/>
          <w:iCs/>
          <w:noProof/>
        </w:rPr>
        <w:t>148C</w:t>
      </w:r>
      <w:r w:rsidRPr="006A1EC7">
        <w:rPr>
          <w:noProof/>
        </w:rPr>
        <w:t>(4), 257–269. https://doi.org/10.1002/ajmg.c.30190</w:t>
      </w:r>
    </w:p>
    <w:p w14:paraId="4C885E3E" w14:textId="727CD1D8" w:rsidR="00F10D12" w:rsidRPr="006A1EC7" w:rsidRDefault="00AD67F5" w:rsidP="00421249">
      <w:r w:rsidRPr="006A1EC7">
        <w:fldChar w:fldCharType="end"/>
      </w:r>
      <w:r w:rsidR="00F10D12" w:rsidRPr="006A1EC7">
        <w:br w:type="page"/>
      </w:r>
    </w:p>
    <w:p w14:paraId="4C28C7CD" w14:textId="5D177980" w:rsidR="0087601C" w:rsidRPr="006A1EC7" w:rsidRDefault="00F10D12" w:rsidP="0087601C">
      <w:pPr>
        <w:pStyle w:val="Heading1"/>
        <w:rPr>
          <w:rFonts w:ascii="Times New Roman" w:hAnsi="Times New Roman" w:cs="Times New Roman"/>
        </w:rPr>
      </w:pPr>
      <w:bookmarkStart w:id="270" w:name="_Toc40173020"/>
      <w:r w:rsidRPr="006A1EC7">
        <w:rPr>
          <w:rFonts w:ascii="Times New Roman" w:hAnsi="Times New Roman" w:cs="Times New Roman"/>
        </w:rPr>
        <w:lastRenderedPageBreak/>
        <w:t>Appendices</w:t>
      </w:r>
      <w:bookmarkEnd w:id="270"/>
    </w:p>
    <w:p w14:paraId="5385E5A1" w14:textId="77777777" w:rsidR="0087601C" w:rsidRPr="006A1EC7" w:rsidRDefault="0087601C" w:rsidP="0087601C">
      <w:pPr>
        <w:pStyle w:val="Heading2"/>
        <w:rPr>
          <w:rFonts w:ascii="Times New Roman" w:hAnsi="Times New Roman" w:cs="Times New Roman"/>
        </w:rPr>
      </w:pPr>
      <w:bookmarkStart w:id="271" w:name="_Toc38821467"/>
      <w:bookmarkStart w:id="272" w:name="_Toc40173021"/>
      <w:r w:rsidRPr="006A1EC7">
        <w:rPr>
          <w:rFonts w:ascii="Times New Roman" w:hAnsi="Times New Roman" w:cs="Times New Roman"/>
        </w:rPr>
        <w:t>Appendix Chapter 3: Systematic reviews to support the development of a Clinical Outcome Assessment for Wolf-Hirschhorn syndrome</w:t>
      </w:r>
      <w:bookmarkEnd w:id="271"/>
      <w:bookmarkEnd w:id="272"/>
    </w:p>
    <w:p w14:paraId="52C72961" w14:textId="77777777" w:rsidR="0087601C" w:rsidRPr="006A1EC7" w:rsidRDefault="0087601C" w:rsidP="0087601C"/>
    <w:p w14:paraId="3D8B4A8D" w14:textId="77777777" w:rsidR="0087601C" w:rsidRPr="006A1EC7" w:rsidRDefault="0087601C" w:rsidP="0087601C">
      <w:pPr>
        <w:pStyle w:val="Heading3"/>
        <w:rPr>
          <w:rFonts w:ascii="Times New Roman" w:hAnsi="Times New Roman" w:cs="Times New Roman"/>
        </w:rPr>
      </w:pPr>
      <w:bookmarkStart w:id="273" w:name="_Toc17977970"/>
      <w:bookmarkStart w:id="274" w:name="_Toc38821468"/>
      <w:r w:rsidRPr="006A1EC7">
        <w:rPr>
          <w:rFonts w:ascii="Times New Roman" w:hAnsi="Times New Roman" w:cs="Times New Roman"/>
        </w:rPr>
        <w:t>Appendix 3.1: Search terms and results for Systematic Review 1</w:t>
      </w:r>
      <w:bookmarkEnd w:id="273"/>
      <w:bookmarkEnd w:id="274"/>
    </w:p>
    <w:p w14:paraId="23B7D4AC" w14:textId="77777777" w:rsidR="0087601C" w:rsidRPr="006A1EC7" w:rsidRDefault="0087601C" w:rsidP="0087601C"/>
    <w:tbl>
      <w:tblPr>
        <w:tblW w:w="7749"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3"/>
        <w:gridCol w:w="1042"/>
        <w:gridCol w:w="871"/>
        <w:gridCol w:w="1070"/>
        <w:gridCol w:w="963"/>
        <w:gridCol w:w="910"/>
      </w:tblGrid>
      <w:tr w:rsidR="0087601C" w:rsidRPr="006A1EC7" w14:paraId="44D56334" w14:textId="77777777" w:rsidTr="00D56051">
        <w:trPr>
          <w:trHeight w:val="357"/>
        </w:trPr>
        <w:tc>
          <w:tcPr>
            <w:tcW w:w="2893" w:type="dxa"/>
          </w:tcPr>
          <w:p w14:paraId="5E668EF8" w14:textId="77777777" w:rsidR="0087601C" w:rsidRPr="006A1EC7" w:rsidRDefault="0087601C" w:rsidP="004318F8">
            <w:pPr>
              <w:rPr>
                <w:color w:val="000000" w:themeColor="text1"/>
                <w:sz w:val="22"/>
                <w:szCs w:val="22"/>
              </w:rPr>
            </w:pPr>
            <w:r w:rsidRPr="006A1EC7">
              <w:rPr>
                <w:color w:val="000000" w:themeColor="text1"/>
                <w:sz w:val="22"/>
                <w:szCs w:val="22"/>
              </w:rPr>
              <w:t>Search terms</w:t>
            </w:r>
          </w:p>
        </w:tc>
        <w:tc>
          <w:tcPr>
            <w:tcW w:w="1042" w:type="dxa"/>
          </w:tcPr>
          <w:p w14:paraId="1F879AAF" w14:textId="77777777" w:rsidR="0087601C" w:rsidRPr="006A1EC7" w:rsidRDefault="0087601C" w:rsidP="004318F8">
            <w:pPr>
              <w:rPr>
                <w:color w:val="000000" w:themeColor="text1"/>
                <w:sz w:val="22"/>
                <w:szCs w:val="22"/>
              </w:rPr>
            </w:pPr>
            <w:r w:rsidRPr="006A1EC7">
              <w:rPr>
                <w:color w:val="000000" w:themeColor="text1"/>
                <w:sz w:val="22"/>
                <w:szCs w:val="22"/>
              </w:rPr>
              <w:t>PubMed</w:t>
            </w:r>
          </w:p>
          <w:p w14:paraId="3045F634" w14:textId="77777777" w:rsidR="0087601C" w:rsidRPr="006A1EC7" w:rsidRDefault="0087601C" w:rsidP="004318F8">
            <w:pPr>
              <w:ind w:left="99"/>
              <w:rPr>
                <w:color w:val="000000" w:themeColor="text1"/>
                <w:sz w:val="22"/>
                <w:szCs w:val="22"/>
              </w:rPr>
            </w:pPr>
          </w:p>
        </w:tc>
        <w:tc>
          <w:tcPr>
            <w:tcW w:w="871" w:type="dxa"/>
          </w:tcPr>
          <w:p w14:paraId="0702FF70" w14:textId="77777777" w:rsidR="0087601C" w:rsidRPr="006A1EC7" w:rsidRDefault="0087601C" w:rsidP="004318F8">
            <w:pPr>
              <w:rPr>
                <w:color w:val="000000" w:themeColor="text1"/>
                <w:sz w:val="22"/>
                <w:szCs w:val="22"/>
              </w:rPr>
            </w:pPr>
            <w:r w:rsidRPr="006A1EC7">
              <w:rPr>
                <w:color w:val="000000" w:themeColor="text1"/>
                <w:sz w:val="22"/>
                <w:szCs w:val="22"/>
              </w:rPr>
              <w:t>Cinahl</w:t>
            </w:r>
          </w:p>
          <w:p w14:paraId="190E174C" w14:textId="77777777" w:rsidR="0087601C" w:rsidRPr="006A1EC7" w:rsidRDefault="0087601C" w:rsidP="004318F8">
            <w:pPr>
              <w:ind w:left="99"/>
              <w:rPr>
                <w:color w:val="000000" w:themeColor="text1"/>
                <w:sz w:val="22"/>
                <w:szCs w:val="22"/>
              </w:rPr>
            </w:pPr>
          </w:p>
        </w:tc>
        <w:tc>
          <w:tcPr>
            <w:tcW w:w="1070" w:type="dxa"/>
          </w:tcPr>
          <w:p w14:paraId="4CA08D82" w14:textId="77777777" w:rsidR="0087601C" w:rsidRPr="006A1EC7" w:rsidRDefault="0087601C" w:rsidP="004318F8">
            <w:pPr>
              <w:rPr>
                <w:color w:val="000000" w:themeColor="text1"/>
                <w:sz w:val="22"/>
                <w:szCs w:val="22"/>
              </w:rPr>
            </w:pPr>
            <w:r w:rsidRPr="006A1EC7">
              <w:rPr>
                <w:color w:val="000000" w:themeColor="text1"/>
                <w:sz w:val="22"/>
                <w:szCs w:val="22"/>
              </w:rPr>
              <w:t>PsycInfo</w:t>
            </w:r>
          </w:p>
          <w:p w14:paraId="46619855" w14:textId="77777777" w:rsidR="0087601C" w:rsidRPr="006A1EC7" w:rsidRDefault="0087601C" w:rsidP="004318F8">
            <w:pPr>
              <w:ind w:left="99"/>
              <w:rPr>
                <w:color w:val="000000" w:themeColor="text1"/>
                <w:sz w:val="22"/>
                <w:szCs w:val="22"/>
              </w:rPr>
            </w:pPr>
          </w:p>
        </w:tc>
        <w:tc>
          <w:tcPr>
            <w:tcW w:w="963" w:type="dxa"/>
          </w:tcPr>
          <w:p w14:paraId="291DC222" w14:textId="77777777" w:rsidR="0087601C" w:rsidRPr="006A1EC7" w:rsidRDefault="0087601C" w:rsidP="004318F8">
            <w:pPr>
              <w:rPr>
                <w:color w:val="000000" w:themeColor="text1"/>
                <w:sz w:val="22"/>
                <w:szCs w:val="22"/>
              </w:rPr>
            </w:pPr>
            <w:r w:rsidRPr="006A1EC7">
              <w:rPr>
                <w:color w:val="000000" w:themeColor="text1"/>
                <w:sz w:val="22"/>
                <w:szCs w:val="22"/>
              </w:rPr>
              <w:t>Web of Science</w:t>
            </w:r>
          </w:p>
        </w:tc>
        <w:tc>
          <w:tcPr>
            <w:tcW w:w="910" w:type="dxa"/>
          </w:tcPr>
          <w:p w14:paraId="75AD503D" w14:textId="77777777" w:rsidR="0087601C" w:rsidRPr="006A1EC7" w:rsidRDefault="0087601C" w:rsidP="004318F8">
            <w:pPr>
              <w:rPr>
                <w:color w:val="000000" w:themeColor="text1"/>
                <w:sz w:val="22"/>
                <w:szCs w:val="22"/>
              </w:rPr>
            </w:pPr>
            <w:r w:rsidRPr="006A1EC7">
              <w:rPr>
                <w:color w:val="000000" w:themeColor="text1"/>
                <w:sz w:val="22"/>
                <w:szCs w:val="22"/>
              </w:rPr>
              <w:t>Scopus</w:t>
            </w:r>
          </w:p>
          <w:p w14:paraId="14EC35B7" w14:textId="77777777" w:rsidR="0087601C" w:rsidRPr="006A1EC7" w:rsidRDefault="0087601C" w:rsidP="004318F8">
            <w:pPr>
              <w:ind w:left="99"/>
              <w:rPr>
                <w:color w:val="000000" w:themeColor="text1"/>
                <w:sz w:val="22"/>
                <w:szCs w:val="22"/>
              </w:rPr>
            </w:pPr>
          </w:p>
        </w:tc>
      </w:tr>
      <w:tr w:rsidR="0087601C" w:rsidRPr="006A1EC7" w14:paraId="59B5015D" w14:textId="77777777" w:rsidTr="00D56051">
        <w:trPr>
          <w:trHeight w:val="691"/>
        </w:trPr>
        <w:tc>
          <w:tcPr>
            <w:tcW w:w="2893" w:type="dxa"/>
          </w:tcPr>
          <w:p w14:paraId="494BA4CC" w14:textId="77777777" w:rsidR="0087601C" w:rsidRPr="006A1EC7" w:rsidRDefault="0087601C" w:rsidP="004318F8">
            <w:pPr>
              <w:rPr>
                <w:color w:val="000000" w:themeColor="text1"/>
                <w:sz w:val="22"/>
                <w:szCs w:val="22"/>
              </w:rPr>
            </w:pPr>
            <w:r w:rsidRPr="006A1EC7">
              <w:rPr>
                <w:color w:val="000000" w:themeColor="text1"/>
                <w:sz w:val="22"/>
                <w:szCs w:val="22"/>
              </w:rPr>
              <w:t>Wolf-Hirschhorn* AND (scale OR assessment OR rating OR outcome)</w:t>
            </w:r>
          </w:p>
        </w:tc>
        <w:tc>
          <w:tcPr>
            <w:tcW w:w="1042" w:type="dxa"/>
          </w:tcPr>
          <w:p w14:paraId="75FDF6F4" w14:textId="77777777" w:rsidR="0087601C" w:rsidRPr="006A1EC7" w:rsidRDefault="0087601C" w:rsidP="004318F8">
            <w:pPr>
              <w:tabs>
                <w:tab w:val="left" w:pos="578"/>
              </w:tabs>
              <w:rPr>
                <w:color w:val="000000" w:themeColor="text1"/>
                <w:sz w:val="22"/>
                <w:szCs w:val="22"/>
              </w:rPr>
            </w:pPr>
            <w:r w:rsidRPr="006A1EC7">
              <w:rPr>
                <w:color w:val="000000" w:themeColor="text1"/>
                <w:sz w:val="22"/>
                <w:szCs w:val="22"/>
                <w:highlight w:val="green"/>
              </w:rPr>
              <w:t>34</w:t>
            </w:r>
          </w:p>
          <w:p w14:paraId="2AF7EE78" w14:textId="77777777" w:rsidR="0087601C" w:rsidRPr="006A1EC7" w:rsidRDefault="0087601C" w:rsidP="004318F8">
            <w:pPr>
              <w:tabs>
                <w:tab w:val="left" w:pos="578"/>
              </w:tabs>
              <w:rPr>
                <w:color w:val="000000" w:themeColor="text1"/>
                <w:sz w:val="22"/>
                <w:szCs w:val="22"/>
              </w:rPr>
            </w:pPr>
          </w:p>
        </w:tc>
        <w:tc>
          <w:tcPr>
            <w:tcW w:w="871" w:type="dxa"/>
          </w:tcPr>
          <w:p w14:paraId="048446F1"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7</w:t>
            </w:r>
          </w:p>
          <w:p w14:paraId="61A23AC1" w14:textId="77777777" w:rsidR="0087601C" w:rsidRPr="006A1EC7" w:rsidRDefault="0087601C" w:rsidP="004318F8">
            <w:pPr>
              <w:ind w:left="99"/>
              <w:rPr>
                <w:color w:val="000000" w:themeColor="text1"/>
                <w:sz w:val="22"/>
                <w:szCs w:val="22"/>
              </w:rPr>
            </w:pPr>
          </w:p>
          <w:p w14:paraId="27B4E897" w14:textId="77777777" w:rsidR="0087601C" w:rsidRPr="006A1EC7" w:rsidRDefault="0087601C" w:rsidP="004318F8">
            <w:pPr>
              <w:ind w:left="99"/>
              <w:rPr>
                <w:color w:val="000000" w:themeColor="text1"/>
                <w:sz w:val="22"/>
                <w:szCs w:val="22"/>
              </w:rPr>
            </w:pPr>
          </w:p>
        </w:tc>
        <w:tc>
          <w:tcPr>
            <w:tcW w:w="1070" w:type="dxa"/>
          </w:tcPr>
          <w:p w14:paraId="624BA09A"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c>
          <w:tcPr>
            <w:tcW w:w="963" w:type="dxa"/>
          </w:tcPr>
          <w:p w14:paraId="0A5D132F" w14:textId="77777777" w:rsidR="0087601C" w:rsidRPr="006A1EC7" w:rsidRDefault="0087601C" w:rsidP="004318F8">
            <w:pPr>
              <w:ind w:left="99"/>
              <w:rPr>
                <w:color w:val="000000" w:themeColor="text1"/>
                <w:sz w:val="22"/>
                <w:szCs w:val="22"/>
                <w:highlight w:val="cyan"/>
              </w:rPr>
            </w:pPr>
            <w:r w:rsidRPr="006A1EC7">
              <w:rPr>
                <w:color w:val="000000" w:themeColor="text1"/>
                <w:sz w:val="22"/>
                <w:szCs w:val="22"/>
                <w:highlight w:val="cyan"/>
              </w:rPr>
              <w:t>2</w:t>
            </w:r>
          </w:p>
        </w:tc>
        <w:tc>
          <w:tcPr>
            <w:tcW w:w="910" w:type="dxa"/>
          </w:tcPr>
          <w:p w14:paraId="2FB5A062" w14:textId="77777777" w:rsidR="0087601C" w:rsidRPr="006A1EC7" w:rsidRDefault="0087601C" w:rsidP="004318F8">
            <w:pPr>
              <w:rPr>
                <w:color w:val="000000" w:themeColor="text1"/>
                <w:sz w:val="22"/>
                <w:szCs w:val="22"/>
              </w:rPr>
            </w:pPr>
            <w:r w:rsidRPr="006A1EC7">
              <w:rPr>
                <w:color w:val="000000" w:themeColor="text1"/>
                <w:sz w:val="22"/>
                <w:szCs w:val="22"/>
                <w:highlight w:val="cyan"/>
              </w:rPr>
              <w:t>2</w:t>
            </w:r>
          </w:p>
          <w:p w14:paraId="65D68CD1" w14:textId="77777777" w:rsidR="0087601C" w:rsidRPr="006A1EC7" w:rsidRDefault="0087601C" w:rsidP="004318F8">
            <w:pPr>
              <w:rPr>
                <w:color w:val="000000" w:themeColor="text1"/>
                <w:sz w:val="22"/>
                <w:szCs w:val="22"/>
              </w:rPr>
            </w:pPr>
          </w:p>
          <w:p w14:paraId="72E5171F" w14:textId="77777777" w:rsidR="0087601C" w:rsidRPr="006A1EC7" w:rsidRDefault="0087601C" w:rsidP="004318F8">
            <w:pPr>
              <w:rPr>
                <w:color w:val="000000" w:themeColor="text1"/>
                <w:sz w:val="22"/>
                <w:szCs w:val="22"/>
              </w:rPr>
            </w:pPr>
          </w:p>
        </w:tc>
      </w:tr>
      <w:tr w:rsidR="0087601C" w:rsidRPr="006A1EC7" w14:paraId="5B41AB45" w14:textId="77777777" w:rsidTr="00D56051">
        <w:trPr>
          <w:trHeight w:val="497"/>
        </w:trPr>
        <w:tc>
          <w:tcPr>
            <w:tcW w:w="2893" w:type="dxa"/>
          </w:tcPr>
          <w:p w14:paraId="1002256E" w14:textId="77777777" w:rsidR="0087601C" w:rsidRPr="006A1EC7" w:rsidRDefault="0087601C" w:rsidP="004318F8">
            <w:pPr>
              <w:rPr>
                <w:color w:val="000000" w:themeColor="text1"/>
                <w:sz w:val="22"/>
                <w:szCs w:val="22"/>
              </w:rPr>
            </w:pPr>
            <w:r w:rsidRPr="006A1EC7">
              <w:rPr>
                <w:color w:val="000000" w:themeColor="text1"/>
                <w:sz w:val="22"/>
                <w:szCs w:val="22"/>
              </w:rPr>
              <w:t>Wolf-Hirschhorn* AND clinical</w:t>
            </w:r>
          </w:p>
        </w:tc>
        <w:tc>
          <w:tcPr>
            <w:tcW w:w="1042" w:type="dxa"/>
          </w:tcPr>
          <w:p w14:paraId="3D629BDE" w14:textId="77777777" w:rsidR="0087601C" w:rsidRPr="006A1EC7" w:rsidRDefault="0087601C" w:rsidP="004318F8">
            <w:pPr>
              <w:rPr>
                <w:color w:val="000000" w:themeColor="text1"/>
                <w:sz w:val="22"/>
                <w:szCs w:val="22"/>
              </w:rPr>
            </w:pPr>
            <w:r w:rsidRPr="006A1EC7">
              <w:rPr>
                <w:color w:val="000000" w:themeColor="text1"/>
                <w:sz w:val="22"/>
                <w:szCs w:val="22"/>
                <w:highlight w:val="green"/>
              </w:rPr>
              <w:t>181</w:t>
            </w:r>
          </w:p>
        </w:tc>
        <w:tc>
          <w:tcPr>
            <w:tcW w:w="871" w:type="dxa"/>
          </w:tcPr>
          <w:p w14:paraId="0B026240"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11</w:t>
            </w:r>
          </w:p>
        </w:tc>
        <w:tc>
          <w:tcPr>
            <w:tcW w:w="1070" w:type="dxa"/>
          </w:tcPr>
          <w:p w14:paraId="757FF97A"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c>
          <w:tcPr>
            <w:tcW w:w="963" w:type="dxa"/>
          </w:tcPr>
          <w:p w14:paraId="4992C16B"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19</w:t>
            </w:r>
          </w:p>
        </w:tc>
        <w:tc>
          <w:tcPr>
            <w:tcW w:w="910" w:type="dxa"/>
          </w:tcPr>
          <w:p w14:paraId="1E1308B4" w14:textId="77777777" w:rsidR="0087601C" w:rsidRPr="006A1EC7" w:rsidRDefault="0087601C" w:rsidP="004318F8">
            <w:pPr>
              <w:rPr>
                <w:color w:val="000000" w:themeColor="text1"/>
                <w:sz w:val="22"/>
                <w:szCs w:val="22"/>
              </w:rPr>
            </w:pPr>
            <w:r w:rsidRPr="006A1EC7">
              <w:rPr>
                <w:color w:val="000000" w:themeColor="text1"/>
                <w:sz w:val="22"/>
                <w:szCs w:val="22"/>
                <w:highlight w:val="cyan"/>
              </w:rPr>
              <w:t>20</w:t>
            </w:r>
          </w:p>
        </w:tc>
      </w:tr>
      <w:tr w:rsidR="0087601C" w:rsidRPr="006A1EC7" w14:paraId="3EAFBFCE" w14:textId="77777777" w:rsidTr="00D56051">
        <w:trPr>
          <w:trHeight w:val="435"/>
        </w:trPr>
        <w:tc>
          <w:tcPr>
            <w:tcW w:w="2893" w:type="dxa"/>
          </w:tcPr>
          <w:p w14:paraId="015453A8" w14:textId="77777777" w:rsidR="0087601C" w:rsidRPr="006A1EC7" w:rsidRDefault="0087601C" w:rsidP="004318F8">
            <w:pPr>
              <w:rPr>
                <w:color w:val="000000" w:themeColor="text1"/>
                <w:sz w:val="22"/>
                <w:szCs w:val="22"/>
              </w:rPr>
            </w:pPr>
            <w:r w:rsidRPr="006A1EC7">
              <w:rPr>
                <w:color w:val="000000" w:themeColor="text1"/>
                <w:sz w:val="22"/>
                <w:szCs w:val="22"/>
              </w:rPr>
              <w:t>Wolf-Hirschhorn* AND diagnos*</w:t>
            </w:r>
          </w:p>
        </w:tc>
        <w:tc>
          <w:tcPr>
            <w:tcW w:w="1042" w:type="dxa"/>
          </w:tcPr>
          <w:p w14:paraId="1B1A027D" w14:textId="77777777" w:rsidR="0087601C" w:rsidRPr="006A1EC7" w:rsidRDefault="0087601C" w:rsidP="004318F8">
            <w:pPr>
              <w:rPr>
                <w:color w:val="000000" w:themeColor="text1"/>
                <w:sz w:val="22"/>
                <w:szCs w:val="22"/>
              </w:rPr>
            </w:pPr>
            <w:r w:rsidRPr="006A1EC7">
              <w:rPr>
                <w:color w:val="000000" w:themeColor="text1"/>
                <w:sz w:val="22"/>
                <w:szCs w:val="22"/>
                <w:highlight w:val="green"/>
              </w:rPr>
              <w:t>192</w:t>
            </w:r>
          </w:p>
        </w:tc>
        <w:tc>
          <w:tcPr>
            <w:tcW w:w="871" w:type="dxa"/>
          </w:tcPr>
          <w:p w14:paraId="4FDE4090"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22</w:t>
            </w:r>
          </w:p>
        </w:tc>
        <w:tc>
          <w:tcPr>
            <w:tcW w:w="1070" w:type="dxa"/>
          </w:tcPr>
          <w:p w14:paraId="1C5FC0C6"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c>
          <w:tcPr>
            <w:tcW w:w="963" w:type="dxa"/>
          </w:tcPr>
          <w:p w14:paraId="20732FAB"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29</w:t>
            </w:r>
          </w:p>
        </w:tc>
        <w:tc>
          <w:tcPr>
            <w:tcW w:w="910" w:type="dxa"/>
          </w:tcPr>
          <w:p w14:paraId="7DF86E63"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r>
      <w:tr w:rsidR="0087601C" w:rsidRPr="006A1EC7" w14:paraId="4AC386B5" w14:textId="77777777" w:rsidTr="00D56051">
        <w:trPr>
          <w:trHeight w:val="535"/>
        </w:trPr>
        <w:tc>
          <w:tcPr>
            <w:tcW w:w="2893" w:type="dxa"/>
          </w:tcPr>
          <w:p w14:paraId="775E14C7" w14:textId="77777777" w:rsidR="0087601C" w:rsidRPr="006A1EC7" w:rsidRDefault="0087601C" w:rsidP="004318F8">
            <w:pPr>
              <w:rPr>
                <w:color w:val="000000" w:themeColor="text1"/>
                <w:sz w:val="22"/>
                <w:szCs w:val="22"/>
              </w:rPr>
            </w:pPr>
            <w:r w:rsidRPr="006A1EC7">
              <w:rPr>
                <w:color w:val="000000" w:themeColor="text1"/>
                <w:sz w:val="22"/>
                <w:szCs w:val="22"/>
              </w:rPr>
              <w:t>(4p16 deletion) AND (scale OR assessment OR rating OR outcome)</w:t>
            </w:r>
          </w:p>
        </w:tc>
        <w:tc>
          <w:tcPr>
            <w:tcW w:w="1042" w:type="dxa"/>
          </w:tcPr>
          <w:p w14:paraId="6F50196A" w14:textId="77777777" w:rsidR="0087601C" w:rsidRPr="006A1EC7" w:rsidRDefault="0087601C" w:rsidP="004318F8">
            <w:pPr>
              <w:rPr>
                <w:color w:val="000000" w:themeColor="text1"/>
                <w:sz w:val="22"/>
                <w:szCs w:val="22"/>
              </w:rPr>
            </w:pPr>
            <w:r w:rsidRPr="006A1EC7">
              <w:rPr>
                <w:color w:val="000000" w:themeColor="text1"/>
                <w:sz w:val="22"/>
                <w:szCs w:val="22"/>
                <w:highlight w:val="green"/>
              </w:rPr>
              <w:t>13</w:t>
            </w:r>
          </w:p>
        </w:tc>
        <w:tc>
          <w:tcPr>
            <w:tcW w:w="871" w:type="dxa"/>
          </w:tcPr>
          <w:p w14:paraId="6EEBF2EA"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0</w:t>
            </w:r>
          </w:p>
        </w:tc>
        <w:tc>
          <w:tcPr>
            <w:tcW w:w="1070" w:type="dxa"/>
          </w:tcPr>
          <w:p w14:paraId="6CD2DB23"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c>
          <w:tcPr>
            <w:tcW w:w="963" w:type="dxa"/>
          </w:tcPr>
          <w:p w14:paraId="702DCFB6"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c>
          <w:tcPr>
            <w:tcW w:w="910" w:type="dxa"/>
          </w:tcPr>
          <w:p w14:paraId="28867F04"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r>
      <w:tr w:rsidR="0087601C" w:rsidRPr="006A1EC7" w14:paraId="6000AF6C" w14:textId="77777777" w:rsidTr="00D56051">
        <w:trPr>
          <w:trHeight w:val="466"/>
        </w:trPr>
        <w:tc>
          <w:tcPr>
            <w:tcW w:w="2893" w:type="dxa"/>
          </w:tcPr>
          <w:p w14:paraId="4A13A7D1" w14:textId="77777777" w:rsidR="0087601C" w:rsidRPr="006A1EC7" w:rsidRDefault="0087601C" w:rsidP="004318F8">
            <w:pPr>
              <w:rPr>
                <w:color w:val="000000" w:themeColor="text1"/>
                <w:sz w:val="22"/>
                <w:szCs w:val="22"/>
              </w:rPr>
            </w:pPr>
            <w:r w:rsidRPr="006A1EC7">
              <w:rPr>
                <w:color w:val="000000" w:themeColor="text1"/>
                <w:sz w:val="22"/>
                <w:szCs w:val="22"/>
              </w:rPr>
              <w:t>4p16 deletion AND diagnos*</w:t>
            </w:r>
          </w:p>
          <w:p w14:paraId="6F19E380" w14:textId="77777777" w:rsidR="0087601C" w:rsidRPr="006A1EC7" w:rsidRDefault="0087601C" w:rsidP="004318F8">
            <w:pPr>
              <w:ind w:left="99"/>
              <w:rPr>
                <w:color w:val="000000" w:themeColor="text1"/>
                <w:sz w:val="22"/>
                <w:szCs w:val="22"/>
              </w:rPr>
            </w:pPr>
          </w:p>
        </w:tc>
        <w:tc>
          <w:tcPr>
            <w:tcW w:w="1042" w:type="dxa"/>
          </w:tcPr>
          <w:p w14:paraId="4F3998E4" w14:textId="77777777" w:rsidR="0087601C" w:rsidRPr="006A1EC7" w:rsidRDefault="0087601C" w:rsidP="004318F8">
            <w:pPr>
              <w:rPr>
                <w:color w:val="000000" w:themeColor="text1"/>
                <w:sz w:val="22"/>
                <w:szCs w:val="22"/>
              </w:rPr>
            </w:pPr>
            <w:r w:rsidRPr="006A1EC7">
              <w:rPr>
                <w:color w:val="000000" w:themeColor="text1"/>
                <w:sz w:val="22"/>
                <w:szCs w:val="22"/>
                <w:highlight w:val="green"/>
              </w:rPr>
              <w:t>70</w:t>
            </w:r>
          </w:p>
        </w:tc>
        <w:tc>
          <w:tcPr>
            <w:tcW w:w="871" w:type="dxa"/>
          </w:tcPr>
          <w:p w14:paraId="6FAB322D"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0</w:t>
            </w:r>
          </w:p>
        </w:tc>
        <w:tc>
          <w:tcPr>
            <w:tcW w:w="1070" w:type="dxa"/>
          </w:tcPr>
          <w:p w14:paraId="15B0CFE7"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c>
          <w:tcPr>
            <w:tcW w:w="963" w:type="dxa"/>
          </w:tcPr>
          <w:p w14:paraId="3B248598"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c>
          <w:tcPr>
            <w:tcW w:w="910" w:type="dxa"/>
          </w:tcPr>
          <w:p w14:paraId="0325E64C"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r>
      <w:tr w:rsidR="0087601C" w:rsidRPr="006A1EC7" w14:paraId="4704F607" w14:textId="77777777" w:rsidTr="00D56051">
        <w:trPr>
          <w:trHeight w:val="466"/>
        </w:trPr>
        <w:tc>
          <w:tcPr>
            <w:tcW w:w="2893" w:type="dxa"/>
          </w:tcPr>
          <w:p w14:paraId="1556BCD3" w14:textId="77777777" w:rsidR="0087601C" w:rsidRPr="006A1EC7" w:rsidRDefault="0087601C" w:rsidP="004318F8">
            <w:pPr>
              <w:rPr>
                <w:color w:val="000000" w:themeColor="text1"/>
                <w:sz w:val="22"/>
                <w:szCs w:val="22"/>
              </w:rPr>
            </w:pPr>
            <w:r w:rsidRPr="006A1EC7">
              <w:rPr>
                <w:color w:val="000000" w:themeColor="text1"/>
                <w:sz w:val="22"/>
                <w:szCs w:val="22"/>
              </w:rPr>
              <w:t>4p16 deletion AND clinical</w:t>
            </w:r>
          </w:p>
        </w:tc>
        <w:tc>
          <w:tcPr>
            <w:tcW w:w="1042" w:type="dxa"/>
          </w:tcPr>
          <w:p w14:paraId="3B969510" w14:textId="77777777" w:rsidR="0087601C" w:rsidRPr="006A1EC7" w:rsidRDefault="0087601C" w:rsidP="004318F8">
            <w:pPr>
              <w:rPr>
                <w:color w:val="000000" w:themeColor="text1"/>
                <w:sz w:val="22"/>
                <w:szCs w:val="22"/>
              </w:rPr>
            </w:pPr>
            <w:r w:rsidRPr="006A1EC7">
              <w:rPr>
                <w:color w:val="000000" w:themeColor="text1"/>
                <w:sz w:val="22"/>
                <w:szCs w:val="22"/>
                <w:highlight w:val="green"/>
              </w:rPr>
              <w:t>94</w:t>
            </w:r>
          </w:p>
        </w:tc>
        <w:tc>
          <w:tcPr>
            <w:tcW w:w="871" w:type="dxa"/>
          </w:tcPr>
          <w:p w14:paraId="1AE15950"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0</w:t>
            </w:r>
          </w:p>
        </w:tc>
        <w:tc>
          <w:tcPr>
            <w:tcW w:w="1070" w:type="dxa"/>
          </w:tcPr>
          <w:p w14:paraId="522C0503"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0</w:t>
            </w:r>
          </w:p>
        </w:tc>
        <w:tc>
          <w:tcPr>
            <w:tcW w:w="963" w:type="dxa"/>
          </w:tcPr>
          <w:p w14:paraId="7DC931B5" w14:textId="77777777" w:rsidR="0087601C" w:rsidRPr="006A1EC7" w:rsidRDefault="0087601C" w:rsidP="004318F8">
            <w:pPr>
              <w:ind w:left="99"/>
              <w:rPr>
                <w:color w:val="000000" w:themeColor="text1"/>
                <w:sz w:val="22"/>
                <w:szCs w:val="22"/>
              </w:rPr>
            </w:pPr>
            <w:r w:rsidRPr="006A1EC7">
              <w:rPr>
                <w:color w:val="000000" w:themeColor="text1"/>
                <w:sz w:val="22"/>
                <w:szCs w:val="22"/>
                <w:highlight w:val="cyan"/>
              </w:rPr>
              <w:t>1</w:t>
            </w:r>
          </w:p>
        </w:tc>
        <w:tc>
          <w:tcPr>
            <w:tcW w:w="910" w:type="dxa"/>
          </w:tcPr>
          <w:p w14:paraId="2A84E2FE" w14:textId="77777777" w:rsidR="0087601C" w:rsidRPr="006A1EC7" w:rsidRDefault="0087601C" w:rsidP="004318F8">
            <w:pPr>
              <w:rPr>
                <w:color w:val="000000" w:themeColor="text1"/>
                <w:sz w:val="22"/>
                <w:szCs w:val="22"/>
              </w:rPr>
            </w:pPr>
            <w:r w:rsidRPr="006A1EC7">
              <w:rPr>
                <w:color w:val="000000" w:themeColor="text1"/>
                <w:sz w:val="22"/>
                <w:szCs w:val="22"/>
                <w:highlight w:val="cyan"/>
              </w:rPr>
              <w:t>0</w:t>
            </w:r>
          </w:p>
        </w:tc>
      </w:tr>
      <w:tr w:rsidR="0087601C" w:rsidRPr="006A1EC7" w14:paraId="3BE1E322" w14:textId="77777777" w:rsidTr="00D56051">
        <w:trPr>
          <w:trHeight w:val="466"/>
        </w:trPr>
        <w:tc>
          <w:tcPr>
            <w:tcW w:w="2893" w:type="dxa"/>
          </w:tcPr>
          <w:p w14:paraId="245F3686" w14:textId="77777777" w:rsidR="0087601C" w:rsidRPr="006A1EC7" w:rsidRDefault="0087601C" w:rsidP="004318F8">
            <w:pPr>
              <w:rPr>
                <w:color w:val="000000" w:themeColor="text1"/>
                <w:sz w:val="22"/>
                <w:szCs w:val="22"/>
              </w:rPr>
            </w:pPr>
            <w:r w:rsidRPr="006A1EC7">
              <w:rPr>
                <w:color w:val="000000" w:themeColor="text1"/>
                <w:sz w:val="22"/>
                <w:szCs w:val="22"/>
              </w:rPr>
              <w:t>Total</w:t>
            </w:r>
          </w:p>
        </w:tc>
        <w:tc>
          <w:tcPr>
            <w:tcW w:w="1042" w:type="dxa"/>
          </w:tcPr>
          <w:p w14:paraId="73BB6D32" w14:textId="77777777" w:rsidR="0087601C" w:rsidRPr="006A1EC7" w:rsidRDefault="0087601C" w:rsidP="004318F8">
            <w:pPr>
              <w:rPr>
                <w:color w:val="000000" w:themeColor="text1"/>
                <w:sz w:val="22"/>
                <w:szCs w:val="22"/>
                <w:highlight w:val="green"/>
              </w:rPr>
            </w:pPr>
            <w:r w:rsidRPr="006A1EC7">
              <w:rPr>
                <w:color w:val="000000" w:themeColor="text1"/>
                <w:sz w:val="22"/>
                <w:szCs w:val="22"/>
                <w:highlight w:val="green"/>
              </w:rPr>
              <w:t>584</w:t>
            </w:r>
          </w:p>
        </w:tc>
        <w:tc>
          <w:tcPr>
            <w:tcW w:w="871" w:type="dxa"/>
          </w:tcPr>
          <w:p w14:paraId="7859120B" w14:textId="77777777" w:rsidR="0087601C" w:rsidRPr="006A1EC7" w:rsidRDefault="0087601C" w:rsidP="004318F8">
            <w:pPr>
              <w:ind w:left="99"/>
              <w:rPr>
                <w:color w:val="000000" w:themeColor="text1"/>
                <w:sz w:val="22"/>
                <w:szCs w:val="22"/>
                <w:highlight w:val="cyan"/>
              </w:rPr>
            </w:pPr>
            <w:r w:rsidRPr="006A1EC7">
              <w:rPr>
                <w:color w:val="000000" w:themeColor="text1"/>
                <w:sz w:val="22"/>
                <w:szCs w:val="22"/>
                <w:highlight w:val="cyan"/>
              </w:rPr>
              <w:t>40</w:t>
            </w:r>
          </w:p>
        </w:tc>
        <w:tc>
          <w:tcPr>
            <w:tcW w:w="1070" w:type="dxa"/>
          </w:tcPr>
          <w:p w14:paraId="0C162C02" w14:textId="77777777" w:rsidR="0087601C" w:rsidRPr="006A1EC7" w:rsidRDefault="0087601C" w:rsidP="004318F8">
            <w:pPr>
              <w:ind w:left="99"/>
              <w:rPr>
                <w:color w:val="000000" w:themeColor="text1"/>
                <w:sz w:val="22"/>
                <w:szCs w:val="22"/>
                <w:highlight w:val="cyan"/>
              </w:rPr>
            </w:pPr>
            <w:r w:rsidRPr="006A1EC7">
              <w:rPr>
                <w:color w:val="000000" w:themeColor="text1"/>
                <w:sz w:val="22"/>
                <w:szCs w:val="22"/>
                <w:highlight w:val="cyan"/>
              </w:rPr>
              <w:t>0</w:t>
            </w:r>
          </w:p>
        </w:tc>
        <w:tc>
          <w:tcPr>
            <w:tcW w:w="963" w:type="dxa"/>
          </w:tcPr>
          <w:p w14:paraId="49A2ED84" w14:textId="77777777" w:rsidR="0087601C" w:rsidRPr="006A1EC7" w:rsidRDefault="0087601C" w:rsidP="004318F8">
            <w:pPr>
              <w:ind w:left="99"/>
              <w:rPr>
                <w:color w:val="000000" w:themeColor="text1"/>
                <w:sz w:val="22"/>
                <w:szCs w:val="22"/>
                <w:highlight w:val="cyan"/>
              </w:rPr>
            </w:pPr>
            <w:r w:rsidRPr="006A1EC7">
              <w:rPr>
                <w:color w:val="000000" w:themeColor="text1"/>
                <w:sz w:val="22"/>
                <w:szCs w:val="22"/>
                <w:highlight w:val="cyan"/>
              </w:rPr>
              <w:t>51</w:t>
            </w:r>
          </w:p>
        </w:tc>
        <w:tc>
          <w:tcPr>
            <w:tcW w:w="910" w:type="dxa"/>
          </w:tcPr>
          <w:p w14:paraId="0A7EC1EA" w14:textId="77777777" w:rsidR="0087601C" w:rsidRPr="006A1EC7" w:rsidRDefault="0087601C" w:rsidP="004318F8">
            <w:pPr>
              <w:rPr>
                <w:color w:val="000000" w:themeColor="text1"/>
                <w:sz w:val="22"/>
                <w:szCs w:val="22"/>
                <w:highlight w:val="cyan"/>
              </w:rPr>
            </w:pPr>
            <w:r w:rsidRPr="006A1EC7">
              <w:rPr>
                <w:color w:val="000000" w:themeColor="text1"/>
                <w:sz w:val="22"/>
                <w:szCs w:val="22"/>
                <w:highlight w:val="cyan"/>
              </w:rPr>
              <w:t>22</w:t>
            </w:r>
          </w:p>
        </w:tc>
      </w:tr>
      <w:tr w:rsidR="0087601C" w:rsidRPr="006A1EC7" w14:paraId="0E237834" w14:textId="77777777" w:rsidTr="004318F8">
        <w:trPr>
          <w:trHeight w:val="651"/>
        </w:trPr>
        <w:tc>
          <w:tcPr>
            <w:tcW w:w="2893" w:type="dxa"/>
          </w:tcPr>
          <w:p w14:paraId="63D360DF" w14:textId="77777777" w:rsidR="0087601C" w:rsidRPr="006A1EC7" w:rsidRDefault="0087601C" w:rsidP="004318F8">
            <w:pPr>
              <w:rPr>
                <w:b/>
                <w:color w:val="000000" w:themeColor="text1"/>
                <w:sz w:val="22"/>
                <w:szCs w:val="22"/>
              </w:rPr>
            </w:pPr>
            <w:r w:rsidRPr="006A1EC7">
              <w:rPr>
                <w:b/>
                <w:color w:val="000000" w:themeColor="text1"/>
                <w:sz w:val="22"/>
                <w:szCs w:val="22"/>
              </w:rPr>
              <w:t>Summed: 697 Records</w:t>
            </w:r>
          </w:p>
          <w:p w14:paraId="3F383CD4" w14:textId="77777777" w:rsidR="0087601C" w:rsidRPr="006A1EC7" w:rsidRDefault="0087601C" w:rsidP="004318F8">
            <w:pPr>
              <w:rPr>
                <w:color w:val="000000" w:themeColor="text1"/>
                <w:sz w:val="22"/>
                <w:szCs w:val="22"/>
              </w:rPr>
            </w:pPr>
          </w:p>
          <w:p w14:paraId="6B82677B" w14:textId="77777777" w:rsidR="0087601C" w:rsidRPr="006A1EC7" w:rsidRDefault="0087601C" w:rsidP="004318F8">
            <w:pPr>
              <w:rPr>
                <w:color w:val="000000" w:themeColor="text1"/>
                <w:sz w:val="22"/>
                <w:szCs w:val="22"/>
              </w:rPr>
            </w:pPr>
          </w:p>
        </w:tc>
        <w:tc>
          <w:tcPr>
            <w:tcW w:w="1042" w:type="dxa"/>
          </w:tcPr>
          <w:p w14:paraId="04C8CB0E" w14:textId="77777777" w:rsidR="0087601C" w:rsidRPr="006A1EC7" w:rsidRDefault="0087601C" w:rsidP="004318F8">
            <w:pPr>
              <w:rPr>
                <w:color w:val="000000" w:themeColor="text1"/>
                <w:sz w:val="22"/>
                <w:szCs w:val="22"/>
                <w:highlight w:val="green"/>
              </w:rPr>
            </w:pPr>
          </w:p>
        </w:tc>
        <w:tc>
          <w:tcPr>
            <w:tcW w:w="871" w:type="dxa"/>
          </w:tcPr>
          <w:p w14:paraId="262284D2" w14:textId="77777777" w:rsidR="0087601C" w:rsidRPr="006A1EC7" w:rsidRDefault="0087601C" w:rsidP="004318F8">
            <w:pPr>
              <w:ind w:left="99"/>
              <w:rPr>
                <w:color w:val="000000" w:themeColor="text1"/>
                <w:sz w:val="22"/>
                <w:szCs w:val="22"/>
                <w:highlight w:val="cyan"/>
              </w:rPr>
            </w:pPr>
          </w:p>
        </w:tc>
        <w:tc>
          <w:tcPr>
            <w:tcW w:w="1070" w:type="dxa"/>
          </w:tcPr>
          <w:p w14:paraId="154E30A0" w14:textId="77777777" w:rsidR="0087601C" w:rsidRPr="006A1EC7" w:rsidRDefault="0087601C" w:rsidP="004318F8">
            <w:pPr>
              <w:ind w:left="99"/>
              <w:rPr>
                <w:color w:val="000000" w:themeColor="text1"/>
                <w:sz w:val="22"/>
                <w:szCs w:val="22"/>
                <w:highlight w:val="cyan"/>
              </w:rPr>
            </w:pPr>
          </w:p>
        </w:tc>
        <w:tc>
          <w:tcPr>
            <w:tcW w:w="963" w:type="dxa"/>
          </w:tcPr>
          <w:p w14:paraId="73AC36C6" w14:textId="77777777" w:rsidR="0087601C" w:rsidRPr="006A1EC7" w:rsidRDefault="0087601C" w:rsidP="004318F8">
            <w:pPr>
              <w:ind w:left="99"/>
              <w:rPr>
                <w:color w:val="000000" w:themeColor="text1"/>
                <w:sz w:val="22"/>
                <w:szCs w:val="22"/>
                <w:highlight w:val="cyan"/>
              </w:rPr>
            </w:pPr>
          </w:p>
        </w:tc>
        <w:tc>
          <w:tcPr>
            <w:tcW w:w="910" w:type="dxa"/>
          </w:tcPr>
          <w:p w14:paraId="30BE432A" w14:textId="77777777" w:rsidR="0087601C" w:rsidRPr="006A1EC7" w:rsidRDefault="0087601C" w:rsidP="004318F8">
            <w:pPr>
              <w:rPr>
                <w:color w:val="000000" w:themeColor="text1"/>
                <w:sz w:val="22"/>
                <w:szCs w:val="22"/>
                <w:highlight w:val="cyan"/>
              </w:rPr>
            </w:pPr>
          </w:p>
        </w:tc>
      </w:tr>
      <w:tr w:rsidR="0087601C" w:rsidRPr="006A1EC7" w14:paraId="4FA8EF30" w14:textId="77777777" w:rsidTr="00D56051">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7749" w:type="dxa"/>
            <w:gridSpan w:val="6"/>
          </w:tcPr>
          <w:p w14:paraId="01C7237C" w14:textId="77777777" w:rsidR="0087601C" w:rsidRPr="006A1EC7" w:rsidRDefault="0087601C" w:rsidP="00D56051"/>
        </w:tc>
      </w:tr>
    </w:tbl>
    <w:p w14:paraId="1EECE58D" w14:textId="77777777" w:rsidR="0087601C" w:rsidRPr="006A1EC7" w:rsidRDefault="0087601C" w:rsidP="0087601C"/>
    <w:p w14:paraId="012F05ED" w14:textId="77777777" w:rsidR="0087601C" w:rsidRPr="006A1EC7" w:rsidRDefault="0087601C" w:rsidP="0087601C">
      <w:pPr>
        <w:spacing w:line="360" w:lineRule="auto"/>
        <w:rPr>
          <w:color w:val="000000" w:themeColor="text1"/>
        </w:rPr>
        <w:sectPr w:rsidR="0087601C" w:rsidRPr="006A1EC7" w:rsidSect="0087601C">
          <w:pgSz w:w="11900" w:h="16840"/>
          <w:pgMar w:top="1440" w:right="1701" w:bottom="1440" w:left="1701" w:header="709" w:footer="709" w:gutter="0"/>
          <w:cols w:space="708"/>
          <w:docGrid w:linePitch="360"/>
        </w:sectPr>
      </w:pPr>
    </w:p>
    <w:p w14:paraId="04031551" w14:textId="20F4ED43" w:rsidR="0087601C" w:rsidRPr="006A1EC7" w:rsidRDefault="0087601C" w:rsidP="0087601C">
      <w:pPr>
        <w:rPr>
          <w:rStyle w:val="Heading2Char"/>
          <w:rFonts w:ascii="Times New Roman" w:hAnsi="Times New Roman" w:cs="Times New Roman"/>
        </w:rPr>
      </w:pPr>
      <w:r w:rsidRPr="006A1EC7">
        <w:rPr>
          <w:rStyle w:val="Heading3Char"/>
          <w:rFonts w:ascii="Times New Roman" w:hAnsi="Times New Roman" w:cs="Times New Roman"/>
          <w:noProof/>
        </w:rPr>
        <w:lastRenderedPageBreak/>
        <mc:AlternateContent>
          <mc:Choice Requires="wps">
            <w:drawing>
              <wp:anchor distT="0" distB="0" distL="114300" distR="114300" simplePos="0" relativeHeight="251671552" behindDoc="0" locked="0" layoutInCell="1" allowOverlap="1" wp14:anchorId="26542A6A" wp14:editId="05EBDF7B">
                <wp:simplePos x="0" y="0"/>
                <wp:positionH relativeFrom="column">
                  <wp:posOffset>4226442</wp:posOffset>
                </wp:positionH>
                <wp:positionV relativeFrom="paragraph">
                  <wp:posOffset>3897630</wp:posOffset>
                </wp:positionV>
                <wp:extent cx="1714500" cy="1881963"/>
                <wp:effectExtent l="0" t="0" r="0" b="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881963"/>
                        </a:xfrm>
                        <a:prstGeom prst="rect">
                          <a:avLst/>
                        </a:prstGeom>
                        <a:solidFill>
                          <a:srgbClr val="FFFFFF"/>
                        </a:solidFill>
                        <a:ln w="9525">
                          <a:solidFill>
                            <a:srgbClr val="000000"/>
                          </a:solidFill>
                          <a:miter lim="800000"/>
                          <a:headEnd/>
                          <a:tailEnd/>
                        </a:ln>
                      </wps:spPr>
                      <wps:txbx>
                        <w:txbxContent>
                          <w:p w14:paraId="17862EB4" w14:textId="77777777" w:rsidR="00BE607C" w:rsidRDefault="00BE607C" w:rsidP="0087601C">
                            <w:pPr>
                              <w:jc w:val="center"/>
                              <w:rPr>
                                <w:rFonts w:ascii="Calibri" w:hAnsi="Calibri"/>
                                <w:sz w:val="22"/>
                                <w:szCs w:val="22"/>
                              </w:rPr>
                            </w:pPr>
                            <w:r>
                              <w:rPr>
                                <w:rFonts w:ascii="Calibri" w:hAnsi="Calibri"/>
                                <w:sz w:val="22"/>
                                <w:szCs w:val="22"/>
                              </w:rPr>
                              <w:t>Full-text articles excluded, with reasons</w:t>
                            </w:r>
                            <w:r>
                              <w:rPr>
                                <w:rFonts w:ascii="Calibri" w:hAnsi="Calibri"/>
                                <w:sz w:val="22"/>
                                <w:szCs w:val="22"/>
                              </w:rPr>
                              <w:br/>
                              <w:t>(n =  67 )</w:t>
                            </w:r>
                          </w:p>
                          <w:p w14:paraId="11BA78C0" w14:textId="77777777" w:rsidR="00BE607C" w:rsidRDefault="00BE607C" w:rsidP="0087601C">
                            <w:pPr>
                              <w:jc w:val="center"/>
                              <w:rPr>
                                <w:rFonts w:ascii="Calibri" w:hAnsi="Calibri"/>
                                <w:sz w:val="22"/>
                                <w:szCs w:val="22"/>
                              </w:rPr>
                            </w:pPr>
                            <w:r>
                              <w:rPr>
                                <w:rFonts w:ascii="Calibri" w:hAnsi="Calibri"/>
                                <w:sz w:val="22"/>
                                <w:szCs w:val="22"/>
                              </w:rPr>
                              <w:t>Use of ad-hoc measures (n = 55)</w:t>
                            </w:r>
                            <w:r>
                              <w:rPr>
                                <w:rFonts w:ascii="Calibri" w:hAnsi="Calibri"/>
                                <w:sz w:val="22"/>
                                <w:szCs w:val="22"/>
                              </w:rPr>
                              <w:br/>
                              <w:t>Not in English language (n = 4)</w:t>
                            </w:r>
                          </w:p>
                          <w:p w14:paraId="39B70A8F" w14:textId="77777777" w:rsidR="00BE607C" w:rsidRDefault="00BE607C" w:rsidP="0087601C">
                            <w:pPr>
                              <w:jc w:val="center"/>
                              <w:rPr>
                                <w:rFonts w:ascii="Calibri" w:hAnsi="Calibri"/>
                                <w:sz w:val="22"/>
                                <w:szCs w:val="22"/>
                                <w:lang w:val="en"/>
                              </w:rPr>
                            </w:pPr>
                            <w:r>
                              <w:rPr>
                                <w:rFonts w:ascii="Calibri" w:hAnsi="Calibri"/>
                                <w:sz w:val="22"/>
                                <w:szCs w:val="22"/>
                              </w:rPr>
                              <w:t>Use of measures not validated for WHS (n = 8)</w:t>
                            </w:r>
                            <w:r>
                              <w:rPr>
                                <w:rFonts w:ascii="Calibri" w:hAnsi="Calibri"/>
                                <w:sz w:val="22"/>
                                <w:szCs w:val="22"/>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42A6A" id="Rectangle 14" o:spid="_x0000_s1026" style="position:absolute;margin-left:332.8pt;margin-top:306.9pt;width:135pt;height:14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">
                <v:path arrowok="t"/>
                <v:textbox inset=",7.2pt,,7.2pt">
                  <w:txbxContent>
                    <w:p w14:paraId="17862EB4" w14:textId="77777777" w:rsidR="00BE607C" w:rsidRDefault="00BE607C" w:rsidP="0087601C">
                      <w:pPr>
                        <w:jc w:val="center"/>
                        <w:rPr>
                          <w:rFonts w:ascii="Calibri" w:hAnsi="Calibri"/>
                          <w:sz w:val="22"/>
                          <w:szCs w:val="22"/>
                        </w:rPr>
                      </w:pPr>
                      <w:r>
                        <w:rPr>
                          <w:rFonts w:ascii="Calibri" w:hAnsi="Calibri"/>
                          <w:sz w:val="22"/>
                          <w:szCs w:val="22"/>
                        </w:rPr>
                        <w:t>Full-text articles excluded, with reasons</w:t>
                      </w:r>
                      <w:r>
                        <w:rPr>
                          <w:rFonts w:ascii="Calibri" w:hAnsi="Calibri"/>
                          <w:sz w:val="22"/>
                          <w:szCs w:val="22"/>
                        </w:rPr>
                        <w:br/>
                        <w:t>(n =  67 )</w:t>
                      </w:r>
                    </w:p>
                    <w:p w14:paraId="11BA78C0" w14:textId="77777777" w:rsidR="00BE607C" w:rsidRDefault="00BE607C" w:rsidP="0087601C">
                      <w:pPr>
                        <w:jc w:val="center"/>
                        <w:rPr>
                          <w:rFonts w:ascii="Calibri" w:hAnsi="Calibri"/>
                          <w:sz w:val="22"/>
                          <w:szCs w:val="22"/>
                        </w:rPr>
                      </w:pPr>
                      <w:r>
                        <w:rPr>
                          <w:rFonts w:ascii="Calibri" w:hAnsi="Calibri"/>
                          <w:sz w:val="22"/>
                          <w:szCs w:val="22"/>
                        </w:rPr>
                        <w:t>Use of ad-hoc measures (n = 55)</w:t>
                      </w:r>
                      <w:r>
                        <w:rPr>
                          <w:rFonts w:ascii="Calibri" w:hAnsi="Calibri"/>
                          <w:sz w:val="22"/>
                          <w:szCs w:val="22"/>
                        </w:rPr>
                        <w:br/>
                        <w:t>Not in English language (n = 4)</w:t>
                      </w:r>
                    </w:p>
                    <w:p w14:paraId="39B70A8F" w14:textId="77777777" w:rsidR="00BE607C" w:rsidRDefault="00BE607C" w:rsidP="0087601C">
                      <w:pPr>
                        <w:jc w:val="center"/>
                        <w:rPr>
                          <w:rFonts w:ascii="Calibri" w:hAnsi="Calibri"/>
                          <w:sz w:val="22"/>
                          <w:szCs w:val="22"/>
                          <w:lang w:val="en"/>
                        </w:rPr>
                      </w:pPr>
                      <w:r>
                        <w:rPr>
                          <w:rFonts w:ascii="Calibri" w:hAnsi="Calibri"/>
                          <w:sz w:val="22"/>
                          <w:szCs w:val="22"/>
                        </w:rPr>
                        <w:t>Use of measures not validated for WHS (n = 8)</w:t>
                      </w:r>
                      <w:r>
                        <w:rPr>
                          <w:rFonts w:ascii="Calibri" w:hAnsi="Calibri"/>
                          <w:sz w:val="22"/>
                          <w:szCs w:val="22"/>
                        </w:rPr>
                        <w:br/>
                      </w:r>
                    </w:p>
                  </w:txbxContent>
                </v:textbox>
              </v:rect>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77696" behindDoc="0" locked="0" layoutInCell="1" allowOverlap="1" wp14:anchorId="44E92349" wp14:editId="3EFB8ACD">
                <wp:simplePos x="0" y="0"/>
                <wp:positionH relativeFrom="column">
                  <wp:posOffset>2743200</wp:posOffset>
                </wp:positionH>
                <wp:positionV relativeFrom="paragraph">
                  <wp:posOffset>5612130</wp:posOffset>
                </wp:positionV>
                <wp:extent cx="0" cy="342900"/>
                <wp:effectExtent l="63500" t="0" r="25400" b="2540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75CB39" id="_x0000_t32" coordsize="21600,21600" o:spt="32" o:oned="t" path="m,l21600,21600e" filled="f">
                <v:path arrowok="t" fillok="f" o:connecttype="none"/>
                <o:lock v:ext="edit" shapetype="t"/>
              </v:shapetype>
              <v:shape id="AutoShape 20" o:spid="_x0000_s1026" type="#_x0000_t32" style="position:absolute;margin-left:3in;margin-top:441.9pt;width:0;height:27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73600" behindDoc="0" locked="0" layoutInCell="1" allowOverlap="1" wp14:anchorId="5308A7CC" wp14:editId="0E1A2856">
                <wp:simplePos x="0" y="0"/>
                <wp:positionH relativeFrom="column">
                  <wp:posOffset>1885950</wp:posOffset>
                </wp:positionH>
                <wp:positionV relativeFrom="paragraph">
                  <wp:posOffset>5955030</wp:posOffset>
                </wp:positionV>
                <wp:extent cx="1714500" cy="91440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914400"/>
                        </a:xfrm>
                        <a:prstGeom prst="rect">
                          <a:avLst/>
                        </a:prstGeom>
                        <a:solidFill>
                          <a:srgbClr val="FFFFFF"/>
                        </a:solidFill>
                        <a:ln w="9525">
                          <a:solidFill>
                            <a:srgbClr val="000000"/>
                          </a:solidFill>
                          <a:miter lim="800000"/>
                          <a:headEnd/>
                          <a:tailEnd/>
                        </a:ln>
                      </wps:spPr>
                      <wps:txbx>
                        <w:txbxContent>
                          <w:p w14:paraId="74141524" w14:textId="77777777" w:rsidR="00BE607C" w:rsidRDefault="00BE607C" w:rsidP="0087601C">
                            <w:pPr>
                              <w:jc w:val="center"/>
                              <w:rPr>
                                <w:rFonts w:ascii="Calibri" w:hAnsi="Calibri"/>
                                <w:sz w:val="22"/>
                                <w:szCs w:val="22"/>
                                <w:lang w:val="en"/>
                              </w:rPr>
                            </w:pPr>
                            <w:r>
                              <w:rPr>
                                <w:rFonts w:ascii="Calibri" w:hAnsi="Calibri"/>
                                <w:sz w:val="22"/>
                                <w:szCs w:val="22"/>
                              </w:rPr>
                              <w:t>Studies included in quantitative synthesis (meta-analysis)</w:t>
                            </w:r>
                            <w:r>
                              <w:rPr>
                                <w:rFonts w:ascii="Calibri" w:hAnsi="Calibri"/>
                                <w:sz w:val="22"/>
                                <w:szCs w:val="22"/>
                              </w:rPr>
                              <w:br/>
                              <w:t>(n =   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8A7CC" id="Rectangle 16" o:spid="_x0000_s1027" style="position:absolute;margin-left:148.5pt;margin-top:468.9pt;width:13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">
                <v:path arrowok="t"/>
                <v:textbox inset=",7.2pt,,7.2pt">
                  <w:txbxContent>
                    <w:p w14:paraId="74141524" w14:textId="77777777" w:rsidR="00BE607C" w:rsidRDefault="00BE607C" w:rsidP="0087601C">
                      <w:pPr>
                        <w:jc w:val="center"/>
                        <w:rPr>
                          <w:rFonts w:ascii="Calibri" w:hAnsi="Calibri"/>
                          <w:sz w:val="22"/>
                          <w:szCs w:val="22"/>
                          <w:lang w:val="en"/>
                        </w:rPr>
                      </w:pPr>
                      <w:r>
                        <w:rPr>
                          <w:rFonts w:ascii="Calibri" w:hAnsi="Calibri"/>
                          <w:sz w:val="22"/>
                          <w:szCs w:val="22"/>
                        </w:rPr>
                        <w:t>Studies included in quantitative synthesis (meta-analysis)</w:t>
                      </w:r>
                      <w:r>
                        <w:rPr>
                          <w:rFonts w:ascii="Calibri" w:hAnsi="Calibri"/>
                          <w:sz w:val="22"/>
                          <w:szCs w:val="22"/>
                        </w:rPr>
                        <w:br/>
                        <w:t>(n =   0)</w:t>
                      </w:r>
                    </w:p>
                  </w:txbxContent>
                </v:textbox>
              </v: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72576" behindDoc="0" locked="0" layoutInCell="1" allowOverlap="1" wp14:anchorId="1C8A1BF3" wp14:editId="795EEF4C">
                <wp:simplePos x="0" y="0"/>
                <wp:positionH relativeFrom="column">
                  <wp:posOffset>1885950</wp:posOffset>
                </wp:positionH>
                <wp:positionV relativeFrom="paragraph">
                  <wp:posOffset>4926330</wp:posOffset>
                </wp:positionV>
                <wp:extent cx="1714500" cy="6858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4D0CD549" w14:textId="77777777" w:rsidR="00BE607C" w:rsidRDefault="00BE607C" w:rsidP="0087601C">
                            <w:pPr>
                              <w:jc w:val="center"/>
                              <w:rPr>
                                <w:rFonts w:ascii="Calibri" w:hAnsi="Calibri"/>
                                <w:sz w:val="22"/>
                                <w:szCs w:val="22"/>
                                <w:lang w:val="en"/>
                              </w:rPr>
                            </w:pPr>
                            <w:r>
                              <w:rPr>
                                <w:rFonts w:ascii="Calibri" w:hAnsi="Calibri"/>
                                <w:sz w:val="22"/>
                                <w:szCs w:val="22"/>
                              </w:rPr>
                              <w:t>Studies included in qualitative synthesis</w:t>
                            </w:r>
                            <w:r>
                              <w:rPr>
                                <w:rFonts w:ascii="Calibri" w:hAnsi="Calibri"/>
                                <w:sz w:val="22"/>
                                <w:szCs w:val="22"/>
                              </w:rPr>
                              <w:br/>
                              <w:t>(n =   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A1BF3" id="Rectangle 15" o:spid="_x0000_s1028" style="position:absolute;margin-left:148.5pt;margin-top:387.9pt;width:13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">
                <v:path arrowok="t"/>
                <v:textbox inset=",7.2pt,,7.2pt">
                  <w:txbxContent>
                    <w:p w14:paraId="4D0CD549" w14:textId="77777777" w:rsidR="00BE607C" w:rsidRDefault="00BE607C" w:rsidP="0087601C">
                      <w:pPr>
                        <w:jc w:val="center"/>
                        <w:rPr>
                          <w:rFonts w:ascii="Calibri" w:hAnsi="Calibri"/>
                          <w:sz w:val="22"/>
                          <w:szCs w:val="22"/>
                          <w:lang w:val="en"/>
                        </w:rPr>
                      </w:pPr>
                      <w:r>
                        <w:rPr>
                          <w:rFonts w:ascii="Calibri" w:hAnsi="Calibri"/>
                          <w:sz w:val="22"/>
                          <w:szCs w:val="22"/>
                        </w:rPr>
                        <w:t>Studies included in qualitative synthesis</w:t>
                      </w:r>
                      <w:r>
                        <w:rPr>
                          <w:rFonts w:ascii="Calibri" w:hAnsi="Calibri"/>
                          <w:sz w:val="22"/>
                          <w:szCs w:val="22"/>
                        </w:rPr>
                        <w:br/>
                        <w:t>(n =   0 )</w:t>
                      </w:r>
                    </w:p>
                  </w:txbxContent>
                </v:textbox>
              </v:rect>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79744" behindDoc="0" locked="0" layoutInCell="1" allowOverlap="1" wp14:anchorId="4A0F3563" wp14:editId="447FFDB1">
                <wp:simplePos x="0" y="0"/>
                <wp:positionH relativeFrom="column">
                  <wp:posOffset>3600450</wp:posOffset>
                </wp:positionH>
                <wp:positionV relativeFrom="paragraph">
                  <wp:posOffset>4240530</wp:posOffset>
                </wp:positionV>
                <wp:extent cx="628650" cy="0"/>
                <wp:effectExtent l="0" t="63500" r="0" b="63500"/>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D076DE" id="AutoShape 22" o:spid="_x0000_s1026" type="#_x0000_t32" style="position:absolute;margin-left:283.5pt;margin-top:333.9pt;width:49.5pt;height:0;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76672" behindDoc="0" locked="0" layoutInCell="1" allowOverlap="1" wp14:anchorId="7D344A43" wp14:editId="5A11D9CF">
                <wp:simplePos x="0" y="0"/>
                <wp:positionH relativeFrom="column">
                  <wp:posOffset>2743200</wp:posOffset>
                </wp:positionH>
                <wp:positionV relativeFrom="paragraph">
                  <wp:posOffset>4583430</wp:posOffset>
                </wp:positionV>
                <wp:extent cx="0" cy="342900"/>
                <wp:effectExtent l="63500" t="0" r="25400" b="25400"/>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8AAA0F" id="AutoShape 19" o:spid="_x0000_s1026" type="#_x0000_t32" style="position:absolute;margin-left:3in;margin-top:360.9pt;width:0;height:27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70528" behindDoc="0" locked="0" layoutInCell="1" allowOverlap="1" wp14:anchorId="79DDC292" wp14:editId="4B7E5C37">
                <wp:simplePos x="0" y="0"/>
                <wp:positionH relativeFrom="column">
                  <wp:posOffset>1885950</wp:posOffset>
                </wp:positionH>
                <wp:positionV relativeFrom="paragraph">
                  <wp:posOffset>3897630</wp:posOffset>
                </wp:positionV>
                <wp:extent cx="1714500" cy="685800"/>
                <wp:effectExtent l="0" t="0" r="0" b="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5BE4730D" w14:textId="77777777" w:rsidR="00BE607C" w:rsidRDefault="00BE607C" w:rsidP="0087601C">
                            <w:pPr>
                              <w:jc w:val="center"/>
                              <w:rPr>
                                <w:rFonts w:ascii="Calibri" w:hAnsi="Calibri"/>
                                <w:sz w:val="22"/>
                                <w:szCs w:val="22"/>
                                <w:lang w:val="en"/>
                              </w:rPr>
                            </w:pPr>
                            <w:r>
                              <w:rPr>
                                <w:rFonts w:ascii="Calibri" w:hAnsi="Calibri"/>
                                <w:sz w:val="22"/>
                                <w:szCs w:val="22"/>
                              </w:rPr>
                              <w:t>Full-text articles assessed for eligibility</w:t>
                            </w:r>
                            <w:r>
                              <w:rPr>
                                <w:rFonts w:ascii="Calibri" w:hAnsi="Calibri"/>
                                <w:sz w:val="22"/>
                                <w:szCs w:val="22"/>
                              </w:rPr>
                              <w:br/>
                              <w:t>(n =  67 )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DC292" id="Rectangle 13" o:spid="_x0000_s1029" style="position:absolute;margin-left:148.5pt;margin-top:306.9pt;width:13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">
                <v:path arrowok="t"/>
                <v:textbox inset=",7.2pt,,7.2pt">
                  <w:txbxContent>
                    <w:p w14:paraId="5BE4730D" w14:textId="77777777" w:rsidR="00BE607C" w:rsidRDefault="00BE607C" w:rsidP="0087601C">
                      <w:pPr>
                        <w:jc w:val="center"/>
                        <w:rPr>
                          <w:rFonts w:ascii="Calibri" w:hAnsi="Calibri"/>
                          <w:sz w:val="22"/>
                          <w:szCs w:val="22"/>
                          <w:lang w:val="en"/>
                        </w:rPr>
                      </w:pPr>
                      <w:r>
                        <w:rPr>
                          <w:rFonts w:ascii="Calibri" w:hAnsi="Calibri"/>
                          <w:sz w:val="22"/>
                          <w:szCs w:val="22"/>
                        </w:rPr>
                        <w:t>Full-text articles assessed for eligibility</w:t>
                      </w:r>
                      <w:r>
                        <w:rPr>
                          <w:rFonts w:ascii="Calibri" w:hAnsi="Calibri"/>
                          <w:sz w:val="22"/>
                          <w:szCs w:val="22"/>
                        </w:rPr>
                        <w:br/>
                        <w:t>(n =  67 )</w:t>
                      </w:r>
                    </w:p>
                  </w:txbxContent>
                </v:textbox>
              </v:rect>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78720" behindDoc="0" locked="0" layoutInCell="1" allowOverlap="1" wp14:anchorId="49A48984" wp14:editId="483C5722">
                <wp:simplePos x="0" y="0"/>
                <wp:positionH relativeFrom="column">
                  <wp:posOffset>3578225</wp:posOffset>
                </wp:positionH>
                <wp:positionV relativeFrom="paragraph">
                  <wp:posOffset>3268980</wp:posOffset>
                </wp:positionV>
                <wp:extent cx="650875" cy="0"/>
                <wp:effectExtent l="0" t="63500" r="0" b="63500"/>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3FD1E1" id="AutoShape 21" o:spid="_x0000_s1026" type="#_x0000_t32" style="position:absolute;margin-left:281.75pt;margin-top:257.4pt;width:51.25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69504" behindDoc="0" locked="0" layoutInCell="1" allowOverlap="1" wp14:anchorId="4DE78672" wp14:editId="461DAE1D">
                <wp:simplePos x="0" y="0"/>
                <wp:positionH relativeFrom="column">
                  <wp:posOffset>4229100</wp:posOffset>
                </wp:positionH>
                <wp:positionV relativeFrom="paragraph">
                  <wp:posOffset>2983230</wp:posOffset>
                </wp:positionV>
                <wp:extent cx="1714500" cy="571500"/>
                <wp:effectExtent l="0" t="0" r="0" b="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42348BA6" w14:textId="77777777" w:rsidR="00BE607C" w:rsidRDefault="00BE607C" w:rsidP="0087601C">
                            <w:pPr>
                              <w:jc w:val="center"/>
                              <w:rPr>
                                <w:rFonts w:ascii="Calibri" w:hAnsi="Calibri"/>
                                <w:sz w:val="22"/>
                                <w:szCs w:val="22"/>
                                <w:lang w:val="en"/>
                              </w:rPr>
                            </w:pPr>
                            <w:r>
                              <w:rPr>
                                <w:rFonts w:ascii="Calibri" w:hAnsi="Calibri"/>
                                <w:sz w:val="22"/>
                                <w:szCs w:val="22"/>
                              </w:rPr>
                              <w:t>Records excluded</w:t>
                            </w:r>
                            <w:r>
                              <w:rPr>
                                <w:rFonts w:ascii="Calibri" w:hAnsi="Calibri"/>
                                <w:sz w:val="22"/>
                                <w:szCs w:val="22"/>
                              </w:rPr>
                              <w:br/>
                              <w:t>(n =  279)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78672" id="Rectangle 12" o:spid="_x0000_s1030" style="position:absolute;margin-left:333pt;margin-top:234.9pt;width:13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">
                <v:path arrowok="t"/>
                <v:textbox inset=",7.2pt,,7.2pt">
                  <w:txbxContent>
                    <w:p w14:paraId="42348BA6" w14:textId="77777777" w:rsidR="00BE607C" w:rsidRDefault="00BE607C" w:rsidP="0087601C">
                      <w:pPr>
                        <w:jc w:val="center"/>
                        <w:rPr>
                          <w:rFonts w:ascii="Calibri" w:hAnsi="Calibri"/>
                          <w:sz w:val="22"/>
                          <w:szCs w:val="22"/>
                          <w:lang w:val="en"/>
                        </w:rPr>
                      </w:pPr>
                      <w:r>
                        <w:rPr>
                          <w:rFonts w:ascii="Calibri" w:hAnsi="Calibri"/>
                          <w:sz w:val="22"/>
                          <w:szCs w:val="22"/>
                        </w:rPr>
                        <w:t>Records excluded</w:t>
                      </w:r>
                      <w:r>
                        <w:rPr>
                          <w:rFonts w:ascii="Calibri" w:hAnsi="Calibri"/>
                          <w:sz w:val="22"/>
                          <w:szCs w:val="22"/>
                        </w:rPr>
                        <w:br/>
                        <w:t>(n =  279)</w:t>
                      </w:r>
                    </w:p>
                  </w:txbxContent>
                </v:textbox>
              </v: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68480" behindDoc="0" locked="0" layoutInCell="1" allowOverlap="1" wp14:anchorId="7BAD5B2F" wp14:editId="4490134F">
                <wp:simplePos x="0" y="0"/>
                <wp:positionH relativeFrom="column">
                  <wp:posOffset>1908175</wp:posOffset>
                </wp:positionH>
                <wp:positionV relativeFrom="paragraph">
                  <wp:posOffset>2983230</wp:posOffset>
                </wp:positionV>
                <wp:extent cx="1670050" cy="571500"/>
                <wp:effectExtent l="0" t="0" r="6350" b="0"/>
                <wp:wrapNone/>
                <wp:docPr id="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0D8DA33F" w14:textId="77777777" w:rsidR="00BE607C" w:rsidRDefault="00BE607C" w:rsidP="0087601C">
                            <w:pPr>
                              <w:jc w:val="center"/>
                              <w:rPr>
                                <w:rFonts w:ascii="Calibri" w:hAnsi="Calibri"/>
                                <w:sz w:val="22"/>
                                <w:szCs w:val="22"/>
                                <w:lang w:val="en"/>
                              </w:rPr>
                            </w:pPr>
                            <w:r>
                              <w:rPr>
                                <w:rFonts w:ascii="Calibri" w:hAnsi="Calibri"/>
                                <w:sz w:val="22"/>
                                <w:szCs w:val="22"/>
                              </w:rPr>
                              <w:t>Records screened</w:t>
                            </w:r>
                            <w:r>
                              <w:rPr>
                                <w:rFonts w:ascii="Calibri" w:hAnsi="Calibri"/>
                                <w:sz w:val="22"/>
                                <w:szCs w:val="22"/>
                              </w:rPr>
                              <w:br/>
                              <w:t>(n =  346 )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D5B2F" id="Rectangle 11" o:spid="_x0000_s1031" style="position:absolute;margin-left:150.25pt;margin-top:234.9pt;width:131.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">
                <v:path arrowok="t"/>
                <v:textbox inset=",7.2pt,,7.2pt">
                  <w:txbxContent>
                    <w:p w14:paraId="0D8DA33F" w14:textId="77777777" w:rsidR="00BE607C" w:rsidRDefault="00BE607C" w:rsidP="0087601C">
                      <w:pPr>
                        <w:jc w:val="center"/>
                        <w:rPr>
                          <w:rFonts w:ascii="Calibri" w:hAnsi="Calibri"/>
                          <w:sz w:val="22"/>
                          <w:szCs w:val="22"/>
                          <w:lang w:val="en"/>
                        </w:rPr>
                      </w:pPr>
                      <w:r>
                        <w:rPr>
                          <w:rFonts w:ascii="Calibri" w:hAnsi="Calibri"/>
                          <w:sz w:val="22"/>
                          <w:szCs w:val="22"/>
                        </w:rPr>
                        <w:t>Records screened</w:t>
                      </w:r>
                      <w:r>
                        <w:rPr>
                          <w:rFonts w:ascii="Calibri" w:hAnsi="Calibri"/>
                          <w:sz w:val="22"/>
                          <w:szCs w:val="22"/>
                        </w:rPr>
                        <w:br/>
                        <w:t>(n =  346 )</w:t>
                      </w:r>
                    </w:p>
                  </w:txbxContent>
                </v:textbox>
              </v:rect>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75648" behindDoc="0" locked="0" layoutInCell="1" allowOverlap="1" wp14:anchorId="664193A4" wp14:editId="7CC9E187">
                <wp:simplePos x="0" y="0"/>
                <wp:positionH relativeFrom="column">
                  <wp:posOffset>2743200</wp:posOffset>
                </wp:positionH>
                <wp:positionV relativeFrom="paragraph">
                  <wp:posOffset>3554730</wp:posOffset>
                </wp:positionV>
                <wp:extent cx="0" cy="342900"/>
                <wp:effectExtent l="63500" t="0" r="25400" b="2540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C46B80" id="AutoShape 18" o:spid="_x0000_s1026" type="#_x0000_t32" style="position:absolute;margin-left:3in;margin-top:279.9pt;width:0;height:27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74624" behindDoc="0" locked="0" layoutInCell="1" allowOverlap="1" wp14:anchorId="67DDE7E9" wp14:editId="4716B6D4">
                <wp:simplePos x="0" y="0"/>
                <wp:positionH relativeFrom="column">
                  <wp:posOffset>2743200</wp:posOffset>
                </wp:positionH>
                <wp:positionV relativeFrom="paragraph">
                  <wp:posOffset>2526030</wp:posOffset>
                </wp:positionV>
                <wp:extent cx="0" cy="457200"/>
                <wp:effectExtent l="63500" t="0" r="50800" b="25400"/>
                <wp:wrapNone/>
                <wp:docPr id="7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A380A1" id="AutoShape 17" o:spid="_x0000_s1026" type="#_x0000_t32" style="position:absolute;margin-left:3in;margin-top:198.9pt;width:0;height:3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65408" behindDoc="0" locked="0" layoutInCell="1" allowOverlap="1" wp14:anchorId="4D70AD0B" wp14:editId="76AB6A84">
                <wp:simplePos x="0" y="0"/>
                <wp:positionH relativeFrom="column">
                  <wp:posOffset>1600200</wp:posOffset>
                </wp:positionH>
                <wp:positionV relativeFrom="paragraph">
                  <wp:posOffset>1497330</wp:posOffset>
                </wp:positionV>
                <wp:extent cx="0" cy="457200"/>
                <wp:effectExtent l="63500" t="0" r="50800" b="25400"/>
                <wp:wrapNone/>
                <wp:docPr id="7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E7A703" id="AutoShape 6" o:spid="_x0000_s1026" type="#_x0000_t32" style="position:absolute;margin-left:126pt;margin-top:117.9pt;width:0;height:3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67456" behindDoc="0" locked="0" layoutInCell="1" allowOverlap="1" wp14:anchorId="29223CE5" wp14:editId="2186E93F">
                <wp:simplePos x="0" y="0"/>
                <wp:positionH relativeFrom="column">
                  <wp:posOffset>1356995</wp:posOffset>
                </wp:positionH>
                <wp:positionV relativeFrom="paragraph">
                  <wp:posOffset>1954530</wp:posOffset>
                </wp:positionV>
                <wp:extent cx="2771775" cy="571500"/>
                <wp:effectExtent l="0" t="0" r="0" b="0"/>
                <wp:wrapNone/>
                <wp:docPr id="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0BF32884" w14:textId="77777777" w:rsidR="00BE607C" w:rsidRDefault="00BE607C" w:rsidP="0087601C">
                            <w:pPr>
                              <w:jc w:val="center"/>
                              <w:rPr>
                                <w:rFonts w:ascii="Calibri" w:hAnsi="Calibri"/>
                                <w:sz w:val="22"/>
                                <w:szCs w:val="22"/>
                                <w:lang w:val="en"/>
                              </w:rPr>
                            </w:pPr>
                            <w:r>
                              <w:rPr>
                                <w:rFonts w:ascii="Calibri" w:hAnsi="Calibri"/>
                                <w:sz w:val="22"/>
                                <w:szCs w:val="22"/>
                              </w:rPr>
                              <w:t>Records after duplicates removed</w:t>
                            </w:r>
                            <w:r>
                              <w:rPr>
                                <w:rFonts w:ascii="Calibri" w:hAnsi="Calibri"/>
                                <w:sz w:val="22"/>
                                <w:szCs w:val="22"/>
                              </w:rPr>
                              <w:br/>
                              <w:t>(n =  346 )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23CE5" id="Rectangle 10" o:spid="_x0000_s1032" style="position:absolute;margin-left:106.85pt;margin-top:153.9pt;width:218.2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">
                <v:path arrowok="t"/>
                <v:textbox inset=",7.2pt,,7.2pt">
                  <w:txbxContent>
                    <w:p w14:paraId="0BF32884" w14:textId="77777777" w:rsidR="00BE607C" w:rsidRDefault="00BE607C" w:rsidP="0087601C">
                      <w:pPr>
                        <w:jc w:val="center"/>
                        <w:rPr>
                          <w:rFonts w:ascii="Calibri" w:hAnsi="Calibri"/>
                          <w:sz w:val="22"/>
                          <w:szCs w:val="22"/>
                          <w:lang w:val="en"/>
                        </w:rPr>
                      </w:pPr>
                      <w:r>
                        <w:rPr>
                          <w:rFonts w:ascii="Calibri" w:hAnsi="Calibri"/>
                          <w:sz w:val="22"/>
                          <w:szCs w:val="22"/>
                        </w:rPr>
                        <w:t>Records after duplicates removed</w:t>
                      </w:r>
                      <w:r>
                        <w:rPr>
                          <w:rFonts w:ascii="Calibri" w:hAnsi="Calibri"/>
                          <w:sz w:val="22"/>
                          <w:szCs w:val="22"/>
                        </w:rPr>
                        <w:br/>
                        <w:t>(n =  346 )</w:t>
                      </w:r>
                    </w:p>
                  </w:txbxContent>
                </v:textbox>
              </v: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66432" behindDoc="0" locked="0" layoutInCell="1" allowOverlap="1" wp14:anchorId="4FAED760" wp14:editId="01894E47">
                <wp:simplePos x="0" y="0"/>
                <wp:positionH relativeFrom="column">
                  <wp:posOffset>-994410</wp:posOffset>
                </wp:positionH>
                <wp:positionV relativeFrom="paragraph">
                  <wp:posOffset>1120140</wp:posOffset>
                </wp:positionV>
                <wp:extent cx="1371600" cy="297180"/>
                <wp:effectExtent l="3810" t="0" r="3810" b="3810"/>
                <wp:wrapNone/>
                <wp:docPr id="8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067066B5" w14:textId="77777777" w:rsidR="00BE607C" w:rsidRDefault="00BE607C" w:rsidP="0087601C">
                            <w:pPr>
                              <w:rPr>
                                <w:lang w:val="en"/>
                              </w:rPr>
                            </w:pPr>
                            <w:r>
                              <w:rPr>
                                <w:lang w:val="en"/>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ED760" id="AutoShape 8" o:spid="_x0000_s1033" style="position:absolute;margin-left:-78.3pt;margin-top:88.2pt;width:108pt;height:23.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" fillcolor="#ccecff">
                <v:path arrowok="t"/>
                <v:textbox style="layout-flow:vertical;mso-layout-flow-alt:bottom-to-top" inset="3.6pt,,3.6pt">
                  <w:txbxContent>
                    <w:p w14:paraId="067066B5" w14:textId="77777777" w:rsidR="00BE607C" w:rsidRDefault="00BE607C" w:rsidP="0087601C">
                      <w:pPr>
                        <w:rPr>
                          <w:lang w:val="en"/>
                        </w:rPr>
                      </w:pPr>
                      <w:r>
                        <w:rPr>
                          <w:lang w:val="en"/>
                        </w:rPr>
                        <w:t>Identification</w:t>
                      </w:r>
                    </w:p>
                  </w:txbxContent>
                </v:textbox>
              </v:round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64384" behindDoc="0" locked="0" layoutInCell="1" allowOverlap="1" wp14:anchorId="0B8CA973" wp14:editId="2E4D6856">
                <wp:simplePos x="0" y="0"/>
                <wp:positionH relativeFrom="column">
                  <wp:posOffset>-994410</wp:posOffset>
                </wp:positionH>
                <wp:positionV relativeFrom="paragraph">
                  <wp:posOffset>4320540</wp:posOffset>
                </wp:positionV>
                <wp:extent cx="1371600" cy="297180"/>
                <wp:effectExtent l="3810" t="0" r="3810" b="3810"/>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03BE3982" w14:textId="77777777" w:rsidR="00BE607C" w:rsidRDefault="00BE607C" w:rsidP="0087601C">
                            <w:pPr>
                              <w:rPr>
                                <w:lang w:val="en"/>
                              </w:rPr>
                            </w:pPr>
                            <w:r>
                              <w:rPr>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8CA973" id="AutoShape 5" o:spid="_x0000_s1034" style="position:absolute;margin-left:-78.3pt;margin-top:340.2pt;width:108pt;height:23.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" fillcolor="#ccecff">
                <v:path arrowok="t"/>
                <v:textbox style="layout-flow:vertical;mso-layout-flow-alt:bottom-to-top" inset="3.6pt,,3.6pt">
                  <w:txbxContent>
                    <w:p w14:paraId="03BE3982" w14:textId="77777777" w:rsidR="00BE607C" w:rsidRDefault="00BE607C" w:rsidP="0087601C">
                      <w:pPr>
                        <w:rPr>
                          <w:lang w:val="en"/>
                        </w:rPr>
                      </w:pPr>
                      <w:r>
                        <w:rPr>
                          <w:lang w:val="en"/>
                        </w:rPr>
                        <w:t>Eligibility</w:t>
                      </w:r>
                    </w:p>
                  </w:txbxContent>
                </v:textbox>
              </v:round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63360" behindDoc="0" locked="0" layoutInCell="1" allowOverlap="1" wp14:anchorId="6AA87C20" wp14:editId="5CAEC7C1">
                <wp:simplePos x="0" y="0"/>
                <wp:positionH relativeFrom="column">
                  <wp:posOffset>-994410</wp:posOffset>
                </wp:positionH>
                <wp:positionV relativeFrom="paragraph">
                  <wp:posOffset>5920740</wp:posOffset>
                </wp:positionV>
                <wp:extent cx="1371600" cy="297180"/>
                <wp:effectExtent l="3810" t="0" r="3810" b="3810"/>
                <wp:wrapNone/>
                <wp:docPr id="8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24B1BB57" w14:textId="77777777" w:rsidR="00BE607C" w:rsidRDefault="00BE607C" w:rsidP="0087601C">
                            <w:pPr>
                              <w:rPr>
                                <w:lang w:val="en"/>
                              </w:rPr>
                            </w:pPr>
                            <w:r>
                              <w:rPr>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87C20" id="AutoShape 4" o:spid="_x0000_s1035" style="position:absolute;margin-left:-78.3pt;margin-top:466.2pt;width:108pt;height:23.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" fillcolor="#ccecff">
                <v:path arrowok="t"/>
                <v:textbox style="layout-flow:vertical;mso-layout-flow-alt:bottom-to-top" inset="3.6pt,,3.6pt">
                  <w:txbxContent>
                    <w:p w14:paraId="24B1BB57" w14:textId="77777777" w:rsidR="00BE607C" w:rsidRDefault="00BE607C" w:rsidP="0087601C">
                      <w:pPr>
                        <w:rPr>
                          <w:lang w:val="en"/>
                        </w:rPr>
                      </w:pPr>
                      <w:r>
                        <w:rPr>
                          <w:lang w:val="en"/>
                        </w:rPr>
                        <w:t>Included</w:t>
                      </w:r>
                    </w:p>
                  </w:txbxContent>
                </v:textbox>
              </v:round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62336" behindDoc="0" locked="0" layoutInCell="1" allowOverlap="1" wp14:anchorId="38321D77" wp14:editId="75A13CB6">
                <wp:simplePos x="0" y="0"/>
                <wp:positionH relativeFrom="column">
                  <wp:posOffset>-994410</wp:posOffset>
                </wp:positionH>
                <wp:positionV relativeFrom="paragraph">
                  <wp:posOffset>2720340</wp:posOffset>
                </wp:positionV>
                <wp:extent cx="1371600" cy="297180"/>
                <wp:effectExtent l="3810" t="0" r="3810" b="3810"/>
                <wp:wrapNone/>
                <wp:docPr id="8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536298A9" w14:textId="77777777" w:rsidR="00BE607C" w:rsidRDefault="00BE607C" w:rsidP="0087601C">
                            <w:pPr>
                              <w:rPr>
                                <w:lang w:val="en"/>
                              </w:rPr>
                            </w:pPr>
                            <w:r>
                              <w:rPr>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321D77" id="AutoShape 3" o:spid="_x0000_s1036" style="position:absolute;margin-left:-78.3pt;margin-top:214.2pt;width:108pt;height:23.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" fillcolor="#ccecff">
                <v:path arrowok="t"/>
                <v:textbox style="layout-flow:vertical;mso-layout-flow-alt:bottom-to-top" inset="3.6pt,,3.6pt">
                  <w:txbxContent>
                    <w:p w14:paraId="536298A9" w14:textId="77777777" w:rsidR="00BE607C" w:rsidRDefault="00BE607C" w:rsidP="0087601C">
                      <w:pPr>
                        <w:rPr>
                          <w:lang w:val="en"/>
                        </w:rPr>
                      </w:pPr>
                      <w:r>
                        <w:rPr>
                          <w:lang w:val="en"/>
                        </w:rPr>
                        <w:t>Screening</w:t>
                      </w:r>
                    </w:p>
                  </w:txbxContent>
                </v:textbox>
              </v:round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61312" behindDoc="0" locked="0" layoutInCell="1" allowOverlap="1" wp14:anchorId="45A31431" wp14:editId="1C4A823B">
                <wp:simplePos x="0" y="0"/>
                <wp:positionH relativeFrom="column">
                  <wp:posOffset>342900</wp:posOffset>
                </wp:positionH>
                <wp:positionV relativeFrom="paragraph">
                  <wp:posOffset>811530</wp:posOffset>
                </wp:positionV>
                <wp:extent cx="2228850" cy="682625"/>
                <wp:effectExtent l="0" t="0" r="6350" b="3175"/>
                <wp:wrapNone/>
                <wp:docPr id="8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0" cy="682625"/>
                        </a:xfrm>
                        <a:prstGeom prst="rect">
                          <a:avLst/>
                        </a:prstGeom>
                        <a:solidFill>
                          <a:srgbClr val="FFFFFF"/>
                        </a:solidFill>
                        <a:ln w="9525">
                          <a:solidFill>
                            <a:srgbClr val="000000"/>
                          </a:solidFill>
                          <a:miter lim="800000"/>
                          <a:headEnd/>
                          <a:tailEnd/>
                        </a:ln>
                      </wps:spPr>
                      <wps:txbx>
                        <w:txbxContent>
                          <w:p w14:paraId="4C7489C8" w14:textId="77777777" w:rsidR="00BE607C" w:rsidRDefault="00BE607C" w:rsidP="0087601C">
                            <w:pPr>
                              <w:jc w:val="center"/>
                              <w:rPr>
                                <w:rFonts w:ascii="Calibri" w:hAnsi="Calibri"/>
                                <w:sz w:val="22"/>
                                <w:szCs w:val="22"/>
                                <w:lang w:val="en"/>
                              </w:rPr>
                            </w:pPr>
                            <w:r>
                              <w:rPr>
                                <w:rFonts w:ascii="Calibri" w:hAnsi="Calibri"/>
                                <w:sz w:val="22"/>
                                <w:szCs w:val="22"/>
                              </w:rPr>
                              <w:t>Records identified through database searching</w:t>
                            </w:r>
                            <w:r>
                              <w:rPr>
                                <w:rFonts w:ascii="Calibri" w:hAnsi="Calibri"/>
                                <w:sz w:val="22"/>
                                <w:szCs w:val="22"/>
                              </w:rPr>
                              <w:br/>
                              <w:t>(n =   697)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31431" id="Rectangle 2" o:spid="_x0000_s1037" style="position:absolute;margin-left:27pt;margin-top:63.9pt;width:175.5pt;height: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">
                <v:path arrowok="t"/>
                <v:textbox inset=",7.2pt,,7.2pt">
                  <w:txbxContent>
                    <w:p w14:paraId="4C7489C8" w14:textId="77777777" w:rsidR="00BE607C" w:rsidRDefault="00BE607C" w:rsidP="0087601C">
                      <w:pPr>
                        <w:jc w:val="center"/>
                        <w:rPr>
                          <w:rFonts w:ascii="Calibri" w:hAnsi="Calibri"/>
                          <w:sz w:val="22"/>
                          <w:szCs w:val="22"/>
                          <w:lang w:val="en"/>
                        </w:rPr>
                      </w:pPr>
                      <w:r>
                        <w:rPr>
                          <w:rFonts w:ascii="Calibri" w:hAnsi="Calibri"/>
                          <w:sz w:val="22"/>
                          <w:szCs w:val="22"/>
                        </w:rPr>
                        <w:t>Records identified through database searching</w:t>
                      </w:r>
                      <w:r>
                        <w:rPr>
                          <w:rFonts w:ascii="Calibri" w:hAnsi="Calibri"/>
                          <w:sz w:val="22"/>
                          <w:szCs w:val="22"/>
                        </w:rPr>
                        <w:br/>
                        <w:t>(n =   697)</w:t>
                      </w:r>
                    </w:p>
                  </w:txbxContent>
                </v:textbox>
              </v:rect>
            </w:pict>
          </mc:Fallback>
        </mc:AlternateContent>
      </w:r>
      <w:bookmarkStart w:id="275" w:name="_Toc17977971"/>
      <w:bookmarkStart w:id="276" w:name="_Toc38821469"/>
      <w:r w:rsidRPr="006A1EC7">
        <w:rPr>
          <w:rStyle w:val="Heading3Char"/>
          <w:rFonts w:ascii="Times New Roman" w:hAnsi="Times New Roman" w:cs="Times New Roman"/>
        </w:rPr>
        <w:t>Appendix 3.2: Prisma Diagram 1: Investigating Clinical Outcome Assessments for Wolf-Hirschhorn syndrome</w:t>
      </w:r>
      <w:bookmarkEnd w:id="275"/>
      <w:bookmarkEnd w:id="276"/>
    </w:p>
    <w:p w14:paraId="05556B18" w14:textId="77777777" w:rsidR="0087601C" w:rsidRPr="006A1EC7" w:rsidRDefault="0087601C" w:rsidP="0087601C"/>
    <w:p w14:paraId="38FA2C34" w14:textId="77777777" w:rsidR="0087601C" w:rsidRPr="006A1EC7" w:rsidRDefault="0087601C" w:rsidP="0087601C">
      <w:pPr>
        <w:rPr>
          <w:color w:val="000000" w:themeColor="text1"/>
        </w:rPr>
      </w:pPr>
    </w:p>
    <w:p w14:paraId="707E8F18" w14:textId="77777777" w:rsidR="0087601C" w:rsidRPr="006A1EC7" w:rsidRDefault="0087601C" w:rsidP="0087601C"/>
    <w:p w14:paraId="4244900B" w14:textId="77777777" w:rsidR="0087601C" w:rsidRPr="006A1EC7" w:rsidRDefault="0087601C" w:rsidP="0087601C"/>
    <w:p w14:paraId="5B56C771" w14:textId="77777777" w:rsidR="0087601C" w:rsidRPr="006A1EC7" w:rsidRDefault="0087601C" w:rsidP="0087601C"/>
    <w:p w14:paraId="2B2E24E6" w14:textId="77777777" w:rsidR="0087601C" w:rsidRPr="006A1EC7" w:rsidRDefault="0087601C" w:rsidP="0087601C"/>
    <w:p w14:paraId="244A6625" w14:textId="77777777" w:rsidR="0087601C" w:rsidRPr="006A1EC7" w:rsidRDefault="0087601C" w:rsidP="0087601C"/>
    <w:p w14:paraId="553D6412" w14:textId="77777777" w:rsidR="0087601C" w:rsidRPr="006A1EC7" w:rsidRDefault="0087601C" w:rsidP="0087601C"/>
    <w:p w14:paraId="2F34DD15" w14:textId="77777777" w:rsidR="0087601C" w:rsidRPr="006A1EC7" w:rsidRDefault="0087601C" w:rsidP="0087601C"/>
    <w:p w14:paraId="1A12409A" w14:textId="77777777" w:rsidR="0087601C" w:rsidRPr="006A1EC7" w:rsidRDefault="0087601C" w:rsidP="0087601C"/>
    <w:p w14:paraId="494522D8" w14:textId="77777777" w:rsidR="0087601C" w:rsidRPr="006A1EC7" w:rsidRDefault="0087601C" w:rsidP="0087601C"/>
    <w:p w14:paraId="7C569C92" w14:textId="77777777" w:rsidR="0087601C" w:rsidRPr="006A1EC7" w:rsidRDefault="0087601C" w:rsidP="0087601C"/>
    <w:p w14:paraId="21C180A8" w14:textId="77777777" w:rsidR="0087601C" w:rsidRPr="006A1EC7" w:rsidRDefault="0087601C" w:rsidP="0087601C"/>
    <w:p w14:paraId="17716B00" w14:textId="77777777" w:rsidR="0087601C" w:rsidRPr="006A1EC7" w:rsidRDefault="0087601C" w:rsidP="0087601C"/>
    <w:p w14:paraId="75229ACA" w14:textId="77777777" w:rsidR="0087601C" w:rsidRPr="006A1EC7" w:rsidRDefault="0087601C" w:rsidP="0087601C"/>
    <w:p w14:paraId="4B9935A3" w14:textId="77777777" w:rsidR="0087601C" w:rsidRPr="006A1EC7" w:rsidRDefault="0087601C" w:rsidP="0087601C"/>
    <w:p w14:paraId="4FAB8A9A" w14:textId="77777777" w:rsidR="0087601C" w:rsidRPr="006A1EC7" w:rsidRDefault="0087601C" w:rsidP="0087601C"/>
    <w:p w14:paraId="02F10E5D" w14:textId="77777777" w:rsidR="0087601C" w:rsidRPr="006A1EC7" w:rsidRDefault="0087601C" w:rsidP="0087601C"/>
    <w:p w14:paraId="74C0C625" w14:textId="77777777" w:rsidR="0087601C" w:rsidRPr="006A1EC7" w:rsidRDefault="0087601C" w:rsidP="0087601C"/>
    <w:p w14:paraId="227E7AC6" w14:textId="77777777" w:rsidR="0087601C" w:rsidRPr="006A1EC7" w:rsidRDefault="0087601C" w:rsidP="0087601C"/>
    <w:p w14:paraId="6938B5C0" w14:textId="77777777" w:rsidR="0087601C" w:rsidRPr="006A1EC7" w:rsidRDefault="0087601C" w:rsidP="0087601C"/>
    <w:p w14:paraId="3FA16CF4" w14:textId="77777777" w:rsidR="0087601C" w:rsidRPr="006A1EC7" w:rsidRDefault="0087601C" w:rsidP="0087601C"/>
    <w:p w14:paraId="2EDD9D31" w14:textId="77777777" w:rsidR="0087601C" w:rsidRPr="006A1EC7" w:rsidRDefault="0087601C" w:rsidP="0087601C"/>
    <w:p w14:paraId="06E41E65" w14:textId="77777777" w:rsidR="0087601C" w:rsidRPr="006A1EC7" w:rsidRDefault="0087601C" w:rsidP="0087601C"/>
    <w:p w14:paraId="786EC801" w14:textId="77777777" w:rsidR="0087601C" w:rsidRPr="006A1EC7" w:rsidRDefault="0087601C" w:rsidP="0087601C"/>
    <w:p w14:paraId="4CFBBADC" w14:textId="77777777" w:rsidR="0087601C" w:rsidRPr="006A1EC7" w:rsidRDefault="0087601C" w:rsidP="0087601C"/>
    <w:p w14:paraId="703C645C" w14:textId="77777777" w:rsidR="0087601C" w:rsidRPr="006A1EC7" w:rsidRDefault="0087601C" w:rsidP="0087601C"/>
    <w:p w14:paraId="57E3007A" w14:textId="77777777" w:rsidR="0087601C" w:rsidRPr="006A1EC7" w:rsidRDefault="0087601C" w:rsidP="0087601C"/>
    <w:p w14:paraId="3A962741" w14:textId="77777777" w:rsidR="0087601C" w:rsidRPr="006A1EC7" w:rsidRDefault="0087601C" w:rsidP="0087601C"/>
    <w:p w14:paraId="2D6CC7C6" w14:textId="77777777" w:rsidR="0087601C" w:rsidRPr="006A1EC7" w:rsidRDefault="0087601C" w:rsidP="0087601C"/>
    <w:p w14:paraId="4138C4A1" w14:textId="77777777" w:rsidR="0087601C" w:rsidRPr="006A1EC7" w:rsidRDefault="0087601C" w:rsidP="0087601C"/>
    <w:p w14:paraId="39DC3C31" w14:textId="77777777" w:rsidR="0087601C" w:rsidRPr="006A1EC7" w:rsidRDefault="0087601C" w:rsidP="0087601C"/>
    <w:p w14:paraId="50FDE643" w14:textId="77777777" w:rsidR="0087601C" w:rsidRPr="006A1EC7" w:rsidRDefault="0087601C" w:rsidP="0087601C"/>
    <w:p w14:paraId="3777769A" w14:textId="77777777" w:rsidR="0087601C" w:rsidRPr="006A1EC7" w:rsidRDefault="0087601C" w:rsidP="0087601C"/>
    <w:p w14:paraId="7D0DB8C0" w14:textId="77777777" w:rsidR="0087601C" w:rsidRPr="006A1EC7" w:rsidRDefault="0087601C" w:rsidP="0087601C">
      <w:pPr>
        <w:pStyle w:val="Heading2"/>
        <w:rPr>
          <w:rFonts w:ascii="Times New Roman" w:hAnsi="Times New Roman" w:cs="Times New Roman"/>
        </w:rPr>
        <w:sectPr w:rsidR="0087601C" w:rsidRPr="006A1EC7" w:rsidSect="00D56051">
          <w:footerReference w:type="default" r:id="rId36"/>
          <w:type w:val="nextColumn"/>
          <w:pgSz w:w="12240" w:h="15840"/>
          <w:pgMar w:top="1440" w:right="1701" w:bottom="1440" w:left="1701" w:header="708" w:footer="708" w:gutter="0"/>
          <w:cols w:space="708"/>
          <w:docGrid w:linePitch="360"/>
        </w:sectPr>
      </w:pPr>
    </w:p>
    <w:p w14:paraId="1275908B" w14:textId="77777777" w:rsidR="0087601C" w:rsidRPr="006A1EC7" w:rsidRDefault="0087601C" w:rsidP="0087601C">
      <w:pPr>
        <w:pStyle w:val="Heading3"/>
        <w:rPr>
          <w:rFonts w:ascii="Times New Roman" w:hAnsi="Times New Roman" w:cs="Times New Roman"/>
        </w:rPr>
      </w:pPr>
      <w:bookmarkStart w:id="277" w:name="_Toc17977972"/>
      <w:bookmarkStart w:id="278" w:name="_Toc38821470"/>
      <w:r w:rsidRPr="006A1EC7">
        <w:rPr>
          <w:rFonts w:ascii="Times New Roman" w:hAnsi="Times New Roman" w:cs="Times New Roman"/>
        </w:rPr>
        <w:lastRenderedPageBreak/>
        <w:t>Appendix 3.3 Search terms and results for Systematic Review 2</w:t>
      </w:r>
      <w:bookmarkEnd w:id="277"/>
      <w:bookmarkEnd w:id="278"/>
    </w:p>
    <w:p w14:paraId="4336E276" w14:textId="77777777" w:rsidR="0087601C" w:rsidRPr="006A1EC7" w:rsidRDefault="0087601C" w:rsidP="0087601C"/>
    <w:p w14:paraId="2B9AAB06" w14:textId="77777777" w:rsidR="0087601C" w:rsidRPr="006A1EC7" w:rsidRDefault="0087601C" w:rsidP="0087601C"/>
    <w:tbl>
      <w:tblPr>
        <w:tblW w:w="7749"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3"/>
        <w:gridCol w:w="1042"/>
        <w:gridCol w:w="871"/>
        <w:gridCol w:w="1070"/>
        <w:gridCol w:w="963"/>
        <w:gridCol w:w="910"/>
      </w:tblGrid>
      <w:tr w:rsidR="0087601C" w:rsidRPr="006A1EC7" w14:paraId="7C84AB89" w14:textId="77777777" w:rsidTr="00D56051">
        <w:trPr>
          <w:trHeight w:val="357"/>
        </w:trPr>
        <w:tc>
          <w:tcPr>
            <w:tcW w:w="2893" w:type="dxa"/>
          </w:tcPr>
          <w:p w14:paraId="679FDD12" w14:textId="77777777" w:rsidR="0087601C" w:rsidRPr="006A1EC7" w:rsidRDefault="0087601C" w:rsidP="004318F8">
            <w:pPr>
              <w:rPr>
                <w:color w:val="000000" w:themeColor="text1"/>
                <w:sz w:val="22"/>
                <w:szCs w:val="22"/>
              </w:rPr>
            </w:pPr>
            <w:r w:rsidRPr="006A1EC7">
              <w:rPr>
                <w:color w:val="000000" w:themeColor="text1"/>
                <w:sz w:val="22"/>
                <w:szCs w:val="22"/>
              </w:rPr>
              <w:t>Search terms</w:t>
            </w:r>
          </w:p>
        </w:tc>
        <w:tc>
          <w:tcPr>
            <w:tcW w:w="1042" w:type="dxa"/>
          </w:tcPr>
          <w:p w14:paraId="7AF0D7D9" w14:textId="77777777" w:rsidR="0087601C" w:rsidRPr="006A1EC7" w:rsidRDefault="0087601C" w:rsidP="004318F8">
            <w:pPr>
              <w:rPr>
                <w:color w:val="000000" w:themeColor="text1"/>
                <w:sz w:val="22"/>
                <w:szCs w:val="22"/>
              </w:rPr>
            </w:pPr>
            <w:r w:rsidRPr="006A1EC7">
              <w:rPr>
                <w:color w:val="000000" w:themeColor="text1"/>
                <w:sz w:val="22"/>
                <w:szCs w:val="22"/>
              </w:rPr>
              <w:t>PubMed</w:t>
            </w:r>
          </w:p>
          <w:p w14:paraId="049597A5" w14:textId="77777777" w:rsidR="0087601C" w:rsidRPr="006A1EC7" w:rsidRDefault="0087601C" w:rsidP="004318F8">
            <w:pPr>
              <w:ind w:left="99"/>
              <w:rPr>
                <w:color w:val="000000" w:themeColor="text1"/>
                <w:sz w:val="22"/>
                <w:szCs w:val="22"/>
              </w:rPr>
            </w:pPr>
          </w:p>
        </w:tc>
        <w:tc>
          <w:tcPr>
            <w:tcW w:w="871" w:type="dxa"/>
          </w:tcPr>
          <w:p w14:paraId="79E7597F" w14:textId="77777777" w:rsidR="0087601C" w:rsidRPr="006A1EC7" w:rsidRDefault="0087601C" w:rsidP="004318F8">
            <w:pPr>
              <w:rPr>
                <w:color w:val="000000" w:themeColor="text1"/>
                <w:sz w:val="22"/>
                <w:szCs w:val="22"/>
              </w:rPr>
            </w:pPr>
            <w:r w:rsidRPr="006A1EC7">
              <w:rPr>
                <w:color w:val="000000" w:themeColor="text1"/>
                <w:sz w:val="22"/>
                <w:szCs w:val="22"/>
              </w:rPr>
              <w:t>Cinahl</w:t>
            </w:r>
          </w:p>
          <w:p w14:paraId="3B61650F" w14:textId="77777777" w:rsidR="0087601C" w:rsidRPr="006A1EC7" w:rsidRDefault="0087601C" w:rsidP="004318F8">
            <w:pPr>
              <w:ind w:left="99"/>
              <w:rPr>
                <w:color w:val="000000" w:themeColor="text1"/>
                <w:sz w:val="22"/>
                <w:szCs w:val="22"/>
              </w:rPr>
            </w:pPr>
          </w:p>
        </w:tc>
        <w:tc>
          <w:tcPr>
            <w:tcW w:w="1070" w:type="dxa"/>
          </w:tcPr>
          <w:p w14:paraId="226EB71C" w14:textId="77777777" w:rsidR="0087601C" w:rsidRPr="006A1EC7" w:rsidRDefault="0087601C" w:rsidP="004318F8">
            <w:pPr>
              <w:rPr>
                <w:color w:val="000000" w:themeColor="text1"/>
                <w:sz w:val="22"/>
                <w:szCs w:val="22"/>
              </w:rPr>
            </w:pPr>
            <w:r w:rsidRPr="006A1EC7">
              <w:rPr>
                <w:color w:val="000000" w:themeColor="text1"/>
                <w:sz w:val="22"/>
                <w:szCs w:val="22"/>
              </w:rPr>
              <w:t>PsycInfo</w:t>
            </w:r>
          </w:p>
          <w:p w14:paraId="0C736BAA" w14:textId="77777777" w:rsidR="0087601C" w:rsidRPr="006A1EC7" w:rsidRDefault="0087601C" w:rsidP="004318F8">
            <w:pPr>
              <w:ind w:left="99"/>
              <w:rPr>
                <w:color w:val="000000" w:themeColor="text1"/>
                <w:sz w:val="22"/>
                <w:szCs w:val="22"/>
              </w:rPr>
            </w:pPr>
            <w:r w:rsidRPr="006A1EC7">
              <w:rPr>
                <w:color w:val="000000" w:themeColor="text1"/>
                <w:sz w:val="22"/>
                <w:szCs w:val="22"/>
              </w:rPr>
              <w:t>(Title only)</w:t>
            </w:r>
          </w:p>
        </w:tc>
        <w:tc>
          <w:tcPr>
            <w:tcW w:w="963" w:type="dxa"/>
          </w:tcPr>
          <w:p w14:paraId="42F61EF7" w14:textId="77777777" w:rsidR="0087601C" w:rsidRPr="006A1EC7" w:rsidRDefault="0087601C" w:rsidP="004318F8">
            <w:pPr>
              <w:rPr>
                <w:color w:val="000000" w:themeColor="text1"/>
                <w:sz w:val="22"/>
                <w:szCs w:val="22"/>
              </w:rPr>
            </w:pPr>
            <w:r w:rsidRPr="006A1EC7">
              <w:rPr>
                <w:color w:val="000000" w:themeColor="text1"/>
                <w:sz w:val="22"/>
                <w:szCs w:val="22"/>
              </w:rPr>
              <w:t>Web of Science</w:t>
            </w:r>
          </w:p>
        </w:tc>
        <w:tc>
          <w:tcPr>
            <w:tcW w:w="910" w:type="dxa"/>
          </w:tcPr>
          <w:p w14:paraId="770ECB22" w14:textId="77777777" w:rsidR="0087601C" w:rsidRPr="006A1EC7" w:rsidRDefault="0087601C" w:rsidP="004318F8">
            <w:pPr>
              <w:rPr>
                <w:color w:val="000000" w:themeColor="text1"/>
                <w:sz w:val="22"/>
                <w:szCs w:val="22"/>
              </w:rPr>
            </w:pPr>
            <w:r w:rsidRPr="006A1EC7">
              <w:rPr>
                <w:color w:val="000000" w:themeColor="text1"/>
                <w:sz w:val="22"/>
                <w:szCs w:val="22"/>
              </w:rPr>
              <w:t>Scopus</w:t>
            </w:r>
          </w:p>
          <w:p w14:paraId="0D93DCA7" w14:textId="77777777" w:rsidR="0087601C" w:rsidRPr="006A1EC7" w:rsidRDefault="0087601C" w:rsidP="004318F8">
            <w:pPr>
              <w:ind w:left="99"/>
              <w:rPr>
                <w:color w:val="000000" w:themeColor="text1"/>
                <w:sz w:val="22"/>
                <w:szCs w:val="22"/>
              </w:rPr>
            </w:pPr>
          </w:p>
        </w:tc>
      </w:tr>
      <w:tr w:rsidR="0087601C" w:rsidRPr="006A1EC7" w14:paraId="2E859DE8" w14:textId="77777777" w:rsidTr="00D56051">
        <w:trPr>
          <w:trHeight w:val="357"/>
        </w:trPr>
        <w:tc>
          <w:tcPr>
            <w:tcW w:w="2893" w:type="dxa"/>
          </w:tcPr>
          <w:p w14:paraId="08B5A1CE" w14:textId="77777777" w:rsidR="0087601C" w:rsidRPr="006A1EC7" w:rsidRDefault="0087601C" w:rsidP="004318F8">
            <w:pPr>
              <w:rPr>
                <w:color w:val="000000" w:themeColor="text1"/>
                <w:sz w:val="22"/>
                <w:szCs w:val="22"/>
              </w:rPr>
            </w:pPr>
            <w:r w:rsidRPr="006A1EC7">
              <w:rPr>
                <w:sz w:val="22"/>
                <w:szCs w:val="22"/>
              </w:rPr>
              <w:t>(psychosocial) AND (Wolf-Hirschhorn* OR 4p16 deletion)</w:t>
            </w:r>
          </w:p>
        </w:tc>
        <w:tc>
          <w:tcPr>
            <w:tcW w:w="1042" w:type="dxa"/>
          </w:tcPr>
          <w:p w14:paraId="3B0D1934" w14:textId="77777777" w:rsidR="0087601C" w:rsidRPr="006A1EC7" w:rsidRDefault="0087601C" w:rsidP="004318F8">
            <w:pPr>
              <w:rPr>
                <w:color w:val="000000" w:themeColor="text1"/>
                <w:sz w:val="22"/>
                <w:szCs w:val="22"/>
              </w:rPr>
            </w:pPr>
            <w:r w:rsidRPr="006A1EC7">
              <w:rPr>
                <w:color w:val="000000" w:themeColor="text1"/>
                <w:sz w:val="22"/>
                <w:szCs w:val="22"/>
              </w:rPr>
              <w:t>0</w:t>
            </w:r>
          </w:p>
        </w:tc>
        <w:tc>
          <w:tcPr>
            <w:tcW w:w="871" w:type="dxa"/>
          </w:tcPr>
          <w:p w14:paraId="008CB0AB" w14:textId="77777777" w:rsidR="0087601C" w:rsidRPr="006A1EC7" w:rsidRDefault="0087601C" w:rsidP="004318F8">
            <w:pPr>
              <w:rPr>
                <w:color w:val="000000" w:themeColor="text1"/>
                <w:sz w:val="22"/>
                <w:szCs w:val="22"/>
              </w:rPr>
            </w:pPr>
            <w:r w:rsidRPr="006A1EC7">
              <w:rPr>
                <w:color w:val="000000" w:themeColor="text1"/>
                <w:sz w:val="22"/>
                <w:szCs w:val="22"/>
              </w:rPr>
              <w:t>0</w:t>
            </w:r>
          </w:p>
        </w:tc>
        <w:tc>
          <w:tcPr>
            <w:tcW w:w="1070" w:type="dxa"/>
          </w:tcPr>
          <w:p w14:paraId="30623C41" w14:textId="77777777" w:rsidR="0087601C" w:rsidRPr="006A1EC7" w:rsidRDefault="0087601C" w:rsidP="004318F8">
            <w:pPr>
              <w:rPr>
                <w:color w:val="000000" w:themeColor="text1"/>
                <w:sz w:val="22"/>
                <w:szCs w:val="22"/>
              </w:rPr>
            </w:pPr>
            <w:r w:rsidRPr="006A1EC7">
              <w:rPr>
                <w:color w:val="000000" w:themeColor="text1"/>
                <w:sz w:val="22"/>
                <w:szCs w:val="22"/>
              </w:rPr>
              <w:t>0</w:t>
            </w:r>
          </w:p>
        </w:tc>
        <w:tc>
          <w:tcPr>
            <w:tcW w:w="963" w:type="dxa"/>
          </w:tcPr>
          <w:p w14:paraId="43AE62EE" w14:textId="77777777" w:rsidR="0087601C" w:rsidRPr="006A1EC7" w:rsidRDefault="0087601C" w:rsidP="004318F8">
            <w:pPr>
              <w:rPr>
                <w:color w:val="000000" w:themeColor="text1"/>
                <w:sz w:val="22"/>
                <w:szCs w:val="22"/>
              </w:rPr>
            </w:pPr>
            <w:r w:rsidRPr="006A1EC7">
              <w:rPr>
                <w:color w:val="000000" w:themeColor="text1"/>
                <w:sz w:val="22"/>
                <w:szCs w:val="22"/>
              </w:rPr>
              <w:t>0</w:t>
            </w:r>
          </w:p>
        </w:tc>
        <w:tc>
          <w:tcPr>
            <w:tcW w:w="910" w:type="dxa"/>
          </w:tcPr>
          <w:p w14:paraId="14161739" w14:textId="77777777" w:rsidR="0087601C" w:rsidRPr="006A1EC7" w:rsidRDefault="0087601C" w:rsidP="004318F8">
            <w:pPr>
              <w:rPr>
                <w:color w:val="000000" w:themeColor="text1"/>
                <w:sz w:val="22"/>
                <w:szCs w:val="22"/>
              </w:rPr>
            </w:pPr>
            <w:r w:rsidRPr="006A1EC7">
              <w:rPr>
                <w:color w:val="000000" w:themeColor="text1"/>
                <w:sz w:val="22"/>
                <w:szCs w:val="22"/>
              </w:rPr>
              <w:t>0</w:t>
            </w:r>
          </w:p>
        </w:tc>
      </w:tr>
      <w:tr w:rsidR="0087601C" w:rsidRPr="006A1EC7" w14:paraId="7C86CD6A" w14:textId="77777777" w:rsidTr="00D56051">
        <w:trPr>
          <w:trHeight w:val="357"/>
        </w:trPr>
        <w:tc>
          <w:tcPr>
            <w:tcW w:w="2893" w:type="dxa"/>
          </w:tcPr>
          <w:p w14:paraId="57078999" w14:textId="77777777" w:rsidR="0087601C" w:rsidRPr="006A1EC7" w:rsidRDefault="0087601C" w:rsidP="004318F8">
            <w:pPr>
              <w:rPr>
                <w:color w:val="000000" w:themeColor="text1"/>
                <w:sz w:val="22"/>
                <w:szCs w:val="22"/>
              </w:rPr>
            </w:pPr>
            <w:r w:rsidRPr="006A1EC7">
              <w:rPr>
                <w:sz w:val="22"/>
                <w:szCs w:val="22"/>
              </w:rPr>
              <w:t>(experience OR patient) AND (Wolf-Hirschhorn* OR 4p16 deletion)</w:t>
            </w:r>
          </w:p>
        </w:tc>
        <w:tc>
          <w:tcPr>
            <w:tcW w:w="1042" w:type="dxa"/>
          </w:tcPr>
          <w:p w14:paraId="573694E3" w14:textId="77777777" w:rsidR="0087601C" w:rsidRPr="006A1EC7" w:rsidRDefault="0087601C" w:rsidP="004318F8">
            <w:pPr>
              <w:rPr>
                <w:color w:val="000000" w:themeColor="text1"/>
                <w:sz w:val="22"/>
                <w:szCs w:val="22"/>
              </w:rPr>
            </w:pPr>
            <w:r w:rsidRPr="006A1EC7">
              <w:rPr>
                <w:color w:val="000000" w:themeColor="text1"/>
                <w:sz w:val="22"/>
                <w:szCs w:val="22"/>
              </w:rPr>
              <w:t>286</w:t>
            </w:r>
          </w:p>
        </w:tc>
        <w:tc>
          <w:tcPr>
            <w:tcW w:w="871" w:type="dxa"/>
          </w:tcPr>
          <w:p w14:paraId="63FAAE4A" w14:textId="77777777" w:rsidR="0087601C" w:rsidRPr="006A1EC7" w:rsidRDefault="0087601C" w:rsidP="004318F8">
            <w:pPr>
              <w:rPr>
                <w:sz w:val="22"/>
                <w:szCs w:val="22"/>
              </w:rPr>
            </w:pPr>
            <w:r w:rsidRPr="006A1EC7">
              <w:rPr>
                <w:sz w:val="22"/>
                <w:szCs w:val="22"/>
              </w:rPr>
              <w:t>15</w:t>
            </w:r>
          </w:p>
        </w:tc>
        <w:tc>
          <w:tcPr>
            <w:tcW w:w="1070" w:type="dxa"/>
          </w:tcPr>
          <w:p w14:paraId="22FD4751" w14:textId="77777777" w:rsidR="0087601C" w:rsidRPr="006A1EC7" w:rsidRDefault="0087601C" w:rsidP="004318F8">
            <w:pPr>
              <w:rPr>
                <w:color w:val="000000" w:themeColor="text1"/>
                <w:sz w:val="22"/>
                <w:szCs w:val="22"/>
              </w:rPr>
            </w:pPr>
            <w:r w:rsidRPr="006A1EC7">
              <w:rPr>
                <w:color w:val="000000" w:themeColor="text1"/>
                <w:sz w:val="22"/>
                <w:szCs w:val="22"/>
              </w:rPr>
              <w:t>5</w:t>
            </w:r>
          </w:p>
        </w:tc>
        <w:tc>
          <w:tcPr>
            <w:tcW w:w="963" w:type="dxa"/>
          </w:tcPr>
          <w:p w14:paraId="69A5C09F" w14:textId="77777777" w:rsidR="0087601C" w:rsidRPr="006A1EC7" w:rsidRDefault="0087601C" w:rsidP="004318F8">
            <w:pPr>
              <w:rPr>
                <w:color w:val="000000" w:themeColor="text1"/>
                <w:sz w:val="22"/>
                <w:szCs w:val="22"/>
              </w:rPr>
            </w:pPr>
            <w:r w:rsidRPr="006A1EC7">
              <w:rPr>
                <w:color w:val="000000" w:themeColor="text1"/>
                <w:sz w:val="22"/>
                <w:szCs w:val="22"/>
              </w:rPr>
              <w:t>64</w:t>
            </w:r>
          </w:p>
        </w:tc>
        <w:tc>
          <w:tcPr>
            <w:tcW w:w="910" w:type="dxa"/>
          </w:tcPr>
          <w:p w14:paraId="16DB7792" w14:textId="77777777" w:rsidR="0087601C" w:rsidRPr="006A1EC7" w:rsidRDefault="0087601C" w:rsidP="004318F8">
            <w:pPr>
              <w:rPr>
                <w:color w:val="000000" w:themeColor="text1"/>
                <w:sz w:val="22"/>
                <w:szCs w:val="22"/>
              </w:rPr>
            </w:pPr>
            <w:r w:rsidRPr="006A1EC7">
              <w:rPr>
                <w:color w:val="000000" w:themeColor="text1"/>
                <w:sz w:val="22"/>
                <w:szCs w:val="22"/>
              </w:rPr>
              <w:t>302</w:t>
            </w:r>
          </w:p>
        </w:tc>
      </w:tr>
      <w:tr w:rsidR="0087601C" w:rsidRPr="006A1EC7" w14:paraId="60FD957F" w14:textId="77777777" w:rsidTr="00D56051">
        <w:trPr>
          <w:trHeight w:val="357"/>
        </w:trPr>
        <w:tc>
          <w:tcPr>
            <w:tcW w:w="2893" w:type="dxa"/>
          </w:tcPr>
          <w:p w14:paraId="5A83503F" w14:textId="77777777" w:rsidR="0087601C" w:rsidRPr="006A1EC7" w:rsidRDefault="0087601C" w:rsidP="004318F8">
            <w:pPr>
              <w:rPr>
                <w:color w:val="000000" w:themeColor="text1"/>
                <w:sz w:val="22"/>
                <w:szCs w:val="22"/>
              </w:rPr>
            </w:pPr>
            <w:r w:rsidRPr="006A1EC7">
              <w:rPr>
                <w:sz w:val="22"/>
                <w:szCs w:val="22"/>
              </w:rPr>
              <w:t>(living OR life) AND (Wolf-Hirschhorn* OR 4p16 deletion)</w:t>
            </w:r>
          </w:p>
        </w:tc>
        <w:tc>
          <w:tcPr>
            <w:tcW w:w="1042" w:type="dxa"/>
          </w:tcPr>
          <w:p w14:paraId="7AAA5AB9" w14:textId="77777777" w:rsidR="0087601C" w:rsidRPr="006A1EC7" w:rsidRDefault="0087601C" w:rsidP="004318F8">
            <w:pPr>
              <w:rPr>
                <w:color w:val="000000" w:themeColor="text1"/>
                <w:sz w:val="22"/>
                <w:szCs w:val="22"/>
              </w:rPr>
            </w:pPr>
            <w:r w:rsidRPr="006A1EC7">
              <w:rPr>
                <w:color w:val="000000" w:themeColor="text1"/>
                <w:sz w:val="22"/>
                <w:szCs w:val="22"/>
              </w:rPr>
              <w:t>41</w:t>
            </w:r>
          </w:p>
        </w:tc>
        <w:tc>
          <w:tcPr>
            <w:tcW w:w="871" w:type="dxa"/>
          </w:tcPr>
          <w:p w14:paraId="7467633D" w14:textId="77777777" w:rsidR="0087601C" w:rsidRPr="006A1EC7" w:rsidRDefault="0087601C" w:rsidP="004318F8">
            <w:pPr>
              <w:rPr>
                <w:color w:val="000000" w:themeColor="text1"/>
                <w:sz w:val="22"/>
                <w:szCs w:val="22"/>
              </w:rPr>
            </w:pPr>
            <w:r w:rsidRPr="006A1EC7">
              <w:rPr>
                <w:color w:val="000000" w:themeColor="text1"/>
                <w:sz w:val="22"/>
                <w:szCs w:val="22"/>
              </w:rPr>
              <w:t>2</w:t>
            </w:r>
          </w:p>
        </w:tc>
        <w:tc>
          <w:tcPr>
            <w:tcW w:w="1070" w:type="dxa"/>
          </w:tcPr>
          <w:p w14:paraId="3D571B10" w14:textId="77777777" w:rsidR="0087601C" w:rsidRPr="006A1EC7" w:rsidRDefault="0087601C" w:rsidP="004318F8">
            <w:pPr>
              <w:rPr>
                <w:color w:val="000000" w:themeColor="text1"/>
                <w:sz w:val="22"/>
                <w:szCs w:val="22"/>
              </w:rPr>
            </w:pPr>
            <w:r w:rsidRPr="006A1EC7">
              <w:rPr>
                <w:color w:val="000000" w:themeColor="text1"/>
                <w:sz w:val="22"/>
                <w:szCs w:val="22"/>
              </w:rPr>
              <w:t>2</w:t>
            </w:r>
          </w:p>
        </w:tc>
        <w:tc>
          <w:tcPr>
            <w:tcW w:w="963" w:type="dxa"/>
          </w:tcPr>
          <w:p w14:paraId="51B6110C" w14:textId="77777777" w:rsidR="0087601C" w:rsidRPr="006A1EC7" w:rsidRDefault="0087601C" w:rsidP="004318F8">
            <w:pPr>
              <w:rPr>
                <w:color w:val="000000" w:themeColor="text1"/>
                <w:sz w:val="22"/>
                <w:szCs w:val="22"/>
              </w:rPr>
            </w:pPr>
            <w:r w:rsidRPr="006A1EC7">
              <w:rPr>
                <w:color w:val="000000" w:themeColor="text1"/>
                <w:sz w:val="22"/>
                <w:szCs w:val="22"/>
              </w:rPr>
              <w:t>2</w:t>
            </w:r>
          </w:p>
        </w:tc>
        <w:tc>
          <w:tcPr>
            <w:tcW w:w="910" w:type="dxa"/>
          </w:tcPr>
          <w:p w14:paraId="50B8EA33" w14:textId="77777777" w:rsidR="0087601C" w:rsidRPr="006A1EC7" w:rsidRDefault="0087601C" w:rsidP="004318F8">
            <w:pPr>
              <w:rPr>
                <w:color w:val="000000" w:themeColor="text1"/>
                <w:sz w:val="22"/>
                <w:szCs w:val="22"/>
              </w:rPr>
            </w:pPr>
            <w:r w:rsidRPr="006A1EC7">
              <w:rPr>
                <w:color w:val="000000" w:themeColor="text1"/>
                <w:sz w:val="22"/>
                <w:szCs w:val="22"/>
              </w:rPr>
              <w:t>30</w:t>
            </w:r>
          </w:p>
        </w:tc>
      </w:tr>
      <w:tr w:rsidR="0087601C" w:rsidRPr="006A1EC7" w14:paraId="7C3E0ACC" w14:textId="77777777" w:rsidTr="00D56051">
        <w:trPr>
          <w:trHeight w:val="357"/>
        </w:trPr>
        <w:tc>
          <w:tcPr>
            <w:tcW w:w="2893" w:type="dxa"/>
          </w:tcPr>
          <w:p w14:paraId="7B5D0359" w14:textId="77777777" w:rsidR="0087601C" w:rsidRPr="006A1EC7" w:rsidRDefault="0087601C" w:rsidP="004318F8">
            <w:pPr>
              <w:rPr>
                <w:color w:val="000000" w:themeColor="text1"/>
                <w:sz w:val="22"/>
                <w:szCs w:val="22"/>
              </w:rPr>
            </w:pPr>
            <w:r w:rsidRPr="006A1EC7">
              <w:rPr>
                <w:sz w:val="22"/>
                <w:szCs w:val="22"/>
              </w:rPr>
              <w:t>(car*) AND (Wolf-Hirschhorn* OR 4p16 deletion)</w:t>
            </w:r>
          </w:p>
        </w:tc>
        <w:tc>
          <w:tcPr>
            <w:tcW w:w="1042" w:type="dxa"/>
          </w:tcPr>
          <w:p w14:paraId="3A5661D9" w14:textId="77777777" w:rsidR="0087601C" w:rsidRPr="006A1EC7" w:rsidRDefault="0087601C" w:rsidP="004318F8">
            <w:pPr>
              <w:rPr>
                <w:color w:val="000000" w:themeColor="text1"/>
                <w:sz w:val="22"/>
                <w:szCs w:val="22"/>
              </w:rPr>
            </w:pPr>
            <w:r w:rsidRPr="006A1EC7">
              <w:rPr>
                <w:color w:val="000000" w:themeColor="text1"/>
                <w:sz w:val="22"/>
                <w:szCs w:val="22"/>
              </w:rPr>
              <w:t>0</w:t>
            </w:r>
          </w:p>
        </w:tc>
        <w:tc>
          <w:tcPr>
            <w:tcW w:w="871" w:type="dxa"/>
          </w:tcPr>
          <w:p w14:paraId="1EF486B2" w14:textId="77777777" w:rsidR="0087601C" w:rsidRPr="006A1EC7" w:rsidRDefault="0087601C" w:rsidP="004318F8">
            <w:pPr>
              <w:rPr>
                <w:color w:val="000000" w:themeColor="text1"/>
                <w:sz w:val="22"/>
                <w:szCs w:val="22"/>
              </w:rPr>
            </w:pPr>
            <w:r w:rsidRPr="006A1EC7">
              <w:rPr>
                <w:color w:val="000000" w:themeColor="text1"/>
                <w:sz w:val="22"/>
                <w:szCs w:val="22"/>
              </w:rPr>
              <w:t>11</w:t>
            </w:r>
          </w:p>
        </w:tc>
        <w:tc>
          <w:tcPr>
            <w:tcW w:w="1070" w:type="dxa"/>
          </w:tcPr>
          <w:p w14:paraId="25E00B5F" w14:textId="77777777" w:rsidR="0087601C" w:rsidRPr="006A1EC7" w:rsidRDefault="0087601C" w:rsidP="004318F8">
            <w:pPr>
              <w:rPr>
                <w:color w:val="000000" w:themeColor="text1"/>
                <w:sz w:val="22"/>
                <w:szCs w:val="22"/>
              </w:rPr>
            </w:pPr>
            <w:r w:rsidRPr="006A1EC7">
              <w:rPr>
                <w:color w:val="000000" w:themeColor="text1"/>
                <w:sz w:val="22"/>
                <w:szCs w:val="22"/>
              </w:rPr>
              <w:t>6</w:t>
            </w:r>
          </w:p>
        </w:tc>
        <w:tc>
          <w:tcPr>
            <w:tcW w:w="963" w:type="dxa"/>
          </w:tcPr>
          <w:p w14:paraId="1F20F18A" w14:textId="77777777" w:rsidR="0087601C" w:rsidRPr="006A1EC7" w:rsidRDefault="0087601C" w:rsidP="004318F8">
            <w:pPr>
              <w:rPr>
                <w:color w:val="000000" w:themeColor="text1"/>
                <w:sz w:val="22"/>
                <w:szCs w:val="22"/>
              </w:rPr>
            </w:pPr>
            <w:r w:rsidRPr="006A1EC7">
              <w:rPr>
                <w:color w:val="000000" w:themeColor="text1"/>
                <w:sz w:val="22"/>
                <w:szCs w:val="22"/>
              </w:rPr>
              <w:t>8</w:t>
            </w:r>
          </w:p>
        </w:tc>
        <w:tc>
          <w:tcPr>
            <w:tcW w:w="910" w:type="dxa"/>
          </w:tcPr>
          <w:p w14:paraId="4DDEED2F" w14:textId="77777777" w:rsidR="0087601C" w:rsidRPr="006A1EC7" w:rsidRDefault="0087601C" w:rsidP="004318F8">
            <w:pPr>
              <w:rPr>
                <w:color w:val="000000" w:themeColor="text1"/>
                <w:sz w:val="22"/>
                <w:szCs w:val="22"/>
              </w:rPr>
            </w:pPr>
            <w:r w:rsidRPr="006A1EC7">
              <w:rPr>
                <w:color w:val="000000" w:themeColor="text1"/>
                <w:sz w:val="22"/>
                <w:szCs w:val="22"/>
              </w:rPr>
              <w:t>171</w:t>
            </w:r>
          </w:p>
        </w:tc>
      </w:tr>
      <w:tr w:rsidR="0087601C" w:rsidRPr="006A1EC7" w14:paraId="2159A36F" w14:textId="77777777" w:rsidTr="00D56051">
        <w:trPr>
          <w:trHeight w:val="357"/>
        </w:trPr>
        <w:tc>
          <w:tcPr>
            <w:tcW w:w="2893" w:type="dxa"/>
          </w:tcPr>
          <w:p w14:paraId="7331356F" w14:textId="77777777" w:rsidR="0087601C" w:rsidRPr="006A1EC7" w:rsidRDefault="0087601C" w:rsidP="004318F8">
            <w:pPr>
              <w:rPr>
                <w:color w:val="000000" w:themeColor="text1"/>
                <w:sz w:val="22"/>
                <w:szCs w:val="22"/>
              </w:rPr>
            </w:pPr>
            <w:r w:rsidRPr="006A1EC7">
              <w:rPr>
                <w:sz w:val="22"/>
                <w:szCs w:val="22"/>
              </w:rPr>
              <w:t>(parent OR child OR adult) AND (Wolf-Hirschhorn* OR 4p16 deletion)</w:t>
            </w:r>
          </w:p>
        </w:tc>
        <w:tc>
          <w:tcPr>
            <w:tcW w:w="1042" w:type="dxa"/>
          </w:tcPr>
          <w:p w14:paraId="41DBD0F2" w14:textId="77777777" w:rsidR="0087601C" w:rsidRPr="006A1EC7" w:rsidRDefault="0087601C" w:rsidP="004318F8">
            <w:pPr>
              <w:rPr>
                <w:color w:val="000000" w:themeColor="text1"/>
                <w:sz w:val="22"/>
                <w:szCs w:val="22"/>
              </w:rPr>
            </w:pPr>
            <w:r w:rsidRPr="006A1EC7">
              <w:rPr>
                <w:color w:val="000000" w:themeColor="text1"/>
                <w:sz w:val="22"/>
                <w:szCs w:val="22"/>
              </w:rPr>
              <w:t>301</w:t>
            </w:r>
          </w:p>
        </w:tc>
        <w:tc>
          <w:tcPr>
            <w:tcW w:w="871" w:type="dxa"/>
          </w:tcPr>
          <w:p w14:paraId="28EBA3DD" w14:textId="77777777" w:rsidR="0087601C" w:rsidRPr="006A1EC7" w:rsidRDefault="0087601C" w:rsidP="004318F8">
            <w:pPr>
              <w:rPr>
                <w:color w:val="000000" w:themeColor="text1"/>
                <w:sz w:val="22"/>
                <w:szCs w:val="22"/>
              </w:rPr>
            </w:pPr>
            <w:r w:rsidRPr="006A1EC7">
              <w:rPr>
                <w:color w:val="000000" w:themeColor="text1"/>
                <w:sz w:val="22"/>
                <w:szCs w:val="22"/>
              </w:rPr>
              <w:t>20</w:t>
            </w:r>
          </w:p>
        </w:tc>
        <w:tc>
          <w:tcPr>
            <w:tcW w:w="1070" w:type="dxa"/>
          </w:tcPr>
          <w:p w14:paraId="72FA27DA" w14:textId="77777777" w:rsidR="0087601C" w:rsidRPr="006A1EC7" w:rsidRDefault="0087601C" w:rsidP="004318F8">
            <w:pPr>
              <w:rPr>
                <w:color w:val="000000" w:themeColor="text1"/>
                <w:sz w:val="22"/>
                <w:szCs w:val="22"/>
              </w:rPr>
            </w:pPr>
            <w:r w:rsidRPr="006A1EC7">
              <w:rPr>
                <w:color w:val="000000" w:themeColor="text1"/>
                <w:sz w:val="22"/>
                <w:szCs w:val="22"/>
              </w:rPr>
              <w:t>2</w:t>
            </w:r>
          </w:p>
        </w:tc>
        <w:tc>
          <w:tcPr>
            <w:tcW w:w="963" w:type="dxa"/>
          </w:tcPr>
          <w:p w14:paraId="01D7DCD8" w14:textId="77777777" w:rsidR="0087601C" w:rsidRPr="006A1EC7" w:rsidRDefault="0087601C" w:rsidP="004318F8">
            <w:pPr>
              <w:rPr>
                <w:color w:val="000000" w:themeColor="text1"/>
                <w:sz w:val="22"/>
                <w:szCs w:val="22"/>
              </w:rPr>
            </w:pPr>
            <w:r w:rsidRPr="006A1EC7">
              <w:rPr>
                <w:color w:val="000000" w:themeColor="text1"/>
                <w:sz w:val="22"/>
                <w:szCs w:val="22"/>
              </w:rPr>
              <w:t>19</w:t>
            </w:r>
          </w:p>
        </w:tc>
        <w:tc>
          <w:tcPr>
            <w:tcW w:w="910" w:type="dxa"/>
          </w:tcPr>
          <w:p w14:paraId="51400DAE" w14:textId="77777777" w:rsidR="0087601C" w:rsidRPr="006A1EC7" w:rsidRDefault="0087601C" w:rsidP="004318F8">
            <w:pPr>
              <w:rPr>
                <w:color w:val="000000" w:themeColor="text1"/>
                <w:sz w:val="22"/>
                <w:szCs w:val="22"/>
              </w:rPr>
            </w:pPr>
            <w:r w:rsidRPr="006A1EC7">
              <w:rPr>
                <w:color w:val="000000" w:themeColor="text1"/>
                <w:sz w:val="22"/>
                <w:szCs w:val="22"/>
              </w:rPr>
              <w:t>360</w:t>
            </w:r>
          </w:p>
        </w:tc>
      </w:tr>
      <w:tr w:rsidR="0087601C" w:rsidRPr="006A1EC7" w14:paraId="32CC5A53" w14:textId="77777777" w:rsidTr="00D56051">
        <w:trPr>
          <w:trHeight w:val="357"/>
        </w:trPr>
        <w:tc>
          <w:tcPr>
            <w:tcW w:w="2893" w:type="dxa"/>
          </w:tcPr>
          <w:p w14:paraId="06DF8DED" w14:textId="77777777" w:rsidR="0087601C" w:rsidRPr="006A1EC7" w:rsidRDefault="0087601C" w:rsidP="004318F8">
            <w:pPr>
              <w:rPr>
                <w:color w:val="000000" w:themeColor="text1"/>
                <w:sz w:val="22"/>
                <w:szCs w:val="22"/>
              </w:rPr>
            </w:pPr>
            <w:r w:rsidRPr="006A1EC7">
              <w:rPr>
                <w:sz w:val="22"/>
                <w:szCs w:val="22"/>
              </w:rPr>
              <w:t>(burden OR impact) AND (Wolf-Hirschhorn* OR 4p16 deletion)</w:t>
            </w:r>
          </w:p>
        </w:tc>
        <w:tc>
          <w:tcPr>
            <w:tcW w:w="1042" w:type="dxa"/>
          </w:tcPr>
          <w:p w14:paraId="49548434" w14:textId="77777777" w:rsidR="0087601C" w:rsidRPr="006A1EC7" w:rsidRDefault="0087601C" w:rsidP="004318F8">
            <w:pPr>
              <w:rPr>
                <w:color w:val="000000" w:themeColor="text1"/>
                <w:sz w:val="22"/>
                <w:szCs w:val="22"/>
              </w:rPr>
            </w:pPr>
            <w:r w:rsidRPr="006A1EC7">
              <w:rPr>
                <w:color w:val="000000" w:themeColor="text1"/>
                <w:sz w:val="22"/>
                <w:szCs w:val="22"/>
              </w:rPr>
              <w:t>10</w:t>
            </w:r>
          </w:p>
        </w:tc>
        <w:tc>
          <w:tcPr>
            <w:tcW w:w="871" w:type="dxa"/>
          </w:tcPr>
          <w:p w14:paraId="4A60A731" w14:textId="77777777" w:rsidR="0087601C" w:rsidRPr="006A1EC7" w:rsidRDefault="0087601C" w:rsidP="004318F8">
            <w:pPr>
              <w:rPr>
                <w:color w:val="000000" w:themeColor="text1"/>
                <w:sz w:val="22"/>
                <w:szCs w:val="22"/>
              </w:rPr>
            </w:pPr>
            <w:r w:rsidRPr="006A1EC7">
              <w:rPr>
                <w:color w:val="000000" w:themeColor="text1"/>
                <w:sz w:val="22"/>
                <w:szCs w:val="22"/>
              </w:rPr>
              <w:t>1</w:t>
            </w:r>
          </w:p>
        </w:tc>
        <w:tc>
          <w:tcPr>
            <w:tcW w:w="1070" w:type="dxa"/>
          </w:tcPr>
          <w:p w14:paraId="78FAD6A4" w14:textId="77777777" w:rsidR="0087601C" w:rsidRPr="006A1EC7" w:rsidRDefault="0087601C" w:rsidP="004318F8">
            <w:pPr>
              <w:rPr>
                <w:color w:val="000000" w:themeColor="text1"/>
                <w:sz w:val="22"/>
                <w:szCs w:val="22"/>
              </w:rPr>
            </w:pPr>
            <w:r w:rsidRPr="006A1EC7">
              <w:rPr>
                <w:color w:val="000000" w:themeColor="text1"/>
                <w:sz w:val="22"/>
                <w:szCs w:val="22"/>
              </w:rPr>
              <w:t>1</w:t>
            </w:r>
          </w:p>
        </w:tc>
        <w:tc>
          <w:tcPr>
            <w:tcW w:w="963" w:type="dxa"/>
          </w:tcPr>
          <w:p w14:paraId="4A095B99" w14:textId="77777777" w:rsidR="0087601C" w:rsidRPr="006A1EC7" w:rsidRDefault="0087601C" w:rsidP="004318F8">
            <w:pPr>
              <w:rPr>
                <w:color w:val="000000" w:themeColor="text1"/>
                <w:sz w:val="22"/>
                <w:szCs w:val="22"/>
              </w:rPr>
            </w:pPr>
            <w:r w:rsidRPr="006A1EC7">
              <w:rPr>
                <w:color w:val="000000" w:themeColor="text1"/>
                <w:sz w:val="22"/>
                <w:szCs w:val="22"/>
              </w:rPr>
              <w:t>0</w:t>
            </w:r>
          </w:p>
        </w:tc>
        <w:tc>
          <w:tcPr>
            <w:tcW w:w="910" w:type="dxa"/>
          </w:tcPr>
          <w:p w14:paraId="640BC689" w14:textId="77777777" w:rsidR="0087601C" w:rsidRPr="006A1EC7" w:rsidRDefault="0087601C" w:rsidP="004318F8">
            <w:pPr>
              <w:rPr>
                <w:color w:val="000000" w:themeColor="text1"/>
                <w:sz w:val="22"/>
                <w:szCs w:val="22"/>
              </w:rPr>
            </w:pPr>
            <w:r w:rsidRPr="006A1EC7">
              <w:rPr>
                <w:color w:val="000000" w:themeColor="text1"/>
                <w:sz w:val="22"/>
                <w:szCs w:val="22"/>
              </w:rPr>
              <w:t>9</w:t>
            </w:r>
          </w:p>
        </w:tc>
      </w:tr>
      <w:tr w:rsidR="0087601C" w:rsidRPr="006A1EC7" w14:paraId="49057135" w14:textId="77777777" w:rsidTr="00D56051">
        <w:trPr>
          <w:trHeight w:val="357"/>
        </w:trPr>
        <w:tc>
          <w:tcPr>
            <w:tcW w:w="2893" w:type="dxa"/>
          </w:tcPr>
          <w:p w14:paraId="64B1F2D9" w14:textId="77777777" w:rsidR="0087601C" w:rsidRPr="006A1EC7" w:rsidRDefault="0087601C" w:rsidP="004318F8">
            <w:pPr>
              <w:rPr>
                <w:color w:val="000000" w:themeColor="text1"/>
                <w:sz w:val="22"/>
                <w:szCs w:val="22"/>
              </w:rPr>
            </w:pPr>
            <w:r w:rsidRPr="006A1EC7">
              <w:rPr>
                <w:color w:val="000000" w:themeColor="text1"/>
                <w:sz w:val="22"/>
                <w:szCs w:val="22"/>
              </w:rPr>
              <w:t>Total</w:t>
            </w:r>
          </w:p>
        </w:tc>
        <w:tc>
          <w:tcPr>
            <w:tcW w:w="1042" w:type="dxa"/>
          </w:tcPr>
          <w:p w14:paraId="19BE60BA" w14:textId="77777777" w:rsidR="0087601C" w:rsidRPr="006A1EC7" w:rsidRDefault="0087601C" w:rsidP="004318F8">
            <w:pPr>
              <w:rPr>
                <w:color w:val="000000" w:themeColor="text1"/>
                <w:sz w:val="22"/>
                <w:szCs w:val="22"/>
              </w:rPr>
            </w:pPr>
            <w:r w:rsidRPr="006A1EC7">
              <w:rPr>
                <w:color w:val="000000" w:themeColor="text1"/>
                <w:sz w:val="22"/>
                <w:szCs w:val="22"/>
              </w:rPr>
              <w:t>638</w:t>
            </w:r>
          </w:p>
        </w:tc>
        <w:tc>
          <w:tcPr>
            <w:tcW w:w="871" w:type="dxa"/>
          </w:tcPr>
          <w:p w14:paraId="379176A5" w14:textId="77777777" w:rsidR="0087601C" w:rsidRPr="006A1EC7" w:rsidRDefault="0087601C" w:rsidP="004318F8">
            <w:pPr>
              <w:rPr>
                <w:color w:val="000000" w:themeColor="text1"/>
                <w:sz w:val="22"/>
                <w:szCs w:val="22"/>
              </w:rPr>
            </w:pPr>
            <w:r w:rsidRPr="006A1EC7">
              <w:rPr>
                <w:color w:val="000000" w:themeColor="text1"/>
                <w:sz w:val="22"/>
                <w:szCs w:val="22"/>
              </w:rPr>
              <w:t>49</w:t>
            </w:r>
          </w:p>
        </w:tc>
        <w:tc>
          <w:tcPr>
            <w:tcW w:w="1070" w:type="dxa"/>
          </w:tcPr>
          <w:p w14:paraId="62815ED2" w14:textId="77777777" w:rsidR="0087601C" w:rsidRPr="006A1EC7" w:rsidRDefault="0087601C" w:rsidP="004318F8">
            <w:pPr>
              <w:rPr>
                <w:color w:val="000000" w:themeColor="text1"/>
                <w:sz w:val="22"/>
                <w:szCs w:val="22"/>
              </w:rPr>
            </w:pPr>
            <w:r w:rsidRPr="006A1EC7">
              <w:rPr>
                <w:color w:val="000000" w:themeColor="text1"/>
                <w:sz w:val="22"/>
                <w:szCs w:val="22"/>
              </w:rPr>
              <w:t>16</w:t>
            </w:r>
          </w:p>
        </w:tc>
        <w:tc>
          <w:tcPr>
            <w:tcW w:w="963" w:type="dxa"/>
          </w:tcPr>
          <w:p w14:paraId="181F980D" w14:textId="77777777" w:rsidR="0087601C" w:rsidRPr="006A1EC7" w:rsidRDefault="0087601C" w:rsidP="004318F8">
            <w:pPr>
              <w:rPr>
                <w:color w:val="000000" w:themeColor="text1"/>
                <w:sz w:val="22"/>
                <w:szCs w:val="22"/>
              </w:rPr>
            </w:pPr>
            <w:r w:rsidRPr="006A1EC7">
              <w:rPr>
                <w:color w:val="000000" w:themeColor="text1"/>
                <w:sz w:val="22"/>
                <w:szCs w:val="22"/>
              </w:rPr>
              <w:t>93</w:t>
            </w:r>
          </w:p>
        </w:tc>
        <w:tc>
          <w:tcPr>
            <w:tcW w:w="910" w:type="dxa"/>
          </w:tcPr>
          <w:p w14:paraId="0F18E492" w14:textId="77777777" w:rsidR="0087601C" w:rsidRPr="006A1EC7" w:rsidRDefault="0087601C" w:rsidP="004318F8">
            <w:pPr>
              <w:rPr>
                <w:color w:val="000000" w:themeColor="text1"/>
                <w:sz w:val="22"/>
                <w:szCs w:val="22"/>
              </w:rPr>
            </w:pPr>
            <w:r w:rsidRPr="006A1EC7">
              <w:rPr>
                <w:color w:val="000000" w:themeColor="text1"/>
                <w:sz w:val="22"/>
                <w:szCs w:val="22"/>
              </w:rPr>
              <w:t>872</w:t>
            </w:r>
          </w:p>
        </w:tc>
      </w:tr>
      <w:tr w:rsidR="0087601C" w:rsidRPr="006A1EC7" w14:paraId="725DAEAE" w14:textId="77777777" w:rsidTr="00D56051">
        <w:trPr>
          <w:trHeight w:val="357"/>
        </w:trPr>
        <w:tc>
          <w:tcPr>
            <w:tcW w:w="2893" w:type="dxa"/>
          </w:tcPr>
          <w:p w14:paraId="70D4D29F" w14:textId="77777777" w:rsidR="0087601C" w:rsidRPr="006A1EC7" w:rsidRDefault="0087601C" w:rsidP="004318F8">
            <w:pPr>
              <w:rPr>
                <w:b/>
                <w:bCs/>
                <w:color w:val="000000" w:themeColor="text1"/>
                <w:sz w:val="22"/>
                <w:szCs w:val="22"/>
              </w:rPr>
            </w:pPr>
            <w:r w:rsidRPr="006A1EC7">
              <w:rPr>
                <w:b/>
                <w:bCs/>
                <w:color w:val="000000" w:themeColor="text1"/>
                <w:sz w:val="22"/>
                <w:szCs w:val="22"/>
              </w:rPr>
              <w:t>Summed: 1663 Records</w:t>
            </w:r>
          </w:p>
        </w:tc>
        <w:tc>
          <w:tcPr>
            <w:tcW w:w="1042" w:type="dxa"/>
            <w:shd w:val="clear" w:color="auto" w:fill="000000" w:themeFill="text1"/>
          </w:tcPr>
          <w:p w14:paraId="2FA10BD5" w14:textId="77777777" w:rsidR="0087601C" w:rsidRPr="006A1EC7" w:rsidRDefault="0087601C" w:rsidP="004318F8">
            <w:pPr>
              <w:rPr>
                <w:color w:val="000000" w:themeColor="text1"/>
                <w:sz w:val="22"/>
                <w:szCs w:val="22"/>
                <w:highlight w:val="black"/>
              </w:rPr>
            </w:pPr>
          </w:p>
        </w:tc>
        <w:tc>
          <w:tcPr>
            <w:tcW w:w="871" w:type="dxa"/>
            <w:shd w:val="clear" w:color="auto" w:fill="000000" w:themeFill="text1"/>
          </w:tcPr>
          <w:p w14:paraId="504FBDC6" w14:textId="77777777" w:rsidR="0087601C" w:rsidRPr="006A1EC7" w:rsidRDefault="0087601C" w:rsidP="004318F8">
            <w:pPr>
              <w:rPr>
                <w:color w:val="000000" w:themeColor="text1"/>
                <w:sz w:val="22"/>
                <w:szCs w:val="22"/>
                <w:highlight w:val="black"/>
              </w:rPr>
            </w:pPr>
          </w:p>
        </w:tc>
        <w:tc>
          <w:tcPr>
            <w:tcW w:w="1070" w:type="dxa"/>
            <w:shd w:val="clear" w:color="auto" w:fill="000000" w:themeFill="text1"/>
          </w:tcPr>
          <w:p w14:paraId="1E303524" w14:textId="77777777" w:rsidR="0087601C" w:rsidRPr="006A1EC7" w:rsidRDefault="0087601C" w:rsidP="004318F8">
            <w:pPr>
              <w:rPr>
                <w:color w:val="000000" w:themeColor="text1"/>
                <w:sz w:val="22"/>
                <w:szCs w:val="22"/>
                <w:highlight w:val="black"/>
              </w:rPr>
            </w:pPr>
          </w:p>
        </w:tc>
        <w:tc>
          <w:tcPr>
            <w:tcW w:w="963" w:type="dxa"/>
            <w:shd w:val="clear" w:color="auto" w:fill="000000" w:themeFill="text1"/>
          </w:tcPr>
          <w:p w14:paraId="3A73623F" w14:textId="77777777" w:rsidR="0087601C" w:rsidRPr="006A1EC7" w:rsidRDefault="0087601C" w:rsidP="004318F8">
            <w:pPr>
              <w:rPr>
                <w:color w:val="000000" w:themeColor="text1"/>
                <w:sz w:val="22"/>
                <w:szCs w:val="22"/>
                <w:highlight w:val="black"/>
              </w:rPr>
            </w:pPr>
          </w:p>
        </w:tc>
        <w:tc>
          <w:tcPr>
            <w:tcW w:w="910" w:type="dxa"/>
            <w:shd w:val="clear" w:color="auto" w:fill="000000" w:themeFill="text1"/>
          </w:tcPr>
          <w:p w14:paraId="778CDF41" w14:textId="77777777" w:rsidR="0087601C" w:rsidRPr="006A1EC7" w:rsidRDefault="0087601C" w:rsidP="004318F8">
            <w:pPr>
              <w:rPr>
                <w:color w:val="000000" w:themeColor="text1"/>
                <w:sz w:val="22"/>
                <w:szCs w:val="22"/>
                <w:highlight w:val="black"/>
              </w:rPr>
            </w:pPr>
          </w:p>
        </w:tc>
      </w:tr>
    </w:tbl>
    <w:p w14:paraId="590DC05F" w14:textId="77777777" w:rsidR="0087601C" w:rsidRPr="006A1EC7" w:rsidRDefault="0087601C" w:rsidP="0087601C"/>
    <w:p w14:paraId="7F99F31F" w14:textId="77777777" w:rsidR="0087601C" w:rsidRPr="006A1EC7" w:rsidRDefault="0087601C" w:rsidP="0087601C"/>
    <w:p w14:paraId="5010DAB5" w14:textId="77777777" w:rsidR="0087601C" w:rsidRPr="006A1EC7" w:rsidRDefault="0087601C" w:rsidP="0087601C">
      <w:pPr>
        <w:rPr>
          <w:rStyle w:val="Heading2Char"/>
          <w:rFonts w:ascii="Times New Roman" w:hAnsi="Times New Roman" w:cs="Times New Roman"/>
        </w:rPr>
        <w:sectPr w:rsidR="0087601C" w:rsidRPr="006A1EC7" w:rsidSect="00D56051">
          <w:type w:val="nextColumn"/>
          <w:pgSz w:w="12240" w:h="15840"/>
          <w:pgMar w:top="1440" w:right="1701" w:bottom="1440" w:left="1701" w:header="708" w:footer="708" w:gutter="0"/>
          <w:cols w:space="708"/>
          <w:docGrid w:linePitch="360"/>
        </w:sectPr>
      </w:pPr>
    </w:p>
    <w:p w14:paraId="31A321B4" w14:textId="7ACC43D4" w:rsidR="0087601C" w:rsidRPr="006A1EC7" w:rsidRDefault="0087601C" w:rsidP="0087601C">
      <w:pPr>
        <w:rPr>
          <w:rStyle w:val="Heading2Char"/>
          <w:rFonts w:ascii="Times New Roman" w:hAnsi="Times New Roman" w:cs="Times New Roman"/>
        </w:rPr>
      </w:pPr>
      <w:r w:rsidRPr="006A1EC7">
        <w:rPr>
          <w:rStyle w:val="Heading3Char"/>
          <w:rFonts w:ascii="Times New Roman" w:hAnsi="Times New Roman" w:cs="Times New Roman"/>
          <w:noProof/>
        </w:rPr>
        <w:lastRenderedPageBreak/>
        <mc:AlternateContent>
          <mc:Choice Requires="wps">
            <w:drawing>
              <wp:anchor distT="36576" distB="36576" distL="36576" distR="36576" simplePos="0" relativeHeight="251697152" behindDoc="0" locked="0" layoutInCell="1" allowOverlap="1" wp14:anchorId="7172D085" wp14:editId="5CB67C45">
                <wp:simplePos x="0" y="0"/>
                <wp:positionH relativeFrom="column">
                  <wp:posOffset>2743200</wp:posOffset>
                </wp:positionH>
                <wp:positionV relativeFrom="paragraph">
                  <wp:posOffset>5612130</wp:posOffset>
                </wp:positionV>
                <wp:extent cx="0" cy="342900"/>
                <wp:effectExtent l="63500" t="0" r="25400" b="25400"/>
                <wp:wrapNone/>
                <wp:docPr id="8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4F3AB8" id="AutoShape 20" o:spid="_x0000_s1026" type="#_x0000_t32" style="position:absolute;margin-left:3in;margin-top:441.9pt;width:0;height:27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93056" behindDoc="0" locked="0" layoutInCell="1" allowOverlap="1" wp14:anchorId="5FCA49F1" wp14:editId="6E838B73">
                <wp:simplePos x="0" y="0"/>
                <wp:positionH relativeFrom="column">
                  <wp:posOffset>1885950</wp:posOffset>
                </wp:positionH>
                <wp:positionV relativeFrom="paragraph">
                  <wp:posOffset>5955030</wp:posOffset>
                </wp:positionV>
                <wp:extent cx="1714500" cy="914400"/>
                <wp:effectExtent l="0" t="0" r="0" b="0"/>
                <wp:wrapNone/>
                <wp:docPr id="8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914400"/>
                        </a:xfrm>
                        <a:prstGeom prst="rect">
                          <a:avLst/>
                        </a:prstGeom>
                        <a:solidFill>
                          <a:srgbClr val="FFFFFF"/>
                        </a:solidFill>
                        <a:ln w="9525">
                          <a:solidFill>
                            <a:srgbClr val="000000"/>
                          </a:solidFill>
                          <a:miter lim="800000"/>
                          <a:headEnd/>
                          <a:tailEnd/>
                        </a:ln>
                      </wps:spPr>
                      <wps:txbx>
                        <w:txbxContent>
                          <w:p w14:paraId="1AE6872D" w14:textId="77777777" w:rsidR="00BE607C" w:rsidRDefault="00BE607C" w:rsidP="0087601C">
                            <w:pPr>
                              <w:jc w:val="center"/>
                              <w:rPr>
                                <w:rFonts w:ascii="Calibri" w:hAnsi="Calibri"/>
                                <w:sz w:val="22"/>
                                <w:szCs w:val="22"/>
                                <w:lang w:val="en"/>
                              </w:rPr>
                            </w:pPr>
                            <w:r>
                              <w:rPr>
                                <w:rFonts w:ascii="Calibri" w:hAnsi="Calibri"/>
                                <w:sz w:val="22"/>
                                <w:szCs w:val="22"/>
                              </w:rPr>
                              <w:t>Studies included in quantitative synthesis (meta-analysis)</w:t>
                            </w:r>
                            <w:r>
                              <w:rPr>
                                <w:rFonts w:ascii="Calibri" w:hAnsi="Calibri"/>
                                <w:sz w:val="22"/>
                                <w:szCs w:val="22"/>
                              </w:rPr>
                              <w:br/>
                              <w:t>(n =   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49F1" id="_x0000_s1038" style="position:absolute;margin-left:148.5pt;margin-top:468.9pt;width:135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">
                <v:path arrowok="t"/>
                <v:textbox inset=",7.2pt,,7.2pt">
                  <w:txbxContent>
                    <w:p w14:paraId="1AE6872D" w14:textId="77777777" w:rsidR="00BE607C" w:rsidRDefault="00BE607C" w:rsidP="0087601C">
                      <w:pPr>
                        <w:jc w:val="center"/>
                        <w:rPr>
                          <w:rFonts w:ascii="Calibri" w:hAnsi="Calibri"/>
                          <w:sz w:val="22"/>
                          <w:szCs w:val="22"/>
                          <w:lang w:val="en"/>
                        </w:rPr>
                      </w:pPr>
                      <w:r>
                        <w:rPr>
                          <w:rFonts w:ascii="Calibri" w:hAnsi="Calibri"/>
                          <w:sz w:val="22"/>
                          <w:szCs w:val="22"/>
                        </w:rPr>
                        <w:t>Studies included in quantitative synthesis (meta-analysis)</w:t>
                      </w:r>
                      <w:r>
                        <w:rPr>
                          <w:rFonts w:ascii="Calibri" w:hAnsi="Calibri"/>
                          <w:sz w:val="22"/>
                          <w:szCs w:val="22"/>
                        </w:rPr>
                        <w:br/>
                        <w:t>(n =   0)</w:t>
                      </w:r>
                    </w:p>
                  </w:txbxContent>
                </v:textbox>
              </v: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92032" behindDoc="0" locked="0" layoutInCell="1" allowOverlap="1" wp14:anchorId="4789A001" wp14:editId="05CC2F7E">
                <wp:simplePos x="0" y="0"/>
                <wp:positionH relativeFrom="column">
                  <wp:posOffset>1885950</wp:posOffset>
                </wp:positionH>
                <wp:positionV relativeFrom="paragraph">
                  <wp:posOffset>4926330</wp:posOffset>
                </wp:positionV>
                <wp:extent cx="1714500" cy="685800"/>
                <wp:effectExtent l="0" t="0" r="0" b="0"/>
                <wp:wrapNone/>
                <wp:docPr id="8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5F11EC49" w14:textId="77777777" w:rsidR="00BE607C" w:rsidRDefault="00BE607C" w:rsidP="0087601C">
                            <w:pPr>
                              <w:jc w:val="center"/>
                              <w:rPr>
                                <w:rFonts w:ascii="Calibri" w:hAnsi="Calibri"/>
                                <w:sz w:val="22"/>
                                <w:szCs w:val="22"/>
                                <w:lang w:val="en"/>
                              </w:rPr>
                            </w:pPr>
                            <w:r>
                              <w:rPr>
                                <w:rFonts w:ascii="Calibri" w:hAnsi="Calibri"/>
                                <w:sz w:val="22"/>
                                <w:szCs w:val="22"/>
                              </w:rPr>
                              <w:t>Studies included in qualitative synthesis</w:t>
                            </w:r>
                            <w:r>
                              <w:rPr>
                                <w:rFonts w:ascii="Calibri" w:hAnsi="Calibri"/>
                                <w:sz w:val="22"/>
                                <w:szCs w:val="22"/>
                              </w:rPr>
                              <w:br/>
                              <w:t>(n =   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9A001" id="_x0000_s1039" style="position:absolute;margin-left:148.5pt;margin-top:387.9pt;width:13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">
                <v:path arrowok="t"/>
                <v:textbox inset=",7.2pt,,7.2pt">
                  <w:txbxContent>
                    <w:p w14:paraId="5F11EC49" w14:textId="77777777" w:rsidR="00BE607C" w:rsidRDefault="00BE607C" w:rsidP="0087601C">
                      <w:pPr>
                        <w:jc w:val="center"/>
                        <w:rPr>
                          <w:rFonts w:ascii="Calibri" w:hAnsi="Calibri"/>
                          <w:sz w:val="22"/>
                          <w:szCs w:val="22"/>
                          <w:lang w:val="en"/>
                        </w:rPr>
                      </w:pPr>
                      <w:r>
                        <w:rPr>
                          <w:rFonts w:ascii="Calibri" w:hAnsi="Calibri"/>
                          <w:sz w:val="22"/>
                          <w:szCs w:val="22"/>
                        </w:rPr>
                        <w:t>Studies included in qualitative synthesis</w:t>
                      </w:r>
                      <w:r>
                        <w:rPr>
                          <w:rFonts w:ascii="Calibri" w:hAnsi="Calibri"/>
                          <w:sz w:val="22"/>
                          <w:szCs w:val="22"/>
                        </w:rPr>
                        <w:br/>
                        <w:t>(n =   0 )</w:t>
                      </w:r>
                    </w:p>
                  </w:txbxContent>
                </v:textbox>
              </v:rect>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99200" behindDoc="0" locked="0" layoutInCell="1" allowOverlap="1" wp14:anchorId="0546A22F" wp14:editId="01C89B67">
                <wp:simplePos x="0" y="0"/>
                <wp:positionH relativeFrom="column">
                  <wp:posOffset>3600450</wp:posOffset>
                </wp:positionH>
                <wp:positionV relativeFrom="paragraph">
                  <wp:posOffset>4240530</wp:posOffset>
                </wp:positionV>
                <wp:extent cx="628650" cy="0"/>
                <wp:effectExtent l="0" t="63500" r="0" b="63500"/>
                <wp:wrapNone/>
                <wp:docPr id="8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FF19E6" id="AutoShape 22" o:spid="_x0000_s1026" type="#_x0000_t32" style="position:absolute;margin-left:283.5pt;margin-top:333.9pt;width:49.5pt;height:0;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96128" behindDoc="0" locked="0" layoutInCell="1" allowOverlap="1" wp14:anchorId="07FE65FC" wp14:editId="459B246E">
                <wp:simplePos x="0" y="0"/>
                <wp:positionH relativeFrom="column">
                  <wp:posOffset>2743200</wp:posOffset>
                </wp:positionH>
                <wp:positionV relativeFrom="paragraph">
                  <wp:posOffset>4583430</wp:posOffset>
                </wp:positionV>
                <wp:extent cx="0" cy="342900"/>
                <wp:effectExtent l="63500" t="0" r="25400" b="25400"/>
                <wp:wrapNone/>
                <wp:docPr id="9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1A17E1" id="AutoShape 19" o:spid="_x0000_s1026" type="#_x0000_t32" style="position:absolute;margin-left:3in;margin-top:360.9pt;width:0;height:27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89984" behindDoc="0" locked="0" layoutInCell="1" allowOverlap="1" wp14:anchorId="6BD15D0D" wp14:editId="59EBA91E">
                <wp:simplePos x="0" y="0"/>
                <wp:positionH relativeFrom="column">
                  <wp:posOffset>1885950</wp:posOffset>
                </wp:positionH>
                <wp:positionV relativeFrom="paragraph">
                  <wp:posOffset>3897630</wp:posOffset>
                </wp:positionV>
                <wp:extent cx="1714500" cy="685800"/>
                <wp:effectExtent l="0" t="0" r="0" b="0"/>
                <wp:wrapNone/>
                <wp:docPr id="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72E05CDD" w14:textId="77777777" w:rsidR="00BE607C" w:rsidRDefault="00BE607C" w:rsidP="0087601C">
                            <w:pPr>
                              <w:jc w:val="center"/>
                              <w:rPr>
                                <w:rFonts w:ascii="Calibri" w:hAnsi="Calibri"/>
                                <w:sz w:val="22"/>
                                <w:szCs w:val="22"/>
                                <w:lang w:val="en"/>
                              </w:rPr>
                            </w:pPr>
                            <w:r>
                              <w:rPr>
                                <w:rFonts w:ascii="Calibri" w:hAnsi="Calibri"/>
                                <w:sz w:val="22"/>
                                <w:szCs w:val="22"/>
                              </w:rPr>
                              <w:t>Full-text articles assessed for eligibility</w:t>
                            </w:r>
                            <w:r>
                              <w:rPr>
                                <w:rFonts w:ascii="Calibri" w:hAnsi="Calibri"/>
                                <w:sz w:val="22"/>
                                <w:szCs w:val="22"/>
                              </w:rPr>
                              <w:br/>
                              <w:t>(n =  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15D0D" id="_x0000_s1040" style="position:absolute;margin-left:148.5pt;margin-top:306.9pt;width:13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">
                <v:path arrowok="t"/>
                <v:textbox inset=",7.2pt,,7.2pt">
                  <w:txbxContent>
                    <w:p w14:paraId="72E05CDD" w14:textId="77777777" w:rsidR="00BE607C" w:rsidRDefault="00BE607C" w:rsidP="0087601C">
                      <w:pPr>
                        <w:jc w:val="center"/>
                        <w:rPr>
                          <w:rFonts w:ascii="Calibri" w:hAnsi="Calibri"/>
                          <w:sz w:val="22"/>
                          <w:szCs w:val="22"/>
                          <w:lang w:val="en"/>
                        </w:rPr>
                      </w:pPr>
                      <w:r>
                        <w:rPr>
                          <w:rFonts w:ascii="Calibri" w:hAnsi="Calibri"/>
                          <w:sz w:val="22"/>
                          <w:szCs w:val="22"/>
                        </w:rPr>
                        <w:t>Full-text articles assessed for eligibility</w:t>
                      </w:r>
                      <w:r>
                        <w:rPr>
                          <w:rFonts w:ascii="Calibri" w:hAnsi="Calibri"/>
                          <w:sz w:val="22"/>
                          <w:szCs w:val="22"/>
                        </w:rPr>
                        <w:br/>
                        <w:t>(n =  14)</w:t>
                      </w:r>
                    </w:p>
                  </w:txbxContent>
                </v:textbox>
              </v:rect>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98176" behindDoc="0" locked="0" layoutInCell="1" allowOverlap="1" wp14:anchorId="40C3C53B" wp14:editId="31724067">
                <wp:simplePos x="0" y="0"/>
                <wp:positionH relativeFrom="column">
                  <wp:posOffset>3578225</wp:posOffset>
                </wp:positionH>
                <wp:positionV relativeFrom="paragraph">
                  <wp:posOffset>3268980</wp:posOffset>
                </wp:positionV>
                <wp:extent cx="650875" cy="0"/>
                <wp:effectExtent l="0" t="63500" r="0" b="63500"/>
                <wp:wrapNone/>
                <wp:docPr id="9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65045A" id="AutoShape 21" o:spid="_x0000_s1026" type="#_x0000_t32" style="position:absolute;margin-left:281.75pt;margin-top:257.4pt;width:51.25pt;height:0;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87936" behindDoc="0" locked="0" layoutInCell="1" allowOverlap="1" wp14:anchorId="071D6C57" wp14:editId="0ED1EC92">
                <wp:simplePos x="0" y="0"/>
                <wp:positionH relativeFrom="column">
                  <wp:posOffset>1908175</wp:posOffset>
                </wp:positionH>
                <wp:positionV relativeFrom="paragraph">
                  <wp:posOffset>2983230</wp:posOffset>
                </wp:positionV>
                <wp:extent cx="1670050" cy="571500"/>
                <wp:effectExtent l="0" t="0" r="6350" b="0"/>
                <wp:wrapNone/>
                <wp:docPr id="9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4918E0D1" w14:textId="77777777" w:rsidR="00BE607C" w:rsidRDefault="00BE607C" w:rsidP="0087601C">
                            <w:pPr>
                              <w:jc w:val="center"/>
                              <w:rPr>
                                <w:rFonts w:ascii="Calibri" w:hAnsi="Calibri"/>
                                <w:sz w:val="22"/>
                                <w:szCs w:val="22"/>
                                <w:lang w:val="en"/>
                              </w:rPr>
                            </w:pPr>
                            <w:r>
                              <w:rPr>
                                <w:rFonts w:ascii="Calibri" w:hAnsi="Calibri"/>
                                <w:sz w:val="22"/>
                                <w:szCs w:val="22"/>
                              </w:rPr>
                              <w:t>Records screened</w:t>
                            </w:r>
                            <w:r>
                              <w:rPr>
                                <w:rFonts w:ascii="Calibri" w:hAnsi="Calibri"/>
                                <w:sz w:val="22"/>
                                <w:szCs w:val="22"/>
                              </w:rPr>
                              <w:br/>
                              <w:t>(n =  614 )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D6C57" id="_x0000_s1041" style="position:absolute;margin-left:150.25pt;margin-top:234.9pt;width:131.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">
                <v:path arrowok="t"/>
                <v:textbox inset=",7.2pt,,7.2pt">
                  <w:txbxContent>
                    <w:p w14:paraId="4918E0D1" w14:textId="77777777" w:rsidR="00BE607C" w:rsidRDefault="00BE607C" w:rsidP="0087601C">
                      <w:pPr>
                        <w:jc w:val="center"/>
                        <w:rPr>
                          <w:rFonts w:ascii="Calibri" w:hAnsi="Calibri"/>
                          <w:sz w:val="22"/>
                          <w:szCs w:val="22"/>
                          <w:lang w:val="en"/>
                        </w:rPr>
                      </w:pPr>
                      <w:r>
                        <w:rPr>
                          <w:rFonts w:ascii="Calibri" w:hAnsi="Calibri"/>
                          <w:sz w:val="22"/>
                          <w:szCs w:val="22"/>
                        </w:rPr>
                        <w:t>Records screened</w:t>
                      </w:r>
                      <w:r>
                        <w:rPr>
                          <w:rFonts w:ascii="Calibri" w:hAnsi="Calibri"/>
                          <w:sz w:val="22"/>
                          <w:szCs w:val="22"/>
                        </w:rPr>
                        <w:br/>
                        <w:t>(n =  614 )</w:t>
                      </w:r>
                    </w:p>
                  </w:txbxContent>
                </v:textbox>
              </v:rect>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95104" behindDoc="0" locked="0" layoutInCell="1" allowOverlap="1" wp14:anchorId="266D61E6" wp14:editId="4D518B9F">
                <wp:simplePos x="0" y="0"/>
                <wp:positionH relativeFrom="column">
                  <wp:posOffset>2743200</wp:posOffset>
                </wp:positionH>
                <wp:positionV relativeFrom="paragraph">
                  <wp:posOffset>3554730</wp:posOffset>
                </wp:positionV>
                <wp:extent cx="0" cy="342900"/>
                <wp:effectExtent l="63500" t="0" r="25400" b="25400"/>
                <wp:wrapNone/>
                <wp:docPr id="9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D4680A" id="AutoShape 18" o:spid="_x0000_s1026" type="#_x0000_t32" style="position:absolute;margin-left:3in;margin-top:279.9pt;width:0;height:27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94080" behindDoc="0" locked="0" layoutInCell="1" allowOverlap="1" wp14:anchorId="4C662F26" wp14:editId="072B9D39">
                <wp:simplePos x="0" y="0"/>
                <wp:positionH relativeFrom="column">
                  <wp:posOffset>2743200</wp:posOffset>
                </wp:positionH>
                <wp:positionV relativeFrom="paragraph">
                  <wp:posOffset>2526030</wp:posOffset>
                </wp:positionV>
                <wp:extent cx="0" cy="457200"/>
                <wp:effectExtent l="63500" t="0" r="50800" b="25400"/>
                <wp:wrapNone/>
                <wp:docPr id="9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46DCA2" id="AutoShape 17" o:spid="_x0000_s1026" type="#_x0000_t32" style="position:absolute;margin-left:3in;margin-top:198.9pt;width:0;height:36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36576" distB="36576" distL="36576" distR="36576" simplePos="0" relativeHeight="251684864" behindDoc="0" locked="0" layoutInCell="1" allowOverlap="1" wp14:anchorId="2F3B5412" wp14:editId="12151181">
                <wp:simplePos x="0" y="0"/>
                <wp:positionH relativeFrom="column">
                  <wp:posOffset>1600200</wp:posOffset>
                </wp:positionH>
                <wp:positionV relativeFrom="paragraph">
                  <wp:posOffset>1497330</wp:posOffset>
                </wp:positionV>
                <wp:extent cx="0" cy="457200"/>
                <wp:effectExtent l="63500" t="0" r="50800" b="25400"/>
                <wp:wrapNone/>
                <wp:docPr id="9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F4EC9C" id="AutoShape 6" o:spid="_x0000_s1026" type="#_x0000_t32" style="position:absolute;margin-left:126pt;margin-top:117.9pt;width:0;height:36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">
                <v:stroke endarrow="block"/>
                <v:shadow color="#ccc"/>
                <o:lock v:ext="edit" shapetype="f"/>
              </v:shape>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86912" behindDoc="0" locked="0" layoutInCell="1" allowOverlap="1" wp14:anchorId="4D4D48F8" wp14:editId="28F53A65">
                <wp:simplePos x="0" y="0"/>
                <wp:positionH relativeFrom="column">
                  <wp:posOffset>1356995</wp:posOffset>
                </wp:positionH>
                <wp:positionV relativeFrom="paragraph">
                  <wp:posOffset>1954530</wp:posOffset>
                </wp:positionV>
                <wp:extent cx="2771775" cy="571500"/>
                <wp:effectExtent l="0" t="0" r="0" b="0"/>
                <wp:wrapNone/>
                <wp:docPr id="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6CE9B411" w14:textId="77777777" w:rsidR="00BE607C" w:rsidRDefault="00BE607C" w:rsidP="0087601C">
                            <w:pPr>
                              <w:jc w:val="center"/>
                              <w:rPr>
                                <w:rFonts w:ascii="Calibri" w:hAnsi="Calibri"/>
                                <w:sz w:val="22"/>
                                <w:szCs w:val="22"/>
                                <w:lang w:val="en"/>
                              </w:rPr>
                            </w:pPr>
                            <w:r>
                              <w:rPr>
                                <w:rFonts w:ascii="Calibri" w:hAnsi="Calibri"/>
                                <w:sz w:val="22"/>
                                <w:szCs w:val="22"/>
                              </w:rPr>
                              <w:t>Records after duplicates removed</w:t>
                            </w:r>
                            <w:r>
                              <w:rPr>
                                <w:rFonts w:ascii="Calibri" w:hAnsi="Calibri"/>
                                <w:sz w:val="22"/>
                                <w:szCs w:val="22"/>
                              </w:rPr>
                              <w:br/>
                              <w:t>(n =  989 )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D48F8" id="_x0000_s1042" style="position:absolute;margin-left:106.85pt;margin-top:153.9pt;width:218.2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">
                <v:path arrowok="t"/>
                <v:textbox inset=",7.2pt,,7.2pt">
                  <w:txbxContent>
                    <w:p w14:paraId="6CE9B411" w14:textId="77777777" w:rsidR="00BE607C" w:rsidRDefault="00BE607C" w:rsidP="0087601C">
                      <w:pPr>
                        <w:jc w:val="center"/>
                        <w:rPr>
                          <w:rFonts w:ascii="Calibri" w:hAnsi="Calibri"/>
                          <w:sz w:val="22"/>
                          <w:szCs w:val="22"/>
                          <w:lang w:val="en"/>
                        </w:rPr>
                      </w:pPr>
                      <w:r>
                        <w:rPr>
                          <w:rFonts w:ascii="Calibri" w:hAnsi="Calibri"/>
                          <w:sz w:val="22"/>
                          <w:szCs w:val="22"/>
                        </w:rPr>
                        <w:t>Records after duplicates removed</w:t>
                      </w:r>
                      <w:r>
                        <w:rPr>
                          <w:rFonts w:ascii="Calibri" w:hAnsi="Calibri"/>
                          <w:sz w:val="22"/>
                          <w:szCs w:val="22"/>
                        </w:rPr>
                        <w:br/>
                        <w:t>(n =  989 )</w:t>
                      </w:r>
                    </w:p>
                  </w:txbxContent>
                </v:textbox>
              </v: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85888" behindDoc="0" locked="0" layoutInCell="1" allowOverlap="1" wp14:anchorId="62CE0889" wp14:editId="152A536D">
                <wp:simplePos x="0" y="0"/>
                <wp:positionH relativeFrom="column">
                  <wp:posOffset>-994410</wp:posOffset>
                </wp:positionH>
                <wp:positionV relativeFrom="paragraph">
                  <wp:posOffset>1120140</wp:posOffset>
                </wp:positionV>
                <wp:extent cx="1371600" cy="297180"/>
                <wp:effectExtent l="3810" t="0" r="3810" b="3810"/>
                <wp:wrapNone/>
                <wp:docPr id="9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174D7207" w14:textId="77777777" w:rsidR="00BE607C" w:rsidRDefault="00BE607C" w:rsidP="0087601C">
                            <w:pPr>
                              <w:rPr>
                                <w:lang w:val="en"/>
                              </w:rPr>
                            </w:pPr>
                            <w:r>
                              <w:rPr>
                                <w:lang w:val="en"/>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E0889" id="_x0000_s1043" style="position:absolute;margin-left:-78.3pt;margin-top:88.2pt;width:108pt;height:23.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" fillcolor="#ccecff">
                <v:path arrowok="t"/>
                <v:textbox style="layout-flow:vertical;mso-layout-flow-alt:bottom-to-top" inset="3.6pt,,3.6pt">
                  <w:txbxContent>
                    <w:p w14:paraId="174D7207" w14:textId="77777777" w:rsidR="00BE607C" w:rsidRDefault="00BE607C" w:rsidP="0087601C">
                      <w:pPr>
                        <w:rPr>
                          <w:lang w:val="en"/>
                        </w:rPr>
                      </w:pPr>
                      <w:r>
                        <w:rPr>
                          <w:lang w:val="en"/>
                        </w:rPr>
                        <w:t>Identification</w:t>
                      </w:r>
                    </w:p>
                  </w:txbxContent>
                </v:textbox>
              </v:round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83840" behindDoc="0" locked="0" layoutInCell="1" allowOverlap="1" wp14:anchorId="13CF4668" wp14:editId="11CCB40A">
                <wp:simplePos x="0" y="0"/>
                <wp:positionH relativeFrom="column">
                  <wp:posOffset>-994410</wp:posOffset>
                </wp:positionH>
                <wp:positionV relativeFrom="paragraph">
                  <wp:posOffset>4320540</wp:posOffset>
                </wp:positionV>
                <wp:extent cx="1371600" cy="297180"/>
                <wp:effectExtent l="3810" t="0" r="3810" b="3810"/>
                <wp:wrapNone/>
                <wp:docPr id="10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7FEC7A57" w14:textId="77777777" w:rsidR="00BE607C" w:rsidRDefault="00BE607C" w:rsidP="0087601C">
                            <w:pPr>
                              <w:rPr>
                                <w:lang w:val="en"/>
                              </w:rPr>
                            </w:pPr>
                            <w:r>
                              <w:rPr>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F4668" id="_x0000_s1044" style="position:absolute;margin-left:-78.3pt;margin-top:340.2pt;width:108pt;height:23.4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" fillcolor="#ccecff">
                <v:path arrowok="t"/>
                <v:textbox style="layout-flow:vertical;mso-layout-flow-alt:bottom-to-top" inset="3.6pt,,3.6pt">
                  <w:txbxContent>
                    <w:p w14:paraId="7FEC7A57" w14:textId="77777777" w:rsidR="00BE607C" w:rsidRDefault="00BE607C" w:rsidP="0087601C">
                      <w:pPr>
                        <w:rPr>
                          <w:lang w:val="en"/>
                        </w:rPr>
                      </w:pPr>
                      <w:r>
                        <w:rPr>
                          <w:lang w:val="en"/>
                        </w:rPr>
                        <w:t>Eligibility</w:t>
                      </w:r>
                    </w:p>
                  </w:txbxContent>
                </v:textbox>
              </v:round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82816" behindDoc="0" locked="0" layoutInCell="1" allowOverlap="1" wp14:anchorId="75239635" wp14:editId="71466065">
                <wp:simplePos x="0" y="0"/>
                <wp:positionH relativeFrom="column">
                  <wp:posOffset>-994410</wp:posOffset>
                </wp:positionH>
                <wp:positionV relativeFrom="paragraph">
                  <wp:posOffset>5920740</wp:posOffset>
                </wp:positionV>
                <wp:extent cx="1371600" cy="297180"/>
                <wp:effectExtent l="3810" t="0" r="3810" b="3810"/>
                <wp:wrapNone/>
                <wp:docPr id="10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5BE05AF3" w14:textId="77777777" w:rsidR="00BE607C" w:rsidRDefault="00BE607C" w:rsidP="0087601C">
                            <w:pPr>
                              <w:rPr>
                                <w:lang w:val="en"/>
                              </w:rPr>
                            </w:pPr>
                            <w:r>
                              <w:rPr>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39635" id="_x0000_s1045" style="position:absolute;margin-left:-78.3pt;margin-top:466.2pt;width:108pt;height:23.4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" fillcolor="#ccecff">
                <v:path arrowok="t"/>
                <v:textbox style="layout-flow:vertical;mso-layout-flow-alt:bottom-to-top" inset="3.6pt,,3.6pt">
                  <w:txbxContent>
                    <w:p w14:paraId="5BE05AF3" w14:textId="77777777" w:rsidR="00BE607C" w:rsidRDefault="00BE607C" w:rsidP="0087601C">
                      <w:pPr>
                        <w:rPr>
                          <w:lang w:val="en"/>
                        </w:rPr>
                      </w:pPr>
                      <w:r>
                        <w:rPr>
                          <w:lang w:val="en"/>
                        </w:rPr>
                        <w:t>Included</w:t>
                      </w:r>
                    </w:p>
                  </w:txbxContent>
                </v:textbox>
              </v:round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81792" behindDoc="0" locked="0" layoutInCell="1" allowOverlap="1" wp14:anchorId="33ECE752" wp14:editId="22730C88">
                <wp:simplePos x="0" y="0"/>
                <wp:positionH relativeFrom="column">
                  <wp:posOffset>-994410</wp:posOffset>
                </wp:positionH>
                <wp:positionV relativeFrom="paragraph">
                  <wp:posOffset>2720340</wp:posOffset>
                </wp:positionV>
                <wp:extent cx="1371600" cy="297180"/>
                <wp:effectExtent l="3810" t="0" r="3810" b="3810"/>
                <wp:wrapNone/>
                <wp:docPr id="10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3A84AD98" w14:textId="77777777" w:rsidR="00BE607C" w:rsidRDefault="00BE607C" w:rsidP="0087601C">
                            <w:pPr>
                              <w:rPr>
                                <w:lang w:val="en"/>
                              </w:rPr>
                            </w:pPr>
                            <w:r>
                              <w:rPr>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CE752" id="_x0000_s1046" style="position:absolute;margin-left:-78.3pt;margin-top:214.2pt;width:108pt;height:23.4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" fillcolor="#ccecff">
                <v:path arrowok="t"/>
                <v:textbox style="layout-flow:vertical;mso-layout-flow-alt:bottom-to-top" inset="3.6pt,,3.6pt">
                  <w:txbxContent>
                    <w:p w14:paraId="3A84AD98" w14:textId="77777777" w:rsidR="00BE607C" w:rsidRDefault="00BE607C" w:rsidP="0087601C">
                      <w:pPr>
                        <w:rPr>
                          <w:lang w:val="en"/>
                        </w:rPr>
                      </w:pPr>
                      <w:r>
                        <w:rPr>
                          <w:lang w:val="en"/>
                        </w:rPr>
                        <w:t>Screening</w:t>
                      </w:r>
                    </w:p>
                  </w:txbxContent>
                </v:textbox>
              </v:roundrect>
            </w:pict>
          </mc:Fallback>
        </mc:AlternateContent>
      </w:r>
      <w:r w:rsidRPr="006A1EC7">
        <w:rPr>
          <w:rStyle w:val="Heading3Char"/>
          <w:rFonts w:ascii="Times New Roman" w:hAnsi="Times New Roman" w:cs="Times New Roman"/>
          <w:noProof/>
        </w:rPr>
        <mc:AlternateContent>
          <mc:Choice Requires="wps">
            <w:drawing>
              <wp:anchor distT="0" distB="0" distL="114300" distR="114300" simplePos="0" relativeHeight="251680768" behindDoc="0" locked="0" layoutInCell="1" allowOverlap="1" wp14:anchorId="32B48BC8" wp14:editId="53635158">
                <wp:simplePos x="0" y="0"/>
                <wp:positionH relativeFrom="column">
                  <wp:posOffset>342900</wp:posOffset>
                </wp:positionH>
                <wp:positionV relativeFrom="paragraph">
                  <wp:posOffset>811530</wp:posOffset>
                </wp:positionV>
                <wp:extent cx="2228850" cy="682625"/>
                <wp:effectExtent l="0" t="0" r="6350" b="3175"/>
                <wp:wrapNone/>
                <wp:docPr id="1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0" cy="682625"/>
                        </a:xfrm>
                        <a:prstGeom prst="rect">
                          <a:avLst/>
                        </a:prstGeom>
                        <a:solidFill>
                          <a:srgbClr val="FFFFFF"/>
                        </a:solidFill>
                        <a:ln w="9525">
                          <a:solidFill>
                            <a:srgbClr val="000000"/>
                          </a:solidFill>
                          <a:miter lim="800000"/>
                          <a:headEnd/>
                          <a:tailEnd/>
                        </a:ln>
                      </wps:spPr>
                      <wps:txbx>
                        <w:txbxContent>
                          <w:p w14:paraId="37785DE4" w14:textId="77777777" w:rsidR="00BE607C" w:rsidRDefault="00BE607C" w:rsidP="0087601C">
                            <w:pPr>
                              <w:jc w:val="center"/>
                              <w:rPr>
                                <w:rFonts w:ascii="Calibri" w:hAnsi="Calibri"/>
                                <w:sz w:val="22"/>
                                <w:szCs w:val="22"/>
                                <w:lang w:val="en"/>
                              </w:rPr>
                            </w:pPr>
                            <w:r>
                              <w:rPr>
                                <w:rFonts w:ascii="Calibri" w:hAnsi="Calibri"/>
                                <w:sz w:val="22"/>
                                <w:szCs w:val="22"/>
                              </w:rPr>
                              <w:t>Records identified through database searching</w:t>
                            </w:r>
                            <w:r>
                              <w:rPr>
                                <w:rFonts w:ascii="Calibri" w:hAnsi="Calibri"/>
                                <w:sz w:val="22"/>
                                <w:szCs w:val="22"/>
                              </w:rPr>
                              <w:br/>
                              <w:t>(n =  1603 )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48BC8" id="_x0000_s1047" style="position:absolute;margin-left:27pt;margin-top:63.9pt;width:175.5pt;height:5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">
                <v:path arrowok="t"/>
                <v:textbox inset=",7.2pt,,7.2pt">
                  <w:txbxContent>
                    <w:p w14:paraId="37785DE4" w14:textId="77777777" w:rsidR="00BE607C" w:rsidRDefault="00BE607C" w:rsidP="0087601C">
                      <w:pPr>
                        <w:jc w:val="center"/>
                        <w:rPr>
                          <w:rFonts w:ascii="Calibri" w:hAnsi="Calibri"/>
                          <w:sz w:val="22"/>
                          <w:szCs w:val="22"/>
                          <w:lang w:val="en"/>
                        </w:rPr>
                      </w:pPr>
                      <w:r>
                        <w:rPr>
                          <w:rFonts w:ascii="Calibri" w:hAnsi="Calibri"/>
                          <w:sz w:val="22"/>
                          <w:szCs w:val="22"/>
                        </w:rPr>
                        <w:t>Records identified through database searching</w:t>
                      </w:r>
                      <w:r>
                        <w:rPr>
                          <w:rFonts w:ascii="Calibri" w:hAnsi="Calibri"/>
                          <w:sz w:val="22"/>
                          <w:szCs w:val="22"/>
                        </w:rPr>
                        <w:br/>
                        <w:t>(n =  1603 )</w:t>
                      </w:r>
                    </w:p>
                  </w:txbxContent>
                </v:textbox>
              </v:rect>
            </w:pict>
          </mc:Fallback>
        </mc:AlternateContent>
      </w:r>
      <w:bookmarkStart w:id="279" w:name="_Toc17977973"/>
      <w:bookmarkStart w:id="280" w:name="_Toc38821471"/>
      <w:r w:rsidRPr="006A1EC7">
        <w:rPr>
          <w:rStyle w:val="Heading3Char"/>
          <w:rFonts w:ascii="Times New Roman" w:hAnsi="Times New Roman" w:cs="Times New Roman"/>
        </w:rPr>
        <w:t>Appendix 3.4: Prisma Diagram 2: The psychosocial impact of Wolf-Hirschhorn syndrome</w:t>
      </w:r>
      <w:r w:rsidRPr="006A1EC7">
        <w:rPr>
          <w:rStyle w:val="Heading2Char"/>
          <w:rFonts w:ascii="Times New Roman" w:hAnsi="Times New Roman" w:cs="Times New Roman"/>
        </w:rPr>
        <w:t xml:space="preserve"> </w:t>
      </w:r>
      <w:bookmarkEnd w:id="279"/>
      <w:bookmarkEnd w:id="280"/>
    </w:p>
    <w:p w14:paraId="5A50C8F6" w14:textId="77777777" w:rsidR="0087601C" w:rsidRPr="006A1EC7" w:rsidRDefault="0087601C" w:rsidP="0087601C"/>
    <w:p w14:paraId="683A65A6" w14:textId="77777777" w:rsidR="0087601C" w:rsidRPr="006A1EC7" w:rsidRDefault="0087601C" w:rsidP="0087601C">
      <w:pPr>
        <w:rPr>
          <w:color w:val="000000" w:themeColor="text1"/>
        </w:rPr>
      </w:pPr>
    </w:p>
    <w:p w14:paraId="235A7ACE" w14:textId="77777777" w:rsidR="0087601C" w:rsidRPr="006A1EC7" w:rsidRDefault="0087601C" w:rsidP="0087601C"/>
    <w:p w14:paraId="61260115" w14:textId="77777777" w:rsidR="0087601C" w:rsidRPr="006A1EC7" w:rsidRDefault="0087601C" w:rsidP="0087601C"/>
    <w:p w14:paraId="0A047114" w14:textId="77777777" w:rsidR="0087601C" w:rsidRPr="006A1EC7" w:rsidRDefault="0087601C" w:rsidP="0087601C"/>
    <w:p w14:paraId="6772B5B3" w14:textId="77777777" w:rsidR="0087601C" w:rsidRPr="006A1EC7" w:rsidRDefault="0087601C" w:rsidP="0087601C"/>
    <w:p w14:paraId="36B17F07" w14:textId="77777777" w:rsidR="0087601C" w:rsidRPr="006A1EC7" w:rsidRDefault="0087601C" w:rsidP="0087601C"/>
    <w:p w14:paraId="5262F1B4" w14:textId="77777777" w:rsidR="0087601C" w:rsidRPr="006A1EC7" w:rsidRDefault="0087601C" w:rsidP="0087601C"/>
    <w:p w14:paraId="38DF6F24" w14:textId="77777777" w:rsidR="0087601C" w:rsidRPr="006A1EC7" w:rsidRDefault="0087601C" w:rsidP="0087601C"/>
    <w:p w14:paraId="6EB78F5E" w14:textId="77777777" w:rsidR="0087601C" w:rsidRPr="006A1EC7" w:rsidRDefault="0087601C" w:rsidP="0087601C"/>
    <w:p w14:paraId="1303FA71" w14:textId="77777777" w:rsidR="0087601C" w:rsidRPr="006A1EC7" w:rsidRDefault="0087601C" w:rsidP="0087601C"/>
    <w:p w14:paraId="1AAB8D1B" w14:textId="77777777" w:rsidR="0087601C" w:rsidRPr="006A1EC7" w:rsidRDefault="0087601C" w:rsidP="0087601C"/>
    <w:p w14:paraId="4251064C" w14:textId="77777777" w:rsidR="0087601C" w:rsidRPr="006A1EC7" w:rsidRDefault="0087601C" w:rsidP="0087601C">
      <w:r w:rsidRPr="006A1EC7">
        <w:rPr>
          <w:rStyle w:val="Heading2Char"/>
          <w:rFonts w:ascii="Times New Roman" w:hAnsi="Times New Roman" w:cs="Times New Roman"/>
          <w:noProof/>
          <w:lang w:eastAsia="en-GB"/>
        </w:rPr>
        <mc:AlternateContent>
          <mc:Choice Requires="wps">
            <w:drawing>
              <wp:anchor distT="0" distB="0" distL="114300" distR="114300" simplePos="0" relativeHeight="251688960" behindDoc="0" locked="0" layoutInCell="1" allowOverlap="1" wp14:anchorId="24348712" wp14:editId="0E2E78D0">
                <wp:simplePos x="0" y="0"/>
                <wp:positionH relativeFrom="column">
                  <wp:posOffset>4226442</wp:posOffset>
                </wp:positionH>
                <wp:positionV relativeFrom="paragraph">
                  <wp:posOffset>152430</wp:posOffset>
                </wp:positionV>
                <wp:extent cx="1945758" cy="1116418"/>
                <wp:effectExtent l="0" t="0" r="10160" b="13970"/>
                <wp:wrapNone/>
                <wp:docPr id="9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758" cy="1116418"/>
                        </a:xfrm>
                        <a:prstGeom prst="rect">
                          <a:avLst/>
                        </a:prstGeom>
                        <a:solidFill>
                          <a:srgbClr val="FFFFFF"/>
                        </a:solidFill>
                        <a:ln w="9525">
                          <a:solidFill>
                            <a:srgbClr val="000000"/>
                          </a:solidFill>
                          <a:miter lim="800000"/>
                          <a:headEnd/>
                          <a:tailEnd/>
                        </a:ln>
                      </wps:spPr>
                      <wps:txbx>
                        <w:txbxContent>
                          <w:p w14:paraId="44477BEC" w14:textId="77777777" w:rsidR="00BE607C" w:rsidRDefault="00BE607C" w:rsidP="0087601C">
                            <w:pPr>
                              <w:jc w:val="center"/>
                              <w:rPr>
                                <w:rFonts w:ascii="Calibri" w:hAnsi="Calibri"/>
                                <w:sz w:val="22"/>
                                <w:szCs w:val="22"/>
                              </w:rPr>
                            </w:pPr>
                            <w:r>
                              <w:rPr>
                                <w:rFonts w:ascii="Calibri" w:hAnsi="Calibri"/>
                                <w:sz w:val="22"/>
                                <w:szCs w:val="22"/>
                              </w:rPr>
                              <w:t>Records excluded</w:t>
                            </w:r>
                            <w:r>
                              <w:rPr>
                                <w:rFonts w:ascii="Calibri" w:hAnsi="Calibri"/>
                                <w:sz w:val="22"/>
                                <w:szCs w:val="22"/>
                              </w:rPr>
                              <w:br/>
                              <w:t>(n = 600 )</w:t>
                            </w:r>
                          </w:p>
                          <w:p w14:paraId="0569D891" w14:textId="77777777" w:rsidR="00BE607C" w:rsidRDefault="00BE607C" w:rsidP="0087601C">
                            <w:pPr>
                              <w:jc w:val="center"/>
                              <w:rPr>
                                <w:rFonts w:ascii="Calibri" w:hAnsi="Calibri"/>
                                <w:sz w:val="22"/>
                                <w:szCs w:val="22"/>
                                <w:lang w:val="en"/>
                              </w:rPr>
                            </w:pPr>
                            <w:r w:rsidRPr="00C13D90">
                              <w:rPr>
                                <w:rFonts w:ascii="Calibri" w:hAnsi="Calibri"/>
                                <w:b/>
                                <w:bCs/>
                                <w:sz w:val="22"/>
                                <w:szCs w:val="22"/>
                              </w:rPr>
                              <w:t>due to the extreme</w:t>
                            </w:r>
                            <w:r>
                              <w:rPr>
                                <w:rFonts w:ascii="Calibri" w:hAnsi="Calibri"/>
                                <w:b/>
                                <w:bCs/>
                                <w:sz w:val="22"/>
                                <w:szCs w:val="22"/>
                              </w:rPr>
                              <w:t xml:space="preserve"> </w:t>
                            </w:r>
                            <w:r w:rsidRPr="00C13D90">
                              <w:rPr>
                                <w:rFonts w:ascii="Calibri" w:hAnsi="Calibri"/>
                                <w:b/>
                                <w:bCs/>
                                <w:sz w:val="22"/>
                                <w:szCs w:val="22"/>
                              </w:rPr>
                              <w:t>high number in clinical/aetiology papers</w:t>
                            </w:r>
                            <w:r>
                              <w:rPr>
                                <w:rFonts w:ascii="Calibri" w:hAnsi="Calibri"/>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48712" id="_x0000_s1048" style="position:absolute;margin-left:332.8pt;margin-top:12pt;width:153.2pt;height:8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">
                <v:path arrowok="t"/>
                <v:textbox inset=",7.2pt,,7.2pt">
                  <w:txbxContent>
                    <w:p w14:paraId="44477BEC" w14:textId="77777777" w:rsidR="00BE607C" w:rsidRDefault="00BE607C" w:rsidP="0087601C">
                      <w:pPr>
                        <w:jc w:val="center"/>
                        <w:rPr>
                          <w:rFonts w:ascii="Calibri" w:hAnsi="Calibri"/>
                          <w:sz w:val="22"/>
                          <w:szCs w:val="22"/>
                        </w:rPr>
                      </w:pPr>
                      <w:r>
                        <w:rPr>
                          <w:rFonts w:ascii="Calibri" w:hAnsi="Calibri"/>
                          <w:sz w:val="22"/>
                          <w:szCs w:val="22"/>
                        </w:rPr>
                        <w:t>Records excluded</w:t>
                      </w:r>
                      <w:r>
                        <w:rPr>
                          <w:rFonts w:ascii="Calibri" w:hAnsi="Calibri"/>
                          <w:sz w:val="22"/>
                          <w:szCs w:val="22"/>
                        </w:rPr>
                        <w:br/>
                        <w:t>(n = 600 )</w:t>
                      </w:r>
                    </w:p>
                    <w:p w14:paraId="0569D891" w14:textId="77777777" w:rsidR="00BE607C" w:rsidRDefault="00BE607C" w:rsidP="0087601C">
                      <w:pPr>
                        <w:jc w:val="center"/>
                        <w:rPr>
                          <w:rFonts w:ascii="Calibri" w:hAnsi="Calibri"/>
                          <w:sz w:val="22"/>
                          <w:szCs w:val="22"/>
                          <w:lang w:val="en"/>
                        </w:rPr>
                      </w:pPr>
                      <w:r w:rsidRPr="00C13D90">
                        <w:rPr>
                          <w:rFonts w:ascii="Calibri" w:hAnsi="Calibri"/>
                          <w:b/>
                          <w:bCs/>
                          <w:sz w:val="22"/>
                          <w:szCs w:val="22"/>
                        </w:rPr>
                        <w:t>due to the extreme</w:t>
                      </w:r>
                      <w:r>
                        <w:rPr>
                          <w:rFonts w:ascii="Calibri" w:hAnsi="Calibri"/>
                          <w:b/>
                          <w:bCs/>
                          <w:sz w:val="22"/>
                          <w:szCs w:val="22"/>
                        </w:rPr>
                        <w:t xml:space="preserve"> </w:t>
                      </w:r>
                      <w:r w:rsidRPr="00C13D90">
                        <w:rPr>
                          <w:rFonts w:ascii="Calibri" w:hAnsi="Calibri"/>
                          <w:b/>
                          <w:bCs/>
                          <w:sz w:val="22"/>
                          <w:szCs w:val="22"/>
                        </w:rPr>
                        <w:t>high number in clinical/aetiology papers</w:t>
                      </w:r>
                      <w:r>
                        <w:rPr>
                          <w:rFonts w:ascii="Calibri" w:hAnsi="Calibri"/>
                          <w:sz w:val="22"/>
                          <w:szCs w:val="22"/>
                        </w:rPr>
                        <w:t xml:space="preserve"> </w:t>
                      </w:r>
                    </w:p>
                  </w:txbxContent>
                </v:textbox>
              </v:rect>
            </w:pict>
          </mc:Fallback>
        </mc:AlternateContent>
      </w:r>
    </w:p>
    <w:p w14:paraId="396B6202" w14:textId="77777777" w:rsidR="0087601C" w:rsidRPr="006A1EC7" w:rsidRDefault="0087601C" w:rsidP="0087601C"/>
    <w:p w14:paraId="679BBCBE" w14:textId="77777777" w:rsidR="0087601C" w:rsidRPr="006A1EC7" w:rsidRDefault="0087601C" w:rsidP="0087601C"/>
    <w:p w14:paraId="5CA4B2F1" w14:textId="77777777" w:rsidR="0087601C" w:rsidRPr="006A1EC7" w:rsidRDefault="0087601C" w:rsidP="0087601C"/>
    <w:p w14:paraId="3571B34C" w14:textId="77777777" w:rsidR="0087601C" w:rsidRPr="006A1EC7" w:rsidRDefault="0087601C" w:rsidP="0087601C"/>
    <w:p w14:paraId="65F84C17" w14:textId="77777777" w:rsidR="0087601C" w:rsidRPr="006A1EC7" w:rsidRDefault="0087601C" w:rsidP="0087601C"/>
    <w:p w14:paraId="018BF443" w14:textId="77777777" w:rsidR="0087601C" w:rsidRPr="006A1EC7" w:rsidRDefault="0087601C" w:rsidP="0087601C"/>
    <w:p w14:paraId="71266303" w14:textId="77777777" w:rsidR="0087601C" w:rsidRPr="006A1EC7" w:rsidRDefault="0087601C" w:rsidP="0087601C"/>
    <w:p w14:paraId="68B15E87" w14:textId="77777777" w:rsidR="0087601C" w:rsidRPr="006A1EC7" w:rsidRDefault="0087601C" w:rsidP="0087601C"/>
    <w:p w14:paraId="778450C2" w14:textId="77777777" w:rsidR="0087601C" w:rsidRPr="006A1EC7" w:rsidRDefault="0087601C" w:rsidP="0087601C">
      <w:r w:rsidRPr="006A1EC7">
        <w:rPr>
          <w:rStyle w:val="Heading2Char"/>
          <w:rFonts w:ascii="Times New Roman" w:hAnsi="Times New Roman" w:cs="Times New Roman"/>
          <w:noProof/>
          <w:lang w:eastAsia="en-GB"/>
        </w:rPr>
        <mc:AlternateContent>
          <mc:Choice Requires="wps">
            <w:drawing>
              <wp:anchor distT="0" distB="0" distL="114300" distR="114300" simplePos="0" relativeHeight="251691008" behindDoc="0" locked="0" layoutInCell="1" allowOverlap="1" wp14:anchorId="27DD6AAD" wp14:editId="745241A4">
                <wp:simplePos x="0" y="0"/>
                <wp:positionH relativeFrom="column">
                  <wp:posOffset>4237074</wp:posOffset>
                </wp:positionH>
                <wp:positionV relativeFrom="paragraph">
                  <wp:posOffset>105454</wp:posOffset>
                </wp:positionV>
                <wp:extent cx="1714500" cy="2721935"/>
                <wp:effectExtent l="0" t="0" r="12700" b="8890"/>
                <wp:wrapNone/>
                <wp:docPr id="8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2721935"/>
                        </a:xfrm>
                        <a:prstGeom prst="rect">
                          <a:avLst/>
                        </a:prstGeom>
                        <a:solidFill>
                          <a:srgbClr val="FFFFFF"/>
                        </a:solidFill>
                        <a:ln w="9525">
                          <a:solidFill>
                            <a:srgbClr val="000000"/>
                          </a:solidFill>
                          <a:miter lim="800000"/>
                          <a:headEnd/>
                          <a:tailEnd/>
                        </a:ln>
                      </wps:spPr>
                      <wps:txbx>
                        <w:txbxContent>
                          <w:p w14:paraId="1E72C3BD" w14:textId="77777777" w:rsidR="00BE607C" w:rsidRDefault="00BE607C" w:rsidP="0087601C">
                            <w:pPr>
                              <w:jc w:val="center"/>
                              <w:rPr>
                                <w:rFonts w:ascii="Calibri" w:hAnsi="Calibri"/>
                                <w:sz w:val="22"/>
                                <w:szCs w:val="22"/>
                                <w:lang w:val="en"/>
                              </w:rPr>
                            </w:pPr>
                            <w:r>
                              <w:rPr>
                                <w:rFonts w:ascii="Calibri" w:hAnsi="Calibri"/>
                                <w:sz w:val="22"/>
                                <w:szCs w:val="22"/>
                              </w:rPr>
                              <w:t>Full-text articles excluded, with reasons</w:t>
                            </w:r>
                            <w:r>
                              <w:rPr>
                                <w:rFonts w:ascii="Calibri" w:hAnsi="Calibri"/>
                                <w:sz w:val="22"/>
                                <w:szCs w:val="22"/>
                              </w:rPr>
                              <w:br/>
                              <w:t>(n = 14):</w:t>
                            </w:r>
                          </w:p>
                          <w:p w14:paraId="33CBFE8E" w14:textId="77777777" w:rsidR="00BE607C" w:rsidRDefault="00BE607C" w:rsidP="0087601C">
                            <w:pPr>
                              <w:jc w:val="center"/>
                              <w:rPr>
                                <w:rFonts w:ascii="Calibri" w:hAnsi="Calibri"/>
                                <w:sz w:val="22"/>
                                <w:szCs w:val="22"/>
                                <w:lang w:val="en"/>
                              </w:rPr>
                            </w:pPr>
                            <w:r>
                              <w:rPr>
                                <w:rFonts w:ascii="Calibri" w:hAnsi="Calibri"/>
                                <w:sz w:val="22"/>
                                <w:szCs w:val="22"/>
                                <w:lang w:val="en"/>
                              </w:rPr>
                              <w:t>Assessment of functioning (n= 7 )</w:t>
                            </w:r>
                          </w:p>
                          <w:p w14:paraId="33F15FB5" w14:textId="77777777" w:rsidR="00BE607C" w:rsidRDefault="00BE607C" w:rsidP="0087601C">
                            <w:pPr>
                              <w:jc w:val="center"/>
                              <w:rPr>
                                <w:rFonts w:ascii="Calibri" w:hAnsi="Calibri"/>
                                <w:sz w:val="22"/>
                                <w:szCs w:val="22"/>
                                <w:lang w:val="en"/>
                              </w:rPr>
                            </w:pPr>
                            <w:r>
                              <w:rPr>
                                <w:rFonts w:ascii="Calibri" w:hAnsi="Calibri"/>
                                <w:sz w:val="22"/>
                                <w:szCs w:val="22"/>
                                <w:lang w:val="en"/>
                              </w:rPr>
                              <w:t xml:space="preserve">Clinical Case Study </w:t>
                            </w:r>
                          </w:p>
                          <w:p w14:paraId="4DF17F97" w14:textId="77777777" w:rsidR="00BE607C" w:rsidRDefault="00BE607C" w:rsidP="0087601C">
                            <w:pPr>
                              <w:jc w:val="center"/>
                              <w:rPr>
                                <w:rFonts w:ascii="Calibri" w:hAnsi="Calibri"/>
                                <w:sz w:val="22"/>
                                <w:szCs w:val="22"/>
                                <w:lang w:val="en"/>
                              </w:rPr>
                            </w:pPr>
                            <w:r>
                              <w:rPr>
                                <w:rFonts w:ascii="Calibri" w:hAnsi="Calibri"/>
                                <w:sz w:val="22"/>
                                <w:szCs w:val="22"/>
                                <w:lang w:val="en"/>
                              </w:rPr>
                              <w:t>(n = 3)</w:t>
                            </w:r>
                          </w:p>
                          <w:p w14:paraId="44B89FB8" w14:textId="77777777" w:rsidR="00BE607C" w:rsidRDefault="00BE607C" w:rsidP="0087601C">
                            <w:pPr>
                              <w:jc w:val="center"/>
                              <w:rPr>
                                <w:rFonts w:ascii="Calibri" w:hAnsi="Calibri"/>
                                <w:sz w:val="22"/>
                                <w:szCs w:val="22"/>
                                <w:lang w:val="en"/>
                              </w:rPr>
                            </w:pPr>
                            <w:r>
                              <w:rPr>
                                <w:rFonts w:ascii="Calibri" w:hAnsi="Calibri"/>
                                <w:sz w:val="22"/>
                                <w:szCs w:val="22"/>
                                <w:lang w:val="en"/>
                              </w:rPr>
                              <w:t>Clinical Management Paper</w:t>
                            </w:r>
                            <w:r>
                              <w:rPr>
                                <w:rFonts w:ascii="Calibri" w:hAnsi="Calibri"/>
                                <w:sz w:val="22"/>
                                <w:szCs w:val="22"/>
                                <w:lang w:val="en"/>
                              </w:rPr>
                              <w:br/>
                              <w:t>(n= 2 )</w:t>
                            </w:r>
                            <w:r>
                              <w:rPr>
                                <w:rFonts w:ascii="Calibri" w:hAnsi="Calibri"/>
                                <w:sz w:val="22"/>
                                <w:szCs w:val="22"/>
                                <w:lang w:val="en"/>
                              </w:rPr>
                              <w:br/>
                              <w:t>Irrelevant</w:t>
                            </w:r>
                          </w:p>
                          <w:p w14:paraId="79D423D7" w14:textId="77777777" w:rsidR="00BE607C" w:rsidRDefault="00BE607C" w:rsidP="0087601C">
                            <w:pPr>
                              <w:jc w:val="center"/>
                              <w:rPr>
                                <w:rFonts w:ascii="Calibri" w:hAnsi="Calibri"/>
                                <w:sz w:val="22"/>
                                <w:szCs w:val="22"/>
                                <w:lang w:val="en"/>
                              </w:rPr>
                            </w:pPr>
                            <w:r>
                              <w:rPr>
                                <w:rFonts w:ascii="Calibri" w:hAnsi="Calibri"/>
                                <w:sz w:val="22"/>
                                <w:szCs w:val="22"/>
                                <w:lang w:val="en"/>
                              </w:rPr>
                              <w:t>(n = 1 )</w:t>
                            </w:r>
                          </w:p>
                          <w:p w14:paraId="5A6FF2AE" w14:textId="77777777" w:rsidR="00BE607C" w:rsidRDefault="00BE607C" w:rsidP="0087601C">
                            <w:pPr>
                              <w:jc w:val="center"/>
                              <w:rPr>
                                <w:rFonts w:ascii="Calibri" w:hAnsi="Calibri"/>
                                <w:sz w:val="22"/>
                                <w:szCs w:val="22"/>
                                <w:lang w:val="en"/>
                              </w:rPr>
                            </w:pPr>
                            <w:r>
                              <w:rPr>
                                <w:rFonts w:ascii="Calibri" w:hAnsi="Calibri"/>
                                <w:sz w:val="22"/>
                                <w:szCs w:val="22"/>
                                <w:lang w:val="en"/>
                              </w:rPr>
                              <w:t>Full-text in Spanish</w:t>
                            </w:r>
                          </w:p>
                          <w:p w14:paraId="13BDD58E" w14:textId="77777777" w:rsidR="00BE607C" w:rsidRDefault="00BE607C" w:rsidP="0087601C">
                            <w:pPr>
                              <w:jc w:val="center"/>
                              <w:rPr>
                                <w:rFonts w:ascii="Calibri" w:hAnsi="Calibri"/>
                                <w:sz w:val="22"/>
                                <w:szCs w:val="22"/>
                                <w:lang w:val="en"/>
                              </w:rPr>
                            </w:pPr>
                            <w:r>
                              <w:rPr>
                                <w:rFonts w:ascii="Calibri" w:hAnsi="Calibri"/>
                                <w:sz w:val="22"/>
                                <w:szCs w:val="22"/>
                                <w:lang w:val="en"/>
                              </w:rPr>
                              <w:t>(n = 1 )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D6AAD" id="_x0000_s1049" style="position:absolute;margin-left:333.65pt;margin-top:8.3pt;width:135pt;height:21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">
                <v:path arrowok="t"/>
                <v:textbox inset=",7.2pt,,7.2pt">
                  <w:txbxContent>
                    <w:p w14:paraId="1E72C3BD" w14:textId="77777777" w:rsidR="00BE607C" w:rsidRDefault="00BE607C" w:rsidP="0087601C">
                      <w:pPr>
                        <w:jc w:val="center"/>
                        <w:rPr>
                          <w:rFonts w:ascii="Calibri" w:hAnsi="Calibri"/>
                          <w:sz w:val="22"/>
                          <w:szCs w:val="22"/>
                          <w:lang w:val="en"/>
                        </w:rPr>
                      </w:pPr>
                      <w:r>
                        <w:rPr>
                          <w:rFonts w:ascii="Calibri" w:hAnsi="Calibri"/>
                          <w:sz w:val="22"/>
                          <w:szCs w:val="22"/>
                        </w:rPr>
                        <w:t>Full-text articles excluded, with reasons</w:t>
                      </w:r>
                      <w:r>
                        <w:rPr>
                          <w:rFonts w:ascii="Calibri" w:hAnsi="Calibri"/>
                          <w:sz w:val="22"/>
                          <w:szCs w:val="22"/>
                        </w:rPr>
                        <w:br/>
                        <w:t>(n = 14):</w:t>
                      </w:r>
                    </w:p>
                    <w:p w14:paraId="33CBFE8E" w14:textId="77777777" w:rsidR="00BE607C" w:rsidRDefault="00BE607C" w:rsidP="0087601C">
                      <w:pPr>
                        <w:jc w:val="center"/>
                        <w:rPr>
                          <w:rFonts w:ascii="Calibri" w:hAnsi="Calibri"/>
                          <w:sz w:val="22"/>
                          <w:szCs w:val="22"/>
                          <w:lang w:val="en"/>
                        </w:rPr>
                      </w:pPr>
                      <w:r>
                        <w:rPr>
                          <w:rFonts w:ascii="Calibri" w:hAnsi="Calibri"/>
                          <w:sz w:val="22"/>
                          <w:szCs w:val="22"/>
                          <w:lang w:val="en"/>
                        </w:rPr>
                        <w:t>Assessment of functioning (n= 7 )</w:t>
                      </w:r>
                    </w:p>
                    <w:p w14:paraId="33F15FB5" w14:textId="77777777" w:rsidR="00BE607C" w:rsidRDefault="00BE607C" w:rsidP="0087601C">
                      <w:pPr>
                        <w:jc w:val="center"/>
                        <w:rPr>
                          <w:rFonts w:ascii="Calibri" w:hAnsi="Calibri"/>
                          <w:sz w:val="22"/>
                          <w:szCs w:val="22"/>
                          <w:lang w:val="en"/>
                        </w:rPr>
                      </w:pPr>
                      <w:r>
                        <w:rPr>
                          <w:rFonts w:ascii="Calibri" w:hAnsi="Calibri"/>
                          <w:sz w:val="22"/>
                          <w:szCs w:val="22"/>
                          <w:lang w:val="en"/>
                        </w:rPr>
                        <w:t xml:space="preserve">Clinical Case Study </w:t>
                      </w:r>
                    </w:p>
                    <w:p w14:paraId="4DF17F97" w14:textId="77777777" w:rsidR="00BE607C" w:rsidRDefault="00BE607C" w:rsidP="0087601C">
                      <w:pPr>
                        <w:jc w:val="center"/>
                        <w:rPr>
                          <w:rFonts w:ascii="Calibri" w:hAnsi="Calibri"/>
                          <w:sz w:val="22"/>
                          <w:szCs w:val="22"/>
                          <w:lang w:val="en"/>
                        </w:rPr>
                      </w:pPr>
                      <w:r>
                        <w:rPr>
                          <w:rFonts w:ascii="Calibri" w:hAnsi="Calibri"/>
                          <w:sz w:val="22"/>
                          <w:szCs w:val="22"/>
                          <w:lang w:val="en"/>
                        </w:rPr>
                        <w:t>(n = 3)</w:t>
                      </w:r>
                    </w:p>
                    <w:p w14:paraId="44B89FB8" w14:textId="77777777" w:rsidR="00BE607C" w:rsidRDefault="00BE607C" w:rsidP="0087601C">
                      <w:pPr>
                        <w:jc w:val="center"/>
                        <w:rPr>
                          <w:rFonts w:ascii="Calibri" w:hAnsi="Calibri"/>
                          <w:sz w:val="22"/>
                          <w:szCs w:val="22"/>
                          <w:lang w:val="en"/>
                        </w:rPr>
                      </w:pPr>
                      <w:r>
                        <w:rPr>
                          <w:rFonts w:ascii="Calibri" w:hAnsi="Calibri"/>
                          <w:sz w:val="22"/>
                          <w:szCs w:val="22"/>
                          <w:lang w:val="en"/>
                        </w:rPr>
                        <w:t>Clinical Management Paper</w:t>
                      </w:r>
                      <w:r>
                        <w:rPr>
                          <w:rFonts w:ascii="Calibri" w:hAnsi="Calibri"/>
                          <w:sz w:val="22"/>
                          <w:szCs w:val="22"/>
                          <w:lang w:val="en"/>
                        </w:rPr>
                        <w:br/>
                        <w:t>(n= 2 )</w:t>
                      </w:r>
                      <w:r>
                        <w:rPr>
                          <w:rFonts w:ascii="Calibri" w:hAnsi="Calibri"/>
                          <w:sz w:val="22"/>
                          <w:szCs w:val="22"/>
                          <w:lang w:val="en"/>
                        </w:rPr>
                        <w:br/>
                        <w:t>Irrelevant</w:t>
                      </w:r>
                    </w:p>
                    <w:p w14:paraId="79D423D7" w14:textId="77777777" w:rsidR="00BE607C" w:rsidRDefault="00BE607C" w:rsidP="0087601C">
                      <w:pPr>
                        <w:jc w:val="center"/>
                        <w:rPr>
                          <w:rFonts w:ascii="Calibri" w:hAnsi="Calibri"/>
                          <w:sz w:val="22"/>
                          <w:szCs w:val="22"/>
                          <w:lang w:val="en"/>
                        </w:rPr>
                      </w:pPr>
                      <w:r>
                        <w:rPr>
                          <w:rFonts w:ascii="Calibri" w:hAnsi="Calibri"/>
                          <w:sz w:val="22"/>
                          <w:szCs w:val="22"/>
                          <w:lang w:val="en"/>
                        </w:rPr>
                        <w:t>(n = 1 )</w:t>
                      </w:r>
                    </w:p>
                    <w:p w14:paraId="5A6FF2AE" w14:textId="77777777" w:rsidR="00BE607C" w:rsidRDefault="00BE607C" w:rsidP="0087601C">
                      <w:pPr>
                        <w:jc w:val="center"/>
                        <w:rPr>
                          <w:rFonts w:ascii="Calibri" w:hAnsi="Calibri"/>
                          <w:sz w:val="22"/>
                          <w:szCs w:val="22"/>
                          <w:lang w:val="en"/>
                        </w:rPr>
                      </w:pPr>
                      <w:r>
                        <w:rPr>
                          <w:rFonts w:ascii="Calibri" w:hAnsi="Calibri"/>
                          <w:sz w:val="22"/>
                          <w:szCs w:val="22"/>
                          <w:lang w:val="en"/>
                        </w:rPr>
                        <w:t>Full-text in Spanish</w:t>
                      </w:r>
                    </w:p>
                    <w:p w14:paraId="13BDD58E" w14:textId="77777777" w:rsidR="00BE607C" w:rsidRDefault="00BE607C" w:rsidP="0087601C">
                      <w:pPr>
                        <w:jc w:val="center"/>
                        <w:rPr>
                          <w:rFonts w:ascii="Calibri" w:hAnsi="Calibri"/>
                          <w:sz w:val="22"/>
                          <w:szCs w:val="22"/>
                          <w:lang w:val="en"/>
                        </w:rPr>
                      </w:pPr>
                      <w:r>
                        <w:rPr>
                          <w:rFonts w:ascii="Calibri" w:hAnsi="Calibri"/>
                          <w:sz w:val="22"/>
                          <w:szCs w:val="22"/>
                          <w:lang w:val="en"/>
                        </w:rPr>
                        <w:t>(n = 1 )</w:t>
                      </w:r>
                    </w:p>
                  </w:txbxContent>
                </v:textbox>
              </v:rect>
            </w:pict>
          </mc:Fallback>
        </mc:AlternateContent>
      </w:r>
    </w:p>
    <w:p w14:paraId="2A1B1C03" w14:textId="77777777" w:rsidR="0087601C" w:rsidRPr="006A1EC7" w:rsidRDefault="0087601C" w:rsidP="0087601C"/>
    <w:p w14:paraId="6D0E6A8A" w14:textId="77777777" w:rsidR="0087601C" w:rsidRPr="006A1EC7" w:rsidRDefault="0087601C" w:rsidP="0087601C"/>
    <w:p w14:paraId="5D1A2CF6" w14:textId="77777777" w:rsidR="0087601C" w:rsidRPr="006A1EC7" w:rsidRDefault="0087601C" w:rsidP="0087601C"/>
    <w:p w14:paraId="503BCAE2" w14:textId="77777777" w:rsidR="0087601C" w:rsidRPr="006A1EC7" w:rsidRDefault="0087601C" w:rsidP="0087601C"/>
    <w:p w14:paraId="20E32110" w14:textId="77777777" w:rsidR="0087601C" w:rsidRPr="006A1EC7" w:rsidRDefault="0087601C" w:rsidP="0087601C"/>
    <w:p w14:paraId="447817F0" w14:textId="77777777" w:rsidR="0087601C" w:rsidRPr="006A1EC7" w:rsidRDefault="0087601C" w:rsidP="0087601C"/>
    <w:p w14:paraId="4E3B23B5" w14:textId="77777777" w:rsidR="0087601C" w:rsidRPr="006A1EC7" w:rsidRDefault="0087601C" w:rsidP="0087601C"/>
    <w:p w14:paraId="4DD5C892" w14:textId="77777777" w:rsidR="0087601C" w:rsidRPr="006A1EC7" w:rsidRDefault="0087601C" w:rsidP="0087601C"/>
    <w:p w14:paraId="1D7C5F82" w14:textId="77777777" w:rsidR="0087601C" w:rsidRPr="006A1EC7" w:rsidRDefault="0087601C" w:rsidP="0087601C"/>
    <w:p w14:paraId="4768C93B" w14:textId="77777777" w:rsidR="0087601C" w:rsidRPr="006A1EC7" w:rsidRDefault="0087601C" w:rsidP="0087601C"/>
    <w:p w14:paraId="19FCAF75" w14:textId="77777777" w:rsidR="0087601C" w:rsidRPr="006A1EC7" w:rsidRDefault="0087601C" w:rsidP="0087601C"/>
    <w:p w14:paraId="0DE3D8E0" w14:textId="77777777" w:rsidR="0087601C" w:rsidRPr="006A1EC7" w:rsidRDefault="0087601C" w:rsidP="0087601C"/>
    <w:p w14:paraId="7903B3C8" w14:textId="77777777" w:rsidR="0087601C" w:rsidRPr="006A1EC7" w:rsidRDefault="0087601C" w:rsidP="0087601C">
      <w:pPr>
        <w:sectPr w:rsidR="0087601C" w:rsidRPr="006A1EC7" w:rsidSect="00D56051">
          <w:type w:val="nextColumn"/>
          <w:pgSz w:w="12240" w:h="15840"/>
          <w:pgMar w:top="1440" w:right="1701" w:bottom="1440" w:left="1701" w:header="708" w:footer="708" w:gutter="0"/>
          <w:cols w:space="708"/>
          <w:docGrid w:linePitch="360"/>
        </w:sectPr>
      </w:pPr>
    </w:p>
    <w:p w14:paraId="1E14F885" w14:textId="77777777" w:rsidR="0087601C" w:rsidRPr="006A1EC7" w:rsidRDefault="0087601C" w:rsidP="0087601C">
      <w:pPr>
        <w:pStyle w:val="Heading2"/>
        <w:rPr>
          <w:rFonts w:ascii="Times New Roman" w:hAnsi="Times New Roman" w:cs="Times New Roman"/>
        </w:rPr>
      </w:pPr>
      <w:bookmarkStart w:id="281" w:name="_Toc17977974"/>
      <w:bookmarkStart w:id="282" w:name="_Toc38821472"/>
      <w:bookmarkStart w:id="283" w:name="_Toc40173022"/>
      <w:r w:rsidRPr="006A1EC7">
        <w:rPr>
          <w:rFonts w:ascii="Times New Roman" w:hAnsi="Times New Roman" w:cs="Times New Roman"/>
        </w:rPr>
        <w:lastRenderedPageBreak/>
        <w:t>Appendix Chapter 4:</w:t>
      </w:r>
      <w:bookmarkEnd w:id="281"/>
      <w:r w:rsidRPr="006A1EC7">
        <w:rPr>
          <w:rFonts w:ascii="Times New Roman" w:hAnsi="Times New Roman" w:cs="Times New Roman"/>
        </w:rPr>
        <w:t xml:space="preserve"> Family perspectives on living with and caring for family members with Wolf-Hirschhorn syndrome: qualitative interview study to inform the development of the Clinical outcome assessment</w:t>
      </w:r>
      <w:bookmarkEnd w:id="282"/>
      <w:bookmarkEnd w:id="283"/>
    </w:p>
    <w:p w14:paraId="258EB958" w14:textId="77777777" w:rsidR="0087601C" w:rsidRPr="006A1EC7" w:rsidRDefault="0087601C" w:rsidP="0087601C"/>
    <w:p w14:paraId="6F693331" w14:textId="77777777" w:rsidR="0087601C" w:rsidRPr="006A1EC7" w:rsidRDefault="0087601C" w:rsidP="0087601C">
      <w:pPr>
        <w:pStyle w:val="Heading3"/>
        <w:rPr>
          <w:rFonts w:ascii="Times New Roman" w:hAnsi="Times New Roman" w:cs="Times New Roman"/>
        </w:rPr>
      </w:pPr>
      <w:bookmarkStart w:id="284" w:name="_Toc38821473"/>
      <w:r w:rsidRPr="006A1EC7">
        <w:rPr>
          <w:rFonts w:ascii="Times New Roman" w:hAnsi="Times New Roman" w:cs="Times New Roman"/>
        </w:rPr>
        <w:t>Appendix 4.1: NHS Ethics</w:t>
      </w:r>
      <w:bookmarkEnd w:id="284"/>
    </w:p>
    <w:p w14:paraId="31DDD0EB" w14:textId="77777777" w:rsidR="0087601C" w:rsidRPr="006A1EC7" w:rsidRDefault="0087601C" w:rsidP="0087601C"/>
    <w:p w14:paraId="25A4936D" w14:textId="77777777" w:rsidR="0087601C" w:rsidRPr="006A1EC7" w:rsidRDefault="0087601C" w:rsidP="0087601C">
      <w:r w:rsidRPr="006A1EC7">
        <w:rPr>
          <w:noProof/>
          <w:lang w:eastAsia="en-GB"/>
        </w:rPr>
        <w:drawing>
          <wp:inline distT="0" distB="0" distL="0" distR="0" wp14:anchorId="12AD25C5" wp14:editId="178EAD57">
            <wp:extent cx="5396230" cy="4213860"/>
            <wp:effectExtent l="0" t="0" r="1270" b="254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19-11-20 at 09.25.49.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4213860"/>
                    </a:xfrm>
                    <a:prstGeom prst="rect">
                      <a:avLst/>
                    </a:prstGeom>
                  </pic:spPr>
                </pic:pic>
              </a:graphicData>
            </a:graphic>
          </wp:inline>
        </w:drawing>
      </w:r>
    </w:p>
    <w:p w14:paraId="35B87E16" w14:textId="77777777" w:rsidR="0087601C" w:rsidRPr="006A1EC7" w:rsidRDefault="0087601C" w:rsidP="0087601C"/>
    <w:p w14:paraId="01C9E265" w14:textId="77777777" w:rsidR="0087601C" w:rsidRPr="006A1EC7" w:rsidRDefault="0087601C" w:rsidP="0087601C">
      <w:pPr>
        <w:pStyle w:val="Heading3"/>
        <w:rPr>
          <w:rFonts w:ascii="Times New Roman" w:hAnsi="Times New Roman" w:cs="Times New Roman"/>
        </w:rPr>
      </w:pPr>
      <w:bookmarkStart w:id="285" w:name="_Toc38821474"/>
      <w:r w:rsidRPr="006A1EC7">
        <w:rPr>
          <w:rFonts w:ascii="Times New Roman" w:hAnsi="Times New Roman" w:cs="Times New Roman"/>
        </w:rPr>
        <w:t>Appendix 4.2: Interview schedule</w:t>
      </w:r>
      <w:bookmarkEnd w:id="285"/>
    </w:p>
    <w:p w14:paraId="38FEEC59" w14:textId="77777777" w:rsidR="0087601C" w:rsidRPr="006A1EC7" w:rsidRDefault="0087601C" w:rsidP="0087601C"/>
    <w:p w14:paraId="26BDD9E5" w14:textId="77777777" w:rsidR="0087601C" w:rsidRPr="006A1EC7" w:rsidRDefault="0087601C" w:rsidP="0087601C">
      <w:pPr>
        <w:jc w:val="center"/>
        <w:rPr>
          <w:u w:val="single"/>
        </w:rPr>
      </w:pPr>
      <w:r w:rsidRPr="006A1EC7">
        <w:rPr>
          <w:u w:val="single"/>
        </w:rPr>
        <w:t>Interview schedule</w:t>
      </w:r>
    </w:p>
    <w:p w14:paraId="5C5CDC37" w14:textId="77777777" w:rsidR="0087601C" w:rsidRPr="006A1EC7" w:rsidRDefault="0087601C" w:rsidP="0087601C"/>
    <w:p w14:paraId="71790265" w14:textId="77777777" w:rsidR="0087601C" w:rsidRPr="006A1EC7" w:rsidRDefault="0087601C" w:rsidP="0087601C">
      <w:r w:rsidRPr="006A1EC7">
        <w:t>First of all, thank you for agreeing to participate in our research project and for taking the time to meet with me today.</w:t>
      </w:r>
    </w:p>
    <w:p w14:paraId="4A5DC36B" w14:textId="77777777" w:rsidR="0087601C" w:rsidRPr="006A1EC7" w:rsidRDefault="0087601C" w:rsidP="0087601C"/>
    <w:p w14:paraId="0A1EBAEA" w14:textId="77777777" w:rsidR="0087601C" w:rsidRPr="006A1EC7" w:rsidRDefault="0087601C" w:rsidP="0087601C">
      <w:r w:rsidRPr="006A1EC7">
        <w:t>As this is a research project, I just need to make sure that you understand a few things:</w:t>
      </w:r>
    </w:p>
    <w:p w14:paraId="57F54AB8" w14:textId="77777777" w:rsidR="0087601C" w:rsidRPr="006A1EC7" w:rsidRDefault="0087601C" w:rsidP="0087601C"/>
    <w:p w14:paraId="78405905" w14:textId="77777777" w:rsidR="0087601C" w:rsidRPr="006A1EC7" w:rsidRDefault="0087601C" w:rsidP="0087601C">
      <w:r w:rsidRPr="006A1EC7">
        <w:t>First, if at any point in time you feel that you wish to end the interview or not answer a question I may ask you, that is fine and we can terminate the interview at any point.</w:t>
      </w:r>
      <w:r w:rsidRPr="006A1EC7">
        <w:br/>
        <w:t>I will be asking about different aspects of your child’s Wolf-Hirschhorn syndrome, your experience with and perceptions of the different symptoms.</w:t>
      </w:r>
    </w:p>
    <w:p w14:paraId="57A40F66" w14:textId="77777777" w:rsidR="0087601C" w:rsidRPr="006A1EC7" w:rsidRDefault="0087601C" w:rsidP="0087601C"/>
    <w:p w14:paraId="4BEF9C30" w14:textId="77777777" w:rsidR="0087601C" w:rsidRPr="006A1EC7" w:rsidRDefault="0087601C" w:rsidP="0087601C">
      <w:r w:rsidRPr="006A1EC7">
        <w:t>Mainly I will be asking you about symptoms of WHS and the impact on both your child’s life and yours.</w:t>
      </w:r>
    </w:p>
    <w:p w14:paraId="4247B900" w14:textId="77777777" w:rsidR="0087601C" w:rsidRPr="006A1EC7" w:rsidRDefault="0087601C" w:rsidP="0087601C"/>
    <w:p w14:paraId="54910D7D" w14:textId="77777777" w:rsidR="0087601C" w:rsidRPr="006A1EC7" w:rsidRDefault="0087601C" w:rsidP="0087601C">
      <w:r w:rsidRPr="006A1EC7">
        <w:lastRenderedPageBreak/>
        <w:t>Secondly, if you mention people by their names in the interview today, don’t worry – all names will be changed in the research process, so that no one can identify you, your child or anyone mentioned in the interviews. Which means that your participation is anonymous, and no one will be able to identify you as a participant once we have completed the research process.</w:t>
      </w:r>
    </w:p>
    <w:p w14:paraId="5BBF621B" w14:textId="77777777" w:rsidR="0087601C" w:rsidRPr="006A1EC7" w:rsidRDefault="0087601C" w:rsidP="0087601C"/>
    <w:p w14:paraId="58237CA6" w14:textId="77777777" w:rsidR="0087601C" w:rsidRPr="006A1EC7" w:rsidRDefault="0087601C" w:rsidP="0087601C">
      <w:r w:rsidRPr="006A1EC7">
        <w:t>Thirdly, the interview will be audio taped, so that we can use it for the basis of the clinical outcome assessment that we’re trying to create. But it will be transcribed, which means written out once we’ve had the interview and the original interview will be deleted. Do you give your consent to being audio recorded?</w:t>
      </w:r>
    </w:p>
    <w:p w14:paraId="6471DA26" w14:textId="77777777" w:rsidR="0087601C" w:rsidRPr="006A1EC7" w:rsidRDefault="0087601C" w:rsidP="0087601C"/>
    <w:p w14:paraId="7ECAC894" w14:textId="77777777" w:rsidR="0087601C" w:rsidRPr="006A1EC7" w:rsidRDefault="0087601C" w:rsidP="0087601C">
      <w:r w:rsidRPr="006A1EC7">
        <w:t>Here is the Consent form, where you can indicate that you have understood your rights, do you have any questions at all?</w:t>
      </w:r>
    </w:p>
    <w:p w14:paraId="447DE1BB" w14:textId="77777777" w:rsidR="0087601C" w:rsidRPr="006A1EC7" w:rsidRDefault="0087601C" w:rsidP="0087601C"/>
    <w:p w14:paraId="2C49A877" w14:textId="77777777" w:rsidR="0087601C" w:rsidRPr="006A1EC7" w:rsidRDefault="0087601C" w:rsidP="0087601C">
      <w:pPr>
        <w:rPr>
          <w:i/>
        </w:rPr>
      </w:pPr>
      <w:r w:rsidRPr="006A1EC7">
        <w:rPr>
          <w:i/>
        </w:rPr>
        <w:t>Participant signs consent form.</w:t>
      </w:r>
    </w:p>
    <w:p w14:paraId="20D0956E" w14:textId="77777777" w:rsidR="0087601C" w:rsidRPr="006A1EC7" w:rsidRDefault="0087601C" w:rsidP="0087601C">
      <w:pPr>
        <w:rPr>
          <w:i/>
        </w:rPr>
      </w:pPr>
    </w:p>
    <w:p w14:paraId="7D015946" w14:textId="77777777" w:rsidR="0087601C" w:rsidRPr="006A1EC7" w:rsidRDefault="0087601C" w:rsidP="0087601C">
      <w:r w:rsidRPr="006A1EC7">
        <w:t xml:space="preserve">Thank you, I will now turn on the audio recorder. </w:t>
      </w:r>
    </w:p>
    <w:p w14:paraId="37CADB1A" w14:textId="77777777" w:rsidR="0087601C" w:rsidRPr="006A1EC7" w:rsidRDefault="0087601C" w:rsidP="0087601C"/>
    <w:p w14:paraId="7C4433E8" w14:textId="77777777" w:rsidR="0087601C" w:rsidRPr="006A1EC7" w:rsidRDefault="0087601C" w:rsidP="0087601C">
      <w:r w:rsidRPr="006A1EC7">
        <w:t xml:space="preserve">Kathy turns on audio recorder, starting with </w:t>
      </w:r>
      <w:r w:rsidRPr="006A1EC7">
        <w:rPr>
          <w:i/>
        </w:rPr>
        <w:t>“This is interview X on date”</w:t>
      </w:r>
      <w:r w:rsidRPr="006A1EC7">
        <w:t xml:space="preserve"> and notes interview number on consent form.</w:t>
      </w:r>
    </w:p>
    <w:p w14:paraId="5F8845B6" w14:textId="77777777" w:rsidR="0087601C" w:rsidRPr="006A1EC7" w:rsidRDefault="0087601C" w:rsidP="0087601C"/>
    <w:p w14:paraId="09E74FD5" w14:textId="77777777" w:rsidR="0087601C" w:rsidRPr="006A1EC7" w:rsidRDefault="0087601C" w:rsidP="0087601C">
      <w:pPr>
        <w:pStyle w:val="ListParagraph"/>
        <w:numPr>
          <w:ilvl w:val="0"/>
          <w:numId w:val="36"/>
        </w:numPr>
        <w:spacing w:after="0"/>
        <w:rPr>
          <w:rFonts w:ascii="Times New Roman" w:hAnsi="Times New Roman" w:cs="Times New Roman"/>
        </w:rPr>
      </w:pPr>
      <w:r w:rsidRPr="006A1EC7">
        <w:rPr>
          <w:rFonts w:ascii="Times New Roman" w:hAnsi="Times New Roman" w:cs="Times New Roman"/>
        </w:rPr>
        <w:t>I’d like to start with a very broad question, and learn a little bit about you and your child. So my first question is for you to just tell me a little bit about your child and how you came to know he/she had Wolf-Hirschhorn syndrome.</w:t>
      </w:r>
    </w:p>
    <w:p w14:paraId="09EE4366" w14:textId="77777777" w:rsidR="0087601C" w:rsidRPr="006A1EC7" w:rsidRDefault="0087601C" w:rsidP="0087601C">
      <w:pPr>
        <w:pStyle w:val="ListParagraph"/>
        <w:ind w:left="1440"/>
        <w:rPr>
          <w:rFonts w:ascii="Times New Roman" w:hAnsi="Times New Roman" w:cs="Times New Roman"/>
        </w:rPr>
      </w:pPr>
      <w:r w:rsidRPr="006A1EC7">
        <w:rPr>
          <w:rFonts w:ascii="Times New Roman" w:hAnsi="Times New Roman" w:cs="Times New Roman"/>
        </w:rPr>
        <w:t>When and how was your child diagnosed?</w:t>
      </w:r>
    </w:p>
    <w:p w14:paraId="149C4931" w14:textId="77777777" w:rsidR="0087601C" w:rsidRPr="006A1EC7" w:rsidRDefault="0087601C" w:rsidP="0087601C">
      <w:pPr>
        <w:pStyle w:val="ListParagraph"/>
        <w:ind w:left="1440"/>
        <w:rPr>
          <w:rFonts w:ascii="Times New Roman" w:hAnsi="Times New Roman" w:cs="Times New Roman"/>
        </w:rPr>
      </w:pPr>
      <w:r w:rsidRPr="006A1EC7">
        <w:rPr>
          <w:rFonts w:ascii="Times New Roman" w:hAnsi="Times New Roman" w:cs="Times New Roman"/>
        </w:rPr>
        <w:t>What did you do when you found out you had/were expecting a child with WHS?</w:t>
      </w:r>
    </w:p>
    <w:p w14:paraId="4AB0ABED" w14:textId="77777777" w:rsidR="0087601C" w:rsidRPr="006A1EC7" w:rsidRDefault="0087601C" w:rsidP="0087601C">
      <w:pPr>
        <w:pStyle w:val="ListParagraph"/>
        <w:ind w:left="1440"/>
        <w:rPr>
          <w:rFonts w:ascii="Times New Roman" w:hAnsi="Times New Roman" w:cs="Times New Roman"/>
        </w:rPr>
      </w:pPr>
    </w:p>
    <w:p w14:paraId="76C075BE" w14:textId="77777777" w:rsidR="0087601C" w:rsidRPr="006A1EC7" w:rsidRDefault="0087601C" w:rsidP="0087601C">
      <w:pPr>
        <w:rPr>
          <w:i/>
        </w:rPr>
      </w:pPr>
    </w:p>
    <w:p w14:paraId="5071E146" w14:textId="77777777" w:rsidR="0087601C" w:rsidRPr="006A1EC7" w:rsidRDefault="0087601C" w:rsidP="0087601C">
      <w:pPr>
        <w:rPr>
          <w:i/>
        </w:rPr>
      </w:pPr>
      <w:r w:rsidRPr="006A1EC7">
        <w:rPr>
          <w:i/>
        </w:rPr>
        <w:t>(Kathy takes notes if anything of particular interest is said)</w:t>
      </w:r>
    </w:p>
    <w:p w14:paraId="3BDC1FF5" w14:textId="77777777" w:rsidR="0087601C" w:rsidRPr="006A1EC7" w:rsidRDefault="0087601C" w:rsidP="0087601C">
      <w:pPr>
        <w:rPr>
          <w:i/>
        </w:rPr>
      </w:pPr>
    </w:p>
    <w:p w14:paraId="06C2D891" w14:textId="77777777" w:rsidR="0087601C" w:rsidRPr="006A1EC7" w:rsidRDefault="0087601C" w:rsidP="0087601C">
      <w:pPr>
        <w:ind w:left="1080"/>
      </w:pPr>
      <w:r w:rsidRPr="006A1EC7">
        <w:t>Before we go into my questions, I’d just like to ask you one more thing… which symptom which symptom, or symptoms, do you think is the most challenging one to you?</w:t>
      </w:r>
    </w:p>
    <w:p w14:paraId="7BFAEEFD" w14:textId="77777777" w:rsidR="0087601C" w:rsidRPr="006A1EC7" w:rsidRDefault="0087601C" w:rsidP="0087601C">
      <w:pPr>
        <w:pStyle w:val="ListParagraph"/>
        <w:ind w:left="1440"/>
        <w:rPr>
          <w:rFonts w:ascii="Times New Roman" w:hAnsi="Times New Roman" w:cs="Times New Roman"/>
        </w:rPr>
      </w:pPr>
    </w:p>
    <w:p w14:paraId="64AF6894" w14:textId="77777777" w:rsidR="0087601C" w:rsidRPr="006A1EC7" w:rsidRDefault="0087601C" w:rsidP="0087601C">
      <w:r w:rsidRPr="006A1EC7">
        <w:t>Ask about them a bit more, depending on what they are.</w:t>
      </w:r>
      <w:r w:rsidRPr="006A1EC7">
        <w:br/>
        <w:t>(if it already covers one of the next questions, we can jump and come back)</w:t>
      </w:r>
    </w:p>
    <w:p w14:paraId="384BDB98" w14:textId="77777777" w:rsidR="0087601C" w:rsidRPr="006A1EC7" w:rsidRDefault="0087601C" w:rsidP="0087601C"/>
    <w:p w14:paraId="51342A4A" w14:textId="77777777" w:rsidR="0087601C" w:rsidRPr="006A1EC7" w:rsidRDefault="0087601C" w:rsidP="0087601C">
      <w:r w:rsidRPr="006A1EC7">
        <w:t>Is there anything else about your child’s health that causes you concern?</w:t>
      </w:r>
    </w:p>
    <w:p w14:paraId="59472B14" w14:textId="77777777" w:rsidR="0087601C" w:rsidRPr="006A1EC7" w:rsidRDefault="0087601C" w:rsidP="0087601C"/>
    <w:p w14:paraId="1A4C8213" w14:textId="77777777" w:rsidR="0087601C" w:rsidRPr="006A1EC7" w:rsidRDefault="0087601C" w:rsidP="0087601C"/>
    <w:p w14:paraId="0426C449" w14:textId="77777777" w:rsidR="0087601C" w:rsidRPr="006A1EC7" w:rsidRDefault="0087601C" w:rsidP="0087601C"/>
    <w:p w14:paraId="5E44CC88" w14:textId="77777777" w:rsidR="0087601C" w:rsidRPr="006A1EC7" w:rsidRDefault="0087601C" w:rsidP="0087601C">
      <w:pPr>
        <w:pStyle w:val="ListParagraph"/>
        <w:ind w:left="1440"/>
        <w:rPr>
          <w:rFonts w:ascii="Times New Roman" w:hAnsi="Times New Roman" w:cs="Times New Roman"/>
        </w:rPr>
      </w:pPr>
      <w:r w:rsidRPr="006A1EC7">
        <w:rPr>
          <w:rFonts w:ascii="Times New Roman" w:hAnsi="Times New Roman" w:cs="Times New Roman"/>
        </w:rPr>
        <w:t>If maybe I start with the best known and most common symptoms, and then we can move on to more specific symptoms that your child may or may not experience, if that’s okay.</w:t>
      </w:r>
    </w:p>
    <w:p w14:paraId="10675719" w14:textId="77777777" w:rsidR="0087601C" w:rsidRPr="006A1EC7" w:rsidRDefault="0087601C" w:rsidP="004318F8">
      <w:r w:rsidRPr="006A1EC7">
        <w:rPr>
          <w:color w:val="000000" w:themeColor="text1"/>
        </w:rPr>
        <w:t xml:space="preserve">So firstly, </w:t>
      </w:r>
      <w:r w:rsidRPr="006A1EC7">
        <w:rPr>
          <w:color w:val="FF0000"/>
        </w:rPr>
        <w:t>Epilepsy</w:t>
      </w:r>
      <w:r w:rsidRPr="006A1EC7">
        <w:t xml:space="preserve">: As you’ve said/many people report/typically Epilepsy is a big problem for many Wolf-Hirschhorn patients and their families, what is your experience with this symptom? </w:t>
      </w:r>
    </w:p>
    <w:p w14:paraId="1C2FCCA9" w14:textId="77777777" w:rsidR="004318F8" w:rsidRPr="006A1EC7" w:rsidRDefault="004318F8" w:rsidP="004318F8">
      <w:pPr>
        <w:rPr>
          <w:color w:val="000000" w:themeColor="text1"/>
        </w:rPr>
      </w:pPr>
    </w:p>
    <w:p w14:paraId="67851DD1" w14:textId="3D37AE8B" w:rsidR="0087601C" w:rsidRPr="006A1EC7" w:rsidRDefault="0087601C" w:rsidP="004318F8">
      <w:r w:rsidRPr="006A1EC7">
        <w:rPr>
          <w:color w:val="000000" w:themeColor="text1"/>
        </w:rPr>
        <w:lastRenderedPageBreak/>
        <w:t>Are there any other conditions, or experiences, relating to Epilepsy that you’d like to tell me about</w:t>
      </w:r>
      <w:r w:rsidRPr="006A1EC7">
        <w:t>?</w:t>
      </w:r>
    </w:p>
    <w:p w14:paraId="419EB600" w14:textId="77777777" w:rsidR="004318F8" w:rsidRPr="006A1EC7" w:rsidRDefault="004318F8" w:rsidP="004318F8">
      <w:pPr>
        <w:rPr>
          <w:color w:val="000000" w:themeColor="text1"/>
        </w:rPr>
      </w:pPr>
    </w:p>
    <w:p w14:paraId="3AAF876D" w14:textId="1463541E" w:rsidR="0087601C" w:rsidRPr="006A1EC7" w:rsidRDefault="0087601C" w:rsidP="004318F8">
      <w:pPr>
        <w:rPr>
          <w:color w:val="000000" w:themeColor="text1"/>
        </w:rPr>
      </w:pPr>
      <w:r w:rsidRPr="006A1EC7">
        <w:rPr>
          <w:color w:val="000000" w:themeColor="text1"/>
        </w:rPr>
        <w:t xml:space="preserve">Secondly, </w:t>
      </w:r>
      <w:r w:rsidRPr="006A1EC7">
        <w:rPr>
          <w:color w:val="FF0000"/>
        </w:rPr>
        <w:t>Feeding/Eating</w:t>
      </w:r>
      <w:r w:rsidRPr="006A1EC7">
        <w:rPr>
          <w:color w:val="000000" w:themeColor="text1"/>
        </w:rPr>
        <w:t xml:space="preserve">: Let’s talk about feeding, and eating. </w:t>
      </w:r>
    </w:p>
    <w:p w14:paraId="7AEB338A" w14:textId="490E601F" w:rsidR="0087601C" w:rsidRPr="006A1EC7" w:rsidRDefault="0087601C" w:rsidP="004318F8">
      <w:pPr>
        <w:rPr>
          <w:color w:val="000000" w:themeColor="text1"/>
        </w:rPr>
      </w:pPr>
      <w:r w:rsidRPr="006A1EC7">
        <w:rPr>
          <w:color w:val="000000" w:themeColor="text1"/>
        </w:rPr>
        <w:t>What and how can your child eat at the moment?</w:t>
      </w:r>
    </w:p>
    <w:p w14:paraId="2C253842" w14:textId="77777777" w:rsidR="0087601C" w:rsidRPr="006A1EC7" w:rsidRDefault="0087601C" w:rsidP="004318F8">
      <w:pPr>
        <w:rPr>
          <w:color w:val="000000" w:themeColor="text1"/>
        </w:rPr>
      </w:pPr>
      <w:r w:rsidRPr="006A1EC7">
        <w:rPr>
          <w:color w:val="000000" w:themeColor="text1"/>
        </w:rPr>
        <w:t xml:space="preserve">How do you manage this best? </w:t>
      </w:r>
      <w:r w:rsidRPr="006A1EC7">
        <w:rPr>
          <w:color w:val="000000" w:themeColor="text1"/>
        </w:rPr>
        <w:br/>
      </w:r>
    </w:p>
    <w:p w14:paraId="2AEC1106" w14:textId="77777777" w:rsidR="0087601C" w:rsidRPr="006A1EC7" w:rsidRDefault="0087601C" w:rsidP="004318F8">
      <w:r w:rsidRPr="006A1EC7">
        <w:t>To which extent does this impact your child’s life, and your life alike?</w:t>
      </w:r>
    </w:p>
    <w:p w14:paraId="3D55CCE0" w14:textId="77777777" w:rsidR="0087601C" w:rsidRPr="006A1EC7" w:rsidRDefault="0087601C" w:rsidP="0087601C">
      <w:pPr>
        <w:pStyle w:val="ListParagraph"/>
        <w:ind w:left="1440"/>
        <w:rPr>
          <w:rFonts w:ascii="Times New Roman" w:hAnsi="Times New Roman" w:cs="Times New Roman"/>
        </w:rPr>
      </w:pPr>
    </w:p>
    <w:p w14:paraId="1FA181F9" w14:textId="77777777" w:rsidR="0087601C" w:rsidRPr="006A1EC7" w:rsidRDefault="0087601C" w:rsidP="004318F8">
      <w:r w:rsidRPr="006A1EC7">
        <w:t>If applicable: Does your child experience any problems with constipation?</w:t>
      </w:r>
    </w:p>
    <w:p w14:paraId="1203E3B5" w14:textId="77777777" w:rsidR="0087601C" w:rsidRPr="006A1EC7" w:rsidRDefault="0087601C" w:rsidP="0087601C">
      <w:pPr>
        <w:pStyle w:val="ListParagraph"/>
        <w:ind w:left="1440"/>
        <w:rPr>
          <w:rFonts w:ascii="Times New Roman" w:hAnsi="Times New Roman" w:cs="Times New Roman"/>
          <w:color w:val="000000" w:themeColor="text1"/>
        </w:rPr>
      </w:pPr>
    </w:p>
    <w:p w14:paraId="3A435DB6" w14:textId="77777777" w:rsidR="0087601C" w:rsidRPr="006A1EC7" w:rsidRDefault="0087601C" w:rsidP="004318F8">
      <w:r w:rsidRPr="006A1EC7">
        <w:rPr>
          <w:color w:val="000000" w:themeColor="text1"/>
        </w:rPr>
        <w:t xml:space="preserve">Thirdly, </w:t>
      </w:r>
      <w:r w:rsidRPr="006A1EC7">
        <w:rPr>
          <w:color w:val="FF0000"/>
        </w:rPr>
        <w:t>Learning disability</w:t>
      </w:r>
      <w:r w:rsidRPr="006A1EC7">
        <w:t>: One of the core features of WHS is learning disability; what is your experience of raising a child with WHS and learning disability?</w:t>
      </w:r>
    </w:p>
    <w:p w14:paraId="456EE97B" w14:textId="77777777" w:rsidR="0087601C" w:rsidRPr="006A1EC7" w:rsidRDefault="0087601C" w:rsidP="0087601C">
      <w:pPr>
        <w:pStyle w:val="ListParagraph"/>
        <w:ind w:left="1440"/>
        <w:rPr>
          <w:rFonts w:ascii="Times New Roman" w:hAnsi="Times New Roman" w:cs="Times New Roman"/>
        </w:rPr>
      </w:pPr>
    </w:p>
    <w:p w14:paraId="4AFFEFC5" w14:textId="77777777" w:rsidR="0087601C" w:rsidRPr="006A1EC7" w:rsidRDefault="0087601C" w:rsidP="004318F8">
      <w:r w:rsidRPr="006A1EC7">
        <w:t>To which extent does this impact your child’s life, and your life alike?</w:t>
      </w:r>
    </w:p>
    <w:p w14:paraId="579E3B78" w14:textId="77777777" w:rsidR="0087601C" w:rsidRPr="006A1EC7" w:rsidRDefault="0087601C" w:rsidP="0087601C">
      <w:pPr>
        <w:pStyle w:val="ListParagraph"/>
        <w:ind w:left="1440"/>
        <w:rPr>
          <w:rFonts w:ascii="Times New Roman" w:hAnsi="Times New Roman" w:cs="Times New Roman"/>
          <w:color w:val="FF0000"/>
        </w:rPr>
      </w:pPr>
    </w:p>
    <w:p w14:paraId="6C5C61CD" w14:textId="77777777" w:rsidR="0087601C" w:rsidRPr="006A1EC7" w:rsidRDefault="0087601C" w:rsidP="004318F8">
      <w:pPr>
        <w:rPr>
          <w:color w:val="000000" w:themeColor="text1"/>
        </w:rPr>
      </w:pPr>
      <w:r w:rsidRPr="006A1EC7">
        <w:rPr>
          <w:color w:val="000000" w:themeColor="text1"/>
        </w:rPr>
        <w:t xml:space="preserve">Then, lets’s move onto </w:t>
      </w:r>
      <w:r w:rsidRPr="006A1EC7">
        <w:rPr>
          <w:color w:val="FF0000"/>
        </w:rPr>
        <w:t xml:space="preserve">Hearing: </w:t>
      </w:r>
      <w:r w:rsidRPr="006A1EC7">
        <w:rPr>
          <w:color w:val="000000" w:themeColor="text1"/>
        </w:rPr>
        <w:t>Some individuals with WHS have problems with their ears or their hearing, how is it with your child?</w:t>
      </w:r>
    </w:p>
    <w:p w14:paraId="2F20F54D" w14:textId="77777777" w:rsidR="0087601C" w:rsidRPr="006A1EC7" w:rsidRDefault="0087601C" w:rsidP="0087601C">
      <w:pPr>
        <w:pStyle w:val="ListParagraph"/>
        <w:ind w:left="1440"/>
        <w:rPr>
          <w:rFonts w:ascii="Times New Roman" w:hAnsi="Times New Roman" w:cs="Times New Roman"/>
          <w:color w:val="000000" w:themeColor="text1"/>
        </w:rPr>
      </w:pPr>
    </w:p>
    <w:p w14:paraId="1E6F6051" w14:textId="77777777" w:rsidR="0087601C" w:rsidRPr="006A1EC7" w:rsidRDefault="0087601C" w:rsidP="004318F8">
      <w:pPr>
        <w:rPr>
          <w:color w:val="000000" w:themeColor="text1"/>
        </w:rPr>
      </w:pPr>
      <w:r w:rsidRPr="006A1EC7">
        <w:rPr>
          <w:color w:val="000000" w:themeColor="text1"/>
        </w:rPr>
        <w:t>How do you manage it?</w:t>
      </w:r>
    </w:p>
    <w:p w14:paraId="31CED8FF" w14:textId="77777777" w:rsidR="0087601C" w:rsidRPr="006A1EC7" w:rsidRDefault="0087601C" w:rsidP="0087601C">
      <w:pPr>
        <w:pStyle w:val="ListParagraph"/>
        <w:ind w:left="1440"/>
        <w:rPr>
          <w:rFonts w:ascii="Times New Roman" w:hAnsi="Times New Roman" w:cs="Times New Roman"/>
          <w:color w:val="000000" w:themeColor="text1"/>
        </w:rPr>
      </w:pPr>
    </w:p>
    <w:p w14:paraId="676772BF" w14:textId="77777777" w:rsidR="0087601C" w:rsidRPr="006A1EC7" w:rsidRDefault="0087601C" w:rsidP="004318F8">
      <w:r w:rsidRPr="006A1EC7">
        <w:t>To which extent does this impact your child’s life, and your life alike?</w:t>
      </w:r>
    </w:p>
    <w:p w14:paraId="06A9E780" w14:textId="77777777" w:rsidR="0087601C" w:rsidRPr="006A1EC7" w:rsidRDefault="0087601C" w:rsidP="0087601C">
      <w:pPr>
        <w:pStyle w:val="ListParagraph"/>
        <w:ind w:left="1440"/>
        <w:rPr>
          <w:rFonts w:ascii="Times New Roman" w:hAnsi="Times New Roman" w:cs="Times New Roman"/>
        </w:rPr>
      </w:pPr>
    </w:p>
    <w:p w14:paraId="3F22D25F" w14:textId="51C43866" w:rsidR="0087601C" w:rsidRPr="006A1EC7" w:rsidRDefault="0087601C" w:rsidP="004318F8">
      <w:r w:rsidRPr="006A1EC7">
        <w:rPr>
          <w:color w:val="FF0000"/>
        </w:rPr>
        <w:t>Learning disability</w:t>
      </w:r>
      <w:r w:rsidRPr="006A1EC7">
        <w:t>: One of the core features of WHS, as you probably</w:t>
      </w:r>
      <w:r w:rsidR="004318F8" w:rsidRPr="006A1EC7">
        <w:t xml:space="preserve"> </w:t>
      </w:r>
      <w:r w:rsidRPr="006A1EC7">
        <w:t>know, is learning disability; what is your experience of raising a child with WHS and learning disability?</w:t>
      </w:r>
    </w:p>
    <w:p w14:paraId="35ED5B2E" w14:textId="77777777" w:rsidR="0087601C" w:rsidRPr="006A1EC7" w:rsidRDefault="0087601C" w:rsidP="0087601C">
      <w:pPr>
        <w:pStyle w:val="ListParagraph"/>
        <w:ind w:left="1440"/>
        <w:rPr>
          <w:rFonts w:ascii="Times New Roman" w:hAnsi="Times New Roman" w:cs="Times New Roman"/>
        </w:rPr>
      </w:pPr>
    </w:p>
    <w:p w14:paraId="6DCFD74A" w14:textId="77777777" w:rsidR="0087601C" w:rsidRPr="006A1EC7" w:rsidRDefault="0087601C" w:rsidP="004318F8">
      <w:r w:rsidRPr="006A1EC7">
        <w:t>To which extent does this impact your child’s life, and your life alike?</w:t>
      </w:r>
    </w:p>
    <w:p w14:paraId="59831B15" w14:textId="77777777" w:rsidR="0087601C" w:rsidRPr="006A1EC7" w:rsidRDefault="0087601C" w:rsidP="0087601C">
      <w:pPr>
        <w:pStyle w:val="ListParagraph"/>
        <w:ind w:left="1440"/>
        <w:rPr>
          <w:rFonts w:ascii="Times New Roman" w:hAnsi="Times New Roman" w:cs="Times New Roman"/>
        </w:rPr>
      </w:pPr>
    </w:p>
    <w:p w14:paraId="15B2CF5F" w14:textId="77777777" w:rsidR="0087601C" w:rsidRPr="006A1EC7" w:rsidRDefault="0087601C" w:rsidP="004318F8">
      <w:r w:rsidRPr="006A1EC7">
        <w:t xml:space="preserve">Learning disability is somewhat related to the child’s ability to develop </w:t>
      </w:r>
      <w:r w:rsidRPr="006A1EC7">
        <w:rPr>
          <w:color w:val="FF0000"/>
        </w:rPr>
        <w:t>speech and use language</w:t>
      </w:r>
      <w:r w:rsidRPr="006A1EC7">
        <w:t>. How is it with your child?</w:t>
      </w:r>
    </w:p>
    <w:p w14:paraId="07CA21B8" w14:textId="77777777" w:rsidR="0087601C" w:rsidRPr="006A1EC7" w:rsidRDefault="0087601C" w:rsidP="0087601C">
      <w:pPr>
        <w:pStyle w:val="ListParagraph"/>
        <w:ind w:left="1440"/>
        <w:rPr>
          <w:rFonts w:ascii="Times New Roman" w:hAnsi="Times New Roman" w:cs="Times New Roman"/>
        </w:rPr>
      </w:pPr>
    </w:p>
    <w:p w14:paraId="707C37C7" w14:textId="77777777" w:rsidR="0087601C" w:rsidRPr="006A1EC7" w:rsidRDefault="0087601C" w:rsidP="004318F8">
      <w:r w:rsidRPr="006A1EC7">
        <w:t xml:space="preserve">Moving on, I’d like to talk about your child’s </w:t>
      </w:r>
      <w:r w:rsidRPr="006A1EC7">
        <w:rPr>
          <w:color w:val="FF0000"/>
        </w:rPr>
        <w:t>mobility</w:t>
      </w:r>
      <w:r w:rsidRPr="006A1EC7">
        <w:t>, so things, such as walking or crawling. What can you tell me about your child for this aspect?</w:t>
      </w:r>
    </w:p>
    <w:p w14:paraId="6874C660" w14:textId="77777777" w:rsidR="0087601C" w:rsidRPr="006A1EC7" w:rsidRDefault="0087601C" w:rsidP="0087601C">
      <w:pPr>
        <w:pStyle w:val="ListParagraph"/>
        <w:ind w:left="1440"/>
        <w:rPr>
          <w:rFonts w:ascii="Times New Roman" w:hAnsi="Times New Roman" w:cs="Times New Roman"/>
        </w:rPr>
      </w:pPr>
    </w:p>
    <w:p w14:paraId="62EB3F18" w14:textId="77777777" w:rsidR="0087601C" w:rsidRPr="006A1EC7" w:rsidRDefault="0087601C" w:rsidP="004318F8">
      <w:r w:rsidRPr="006A1EC7">
        <w:rPr>
          <w:color w:val="FF0000"/>
        </w:rPr>
        <w:t>Muscle problems</w:t>
      </w:r>
      <w:r w:rsidRPr="006A1EC7">
        <w:t xml:space="preserve">, especially in the legs, are a common problem in WHS, what are your experience with this? </w:t>
      </w:r>
      <w:r w:rsidRPr="006A1EC7">
        <w:br/>
      </w:r>
      <w:r w:rsidRPr="006A1EC7">
        <w:br/>
        <w:t>What is your perception of this issue?</w:t>
      </w:r>
    </w:p>
    <w:p w14:paraId="75E05CF9" w14:textId="77777777" w:rsidR="0087601C" w:rsidRPr="006A1EC7" w:rsidRDefault="0087601C" w:rsidP="004318F8"/>
    <w:p w14:paraId="3B5BB3D2" w14:textId="77777777" w:rsidR="0087601C" w:rsidRPr="006A1EC7" w:rsidRDefault="0087601C" w:rsidP="004318F8">
      <w:r w:rsidRPr="006A1EC7">
        <w:t>To which extent does this impact your child’s life, and your life alike?</w:t>
      </w:r>
    </w:p>
    <w:p w14:paraId="480E4067" w14:textId="77777777" w:rsidR="0087601C" w:rsidRPr="006A1EC7" w:rsidRDefault="0087601C" w:rsidP="0087601C"/>
    <w:p w14:paraId="65C98356"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color w:val="FF0000"/>
        </w:rPr>
        <w:t>Sleep</w:t>
      </w:r>
      <w:r w:rsidRPr="006A1EC7">
        <w:rPr>
          <w:rFonts w:ascii="Times New Roman" w:hAnsi="Times New Roman" w:cs="Times New Roman"/>
        </w:rPr>
        <w:t xml:space="preserve"> is often a big concern of parents, what are your child’s sleeping patterns? </w:t>
      </w:r>
    </w:p>
    <w:p w14:paraId="7EC064DD" w14:textId="77777777" w:rsidR="0087601C" w:rsidRPr="006A1EC7" w:rsidRDefault="0087601C" w:rsidP="004318F8">
      <w:pPr>
        <w:pStyle w:val="ListParagraph"/>
        <w:ind w:left="0"/>
        <w:rPr>
          <w:rFonts w:ascii="Times New Roman" w:hAnsi="Times New Roman" w:cs="Times New Roman"/>
        </w:rPr>
      </w:pPr>
    </w:p>
    <w:p w14:paraId="35EA5E55"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What are your perceptions of this concern? (if it is concern)</w:t>
      </w:r>
    </w:p>
    <w:p w14:paraId="7B31BA04" w14:textId="77777777" w:rsidR="0087601C" w:rsidRPr="006A1EC7" w:rsidRDefault="0087601C" w:rsidP="004318F8">
      <w:pPr>
        <w:pStyle w:val="ListParagraph"/>
        <w:ind w:left="0"/>
        <w:rPr>
          <w:rFonts w:ascii="Times New Roman" w:hAnsi="Times New Roman" w:cs="Times New Roman"/>
        </w:rPr>
      </w:pPr>
    </w:p>
    <w:p w14:paraId="3DBA352C"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 you manage it?</w:t>
      </w:r>
    </w:p>
    <w:p w14:paraId="2B96AD6E" w14:textId="77777777" w:rsidR="0087601C" w:rsidRPr="006A1EC7" w:rsidRDefault="0087601C" w:rsidP="004318F8">
      <w:pPr>
        <w:pStyle w:val="ListParagraph"/>
        <w:ind w:left="0"/>
        <w:rPr>
          <w:rFonts w:ascii="Times New Roman" w:hAnsi="Times New Roman" w:cs="Times New Roman"/>
        </w:rPr>
      </w:pPr>
    </w:p>
    <w:p w14:paraId="4E8823A3"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lastRenderedPageBreak/>
        <w:t xml:space="preserve">Next I’d like to talk about your child’s </w:t>
      </w:r>
      <w:r w:rsidRPr="006A1EC7">
        <w:rPr>
          <w:rFonts w:ascii="Times New Roman" w:hAnsi="Times New Roman" w:cs="Times New Roman"/>
          <w:color w:val="FF0000"/>
        </w:rPr>
        <w:t>eyes and sight</w:t>
      </w:r>
      <w:r w:rsidRPr="006A1EC7">
        <w:rPr>
          <w:rFonts w:ascii="Times New Roman" w:hAnsi="Times New Roman" w:cs="Times New Roman"/>
        </w:rPr>
        <w:t>; what can you tell me about this?</w:t>
      </w:r>
    </w:p>
    <w:p w14:paraId="57CBF36A" w14:textId="77777777" w:rsidR="0087601C" w:rsidRPr="006A1EC7" w:rsidRDefault="0087601C" w:rsidP="004318F8">
      <w:pPr>
        <w:pStyle w:val="ListParagraph"/>
        <w:ind w:left="0"/>
        <w:rPr>
          <w:rFonts w:ascii="Times New Roman" w:hAnsi="Times New Roman" w:cs="Times New Roman"/>
        </w:rPr>
      </w:pPr>
    </w:p>
    <w:p w14:paraId="4646031F"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 you manage this?</w:t>
      </w:r>
    </w:p>
    <w:p w14:paraId="06F29F65" w14:textId="77777777" w:rsidR="0087601C" w:rsidRPr="006A1EC7" w:rsidRDefault="0087601C" w:rsidP="004318F8">
      <w:pPr>
        <w:pStyle w:val="ListParagraph"/>
        <w:ind w:left="0"/>
        <w:rPr>
          <w:rFonts w:ascii="Times New Roman" w:hAnsi="Times New Roman" w:cs="Times New Roman"/>
        </w:rPr>
      </w:pPr>
    </w:p>
    <w:p w14:paraId="24D9A515"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What are your perceptions of this concern? (if it is concern)</w:t>
      </w:r>
    </w:p>
    <w:p w14:paraId="4C9EE3BB" w14:textId="77777777" w:rsidR="0087601C" w:rsidRPr="006A1EC7" w:rsidRDefault="0087601C" w:rsidP="004318F8">
      <w:pPr>
        <w:pStyle w:val="ListParagraph"/>
        <w:ind w:left="0"/>
        <w:rPr>
          <w:rFonts w:ascii="Times New Roman" w:hAnsi="Times New Roman" w:cs="Times New Roman"/>
        </w:rPr>
      </w:pPr>
    </w:p>
    <w:p w14:paraId="06935341"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 xml:space="preserve">Staying in the facial region, I’d like to ask about your child’s </w:t>
      </w:r>
      <w:r w:rsidRPr="006A1EC7">
        <w:rPr>
          <w:rFonts w:ascii="Times New Roman" w:hAnsi="Times New Roman" w:cs="Times New Roman"/>
          <w:color w:val="FF0000"/>
        </w:rPr>
        <w:t xml:space="preserve">teething, </w:t>
      </w:r>
      <w:r w:rsidRPr="006A1EC7">
        <w:rPr>
          <w:rFonts w:ascii="Times New Roman" w:hAnsi="Times New Roman" w:cs="Times New Roman"/>
        </w:rPr>
        <w:t>and your experiences of this.</w:t>
      </w:r>
    </w:p>
    <w:p w14:paraId="5CEDA1AE" w14:textId="77777777" w:rsidR="0087601C" w:rsidRPr="006A1EC7" w:rsidRDefault="0087601C" w:rsidP="004318F8">
      <w:pPr>
        <w:pStyle w:val="ListParagraph"/>
        <w:ind w:left="0"/>
        <w:rPr>
          <w:rFonts w:ascii="Times New Roman" w:hAnsi="Times New Roman" w:cs="Times New Roman"/>
        </w:rPr>
      </w:pPr>
    </w:p>
    <w:p w14:paraId="23606B7A"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 you manage it?</w:t>
      </w:r>
    </w:p>
    <w:p w14:paraId="4507E3F0" w14:textId="77777777" w:rsidR="0087601C" w:rsidRPr="006A1EC7" w:rsidRDefault="0087601C" w:rsidP="004318F8">
      <w:pPr>
        <w:pStyle w:val="ListParagraph"/>
        <w:ind w:left="0"/>
        <w:rPr>
          <w:rFonts w:ascii="Times New Roman" w:hAnsi="Times New Roman" w:cs="Times New Roman"/>
        </w:rPr>
      </w:pPr>
    </w:p>
    <w:p w14:paraId="5AC04601"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If applicable, how does it compare to your non WHS child/ren?</w:t>
      </w:r>
    </w:p>
    <w:p w14:paraId="1D4A69B6" w14:textId="77777777" w:rsidR="0087601C" w:rsidRPr="006A1EC7" w:rsidRDefault="0087601C" w:rsidP="004318F8">
      <w:pPr>
        <w:pStyle w:val="ListParagraph"/>
        <w:ind w:left="0"/>
        <w:rPr>
          <w:rFonts w:ascii="Times New Roman" w:hAnsi="Times New Roman" w:cs="Times New Roman"/>
        </w:rPr>
      </w:pPr>
    </w:p>
    <w:p w14:paraId="4AC61A52" w14:textId="77777777" w:rsidR="0087601C" w:rsidRPr="006A1EC7" w:rsidRDefault="0087601C" w:rsidP="004318F8">
      <w:pPr>
        <w:pStyle w:val="ListParagraph"/>
        <w:ind w:left="0"/>
        <w:rPr>
          <w:rFonts w:ascii="Times New Roman" w:hAnsi="Times New Roman" w:cs="Times New Roman"/>
        </w:rPr>
      </w:pPr>
    </w:p>
    <w:p w14:paraId="2CECA643"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From this, I’ d like to move on to internal organs, and speak about some symptoms relating to them. But before I do that, is there anything you’d like to add to the symptoms we’ve just spoken about that you haven’t had chance to say.</w:t>
      </w:r>
    </w:p>
    <w:p w14:paraId="0DB33674" w14:textId="77777777" w:rsidR="0087601C" w:rsidRPr="006A1EC7" w:rsidRDefault="0087601C" w:rsidP="004318F8">
      <w:pPr>
        <w:pStyle w:val="ListParagraph"/>
        <w:ind w:left="0"/>
        <w:rPr>
          <w:rFonts w:ascii="Times New Roman" w:hAnsi="Times New Roman" w:cs="Times New Roman"/>
        </w:rPr>
      </w:pPr>
    </w:p>
    <w:p w14:paraId="2F3CB903"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Okay. Thank you.</w:t>
      </w:r>
    </w:p>
    <w:p w14:paraId="47927CC2" w14:textId="77777777" w:rsidR="0087601C" w:rsidRPr="006A1EC7" w:rsidRDefault="0087601C" w:rsidP="004318F8">
      <w:pPr>
        <w:pStyle w:val="ListParagraph"/>
        <w:ind w:left="0"/>
        <w:rPr>
          <w:rFonts w:ascii="Times New Roman" w:hAnsi="Times New Roman" w:cs="Times New Roman"/>
        </w:rPr>
      </w:pPr>
    </w:p>
    <w:p w14:paraId="59C9020E"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color w:val="FF0000"/>
        </w:rPr>
        <w:t xml:space="preserve">Heart defects </w:t>
      </w:r>
      <w:r w:rsidRPr="006A1EC7">
        <w:rPr>
          <w:rFonts w:ascii="Times New Roman" w:hAnsi="Times New Roman" w:cs="Times New Roman"/>
        </w:rPr>
        <w:t>are common in WHS; so I’d like to ask whether your child suffers from any.</w:t>
      </w:r>
    </w:p>
    <w:p w14:paraId="0F60BC4A" w14:textId="77777777" w:rsidR="0087601C" w:rsidRPr="006A1EC7" w:rsidRDefault="0087601C" w:rsidP="004318F8">
      <w:pPr>
        <w:pStyle w:val="ListParagraph"/>
        <w:ind w:left="0"/>
        <w:rPr>
          <w:rFonts w:ascii="Times New Roman" w:hAnsi="Times New Roman" w:cs="Times New Roman"/>
        </w:rPr>
      </w:pPr>
    </w:p>
    <w:p w14:paraId="0D241743"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does this impact you and your child’s life?</w:t>
      </w:r>
    </w:p>
    <w:p w14:paraId="3C9D178B" w14:textId="77777777" w:rsidR="0087601C" w:rsidRPr="006A1EC7" w:rsidRDefault="0087601C" w:rsidP="004318F8">
      <w:pPr>
        <w:pStyle w:val="ListParagraph"/>
        <w:ind w:left="0"/>
        <w:rPr>
          <w:rFonts w:ascii="Times New Roman" w:hAnsi="Times New Roman" w:cs="Times New Roman"/>
        </w:rPr>
      </w:pPr>
    </w:p>
    <w:p w14:paraId="719CFDCB"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 you manage it?</w:t>
      </w:r>
    </w:p>
    <w:p w14:paraId="2EC14DD5" w14:textId="77777777" w:rsidR="0087601C" w:rsidRPr="006A1EC7" w:rsidRDefault="0087601C" w:rsidP="004318F8">
      <w:pPr>
        <w:pStyle w:val="ListParagraph"/>
        <w:ind w:left="0"/>
        <w:rPr>
          <w:rFonts w:ascii="Times New Roman" w:hAnsi="Times New Roman" w:cs="Times New Roman"/>
        </w:rPr>
      </w:pPr>
    </w:p>
    <w:p w14:paraId="48D3AC3C"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 xml:space="preserve">Some patients have problems with their </w:t>
      </w:r>
      <w:r w:rsidRPr="006A1EC7">
        <w:rPr>
          <w:rFonts w:ascii="Times New Roman" w:hAnsi="Times New Roman" w:cs="Times New Roman"/>
          <w:color w:val="FF0000"/>
        </w:rPr>
        <w:t xml:space="preserve">kidneys, </w:t>
      </w:r>
      <w:r w:rsidRPr="006A1EC7">
        <w:rPr>
          <w:rFonts w:ascii="Times New Roman" w:hAnsi="Times New Roman" w:cs="Times New Roman"/>
        </w:rPr>
        <w:t>does your child suffer from any of these problems?</w:t>
      </w:r>
    </w:p>
    <w:p w14:paraId="7B835B0D" w14:textId="77777777" w:rsidR="0087601C" w:rsidRPr="006A1EC7" w:rsidRDefault="0087601C" w:rsidP="004318F8">
      <w:pPr>
        <w:pStyle w:val="ListParagraph"/>
        <w:ind w:left="0"/>
        <w:rPr>
          <w:rFonts w:ascii="Times New Roman" w:hAnsi="Times New Roman" w:cs="Times New Roman"/>
        </w:rPr>
      </w:pPr>
    </w:p>
    <w:p w14:paraId="7948F915"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does this impact you and your child’s life?</w:t>
      </w:r>
    </w:p>
    <w:p w14:paraId="7F88821A" w14:textId="77777777" w:rsidR="0087601C" w:rsidRPr="006A1EC7" w:rsidRDefault="0087601C" w:rsidP="004318F8">
      <w:pPr>
        <w:pStyle w:val="ListParagraph"/>
        <w:ind w:left="0"/>
        <w:rPr>
          <w:rFonts w:ascii="Times New Roman" w:hAnsi="Times New Roman" w:cs="Times New Roman"/>
        </w:rPr>
      </w:pPr>
    </w:p>
    <w:p w14:paraId="32F419CE"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 you manage it?</w:t>
      </w:r>
    </w:p>
    <w:p w14:paraId="598EBF23" w14:textId="77777777" w:rsidR="0087601C" w:rsidRPr="006A1EC7" w:rsidRDefault="0087601C" w:rsidP="004318F8">
      <w:pPr>
        <w:pStyle w:val="ListParagraph"/>
        <w:ind w:left="0"/>
        <w:rPr>
          <w:rFonts w:ascii="Times New Roman" w:hAnsi="Times New Roman" w:cs="Times New Roman"/>
        </w:rPr>
      </w:pPr>
    </w:p>
    <w:p w14:paraId="5447909C"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 xml:space="preserve">Some patients have problems with their </w:t>
      </w:r>
      <w:r w:rsidRPr="006A1EC7">
        <w:rPr>
          <w:rFonts w:ascii="Times New Roman" w:hAnsi="Times New Roman" w:cs="Times New Roman"/>
          <w:color w:val="FF0000"/>
        </w:rPr>
        <w:t xml:space="preserve">lungs, </w:t>
      </w:r>
      <w:r w:rsidRPr="006A1EC7">
        <w:rPr>
          <w:rFonts w:ascii="Times New Roman" w:hAnsi="Times New Roman" w:cs="Times New Roman"/>
        </w:rPr>
        <w:t>does your child suffer from any of these problems?</w:t>
      </w:r>
    </w:p>
    <w:p w14:paraId="588383EB" w14:textId="77777777" w:rsidR="0087601C" w:rsidRPr="006A1EC7" w:rsidRDefault="0087601C" w:rsidP="004318F8">
      <w:pPr>
        <w:pStyle w:val="ListParagraph"/>
        <w:ind w:left="0"/>
        <w:rPr>
          <w:rFonts w:ascii="Times New Roman" w:hAnsi="Times New Roman" w:cs="Times New Roman"/>
        </w:rPr>
      </w:pPr>
    </w:p>
    <w:p w14:paraId="4868A0A4"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does this impact you and your child’s life?</w:t>
      </w:r>
    </w:p>
    <w:p w14:paraId="70E79E59" w14:textId="77777777" w:rsidR="0087601C" w:rsidRPr="006A1EC7" w:rsidRDefault="0087601C" w:rsidP="004318F8">
      <w:pPr>
        <w:pStyle w:val="ListParagraph"/>
        <w:ind w:left="0"/>
        <w:rPr>
          <w:rFonts w:ascii="Times New Roman" w:hAnsi="Times New Roman" w:cs="Times New Roman"/>
        </w:rPr>
      </w:pPr>
    </w:p>
    <w:p w14:paraId="00B2B652"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 you manage it?</w:t>
      </w:r>
    </w:p>
    <w:p w14:paraId="6309102C" w14:textId="77777777" w:rsidR="0087601C" w:rsidRPr="006A1EC7" w:rsidRDefault="0087601C" w:rsidP="0087601C">
      <w:pPr>
        <w:pStyle w:val="ListParagraph"/>
        <w:ind w:left="1440"/>
        <w:rPr>
          <w:rFonts w:ascii="Times New Roman" w:hAnsi="Times New Roman" w:cs="Times New Roman"/>
        </w:rPr>
      </w:pPr>
    </w:p>
    <w:p w14:paraId="6DBE6484" w14:textId="5686A046"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 xml:space="preserve">A lot of WHS patients suffer from </w:t>
      </w:r>
      <w:r w:rsidRPr="006A1EC7">
        <w:rPr>
          <w:rFonts w:ascii="Times New Roman" w:hAnsi="Times New Roman" w:cs="Times New Roman"/>
          <w:color w:val="FF0000"/>
        </w:rPr>
        <w:t>repeated infections</w:t>
      </w:r>
      <w:r w:rsidRPr="006A1EC7">
        <w:rPr>
          <w:rFonts w:ascii="Times New Roman" w:hAnsi="Times New Roman" w:cs="Times New Roman"/>
        </w:rPr>
        <w:t>, what is you</w:t>
      </w:r>
      <w:r w:rsidR="004318F8" w:rsidRPr="006A1EC7">
        <w:rPr>
          <w:rFonts w:ascii="Times New Roman" w:hAnsi="Times New Roman" w:cs="Times New Roman"/>
        </w:rPr>
        <w:t xml:space="preserve">r </w:t>
      </w:r>
      <w:r w:rsidRPr="006A1EC7">
        <w:rPr>
          <w:rFonts w:ascii="Times New Roman" w:hAnsi="Times New Roman" w:cs="Times New Roman"/>
        </w:rPr>
        <w:t>experience with this?</w:t>
      </w:r>
    </w:p>
    <w:p w14:paraId="3C22FCE9" w14:textId="77777777" w:rsidR="0087601C" w:rsidRPr="006A1EC7" w:rsidRDefault="0087601C" w:rsidP="0087601C">
      <w:pPr>
        <w:pStyle w:val="ListParagraph"/>
        <w:ind w:left="1440"/>
        <w:rPr>
          <w:rFonts w:ascii="Times New Roman" w:hAnsi="Times New Roman" w:cs="Times New Roman"/>
        </w:rPr>
      </w:pPr>
    </w:p>
    <w:p w14:paraId="254D5249"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 you manage it?</w:t>
      </w:r>
    </w:p>
    <w:p w14:paraId="225A739E" w14:textId="77777777" w:rsidR="0087601C" w:rsidRPr="006A1EC7" w:rsidRDefault="0087601C" w:rsidP="004318F8">
      <w:pPr>
        <w:pStyle w:val="ListParagraph"/>
        <w:ind w:left="0"/>
        <w:rPr>
          <w:rFonts w:ascii="Times New Roman" w:hAnsi="Times New Roman" w:cs="Times New Roman"/>
        </w:rPr>
      </w:pPr>
    </w:p>
    <w:p w14:paraId="0312379D"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How does this impact you and your child’s life?</w:t>
      </w:r>
    </w:p>
    <w:p w14:paraId="6CEC32E3" w14:textId="77777777" w:rsidR="0087601C" w:rsidRPr="006A1EC7" w:rsidRDefault="0087601C" w:rsidP="004318F8">
      <w:pPr>
        <w:pStyle w:val="ListParagraph"/>
        <w:ind w:left="0"/>
        <w:rPr>
          <w:rFonts w:ascii="Times New Roman" w:hAnsi="Times New Roman" w:cs="Times New Roman"/>
        </w:rPr>
      </w:pPr>
    </w:p>
    <w:p w14:paraId="3C6918CA"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Are there any symptoms your child experiences that we haven’t discussed yet and you’d like to tell me about.</w:t>
      </w:r>
    </w:p>
    <w:p w14:paraId="26E8E490" w14:textId="77777777" w:rsidR="0087601C" w:rsidRPr="006A1EC7" w:rsidRDefault="0087601C" w:rsidP="004318F8">
      <w:pPr>
        <w:pStyle w:val="ListParagraph"/>
        <w:ind w:left="0"/>
        <w:rPr>
          <w:rFonts w:ascii="Times New Roman" w:hAnsi="Times New Roman" w:cs="Times New Roman"/>
        </w:rPr>
      </w:pPr>
    </w:p>
    <w:p w14:paraId="4F95205C"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(talk more if needed).</w:t>
      </w:r>
    </w:p>
    <w:p w14:paraId="27073E2B" w14:textId="77777777" w:rsidR="0087601C" w:rsidRPr="006A1EC7" w:rsidRDefault="0087601C" w:rsidP="004318F8">
      <w:pPr>
        <w:pStyle w:val="ListParagraph"/>
        <w:ind w:left="0"/>
        <w:rPr>
          <w:rFonts w:ascii="Times New Roman" w:hAnsi="Times New Roman" w:cs="Times New Roman"/>
        </w:rPr>
      </w:pPr>
    </w:p>
    <w:p w14:paraId="5BE8BBCE"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Thank you so much for sharing all your experiences of WHS with me so far, now I’d like to ask you some more questions about your overall experience of raising a child with WHS.</w:t>
      </w:r>
    </w:p>
    <w:p w14:paraId="0A79B2EB" w14:textId="77777777" w:rsidR="0087601C" w:rsidRPr="006A1EC7" w:rsidRDefault="0087601C" w:rsidP="004318F8">
      <w:pPr>
        <w:pStyle w:val="ListParagraph"/>
        <w:ind w:left="0"/>
        <w:rPr>
          <w:rFonts w:ascii="Times New Roman" w:hAnsi="Times New Roman" w:cs="Times New Roman"/>
        </w:rPr>
      </w:pPr>
    </w:p>
    <w:p w14:paraId="79D1961E"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Because we’re interested in what contributes most to the severity of WHS, if you had to rate 3-4 symptoms in order from most significant/challenging to manageable, what would you say and why?</w:t>
      </w:r>
    </w:p>
    <w:p w14:paraId="7878F84D" w14:textId="77777777" w:rsidR="0087601C" w:rsidRPr="006A1EC7" w:rsidRDefault="0087601C" w:rsidP="004318F8">
      <w:pPr>
        <w:pStyle w:val="ListParagraph"/>
        <w:ind w:left="0"/>
        <w:rPr>
          <w:rFonts w:ascii="Times New Roman" w:hAnsi="Times New Roman" w:cs="Times New Roman"/>
        </w:rPr>
      </w:pPr>
    </w:p>
    <w:p w14:paraId="53DAA878"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I’ve got a body map here, in case that helps you with identifying the symptoms.</w:t>
      </w:r>
    </w:p>
    <w:p w14:paraId="067DDF3C" w14:textId="77777777" w:rsidR="0087601C" w:rsidRPr="006A1EC7" w:rsidRDefault="0087601C" w:rsidP="004318F8">
      <w:pPr>
        <w:pStyle w:val="ListParagraph"/>
        <w:ind w:left="0"/>
        <w:rPr>
          <w:rFonts w:ascii="Times New Roman" w:hAnsi="Times New Roman" w:cs="Times New Roman"/>
        </w:rPr>
      </w:pPr>
    </w:p>
    <w:p w14:paraId="25E9B9E5"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Ask questions of why each one, allow time.</w:t>
      </w:r>
    </w:p>
    <w:p w14:paraId="128D4968" w14:textId="77777777" w:rsidR="0087601C" w:rsidRPr="006A1EC7" w:rsidRDefault="0087601C" w:rsidP="004318F8">
      <w:pPr>
        <w:pStyle w:val="ListParagraph"/>
        <w:ind w:left="0"/>
        <w:rPr>
          <w:rFonts w:ascii="Times New Roman" w:hAnsi="Times New Roman" w:cs="Times New Roman"/>
        </w:rPr>
      </w:pPr>
    </w:p>
    <w:p w14:paraId="5145CBA2"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Which symptom, or symptoms, do you think is most manageable in your child’s WHS?</w:t>
      </w:r>
    </w:p>
    <w:p w14:paraId="7DA1F02C" w14:textId="77777777" w:rsidR="0087601C" w:rsidRPr="006A1EC7" w:rsidRDefault="0087601C" w:rsidP="004318F8">
      <w:pPr>
        <w:pStyle w:val="ListParagraph"/>
        <w:ind w:left="0"/>
        <w:rPr>
          <w:rFonts w:ascii="Times New Roman" w:hAnsi="Times New Roman" w:cs="Times New Roman"/>
        </w:rPr>
      </w:pPr>
    </w:p>
    <w:p w14:paraId="4887BE85"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Now just a few more questions. If you were to meet a new parent with a WHS child, what would your top three advice be? Keeping in mind all the symptoms we’ve just spoken about.</w:t>
      </w:r>
    </w:p>
    <w:p w14:paraId="1AA4DBF2" w14:textId="77777777" w:rsidR="0087601C" w:rsidRPr="006A1EC7" w:rsidRDefault="0087601C" w:rsidP="004318F8">
      <w:pPr>
        <w:pStyle w:val="ListParagraph"/>
        <w:ind w:left="0"/>
        <w:rPr>
          <w:rFonts w:ascii="Times New Roman" w:hAnsi="Times New Roman" w:cs="Times New Roman"/>
        </w:rPr>
      </w:pPr>
    </w:p>
    <w:p w14:paraId="41968E68"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I also wonder, if there is anything you’d like other people, such as doctors, nurses or maybe the public, to know about raising a child with WHS?</w:t>
      </w:r>
    </w:p>
    <w:p w14:paraId="47E20E29" w14:textId="77777777" w:rsidR="0087601C" w:rsidRPr="006A1EC7" w:rsidRDefault="0087601C" w:rsidP="004318F8">
      <w:pPr>
        <w:pStyle w:val="ListParagraph"/>
        <w:ind w:left="0"/>
        <w:rPr>
          <w:rFonts w:ascii="Times New Roman" w:hAnsi="Times New Roman" w:cs="Times New Roman"/>
        </w:rPr>
      </w:pPr>
    </w:p>
    <w:p w14:paraId="464627B1"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What advice would you give to doctors particularly?</w:t>
      </w:r>
    </w:p>
    <w:p w14:paraId="0C6D8141" w14:textId="77777777" w:rsidR="0087601C" w:rsidRPr="006A1EC7" w:rsidRDefault="0087601C" w:rsidP="004318F8">
      <w:pPr>
        <w:pStyle w:val="ListParagraph"/>
        <w:ind w:left="0"/>
        <w:rPr>
          <w:rFonts w:ascii="Times New Roman" w:hAnsi="Times New Roman" w:cs="Times New Roman"/>
        </w:rPr>
      </w:pPr>
    </w:p>
    <w:p w14:paraId="600446D2" w14:textId="77777777" w:rsidR="0087601C" w:rsidRPr="006A1EC7" w:rsidRDefault="0087601C" w:rsidP="004318F8">
      <w:pPr>
        <w:pStyle w:val="ListParagraph"/>
        <w:ind w:left="0"/>
        <w:rPr>
          <w:rFonts w:ascii="Times New Roman" w:hAnsi="Times New Roman" w:cs="Times New Roman"/>
        </w:rPr>
      </w:pPr>
      <w:r w:rsidRPr="006A1EC7">
        <w:rPr>
          <w:rFonts w:ascii="Times New Roman" w:hAnsi="Times New Roman" w:cs="Times New Roman"/>
        </w:rPr>
        <w:t>I also wonder whether you’re part of a WHS support network, either online or offline? How has it contributed to your life?</w:t>
      </w:r>
    </w:p>
    <w:p w14:paraId="1F1DC693" w14:textId="77777777" w:rsidR="0087601C" w:rsidRPr="006A1EC7" w:rsidRDefault="0087601C" w:rsidP="0087601C"/>
    <w:p w14:paraId="5457B88A" w14:textId="095309F0" w:rsidR="0087601C" w:rsidRPr="006A1EC7" w:rsidRDefault="0087601C" w:rsidP="0087601C"/>
    <w:p w14:paraId="51B101A5" w14:textId="77777777" w:rsidR="0087601C" w:rsidRPr="006A1EC7" w:rsidRDefault="0087601C" w:rsidP="0087601C"/>
    <w:p w14:paraId="444F5662" w14:textId="77777777" w:rsidR="0087601C" w:rsidRPr="006A1EC7" w:rsidRDefault="0087601C" w:rsidP="0087601C">
      <w:pPr>
        <w:pStyle w:val="Heading3"/>
        <w:rPr>
          <w:rFonts w:ascii="Times New Roman" w:hAnsi="Times New Roman" w:cs="Times New Roman"/>
        </w:rPr>
      </w:pPr>
      <w:bookmarkStart w:id="286" w:name="_Toc38821475"/>
      <w:r w:rsidRPr="006A1EC7">
        <w:rPr>
          <w:rFonts w:ascii="Times New Roman" w:hAnsi="Times New Roman" w:cs="Times New Roman"/>
        </w:rPr>
        <w:t>Appendix 4.3: Information sheet</w:t>
      </w:r>
      <w:bookmarkEnd w:id="286"/>
    </w:p>
    <w:p w14:paraId="32B1B5AF" w14:textId="77777777" w:rsidR="0087601C" w:rsidRPr="006A1EC7" w:rsidRDefault="0087601C" w:rsidP="0087601C"/>
    <w:p w14:paraId="6693CA5F" w14:textId="77777777" w:rsidR="0087601C" w:rsidRPr="006A1EC7" w:rsidRDefault="0087601C" w:rsidP="0087601C">
      <w:pPr>
        <w:tabs>
          <w:tab w:val="left" w:pos="720"/>
          <w:tab w:val="left" w:pos="1440"/>
          <w:tab w:val="left" w:pos="2160"/>
          <w:tab w:val="left" w:pos="2880"/>
          <w:tab w:val="left" w:pos="4680"/>
          <w:tab w:val="left" w:pos="5400"/>
          <w:tab w:val="right" w:pos="9000"/>
        </w:tabs>
        <w:jc w:val="both"/>
      </w:pPr>
      <w:r w:rsidRPr="006A1EC7">
        <w:rPr>
          <w:noProof/>
          <w:lang w:eastAsia="en-GB"/>
        </w:rPr>
        <w:drawing>
          <wp:inline distT="0" distB="0" distL="0" distR="0" wp14:anchorId="579CB3FA" wp14:editId="31B161B3">
            <wp:extent cx="3124200" cy="520700"/>
            <wp:effectExtent l="0" t="0" r="0" b="12700"/>
            <wp:docPr id="45" name="Picture 45" descr="scf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ft Colou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4200" cy="520700"/>
                    </a:xfrm>
                    <a:prstGeom prst="rect">
                      <a:avLst/>
                    </a:prstGeom>
                    <a:noFill/>
                    <a:ln>
                      <a:noFill/>
                    </a:ln>
                  </pic:spPr>
                </pic:pic>
              </a:graphicData>
            </a:graphic>
          </wp:inline>
        </w:drawing>
      </w:r>
    </w:p>
    <w:p w14:paraId="4EC78982" w14:textId="77777777" w:rsidR="0087601C" w:rsidRPr="006A1EC7" w:rsidRDefault="0087601C" w:rsidP="0087601C">
      <w:pPr>
        <w:tabs>
          <w:tab w:val="left" w:pos="720"/>
          <w:tab w:val="left" w:pos="1440"/>
          <w:tab w:val="left" w:pos="2160"/>
          <w:tab w:val="left" w:pos="2880"/>
          <w:tab w:val="left" w:pos="4680"/>
          <w:tab w:val="left" w:pos="5400"/>
          <w:tab w:val="right" w:pos="9000"/>
        </w:tabs>
        <w:jc w:val="both"/>
      </w:pPr>
    </w:p>
    <w:p w14:paraId="57F328C0" w14:textId="77777777" w:rsidR="0087601C" w:rsidRPr="006A1EC7" w:rsidRDefault="0087601C" w:rsidP="0087601C">
      <w:r w:rsidRPr="006A1EC7">
        <w:t>Study title</w:t>
      </w:r>
    </w:p>
    <w:p w14:paraId="266F3680" w14:textId="77777777" w:rsidR="0087601C" w:rsidRPr="006A1EC7" w:rsidRDefault="0087601C" w:rsidP="0087601C">
      <w:r w:rsidRPr="006A1EC7">
        <w:t>Developing a Clinical Outcome Assessment for Wolf-Hirschhorn syndrome</w:t>
      </w:r>
    </w:p>
    <w:p w14:paraId="138AA3CB" w14:textId="77777777" w:rsidR="0087601C" w:rsidRPr="006A1EC7" w:rsidRDefault="0087601C" w:rsidP="0087601C">
      <w:pPr>
        <w:rPr>
          <w:bCs/>
          <w:szCs w:val="22"/>
        </w:rPr>
      </w:pPr>
      <w:r w:rsidRPr="006A1EC7">
        <w:rPr>
          <w:bCs/>
          <w:szCs w:val="22"/>
        </w:rPr>
        <w:t>v1.2 22/02/2016</w:t>
      </w:r>
    </w:p>
    <w:p w14:paraId="48BA6DAD" w14:textId="77777777" w:rsidR="0087601C" w:rsidRPr="006A1EC7" w:rsidRDefault="0087601C" w:rsidP="0087601C">
      <w:pPr>
        <w:rPr>
          <w:i/>
        </w:rPr>
      </w:pPr>
      <w:r w:rsidRPr="006A1EC7">
        <w:t xml:space="preserve">We would like to invite you and/or your child to take part in our research study.  Before you decide we would like you to understand why the research is being done and what it would involve.  One of our team will go through the information sheet with you and answer any questions you have.  Talk to others about the study if you wish.  </w:t>
      </w:r>
    </w:p>
    <w:p w14:paraId="330E51E7" w14:textId="77777777" w:rsidR="0087601C" w:rsidRPr="006A1EC7" w:rsidRDefault="0087601C" w:rsidP="0087601C">
      <w:pPr>
        <w:rPr>
          <w:i/>
        </w:rPr>
      </w:pPr>
    </w:p>
    <w:p w14:paraId="4768CC68" w14:textId="77777777" w:rsidR="0087601C" w:rsidRPr="006A1EC7" w:rsidRDefault="0087601C" w:rsidP="0087601C">
      <w:pPr>
        <w:rPr>
          <w:i/>
        </w:rPr>
      </w:pPr>
    </w:p>
    <w:p w14:paraId="1A76822F" w14:textId="77777777" w:rsidR="0087601C" w:rsidRPr="006A1EC7" w:rsidRDefault="0087601C" w:rsidP="0087601C">
      <w:pPr>
        <w:rPr>
          <w:i/>
        </w:rPr>
      </w:pPr>
      <w:r w:rsidRPr="006A1EC7">
        <w:t>Ask us if there is anything that is not clear.</w:t>
      </w:r>
    </w:p>
    <w:p w14:paraId="4F6CF4BA" w14:textId="77777777" w:rsidR="0087601C" w:rsidRPr="006A1EC7" w:rsidRDefault="0087601C" w:rsidP="0087601C">
      <w:pPr>
        <w:rPr>
          <w:i/>
        </w:rPr>
      </w:pPr>
    </w:p>
    <w:p w14:paraId="21F5717E" w14:textId="77777777" w:rsidR="0087601C" w:rsidRPr="006A1EC7" w:rsidRDefault="0087601C" w:rsidP="0087601C"/>
    <w:p w14:paraId="600FB428" w14:textId="77777777" w:rsidR="0087601C" w:rsidRPr="006A1EC7" w:rsidRDefault="0087601C" w:rsidP="0087601C">
      <w:pPr>
        <w:rPr>
          <w:bCs/>
        </w:rPr>
      </w:pPr>
      <w:r w:rsidRPr="006A1EC7">
        <w:rPr>
          <w:bCs/>
        </w:rPr>
        <w:t>What is the purpose of the study?</w:t>
      </w:r>
    </w:p>
    <w:p w14:paraId="557F4403" w14:textId="77777777" w:rsidR="0087601C" w:rsidRPr="006A1EC7" w:rsidRDefault="0087601C" w:rsidP="0087601C">
      <w:r w:rsidRPr="006A1EC7">
        <w:t xml:space="preserve">This study aims to create a clinical outcome assessment for a condition called Wolf-Hirschhorn syndrome.  This clinical outcome assessment will be a questionnaire to help doctors to measure how severely affected someone is by Wolf-Hirschhorn syndrome.  </w:t>
      </w:r>
    </w:p>
    <w:p w14:paraId="0E610CFF" w14:textId="77777777" w:rsidR="0087601C" w:rsidRPr="006A1EC7" w:rsidRDefault="0087601C" w:rsidP="0087601C">
      <w:pPr>
        <w:rPr>
          <w:bCs/>
        </w:rPr>
      </w:pPr>
      <w:r w:rsidRPr="006A1EC7">
        <w:rPr>
          <w:bCs/>
        </w:rPr>
        <w:lastRenderedPageBreak/>
        <w:t>Why have we been invited?</w:t>
      </w:r>
    </w:p>
    <w:p w14:paraId="3C3C4750" w14:textId="77777777" w:rsidR="0087601C" w:rsidRPr="006A1EC7" w:rsidRDefault="0087601C" w:rsidP="0087601C">
      <w:r w:rsidRPr="006A1EC7">
        <w:t xml:space="preserve">You have been invited to take part because your child has Wolf-Hirschhorn syndrome.  To create the clinical outcome assessment we need to survey the opinion of relatives  of people with Wolf-Hirschhorn syndrome </w:t>
      </w:r>
    </w:p>
    <w:p w14:paraId="6F889623" w14:textId="77777777" w:rsidR="0087601C" w:rsidRPr="006A1EC7" w:rsidRDefault="0087601C" w:rsidP="0087601C"/>
    <w:p w14:paraId="65F4A0E4" w14:textId="77777777" w:rsidR="0087601C" w:rsidRPr="006A1EC7" w:rsidRDefault="0087601C" w:rsidP="0087601C">
      <w:pPr>
        <w:rPr>
          <w:bCs/>
        </w:rPr>
      </w:pPr>
      <w:r w:rsidRPr="006A1EC7">
        <w:rPr>
          <w:bCs/>
        </w:rPr>
        <w:t>Do we have to take part?</w:t>
      </w:r>
    </w:p>
    <w:p w14:paraId="74CD457C" w14:textId="77777777" w:rsidR="0087601C" w:rsidRPr="006A1EC7" w:rsidRDefault="0087601C" w:rsidP="0087601C">
      <w:r w:rsidRPr="006A1EC7">
        <w:t xml:space="preserve">It is up to you to decide to join the study.  We will describe the study and go through this information sheet.  If you agree to take part, we will then ask you to sign a consent form.  </w:t>
      </w:r>
    </w:p>
    <w:p w14:paraId="01EF8D27" w14:textId="77777777" w:rsidR="0087601C" w:rsidRPr="006A1EC7" w:rsidRDefault="0087601C" w:rsidP="0087601C"/>
    <w:p w14:paraId="5E06C23F" w14:textId="77777777" w:rsidR="0087601C" w:rsidRPr="006A1EC7" w:rsidRDefault="0087601C" w:rsidP="0087601C">
      <w:r w:rsidRPr="006A1EC7">
        <w:t xml:space="preserve">You will be given a copy of the information sheets and the signed consent forms to keep for your records.  You are free to withdraw at any time, without giving a reason. In this case your data will be withdrawn from the study.  This would not affect Your medical care. </w:t>
      </w:r>
    </w:p>
    <w:p w14:paraId="4456C3C1" w14:textId="77777777" w:rsidR="0087601C" w:rsidRPr="006A1EC7" w:rsidRDefault="0087601C" w:rsidP="0087601C"/>
    <w:p w14:paraId="4FA09DED" w14:textId="77777777" w:rsidR="0087601C" w:rsidRPr="006A1EC7" w:rsidRDefault="0087601C" w:rsidP="0087601C">
      <w:pPr>
        <w:rPr>
          <w:bCs/>
        </w:rPr>
      </w:pPr>
      <w:r w:rsidRPr="006A1EC7">
        <w:rPr>
          <w:bCs/>
        </w:rPr>
        <w:t>What will happen to my child if we agree take part?</w:t>
      </w:r>
    </w:p>
    <w:p w14:paraId="5FD76CA1" w14:textId="77777777" w:rsidR="0087601C" w:rsidRPr="006A1EC7" w:rsidRDefault="0087601C" w:rsidP="0087601C">
      <w:r w:rsidRPr="006A1EC7">
        <w:t xml:space="preserve">A member of the research team will interview you about what you think the most important aspects of Wolf-Hirschhorn syndrome are; in particular what symptoms you think interfere most with day to day life. This will take 30-60 minutes. This interview can happen in person or on the telephone.  We may wish to make a tape recording of this interview to help our analysis (with your consent).  Based on this we will create an initial version of the clinical outcome assessment for Wolf-Hirschhorn syndrome.  </w:t>
      </w:r>
    </w:p>
    <w:p w14:paraId="666F4D07" w14:textId="77777777" w:rsidR="0087601C" w:rsidRPr="006A1EC7" w:rsidRDefault="0087601C" w:rsidP="0087601C"/>
    <w:p w14:paraId="56EAFF00" w14:textId="77777777" w:rsidR="0087601C" w:rsidRPr="006A1EC7" w:rsidRDefault="0087601C" w:rsidP="0087601C">
      <w:r w:rsidRPr="006A1EC7">
        <w:t xml:space="preserve">We may then ask you to comment on this clinical outcome assessment to see if you feel it asks about symptoms which are important in Wolf-Hirschhorn syndrome. This will take around 30 minutes.  </w:t>
      </w:r>
    </w:p>
    <w:p w14:paraId="10458DB3" w14:textId="77777777" w:rsidR="0087601C" w:rsidRPr="006A1EC7" w:rsidRDefault="0087601C" w:rsidP="0087601C"/>
    <w:p w14:paraId="5759D8AE" w14:textId="77777777" w:rsidR="0087601C" w:rsidRPr="006A1EC7" w:rsidRDefault="0087601C" w:rsidP="0087601C">
      <w:r w:rsidRPr="006A1EC7">
        <w:t xml:space="preserve">We may then ask you to complete the final version of the clinical outcome assessment twice (this will take 30 minutes in total).  You do not have to take part in all of the study if you only wish to take part in certain sections of it (ie you can opt to only have one interview).  </w:t>
      </w:r>
    </w:p>
    <w:p w14:paraId="2CDA5E15" w14:textId="77777777" w:rsidR="0087601C" w:rsidRPr="006A1EC7" w:rsidRDefault="0087601C" w:rsidP="0087601C"/>
    <w:p w14:paraId="5058216C" w14:textId="77777777" w:rsidR="0087601C" w:rsidRPr="006A1EC7" w:rsidRDefault="0087601C" w:rsidP="0087601C">
      <w:pPr>
        <w:rPr>
          <w:bCs/>
        </w:rPr>
      </w:pPr>
      <w:r w:rsidRPr="006A1EC7">
        <w:rPr>
          <w:bCs/>
        </w:rPr>
        <w:t>Expenses and payments</w:t>
      </w:r>
    </w:p>
    <w:p w14:paraId="6007053F" w14:textId="77777777" w:rsidR="0087601C" w:rsidRPr="006A1EC7" w:rsidRDefault="0087601C" w:rsidP="0087601C">
      <w:r w:rsidRPr="006A1EC7">
        <w:t xml:space="preserve">Any travel expenses incurred will be reimbursed. </w:t>
      </w:r>
    </w:p>
    <w:p w14:paraId="08613A00" w14:textId="77777777" w:rsidR="0087601C" w:rsidRPr="006A1EC7" w:rsidRDefault="0087601C" w:rsidP="0087601C"/>
    <w:p w14:paraId="14FACBFF" w14:textId="77777777" w:rsidR="0087601C" w:rsidRPr="006A1EC7" w:rsidRDefault="0087601C" w:rsidP="0087601C"/>
    <w:p w14:paraId="7470BFBD" w14:textId="77777777" w:rsidR="0087601C" w:rsidRPr="006A1EC7" w:rsidRDefault="0087601C" w:rsidP="0087601C">
      <w:pPr>
        <w:rPr>
          <w:bCs/>
        </w:rPr>
      </w:pPr>
      <w:r w:rsidRPr="006A1EC7">
        <w:rPr>
          <w:bCs/>
        </w:rPr>
        <w:t>What are the possible disadvantages and risks of taking part?</w:t>
      </w:r>
    </w:p>
    <w:p w14:paraId="2478A827" w14:textId="77777777" w:rsidR="0087601C" w:rsidRPr="006A1EC7" w:rsidRDefault="0087601C" w:rsidP="0087601C">
      <w:r w:rsidRPr="006A1EC7">
        <w:t xml:space="preserve">There is no realistic prospect of physical harm from taking part in this study. </w:t>
      </w:r>
    </w:p>
    <w:p w14:paraId="43D7A8A0" w14:textId="77777777" w:rsidR="0087601C" w:rsidRPr="006A1EC7" w:rsidRDefault="0087601C" w:rsidP="0087601C"/>
    <w:p w14:paraId="436CCE67" w14:textId="77777777" w:rsidR="0087601C" w:rsidRPr="006A1EC7" w:rsidRDefault="0087601C" w:rsidP="0087601C"/>
    <w:p w14:paraId="40371BD0" w14:textId="77777777" w:rsidR="0087601C" w:rsidRPr="006A1EC7" w:rsidRDefault="0087601C" w:rsidP="0087601C">
      <w:pPr>
        <w:rPr>
          <w:bCs/>
        </w:rPr>
      </w:pPr>
      <w:r w:rsidRPr="006A1EC7">
        <w:rPr>
          <w:bCs/>
        </w:rPr>
        <w:t>What are the possible benefits of taking part?</w:t>
      </w:r>
    </w:p>
    <w:p w14:paraId="1D32BE9A" w14:textId="77777777" w:rsidR="0087601C" w:rsidRPr="006A1EC7" w:rsidRDefault="0087601C" w:rsidP="0087601C"/>
    <w:p w14:paraId="3EC6CAB9" w14:textId="77777777" w:rsidR="0087601C" w:rsidRPr="006A1EC7" w:rsidRDefault="0087601C" w:rsidP="0087601C">
      <w:r w:rsidRPr="006A1EC7">
        <w:t>We cannot promise the study will help you or your child but the information we get from this study will help improve the treatment of people with Wolf-Hirschhorn syndrome</w:t>
      </w:r>
      <w:r w:rsidRPr="006A1EC7">
        <w:rPr>
          <w:i/>
        </w:rPr>
        <w:t xml:space="preserve">. </w:t>
      </w:r>
    </w:p>
    <w:p w14:paraId="6B5BFE8F" w14:textId="77777777" w:rsidR="0087601C" w:rsidRPr="006A1EC7" w:rsidRDefault="0087601C" w:rsidP="0087601C"/>
    <w:p w14:paraId="4341AE9B" w14:textId="77777777" w:rsidR="0087601C" w:rsidRPr="006A1EC7" w:rsidRDefault="0087601C" w:rsidP="0087601C">
      <w:pPr>
        <w:rPr>
          <w:bCs/>
        </w:rPr>
      </w:pPr>
      <w:r w:rsidRPr="006A1EC7">
        <w:rPr>
          <w:bCs/>
        </w:rPr>
        <w:t>What happens when the research study stops?</w:t>
      </w:r>
    </w:p>
    <w:p w14:paraId="49D4577C" w14:textId="77777777" w:rsidR="0087601C" w:rsidRPr="006A1EC7" w:rsidRDefault="0087601C" w:rsidP="0087601C"/>
    <w:p w14:paraId="722D0E74" w14:textId="77777777" w:rsidR="0087601C" w:rsidRPr="006A1EC7" w:rsidRDefault="0087601C" w:rsidP="0087601C">
      <w:r w:rsidRPr="006A1EC7">
        <w:t>We will collect all the information together and we will decide if it is useful in telling us if doctors can manage Wolf-Hirschhorn syndrome better in the future.</w:t>
      </w:r>
    </w:p>
    <w:p w14:paraId="4590733F" w14:textId="77777777" w:rsidR="0087601C" w:rsidRPr="006A1EC7" w:rsidRDefault="0087601C" w:rsidP="0087601C"/>
    <w:p w14:paraId="51A22282" w14:textId="77777777" w:rsidR="0087601C" w:rsidRPr="006A1EC7" w:rsidRDefault="0087601C" w:rsidP="0087601C"/>
    <w:p w14:paraId="5412C146" w14:textId="77777777" w:rsidR="0087601C" w:rsidRPr="006A1EC7" w:rsidRDefault="0087601C" w:rsidP="0087601C">
      <w:r w:rsidRPr="006A1EC7">
        <w:rPr>
          <w:bCs/>
        </w:rPr>
        <w:t>Will my child’s taking part in the study be kept confidential?</w:t>
      </w:r>
    </w:p>
    <w:p w14:paraId="6E8D716B" w14:textId="77777777" w:rsidR="0087601C" w:rsidRPr="006A1EC7" w:rsidRDefault="0087601C" w:rsidP="0087601C">
      <w:r w:rsidRPr="006A1EC7">
        <w:lastRenderedPageBreak/>
        <w:t xml:space="preserve">Yes.  We will follow ethical and legal practice and all information about your child will be handled in confidence.  </w:t>
      </w:r>
    </w:p>
    <w:p w14:paraId="434511A7" w14:textId="77777777" w:rsidR="0087601C" w:rsidRPr="006A1EC7" w:rsidRDefault="0087601C" w:rsidP="0087601C"/>
    <w:p w14:paraId="4BC31034" w14:textId="77777777" w:rsidR="0087601C" w:rsidRPr="006A1EC7" w:rsidRDefault="0087601C" w:rsidP="0087601C">
      <w:r w:rsidRPr="006A1EC7">
        <w:rPr>
          <w:bCs/>
        </w:rPr>
        <w:t xml:space="preserve">What </w:t>
      </w:r>
      <w:r w:rsidRPr="006A1EC7">
        <w:t>will happen if we don’t want to carry on with the study?</w:t>
      </w:r>
    </w:p>
    <w:p w14:paraId="1551813F" w14:textId="77777777" w:rsidR="0087601C" w:rsidRPr="006A1EC7" w:rsidRDefault="0087601C" w:rsidP="0087601C">
      <w:pPr>
        <w:rPr>
          <w:bCs/>
          <w:i/>
          <w:iCs/>
        </w:rPr>
      </w:pPr>
      <w:r w:rsidRPr="006A1EC7">
        <w:rPr>
          <w:bCs/>
        </w:rPr>
        <w:t xml:space="preserve">You are free to withdraw from the study at anytime without any effect on your routine care. </w:t>
      </w:r>
      <w:r w:rsidRPr="006A1EC7">
        <w:t xml:space="preserve"> We will also withdraw the data obtained from you.</w:t>
      </w:r>
    </w:p>
    <w:p w14:paraId="72D80601" w14:textId="77777777" w:rsidR="0087601C" w:rsidRPr="006A1EC7" w:rsidRDefault="0087601C" w:rsidP="0087601C"/>
    <w:p w14:paraId="646B5670" w14:textId="77777777" w:rsidR="0087601C" w:rsidRPr="006A1EC7" w:rsidRDefault="0087601C" w:rsidP="0087601C"/>
    <w:p w14:paraId="04DFED1E" w14:textId="77777777" w:rsidR="0087601C" w:rsidRPr="006A1EC7" w:rsidRDefault="0087601C" w:rsidP="0087601C">
      <w:r w:rsidRPr="006A1EC7">
        <w:rPr>
          <w:bCs/>
        </w:rPr>
        <w:t>What if there is a problem?</w:t>
      </w:r>
    </w:p>
    <w:p w14:paraId="1D9856FE" w14:textId="77777777" w:rsidR="0087601C" w:rsidRPr="006A1EC7" w:rsidRDefault="0087601C" w:rsidP="0087601C"/>
    <w:p w14:paraId="784DFF80" w14:textId="77777777" w:rsidR="0087601C" w:rsidRPr="006A1EC7" w:rsidRDefault="0087601C" w:rsidP="0087601C">
      <w:pPr>
        <w:rPr>
          <w:bCs/>
        </w:rPr>
      </w:pPr>
      <w:r w:rsidRPr="006A1EC7">
        <w:rPr>
          <w:bCs/>
        </w:rPr>
        <w:t>Complaints</w:t>
      </w:r>
    </w:p>
    <w:p w14:paraId="634FB84D" w14:textId="77777777" w:rsidR="0087601C" w:rsidRPr="006A1EC7" w:rsidRDefault="0087601C" w:rsidP="0087601C">
      <w:r w:rsidRPr="006A1EC7">
        <w:t>If you have a concern about any aspect of this study, you should ask to speak to the researchers who will do their best to answer your questions.</w:t>
      </w:r>
    </w:p>
    <w:p w14:paraId="045E43E8" w14:textId="77777777" w:rsidR="0087601C" w:rsidRPr="006A1EC7" w:rsidRDefault="0087601C" w:rsidP="0087601C"/>
    <w:p w14:paraId="2F5FDE45" w14:textId="77777777" w:rsidR="0087601C" w:rsidRPr="006A1EC7" w:rsidRDefault="0087601C" w:rsidP="0087601C">
      <w:r w:rsidRPr="006A1EC7">
        <w:t>Name:</w:t>
      </w:r>
      <w:r w:rsidRPr="006A1EC7">
        <w:tab/>
        <w:t xml:space="preserve"> Alisdair McNeill</w:t>
      </w:r>
    </w:p>
    <w:p w14:paraId="0BDEBF62" w14:textId="77777777" w:rsidR="0087601C" w:rsidRPr="006A1EC7" w:rsidRDefault="0087601C" w:rsidP="0087601C">
      <w:r w:rsidRPr="006A1EC7">
        <w:t xml:space="preserve">Title: Consultant in Clinical Genetics </w:t>
      </w:r>
    </w:p>
    <w:p w14:paraId="7B60BC8F" w14:textId="77777777" w:rsidR="0087601C" w:rsidRPr="006A1EC7" w:rsidRDefault="0087601C" w:rsidP="0087601C">
      <w:r w:rsidRPr="006A1EC7">
        <w:t xml:space="preserve">Hospital/Department: Sheffield Clinical Genetics Service, OPD2, Northern General Hospital. </w:t>
      </w:r>
    </w:p>
    <w:p w14:paraId="492EAF5D" w14:textId="77777777" w:rsidR="0087601C" w:rsidRPr="006A1EC7" w:rsidRDefault="0087601C" w:rsidP="0087601C">
      <w:r w:rsidRPr="006A1EC7">
        <w:t xml:space="preserve">Tel: </w:t>
      </w:r>
      <w:r w:rsidRPr="006A1EC7">
        <w:rPr>
          <w:szCs w:val="20"/>
          <w:shd w:val="clear" w:color="auto" w:fill="FFFFFF"/>
        </w:rPr>
        <w:t>0114 243 4343, ask for clinical genetics and then please leave your name and number with the secretary.</w:t>
      </w:r>
    </w:p>
    <w:p w14:paraId="1F0A4E8A" w14:textId="77777777" w:rsidR="0087601C" w:rsidRPr="006A1EC7" w:rsidRDefault="0087601C" w:rsidP="0087601C"/>
    <w:p w14:paraId="6973D01C" w14:textId="77777777" w:rsidR="0087601C" w:rsidRPr="006A1EC7" w:rsidRDefault="0087601C" w:rsidP="0087601C">
      <w:r w:rsidRPr="006A1EC7">
        <w:t>If you remain unhappy and wish to complain formally, you can do this by contacting:</w:t>
      </w:r>
    </w:p>
    <w:p w14:paraId="1B03A30F" w14:textId="77777777" w:rsidR="0087601C" w:rsidRPr="006A1EC7" w:rsidRDefault="0087601C" w:rsidP="0087601C"/>
    <w:p w14:paraId="7593249A" w14:textId="77777777" w:rsidR="0087601C" w:rsidRPr="006A1EC7" w:rsidRDefault="0087601C" w:rsidP="0087601C">
      <w:r w:rsidRPr="006A1EC7">
        <w:t>Mrs Linda Towers</w:t>
      </w:r>
    </w:p>
    <w:p w14:paraId="28F023F4" w14:textId="77777777" w:rsidR="0087601C" w:rsidRPr="006A1EC7" w:rsidRDefault="0087601C" w:rsidP="0087601C">
      <w:r w:rsidRPr="006A1EC7">
        <w:t>Patient Advice &amp; Liaison Co-ordinator</w:t>
      </w:r>
    </w:p>
    <w:p w14:paraId="1FA012CC" w14:textId="77777777" w:rsidR="0087601C" w:rsidRPr="006A1EC7" w:rsidRDefault="0087601C" w:rsidP="0087601C">
      <w:r w:rsidRPr="006A1EC7">
        <w:t>Sheffield Children’s NHS Foundation Trust</w:t>
      </w:r>
    </w:p>
    <w:p w14:paraId="5AFDD6B4" w14:textId="77777777" w:rsidR="0087601C" w:rsidRPr="006A1EC7" w:rsidRDefault="0087601C" w:rsidP="0087601C">
      <w:r w:rsidRPr="006A1EC7">
        <w:t>Tel: 0114 271 7594</w:t>
      </w:r>
    </w:p>
    <w:p w14:paraId="572292E1" w14:textId="77777777" w:rsidR="0087601C" w:rsidRPr="006A1EC7" w:rsidRDefault="0087601C" w:rsidP="0087601C"/>
    <w:p w14:paraId="64699342" w14:textId="77777777" w:rsidR="0087601C" w:rsidRPr="006A1EC7" w:rsidRDefault="0087601C" w:rsidP="0087601C">
      <w:pPr>
        <w:rPr>
          <w:bCs/>
        </w:rPr>
      </w:pPr>
      <w:r w:rsidRPr="006A1EC7">
        <w:rPr>
          <w:bCs/>
        </w:rPr>
        <w:t>Harm</w:t>
      </w:r>
    </w:p>
    <w:p w14:paraId="41433CCB" w14:textId="77777777" w:rsidR="0087601C" w:rsidRPr="006A1EC7" w:rsidRDefault="0087601C" w:rsidP="0087601C">
      <w:r w:rsidRPr="006A1EC7">
        <w:t>In the event that something does go wrong and your child is harmed during the research and this is due to someone’s negligence then you may have grounds for a legal action for compensation, but you may have to pay your legal costs.  The normal NHS complaints mechanisms will still be available to you.</w:t>
      </w:r>
    </w:p>
    <w:p w14:paraId="4B800E37" w14:textId="77777777" w:rsidR="0087601C" w:rsidRPr="006A1EC7" w:rsidRDefault="0087601C" w:rsidP="0087601C"/>
    <w:p w14:paraId="0AAE1EFD" w14:textId="77777777" w:rsidR="0087601C" w:rsidRPr="006A1EC7" w:rsidRDefault="0087601C" w:rsidP="0087601C">
      <w:r w:rsidRPr="006A1EC7">
        <w:rPr>
          <w:bCs/>
        </w:rPr>
        <w:t>Will my taking part in this study be kept confidential?</w:t>
      </w:r>
    </w:p>
    <w:p w14:paraId="54E77C91" w14:textId="77777777" w:rsidR="0087601C" w:rsidRPr="006A1EC7" w:rsidRDefault="0087601C" w:rsidP="0087601C">
      <w:r w:rsidRPr="006A1EC7">
        <w:t>All information which is collected about you or your child during the course of the research will be kept strictly confidential.  Any information about you or your child which leaves the hospital will have their name and address removed so that they cannot be recognised from it.  Once the study is complete all information will be kept for 5 years to allow all research analyses to be completed.</w:t>
      </w:r>
      <w:r w:rsidRPr="006A1EC7">
        <w:rPr>
          <w:i/>
        </w:rPr>
        <w:t xml:space="preserve"> </w:t>
      </w:r>
    </w:p>
    <w:p w14:paraId="4FA2AA68" w14:textId="77777777" w:rsidR="0087601C" w:rsidRPr="006A1EC7" w:rsidRDefault="0087601C" w:rsidP="0087601C">
      <w:pPr>
        <w:rPr>
          <w:iCs/>
        </w:rPr>
      </w:pPr>
    </w:p>
    <w:p w14:paraId="2E70288E" w14:textId="77777777" w:rsidR="0087601C" w:rsidRPr="006A1EC7" w:rsidRDefault="0087601C" w:rsidP="0087601C">
      <w:pPr>
        <w:rPr>
          <w:bCs/>
        </w:rPr>
      </w:pPr>
      <w:r w:rsidRPr="006A1EC7">
        <w:t>Our procedures for handling, processing, storage and destruction of data are compliant with the Data Protection Act 1998.</w:t>
      </w:r>
    </w:p>
    <w:p w14:paraId="1FD0A216" w14:textId="77777777" w:rsidR="0087601C" w:rsidRPr="006A1EC7" w:rsidRDefault="0087601C" w:rsidP="0087601C">
      <w:pPr>
        <w:rPr>
          <w:iCs/>
          <w:lang w:val="en-AU"/>
        </w:rPr>
      </w:pPr>
    </w:p>
    <w:p w14:paraId="21E6D8F2" w14:textId="77777777" w:rsidR="0087601C" w:rsidRPr="006A1EC7" w:rsidRDefault="0087601C" w:rsidP="0087601C">
      <w:pPr>
        <w:rPr>
          <w:i/>
        </w:rPr>
      </w:pPr>
      <w:r w:rsidRPr="006A1EC7">
        <w:t>Clinical and demographic data, audio recordings and any completed questionnaires will be anonymised. They will be kept securely for 5 years and then destroyed</w:t>
      </w:r>
      <w:r w:rsidRPr="006A1EC7">
        <w:rPr>
          <w:i/>
        </w:rPr>
        <w:t xml:space="preserve">.  </w:t>
      </w:r>
    </w:p>
    <w:p w14:paraId="301D832C" w14:textId="77777777" w:rsidR="0087601C" w:rsidRPr="006A1EC7" w:rsidRDefault="0087601C" w:rsidP="0087601C">
      <w:pPr>
        <w:rPr>
          <w:i/>
        </w:rPr>
      </w:pPr>
    </w:p>
    <w:p w14:paraId="773DFEDB" w14:textId="77777777" w:rsidR="0087601C" w:rsidRPr="006A1EC7" w:rsidRDefault="0087601C" w:rsidP="0087601C"/>
    <w:p w14:paraId="20670987" w14:textId="77777777" w:rsidR="0087601C" w:rsidRPr="006A1EC7" w:rsidRDefault="0087601C" w:rsidP="0087601C">
      <w:r w:rsidRPr="006A1EC7">
        <w:t>Your child’s medical notes may also be looked at by other people within the hospital involved in the running and supervision of the study to check that it is being carried out correctly.</w:t>
      </w:r>
    </w:p>
    <w:p w14:paraId="2BE53E29" w14:textId="77777777" w:rsidR="0087601C" w:rsidRPr="006A1EC7" w:rsidRDefault="0087601C" w:rsidP="0087601C"/>
    <w:p w14:paraId="148E74A0" w14:textId="77777777" w:rsidR="0087601C" w:rsidRPr="006A1EC7" w:rsidRDefault="0087601C" w:rsidP="0087601C">
      <w:pPr>
        <w:rPr>
          <w:bCs/>
        </w:rPr>
      </w:pPr>
    </w:p>
    <w:p w14:paraId="381CEDC6" w14:textId="77777777" w:rsidR="0087601C" w:rsidRPr="006A1EC7" w:rsidRDefault="0087601C" w:rsidP="0087601C">
      <w:r w:rsidRPr="006A1EC7">
        <w:rPr>
          <w:bCs/>
        </w:rPr>
        <w:t xml:space="preserve">Will </w:t>
      </w:r>
      <w:r w:rsidRPr="006A1EC7">
        <w:rPr>
          <w:bCs/>
          <w:iCs/>
        </w:rPr>
        <w:t>any genetic tests be done?</w:t>
      </w:r>
    </w:p>
    <w:p w14:paraId="48DAA1FE" w14:textId="77777777" w:rsidR="0087601C" w:rsidRPr="006A1EC7" w:rsidRDefault="0087601C" w:rsidP="0087601C">
      <w:pPr>
        <w:rPr>
          <w:bCs/>
          <w:iCs/>
        </w:rPr>
      </w:pPr>
      <w:r w:rsidRPr="006A1EC7">
        <w:rPr>
          <w:bCs/>
          <w:iCs/>
        </w:rPr>
        <w:t xml:space="preserve">No. </w:t>
      </w:r>
    </w:p>
    <w:p w14:paraId="068557AE" w14:textId="77777777" w:rsidR="0087601C" w:rsidRPr="006A1EC7" w:rsidRDefault="0087601C" w:rsidP="0087601C">
      <w:r w:rsidRPr="006A1EC7">
        <w:rPr>
          <w:bCs/>
        </w:rPr>
        <w:t>What will happen to the results of the research study?</w:t>
      </w:r>
    </w:p>
    <w:p w14:paraId="44816FD9" w14:textId="77777777" w:rsidR="0087601C" w:rsidRPr="006A1EC7" w:rsidRDefault="0087601C" w:rsidP="0087601C">
      <w:r w:rsidRPr="006A1EC7">
        <w:t xml:space="preserve">When the study has finished we will present our findings to other researchers, and we will put the results in medical magazines and websites that researchers read.  We would also like to put a brief summary on the hospital research website so that you will be able to read about our results too.  This will be available at the end of the study, in 2020 on </w:t>
      </w:r>
      <w:hyperlink r:id="rId39" w:history="1">
        <w:r w:rsidRPr="006A1EC7">
          <w:rPr>
            <w:rStyle w:val="Hyperlink"/>
            <w:rFonts w:eastAsiaTheme="majorEastAsia"/>
          </w:rPr>
          <w:t>www.sheffieldchildrens.nhs.uk/research-and-innovation.htm</w:t>
        </w:r>
      </w:hyperlink>
      <w:r w:rsidRPr="006A1EC7">
        <w:t>.  The results will also be included as part of the investigator’s educational qualification (a PhD for a member of the research team).  They will be anonymous, which means that your child will not be able to be identified from them.</w:t>
      </w:r>
    </w:p>
    <w:p w14:paraId="34ACB62B" w14:textId="77777777" w:rsidR="0087601C" w:rsidRPr="006A1EC7" w:rsidRDefault="0087601C" w:rsidP="0087601C"/>
    <w:p w14:paraId="60D55D65" w14:textId="77777777" w:rsidR="0087601C" w:rsidRPr="006A1EC7" w:rsidRDefault="0087601C" w:rsidP="0087601C">
      <w:r w:rsidRPr="006A1EC7">
        <w:rPr>
          <w:bCs/>
        </w:rPr>
        <w:t>Who is organising and funding the research?</w:t>
      </w:r>
    </w:p>
    <w:p w14:paraId="746CDA5C" w14:textId="77777777" w:rsidR="0087601C" w:rsidRPr="006A1EC7" w:rsidRDefault="0087601C" w:rsidP="0087601C"/>
    <w:p w14:paraId="0F01E021" w14:textId="77777777" w:rsidR="0087601C" w:rsidRPr="006A1EC7" w:rsidRDefault="0087601C" w:rsidP="0087601C">
      <w:r w:rsidRPr="006A1EC7">
        <w:t>The research is being organised by Sheffield Children’s NHS Foundation Trust and paid for by the Sir Halley-Stewart Trust (a medical research charity which chose to support this project financially because they believed it to be important).</w:t>
      </w:r>
    </w:p>
    <w:p w14:paraId="56000A42" w14:textId="77777777" w:rsidR="0087601C" w:rsidRPr="006A1EC7" w:rsidRDefault="0087601C" w:rsidP="0087601C">
      <w:pPr>
        <w:rPr>
          <w:i/>
        </w:rPr>
      </w:pPr>
    </w:p>
    <w:p w14:paraId="5A966FA0" w14:textId="77777777" w:rsidR="0087601C" w:rsidRPr="006A1EC7" w:rsidRDefault="0087601C" w:rsidP="0087601C"/>
    <w:p w14:paraId="58452B4F" w14:textId="77777777" w:rsidR="0087601C" w:rsidRPr="006A1EC7" w:rsidRDefault="0087601C" w:rsidP="0087601C">
      <w:r w:rsidRPr="006A1EC7">
        <w:rPr>
          <w:bCs/>
        </w:rPr>
        <w:t>Who has reviewed the study?</w:t>
      </w:r>
    </w:p>
    <w:p w14:paraId="709B5BE6" w14:textId="77777777" w:rsidR="0087601C" w:rsidRPr="006A1EC7" w:rsidRDefault="0087601C" w:rsidP="0087601C">
      <w:pPr>
        <w:rPr>
          <w:bCs/>
          <w:iCs/>
        </w:rPr>
      </w:pPr>
      <w:r w:rsidRPr="006A1EC7">
        <w:rPr>
          <w:bCs/>
          <w:iCs/>
        </w:rPr>
        <w:t xml:space="preserve">All research in the NHS is looked at by an independent group of people, called a Research Ethics Committee, to protect your interests.  This study has been reviewed and given a favourable opinion by </w:t>
      </w:r>
      <w:r w:rsidRPr="006A1EC7">
        <w:rPr>
          <w:bCs/>
          <w:i/>
          <w:iCs/>
        </w:rPr>
        <w:t>&lt;name of&gt;</w:t>
      </w:r>
      <w:r w:rsidRPr="006A1EC7">
        <w:rPr>
          <w:bCs/>
          <w:iCs/>
        </w:rPr>
        <w:t xml:space="preserve"> Research Ethics Committee.</w:t>
      </w:r>
    </w:p>
    <w:p w14:paraId="13217D78" w14:textId="77777777" w:rsidR="0087601C" w:rsidRPr="006A1EC7" w:rsidRDefault="0087601C" w:rsidP="0087601C">
      <w:r w:rsidRPr="006A1EC7">
        <w:t>It has also been given approval by the Research Department to run at this hospital.</w:t>
      </w:r>
    </w:p>
    <w:p w14:paraId="06D72243" w14:textId="77777777" w:rsidR="0087601C" w:rsidRPr="006A1EC7" w:rsidRDefault="0087601C" w:rsidP="0087601C">
      <w:pPr>
        <w:rPr>
          <w:bCs/>
          <w:iCs/>
        </w:rPr>
      </w:pPr>
    </w:p>
    <w:p w14:paraId="064A2AA0" w14:textId="77777777" w:rsidR="0087601C" w:rsidRPr="006A1EC7" w:rsidRDefault="0087601C" w:rsidP="0087601C">
      <w:r w:rsidRPr="006A1EC7">
        <w:rPr>
          <w:bCs/>
        </w:rPr>
        <w:t>How can I find out more?</w:t>
      </w:r>
    </w:p>
    <w:p w14:paraId="6651FE23" w14:textId="77777777" w:rsidR="0087601C" w:rsidRPr="006A1EC7" w:rsidRDefault="0087601C" w:rsidP="0087601C">
      <w:r w:rsidRPr="006A1EC7">
        <w:t xml:space="preserve">If you would like to find know more about research in general, the Clinical Research Facility at this hospital has an Information for families section on its website </w:t>
      </w:r>
      <w:hyperlink r:id="rId40" w:history="1">
        <w:r w:rsidRPr="006A1EC7">
          <w:rPr>
            <w:rStyle w:val="Hyperlink"/>
            <w:rFonts w:eastAsiaTheme="majorEastAsia"/>
          </w:rPr>
          <w:t>www.sheffieldchildrens.nhs.uk/research-and-innovation.htm</w:t>
        </w:r>
      </w:hyperlink>
      <w:r w:rsidRPr="006A1EC7">
        <w:t xml:space="preserve"> or you could contact the hospital Clinical Research Facility:</w:t>
      </w:r>
    </w:p>
    <w:p w14:paraId="728F5F86" w14:textId="77777777" w:rsidR="0087601C" w:rsidRPr="006A1EC7" w:rsidRDefault="0087601C" w:rsidP="0087601C"/>
    <w:p w14:paraId="01509D95" w14:textId="77777777" w:rsidR="0087601C" w:rsidRPr="006A1EC7" w:rsidRDefault="0087601C" w:rsidP="0087601C">
      <w:r w:rsidRPr="006A1EC7">
        <w:t>Ms Wendy Swann</w:t>
      </w:r>
    </w:p>
    <w:p w14:paraId="0CBA0106" w14:textId="77777777" w:rsidR="0087601C" w:rsidRPr="006A1EC7" w:rsidRDefault="0087601C" w:rsidP="0087601C">
      <w:r w:rsidRPr="006A1EC7">
        <w:t>R&amp;D Manager</w:t>
      </w:r>
    </w:p>
    <w:p w14:paraId="56C5F6E1" w14:textId="77777777" w:rsidR="0087601C" w:rsidRPr="006A1EC7" w:rsidRDefault="0087601C" w:rsidP="0087601C">
      <w:r w:rsidRPr="006A1EC7">
        <w:t>Sheffield Children’s NHS Foundation Trust</w:t>
      </w:r>
    </w:p>
    <w:p w14:paraId="039D07D2" w14:textId="77777777" w:rsidR="0087601C" w:rsidRPr="006A1EC7" w:rsidRDefault="0087601C" w:rsidP="0087601C">
      <w:r w:rsidRPr="006A1EC7">
        <w:t>Tel: 0114 3053478</w:t>
      </w:r>
    </w:p>
    <w:p w14:paraId="3A41B8A4" w14:textId="77777777" w:rsidR="0087601C" w:rsidRPr="006A1EC7" w:rsidRDefault="0087601C" w:rsidP="0087601C">
      <w:pPr>
        <w:rPr>
          <w:bCs/>
          <w:iCs/>
        </w:rPr>
      </w:pPr>
    </w:p>
    <w:p w14:paraId="06552BA5" w14:textId="77777777" w:rsidR="0087601C" w:rsidRPr="006A1EC7" w:rsidRDefault="0087601C" w:rsidP="0087601C">
      <w:pPr>
        <w:rPr>
          <w:bCs/>
          <w:iCs/>
        </w:rPr>
      </w:pPr>
      <w:r w:rsidRPr="006A1EC7">
        <w:rPr>
          <w:bCs/>
          <w:iCs/>
        </w:rPr>
        <w:t>If you would like to know more specific information about this research project, please contact the project co-ordinator:</w:t>
      </w:r>
    </w:p>
    <w:p w14:paraId="0C781809" w14:textId="77777777" w:rsidR="0087601C" w:rsidRPr="006A1EC7" w:rsidRDefault="0087601C" w:rsidP="0087601C">
      <w:pPr>
        <w:rPr>
          <w:bCs/>
          <w:iCs/>
        </w:rPr>
      </w:pPr>
    </w:p>
    <w:p w14:paraId="763EC27F" w14:textId="77777777" w:rsidR="0087601C" w:rsidRPr="006A1EC7" w:rsidRDefault="0087601C" w:rsidP="0087601C">
      <w:r w:rsidRPr="006A1EC7">
        <w:t>Name:</w:t>
      </w:r>
      <w:r w:rsidRPr="006A1EC7">
        <w:tab/>
        <w:t xml:space="preserve"> Alisdair McNeill</w:t>
      </w:r>
    </w:p>
    <w:p w14:paraId="60B868F0" w14:textId="77777777" w:rsidR="0087601C" w:rsidRPr="006A1EC7" w:rsidRDefault="0087601C" w:rsidP="0087601C">
      <w:r w:rsidRPr="006A1EC7">
        <w:t xml:space="preserve">Title: Consultant in Clinical Genetics </w:t>
      </w:r>
    </w:p>
    <w:p w14:paraId="1D9EA11F" w14:textId="77777777" w:rsidR="0087601C" w:rsidRPr="006A1EC7" w:rsidRDefault="0087601C" w:rsidP="0087601C">
      <w:r w:rsidRPr="006A1EC7">
        <w:t xml:space="preserve">Hospital/Department: Sheffield Clinical Genetics service, OPD2 Northern general hospital  </w:t>
      </w:r>
    </w:p>
    <w:p w14:paraId="6997E53F" w14:textId="77777777" w:rsidR="0087601C" w:rsidRPr="006A1EC7" w:rsidRDefault="0087601C" w:rsidP="0087601C">
      <w:r w:rsidRPr="006A1EC7">
        <w:t xml:space="preserve">Tel: </w:t>
      </w:r>
      <w:r w:rsidRPr="006A1EC7">
        <w:rPr>
          <w:szCs w:val="20"/>
          <w:shd w:val="clear" w:color="auto" w:fill="FFFFFF"/>
        </w:rPr>
        <w:t>0114 243 4343, ask for clinical genetics and then please leave your name and number with the secretary.</w:t>
      </w:r>
      <w:r w:rsidRPr="006A1EC7">
        <w:rPr>
          <w:color w:val="747277"/>
          <w:sz w:val="18"/>
          <w:szCs w:val="18"/>
          <w:shd w:val="clear" w:color="auto" w:fill="FFFFFF"/>
        </w:rPr>
        <w:t xml:space="preserve"> </w:t>
      </w:r>
    </w:p>
    <w:p w14:paraId="03428A91" w14:textId="77777777" w:rsidR="0087601C" w:rsidRPr="006A1EC7" w:rsidRDefault="0087601C" w:rsidP="0087601C">
      <w:pPr>
        <w:rPr>
          <w:bCs/>
          <w:iCs/>
        </w:rPr>
      </w:pPr>
    </w:p>
    <w:p w14:paraId="2ACA86A3" w14:textId="77777777" w:rsidR="0087601C" w:rsidRPr="006A1EC7" w:rsidRDefault="0087601C" w:rsidP="0087601C">
      <w:pPr>
        <w:rPr>
          <w:bCs/>
          <w:iCs/>
        </w:rPr>
      </w:pPr>
    </w:p>
    <w:p w14:paraId="369BEA44" w14:textId="77777777" w:rsidR="0087601C" w:rsidRPr="006A1EC7" w:rsidRDefault="0087601C" w:rsidP="0087601C">
      <w:pPr>
        <w:rPr>
          <w:bCs/>
          <w:iCs/>
        </w:rPr>
      </w:pPr>
      <w:r w:rsidRPr="006A1EC7">
        <w:rPr>
          <w:bCs/>
          <w:iCs/>
        </w:rPr>
        <w:t xml:space="preserve">If you have any concerns during the study, you should contact the project team.  </w:t>
      </w:r>
    </w:p>
    <w:p w14:paraId="16771563" w14:textId="77777777" w:rsidR="0087601C" w:rsidRPr="006A1EC7" w:rsidRDefault="0087601C" w:rsidP="0087601C">
      <w:pPr>
        <w:rPr>
          <w:bCs/>
          <w:iCs/>
        </w:rPr>
      </w:pPr>
    </w:p>
    <w:p w14:paraId="717C32E8" w14:textId="77777777" w:rsidR="0087601C" w:rsidRPr="006A1EC7" w:rsidRDefault="0087601C" w:rsidP="0087601C">
      <w:r w:rsidRPr="006A1EC7">
        <w:lastRenderedPageBreak/>
        <w:t>If you and your child decide to take part in this study, you will be given this information sheet and signed consent and assent forms to keep.</w:t>
      </w:r>
    </w:p>
    <w:p w14:paraId="44B9D41C" w14:textId="77777777" w:rsidR="0087601C" w:rsidRPr="006A1EC7" w:rsidRDefault="0087601C" w:rsidP="0087601C"/>
    <w:p w14:paraId="280B0A51" w14:textId="77777777" w:rsidR="0087601C" w:rsidRPr="006A1EC7" w:rsidRDefault="0087601C" w:rsidP="0087601C"/>
    <w:p w14:paraId="4A979E97" w14:textId="77777777" w:rsidR="0087601C" w:rsidRPr="006A1EC7" w:rsidRDefault="0087601C" w:rsidP="0087601C"/>
    <w:p w14:paraId="35ABE68A" w14:textId="77777777" w:rsidR="0087601C" w:rsidRPr="006A1EC7" w:rsidRDefault="0087601C" w:rsidP="0087601C">
      <w:pPr>
        <w:pStyle w:val="Heading3"/>
        <w:rPr>
          <w:rFonts w:ascii="Times New Roman" w:hAnsi="Times New Roman" w:cs="Times New Roman"/>
        </w:rPr>
      </w:pPr>
      <w:bookmarkStart w:id="287" w:name="_Toc38821476"/>
      <w:r w:rsidRPr="006A1EC7">
        <w:rPr>
          <w:rFonts w:ascii="Times New Roman" w:hAnsi="Times New Roman" w:cs="Times New Roman"/>
        </w:rPr>
        <w:t>Appendix 4.4: Consent form</w:t>
      </w:r>
      <w:bookmarkEnd w:id="287"/>
    </w:p>
    <w:p w14:paraId="1EB81440" w14:textId="77777777" w:rsidR="0087601C" w:rsidRPr="006A1EC7" w:rsidRDefault="0087601C" w:rsidP="0087601C"/>
    <w:p w14:paraId="16EDA61B" w14:textId="77777777" w:rsidR="0087601C" w:rsidRPr="006A1EC7" w:rsidRDefault="0087601C" w:rsidP="0087601C">
      <w:pPr>
        <w:tabs>
          <w:tab w:val="left" w:pos="720"/>
          <w:tab w:val="left" w:pos="1440"/>
          <w:tab w:val="left" w:pos="2160"/>
          <w:tab w:val="left" w:pos="2880"/>
          <w:tab w:val="left" w:pos="4680"/>
          <w:tab w:val="left" w:pos="5400"/>
        </w:tabs>
        <w:ind w:right="72"/>
        <w:jc w:val="both"/>
      </w:pPr>
      <w:r w:rsidRPr="006A1EC7">
        <w:rPr>
          <w:noProof/>
          <w:lang w:eastAsia="en-GB"/>
        </w:rPr>
        <mc:AlternateContent>
          <mc:Choice Requires="wpg">
            <w:drawing>
              <wp:anchor distT="0" distB="0" distL="114300" distR="114300" simplePos="0" relativeHeight="251705344" behindDoc="0" locked="0" layoutInCell="1" allowOverlap="1" wp14:anchorId="7CFDEEBC" wp14:editId="34BC92EA">
                <wp:simplePos x="0" y="0"/>
                <wp:positionH relativeFrom="column">
                  <wp:posOffset>3200400</wp:posOffset>
                </wp:positionH>
                <wp:positionV relativeFrom="paragraph">
                  <wp:posOffset>-685800</wp:posOffset>
                </wp:positionV>
                <wp:extent cx="3046095" cy="830580"/>
                <wp:effectExtent l="0" t="0" r="0" b="0"/>
                <wp:wrapNone/>
                <wp:docPr id="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830580"/>
                          <a:chOff x="6394" y="1438"/>
                          <a:chExt cx="4797" cy="1308"/>
                        </a:xfrm>
                      </wpg:grpSpPr>
                      <wps:wsp>
                        <wps:cNvPr id="47" name="Text Box 46"/>
                        <wps:cNvSpPr txBox="1">
                          <a:spLocks/>
                        </wps:cNvSpPr>
                        <wps:spPr bwMode="auto">
                          <a:xfrm>
                            <a:off x="6394" y="2210"/>
                            <a:ext cx="4141"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B945" w14:textId="77777777" w:rsidR="00BE607C" w:rsidRPr="00B57756" w:rsidRDefault="00BE607C" w:rsidP="0087601C">
                              <w:pPr>
                                <w:rPr>
                                  <w:szCs w:val="36"/>
                                </w:rPr>
                              </w:pPr>
                            </w:p>
                          </w:txbxContent>
                        </wps:txbx>
                        <wps:bodyPr rot="0" vert="horz" wrap="square" lIns="91440" tIns="45720" rIns="91440" bIns="45720" anchor="t" anchorCtr="0" upright="1">
                          <a:noAutofit/>
                        </wps:bodyPr>
                      </wps:wsp>
                      <pic:pic xmlns:pic="http://schemas.openxmlformats.org/drawingml/2006/picture">
                        <pic:nvPicPr>
                          <pic:cNvPr id="49" name="Picture 47" descr="bear"/>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0535" y="1491"/>
                            <a:ext cx="656"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8" descr="sclogo"/>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6569" y="1438"/>
                            <a:ext cx="360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FDEEBC" id="Group 45" o:spid="_x0000_s1050" style="position:absolute;left:0;text-align:left;margin-left:252pt;margin-top:-54pt;width:239.85pt;height:65.4pt;z-index:251705344" coordorigin="6394,1438" coordsize="4797,13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">
                <v:shapetype id="_x0000_t202" coordsize="21600,21600" o:spt="202" path="m,l,21600r21600,l21600,xe">
                  <v:stroke joinstyle="miter"/>
                  <v:path gradientshapeok="t" o:connecttype="rect"/>
                </v:shapetype>
                <v:shape id="Text Box 46" o:spid="_x0000_s1051" type="#_x0000_t202" style="position:absolute;left:6394;top:2210;width:4141;height: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" filled="f" stroked="f">
                  <v:path arrowok="t"/>
                  <v:textbox>
                    <w:txbxContent>
                      <w:p w14:paraId="13D9B945" w14:textId="77777777" w:rsidR="00BE607C" w:rsidRPr="00B57756" w:rsidRDefault="00BE607C" w:rsidP="0087601C">
                        <w:pPr>
                          <w:rPr>
                            <w:szCs w:val="3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2" type="#_x0000_t75" alt="bear" style="position:absolute;left:10535;top:1491;width:656;height:7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">
                  <v:imagedata r:id="rId43" o:title="bear"/>
                  <o:lock v:ext="edit" aspectratio="f"/>
                </v:shape>
                <v:shape id="Picture 48" o:spid="_x0000_s1053" type="#_x0000_t75" alt="sclogo" style="position:absolute;left:6569;top:1438;width:3602;height: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">
                  <v:imagedata r:id="rId44" o:title="sclogo"/>
                  <v:path arrowok="t"/>
                  <o:lock v:ext="edit" aspectratio="f"/>
                </v:shape>
              </v:group>
            </w:pict>
          </mc:Fallback>
        </mc:AlternateContent>
      </w:r>
    </w:p>
    <w:p w14:paraId="360A1EE5" w14:textId="77777777" w:rsidR="0087601C" w:rsidRPr="006A1EC7" w:rsidRDefault="0087601C" w:rsidP="0087601C">
      <w:r w:rsidRPr="006A1EC7">
        <w:t>Participant study number:</w:t>
      </w:r>
    </w:p>
    <w:p w14:paraId="3D4FFCCD" w14:textId="77777777" w:rsidR="0087601C" w:rsidRPr="006A1EC7" w:rsidRDefault="0087601C" w:rsidP="0087601C">
      <w:pPr>
        <w:rPr>
          <w:b/>
        </w:rPr>
      </w:pPr>
    </w:p>
    <w:p w14:paraId="40A2147F" w14:textId="77777777" w:rsidR="0087601C" w:rsidRPr="006A1EC7" w:rsidRDefault="0087601C" w:rsidP="0087601C">
      <w:pPr>
        <w:rPr>
          <w:b/>
        </w:rPr>
      </w:pPr>
      <w:r w:rsidRPr="006A1EC7">
        <w:rPr>
          <w:b/>
          <w:sz w:val="28"/>
          <w:szCs w:val="28"/>
        </w:rPr>
        <w:t>PARENT/LEGAL GUARDIAN CONSENT FORM</w:t>
      </w:r>
    </w:p>
    <w:p w14:paraId="24F925AE" w14:textId="77777777" w:rsidR="0087601C" w:rsidRPr="006A1EC7" w:rsidRDefault="0087601C" w:rsidP="0087601C">
      <w:r w:rsidRPr="006A1EC7">
        <w:rPr>
          <w:b/>
        </w:rPr>
        <w:t xml:space="preserve">Title of project: </w:t>
      </w:r>
      <w:r w:rsidRPr="006A1EC7">
        <w:t>Developing a Clinical Outcome Assessment for Wolf-Hirschhorn syndrome v1.3 14.08.2017</w:t>
      </w:r>
    </w:p>
    <w:p w14:paraId="05273A03" w14:textId="77777777" w:rsidR="0087601C" w:rsidRPr="006A1EC7" w:rsidRDefault="0087601C" w:rsidP="0087601C"/>
    <w:p w14:paraId="4CE9489A" w14:textId="77777777" w:rsidR="0087601C" w:rsidRPr="006A1EC7" w:rsidRDefault="0087601C" w:rsidP="0087601C">
      <w:r w:rsidRPr="006A1EC7">
        <w:t xml:space="preserve">Name of researcher: </w:t>
      </w:r>
    </w:p>
    <w:p w14:paraId="2C9308AC" w14:textId="77777777" w:rsidR="0087601C" w:rsidRPr="006A1EC7" w:rsidRDefault="0087601C" w:rsidP="0087601C"/>
    <w:p w14:paraId="1FC08853" w14:textId="77777777" w:rsidR="0087601C" w:rsidRPr="006A1EC7" w:rsidRDefault="0087601C" w:rsidP="0087601C">
      <w:pPr>
        <w:rPr>
          <w:b/>
        </w:rPr>
      </w:pPr>
      <w:r w:rsidRPr="006A1EC7">
        <w:rPr>
          <w:b/>
        </w:rPr>
        <w:tab/>
      </w:r>
      <w:r w:rsidRPr="006A1EC7">
        <w:rPr>
          <w:b/>
        </w:rPr>
        <w:tab/>
      </w:r>
      <w:r w:rsidRPr="006A1EC7">
        <w:rPr>
          <w:b/>
        </w:rPr>
        <w:tab/>
      </w:r>
      <w:r w:rsidRPr="006A1EC7">
        <w:rPr>
          <w:b/>
        </w:rPr>
        <w:tab/>
      </w:r>
      <w:r w:rsidRPr="006A1EC7">
        <w:rPr>
          <w:b/>
        </w:rPr>
        <w:tab/>
      </w:r>
      <w:r w:rsidRPr="006A1EC7">
        <w:rPr>
          <w:b/>
        </w:rPr>
        <w:tab/>
      </w:r>
      <w:r w:rsidRPr="006A1EC7">
        <w:rPr>
          <w:b/>
        </w:rPr>
        <w:tab/>
      </w:r>
      <w:r w:rsidRPr="006A1EC7">
        <w:rPr>
          <w:b/>
        </w:rPr>
        <w:tab/>
      </w:r>
      <w:r w:rsidRPr="006A1EC7">
        <w:rPr>
          <w:b/>
        </w:rPr>
        <w:tab/>
      </w:r>
      <w:r w:rsidRPr="006A1EC7">
        <w:rPr>
          <w:b/>
        </w:rPr>
        <w:tab/>
        <w:t>Please initial box</w:t>
      </w:r>
    </w:p>
    <w:p w14:paraId="383AA9D3" w14:textId="77777777" w:rsidR="0087601C" w:rsidRPr="006A1EC7" w:rsidRDefault="0087601C" w:rsidP="0087601C"/>
    <w:p w14:paraId="3D91DD0B" w14:textId="77777777" w:rsidR="0087601C" w:rsidRPr="006A1EC7" w:rsidRDefault="0087601C" w:rsidP="0087601C">
      <w:r w:rsidRPr="006A1EC7">
        <w:rPr>
          <w:noProof/>
          <w:lang w:eastAsia="en-GB"/>
        </w:rPr>
        <mc:AlternateContent>
          <mc:Choice Requires="wps">
            <w:drawing>
              <wp:anchor distT="0" distB="0" distL="114300" distR="114300" simplePos="0" relativeHeight="251704320" behindDoc="0" locked="0" layoutInCell="1" allowOverlap="1" wp14:anchorId="415CF526" wp14:editId="263579FD">
                <wp:simplePos x="0" y="0"/>
                <wp:positionH relativeFrom="column">
                  <wp:posOffset>5372100</wp:posOffset>
                </wp:positionH>
                <wp:positionV relativeFrom="paragraph">
                  <wp:posOffset>26670</wp:posOffset>
                </wp:positionV>
                <wp:extent cx="800100" cy="382270"/>
                <wp:effectExtent l="0" t="0" r="0" b="0"/>
                <wp:wrapNone/>
                <wp:docPr id="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82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349C2" id="Rectangle 16" o:spid="_x0000_s1026" style="position:absolute;margin-left:423pt;margin-top:2.1pt;width:63pt;height:3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">
                <v:path arrowok="t"/>
              </v:rect>
            </w:pict>
          </mc:Fallback>
        </mc:AlternateContent>
      </w:r>
      <w:r w:rsidRPr="006A1EC7">
        <w:t>1.</w:t>
      </w:r>
      <w:r w:rsidRPr="006A1EC7">
        <w:tab/>
        <w:t>I confirm that I have read and understand the nformation sheet dated</w:t>
      </w:r>
    </w:p>
    <w:p w14:paraId="1FD9BD39" w14:textId="77777777" w:rsidR="0087601C" w:rsidRPr="006A1EC7" w:rsidRDefault="0087601C" w:rsidP="0087601C">
      <w:r w:rsidRPr="006A1EC7">
        <w:tab/>
        <w:t xml:space="preserve"> 14/08/2017 </w:t>
      </w:r>
      <w:r w:rsidRPr="006A1EC7">
        <w:rPr>
          <w:i/>
        </w:rPr>
        <w:t xml:space="preserve"> </w:t>
      </w:r>
      <w:r w:rsidRPr="006A1EC7">
        <w:t>(version 1.3) for the above study.  I have had the opportunity to</w:t>
      </w:r>
    </w:p>
    <w:p w14:paraId="7F3CFF75" w14:textId="77777777" w:rsidR="0087601C" w:rsidRPr="006A1EC7" w:rsidRDefault="0087601C" w:rsidP="0087601C">
      <w:r w:rsidRPr="006A1EC7">
        <w:tab/>
        <w:t>consider the information ask questions and have had these answered</w:t>
      </w:r>
    </w:p>
    <w:p w14:paraId="62211DD8" w14:textId="77777777" w:rsidR="0087601C" w:rsidRPr="006A1EC7" w:rsidRDefault="0087601C" w:rsidP="0087601C">
      <w:r w:rsidRPr="006A1EC7">
        <w:tab/>
        <w:t>satisfactorily.</w:t>
      </w:r>
    </w:p>
    <w:p w14:paraId="2B82C881" w14:textId="77777777" w:rsidR="0087601C" w:rsidRPr="006A1EC7" w:rsidRDefault="0087601C" w:rsidP="0087601C">
      <w:r w:rsidRPr="006A1EC7">
        <w:rPr>
          <w:noProof/>
          <w:lang w:eastAsia="en-GB"/>
        </w:rPr>
        <mc:AlternateContent>
          <mc:Choice Requires="wps">
            <w:drawing>
              <wp:anchor distT="0" distB="0" distL="114300" distR="114300" simplePos="0" relativeHeight="251706368" behindDoc="0" locked="0" layoutInCell="1" allowOverlap="1" wp14:anchorId="6C95A7D0" wp14:editId="4453CCA6">
                <wp:simplePos x="0" y="0"/>
                <wp:positionH relativeFrom="column">
                  <wp:posOffset>5438775</wp:posOffset>
                </wp:positionH>
                <wp:positionV relativeFrom="paragraph">
                  <wp:posOffset>165100</wp:posOffset>
                </wp:positionV>
                <wp:extent cx="733425" cy="382270"/>
                <wp:effectExtent l="0" t="0" r="3175" b="0"/>
                <wp:wrapNone/>
                <wp:docPr id="5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3425" cy="382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F0912" id="Rectangle 49" o:spid="_x0000_s1026" style="position:absolute;margin-left:428.25pt;margin-top:13pt;width:57.75pt;height:3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">
                <v:path arrowok="t"/>
              </v:rect>
            </w:pict>
          </mc:Fallback>
        </mc:AlternateContent>
      </w:r>
    </w:p>
    <w:p w14:paraId="5352B8F4" w14:textId="77777777" w:rsidR="0087601C" w:rsidRPr="006A1EC7" w:rsidRDefault="0087601C" w:rsidP="0087601C">
      <w:r w:rsidRPr="006A1EC7">
        <w:t>I understand that my/my child’s participation is voluntary and that I am free to</w:t>
      </w:r>
    </w:p>
    <w:p w14:paraId="278E5C68" w14:textId="77777777" w:rsidR="0087601C" w:rsidRPr="006A1EC7" w:rsidRDefault="0087601C" w:rsidP="0087601C">
      <w:r w:rsidRPr="006A1EC7">
        <w:tab/>
        <w:t xml:space="preserve">withdraw my child at any time, without giving any reason, without </w:t>
      </w:r>
    </w:p>
    <w:p w14:paraId="1B7BCD9C" w14:textId="77777777" w:rsidR="0087601C" w:rsidRPr="006A1EC7" w:rsidRDefault="0087601C" w:rsidP="0087601C">
      <w:r w:rsidRPr="006A1EC7">
        <w:t xml:space="preserve">           my/my child’s medical care or legal rights being affected.</w:t>
      </w:r>
    </w:p>
    <w:p w14:paraId="778BAC9D" w14:textId="77777777" w:rsidR="0087601C" w:rsidRPr="006A1EC7" w:rsidRDefault="0087601C" w:rsidP="0087601C"/>
    <w:p w14:paraId="446A0629" w14:textId="77777777" w:rsidR="0087601C" w:rsidRPr="006A1EC7" w:rsidRDefault="0087601C" w:rsidP="0087601C">
      <w:r w:rsidRPr="006A1EC7">
        <w:t xml:space="preserve">I understand that relevant sections of any of my child’s medical notes and </w:t>
      </w:r>
      <w:r w:rsidRPr="006A1EC7">
        <w:rPr>
          <w:noProof/>
          <w:lang w:eastAsia="en-GB"/>
        </w:rPr>
        <mc:AlternateContent>
          <mc:Choice Requires="wps">
            <w:drawing>
              <wp:anchor distT="0" distB="0" distL="114300" distR="114300" simplePos="0" relativeHeight="251707392" behindDoc="0" locked="0" layoutInCell="1" allowOverlap="1" wp14:anchorId="5DDEE055" wp14:editId="4A510986">
                <wp:simplePos x="0" y="0"/>
                <wp:positionH relativeFrom="column">
                  <wp:posOffset>5372100</wp:posOffset>
                </wp:positionH>
                <wp:positionV relativeFrom="paragraph">
                  <wp:posOffset>371475</wp:posOffset>
                </wp:positionV>
                <wp:extent cx="800100" cy="382270"/>
                <wp:effectExtent l="0" t="0" r="0" b="0"/>
                <wp:wrapNone/>
                <wp:docPr id="5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82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207C0" id="Rectangle 50" o:spid="_x0000_s1026" style="position:absolute;margin-left:423pt;margin-top:29.25pt;width:63pt;height:3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">
                <v:path arrowok="t"/>
              </v:rect>
            </w:pict>
          </mc:Fallback>
        </mc:AlternateContent>
      </w:r>
      <w:r w:rsidRPr="006A1EC7">
        <w:t>data collected during the study, may be looked at by researchers and those involved in the running and supervision of the study from Sheffield</w:t>
      </w:r>
    </w:p>
    <w:p w14:paraId="327B27F0" w14:textId="77777777" w:rsidR="0087601C" w:rsidRPr="006A1EC7" w:rsidRDefault="0087601C" w:rsidP="0087601C">
      <w:r w:rsidRPr="006A1EC7">
        <w:t>Children’s NHS Foundation Trust or from regulatory authorities, where it is relevant to my child taking part in research.  I give permission for these individuals to have access to my child’s records.</w:t>
      </w:r>
    </w:p>
    <w:p w14:paraId="39B8023F" w14:textId="77777777" w:rsidR="0087601C" w:rsidRPr="006A1EC7" w:rsidRDefault="0087601C" w:rsidP="0087601C"/>
    <w:p w14:paraId="633AFF7B" w14:textId="77777777" w:rsidR="0087601C" w:rsidRPr="006A1EC7" w:rsidRDefault="0087601C" w:rsidP="0087601C">
      <w:r w:rsidRPr="006A1EC7">
        <w:rPr>
          <w:noProof/>
          <w:lang w:eastAsia="en-GB"/>
        </w:rPr>
        <mc:AlternateContent>
          <mc:Choice Requires="wps">
            <w:drawing>
              <wp:anchor distT="0" distB="0" distL="114300" distR="114300" simplePos="0" relativeHeight="251708416" behindDoc="0" locked="0" layoutInCell="1" allowOverlap="1" wp14:anchorId="21E7420F" wp14:editId="3FDDEDE6">
                <wp:simplePos x="0" y="0"/>
                <wp:positionH relativeFrom="column">
                  <wp:posOffset>5372100</wp:posOffset>
                </wp:positionH>
                <wp:positionV relativeFrom="paragraph">
                  <wp:posOffset>112395</wp:posOffset>
                </wp:positionV>
                <wp:extent cx="800100" cy="382270"/>
                <wp:effectExtent l="0" t="0" r="0" b="0"/>
                <wp:wrapNone/>
                <wp:docPr id="5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82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20990" id="Rectangle 52" o:spid="_x0000_s1026" style="position:absolute;margin-left:423pt;margin-top:8.85pt;width:63pt;height:3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">
                <v:path arrowok="t"/>
              </v:rect>
            </w:pict>
          </mc:Fallback>
        </mc:AlternateContent>
      </w:r>
    </w:p>
    <w:p w14:paraId="6967EE4B" w14:textId="77777777" w:rsidR="0087601C" w:rsidRPr="006A1EC7" w:rsidRDefault="0087601C" w:rsidP="0087601C">
      <w:r w:rsidRPr="006A1EC7">
        <w:t>I agree to myself/my child taking part in the above study.</w:t>
      </w:r>
    </w:p>
    <w:p w14:paraId="532DA091" w14:textId="77777777" w:rsidR="0087601C" w:rsidRPr="006A1EC7" w:rsidRDefault="0087601C" w:rsidP="0087601C"/>
    <w:p w14:paraId="1875B50B" w14:textId="77777777" w:rsidR="0087601C" w:rsidRPr="006A1EC7" w:rsidRDefault="0087601C" w:rsidP="0087601C"/>
    <w:p w14:paraId="76AF1CB7" w14:textId="77777777" w:rsidR="0087601C" w:rsidRPr="006A1EC7" w:rsidRDefault="0087601C" w:rsidP="0087601C"/>
    <w:p w14:paraId="36EDA1C0" w14:textId="77777777" w:rsidR="0087601C" w:rsidRPr="006A1EC7" w:rsidRDefault="0087601C" w:rsidP="0087601C">
      <w:r w:rsidRPr="006A1EC7">
        <w:t>________________________</w:t>
      </w:r>
      <w:r w:rsidRPr="006A1EC7">
        <w:tab/>
        <w:t>________________</w:t>
      </w:r>
      <w:r w:rsidRPr="006A1EC7">
        <w:tab/>
        <w:t>____________________</w:t>
      </w:r>
    </w:p>
    <w:p w14:paraId="55631399" w14:textId="77777777" w:rsidR="0087601C" w:rsidRPr="006A1EC7" w:rsidRDefault="0087601C" w:rsidP="0087601C">
      <w:r w:rsidRPr="006A1EC7">
        <w:t xml:space="preserve">Name of Parent/Guardian </w:t>
      </w:r>
      <w:r w:rsidRPr="006A1EC7">
        <w:tab/>
        <w:t>Date</w:t>
      </w:r>
      <w:r w:rsidRPr="006A1EC7">
        <w:tab/>
        <w:t>Signature</w:t>
      </w:r>
    </w:p>
    <w:p w14:paraId="54F3AE0C" w14:textId="77777777" w:rsidR="0087601C" w:rsidRPr="006A1EC7" w:rsidRDefault="0087601C" w:rsidP="0087601C"/>
    <w:p w14:paraId="2368D78E" w14:textId="77777777" w:rsidR="0087601C" w:rsidRPr="006A1EC7" w:rsidRDefault="0087601C" w:rsidP="0087601C"/>
    <w:p w14:paraId="08222A39" w14:textId="77777777" w:rsidR="0087601C" w:rsidRPr="006A1EC7" w:rsidRDefault="0087601C" w:rsidP="0087601C"/>
    <w:p w14:paraId="21BA72B3" w14:textId="77777777" w:rsidR="0087601C" w:rsidRPr="006A1EC7" w:rsidRDefault="0087601C" w:rsidP="0087601C">
      <w:r w:rsidRPr="006A1EC7">
        <w:t>_________________________</w:t>
      </w:r>
      <w:r w:rsidRPr="006A1EC7">
        <w:tab/>
        <w:t>________________</w:t>
      </w:r>
      <w:r w:rsidRPr="006A1EC7">
        <w:tab/>
        <w:t>____________________</w:t>
      </w:r>
    </w:p>
    <w:p w14:paraId="08CEF407" w14:textId="77777777" w:rsidR="0087601C" w:rsidRPr="006A1EC7" w:rsidRDefault="0087601C" w:rsidP="0087601C">
      <w:r w:rsidRPr="006A1EC7">
        <w:t>Name of Person taking consent</w:t>
      </w:r>
      <w:r w:rsidRPr="006A1EC7">
        <w:tab/>
        <w:t>Date</w:t>
      </w:r>
      <w:r w:rsidRPr="006A1EC7">
        <w:tab/>
        <w:t>Signature</w:t>
      </w:r>
    </w:p>
    <w:p w14:paraId="06747076" w14:textId="77777777" w:rsidR="0087601C" w:rsidRPr="006A1EC7" w:rsidRDefault="0087601C" w:rsidP="0087601C"/>
    <w:p w14:paraId="3C0B1005" w14:textId="77777777" w:rsidR="0087601C" w:rsidRPr="006A1EC7" w:rsidRDefault="0087601C" w:rsidP="0087601C"/>
    <w:p w14:paraId="0F726FA7" w14:textId="77777777" w:rsidR="0087601C" w:rsidRPr="006A1EC7" w:rsidRDefault="0087601C" w:rsidP="0087601C"/>
    <w:p w14:paraId="3432195C" w14:textId="77777777" w:rsidR="0087601C" w:rsidRPr="006A1EC7" w:rsidRDefault="0087601C" w:rsidP="0087601C">
      <w:pPr>
        <w:rPr>
          <w:szCs w:val="20"/>
        </w:rPr>
      </w:pPr>
      <w:r w:rsidRPr="006A1EC7">
        <w:rPr>
          <w:szCs w:val="20"/>
        </w:rPr>
        <w:lastRenderedPageBreak/>
        <w:t>When completed: 1 for parent; 1 for researcher site file; 1 (original) to be kept with hospital notes</w:t>
      </w:r>
    </w:p>
    <w:p w14:paraId="0103A10A" w14:textId="77777777" w:rsidR="0087601C" w:rsidRPr="006A1EC7" w:rsidRDefault="0087601C" w:rsidP="0087601C"/>
    <w:p w14:paraId="03459C1B" w14:textId="77777777" w:rsidR="0087601C" w:rsidRPr="006A1EC7" w:rsidRDefault="0087601C" w:rsidP="0087601C"/>
    <w:p w14:paraId="20827661" w14:textId="77777777" w:rsidR="0087601C" w:rsidRPr="006A1EC7" w:rsidRDefault="0087601C" w:rsidP="0087601C"/>
    <w:p w14:paraId="4804198D" w14:textId="77777777" w:rsidR="0087601C" w:rsidRPr="006A1EC7" w:rsidRDefault="0087601C" w:rsidP="0087601C"/>
    <w:p w14:paraId="60550B27" w14:textId="77777777" w:rsidR="0087601C" w:rsidRPr="006A1EC7" w:rsidRDefault="0087601C" w:rsidP="0087601C">
      <w:pPr>
        <w:sectPr w:rsidR="0087601C" w:rsidRPr="006A1EC7" w:rsidSect="004318F8">
          <w:pgSz w:w="11900" w:h="16840"/>
          <w:pgMar w:top="1440" w:right="1440" w:bottom="1440" w:left="1440" w:header="709" w:footer="709" w:gutter="0"/>
          <w:cols w:space="708"/>
          <w:docGrid w:linePitch="360"/>
        </w:sectPr>
      </w:pPr>
    </w:p>
    <w:p w14:paraId="5A6471A9" w14:textId="77777777" w:rsidR="0087601C" w:rsidRPr="006A1EC7" w:rsidRDefault="0087601C" w:rsidP="0087601C">
      <w:pPr>
        <w:pStyle w:val="Heading2"/>
        <w:rPr>
          <w:rFonts w:ascii="Times New Roman" w:hAnsi="Times New Roman" w:cs="Times New Roman"/>
        </w:rPr>
      </w:pPr>
      <w:bookmarkStart w:id="288" w:name="_Toc38821477"/>
      <w:bookmarkStart w:id="289" w:name="_Toc40173023"/>
      <w:r w:rsidRPr="006A1EC7">
        <w:rPr>
          <w:rFonts w:ascii="Times New Roman" w:hAnsi="Times New Roman" w:cs="Times New Roman"/>
        </w:rPr>
        <w:lastRenderedPageBreak/>
        <w:t>Appendix Chapter 5: The psychosocial impact of living with and caring for adults and children with Wolf-Hirschhorn syndrome</w:t>
      </w:r>
      <w:bookmarkEnd w:id="288"/>
      <w:bookmarkEnd w:id="289"/>
    </w:p>
    <w:p w14:paraId="5A6951AF" w14:textId="77777777" w:rsidR="0087601C" w:rsidRPr="006A1EC7" w:rsidRDefault="0087601C" w:rsidP="0087601C"/>
    <w:p w14:paraId="156F98FE" w14:textId="318EC4B8" w:rsidR="0087601C" w:rsidRPr="006A1EC7" w:rsidRDefault="0087601C" w:rsidP="0087601C">
      <w:pPr>
        <w:pStyle w:val="Heading4"/>
        <w:rPr>
          <w:rFonts w:ascii="Times New Roman" w:hAnsi="Times New Roman" w:cs="Times New Roman"/>
        </w:rPr>
      </w:pPr>
      <w:bookmarkStart w:id="290" w:name="_Toc38821478"/>
      <w:r w:rsidRPr="006A1EC7">
        <w:rPr>
          <w:rFonts w:ascii="Times New Roman" w:hAnsi="Times New Roman" w:cs="Times New Roman"/>
        </w:rPr>
        <w:t>Appendix 5.1: Recommendations for HCPs working with patients with WHS</w:t>
      </w:r>
      <w:bookmarkEnd w:id="290"/>
    </w:p>
    <w:p w14:paraId="754D09C2" w14:textId="77777777" w:rsidR="0087601C" w:rsidRPr="006A1EC7" w:rsidRDefault="0087601C" w:rsidP="0087601C">
      <w:pPr>
        <w:rPr>
          <w:color w:val="000000" w:themeColor="text1"/>
        </w:rPr>
      </w:pPr>
    </w:p>
    <w:tbl>
      <w:tblPr>
        <w:tblStyle w:val="TableGrid"/>
        <w:tblW w:w="14454" w:type="dxa"/>
        <w:tblLook w:val="04A0" w:firstRow="1" w:lastRow="0" w:firstColumn="1" w:lastColumn="0" w:noHBand="0" w:noVBand="1"/>
      </w:tblPr>
      <w:tblGrid>
        <w:gridCol w:w="4505"/>
        <w:gridCol w:w="4505"/>
        <w:gridCol w:w="5444"/>
      </w:tblGrid>
      <w:tr w:rsidR="0087601C" w:rsidRPr="006A1EC7" w14:paraId="7B3BD256" w14:textId="77777777" w:rsidTr="00D56051">
        <w:tc>
          <w:tcPr>
            <w:tcW w:w="4505" w:type="dxa"/>
          </w:tcPr>
          <w:p w14:paraId="277C4E3D" w14:textId="77777777" w:rsidR="0087601C" w:rsidRPr="006A1EC7" w:rsidRDefault="0087601C" w:rsidP="00D56051">
            <w:pPr>
              <w:rPr>
                <w:sz w:val="20"/>
              </w:rPr>
            </w:pPr>
            <w:r w:rsidRPr="006A1EC7">
              <w:rPr>
                <w:sz w:val="20"/>
              </w:rPr>
              <w:t>Recommendation</w:t>
            </w:r>
          </w:p>
        </w:tc>
        <w:tc>
          <w:tcPr>
            <w:tcW w:w="4505" w:type="dxa"/>
          </w:tcPr>
          <w:p w14:paraId="66D25040" w14:textId="77777777" w:rsidR="0087601C" w:rsidRPr="006A1EC7" w:rsidRDefault="0087601C" w:rsidP="00D56051">
            <w:pPr>
              <w:rPr>
                <w:sz w:val="20"/>
              </w:rPr>
            </w:pPr>
            <w:r w:rsidRPr="006A1EC7">
              <w:rPr>
                <w:sz w:val="20"/>
              </w:rPr>
              <w:t>What does it look like in practice?</w:t>
            </w:r>
          </w:p>
        </w:tc>
        <w:tc>
          <w:tcPr>
            <w:tcW w:w="5444" w:type="dxa"/>
            <w:shd w:val="clear" w:color="auto" w:fill="auto"/>
          </w:tcPr>
          <w:p w14:paraId="2D5D9C24" w14:textId="77777777" w:rsidR="0087601C" w:rsidRPr="006A1EC7" w:rsidRDefault="0087601C" w:rsidP="00D56051">
            <w:pPr>
              <w:rPr>
                <w:sz w:val="20"/>
              </w:rPr>
            </w:pPr>
            <w:r w:rsidRPr="006A1EC7">
              <w:rPr>
                <w:sz w:val="20"/>
              </w:rPr>
              <w:t>Supporting quotes</w:t>
            </w:r>
          </w:p>
        </w:tc>
      </w:tr>
      <w:tr w:rsidR="0087601C" w:rsidRPr="006A1EC7" w14:paraId="0E514525" w14:textId="77777777" w:rsidTr="00D56051">
        <w:tc>
          <w:tcPr>
            <w:tcW w:w="4505" w:type="dxa"/>
          </w:tcPr>
          <w:p w14:paraId="41013576" w14:textId="77777777" w:rsidR="0087601C" w:rsidRPr="006A1EC7" w:rsidRDefault="0087601C" w:rsidP="00D56051">
            <w:pPr>
              <w:pStyle w:val="ListParagraph"/>
              <w:numPr>
                <w:ilvl w:val="0"/>
                <w:numId w:val="2"/>
              </w:numPr>
              <w:rPr>
                <w:rFonts w:ascii="Times New Roman" w:hAnsi="Times New Roman" w:cs="Times New Roman"/>
                <w:sz w:val="20"/>
              </w:rPr>
            </w:pPr>
            <w:r w:rsidRPr="006A1EC7">
              <w:rPr>
                <w:rFonts w:ascii="Times New Roman" w:hAnsi="Times New Roman" w:cs="Times New Roman"/>
                <w:sz w:val="20"/>
              </w:rPr>
              <w:t>Read notes before you go into a consultation</w:t>
            </w:r>
          </w:p>
        </w:tc>
        <w:tc>
          <w:tcPr>
            <w:tcW w:w="4505" w:type="dxa"/>
          </w:tcPr>
          <w:p w14:paraId="666CD265" w14:textId="77777777" w:rsidR="0087601C" w:rsidRPr="006A1EC7" w:rsidRDefault="0087601C" w:rsidP="00D56051">
            <w:pPr>
              <w:pStyle w:val="ListParagraph"/>
              <w:numPr>
                <w:ilvl w:val="0"/>
                <w:numId w:val="4"/>
              </w:numPr>
              <w:rPr>
                <w:rFonts w:ascii="Times New Roman" w:hAnsi="Times New Roman" w:cs="Times New Roman"/>
                <w:sz w:val="20"/>
              </w:rPr>
            </w:pPr>
            <w:r w:rsidRPr="006A1EC7">
              <w:rPr>
                <w:rFonts w:ascii="Times New Roman" w:hAnsi="Times New Roman" w:cs="Times New Roman"/>
                <w:sz w:val="20"/>
              </w:rPr>
              <w:t>Ask for a hospital passport</w:t>
            </w:r>
          </w:p>
          <w:p w14:paraId="77D0676C" w14:textId="77777777" w:rsidR="0087601C" w:rsidRPr="006A1EC7" w:rsidRDefault="0087601C" w:rsidP="00D56051">
            <w:pPr>
              <w:pStyle w:val="ListParagraph"/>
              <w:numPr>
                <w:ilvl w:val="0"/>
                <w:numId w:val="4"/>
              </w:numPr>
              <w:rPr>
                <w:rFonts w:ascii="Times New Roman" w:hAnsi="Times New Roman" w:cs="Times New Roman"/>
                <w:sz w:val="20"/>
              </w:rPr>
            </w:pPr>
            <w:r w:rsidRPr="006A1EC7">
              <w:rPr>
                <w:rFonts w:ascii="Times New Roman" w:hAnsi="Times New Roman" w:cs="Times New Roman"/>
                <w:sz w:val="20"/>
              </w:rPr>
              <w:t>if you have no experience with WHS, see 2. Below</w:t>
            </w:r>
          </w:p>
          <w:p w14:paraId="111C884F" w14:textId="77777777" w:rsidR="0087601C" w:rsidRPr="006A1EC7" w:rsidRDefault="0087601C" w:rsidP="00D56051">
            <w:pPr>
              <w:pStyle w:val="ListParagraph"/>
              <w:numPr>
                <w:ilvl w:val="0"/>
                <w:numId w:val="4"/>
              </w:numPr>
              <w:rPr>
                <w:rFonts w:ascii="Times New Roman" w:hAnsi="Times New Roman" w:cs="Times New Roman"/>
                <w:sz w:val="20"/>
              </w:rPr>
            </w:pPr>
            <w:r w:rsidRPr="006A1EC7">
              <w:rPr>
                <w:rFonts w:ascii="Times New Roman" w:hAnsi="Times New Roman" w:cs="Times New Roman"/>
                <w:sz w:val="20"/>
              </w:rPr>
              <w:t>be aware that complications and symptoms can develop over time</w:t>
            </w:r>
          </w:p>
        </w:tc>
        <w:tc>
          <w:tcPr>
            <w:tcW w:w="5444" w:type="dxa"/>
            <w:shd w:val="clear" w:color="auto" w:fill="auto"/>
          </w:tcPr>
          <w:p w14:paraId="0EA5EBBC" w14:textId="77777777" w:rsidR="0087601C" w:rsidRPr="006A1EC7" w:rsidRDefault="0087601C" w:rsidP="00D56051">
            <w:pPr>
              <w:rPr>
                <w:sz w:val="20"/>
              </w:rPr>
            </w:pPr>
            <w:r w:rsidRPr="006A1EC7">
              <w:rPr>
                <w:sz w:val="20"/>
              </w:rPr>
              <w:t>- “What’s really just annoyed us every time is because I know they’re very busy, but they they don’t bother to even find read any notes about the child, any back history, anything about Wolf-Hirschhorn, so every time you come across a doctor, every time they change when you’re in a hospital, you have to go through the whole story right from the pregnancy, so that that’s quite frustrat- that was the frustrating” (WHS3A)</w:t>
            </w:r>
          </w:p>
        </w:tc>
      </w:tr>
      <w:tr w:rsidR="0087601C" w:rsidRPr="006A1EC7" w14:paraId="31103D95" w14:textId="77777777" w:rsidTr="00D56051">
        <w:tc>
          <w:tcPr>
            <w:tcW w:w="4505" w:type="dxa"/>
          </w:tcPr>
          <w:p w14:paraId="5ED6589B" w14:textId="77777777" w:rsidR="0087601C" w:rsidRPr="006A1EC7" w:rsidRDefault="0087601C" w:rsidP="00D56051">
            <w:pPr>
              <w:pStyle w:val="ListParagraph"/>
              <w:numPr>
                <w:ilvl w:val="0"/>
                <w:numId w:val="2"/>
              </w:numPr>
              <w:rPr>
                <w:rFonts w:ascii="Times New Roman" w:hAnsi="Times New Roman" w:cs="Times New Roman"/>
                <w:sz w:val="20"/>
              </w:rPr>
            </w:pPr>
            <w:r w:rsidRPr="006A1EC7">
              <w:rPr>
                <w:rFonts w:ascii="Times New Roman" w:hAnsi="Times New Roman" w:cs="Times New Roman"/>
                <w:sz w:val="20"/>
              </w:rPr>
              <w:t>If you have never heard of Wolf-Hirschhorn syndrome, research it before interactions with patient and their family (if possible)</w:t>
            </w:r>
          </w:p>
        </w:tc>
        <w:tc>
          <w:tcPr>
            <w:tcW w:w="4505" w:type="dxa"/>
          </w:tcPr>
          <w:p w14:paraId="60122D0A"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Read recent research, not outdated case studies</w:t>
            </w:r>
          </w:p>
          <w:p w14:paraId="3456C6B4"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Do not give parents a printed sheet with “worst case” scenario on</w:t>
            </w:r>
          </w:p>
          <w:p w14:paraId="0011BAB7"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Do not reduce a child to a symptom list you have seen a quick initial research</w:t>
            </w:r>
          </w:p>
          <w:p w14:paraId="4334B15B"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Recognise that there will be (possibly quite pronounced) differences between patients</w:t>
            </w:r>
          </w:p>
          <w:p w14:paraId="5784D6B6"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Do not presume</w:t>
            </w:r>
          </w:p>
          <w:p w14:paraId="1E2DE5C0"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Contact (inter)national specialists if you unsure</w:t>
            </w:r>
          </w:p>
        </w:tc>
        <w:tc>
          <w:tcPr>
            <w:tcW w:w="5444" w:type="dxa"/>
            <w:shd w:val="clear" w:color="auto" w:fill="auto"/>
          </w:tcPr>
          <w:p w14:paraId="61D3C439" w14:textId="77777777" w:rsidR="0087601C" w:rsidRPr="006A1EC7" w:rsidRDefault="0087601C" w:rsidP="00D56051">
            <w:pPr>
              <w:rPr>
                <w:sz w:val="20"/>
              </w:rPr>
            </w:pPr>
            <w:r w:rsidRPr="006A1EC7">
              <w:rPr>
                <w:sz w:val="20"/>
              </w:rPr>
              <w:t xml:space="preserve">“Yeah, just learn about the syndrome, really. Yeah, they’re just very…ignorant. (…) so I had to tell her </w:t>
            </w:r>
            <m:oMath>
              <m:d>
                <m:dPr>
                  <m:begChr m:val="["/>
                  <m:endChr m:val="]"/>
                  <m:ctrlPr>
                    <w:rPr>
                      <w:rFonts w:ascii="Cambria Math" w:hAnsi="Cambria Math"/>
                      <w:i/>
                      <w:sz w:val="20"/>
                    </w:rPr>
                  </m:ctrlPr>
                </m:dPr>
                <m:e>
                  <m:r>
                    <w:rPr>
                      <w:rFonts w:ascii="Cambria Math" w:hAnsi="Cambria Math"/>
                      <w:sz w:val="20"/>
                    </w:rPr>
                    <m:t>doctor</m:t>
                  </m:r>
                </m:e>
              </m:d>
            </m:oMath>
            <w:r w:rsidRPr="006A1EC7">
              <w:rPr>
                <w:sz w:val="20"/>
              </w:rPr>
              <w:t xml:space="preserve"> but (…)  to go away and come back when she knows more about the syndrome.“ (WHS11C)</w:t>
            </w:r>
          </w:p>
          <w:p w14:paraId="141BB7DE" w14:textId="77777777" w:rsidR="0087601C" w:rsidRPr="006A1EC7" w:rsidRDefault="0087601C" w:rsidP="00D56051">
            <w:pPr>
              <w:rPr>
                <w:sz w:val="20"/>
              </w:rPr>
            </w:pPr>
            <w:r w:rsidRPr="006A1EC7">
              <w:rPr>
                <w:sz w:val="20"/>
              </w:rPr>
              <w:t xml:space="preserve"> “maybe go and seek advice from somebody in America and it’s, you know, they’re really reluctant to…to do it.” (WHS12B)</w:t>
            </w:r>
          </w:p>
          <w:p w14:paraId="06698E7A" w14:textId="77777777" w:rsidR="0087601C" w:rsidRPr="006A1EC7" w:rsidRDefault="0087601C" w:rsidP="00D56051">
            <w:pPr>
              <w:rPr>
                <w:sz w:val="20"/>
              </w:rPr>
            </w:pPr>
            <w:r w:rsidRPr="006A1EC7">
              <w:rPr>
                <w:sz w:val="20"/>
              </w:rPr>
              <w:t>“Probably printing a page out of Google is probably not the ideal thing to do, there are better information out there that we were given.” (WHS3C)</w:t>
            </w:r>
          </w:p>
          <w:p w14:paraId="1A8B9518" w14:textId="77777777" w:rsidR="0087601C" w:rsidRPr="006A1EC7" w:rsidRDefault="0087601C" w:rsidP="00D56051">
            <w:pPr>
              <w:rPr>
                <w:sz w:val="20"/>
              </w:rPr>
            </w:pPr>
            <w:r w:rsidRPr="006A1EC7">
              <w:rPr>
                <w:sz w:val="20"/>
              </w:rPr>
              <w:t>“Well, I don’t know from my experience like a lot of the children with Wolf-Hirschhorn are quite different, so I think that even if the doctors learn more about Wolf-Hirschhorn, it might not ap-, the same things might not apply with all the children.” (WHS4B)</w:t>
            </w:r>
          </w:p>
          <w:p w14:paraId="77E38B16" w14:textId="77777777" w:rsidR="0087601C" w:rsidRPr="006A1EC7" w:rsidRDefault="0087601C" w:rsidP="00D56051">
            <w:pPr>
              <w:rPr>
                <w:sz w:val="20"/>
              </w:rPr>
            </w:pPr>
            <w:r w:rsidRPr="006A1EC7">
              <w:rPr>
                <w:sz w:val="20"/>
              </w:rPr>
              <w:t>“Yhere is something about sensitivity but it yeah it’s not reducing the child to the list of symptoms, especially very, on outdated case studies” (WHS3A)</w:t>
            </w:r>
          </w:p>
          <w:p w14:paraId="6F5BD53B" w14:textId="77777777" w:rsidR="0087601C" w:rsidRPr="006A1EC7" w:rsidRDefault="0087601C" w:rsidP="00D56051">
            <w:pPr>
              <w:rPr>
                <w:sz w:val="20"/>
              </w:rPr>
            </w:pPr>
            <w:r w:rsidRPr="006A1EC7">
              <w:rPr>
                <w:sz w:val="20"/>
              </w:rPr>
              <w:t>“So do random bloods, and don’t just presume anything. Never presume anything with them. Don’t presume they don’t feel, don’t presume they don’t understand, don’t presume they’re thick because they aren’t…” (WHS12A)</w:t>
            </w:r>
          </w:p>
        </w:tc>
      </w:tr>
      <w:tr w:rsidR="0087601C" w:rsidRPr="006A1EC7" w14:paraId="3677CBCD" w14:textId="77777777" w:rsidTr="00D56051">
        <w:tc>
          <w:tcPr>
            <w:tcW w:w="4505" w:type="dxa"/>
          </w:tcPr>
          <w:p w14:paraId="57174E6D" w14:textId="77777777" w:rsidR="0087601C" w:rsidRPr="006A1EC7" w:rsidRDefault="0087601C" w:rsidP="00D56051">
            <w:pPr>
              <w:pStyle w:val="ListParagraph"/>
              <w:numPr>
                <w:ilvl w:val="0"/>
                <w:numId w:val="2"/>
              </w:numPr>
              <w:rPr>
                <w:rFonts w:ascii="Times New Roman" w:hAnsi="Times New Roman" w:cs="Times New Roman"/>
                <w:sz w:val="20"/>
              </w:rPr>
            </w:pPr>
            <w:r w:rsidRPr="006A1EC7">
              <w:rPr>
                <w:rFonts w:ascii="Times New Roman" w:hAnsi="Times New Roman" w:cs="Times New Roman"/>
                <w:sz w:val="20"/>
              </w:rPr>
              <w:lastRenderedPageBreak/>
              <w:t>Listen to the parents!</w:t>
            </w:r>
          </w:p>
        </w:tc>
        <w:tc>
          <w:tcPr>
            <w:tcW w:w="4505" w:type="dxa"/>
          </w:tcPr>
          <w:p w14:paraId="34288883"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see families as sources of knowledge to help in your medical practice</w:t>
            </w:r>
          </w:p>
          <w:p w14:paraId="1209C60F"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the families are the everyday-experts</w:t>
            </w:r>
          </w:p>
          <w:p w14:paraId="1BFFF755"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However, do not expect the parents to educate you – they are not here to do your job for you</w:t>
            </w:r>
          </w:p>
          <w:p w14:paraId="45C02F1A" w14:textId="77777777" w:rsidR="0087601C" w:rsidRPr="006A1EC7" w:rsidRDefault="0087601C" w:rsidP="00D56051">
            <w:pPr>
              <w:ind w:left="360"/>
              <w:rPr>
                <w:sz w:val="20"/>
              </w:rPr>
            </w:pPr>
          </w:p>
        </w:tc>
        <w:tc>
          <w:tcPr>
            <w:tcW w:w="5444" w:type="dxa"/>
            <w:shd w:val="clear" w:color="auto" w:fill="auto"/>
          </w:tcPr>
          <w:p w14:paraId="78DBCD43" w14:textId="77777777" w:rsidR="0087601C" w:rsidRPr="006A1EC7" w:rsidRDefault="0087601C" w:rsidP="00D56051">
            <w:pPr>
              <w:rPr>
                <w:sz w:val="20"/>
              </w:rPr>
            </w:pPr>
            <w:r w:rsidRPr="006A1EC7">
              <w:rPr>
                <w:sz w:val="20"/>
              </w:rPr>
              <w:t>“I would say to some of them erm yeah they need to listen to the parents I think, cos when the parents know there is something’s wrong or something’s not right” (WHS10)</w:t>
            </w:r>
          </w:p>
          <w:p w14:paraId="235E74DC" w14:textId="77777777" w:rsidR="0087601C" w:rsidRPr="006A1EC7" w:rsidRDefault="0087601C" w:rsidP="00D56051">
            <w:pPr>
              <w:rPr>
                <w:sz w:val="20"/>
              </w:rPr>
            </w:pPr>
            <w:r w:rsidRPr="006A1EC7">
              <w:rPr>
                <w:sz w:val="20"/>
              </w:rPr>
              <w:t>“Listen to the mother… know that kid. I could tell you every single mark on him, and when he changes I know. Listen to me, you might be a doctor, you might have text book, you can stick your textbook, he’s mine…and I think honestly, listen to the mother.” (WHS12A)</w:t>
            </w:r>
          </w:p>
          <w:p w14:paraId="79B5D696" w14:textId="77777777" w:rsidR="0087601C" w:rsidRPr="006A1EC7" w:rsidRDefault="0087601C" w:rsidP="00D56051">
            <w:pPr>
              <w:rPr>
                <w:sz w:val="20"/>
              </w:rPr>
            </w:pPr>
            <w:r w:rsidRPr="006A1EC7">
              <w:rPr>
                <w:sz w:val="20"/>
              </w:rPr>
              <w:t>“They might have their medical background and their do-s and don’t-, medicine, all that kind of thing but actually I am the, as his parents, we are the professionals, we know him inside out. They should be taking more from us to treat and to tailor any specifics around him.” (WHS8)</w:t>
            </w:r>
          </w:p>
          <w:p w14:paraId="4FF64150" w14:textId="77777777" w:rsidR="0087601C" w:rsidRPr="006A1EC7" w:rsidRDefault="0087601C" w:rsidP="00D56051">
            <w:pPr>
              <w:rPr>
                <w:sz w:val="20"/>
              </w:rPr>
            </w:pPr>
            <w:r w:rsidRPr="006A1EC7">
              <w:rPr>
                <w:sz w:val="20"/>
              </w:rPr>
              <w:t>“I think it’s, it’s really hard is that because they don’t understand the syndrome, but the trouble is you get a lot of them that won’t listen to you when you telling them what your child is like and how you know they’re poorly” (WHS2A)</w:t>
            </w:r>
          </w:p>
          <w:p w14:paraId="3534679D" w14:textId="77777777" w:rsidR="0087601C" w:rsidRPr="006A1EC7" w:rsidRDefault="0087601C" w:rsidP="00D56051">
            <w:pPr>
              <w:rPr>
                <w:sz w:val="20"/>
              </w:rPr>
            </w:pPr>
            <w:r w:rsidRPr="006A1EC7">
              <w:rPr>
                <w:sz w:val="20"/>
              </w:rPr>
              <w:t>“Um, to listen. We spend so much time with our children, looking into their faces. We actually are a wealth of information and trust us. You know, and I think obviously there’s all different kinds of people or whatever, but I still think if you spend that much time with a child, you…you can, um, be very very useful.” (WHS5)</w:t>
            </w:r>
          </w:p>
        </w:tc>
      </w:tr>
      <w:tr w:rsidR="0087601C" w:rsidRPr="006A1EC7" w14:paraId="4E9E59DB" w14:textId="77777777" w:rsidTr="00D56051">
        <w:tc>
          <w:tcPr>
            <w:tcW w:w="4505" w:type="dxa"/>
          </w:tcPr>
          <w:p w14:paraId="2CD2422D" w14:textId="77777777" w:rsidR="0087601C" w:rsidRPr="006A1EC7" w:rsidRDefault="0087601C" w:rsidP="00D56051">
            <w:pPr>
              <w:pStyle w:val="ListParagraph"/>
              <w:numPr>
                <w:ilvl w:val="0"/>
                <w:numId w:val="2"/>
              </w:numPr>
              <w:rPr>
                <w:rFonts w:ascii="Times New Roman" w:hAnsi="Times New Roman" w:cs="Times New Roman"/>
                <w:sz w:val="20"/>
              </w:rPr>
            </w:pPr>
            <w:r w:rsidRPr="006A1EC7">
              <w:rPr>
                <w:rFonts w:ascii="Times New Roman" w:hAnsi="Times New Roman" w:cs="Times New Roman"/>
                <w:sz w:val="20"/>
              </w:rPr>
              <w:t>Try and make it as easy for the parents as you can</w:t>
            </w:r>
          </w:p>
        </w:tc>
        <w:tc>
          <w:tcPr>
            <w:tcW w:w="4505" w:type="dxa"/>
          </w:tcPr>
          <w:p w14:paraId="194195DC"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give parents recording material to inform your consultations (e.g. seizure records, medication tables)</w:t>
            </w:r>
          </w:p>
          <w:p w14:paraId="041EE6C7"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Check that the prescribed medication is appropriate (side effects etc.) and can be administered to the child (e.g. practicalities).</w:t>
            </w:r>
          </w:p>
          <w:p w14:paraId="30880935"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Be patient with patients and families</w:t>
            </w:r>
          </w:p>
        </w:tc>
        <w:tc>
          <w:tcPr>
            <w:tcW w:w="5444" w:type="dxa"/>
            <w:shd w:val="clear" w:color="auto" w:fill="auto"/>
          </w:tcPr>
          <w:p w14:paraId="6DD5F079" w14:textId="77777777" w:rsidR="0087601C" w:rsidRPr="006A1EC7" w:rsidRDefault="0087601C" w:rsidP="00D56051">
            <w:pPr>
              <w:rPr>
                <w:sz w:val="20"/>
              </w:rPr>
            </w:pPr>
            <w:r w:rsidRPr="006A1EC7">
              <w:rPr>
                <w:sz w:val="20"/>
              </w:rPr>
              <w:t>“I’d definitely suggest that any profession that’s got a newly diagnosed child, researches it, or makes contact with another professional who has got experience of Wolf-Hirschhorn. It’s not a common syndrome, so it’s not gonna add to a professional workload massively but for that family, that family would appreciate that massively in the long run. Yeah, it’s a horrible time, you - it’s a horrible time, and if you can make anything easier, then that should be, that should be it.” (WHS8)</w:t>
            </w:r>
          </w:p>
          <w:p w14:paraId="437730F7" w14:textId="77777777" w:rsidR="0087601C" w:rsidRPr="006A1EC7" w:rsidRDefault="0087601C" w:rsidP="00D56051">
            <w:pPr>
              <w:rPr>
                <w:sz w:val="20"/>
              </w:rPr>
            </w:pPr>
            <w:r w:rsidRPr="006A1EC7">
              <w:rPr>
                <w:sz w:val="20"/>
              </w:rPr>
              <w:t xml:space="preserve">“So it’s…it’s almost like don’t sweat the big stuff… it’s the little stuff that’s causing families the most difficulties. You know, when we’re talking about medication for my child, ‘great he’s on 4 medications…have you ever tried getting medicine orally into the mouth of a child that doesn’t want to take it? (…) I am there restraining my son trying to work out how to win him over so </w:t>
            </w:r>
            <w:r w:rsidRPr="006A1EC7">
              <w:rPr>
                <w:sz w:val="20"/>
              </w:rPr>
              <w:lastRenderedPageBreak/>
              <w:t>that he doesn’t spit the medicine out. I give it to him in half mls, so that if he does spit it out I can try and gauge how much more to give him. It’s all very well, you know, writing out these meds, but it’s like…’go on, go on, sit there and you do it. You do it, you give it to him, you see what’s involved’…um, and that I think…I think those, um, practicalities need to be involved a lot more.” (WHS5)</w:t>
            </w:r>
          </w:p>
        </w:tc>
      </w:tr>
      <w:tr w:rsidR="0087601C" w:rsidRPr="006A1EC7" w14:paraId="57F2A480" w14:textId="77777777" w:rsidTr="00D56051">
        <w:tc>
          <w:tcPr>
            <w:tcW w:w="4505" w:type="dxa"/>
          </w:tcPr>
          <w:p w14:paraId="2BEA1681" w14:textId="77777777" w:rsidR="0087601C" w:rsidRPr="006A1EC7" w:rsidRDefault="0087601C" w:rsidP="00D56051">
            <w:pPr>
              <w:pStyle w:val="ListParagraph"/>
              <w:numPr>
                <w:ilvl w:val="0"/>
                <w:numId w:val="2"/>
              </w:numPr>
              <w:rPr>
                <w:rFonts w:ascii="Times New Roman" w:hAnsi="Times New Roman" w:cs="Times New Roman"/>
                <w:sz w:val="20"/>
              </w:rPr>
            </w:pPr>
            <w:r w:rsidRPr="006A1EC7">
              <w:rPr>
                <w:rFonts w:ascii="Times New Roman" w:hAnsi="Times New Roman" w:cs="Times New Roman"/>
                <w:sz w:val="20"/>
              </w:rPr>
              <w:lastRenderedPageBreak/>
              <w:t>Be mindful of your language and how you communicate</w:t>
            </w:r>
          </w:p>
        </w:tc>
        <w:tc>
          <w:tcPr>
            <w:tcW w:w="4505" w:type="dxa"/>
          </w:tcPr>
          <w:p w14:paraId="4E6E1493"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 xml:space="preserve">Be aware of judging statements (e.g. ‘malnourished’, ‘dopey’); do not make subjective judgements </w:t>
            </w:r>
          </w:p>
          <w:p w14:paraId="701830B4"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Be mindful of how language can affect family members and the patients</w:t>
            </w:r>
          </w:p>
          <w:p w14:paraId="6B115968"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 xml:space="preserve">Always communicate with parents about medical concerns and before ordering medical tests </w:t>
            </w:r>
          </w:p>
          <w:p w14:paraId="139FD9E7"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Don’t ignore the patient when in consultation</w:t>
            </w:r>
          </w:p>
        </w:tc>
        <w:tc>
          <w:tcPr>
            <w:tcW w:w="5444" w:type="dxa"/>
            <w:shd w:val="clear" w:color="auto" w:fill="auto"/>
          </w:tcPr>
          <w:p w14:paraId="767734C7" w14:textId="77777777" w:rsidR="0087601C" w:rsidRPr="006A1EC7" w:rsidRDefault="0087601C" w:rsidP="00D56051">
            <w:pPr>
              <w:rPr>
                <w:sz w:val="20"/>
              </w:rPr>
            </w:pPr>
            <w:r w:rsidRPr="006A1EC7">
              <w:rPr>
                <w:sz w:val="20"/>
              </w:rPr>
              <w:t>“You know, but…my GP for example, I remember him saying to me, and I thought it was such an odd thing to say. We’d gone in for a check-up (laughs) with (name) and he said ‘are you pleased with him?’…and I sort of said to him, I was like ‘…I’m sorry?’…he said ‘are you pleased with him?’…I said ‘well if I’m not, can I send him back? You know, what do you want me to say to that? I’ve got this really poorly little boy who is, you know, gonna need so much love and care which I…he will get…he will get my very very best, but am I pleased?…No, actually, I’m not.” (WHS5)</w:t>
            </w:r>
          </w:p>
          <w:p w14:paraId="5630A988" w14:textId="77777777" w:rsidR="0087601C" w:rsidRPr="006A1EC7" w:rsidRDefault="0087601C" w:rsidP="00D56051">
            <w:pPr>
              <w:rPr>
                <w:sz w:val="20"/>
              </w:rPr>
            </w:pPr>
            <w:r w:rsidRPr="006A1EC7">
              <w:rPr>
                <w:sz w:val="20"/>
              </w:rPr>
              <w:t xml:space="preserve">“…because I don’t know what me and </w:t>
            </w:r>
            <m:oMath>
              <m:d>
                <m:dPr>
                  <m:begChr m:val="["/>
                  <m:endChr m:val="]"/>
                  <m:ctrlPr>
                    <w:rPr>
                      <w:rFonts w:ascii="Cambria Math" w:hAnsi="Cambria Math"/>
                      <w:i/>
                      <w:sz w:val="20"/>
                    </w:rPr>
                  </m:ctrlPr>
                </m:dPr>
                <m:e>
                  <m:r>
                    <w:rPr>
                      <w:rFonts w:ascii="Cambria Math" w:hAnsi="Cambria Math"/>
                      <w:sz w:val="20"/>
                    </w:rPr>
                    <m:t>fathe</m:t>
                  </m:r>
                  <m:sSup>
                    <m:sSupPr>
                      <m:ctrlPr>
                        <w:rPr>
                          <w:rFonts w:ascii="Cambria Math" w:hAnsi="Cambria Math"/>
                          <w:i/>
                          <w:sz w:val="20"/>
                        </w:rPr>
                      </m:ctrlPr>
                    </m:sSupPr>
                    <m:e>
                      <m:r>
                        <w:rPr>
                          <w:rFonts w:ascii="Cambria Math" w:hAnsi="Cambria Math"/>
                          <w:sz w:val="20"/>
                        </w:rPr>
                        <m:t>r</m:t>
                      </m:r>
                    </m:e>
                    <m:sup>
                      <m:r>
                        <w:rPr>
                          <w:rFonts w:ascii="Cambria Math" w:hAnsi="Cambria Math"/>
                          <w:sz w:val="20"/>
                        </w:rPr>
                        <m:t>'</m:t>
                      </m:r>
                    </m:sup>
                  </m:sSup>
                  <m:r>
                    <w:rPr>
                      <w:rFonts w:ascii="Cambria Math" w:hAnsi="Cambria Math"/>
                      <w:sz w:val="20"/>
                    </w:rPr>
                    <m:t>s name</m:t>
                  </m:r>
                </m:e>
              </m:d>
            </m:oMath>
            <w:r w:rsidRPr="006A1EC7">
              <w:rPr>
                <w:sz w:val="20"/>
              </w:rPr>
              <w:t xml:space="preserve"> would have done. We probably would have wanted to know but some parents might not, but its having that choice… would we have…had we been given the choice of whether we wanted genetic testing done would we have… would we have done it then, maybe later on, see how she develops.</w:t>
            </w:r>
          </w:p>
          <w:p w14:paraId="23E4AE55" w14:textId="77777777" w:rsidR="0087601C" w:rsidRPr="006A1EC7" w:rsidRDefault="0087601C" w:rsidP="00D56051">
            <w:pPr>
              <w:rPr>
                <w:sz w:val="20"/>
              </w:rPr>
            </w:pPr>
            <w:r w:rsidRPr="006A1EC7">
              <w:rPr>
                <w:sz w:val="20"/>
              </w:rPr>
              <w:t>” (WHS11B)</w:t>
            </w:r>
          </w:p>
          <w:p w14:paraId="1700CA40" w14:textId="77777777" w:rsidR="0087601C" w:rsidRPr="006A1EC7" w:rsidRDefault="0087601C" w:rsidP="00D56051">
            <w:pPr>
              <w:rPr>
                <w:sz w:val="20"/>
              </w:rPr>
            </w:pPr>
            <w:r w:rsidRPr="006A1EC7">
              <w:rPr>
                <w:sz w:val="20"/>
              </w:rPr>
              <w:t xml:space="preserve">“Some doctors will automatically talk to the person (…) it is a bit like you’re talking to…you don’t talk to the wheelchair you talk to the person pushing the wheelchair. (…) GP who completely ignores her and talks to me (…) it’s as though </w:t>
            </w:r>
            <m:oMath>
              <m:d>
                <m:dPr>
                  <m:begChr m:val="["/>
                  <m:endChr m:val="]"/>
                  <m:ctrlPr>
                    <w:rPr>
                      <w:rFonts w:ascii="Cambria Math" w:hAnsi="Cambria Math"/>
                      <w:i/>
                      <w:sz w:val="20"/>
                    </w:rPr>
                  </m:ctrlPr>
                </m:dPr>
                <m:e>
                  <m:r>
                    <w:rPr>
                      <w:rFonts w:ascii="Cambria Math" w:hAnsi="Cambria Math"/>
                      <w:sz w:val="20"/>
                    </w:rPr>
                    <m:t>daughte</m:t>
                  </m:r>
                  <m:sSup>
                    <m:sSupPr>
                      <m:ctrlPr>
                        <w:rPr>
                          <w:rFonts w:ascii="Cambria Math" w:hAnsi="Cambria Math"/>
                          <w:i/>
                          <w:sz w:val="20"/>
                        </w:rPr>
                      </m:ctrlPr>
                    </m:sSupPr>
                    <m:e>
                      <m:r>
                        <w:rPr>
                          <w:rFonts w:ascii="Cambria Math" w:hAnsi="Cambria Math"/>
                          <w:sz w:val="20"/>
                        </w:rPr>
                        <m:t>r</m:t>
                      </m:r>
                    </m:e>
                    <m:sup>
                      <m:r>
                        <w:rPr>
                          <w:rFonts w:ascii="Cambria Math" w:hAnsi="Cambria Math"/>
                          <w:sz w:val="20"/>
                        </w:rPr>
                        <m:t>'</m:t>
                      </m:r>
                    </m:sup>
                  </m:sSup>
                  <m:r>
                    <w:rPr>
                      <w:rFonts w:ascii="Cambria Math" w:hAnsi="Cambria Math"/>
                      <w:sz w:val="20"/>
                    </w:rPr>
                    <m:t>s name</m:t>
                  </m:r>
                </m:e>
              </m:d>
            </m:oMath>
            <w:r w:rsidRPr="006A1EC7">
              <w:rPr>
                <w:sz w:val="20"/>
              </w:rPr>
              <w:t xml:space="preserve"> isn’t there and just…it really doesn’t concern her really, you know, we’re just talking about you not to you.” (WHS7)</w:t>
            </w:r>
          </w:p>
          <w:p w14:paraId="145BA4C9" w14:textId="77777777" w:rsidR="0087601C" w:rsidRPr="006A1EC7" w:rsidRDefault="0087601C" w:rsidP="00D56051">
            <w:pPr>
              <w:rPr>
                <w:sz w:val="20"/>
              </w:rPr>
            </w:pPr>
            <w:r w:rsidRPr="006A1EC7">
              <w:rPr>
                <w:sz w:val="20"/>
              </w:rPr>
              <w:t>“Phrases that consultants use, erm, some - one of the doctors when (child's name) was in (location), referred to (child's name) as being “dopey” - that to me now still, I could get quite upset about that, he’s not dopey at all.” (WHS8)</w:t>
            </w:r>
          </w:p>
          <w:p w14:paraId="1ACD7AF4" w14:textId="77777777" w:rsidR="0087601C" w:rsidRPr="006A1EC7" w:rsidRDefault="0087601C" w:rsidP="00D56051">
            <w:pPr>
              <w:rPr>
                <w:sz w:val="20"/>
              </w:rPr>
            </w:pPr>
            <w:r w:rsidRPr="006A1EC7">
              <w:rPr>
                <w:sz w:val="20"/>
              </w:rPr>
              <w:lastRenderedPageBreak/>
              <w:t>“The paramedics were there and one of the one of the people on the e- on the er ambulance, the ambulance drive primarily which is when she said to me, “so, what’s his prognosis?” and I was like, “he just got out of his fit and that’s just like.. how long how long do we know when any of us will live?!” (WHS3A)</w:t>
            </w:r>
          </w:p>
        </w:tc>
      </w:tr>
      <w:tr w:rsidR="0087601C" w:rsidRPr="006A1EC7" w14:paraId="4556CC9A" w14:textId="77777777" w:rsidTr="00D56051">
        <w:tc>
          <w:tcPr>
            <w:tcW w:w="4505" w:type="dxa"/>
          </w:tcPr>
          <w:p w14:paraId="129DB5BE" w14:textId="77777777" w:rsidR="0087601C" w:rsidRPr="006A1EC7" w:rsidRDefault="0087601C" w:rsidP="00D56051">
            <w:pPr>
              <w:pStyle w:val="ListParagraph"/>
              <w:numPr>
                <w:ilvl w:val="0"/>
                <w:numId w:val="2"/>
              </w:numPr>
              <w:rPr>
                <w:rFonts w:ascii="Times New Roman" w:hAnsi="Times New Roman" w:cs="Times New Roman"/>
                <w:sz w:val="20"/>
              </w:rPr>
            </w:pPr>
            <w:r w:rsidRPr="006A1EC7">
              <w:rPr>
                <w:rFonts w:ascii="Times New Roman" w:hAnsi="Times New Roman" w:cs="Times New Roman"/>
                <w:sz w:val="20"/>
              </w:rPr>
              <w:lastRenderedPageBreak/>
              <w:t>Emotional support</w:t>
            </w:r>
          </w:p>
        </w:tc>
        <w:tc>
          <w:tcPr>
            <w:tcW w:w="4505" w:type="dxa"/>
          </w:tcPr>
          <w:p w14:paraId="4751FB70"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Be emotionally supportive</w:t>
            </w:r>
          </w:p>
          <w:p w14:paraId="2F27C11E"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Do note take away the hope of parents</w:t>
            </w:r>
          </w:p>
          <w:p w14:paraId="2328760A" w14:textId="77777777" w:rsidR="0087601C" w:rsidRPr="006A1EC7" w:rsidRDefault="0087601C" w:rsidP="00D56051">
            <w:pPr>
              <w:pStyle w:val="ListParagraph"/>
              <w:numPr>
                <w:ilvl w:val="0"/>
                <w:numId w:val="3"/>
              </w:numPr>
              <w:rPr>
                <w:rFonts w:ascii="Times New Roman" w:hAnsi="Times New Roman" w:cs="Times New Roman"/>
                <w:sz w:val="20"/>
              </w:rPr>
            </w:pPr>
            <w:r w:rsidRPr="006A1EC7">
              <w:rPr>
                <w:rFonts w:ascii="Times New Roman" w:hAnsi="Times New Roman" w:cs="Times New Roman"/>
                <w:sz w:val="20"/>
              </w:rPr>
              <w:t>Links with language and communication</w:t>
            </w:r>
          </w:p>
        </w:tc>
        <w:tc>
          <w:tcPr>
            <w:tcW w:w="5444" w:type="dxa"/>
            <w:shd w:val="clear" w:color="auto" w:fill="auto"/>
          </w:tcPr>
          <w:p w14:paraId="624524D0" w14:textId="77777777" w:rsidR="0087601C" w:rsidRPr="006A1EC7" w:rsidRDefault="0087601C" w:rsidP="00D56051">
            <w:pPr>
              <w:rPr>
                <w:sz w:val="20"/>
              </w:rPr>
            </w:pPr>
            <w:r w:rsidRPr="006A1EC7">
              <w:rPr>
                <w:sz w:val="20"/>
              </w:rPr>
              <w:t>“… thinking about the emotional impact of what you're saying on the person and the support that they need around it, we found it distinctively lacking at times. And we totally understand a lot about the reasons why, especially having worked in health with a family that offers a lot of work for the NHS, we understand the reasons, but that doesn't help the person who is being told, so they can be quite devastating. I think there is an expectation on the person breaking that news and to do it a way that's as empathic as possible. And I appreciate you can't sugar coat that pill, it's going to be a sad thing to hear, but where does that person go?” (WHS3C)</w:t>
            </w:r>
          </w:p>
          <w:p w14:paraId="11A22ED6" w14:textId="77777777" w:rsidR="0087601C" w:rsidRPr="006A1EC7" w:rsidRDefault="0087601C" w:rsidP="00D56051">
            <w:pPr>
              <w:rPr>
                <w:sz w:val="20"/>
              </w:rPr>
            </w:pPr>
            <w:r w:rsidRPr="006A1EC7">
              <w:rPr>
                <w:sz w:val="20"/>
              </w:rPr>
              <w:t>“it’s…it’s paramount from day one, because it’s that hope that gets people through the next day… and if you have like the geneticist going ‘oh don’t be ridiculous, he’s never gonna do that’… with a 6 week old child, lifelong hope was removed in an instant, it’s like…’how do you know? Do you even need to be talking about when he’s older and whether he will be independent at 6 weeks old? Do you…do you with other children, other babies of 6 weeks old? Are you thinking about their adulthood with their parents?’…they might get knocked over by a bus before then, they might get, you know, some tragic illness that…you know, who knows? There might be a house fire…you just…why would you…you may as well say it to every single parent with a newborn child, you know. (laughs) ‘Oh, don’t expect too much, there’s a lot that can go wrong’…” (WHS5)</w:t>
            </w:r>
          </w:p>
          <w:p w14:paraId="15EB711B" w14:textId="77777777" w:rsidR="0087601C" w:rsidRPr="006A1EC7" w:rsidRDefault="0087601C" w:rsidP="00D56051">
            <w:pPr>
              <w:rPr>
                <w:sz w:val="20"/>
              </w:rPr>
            </w:pPr>
            <w:r w:rsidRPr="006A1EC7">
              <w:rPr>
                <w:sz w:val="20"/>
              </w:rPr>
              <w:t xml:space="preserve">“and the other thing I’m quite big on at the moment is don’t take aware our hope. Because our hope is what gets us through the next day when we’re exhausted and we’ve been frightened, and it’s hard work, and it’s boring…you know, and we’ve got this constant threat of, um, you know, mortality at any time. You </w:t>
            </w:r>
            <w:r w:rsidRPr="006A1EC7">
              <w:rPr>
                <w:sz w:val="20"/>
              </w:rPr>
              <w:lastRenderedPageBreak/>
              <w:t>know, it’s like ‘will it be…’ every time he’s in stasis it’s like ‘will it be today?’” (WHS5)</w:t>
            </w:r>
          </w:p>
          <w:p w14:paraId="045ED67B" w14:textId="77777777" w:rsidR="0087601C" w:rsidRPr="006A1EC7" w:rsidRDefault="0087601C" w:rsidP="00D56051">
            <w:pPr>
              <w:rPr>
                <w:sz w:val="20"/>
              </w:rPr>
            </w:pPr>
            <w:r w:rsidRPr="006A1EC7">
              <w:rPr>
                <w:sz w:val="20"/>
              </w:rPr>
              <w:t>“the professionals - when they are giving the diagnosis, is not a pleasant experience - it’s not a pleasant experience anyway, is it - for somebody to give such information or to receive such information but if they could bring forward supporting testimonials of - ‘okay, so your child has got Wolf-Hirschhorn syndrome, this is what it could mean - however, if we look at what these children are doing and bring the positives’ - cos it’s a negative time, you’re in a negative situation, your whole world is crumbling but if you’ve got that glimmer of hope to- something to focus on and to reach for, and to grab on to - I think that would have helped us get to where we are now a lot quicker, erm, and yeah - just treat treat you as normal, not to section you off in a corner and give you quiet time and that kind of thing.” (WHS8)</w:t>
            </w:r>
          </w:p>
        </w:tc>
      </w:tr>
      <w:tr w:rsidR="0087601C" w:rsidRPr="006A1EC7" w14:paraId="60163BDC" w14:textId="77777777" w:rsidTr="00D56051">
        <w:tc>
          <w:tcPr>
            <w:tcW w:w="4505" w:type="dxa"/>
          </w:tcPr>
          <w:p w14:paraId="2DF41852" w14:textId="77777777" w:rsidR="0087601C" w:rsidRPr="006A1EC7" w:rsidRDefault="0087601C" w:rsidP="00D56051">
            <w:pPr>
              <w:pStyle w:val="ListParagraph"/>
              <w:numPr>
                <w:ilvl w:val="0"/>
                <w:numId w:val="2"/>
              </w:numPr>
              <w:rPr>
                <w:rFonts w:ascii="Times New Roman" w:hAnsi="Times New Roman" w:cs="Times New Roman"/>
                <w:sz w:val="20"/>
              </w:rPr>
            </w:pPr>
            <w:r w:rsidRPr="006A1EC7">
              <w:rPr>
                <w:rFonts w:ascii="Times New Roman" w:hAnsi="Times New Roman" w:cs="Times New Roman"/>
                <w:sz w:val="20"/>
              </w:rPr>
              <w:lastRenderedPageBreak/>
              <w:t>Think how you can manage the care holistically</w:t>
            </w:r>
          </w:p>
        </w:tc>
        <w:tc>
          <w:tcPr>
            <w:tcW w:w="4505" w:type="dxa"/>
          </w:tcPr>
          <w:p w14:paraId="0855DC9B" w14:textId="77777777" w:rsidR="0087601C" w:rsidRPr="006A1EC7" w:rsidRDefault="0087601C" w:rsidP="00D56051">
            <w:pPr>
              <w:rPr>
                <w:sz w:val="20"/>
              </w:rPr>
            </w:pPr>
          </w:p>
        </w:tc>
        <w:tc>
          <w:tcPr>
            <w:tcW w:w="5444" w:type="dxa"/>
            <w:shd w:val="clear" w:color="auto" w:fill="auto"/>
          </w:tcPr>
          <w:p w14:paraId="60FCDF7A" w14:textId="77777777" w:rsidR="0087601C" w:rsidRPr="006A1EC7" w:rsidRDefault="0087601C" w:rsidP="00D56051">
            <w:pPr>
              <w:rPr>
                <w:sz w:val="20"/>
              </w:rPr>
            </w:pPr>
            <w:r w:rsidRPr="006A1EC7">
              <w:rPr>
                <w:sz w:val="20"/>
              </w:rPr>
              <w:t>“What I think is that is…is not only WH…any child or adult with, um, learning disabilities; what I think is that we have our time with (name) it’s because we are lucky that I am a doctor, so I have been (name)’s main doctor for all his life. Because what I think is that they manage these patients as, um, separate containers or compartments, so the physio, the occupational health, the wheelchairs and equipment, the neurologist, the…etc. But nobody knows the patient, so each of them will manage one aspect and nobody will…um, so is…what I think it is important, is that this holistic approach to a patient is totally lacking.” (WHS6A)</w:t>
            </w:r>
          </w:p>
        </w:tc>
      </w:tr>
    </w:tbl>
    <w:p w14:paraId="50036061" w14:textId="77777777" w:rsidR="0087601C" w:rsidRPr="006A1EC7" w:rsidRDefault="0087601C" w:rsidP="0087601C">
      <w:pPr>
        <w:sectPr w:rsidR="0087601C" w:rsidRPr="006A1EC7" w:rsidSect="004318F8">
          <w:pgSz w:w="16840" w:h="11900" w:orient="landscape"/>
          <w:pgMar w:top="1440" w:right="1701" w:bottom="1440" w:left="1701" w:header="709" w:footer="709" w:gutter="0"/>
          <w:cols w:space="708"/>
          <w:docGrid w:linePitch="360"/>
        </w:sectPr>
      </w:pPr>
    </w:p>
    <w:p w14:paraId="2C9553F0" w14:textId="77777777" w:rsidR="0087601C" w:rsidRPr="006A1EC7" w:rsidRDefault="0087601C" w:rsidP="0087601C">
      <w:pPr>
        <w:pStyle w:val="Heading2"/>
        <w:rPr>
          <w:rFonts w:ascii="Times New Roman" w:hAnsi="Times New Roman" w:cs="Times New Roman"/>
        </w:rPr>
      </w:pPr>
      <w:bookmarkStart w:id="291" w:name="_Toc525647975"/>
      <w:bookmarkStart w:id="292" w:name="_Toc17977976"/>
      <w:bookmarkStart w:id="293" w:name="_Toc38821479"/>
      <w:bookmarkStart w:id="294" w:name="_Toc40173024"/>
      <w:r w:rsidRPr="006A1EC7">
        <w:rPr>
          <w:rFonts w:ascii="Times New Roman" w:hAnsi="Times New Roman" w:cs="Times New Roman"/>
        </w:rPr>
        <w:lastRenderedPageBreak/>
        <w:t xml:space="preserve">Appendix Chapter </w:t>
      </w:r>
      <w:bookmarkEnd w:id="291"/>
      <w:bookmarkEnd w:id="292"/>
      <w:r w:rsidRPr="006A1EC7">
        <w:rPr>
          <w:rFonts w:ascii="Times New Roman" w:hAnsi="Times New Roman" w:cs="Times New Roman"/>
        </w:rPr>
        <w:t>6: Development of a Clinician-Rated Clinical Outcome Assessment (Validity &amp; QI-10 Study)</w:t>
      </w:r>
      <w:bookmarkEnd w:id="293"/>
      <w:bookmarkEnd w:id="294"/>
    </w:p>
    <w:p w14:paraId="77C1EAD6" w14:textId="77777777" w:rsidR="0087601C" w:rsidRPr="006A1EC7" w:rsidRDefault="0087601C" w:rsidP="0087601C"/>
    <w:p w14:paraId="655B0CF9" w14:textId="051B9CC1" w:rsidR="0087601C" w:rsidRPr="006A1EC7" w:rsidRDefault="0087601C" w:rsidP="0087601C">
      <w:pPr>
        <w:pStyle w:val="Heading3"/>
        <w:rPr>
          <w:rFonts w:ascii="Times New Roman" w:hAnsi="Times New Roman" w:cs="Times New Roman"/>
        </w:rPr>
      </w:pPr>
      <w:bookmarkStart w:id="295" w:name="_Toc17977977"/>
      <w:bookmarkStart w:id="296" w:name="_Toc38821480"/>
      <w:r w:rsidRPr="006A1EC7">
        <w:rPr>
          <w:rFonts w:ascii="Times New Roman" w:hAnsi="Times New Roman" w:cs="Times New Roman"/>
        </w:rPr>
        <w:t>Appendix 6.1: First full draft of the COA, after consultation with the supervisory team</w:t>
      </w:r>
      <w:bookmarkEnd w:id="295"/>
      <w:bookmarkEnd w:id="296"/>
    </w:p>
    <w:p w14:paraId="710DA8C3" w14:textId="77777777" w:rsidR="0087601C" w:rsidRPr="006A1EC7" w:rsidRDefault="0087601C" w:rsidP="0087601C"/>
    <w:p w14:paraId="341027CB" w14:textId="77777777" w:rsidR="0087601C" w:rsidRPr="006A1EC7" w:rsidRDefault="0087601C" w:rsidP="00744A8E"/>
    <w:tbl>
      <w:tblPr>
        <w:tblStyle w:val="TableGrid"/>
        <w:tblW w:w="9634" w:type="dxa"/>
        <w:tblLook w:val="04A0" w:firstRow="1" w:lastRow="0" w:firstColumn="1" w:lastColumn="0" w:noHBand="0" w:noVBand="1"/>
      </w:tblPr>
      <w:tblGrid>
        <w:gridCol w:w="9634"/>
      </w:tblGrid>
      <w:tr w:rsidR="0087601C" w:rsidRPr="006A1EC7" w14:paraId="754A596A" w14:textId="77777777" w:rsidTr="00D56051">
        <w:tc>
          <w:tcPr>
            <w:tcW w:w="9634" w:type="dxa"/>
          </w:tcPr>
          <w:p w14:paraId="6AD36066" w14:textId="77777777" w:rsidR="0087601C" w:rsidRPr="006A1EC7" w:rsidRDefault="0087601C" w:rsidP="00D56051">
            <w:r w:rsidRPr="006A1EC7">
              <w:t>Patient name:</w:t>
            </w:r>
            <w:r w:rsidRPr="006A1EC7">
              <w:tab/>
            </w:r>
            <w:r w:rsidRPr="006A1EC7">
              <w:tab/>
            </w:r>
            <w:r w:rsidRPr="006A1EC7">
              <w:tab/>
            </w:r>
            <w:r w:rsidRPr="006A1EC7">
              <w:tab/>
            </w:r>
          </w:p>
          <w:p w14:paraId="4A261819" w14:textId="77777777" w:rsidR="0087601C" w:rsidRPr="006A1EC7" w:rsidRDefault="0087601C" w:rsidP="00D56051"/>
          <w:p w14:paraId="3277586A" w14:textId="77777777" w:rsidR="0087601C" w:rsidRPr="006A1EC7" w:rsidRDefault="0087601C" w:rsidP="00D56051"/>
          <w:p w14:paraId="2787B27A" w14:textId="77777777" w:rsidR="0087601C" w:rsidRPr="006A1EC7" w:rsidRDefault="0087601C" w:rsidP="00D56051">
            <w:r w:rsidRPr="006A1EC7">
              <w:t>Date information obtained:</w:t>
            </w:r>
          </w:p>
          <w:p w14:paraId="1BD6AF3D" w14:textId="77777777" w:rsidR="0087601C" w:rsidRPr="006A1EC7" w:rsidRDefault="0087601C" w:rsidP="00D56051"/>
          <w:p w14:paraId="160D847D" w14:textId="77777777" w:rsidR="0087601C" w:rsidRPr="006A1EC7" w:rsidRDefault="0087601C" w:rsidP="00D56051">
            <w:r w:rsidRPr="006A1EC7">
              <w:t>DOB:  ____/____/____</w:t>
            </w:r>
            <w:r w:rsidRPr="006A1EC7">
              <w:tab/>
              <w:t xml:space="preserve"> </w:t>
            </w:r>
          </w:p>
          <w:p w14:paraId="1FA07446" w14:textId="77777777" w:rsidR="0087601C" w:rsidRPr="006A1EC7" w:rsidRDefault="0087601C" w:rsidP="00D56051"/>
          <w:p w14:paraId="69995222" w14:textId="77777777" w:rsidR="0087601C" w:rsidRPr="006A1EC7" w:rsidRDefault="0087601C" w:rsidP="00D56051">
            <w:r w:rsidRPr="006A1EC7">
              <w:t xml:space="preserve">Age: </w:t>
            </w:r>
          </w:p>
          <w:p w14:paraId="39F0BEBD" w14:textId="77777777" w:rsidR="0087601C" w:rsidRPr="006A1EC7" w:rsidRDefault="0087601C" w:rsidP="00D56051"/>
          <w:p w14:paraId="63D23113" w14:textId="77777777" w:rsidR="0087601C" w:rsidRPr="006A1EC7" w:rsidRDefault="0087601C" w:rsidP="00D56051">
            <w:r w:rsidRPr="006A1EC7">
              <w:t>Born at gestational week:</w:t>
            </w:r>
          </w:p>
          <w:p w14:paraId="11B18CA2" w14:textId="77777777" w:rsidR="0087601C" w:rsidRPr="006A1EC7" w:rsidRDefault="0087601C" w:rsidP="00D56051"/>
          <w:p w14:paraId="636CD773" w14:textId="77777777" w:rsidR="0087601C" w:rsidRPr="006A1EC7" w:rsidRDefault="0087601C" w:rsidP="00D56051">
            <w:r w:rsidRPr="006A1EC7">
              <w:t xml:space="preserve">Sex: </w:t>
            </w:r>
            <w:r w:rsidRPr="006A1EC7">
              <w:tab/>
              <w:t xml:space="preserve">Male </w:t>
            </w:r>
            <w:r w:rsidRPr="006A1EC7">
              <w:tab/>
              <w:t>Female</w:t>
            </w:r>
          </w:p>
          <w:p w14:paraId="6192443F" w14:textId="77777777" w:rsidR="0087601C" w:rsidRPr="006A1EC7" w:rsidRDefault="0087601C" w:rsidP="00D56051"/>
          <w:p w14:paraId="43510D30" w14:textId="77777777" w:rsidR="0087601C" w:rsidRPr="006A1EC7" w:rsidRDefault="0087601C" w:rsidP="00D56051">
            <w:r w:rsidRPr="006A1EC7">
              <w:t>Details re genetic abnormalities (i.e. deletion, deletion size, translocation, etc.):</w:t>
            </w:r>
          </w:p>
          <w:p w14:paraId="1773BE49" w14:textId="77777777" w:rsidR="0087601C" w:rsidRPr="006A1EC7" w:rsidRDefault="0087601C" w:rsidP="00D56051"/>
          <w:p w14:paraId="4E57B3CF" w14:textId="77777777" w:rsidR="0087601C" w:rsidRPr="006A1EC7" w:rsidRDefault="0087601C" w:rsidP="00D56051">
            <w:r w:rsidRPr="006A1EC7">
              <w:t>No of unaffected siblings:</w:t>
            </w:r>
          </w:p>
          <w:p w14:paraId="1599FC5F" w14:textId="77777777" w:rsidR="0087601C" w:rsidRPr="006A1EC7" w:rsidRDefault="0087601C" w:rsidP="00D56051"/>
          <w:p w14:paraId="4F7378C4" w14:textId="77777777" w:rsidR="0087601C" w:rsidRPr="006A1EC7" w:rsidRDefault="0087601C" w:rsidP="00D56051">
            <w:r w:rsidRPr="006A1EC7">
              <w:t>No. of affected siblings:</w:t>
            </w:r>
          </w:p>
          <w:p w14:paraId="1BECD025" w14:textId="77777777" w:rsidR="0087601C" w:rsidRPr="006A1EC7" w:rsidRDefault="0087601C" w:rsidP="00D56051"/>
          <w:p w14:paraId="66F9E638" w14:textId="77777777" w:rsidR="0087601C" w:rsidRPr="006A1EC7" w:rsidRDefault="0087601C" w:rsidP="00D56051">
            <w:r w:rsidRPr="006A1EC7">
              <w:t>Weight:</w:t>
            </w:r>
          </w:p>
          <w:p w14:paraId="1C01D6D3" w14:textId="77777777" w:rsidR="0087601C" w:rsidRPr="006A1EC7" w:rsidRDefault="0087601C" w:rsidP="00D56051"/>
          <w:p w14:paraId="0D9B2663" w14:textId="77777777" w:rsidR="0087601C" w:rsidRPr="006A1EC7" w:rsidRDefault="0087601C" w:rsidP="00D56051">
            <w:r w:rsidRPr="006A1EC7">
              <w:t>Height:</w:t>
            </w:r>
          </w:p>
          <w:p w14:paraId="141C4D41" w14:textId="77777777" w:rsidR="0087601C" w:rsidRPr="006A1EC7" w:rsidRDefault="0087601C" w:rsidP="00D56051"/>
          <w:p w14:paraId="1CCC6D50" w14:textId="77777777" w:rsidR="0087601C" w:rsidRPr="006A1EC7" w:rsidRDefault="0087601C" w:rsidP="00D56051">
            <w:r w:rsidRPr="006A1EC7">
              <w:t>Occipitofrontal circumference (OCP):</w:t>
            </w:r>
          </w:p>
          <w:p w14:paraId="698A6077" w14:textId="77777777" w:rsidR="0087601C" w:rsidRPr="006A1EC7" w:rsidRDefault="0087601C" w:rsidP="00D56051"/>
          <w:p w14:paraId="7CA39D3A" w14:textId="77777777" w:rsidR="0087601C" w:rsidRPr="006A1EC7" w:rsidRDefault="0087601C" w:rsidP="00D56051">
            <w:r w:rsidRPr="006A1EC7">
              <w:t>Simple family tree:</w:t>
            </w:r>
          </w:p>
          <w:p w14:paraId="2BD3BEC5" w14:textId="77777777" w:rsidR="0087601C" w:rsidRPr="006A1EC7" w:rsidRDefault="0087601C" w:rsidP="00D56051">
            <w:pPr>
              <w:spacing w:line="360" w:lineRule="auto"/>
            </w:pPr>
          </w:p>
        </w:tc>
      </w:tr>
      <w:tr w:rsidR="0087601C" w:rsidRPr="006A1EC7" w14:paraId="5DDF2650" w14:textId="77777777" w:rsidTr="00D56051">
        <w:tc>
          <w:tcPr>
            <w:tcW w:w="9634" w:type="dxa"/>
          </w:tcPr>
          <w:p w14:paraId="40552D25" w14:textId="77777777" w:rsidR="0087601C" w:rsidRPr="006A1EC7" w:rsidRDefault="0087601C" w:rsidP="00D56051">
            <w:pPr>
              <w:rPr>
                <w:b/>
                <w:u w:val="single"/>
              </w:rPr>
            </w:pPr>
            <w:r w:rsidRPr="006A1EC7">
              <w:rPr>
                <w:b/>
                <w:u w:val="single"/>
              </w:rPr>
              <w:t>Section 1: Facial features</w:t>
            </w:r>
          </w:p>
          <w:p w14:paraId="1EB1C52D" w14:textId="77777777" w:rsidR="0087601C" w:rsidRPr="006A1EC7" w:rsidRDefault="0087601C" w:rsidP="00D56051">
            <w:pPr>
              <w:rPr>
                <w:i/>
                <w:u w:val="single"/>
              </w:rPr>
            </w:pPr>
            <w:r w:rsidRPr="006A1EC7">
              <w:rPr>
                <w:u w:val="single"/>
              </w:rPr>
              <w:br/>
              <w:t xml:space="preserve">Item 1 Examiner, how would you rate the patient’s facial features? </w:t>
            </w:r>
          </w:p>
          <w:p w14:paraId="24E615EF" w14:textId="77777777" w:rsidR="0087601C" w:rsidRPr="006A1EC7" w:rsidRDefault="0087601C" w:rsidP="00D56051">
            <w:r w:rsidRPr="006A1EC7">
              <w:t>Highly dysmorphic = 3</w:t>
            </w:r>
          </w:p>
          <w:p w14:paraId="29E42959" w14:textId="77777777" w:rsidR="0087601C" w:rsidRPr="006A1EC7" w:rsidRDefault="0087601C" w:rsidP="00D56051">
            <w:r w:rsidRPr="006A1EC7">
              <w:t>Moderately dysmorphic = 2</w:t>
            </w:r>
          </w:p>
          <w:p w14:paraId="311305AA" w14:textId="77777777" w:rsidR="0087601C" w:rsidRPr="006A1EC7" w:rsidRDefault="0087601C" w:rsidP="00D56051">
            <w:r w:rsidRPr="006A1EC7">
              <w:t>Mildly dysmorphic = 1</w:t>
            </w:r>
          </w:p>
          <w:p w14:paraId="41CD056D" w14:textId="77777777" w:rsidR="0087601C" w:rsidRPr="006A1EC7" w:rsidRDefault="0087601C" w:rsidP="00D56051">
            <w:r w:rsidRPr="006A1EC7">
              <w:lastRenderedPageBreak/>
              <w:t>Not dysmorphic = 0</w:t>
            </w:r>
          </w:p>
          <w:p w14:paraId="7156090D" w14:textId="77777777" w:rsidR="0087601C" w:rsidRPr="006A1EC7" w:rsidRDefault="0087601C" w:rsidP="00D56051">
            <w:r w:rsidRPr="006A1EC7">
              <w:t xml:space="preserve">No = 0 </w:t>
            </w:r>
          </w:p>
          <w:p w14:paraId="0CA62B7E" w14:textId="77777777" w:rsidR="0087601C" w:rsidRPr="006A1EC7" w:rsidRDefault="0087601C" w:rsidP="00D56051">
            <w:pPr>
              <w:spacing w:line="360" w:lineRule="auto"/>
            </w:pPr>
          </w:p>
        </w:tc>
      </w:tr>
      <w:tr w:rsidR="0087601C" w:rsidRPr="006A1EC7" w14:paraId="78D16786" w14:textId="77777777" w:rsidTr="00D56051">
        <w:tc>
          <w:tcPr>
            <w:tcW w:w="9634" w:type="dxa"/>
          </w:tcPr>
          <w:p w14:paraId="54CDA4FA" w14:textId="77777777" w:rsidR="0087601C" w:rsidRPr="006A1EC7" w:rsidRDefault="0087601C" w:rsidP="00D56051">
            <w:pPr>
              <w:rPr>
                <w:b/>
                <w:u w:val="single"/>
              </w:rPr>
            </w:pPr>
            <w:r w:rsidRPr="006A1EC7">
              <w:rPr>
                <w:b/>
                <w:u w:val="single"/>
              </w:rPr>
              <w:lastRenderedPageBreak/>
              <w:t>Section 2: Epilepsy and seizures</w:t>
            </w:r>
          </w:p>
          <w:p w14:paraId="703EE375" w14:textId="77777777" w:rsidR="0087601C" w:rsidRPr="006A1EC7" w:rsidRDefault="0087601C" w:rsidP="00D56051"/>
          <w:p w14:paraId="37A8FB23" w14:textId="77777777" w:rsidR="0087601C" w:rsidRPr="006A1EC7" w:rsidRDefault="0087601C" w:rsidP="00D56051">
            <w:r w:rsidRPr="006A1EC7">
              <w:rPr>
                <w:u w:val="single"/>
              </w:rPr>
              <w:t xml:space="preserve">Item 2A: Has the patient ever had a diagnosis of febrile seizure/s?  </w:t>
            </w:r>
            <w:r w:rsidRPr="006A1EC7">
              <w:rPr>
                <w:u w:val="single"/>
              </w:rPr>
              <w:br/>
            </w:r>
            <w:r w:rsidRPr="006A1EC7">
              <w:t>Yes = 1</w:t>
            </w:r>
          </w:p>
          <w:p w14:paraId="68B73C76" w14:textId="77777777" w:rsidR="0087601C" w:rsidRPr="006A1EC7" w:rsidRDefault="0087601C" w:rsidP="00D56051">
            <w:r w:rsidRPr="006A1EC7">
              <w:t>No = 0</w:t>
            </w:r>
          </w:p>
          <w:p w14:paraId="58977766" w14:textId="77777777" w:rsidR="0087601C" w:rsidRPr="006A1EC7" w:rsidRDefault="0087601C" w:rsidP="00D56051">
            <w:pPr>
              <w:rPr>
                <w:u w:val="single"/>
              </w:rPr>
            </w:pPr>
          </w:p>
          <w:p w14:paraId="45CC598C" w14:textId="77777777" w:rsidR="0087601C" w:rsidRPr="006A1EC7" w:rsidRDefault="0087601C" w:rsidP="00D56051">
            <w:pPr>
              <w:rPr>
                <w:u w:val="single"/>
              </w:rPr>
            </w:pPr>
            <w:r w:rsidRPr="006A1EC7">
              <w:rPr>
                <w:u w:val="single"/>
              </w:rPr>
              <w:t>Item 2B: Does the patient currently have a diagnosis of epilepsy (= unprovoked seizures)?</w:t>
            </w:r>
            <w:r w:rsidRPr="006A1EC7">
              <w:br/>
              <w:t>Yes = 1</w:t>
            </w:r>
          </w:p>
          <w:p w14:paraId="4B94335D" w14:textId="77777777" w:rsidR="0087601C" w:rsidRPr="006A1EC7" w:rsidRDefault="0087601C" w:rsidP="00D56051">
            <w:r w:rsidRPr="006A1EC7">
              <w:t xml:space="preserve">No = 0 </w:t>
            </w:r>
          </w:p>
          <w:p w14:paraId="0F835905" w14:textId="77777777" w:rsidR="0087601C" w:rsidRPr="006A1EC7" w:rsidRDefault="0087601C" w:rsidP="00D56051"/>
          <w:p w14:paraId="3CFACD50" w14:textId="77777777" w:rsidR="0087601C" w:rsidRPr="006A1EC7" w:rsidRDefault="0087601C" w:rsidP="00D56051">
            <w:pPr>
              <w:rPr>
                <w:u w:val="single"/>
              </w:rPr>
            </w:pPr>
            <w:r w:rsidRPr="006A1EC7">
              <w:rPr>
                <w:u w:val="single"/>
              </w:rPr>
              <w:t>Item 2C: Is the patient currently taking Medication for epilepsy?</w:t>
            </w:r>
          </w:p>
          <w:p w14:paraId="7CA34E40" w14:textId="77777777" w:rsidR="0087601C" w:rsidRPr="006A1EC7" w:rsidRDefault="0087601C" w:rsidP="00D56051">
            <w:r w:rsidRPr="006A1EC7">
              <w:t>Yes = 1</w:t>
            </w:r>
          </w:p>
          <w:p w14:paraId="1FFDE570" w14:textId="77777777" w:rsidR="0087601C" w:rsidRPr="006A1EC7" w:rsidRDefault="0087601C" w:rsidP="00D56051">
            <w:r w:rsidRPr="006A1EC7">
              <w:t xml:space="preserve">No = 0 </w:t>
            </w:r>
          </w:p>
          <w:p w14:paraId="6A57BAA6" w14:textId="77777777" w:rsidR="0087601C" w:rsidRPr="006A1EC7" w:rsidRDefault="0087601C" w:rsidP="00D56051"/>
          <w:p w14:paraId="42A05EA7" w14:textId="77777777" w:rsidR="0087601C" w:rsidRPr="006A1EC7" w:rsidRDefault="0087601C" w:rsidP="00D56051">
            <w:pPr>
              <w:rPr>
                <w:u w:val="single"/>
              </w:rPr>
            </w:pPr>
            <w:r w:rsidRPr="006A1EC7">
              <w:rPr>
                <w:u w:val="single"/>
              </w:rPr>
              <w:t>Item 2D: What is the patient’s seizure frequency (Status: current)?</w:t>
            </w:r>
          </w:p>
          <w:p w14:paraId="1D5BF92C" w14:textId="77777777" w:rsidR="0087601C" w:rsidRPr="006A1EC7" w:rsidRDefault="0087601C" w:rsidP="00D56051">
            <w:pPr>
              <w:pStyle w:val="Default"/>
              <w:rPr>
                <w:color w:val="000000" w:themeColor="text1"/>
              </w:rPr>
            </w:pPr>
            <w:r w:rsidRPr="006A1EC7">
              <w:rPr>
                <w:color w:val="000000" w:themeColor="text1"/>
              </w:rPr>
              <w:t xml:space="preserve">No seizures = 0 </w:t>
            </w:r>
          </w:p>
          <w:p w14:paraId="6C72D1EB" w14:textId="77777777" w:rsidR="0087601C" w:rsidRPr="006A1EC7" w:rsidRDefault="0087601C" w:rsidP="00D56051">
            <w:pPr>
              <w:pStyle w:val="Default"/>
              <w:rPr>
                <w:color w:val="000000" w:themeColor="text1"/>
              </w:rPr>
            </w:pPr>
            <w:r w:rsidRPr="006A1EC7">
              <w:rPr>
                <w:color w:val="000000" w:themeColor="text1"/>
              </w:rPr>
              <w:t>Less than one over the past 6 months =1</w:t>
            </w:r>
          </w:p>
          <w:p w14:paraId="0BEC0269" w14:textId="77777777" w:rsidR="0087601C" w:rsidRPr="006A1EC7" w:rsidRDefault="0087601C" w:rsidP="00D56051">
            <w:pPr>
              <w:pStyle w:val="Default"/>
              <w:rPr>
                <w:color w:val="000000" w:themeColor="text1"/>
              </w:rPr>
            </w:pPr>
            <w:r w:rsidRPr="006A1EC7">
              <w:rPr>
                <w:color w:val="000000" w:themeColor="text1"/>
              </w:rPr>
              <w:t>One seizure in the past 3-6 months = 2</w:t>
            </w:r>
            <w:r w:rsidRPr="006A1EC7">
              <w:rPr>
                <w:color w:val="000000" w:themeColor="text1"/>
              </w:rPr>
              <w:br/>
              <w:t>One seizure in the last 1-3 months = 3</w:t>
            </w:r>
            <w:r w:rsidRPr="006A1EC7">
              <w:rPr>
                <w:color w:val="000000" w:themeColor="text1"/>
              </w:rPr>
              <w:br/>
              <w:t>One to three seizure in the last four weeks = 4</w:t>
            </w:r>
            <w:r w:rsidRPr="006A1EC7">
              <w:rPr>
                <w:color w:val="000000" w:themeColor="text1"/>
              </w:rPr>
              <w:br/>
              <w:t>One seizure a week = 5</w:t>
            </w:r>
            <w:r w:rsidRPr="006A1EC7">
              <w:rPr>
                <w:color w:val="000000" w:themeColor="text1"/>
              </w:rPr>
              <w:br/>
              <w:t>One seizure a day or more = 6</w:t>
            </w:r>
          </w:p>
          <w:p w14:paraId="7825281E" w14:textId="77777777" w:rsidR="0087601C" w:rsidRPr="006A1EC7" w:rsidRDefault="0087601C" w:rsidP="00D56051">
            <w:pPr>
              <w:rPr>
                <w:u w:val="single"/>
              </w:rPr>
            </w:pPr>
          </w:p>
          <w:p w14:paraId="44810D05" w14:textId="77777777" w:rsidR="0087601C" w:rsidRPr="006A1EC7" w:rsidRDefault="0087601C" w:rsidP="00D56051">
            <w:pPr>
              <w:rPr>
                <w:u w:val="single"/>
              </w:rPr>
            </w:pPr>
          </w:p>
          <w:p w14:paraId="25DD580D" w14:textId="77777777" w:rsidR="0087601C" w:rsidRPr="006A1EC7" w:rsidRDefault="0087601C" w:rsidP="00D56051">
            <w:pPr>
              <w:rPr>
                <w:u w:val="single"/>
              </w:rPr>
            </w:pPr>
            <w:r w:rsidRPr="006A1EC7">
              <w:rPr>
                <w:u w:val="single"/>
              </w:rPr>
              <w:t>Item 2E: What types of seizures does the patient experience? (If more than one type of seizure, add up)</w:t>
            </w:r>
          </w:p>
          <w:p w14:paraId="3787BF64" w14:textId="77777777" w:rsidR="0087601C" w:rsidRPr="006A1EC7" w:rsidRDefault="0087601C" w:rsidP="00D56051">
            <w:r w:rsidRPr="006A1EC7">
              <w:t>Tonic-clonic = 3</w:t>
            </w:r>
          </w:p>
          <w:p w14:paraId="6DC642E8" w14:textId="77777777" w:rsidR="0087601C" w:rsidRPr="006A1EC7" w:rsidRDefault="0087601C" w:rsidP="00D56051">
            <w:r w:rsidRPr="006A1EC7">
              <w:t xml:space="preserve">Focal = 2 </w:t>
            </w:r>
          </w:p>
          <w:p w14:paraId="6A01A77A" w14:textId="77777777" w:rsidR="0087601C" w:rsidRPr="006A1EC7" w:rsidRDefault="0087601C" w:rsidP="00D56051">
            <w:r w:rsidRPr="006A1EC7">
              <w:t>Absence = 1</w:t>
            </w:r>
          </w:p>
          <w:p w14:paraId="5C82F46C" w14:textId="77777777" w:rsidR="0087601C" w:rsidRPr="006A1EC7" w:rsidRDefault="0087601C" w:rsidP="00D56051">
            <w:r w:rsidRPr="006A1EC7">
              <w:t>Myoclonic = 1</w:t>
            </w:r>
          </w:p>
          <w:p w14:paraId="26E7ABCD" w14:textId="77777777" w:rsidR="0087601C" w:rsidRPr="006A1EC7" w:rsidRDefault="0087601C" w:rsidP="00D56051">
            <w:r w:rsidRPr="006A1EC7">
              <w:t xml:space="preserve">None = 0 </w:t>
            </w:r>
          </w:p>
          <w:p w14:paraId="20B6A5C6" w14:textId="77777777" w:rsidR="0087601C" w:rsidRPr="006A1EC7" w:rsidRDefault="0087601C" w:rsidP="00D56051"/>
          <w:p w14:paraId="1A026FA7" w14:textId="77777777" w:rsidR="0087601C" w:rsidRPr="006A1EC7" w:rsidRDefault="0087601C" w:rsidP="00D56051">
            <w:pPr>
              <w:rPr>
                <w:color w:val="000000" w:themeColor="text1"/>
              </w:rPr>
            </w:pPr>
            <w:r w:rsidRPr="006A1EC7">
              <w:rPr>
                <w:color w:val="000000" w:themeColor="text1"/>
                <w:u w:val="single"/>
              </w:rPr>
              <w:t>Item 2F: What was the maximum level of after-care needed for seizures over the past 6 months?</w:t>
            </w:r>
            <w:r w:rsidRPr="006A1EC7">
              <w:rPr>
                <w:color w:val="000000" w:themeColor="text1"/>
                <w:u w:val="single"/>
              </w:rPr>
              <w:br/>
            </w:r>
            <w:r w:rsidRPr="006A1EC7">
              <w:rPr>
                <w:color w:val="000000" w:themeColor="text1"/>
              </w:rPr>
              <w:t xml:space="preserve">None/no after-care required = 0 </w:t>
            </w:r>
            <w:r w:rsidRPr="006A1EC7">
              <w:rPr>
                <w:color w:val="000000" w:themeColor="text1"/>
              </w:rPr>
              <w:br/>
              <w:t>Parent/carer administration of treatment at home = 1</w:t>
            </w:r>
          </w:p>
          <w:p w14:paraId="6A822186" w14:textId="77777777" w:rsidR="0087601C" w:rsidRPr="006A1EC7" w:rsidRDefault="0087601C" w:rsidP="00D56051">
            <w:pPr>
              <w:rPr>
                <w:color w:val="000000" w:themeColor="text1"/>
              </w:rPr>
            </w:pPr>
            <w:r w:rsidRPr="006A1EC7">
              <w:rPr>
                <w:color w:val="000000" w:themeColor="text1"/>
              </w:rPr>
              <w:t xml:space="preserve">Ambulance called = 2 </w:t>
            </w:r>
          </w:p>
          <w:p w14:paraId="1D4CF2F0" w14:textId="77777777" w:rsidR="0087601C" w:rsidRPr="006A1EC7" w:rsidRDefault="0087601C" w:rsidP="00D56051">
            <w:pPr>
              <w:rPr>
                <w:color w:val="000000" w:themeColor="text1"/>
              </w:rPr>
            </w:pPr>
            <w:r w:rsidRPr="006A1EC7">
              <w:rPr>
                <w:color w:val="000000" w:themeColor="text1"/>
              </w:rPr>
              <w:t xml:space="preserve">Hospital admission = 3 </w:t>
            </w:r>
          </w:p>
          <w:p w14:paraId="2C10B230" w14:textId="77777777" w:rsidR="0087601C" w:rsidRPr="006A1EC7" w:rsidRDefault="0087601C" w:rsidP="00D56051">
            <w:pPr>
              <w:rPr>
                <w:color w:val="000000" w:themeColor="text1"/>
                <w:u w:val="single"/>
              </w:rPr>
            </w:pPr>
          </w:p>
          <w:p w14:paraId="17909C7A" w14:textId="77777777" w:rsidR="0087601C" w:rsidRPr="006A1EC7" w:rsidRDefault="0087601C" w:rsidP="00D56051">
            <w:pPr>
              <w:rPr>
                <w:color w:val="000000" w:themeColor="text1"/>
              </w:rPr>
            </w:pPr>
            <w:r w:rsidRPr="006A1EC7">
              <w:rPr>
                <w:color w:val="000000" w:themeColor="text1"/>
                <w:u w:val="single"/>
              </w:rPr>
              <w:t>Item 2G: Have there been any changes in epilepsy medication over the past 6 months (i.e. adjustments, drug change)?</w:t>
            </w:r>
            <w:r w:rsidRPr="006A1EC7">
              <w:rPr>
                <w:color w:val="000000" w:themeColor="text1"/>
              </w:rPr>
              <w:br/>
              <w:t>Yes = 1</w:t>
            </w:r>
            <w:r w:rsidRPr="006A1EC7">
              <w:rPr>
                <w:color w:val="000000" w:themeColor="text1"/>
              </w:rPr>
              <w:br/>
              <w:t>No = 0</w:t>
            </w:r>
          </w:p>
          <w:p w14:paraId="21CFC146" w14:textId="77777777" w:rsidR="0087601C" w:rsidRPr="006A1EC7" w:rsidRDefault="0087601C" w:rsidP="00D56051">
            <w:pPr>
              <w:rPr>
                <w:color w:val="000000" w:themeColor="text1"/>
                <w:u w:val="wave"/>
              </w:rPr>
            </w:pPr>
          </w:p>
          <w:p w14:paraId="3A3662D0" w14:textId="77777777" w:rsidR="0087601C" w:rsidRPr="006A1EC7" w:rsidRDefault="0087601C" w:rsidP="00D56051">
            <w:pPr>
              <w:rPr>
                <w:color w:val="000000" w:themeColor="text1"/>
                <w:u w:val="single"/>
              </w:rPr>
            </w:pPr>
            <w:r w:rsidRPr="006A1EC7">
              <w:rPr>
                <w:color w:val="000000" w:themeColor="text1"/>
                <w:u w:val="single"/>
              </w:rPr>
              <w:t>Item 2H: If appropriate; free text answer:</w:t>
            </w:r>
          </w:p>
          <w:p w14:paraId="53798ADF" w14:textId="77777777" w:rsidR="0087601C" w:rsidRPr="006A1EC7" w:rsidRDefault="0087601C" w:rsidP="00D56051">
            <w:pPr>
              <w:rPr>
                <w:color w:val="000000" w:themeColor="text1"/>
                <w:u w:val="single"/>
              </w:rPr>
            </w:pPr>
            <w:r w:rsidRPr="006A1EC7">
              <w:rPr>
                <w:color w:val="000000" w:themeColor="text1"/>
                <w:u w:val="single"/>
              </w:rPr>
              <w:t>Does the patient experience any side effects from epilepsy medication that may affect functioning or may indicate a medication review is needed?</w:t>
            </w:r>
          </w:p>
        </w:tc>
      </w:tr>
      <w:tr w:rsidR="0087601C" w:rsidRPr="006A1EC7" w14:paraId="5E0E215C" w14:textId="77777777" w:rsidTr="00D56051">
        <w:tc>
          <w:tcPr>
            <w:tcW w:w="9634" w:type="dxa"/>
          </w:tcPr>
          <w:p w14:paraId="147D69B5" w14:textId="77777777" w:rsidR="0087601C" w:rsidRPr="006A1EC7" w:rsidRDefault="0087601C" w:rsidP="00D56051">
            <w:pPr>
              <w:rPr>
                <w:b/>
                <w:u w:val="single"/>
              </w:rPr>
            </w:pPr>
            <w:r w:rsidRPr="006A1EC7">
              <w:rPr>
                <w:b/>
                <w:u w:val="single"/>
              </w:rPr>
              <w:lastRenderedPageBreak/>
              <w:t xml:space="preserve">Section 3: Gastrointestinal symptoms </w:t>
            </w:r>
          </w:p>
          <w:p w14:paraId="2A4CF921" w14:textId="77777777" w:rsidR="0087601C" w:rsidRPr="006A1EC7" w:rsidRDefault="0087601C" w:rsidP="00D56051">
            <w:pPr>
              <w:rPr>
                <w:b/>
                <w:u w:val="single"/>
              </w:rPr>
            </w:pPr>
          </w:p>
          <w:p w14:paraId="65FE3F8D" w14:textId="77777777" w:rsidR="0087601C" w:rsidRPr="006A1EC7" w:rsidRDefault="0087601C" w:rsidP="00D56051">
            <w:pPr>
              <w:rPr>
                <w:i/>
              </w:rPr>
            </w:pPr>
            <w:r w:rsidRPr="006A1EC7">
              <w:rPr>
                <w:i/>
              </w:rPr>
              <w:t>Feeding, reflux &amp; vomiting</w:t>
            </w:r>
          </w:p>
          <w:p w14:paraId="65D8F8E2" w14:textId="77777777" w:rsidR="0087601C" w:rsidRPr="006A1EC7" w:rsidRDefault="0087601C" w:rsidP="00D56051">
            <w:pPr>
              <w:rPr>
                <w:u w:val="single"/>
              </w:rPr>
            </w:pPr>
          </w:p>
          <w:p w14:paraId="4FD0EF2F" w14:textId="77777777" w:rsidR="0087601C" w:rsidRPr="006A1EC7" w:rsidRDefault="0087601C" w:rsidP="00D56051">
            <w:pPr>
              <w:rPr>
                <w:u w:val="single"/>
              </w:rPr>
            </w:pPr>
            <w:r w:rsidRPr="006A1EC7">
              <w:rPr>
                <w:u w:val="single"/>
              </w:rPr>
              <w:t>Item 3A: Eating, is the patient  …?</w:t>
            </w:r>
          </w:p>
          <w:p w14:paraId="1D74CC4C" w14:textId="77777777" w:rsidR="0087601C" w:rsidRPr="006A1EC7" w:rsidRDefault="0087601C" w:rsidP="00D56051">
            <w:r w:rsidRPr="006A1EC7">
              <w:t>Reliant on an intervention, such as PEG feed, nasal gastric tube or jejunostomy, for diet intake = 2</w:t>
            </w:r>
          </w:p>
          <w:p w14:paraId="24CE3A81" w14:textId="77777777" w:rsidR="0087601C" w:rsidRPr="006A1EC7" w:rsidRDefault="0087601C" w:rsidP="00D56051">
            <w:r w:rsidRPr="006A1EC7">
              <w:t>Reliant on assistance, such as mashing or liquidising, but can feed/swallow themselves = 1</w:t>
            </w:r>
            <w:r w:rsidRPr="006A1EC7">
              <w:br/>
              <w:t>Able to eat independently (e.g. may need help cutting food) = 0</w:t>
            </w:r>
          </w:p>
          <w:p w14:paraId="16A737DD" w14:textId="77777777" w:rsidR="0087601C" w:rsidRPr="006A1EC7" w:rsidRDefault="0087601C" w:rsidP="00D56051"/>
          <w:p w14:paraId="2816DA53" w14:textId="77777777" w:rsidR="0087601C" w:rsidRPr="006A1EC7" w:rsidRDefault="0087601C" w:rsidP="00D56051">
            <w:r w:rsidRPr="006A1EC7">
              <w:rPr>
                <w:u w:val="single"/>
              </w:rPr>
              <w:t>Item 3AB: If reliant in intervention, are there any issues with recurrent infections at the intervention site?</w:t>
            </w:r>
            <w:r w:rsidRPr="006A1EC7">
              <w:br/>
              <w:t>Yes = 1</w:t>
            </w:r>
            <w:r w:rsidRPr="006A1EC7">
              <w:br/>
              <w:t>No = 0</w:t>
            </w:r>
          </w:p>
          <w:p w14:paraId="0FC26F1B" w14:textId="77777777" w:rsidR="0087601C" w:rsidRPr="006A1EC7" w:rsidRDefault="0087601C" w:rsidP="00D56051"/>
          <w:p w14:paraId="312D2731" w14:textId="77777777" w:rsidR="0087601C" w:rsidRPr="006A1EC7" w:rsidRDefault="0087601C" w:rsidP="00D56051">
            <w:pPr>
              <w:rPr>
                <w:u w:val="single"/>
              </w:rPr>
            </w:pPr>
            <w:r w:rsidRPr="006A1EC7">
              <w:rPr>
                <w:u w:val="single"/>
              </w:rPr>
              <w:t>Item 3AC: If patient is oral, which issues do the family/carergivers face when eating with their relative with Wolf-Hirschhorn syndrome? (Add up if more than one)</w:t>
            </w:r>
          </w:p>
          <w:p w14:paraId="2C45481C" w14:textId="77777777" w:rsidR="0087601C" w:rsidRPr="006A1EC7" w:rsidRDefault="0087601C" w:rsidP="00D56051">
            <w:r w:rsidRPr="006A1EC7">
              <w:t>Time- consuming to feed due to motor- and coordination difficulties = 1</w:t>
            </w:r>
            <w:r w:rsidRPr="006A1EC7">
              <w:br/>
              <w:t>Difficulty feeding = 1</w:t>
            </w:r>
            <w:r w:rsidRPr="006A1EC7">
              <w:br/>
              <w:t>No issues = 0</w:t>
            </w:r>
          </w:p>
          <w:p w14:paraId="78EC34AF" w14:textId="77777777" w:rsidR="0087601C" w:rsidRPr="006A1EC7" w:rsidRDefault="0087601C" w:rsidP="00D56051"/>
          <w:p w14:paraId="18AE079A" w14:textId="77777777" w:rsidR="0087601C" w:rsidRPr="006A1EC7" w:rsidRDefault="0087601C" w:rsidP="00D56051">
            <w:r w:rsidRPr="006A1EC7">
              <w:rPr>
                <w:u w:val="single"/>
              </w:rPr>
              <w:t>Item 3B: For fluid intake/drinking, is the patient….?</w:t>
            </w:r>
            <w:r w:rsidRPr="006A1EC7">
              <w:br/>
              <w:t>Reliant on an intervention for fluid intake, as above = 2</w:t>
            </w:r>
          </w:p>
          <w:p w14:paraId="67665351" w14:textId="77777777" w:rsidR="0087601C" w:rsidRPr="006A1EC7" w:rsidRDefault="0087601C" w:rsidP="00D56051">
            <w:r w:rsidRPr="006A1EC7">
              <w:t>Able to drink with assistance items (with straws, special cups) = 1</w:t>
            </w:r>
          </w:p>
          <w:p w14:paraId="5B97495A" w14:textId="77777777" w:rsidR="0087601C" w:rsidRPr="006A1EC7" w:rsidRDefault="0087601C" w:rsidP="00D56051">
            <w:r w:rsidRPr="006A1EC7">
              <w:t xml:space="preserve">Able to drink independently without help= 0 </w:t>
            </w:r>
          </w:p>
          <w:p w14:paraId="55E5F65C" w14:textId="77777777" w:rsidR="0087601C" w:rsidRPr="006A1EC7" w:rsidRDefault="0087601C" w:rsidP="00D56051"/>
          <w:p w14:paraId="7228FA24" w14:textId="77777777" w:rsidR="0087601C" w:rsidRPr="006A1EC7" w:rsidRDefault="0087601C" w:rsidP="00D56051">
            <w:pPr>
              <w:rPr>
                <w:u w:val="single"/>
              </w:rPr>
            </w:pPr>
            <w:r w:rsidRPr="006A1EC7">
              <w:rPr>
                <w:u w:val="single"/>
              </w:rPr>
              <w:t>Item 3C: Are there issues with aspiration?</w:t>
            </w:r>
          </w:p>
          <w:p w14:paraId="2911254D" w14:textId="77777777" w:rsidR="0087601C" w:rsidRPr="006A1EC7" w:rsidRDefault="0087601C" w:rsidP="00D56051">
            <w:r w:rsidRPr="006A1EC7">
              <w:t>Severe issues (e.g. consequentially cannot eat, reliant on intervention as result) = 2</w:t>
            </w:r>
          </w:p>
          <w:p w14:paraId="11D0B5F2" w14:textId="77777777" w:rsidR="0087601C" w:rsidRPr="006A1EC7" w:rsidRDefault="0087601C" w:rsidP="00D56051">
            <w:r w:rsidRPr="006A1EC7">
              <w:t>Intermittent issues/sometimes = 1</w:t>
            </w:r>
          </w:p>
          <w:p w14:paraId="0EE0B685" w14:textId="77777777" w:rsidR="0087601C" w:rsidRPr="006A1EC7" w:rsidRDefault="0087601C" w:rsidP="00D56051">
            <w:r w:rsidRPr="006A1EC7">
              <w:t xml:space="preserve">No issues = 0 </w:t>
            </w:r>
          </w:p>
          <w:p w14:paraId="5DC6C93B" w14:textId="77777777" w:rsidR="0087601C" w:rsidRPr="006A1EC7" w:rsidRDefault="0087601C" w:rsidP="00D56051"/>
          <w:p w14:paraId="2E22D020" w14:textId="77777777" w:rsidR="0087601C" w:rsidRPr="006A1EC7" w:rsidRDefault="0087601C" w:rsidP="00D56051">
            <w:pPr>
              <w:rPr>
                <w:u w:val="single"/>
              </w:rPr>
            </w:pPr>
            <w:r w:rsidRPr="006A1EC7">
              <w:rPr>
                <w:u w:val="single"/>
              </w:rPr>
              <w:t>Item 3D: Does the patient have a diagnosis of reflux (=defined as effortless vomiting) which has been…?</w:t>
            </w:r>
          </w:p>
          <w:p w14:paraId="0897207D" w14:textId="77777777" w:rsidR="0087601C" w:rsidRPr="006A1EC7" w:rsidRDefault="0087601C" w:rsidP="00D56051">
            <w:r w:rsidRPr="006A1EC7">
              <w:lastRenderedPageBreak/>
              <w:t>confirmed by an investigation/test = 2</w:t>
            </w:r>
          </w:p>
          <w:p w14:paraId="28C60C1E" w14:textId="77777777" w:rsidR="0087601C" w:rsidRPr="006A1EC7" w:rsidRDefault="0087601C" w:rsidP="00D56051">
            <w:r w:rsidRPr="006A1EC7">
              <w:t>given as a clinical diagnosis (without testing) = 1</w:t>
            </w:r>
          </w:p>
          <w:p w14:paraId="50CB90EC" w14:textId="77777777" w:rsidR="0087601C" w:rsidRPr="006A1EC7" w:rsidRDefault="0087601C" w:rsidP="00D56051">
            <w:r w:rsidRPr="006A1EC7">
              <w:t xml:space="preserve">None = 0 </w:t>
            </w:r>
          </w:p>
          <w:p w14:paraId="2C838627" w14:textId="77777777" w:rsidR="0087601C" w:rsidRPr="006A1EC7" w:rsidRDefault="0087601C" w:rsidP="00D56051">
            <w:pPr>
              <w:rPr>
                <w:u w:val="single"/>
              </w:rPr>
            </w:pPr>
          </w:p>
          <w:p w14:paraId="4CBE4688" w14:textId="77777777" w:rsidR="0087601C" w:rsidRPr="006A1EC7" w:rsidRDefault="0087601C" w:rsidP="00D56051">
            <w:pPr>
              <w:rPr>
                <w:u w:val="single"/>
              </w:rPr>
            </w:pPr>
            <w:r w:rsidRPr="006A1EC7">
              <w:rPr>
                <w:u w:val="single"/>
              </w:rPr>
              <w:t>Item 3DA Does the patient’s reflux require medication?</w:t>
            </w:r>
          </w:p>
          <w:p w14:paraId="3AA4AA5F" w14:textId="77777777" w:rsidR="0087601C" w:rsidRPr="006A1EC7" w:rsidRDefault="0087601C" w:rsidP="00D56051">
            <w:r w:rsidRPr="006A1EC7">
              <w:t>Yes = 1</w:t>
            </w:r>
          </w:p>
          <w:p w14:paraId="5A28C59E" w14:textId="77777777" w:rsidR="0087601C" w:rsidRPr="006A1EC7" w:rsidRDefault="0087601C" w:rsidP="00D56051">
            <w:r w:rsidRPr="006A1EC7">
              <w:t xml:space="preserve">No = 0 </w:t>
            </w:r>
          </w:p>
          <w:p w14:paraId="693226B2" w14:textId="77777777" w:rsidR="0087601C" w:rsidRPr="006A1EC7" w:rsidRDefault="0087601C" w:rsidP="00D56051"/>
          <w:p w14:paraId="440374DF" w14:textId="77777777" w:rsidR="0087601C" w:rsidRPr="006A1EC7" w:rsidRDefault="0087601C" w:rsidP="00D56051">
            <w:pPr>
              <w:rPr>
                <w:u w:val="single"/>
              </w:rPr>
            </w:pPr>
            <w:r w:rsidRPr="006A1EC7">
              <w:rPr>
                <w:u w:val="single"/>
              </w:rPr>
              <w:t>Item 3DB: Does the patient experience apparent reflux symptoms? (Can be more than 1)</w:t>
            </w:r>
          </w:p>
          <w:p w14:paraId="53A772AA" w14:textId="77777777" w:rsidR="0087601C" w:rsidRPr="006A1EC7" w:rsidRDefault="0087601C" w:rsidP="00D56051">
            <w:r w:rsidRPr="006A1EC7">
              <w:t>Yes, apparent pain/discomfort = 1</w:t>
            </w:r>
            <w:r w:rsidRPr="006A1EC7">
              <w:br/>
              <w:t>Yes, patient will vomit shortly after food =1</w:t>
            </w:r>
          </w:p>
          <w:p w14:paraId="59E6D3ED" w14:textId="77777777" w:rsidR="0087601C" w:rsidRPr="006A1EC7" w:rsidRDefault="0087601C" w:rsidP="00D56051">
            <w:r w:rsidRPr="006A1EC7">
              <w:t>Yes, patient performs back-arching = 1</w:t>
            </w:r>
          </w:p>
          <w:p w14:paraId="075D01B8" w14:textId="77777777" w:rsidR="0087601C" w:rsidRPr="006A1EC7" w:rsidRDefault="0087601C" w:rsidP="00D56051"/>
          <w:p w14:paraId="1617A26C" w14:textId="77777777" w:rsidR="0087601C" w:rsidRPr="006A1EC7" w:rsidRDefault="0087601C" w:rsidP="00D56051">
            <w:pPr>
              <w:rPr>
                <w:u w:val="single"/>
              </w:rPr>
            </w:pPr>
            <w:r w:rsidRPr="006A1EC7">
              <w:rPr>
                <w:u w:val="single"/>
              </w:rPr>
              <w:t>Item 3E: Does the patient experience any recurrent episodes of vomiting, which are not caused by apparent infection, not reflux, not associated with feeding itself)?</w:t>
            </w:r>
          </w:p>
          <w:p w14:paraId="23BED404" w14:textId="77777777" w:rsidR="0087601C" w:rsidRPr="006A1EC7" w:rsidRDefault="0087601C" w:rsidP="00D56051">
            <w:r w:rsidRPr="006A1EC7">
              <w:t>Yes = 2</w:t>
            </w:r>
          </w:p>
          <w:p w14:paraId="6AD85B91" w14:textId="77777777" w:rsidR="0087601C" w:rsidRPr="006A1EC7" w:rsidRDefault="0087601C" w:rsidP="00D56051">
            <w:r w:rsidRPr="006A1EC7">
              <w:t>Intermittently/sometimes = 1</w:t>
            </w:r>
          </w:p>
          <w:p w14:paraId="093DB9C6" w14:textId="77777777" w:rsidR="0087601C" w:rsidRPr="006A1EC7" w:rsidRDefault="0087601C" w:rsidP="00D56051">
            <w:r w:rsidRPr="006A1EC7">
              <w:t>No = 0</w:t>
            </w:r>
          </w:p>
          <w:p w14:paraId="200C8A38" w14:textId="77777777" w:rsidR="0087601C" w:rsidRPr="006A1EC7" w:rsidRDefault="0087601C" w:rsidP="00D56051">
            <w:pPr>
              <w:rPr>
                <w:i/>
              </w:rPr>
            </w:pPr>
            <w:r w:rsidRPr="006A1EC7">
              <w:rPr>
                <w:i/>
              </w:rPr>
              <w:t>Bowel movements &amp; Bladder/Bowel control</w:t>
            </w:r>
          </w:p>
          <w:p w14:paraId="1C1F3D0B" w14:textId="77777777" w:rsidR="0087601C" w:rsidRPr="006A1EC7" w:rsidRDefault="0087601C" w:rsidP="00D56051">
            <w:pPr>
              <w:rPr>
                <w:u w:val="single"/>
              </w:rPr>
            </w:pPr>
          </w:p>
          <w:p w14:paraId="75759966" w14:textId="77777777" w:rsidR="0087601C" w:rsidRPr="006A1EC7" w:rsidRDefault="0087601C" w:rsidP="00D56051">
            <w:r w:rsidRPr="006A1EC7">
              <w:rPr>
                <w:u w:val="single"/>
              </w:rPr>
              <w:t>Item 3F: Over the past 6 months, has the patient experienced any problems with constipation?</w:t>
            </w:r>
            <w:r w:rsidRPr="006A1EC7">
              <w:rPr>
                <w:u w:val="single"/>
              </w:rPr>
              <w:br/>
            </w:r>
            <w:r w:rsidRPr="006A1EC7">
              <w:t>Most of the time = 2</w:t>
            </w:r>
          </w:p>
          <w:p w14:paraId="3B8AC60E" w14:textId="77777777" w:rsidR="0087601C" w:rsidRPr="006A1EC7" w:rsidRDefault="0087601C" w:rsidP="00D56051">
            <w:r w:rsidRPr="006A1EC7">
              <w:t>Some of the time = 1</w:t>
            </w:r>
            <w:r w:rsidRPr="006A1EC7">
              <w:br/>
              <w:t xml:space="preserve">Rarely = 0 </w:t>
            </w:r>
          </w:p>
          <w:p w14:paraId="55DCE56B" w14:textId="77777777" w:rsidR="0087601C" w:rsidRPr="006A1EC7" w:rsidRDefault="0087601C" w:rsidP="00D56051"/>
          <w:p w14:paraId="165A2E03" w14:textId="77777777" w:rsidR="0087601C" w:rsidRPr="006A1EC7" w:rsidRDefault="0087601C" w:rsidP="00D56051">
            <w:pPr>
              <w:rPr>
                <w:u w:val="single"/>
              </w:rPr>
            </w:pPr>
            <w:r w:rsidRPr="006A1EC7">
              <w:rPr>
                <w:u w:val="single"/>
              </w:rPr>
              <w:t>Item 3FA: What specific constipation-related issues does the patient suffer? (Add items up)</w:t>
            </w:r>
          </w:p>
          <w:p w14:paraId="1CA3F166" w14:textId="77777777" w:rsidR="0087601C" w:rsidRPr="006A1EC7" w:rsidRDefault="0087601C" w:rsidP="00D56051">
            <w:r w:rsidRPr="006A1EC7">
              <w:t>Abdominal distention/bloating = 1</w:t>
            </w:r>
            <w:r w:rsidRPr="006A1EC7">
              <w:br/>
              <w:t>Inability to pass stool = 1</w:t>
            </w:r>
          </w:p>
          <w:p w14:paraId="58709465" w14:textId="77777777" w:rsidR="0087601C" w:rsidRPr="006A1EC7" w:rsidRDefault="0087601C" w:rsidP="00D56051">
            <w:r w:rsidRPr="006A1EC7">
              <w:t>Observable pain/cramps = 1</w:t>
            </w:r>
          </w:p>
          <w:p w14:paraId="71F9C553" w14:textId="77777777" w:rsidR="0087601C" w:rsidRPr="006A1EC7" w:rsidRDefault="0087601C" w:rsidP="00D56051"/>
          <w:p w14:paraId="1613EACE" w14:textId="77777777" w:rsidR="0087601C" w:rsidRPr="006A1EC7" w:rsidRDefault="0087601C" w:rsidP="00D56051">
            <w:r w:rsidRPr="006A1EC7">
              <w:rPr>
                <w:u w:val="single"/>
              </w:rPr>
              <w:t>Item 3FB: Over the past 6 months, has the patient experienced any problems with diarrhoea? (not caused by evident infection)</w:t>
            </w:r>
            <w:r w:rsidRPr="006A1EC7">
              <w:rPr>
                <w:u w:val="single"/>
              </w:rPr>
              <w:br/>
            </w:r>
            <w:r w:rsidRPr="006A1EC7">
              <w:t>Most of the time = 2</w:t>
            </w:r>
          </w:p>
          <w:p w14:paraId="152398CF" w14:textId="77777777" w:rsidR="0087601C" w:rsidRPr="006A1EC7" w:rsidRDefault="0087601C" w:rsidP="00D56051">
            <w:r w:rsidRPr="006A1EC7">
              <w:t>Some of the time = 1</w:t>
            </w:r>
            <w:r w:rsidRPr="006A1EC7">
              <w:br/>
              <w:t xml:space="preserve">Rarely = 0 </w:t>
            </w:r>
          </w:p>
          <w:p w14:paraId="11AA0AFA" w14:textId="77777777" w:rsidR="0087601C" w:rsidRPr="006A1EC7" w:rsidRDefault="0087601C" w:rsidP="00D56051">
            <w:pPr>
              <w:rPr>
                <w:u w:val="single"/>
              </w:rPr>
            </w:pPr>
          </w:p>
          <w:p w14:paraId="4373E120" w14:textId="77777777" w:rsidR="0087601C" w:rsidRPr="006A1EC7" w:rsidRDefault="0087601C" w:rsidP="00D56051">
            <w:pPr>
              <w:rPr>
                <w:u w:val="single"/>
              </w:rPr>
            </w:pPr>
            <w:r w:rsidRPr="006A1EC7">
              <w:rPr>
                <w:u w:val="single"/>
              </w:rPr>
              <w:t>Item 3FC: What specific diarrhoea-related issues does the patient suffer? (Add items up)</w:t>
            </w:r>
          </w:p>
          <w:p w14:paraId="4F906D54" w14:textId="77777777" w:rsidR="0087601C" w:rsidRPr="006A1EC7" w:rsidRDefault="0087601C" w:rsidP="00D56051">
            <w:r w:rsidRPr="006A1EC7">
              <w:t>Predominantly liquid stools, no solid pieces =1</w:t>
            </w:r>
          </w:p>
          <w:p w14:paraId="72BF0E26" w14:textId="77777777" w:rsidR="0087601C" w:rsidRPr="006A1EC7" w:rsidRDefault="0087601C" w:rsidP="00D56051">
            <w:r w:rsidRPr="006A1EC7">
              <w:t>Bloating = 1</w:t>
            </w:r>
          </w:p>
          <w:p w14:paraId="268EB175" w14:textId="77777777" w:rsidR="0087601C" w:rsidRPr="006A1EC7" w:rsidRDefault="0087601C" w:rsidP="00D56051">
            <w:r w:rsidRPr="006A1EC7">
              <w:t xml:space="preserve">Fever =1 </w:t>
            </w:r>
          </w:p>
          <w:p w14:paraId="4B3A8D7A" w14:textId="77777777" w:rsidR="0087601C" w:rsidRPr="006A1EC7" w:rsidRDefault="0087601C" w:rsidP="00D56051"/>
          <w:p w14:paraId="20524F19" w14:textId="77777777" w:rsidR="0087601C" w:rsidRPr="006A1EC7" w:rsidRDefault="0087601C" w:rsidP="00D56051">
            <w:pPr>
              <w:rPr>
                <w:u w:val="single"/>
              </w:rPr>
            </w:pPr>
            <w:r w:rsidRPr="006A1EC7">
              <w:rPr>
                <w:u w:val="single"/>
              </w:rPr>
              <w:t>Item 3G: Does the patient have bladder control?</w:t>
            </w:r>
            <w:r w:rsidRPr="006A1EC7">
              <w:br/>
              <w:t>No, patient needs pads/nappies and cannot indicate, whether toilet is needed = 2</w:t>
            </w:r>
          </w:p>
          <w:p w14:paraId="10B13A64" w14:textId="77777777" w:rsidR="0087601C" w:rsidRPr="006A1EC7" w:rsidRDefault="0087601C" w:rsidP="00D56051">
            <w:r w:rsidRPr="006A1EC7">
              <w:t>Patient is partly able to indicate = 1</w:t>
            </w:r>
          </w:p>
          <w:p w14:paraId="7A19CCAA" w14:textId="77777777" w:rsidR="0087601C" w:rsidRPr="006A1EC7" w:rsidRDefault="0087601C" w:rsidP="00D56051">
            <w:r w:rsidRPr="006A1EC7">
              <w:t>Independent = 0</w:t>
            </w:r>
          </w:p>
          <w:p w14:paraId="4ACD9AC1" w14:textId="77777777" w:rsidR="0087601C" w:rsidRPr="006A1EC7" w:rsidRDefault="0087601C" w:rsidP="00D56051"/>
          <w:p w14:paraId="4CB6C7D6" w14:textId="77777777" w:rsidR="0087601C" w:rsidRPr="006A1EC7" w:rsidRDefault="0087601C" w:rsidP="00D56051">
            <w:pPr>
              <w:rPr>
                <w:u w:val="single"/>
              </w:rPr>
            </w:pPr>
            <w:r w:rsidRPr="006A1EC7">
              <w:rPr>
                <w:u w:val="single"/>
              </w:rPr>
              <w:t>Item 3GA: Is the patient dry during the day? (bladder, not bowels)</w:t>
            </w:r>
          </w:p>
          <w:p w14:paraId="1B1D41E6" w14:textId="77777777" w:rsidR="0087601C" w:rsidRPr="006A1EC7" w:rsidRDefault="0087601C" w:rsidP="00D56051">
            <w:r w:rsidRPr="006A1EC7">
              <w:t>Predominantly no = 1</w:t>
            </w:r>
          </w:p>
          <w:p w14:paraId="4C75D046" w14:textId="77777777" w:rsidR="0087601C" w:rsidRPr="006A1EC7" w:rsidRDefault="0087601C" w:rsidP="00D56051">
            <w:r w:rsidRPr="006A1EC7">
              <w:t>Predominantly yes = 0</w:t>
            </w:r>
          </w:p>
          <w:p w14:paraId="5EC3DE5A" w14:textId="77777777" w:rsidR="0087601C" w:rsidRPr="006A1EC7" w:rsidRDefault="0087601C" w:rsidP="00D56051"/>
          <w:p w14:paraId="1B360321" w14:textId="77777777" w:rsidR="0087601C" w:rsidRPr="006A1EC7" w:rsidRDefault="0087601C" w:rsidP="00D56051">
            <w:pPr>
              <w:rPr>
                <w:u w:val="single"/>
              </w:rPr>
            </w:pPr>
            <w:r w:rsidRPr="006A1EC7">
              <w:rPr>
                <w:u w:val="single"/>
              </w:rPr>
              <w:t>Item 3GB: Is the patient dry during the night? (bladder, not bowels)</w:t>
            </w:r>
          </w:p>
          <w:p w14:paraId="0222DA11" w14:textId="77777777" w:rsidR="0087601C" w:rsidRPr="006A1EC7" w:rsidRDefault="0087601C" w:rsidP="00D56051">
            <w:r w:rsidRPr="006A1EC7">
              <w:t>Predominantly no = 1</w:t>
            </w:r>
          </w:p>
          <w:p w14:paraId="0E145FD2" w14:textId="77777777" w:rsidR="0087601C" w:rsidRPr="006A1EC7" w:rsidRDefault="0087601C" w:rsidP="00D56051">
            <w:r w:rsidRPr="006A1EC7">
              <w:t>Predominantly yes = 0</w:t>
            </w:r>
          </w:p>
          <w:p w14:paraId="3EACC41F" w14:textId="77777777" w:rsidR="0087601C" w:rsidRPr="006A1EC7" w:rsidRDefault="0087601C" w:rsidP="00D56051"/>
          <w:p w14:paraId="04ECB906" w14:textId="77777777" w:rsidR="0087601C" w:rsidRPr="006A1EC7" w:rsidRDefault="0087601C" w:rsidP="00D56051">
            <w:pPr>
              <w:rPr>
                <w:u w:val="single"/>
              </w:rPr>
            </w:pPr>
            <w:r w:rsidRPr="006A1EC7">
              <w:rPr>
                <w:u w:val="single"/>
              </w:rPr>
              <w:t>Item 3H: Does the patient have bowel control?</w:t>
            </w:r>
          </w:p>
          <w:p w14:paraId="0882D3E7" w14:textId="77777777" w:rsidR="0087601C" w:rsidRPr="006A1EC7" w:rsidRDefault="0087601C" w:rsidP="00D56051">
            <w:pPr>
              <w:rPr>
                <w:u w:val="single"/>
              </w:rPr>
            </w:pPr>
            <w:r w:rsidRPr="006A1EC7">
              <w:t>No, patient needs pads/nappies and cannot indicate, whether toilet is needed = 2</w:t>
            </w:r>
          </w:p>
          <w:p w14:paraId="1E080BA7" w14:textId="77777777" w:rsidR="0087601C" w:rsidRPr="006A1EC7" w:rsidRDefault="0087601C" w:rsidP="00D56051">
            <w:r w:rsidRPr="006A1EC7">
              <w:t>Patient is partly able to indicate = 1</w:t>
            </w:r>
          </w:p>
          <w:p w14:paraId="35B3CB21" w14:textId="77777777" w:rsidR="0087601C" w:rsidRPr="006A1EC7" w:rsidRDefault="0087601C" w:rsidP="00D56051">
            <w:r w:rsidRPr="006A1EC7">
              <w:t>Independent = 0</w:t>
            </w:r>
          </w:p>
          <w:p w14:paraId="4D847313" w14:textId="77777777" w:rsidR="0087601C" w:rsidRPr="006A1EC7" w:rsidRDefault="0087601C" w:rsidP="00D56051"/>
          <w:p w14:paraId="6D3F81AE" w14:textId="77777777" w:rsidR="0087601C" w:rsidRPr="006A1EC7" w:rsidRDefault="0087601C" w:rsidP="00D56051">
            <w:pPr>
              <w:rPr>
                <w:u w:val="single"/>
              </w:rPr>
            </w:pPr>
            <w:r w:rsidRPr="006A1EC7">
              <w:rPr>
                <w:u w:val="single"/>
              </w:rPr>
              <w:t>Item 3HA: Is the patient dry during the day? (bowels, not bladder)</w:t>
            </w:r>
          </w:p>
          <w:p w14:paraId="385EF1FD" w14:textId="77777777" w:rsidR="0087601C" w:rsidRPr="006A1EC7" w:rsidRDefault="0087601C" w:rsidP="00D56051">
            <w:r w:rsidRPr="006A1EC7">
              <w:t>Predominantly no = 1</w:t>
            </w:r>
          </w:p>
          <w:p w14:paraId="2D764177" w14:textId="77777777" w:rsidR="0087601C" w:rsidRPr="006A1EC7" w:rsidRDefault="0087601C" w:rsidP="00D56051">
            <w:r w:rsidRPr="006A1EC7">
              <w:t>Predominantly yes = 0</w:t>
            </w:r>
          </w:p>
          <w:p w14:paraId="2CBA41CE" w14:textId="77777777" w:rsidR="0087601C" w:rsidRPr="006A1EC7" w:rsidRDefault="0087601C" w:rsidP="00D56051"/>
          <w:p w14:paraId="007B51EF" w14:textId="77777777" w:rsidR="0087601C" w:rsidRPr="006A1EC7" w:rsidRDefault="0087601C" w:rsidP="00D56051">
            <w:pPr>
              <w:rPr>
                <w:u w:val="single"/>
              </w:rPr>
            </w:pPr>
            <w:r w:rsidRPr="006A1EC7">
              <w:rPr>
                <w:u w:val="single"/>
              </w:rPr>
              <w:t>Item 3HB: Is the patient dry during the night? (bowels, not bladder)</w:t>
            </w:r>
          </w:p>
          <w:p w14:paraId="1602E5FD" w14:textId="77777777" w:rsidR="0087601C" w:rsidRPr="006A1EC7" w:rsidRDefault="0087601C" w:rsidP="00D56051">
            <w:r w:rsidRPr="006A1EC7">
              <w:t>Predominantly no = 1</w:t>
            </w:r>
          </w:p>
          <w:p w14:paraId="083DDC2D" w14:textId="77777777" w:rsidR="0087601C" w:rsidRPr="006A1EC7" w:rsidRDefault="0087601C" w:rsidP="00D56051">
            <w:r w:rsidRPr="006A1EC7">
              <w:t>Predominantly yes = 0</w:t>
            </w:r>
          </w:p>
          <w:p w14:paraId="48347158" w14:textId="77777777" w:rsidR="0087601C" w:rsidRPr="006A1EC7" w:rsidRDefault="0087601C" w:rsidP="00D56051">
            <w:pPr>
              <w:rPr>
                <w:u w:val="single"/>
              </w:rPr>
            </w:pPr>
          </w:p>
          <w:p w14:paraId="1EED07A3" w14:textId="77777777" w:rsidR="0087601C" w:rsidRPr="006A1EC7" w:rsidRDefault="0087601C" w:rsidP="00D56051">
            <w:pPr>
              <w:rPr>
                <w:i/>
              </w:rPr>
            </w:pPr>
            <w:r w:rsidRPr="006A1EC7">
              <w:rPr>
                <w:i/>
              </w:rPr>
              <w:t>Genitourinary tract</w:t>
            </w:r>
          </w:p>
          <w:p w14:paraId="064ABF1A" w14:textId="77777777" w:rsidR="0087601C" w:rsidRPr="006A1EC7" w:rsidRDefault="0087601C" w:rsidP="00D56051"/>
          <w:p w14:paraId="7C91F579" w14:textId="77777777" w:rsidR="0087601C" w:rsidRPr="006A1EC7" w:rsidRDefault="0087601C" w:rsidP="00D56051">
            <w:pPr>
              <w:rPr>
                <w:u w:val="single"/>
              </w:rPr>
            </w:pPr>
            <w:r w:rsidRPr="006A1EC7">
              <w:rPr>
                <w:u w:val="single"/>
              </w:rPr>
              <w:t>Item 3I: Does the patient suffer recurrent urinary tract infections?</w:t>
            </w:r>
          </w:p>
          <w:p w14:paraId="06832988" w14:textId="77777777" w:rsidR="0087601C" w:rsidRPr="006A1EC7" w:rsidRDefault="0087601C" w:rsidP="00D56051">
            <w:r w:rsidRPr="006A1EC7">
              <w:t>Yes  = 1</w:t>
            </w:r>
            <w:r w:rsidRPr="006A1EC7">
              <w:br/>
              <w:t>No = 0</w:t>
            </w:r>
          </w:p>
          <w:p w14:paraId="70DD0292" w14:textId="77777777" w:rsidR="0087601C" w:rsidRPr="006A1EC7" w:rsidRDefault="0087601C" w:rsidP="00D56051"/>
          <w:p w14:paraId="69B895C5" w14:textId="77777777" w:rsidR="0087601C" w:rsidRPr="006A1EC7" w:rsidRDefault="0087601C" w:rsidP="00D56051">
            <w:pPr>
              <w:rPr>
                <w:u w:val="single"/>
              </w:rPr>
            </w:pPr>
            <w:r w:rsidRPr="006A1EC7">
              <w:rPr>
                <w:u w:val="single"/>
              </w:rPr>
              <w:t>Item 3IA: Over the past 6 months, what was the maximum level of care needed to treat urinary infections?</w:t>
            </w:r>
          </w:p>
          <w:p w14:paraId="695694C9" w14:textId="77777777" w:rsidR="0087601C" w:rsidRPr="006A1EC7" w:rsidRDefault="0087601C" w:rsidP="00D56051">
            <w:r w:rsidRPr="006A1EC7">
              <w:t>Patient required hospital admission = 3</w:t>
            </w:r>
          </w:p>
          <w:p w14:paraId="3996C447" w14:textId="77777777" w:rsidR="0087601C" w:rsidRPr="006A1EC7" w:rsidRDefault="0087601C" w:rsidP="00D56051">
            <w:r w:rsidRPr="006A1EC7">
              <w:t>Home care/GP care with antibiotics = 2</w:t>
            </w:r>
          </w:p>
          <w:p w14:paraId="67F4A8CA" w14:textId="77777777" w:rsidR="0087601C" w:rsidRPr="006A1EC7" w:rsidRDefault="0087601C" w:rsidP="00D56051">
            <w:r w:rsidRPr="006A1EC7">
              <w:t>Self-care (e.g. painkillers, cranberry supplement)= 1</w:t>
            </w:r>
          </w:p>
          <w:p w14:paraId="2FFC34C9" w14:textId="77777777" w:rsidR="0087601C" w:rsidRPr="006A1EC7" w:rsidRDefault="0087601C" w:rsidP="00D56051">
            <w:r w:rsidRPr="006A1EC7">
              <w:t>Not applicable = 0</w:t>
            </w:r>
          </w:p>
          <w:p w14:paraId="7981CFF8" w14:textId="77777777" w:rsidR="0087601C" w:rsidRPr="006A1EC7" w:rsidRDefault="0087601C" w:rsidP="00D56051"/>
          <w:p w14:paraId="04144BD7" w14:textId="77777777" w:rsidR="0087601C" w:rsidRPr="006A1EC7" w:rsidRDefault="0087601C" w:rsidP="00D56051">
            <w:r w:rsidRPr="006A1EC7">
              <w:rPr>
                <w:u w:val="single"/>
              </w:rPr>
              <w:t>Item 3J: Does the patient have any known renal malformations (confirmed on ultrasound etc)?</w:t>
            </w:r>
            <w:r w:rsidRPr="006A1EC7">
              <w:br/>
              <w:t>Yes = 1</w:t>
            </w:r>
          </w:p>
          <w:p w14:paraId="19AE3C91" w14:textId="77777777" w:rsidR="0087601C" w:rsidRPr="006A1EC7" w:rsidRDefault="0087601C" w:rsidP="00D56051">
            <w:r w:rsidRPr="006A1EC7">
              <w:t>No = 0</w:t>
            </w:r>
          </w:p>
          <w:p w14:paraId="4C5648C3" w14:textId="77777777" w:rsidR="0087601C" w:rsidRPr="006A1EC7" w:rsidRDefault="0087601C" w:rsidP="00D56051"/>
          <w:p w14:paraId="253242A0" w14:textId="77777777" w:rsidR="0087601C" w:rsidRPr="006A1EC7" w:rsidRDefault="0087601C" w:rsidP="00D56051">
            <w:r w:rsidRPr="006A1EC7">
              <w:rPr>
                <w:u w:val="single"/>
              </w:rPr>
              <w:t>Item 3JA: If applicable, diagnoses:</w:t>
            </w:r>
            <w:r w:rsidRPr="006A1EC7">
              <w:t xml:space="preserve"> _______________________________</w:t>
            </w:r>
          </w:p>
          <w:p w14:paraId="1432A92D" w14:textId="77777777" w:rsidR="0087601C" w:rsidRPr="006A1EC7" w:rsidRDefault="0087601C" w:rsidP="00D56051"/>
          <w:p w14:paraId="7690EDE6" w14:textId="77777777" w:rsidR="0087601C" w:rsidRPr="006A1EC7" w:rsidRDefault="0087601C" w:rsidP="00D56051">
            <w:r w:rsidRPr="006A1EC7">
              <w:rPr>
                <w:u w:val="single"/>
              </w:rPr>
              <w:t>Item3JB: Is the renal malformation symptomatic?</w:t>
            </w:r>
            <w:r w:rsidRPr="006A1EC7">
              <w:t xml:space="preserve"> </w:t>
            </w:r>
            <w:r w:rsidRPr="006A1EC7">
              <w:br/>
              <w:t>Yes = 1</w:t>
            </w:r>
          </w:p>
          <w:p w14:paraId="3103867E" w14:textId="77777777" w:rsidR="0087601C" w:rsidRPr="006A1EC7" w:rsidRDefault="0087601C" w:rsidP="00D56051">
            <w:r w:rsidRPr="006A1EC7">
              <w:t>No = 0</w:t>
            </w:r>
          </w:p>
          <w:p w14:paraId="6F4B6603" w14:textId="77777777" w:rsidR="0087601C" w:rsidRPr="006A1EC7" w:rsidRDefault="0087601C" w:rsidP="00D56051"/>
          <w:p w14:paraId="3A9583EA" w14:textId="77777777" w:rsidR="0087601C" w:rsidRPr="006A1EC7" w:rsidRDefault="0087601C" w:rsidP="00D56051">
            <w:pPr>
              <w:rPr>
                <w:u w:val="single"/>
              </w:rPr>
            </w:pPr>
            <w:r w:rsidRPr="006A1EC7">
              <w:rPr>
                <w:u w:val="single"/>
              </w:rPr>
              <w:t>Item 3K: If male, presence of hypospadias?</w:t>
            </w:r>
          </w:p>
          <w:p w14:paraId="14F2878B" w14:textId="77777777" w:rsidR="0087601C" w:rsidRPr="006A1EC7" w:rsidRDefault="0087601C" w:rsidP="00D56051">
            <w:pPr>
              <w:rPr>
                <w:u w:val="single"/>
              </w:rPr>
            </w:pPr>
            <w:r w:rsidRPr="006A1EC7">
              <w:rPr>
                <w:u w:val="single"/>
              </w:rPr>
              <w:t>Yes = 1</w:t>
            </w:r>
          </w:p>
          <w:p w14:paraId="3746A9AD" w14:textId="77777777" w:rsidR="0087601C" w:rsidRPr="006A1EC7" w:rsidRDefault="0087601C" w:rsidP="00D56051">
            <w:pPr>
              <w:rPr>
                <w:u w:val="single"/>
              </w:rPr>
            </w:pPr>
            <w:r w:rsidRPr="006A1EC7">
              <w:rPr>
                <w:u w:val="single"/>
              </w:rPr>
              <w:t>No = 0</w:t>
            </w:r>
          </w:p>
          <w:p w14:paraId="2CE824F2" w14:textId="77777777" w:rsidR="0087601C" w:rsidRPr="006A1EC7" w:rsidRDefault="0087601C" w:rsidP="00D56051"/>
          <w:p w14:paraId="60DE1C3F" w14:textId="77777777" w:rsidR="0087601C" w:rsidRPr="006A1EC7" w:rsidRDefault="0087601C" w:rsidP="00D56051">
            <w:r w:rsidRPr="006A1EC7">
              <w:rPr>
                <w:u w:val="single"/>
              </w:rPr>
              <w:t>Item 3KA: Does/Did hypospadias require treatment?</w:t>
            </w:r>
            <w:r w:rsidRPr="006A1EC7">
              <w:br/>
              <w:t>Surgical management = 2</w:t>
            </w:r>
          </w:p>
          <w:p w14:paraId="43EE8FE7" w14:textId="77777777" w:rsidR="0087601C" w:rsidRPr="006A1EC7" w:rsidRDefault="0087601C" w:rsidP="00D56051">
            <w:r w:rsidRPr="006A1EC7">
              <w:t>Conservative treatment (might need antibiotics, observation)= 1</w:t>
            </w:r>
          </w:p>
          <w:p w14:paraId="321363CA" w14:textId="77777777" w:rsidR="0087601C" w:rsidRPr="006A1EC7" w:rsidRDefault="0087601C" w:rsidP="00D56051">
            <w:r w:rsidRPr="006A1EC7">
              <w:t>No treatment = 0</w:t>
            </w:r>
          </w:p>
          <w:p w14:paraId="2CE8122D" w14:textId="77777777" w:rsidR="0087601C" w:rsidRPr="006A1EC7" w:rsidRDefault="0087601C" w:rsidP="00D56051">
            <w:pPr>
              <w:spacing w:line="360" w:lineRule="auto"/>
            </w:pPr>
          </w:p>
        </w:tc>
      </w:tr>
      <w:tr w:rsidR="0087601C" w:rsidRPr="006A1EC7" w14:paraId="62BA25B3" w14:textId="77777777" w:rsidTr="00D56051">
        <w:tc>
          <w:tcPr>
            <w:tcW w:w="9634" w:type="dxa"/>
          </w:tcPr>
          <w:p w14:paraId="5F22BE88" w14:textId="77777777" w:rsidR="0087601C" w:rsidRPr="006A1EC7" w:rsidRDefault="0087601C" w:rsidP="00D56051">
            <w:r w:rsidRPr="006A1EC7">
              <w:rPr>
                <w:b/>
                <w:u w:val="single"/>
              </w:rPr>
              <w:lastRenderedPageBreak/>
              <w:t>Section 4: Cardiac and respiratory symptoms</w:t>
            </w:r>
          </w:p>
          <w:p w14:paraId="52F447C3" w14:textId="77777777" w:rsidR="0087601C" w:rsidRPr="006A1EC7" w:rsidRDefault="0087601C" w:rsidP="00D56051"/>
          <w:p w14:paraId="0071F450" w14:textId="77777777" w:rsidR="0087601C" w:rsidRPr="006A1EC7" w:rsidRDefault="0087601C" w:rsidP="00D56051">
            <w:pPr>
              <w:rPr>
                <w:u w:val="single"/>
              </w:rPr>
            </w:pPr>
            <w:r w:rsidRPr="006A1EC7">
              <w:rPr>
                <w:u w:val="single"/>
              </w:rPr>
              <w:t>Item 4A: Has the patient ever been diagnosed with a structural heart defect (i.e. ventricular, ASD, …)?</w:t>
            </w:r>
          </w:p>
          <w:p w14:paraId="2EB646D4" w14:textId="77777777" w:rsidR="0087601C" w:rsidRPr="006A1EC7" w:rsidRDefault="0087601C" w:rsidP="00D56051">
            <w:r w:rsidRPr="006A1EC7">
              <w:t>Yes = 1</w:t>
            </w:r>
          </w:p>
          <w:p w14:paraId="21C7FB7A" w14:textId="77777777" w:rsidR="0087601C" w:rsidRPr="006A1EC7" w:rsidRDefault="0087601C" w:rsidP="00D56051">
            <w:r w:rsidRPr="006A1EC7">
              <w:t>No = 2</w:t>
            </w:r>
          </w:p>
          <w:p w14:paraId="100728BD" w14:textId="77777777" w:rsidR="0087601C" w:rsidRPr="006A1EC7" w:rsidRDefault="0087601C" w:rsidP="00D56051"/>
          <w:p w14:paraId="7DB29956" w14:textId="77777777" w:rsidR="0087601C" w:rsidRPr="006A1EC7" w:rsidRDefault="0087601C" w:rsidP="00D56051">
            <w:r w:rsidRPr="006A1EC7">
              <w:rPr>
                <w:u w:val="single"/>
              </w:rPr>
              <w:t>Item 4AA: If applicable, diagnoses</w:t>
            </w:r>
            <w:r w:rsidRPr="006A1EC7">
              <w:t>: __________________________________</w:t>
            </w:r>
          </w:p>
          <w:p w14:paraId="47B1630D" w14:textId="77777777" w:rsidR="0087601C" w:rsidRPr="006A1EC7" w:rsidRDefault="0087601C" w:rsidP="00D56051"/>
          <w:p w14:paraId="7B31D40B" w14:textId="77777777" w:rsidR="0087601C" w:rsidRPr="006A1EC7" w:rsidRDefault="0087601C" w:rsidP="00D56051">
            <w:r w:rsidRPr="006A1EC7">
              <w:rPr>
                <w:u w:val="single"/>
              </w:rPr>
              <w:t>Item 4AB: If yes,</w:t>
            </w:r>
            <w:r w:rsidRPr="006A1EC7">
              <w:t xml:space="preserve"> </w:t>
            </w:r>
            <w:r w:rsidRPr="006A1EC7">
              <w:rPr>
                <w:u w:val="single"/>
              </w:rPr>
              <w:t>how has this been treated?</w:t>
            </w:r>
          </w:p>
          <w:p w14:paraId="41A0A088" w14:textId="77777777" w:rsidR="0087601C" w:rsidRPr="006A1EC7" w:rsidRDefault="0087601C" w:rsidP="00D56051">
            <w:r w:rsidRPr="006A1EC7">
              <w:t>Urgent surgery = 3</w:t>
            </w:r>
          </w:p>
          <w:p w14:paraId="4A3B6908" w14:textId="77777777" w:rsidR="0087601C" w:rsidRPr="006A1EC7" w:rsidRDefault="0087601C" w:rsidP="00D56051">
            <w:r w:rsidRPr="006A1EC7">
              <w:t>Elective surgery = 2</w:t>
            </w:r>
          </w:p>
          <w:p w14:paraId="643939C3" w14:textId="77777777" w:rsidR="0087601C" w:rsidRPr="006A1EC7" w:rsidRDefault="0087601C" w:rsidP="00D56051">
            <w:r w:rsidRPr="006A1EC7">
              <w:t>Medication = 1</w:t>
            </w:r>
          </w:p>
          <w:p w14:paraId="0269D03A" w14:textId="77777777" w:rsidR="0087601C" w:rsidRPr="006A1EC7" w:rsidRDefault="0087601C" w:rsidP="00D56051">
            <w:r w:rsidRPr="006A1EC7">
              <w:t>None needed/observation only = 0</w:t>
            </w:r>
          </w:p>
          <w:p w14:paraId="3065E124" w14:textId="77777777" w:rsidR="0087601C" w:rsidRPr="006A1EC7" w:rsidRDefault="0087601C" w:rsidP="00D56051">
            <w:pPr>
              <w:rPr>
                <w:u w:val="single"/>
              </w:rPr>
            </w:pPr>
          </w:p>
          <w:p w14:paraId="4F7AF207" w14:textId="77777777" w:rsidR="0087601C" w:rsidRPr="006A1EC7" w:rsidRDefault="0087601C" w:rsidP="00D56051">
            <w:pPr>
              <w:rPr>
                <w:u w:val="single"/>
              </w:rPr>
            </w:pPr>
          </w:p>
          <w:p w14:paraId="3AA3E01E" w14:textId="77777777" w:rsidR="0087601C" w:rsidRPr="006A1EC7" w:rsidRDefault="0087601C" w:rsidP="00D56051">
            <w:pPr>
              <w:rPr>
                <w:u w:val="single"/>
              </w:rPr>
            </w:pPr>
            <w:r w:rsidRPr="006A1EC7">
              <w:rPr>
                <w:u w:val="single"/>
              </w:rPr>
              <w:t>Item 4AC: Is the heart defect symptomatic?</w:t>
            </w:r>
          </w:p>
          <w:p w14:paraId="3BD9B61E" w14:textId="77777777" w:rsidR="0087601C" w:rsidRPr="006A1EC7" w:rsidRDefault="0087601C" w:rsidP="00D56051">
            <w:r w:rsidRPr="006A1EC7">
              <w:t>Predominantly yes = 1</w:t>
            </w:r>
          </w:p>
          <w:p w14:paraId="2A2C60DC" w14:textId="77777777" w:rsidR="0087601C" w:rsidRPr="006A1EC7" w:rsidRDefault="0087601C" w:rsidP="00D56051">
            <w:r w:rsidRPr="006A1EC7">
              <w:t xml:space="preserve">Predominantly no = 0 </w:t>
            </w:r>
          </w:p>
          <w:p w14:paraId="038CA819" w14:textId="77777777" w:rsidR="0087601C" w:rsidRPr="006A1EC7" w:rsidRDefault="0087601C" w:rsidP="00D56051"/>
          <w:p w14:paraId="46198832" w14:textId="77777777" w:rsidR="0087601C" w:rsidRPr="006A1EC7" w:rsidRDefault="0087601C" w:rsidP="00D56051">
            <w:pPr>
              <w:rPr>
                <w:u w:val="single"/>
              </w:rPr>
            </w:pPr>
          </w:p>
          <w:p w14:paraId="5C8ABA15" w14:textId="77777777" w:rsidR="0087601C" w:rsidRPr="006A1EC7" w:rsidRDefault="0087601C" w:rsidP="00D56051">
            <w:pPr>
              <w:rPr>
                <w:u w:val="single"/>
              </w:rPr>
            </w:pPr>
          </w:p>
          <w:p w14:paraId="5111A240" w14:textId="77777777" w:rsidR="0087601C" w:rsidRPr="006A1EC7" w:rsidRDefault="0087601C" w:rsidP="00D56051">
            <w:pPr>
              <w:rPr>
                <w:u w:val="single"/>
              </w:rPr>
            </w:pPr>
            <w:r w:rsidRPr="006A1EC7">
              <w:rPr>
                <w:u w:val="single"/>
              </w:rPr>
              <w:t>Item 4AD: What specific heart defect-related symptoms does the patient suffer? (Add items up)</w:t>
            </w:r>
          </w:p>
          <w:p w14:paraId="2C8A5D4C" w14:textId="77777777" w:rsidR="0087601C" w:rsidRPr="006A1EC7" w:rsidRDefault="0087601C" w:rsidP="00D56051">
            <w:r w:rsidRPr="006A1EC7">
              <w:t>Breathlessness = 1</w:t>
            </w:r>
          </w:p>
          <w:p w14:paraId="532A039A" w14:textId="77777777" w:rsidR="0087601C" w:rsidRPr="006A1EC7" w:rsidRDefault="0087601C" w:rsidP="00D56051">
            <w:r w:rsidRPr="006A1EC7">
              <w:t xml:space="preserve">chest pain = 1 </w:t>
            </w:r>
          </w:p>
          <w:p w14:paraId="0DD9005E" w14:textId="77777777" w:rsidR="0087601C" w:rsidRPr="006A1EC7" w:rsidRDefault="0087601C" w:rsidP="00D56051">
            <w:r w:rsidRPr="006A1EC7">
              <w:t xml:space="preserve">fatigue = 1 </w:t>
            </w:r>
          </w:p>
          <w:p w14:paraId="58EFCC52" w14:textId="77777777" w:rsidR="0087601C" w:rsidRPr="006A1EC7" w:rsidRDefault="0087601C" w:rsidP="00D56051">
            <w:r w:rsidRPr="006A1EC7">
              <w:t xml:space="preserve">swelling of the ankles = 1 </w:t>
            </w:r>
          </w:p>
          <w:p w14:paraId="027E4C25" w14:textId="77777777" w:rsidR="0087601C" w:rsidRPr="006A1EC7" w:rsidRDefault="0087601C" w:rsidP="00D56051">
            <w:r w:rsidRPr="006A1EC7">
              <w:t xml:space="preserve">fainting = 1 </w:t>
            </w:r>
          </w:p>
          <w:p w14:paraId="423BDF90" w14:textId="77777777" w:rsidR="0087601C" w:rsidRPr="006A1EC7" w:rsidRDefault="0087601C" w:rsidP="00D56051"/>
          <w:p w14:paraId="0DFC7308" w14:textId="77777777" w:rsidR="0087601C" w:rsidRPr="006A1EC7" w:rsidRDefault="0087601C" w:rsidP="00D56051">
            <w:pPr>
              <w:rPr>
                <w:u w:val="single"/>
              </w:rPr>
            </w:pPr>
            <w:r w:rsidRPr="006A1EC7">
              <w:t xml:space="preserve">Item 4B: </w:t>
            </w:r>
            <w:r w:rsidRPr="006A1EC7">
              <w:rPr>
                <w:u w:val="single"/>
              </w:rPr>
              <w:t>Has the patient ever been diagnosed with a structural respiratory/upper airways malformation?</w:t>
            </w:r>
          </w:p>
          <w:p w14:paraId="28D5AA9D" w14:textId="77777777" w:rsidR="0087601C" w:rsidRPr="006A1EC7" w:rsidRDefault="0087601C" w:rsidP="00D56051">
            <w:r w:rsidRPr="006A1EC7">
              <w:t>yes = 1</w:t>
            </w:r>
          </w:p>
          <w:p w14:paraId="27FEFF0F" w14:textId="77777777" w:rsidR="0087601C" w:rsidRPr="006A1EC7" w:rsidRDefault="0087601C" w:rsidP="00D56051">
            <w:r w:rsidRPr="006A1EC7">
              <w:t>no = 0</w:t>
            </w:r>
          </w:p>
          <w:p w14:paraId="7C8BBADC" w14:textId="77777777" w:rsidR="0087601C" w:rsidRPr="006A1EC7" w:rsidRDefault="0087601C" w:rsidP="00D56051"/>
          <w:p w14:paraId="178C9704" w14:textId="77777777" w:rsidR="0087601C" w:rsidRPr="006A1EC7" w:rsidRDefault="0087601C" w:rsidP="00D56051">
            <w:pPr>
              <w:rPr>
                <w:u w:val="single"/>
              </w:rPr>
            </w:pPr>
            <w:r w:rsidRPr="006A1EC7">
              <w:rPr>
                <w:u w:val="single"/>
              </w:rPr>
              <w:t>Item 4BA: If applicable, diagnosis</w:t>
            </w:r>
            <w:r w:rsidRPr="006A1EC7">
              <w:t>:</w:t>
            </w:r>
            <w:r w:rsidRPr="006A1EC7">
              <w:rPr>
                <w:u w:val="single"/>
              </w:rPr>
              <w:t>__________________________</w:t>
            </w:r>
          </w:p>
          <w:p w14:paraId="078A2922" w14:textId="77777777" w:rsidR="0087601C" w:rsidRPr="006A1EC7" w:rsidRDefault="0087601C" w:rsidP="00D56051"/>
          <w:p w14:paraId="5A58A510" w14:textId="77777777" w:rsidR="0087601C" w:rsidRPr="006A1EC7" w:rsidRDefault="0087601C" w:rsidP="00D56051">
            <w:pPr>
              <w:rPr>
                <w:u w:val="single"/>
              </w:rPr>
            </w:pPr>
            <w:r w:rsidRPr="006A1EC7">
              <w:rPr>
                <w:u w:val="single"/>
              </w:rPr>
              <w:t>Item 4BB: Does the patient suffer recurrent lower respiratory tract infections?</w:t>
            </w:r>
          </w:p>
          <w:p w14:paraId="15C13AFF" w14:textId="77777777" w:rsidR="0087601C" w:rsidRPr="006A1EC7" w:rsidRDefault="0087601C" w:rsidP="00D56051">
            <w:r w:rsidRPr="006A1EC7">
              <w:t>Yes  = 1</w:t>
            </w:r>
            <w:r w:rsidRPr="006A1EC7">
              <w:br/>
              <w:t>No = 0</w:t>
            </w:r>
          </w:p>
          <w:p w14:paraId="3100F67E" w14:textId="77777777" w:rsidR="0087601C" w:rsidRPr="006A1EC7" w:rsidRDefault="0087601C" w:rsidP="00D56051"/>
          <w:p w14:paraId="0CFD1FE9" w14:textId="77777777" w:rsidR="0087601C" w:rsidRPr="006A1EC7" w:rsidRDefault="0087601C" w:rsidP="00D56051">
            <w:pPr>
              <w:rPr>
                <w:u w:val="single"/>
              </w:rPr>
            </w:pPr>
            <w:r w:rsidRPr="006A1EC7">
              <w:rPr>
                <w:u w:val="single"/>
              </w:rPr>
              <w:t>Item 4BC: Over the past 6 months, what was the maximum level of care needed to treat lower respiratory tract infections?</w:t>
            </w:r>
          </w:p>
          <w:p w14:paraId="65BDE2D7" w14:textId="77777777" w:rsidR="0087601C" w:rsidRPr="006A1EC7" w:rsidRDefault="0087601C" w:rsidP="00D56051">
            <w:r w:rsidRPr="006A1EC7">
              <w:t>Patient required hospital admission = 3</w:t>
            </w:r>
          </w:p>
          <w:p w14:paraId="40B450F6" w14:textId="77777777" w:rsidR="0087601C" w:rsidRPr="006A1EC7" w:rsidRDefault="0087601C" w:rsidP="00D56051">
            <w:r w:rsidRPr="006A1EC7">
              <w:t>Home care/GP care with antibiotics = 2</w:t>
            </w:r>
          </w:p>
          <w:p w14:paraId="6092B4B2" w14:textId="77777777" w:rsidR="0087601C" w:rsidRPr="006A1EC7" w:rsidRDefault="0087601C" w:rsidP="00D56051">
            <w:r w:rsidRPr="006A1EC7">
              <w:t>Self-care (e.g. Lempsip etc.) = 1</w:t>
            </w:r>
          </w:p>
          <w:p w14:paraId="772B0DDE" w14:textId="77777777" w:rsidR="0087601C" w:rsidRPr="006A1EC7" w:rsidRDefault="0087601C" w:rsidP="00D56051">
            <w:r w:rsidRPr="006A1EC7">
              <w:t>Not applicable = 0</w:t>
            </w:r>
          </w:p>
          <w:p w14:paraId="49BFEB7E" w14:textId="77777777" w:rsidR="0087601C" w:rsidRPr="006A1EC7" w:rsidRDefault="0087601C" w:rsidP="00D56051">
            <w:pPr>
              <w:spacing w:line="360" w:lineRule="auto"/>
            </w:pPr>
          </w:p>
        </w:tc>
      </w:tr>
      <w:tr w:rsidR="0087601C" w:rsidRPr="006A1EC7" w14:paraId="5B8261E8" w14:textId="77777777" w:rsidTr="00D56051">
        <w:tc>
          <w:tcPr>
            <w:tcW w:w="9634" w:type="dxa"/>
          </w:tcPr>
          <w:p w14:paraId="1A453792" w14:textId="77777777" w:rsidR="0087601C" w:rsidRPr="006A1EC7" w:rsidRDefault="0087601C" w:rsidP="00D56051">
            <w:pPr>
              <w:rPr>
                <w:b/>
                <w:u w:val="single"/>
              </w:rPr>
            </w:pPr>
            <w:r w:rsidRPr="006A1EC7">
              <w:rPr>
                <w:b/>
                <w:u w:val="single"/>
              </w:rPr>
              <w:lastRenderedPageBreak/>
              <w:t>Section 5: Central nervous system</w:t>
            </w:r>
          </w:p>
          <w:p w14:paraId="6C7192F6" w14:textId="77777777" w:rsidR="0087601C" w:rsidRPr="006A1EC7" w:rsidRDefault="0087601C" w:rsidP="00D56051">
            <w:pPr>
              <w:rPr>
                <w:u w:val="single"/>
              </w:rPr>
            </w:pPr>
          </w:p>
          <w:p w14:paraId="5C1FC6AD" w14:textId="77777777" w:rsidR="0087601C" w:rsidRPr="006A1EC7" w:rsidRDefault="0087601C" w:rsidP="00D56051">
            <w:pPr>
              <w:rPr>
                <w:i/>
              </w:rPr>
            </w:pPr>
            <w:r w:rsidRPr="006A1EC7">
              <w:rPr>
                <w:i/>
              </w:rPr>
              <w:t xml:space="preserve">Vision </w:t>
            </w:r>
          </w:p>
          <w:p w14:paraId="4A15B67C" w14:textId="77777777" w:rsidR="0087601C" w:rsidRPr="006A1EC7" w:rsidRDefault="0087601C" w:rsidP="00D56051">
            <w:pPr>
              <w:rPr>
                <w:u w:val="single"/>
              </w:rPr>
            </w:pPr>
          </w:p>
          <w:p w14:paraId="3E069282" w14:textId="77777777" w:rsidR="0087601C" w:rsidRPr="006A1EC7" w:rsidRDefault="0087601C" w:rsidP="00D56051">
            <w:pPr>
              <w:rPr>
                <w:u w:val="single"/>
              </w:rPr>
            </w:pPr>
            <w:r w:rsidRPr="006A1EC7">
              <w:rPr>
                <w:u w:val="single"/>
              </w:rPr>
              <w:t>Item 5A: Does the patient have a diagnosis of structural eye disease?</w:t>
            </w:r>
          </w:p>
          <w:p w14:paraId="1D2F4871" w14:textId="77777777" w:rsidR="0087601C" w:rsidRPr="006A1EC7" w:rsidRDefault="0087601C" w:rsidP="00D56051">
            <w:r w:rsidRPr="006A1EC7">
              <w:t>Yes = 1</w:t>
            </w:r>
          </w:p>
          <w:p w14:paraId="39FAC7E8" w14:textId="77777777" w:rsidR="0087601C" w:rsidRPr="006A1EC7" w:rsidRDefault="0087601C" w:rsidP="00D56051">
            <w:r w:rsidRPr="006A1EC7">
              <w:t>No = 0</w:t>
            </w:r>
          </w:p>
          <w:p w14:paraId="64D3D33D" w14:textId="77777777" w:rsidR="0087601C" w:rsidRPr="006A1EC7" w:rsidRDefault="0087601C" w:rsidP="00D56051">
            <w:pPr>
              <w:rPr>
                <w:u w:val="single"/>
              </w:rPr>
            </w:pPr>
          </w:p>
          <w:p w14:paraId="2D5BC1B3" w14:textId="77777777" w:rsidR="0087601C" w:rsidRPr="006A1EC7" w:rsidRDefault="0087601C" w:rsidP="00D56051">
            <w:pPr>
              <w:rPr>
                <w:u w:val="single"/>
              </w:rPr>
            </w:pPr>
            <w:r w:rsidRPr="006A1EC7">
              <w:rPr>
                <w:u w:val="single"/>
              </w:rPr>
              <w:t>Item 5AB: Does the patient require eye surgery for structural eye disease?</w:t>
            </w:r>
          </w:p>
          <w:p w14:paraId="3422B124" w14:textId="77777777" w:rsidR="0087601C" w:rsidRPr="006A1EC7" w:rsidRDefault="0087601C" w:rsidP="00D56051">
            <w:r w:rsidRPr="006A1EC7">
              <w:t>Yes = 1</w:t>
            </w:r>
          </w:p>
          <w:p w14:paraId="31F28600" w14:textId="77777777" w:rsidR="0087601C" w:rsidRPr="006A1EC7" w:rsidRDefault="0087601C" w:rsidP="00D56051">
            <w:r w:rsidRPr="006A1EC7">
              <w:t xml:space="preserve">No = 0 </w:t>
            </w:r>
          </w:p>
          <w:p w14:paraId="400B7243" w14:textId="77777777" w:rsidR="0087601C" w:rsidRPr="006A1EC7" w:rsidRDefault="0087601C" w:rsidP="00D56051">
            <w:pPr>
              <w:rPr>
                <w:u w:val="single"/>
              </w:rPr>
            </w:pPr>
          </w:p>
          <w:p w14:paraId="122B3A07" w14:textId="77777777" w:rsidR="0087601C" w:rsidRPr="006A1EC7" w:rsidRDefault="0087601C" w:rsidP="00D56051">
            <w:r w:rsidRPr="006A1EC7">
              <w:rPr>
                <w:u w:val="single"/>
              </w:rPr>
              <w:t>Item5AC: What is the patient’s sight like?</w:t>
            </w:r>
            <w:r w:rsidRPr="006A1EC7">
              <w:rPr>
                <w:u w:val="single"/>
              </w:rPr>
              <w:br/>
            </w:r>
            <w:r w:rsidRPr="006A1EC7">
              <w:t>Registered blind (visual defect that cannot be fixed) = 2</w:t>
            </w:r>
          </w:p>
          <w:p w14:paraId="1F5DCF2C" w14:textId="77777777" w:rsidR="0087601C" w:rsidRPr="006A1EC7" w:rsidRDefault="0087601C" w:rsidP="00D56051">
            <w:r w:rsidRPr="006A1EC7">
              <w:t>Requires glasses =1</w:t>
            </w:r>
            <w:r w:rsidRPr="006A1EC7">
              <w:br/>
              <w:t>Normal vision = 0</w:t>
            </w:r>
          </w:p>
          <w:p w14:paraId="6CE1A066" w14:textId="77777777" w:rsidR="0087601C" w:rsidRPr="006A1EC7" w:rsidRDefault="0087601C" w:rsidP="00D56051"/>
          <w:p w14:paraId="26D36BF5" w14:textId="77777777" w:rsidR="0087601C" w:rsidRPr="006A1EC7" w:rsidRDefault="0087601C" w:rsidP="00D56051">
            <w:pPr>
              <w:rPr>
                <w:i/>
              </w:rPr>
            </w:pPr>
            <w:r w:rsidRPr="006A1EC7">
              <w:rPr>
                <w:i/>
              </w:rPr>
              <w:t>Hearing &amp; Ears</w:t>
            </w:r>
          </w:p>
          <w:p w14:paraId="17E15612" w14:textId="77777777" w:rsidR="0087601C" w:rsidRPr="006A1EC7" w:rsidRDefault="0087601C" w:rsidP="00D56051"/>
          <w:p w14:paraId="3AAFAFA1" w14:textId="77777777" w:rsidR="0087601C" w:rsidRPr="006A1EC7" w:rsidRDefault="0087601C" w:rsidP="00D56051">
            <w:pPr>
              <w:rPr>
                <w:u w:val="single"/>
              </w:rPr>
            </w:pPr>
            <w:r w:rsidRPr="006A1EC7">
              <w:rPr>
                <w:u w:val="single"/>
              </w:rPr>
              <w:t>Item 5B: What is he patient’s hearing like?</w:t>
            </w:r>
          </w:p>
          <w:p w14:paraId="00F18B15" w14:textId="77777777" w:rsidR="0087601C" w:rsidRPr="006A1EC7" w:rsidRDefault="0087601C" w:rsidP="00D56051">
            <w:r w:rsidRPr="006A1EC7">
              <w:t>Registered deaf = 2</w:t>
            </w:r>
          </w:p>
          <w:p w14:paraId="4D716511" w14:textId="77777777" w:rsidR="0087601C" w:rsidRPr="006A1EC7" w:rsidRDefault="0087601C" w:rsidP="00D56051">
            <w:r w:rsidRPr="006A1EC7">
              <w:t>Requires an aid = 1</w:t>
            </w:r>
          </w:p>
          <w:p w14:paraId="123F1F1D" w14:textId="77777777" w:rsidR="0087601C" w:rsidRPr="006A1EC7" w:rsidRDefault="0087601C" w:rsidP="00D56051">
            <w:r w:rsidRPr="006A1EC7">
              <w:t>Normal hearing = 0</w:t>
            </w:r>
          </w:p>
          <w:p w14:paraId="1A9943A0" w14:textId="77777777" w:rsidR="0087601C" w:rsidRPr="006A1EC7" w:rsidRDefault="0087601C" w:rsidP="00D56051">
            <w:pPr>
              <w:rPr>
                <w:u w:val="single"/>
              </w:rPr>
            </w:pPr>
          </w:p>
          <w:p w14:paraId="04C40B6C" w14:textId="77777777" w:rsidR="0087601C" w:rsidRPr="006A1EC7" w:rsidRDefault="0087601C" w:rsidP="00D56051">
            <w:pPr>
              <w:rPr>
                <w:u w:val="single"/>
              </w:rPr>
            </w:pPr>
            <w:r w:rsidRPr="006A1EC7">
              <w:rPr>
                <w:u w:val="single"/>
              </w:rPr>
              <w:t>Item 5BA: Does the patient suffer recurrent ear infections?</w:t>
            </w:r>
          </w:p>
          <w:p w14:paraId="6FF6EDD9" w14:textId="77777777" w:rsidR="0087601C" w:rsidRPr="006A1EC7" w:rsidRDefault="0087601C" w:rsidP="00D56051">
            <w:r w:rsidRPr="006A1EC7">
              <w:t>Yes = 1</w:t>
            </w:r>
          </w:p>
          <w:p w14:paraId="6F0F7FD6" w14:textId="77777777" w:rsidR="0087601C" w:rsidRPr="006A1EC7" w:rsidRDefault="0087601C" w:rsidP="00D56051">
            <w:r w:rsidRPr="006A1EC7">
              <w:t>No = 2</w:t>
            </w:r>
          </w:p>
          <w:p w14:paraId="40A8250F" w14:textId="77777777" w:rsidR="0087601C" w:rsidRPr="006A1EC7" w:rsidRDefault="0087601C" w:rsidP="00D56051">
            <w:pPr>
              <w:rPr>
                <w:u w:val="single"/>
              </w:rPr>
            </w:pPr>
          </w:p>
          <w:p w14:paraId="0DA29515" w14:textId="77777777" w:rsidR="0087601C" w:rsidRPr="006A1EC7" w:rsidRDefault="0087601C" w:rsidP="00D56051">
            <w:pPr>
              <w:rPr>
                <w:u w:val="single"/>
              </w:rPr>
            </w:pPr>
            <w:r w:rsidRPr="006A1EC7">
              <w:rPr>
                <w:u w:val="single"/>
              </w:rPr>
              <w:t>Item 5BB: Over the past 6 months, what was the maximum level of care needed to treat ear infection?</w:t>
            </w:r>
          </w:p>
          <w:p w14:paraId="313DF7EF" w14:textId="77777777" w:rsidR="0087601C" w:rsidRPr="006A1EC7" w:rsidRDefault="0087601C" w:rsidP="00D56051">
            <w:r w:rsidRPr="006A1EC7">
              <w:t>Patient required hospital admission = 3</w:t>
            </w:r>
          </w:p>
          <w:p w14:paraId="315D533B" w14:textId="77777777" w:rsidR="0087601C" w:rsidRPr="006A1EC7" w:rsidRDefault="0087601C" w:rsidP="00D56051">
            <w:r w:rsidRPr="006A1EC7">
              <w:t>Home care/GP care with antibiotics = 2</w:t>
            </w:r>
          </w:p>
          <w:p w14:paraId="644EDC3E" w14:textId="77777777" w:rsidR="0087601C" w:rsidRPr="006A1EC7" w:rsidRDefault="0087601C" w:rsidP="00D56051">
            <w:r w:rsidRPr="006A1EC7">
              <w:t>Self-care = 1</w:t>
            </w:r>
          </w:p>
          <w:p w14:paraId="4064203F" w14:textId="77777777" w:rsidR="0087601C" w:rsidRPr="006A1EC7" w:rsidRDefault="0087601C" w:rsidP="00D56051">
            <w:r w:rsidRPr="006A1EC7">
              <w:t>Not applicable = 0</w:t>
            </w:r>
          </w:p>
          <w:p w14:paraId="5C35F60A" w14:textId="77777777" w:rsidR="0087601C" w:rsidRPr="006A1EC7" w:rsidRDefault="0087601C" w:rsidP="00D56051"/>
          <w:p w14:paraId="1D2CBFB7" w14:textId="77777777" w:rsidR="0087601C" w:rsidRPr="006A1EC7" w:rsidRDefault="0087601C" w:rsidP="00D56051">
            <w:pPr>
              <w:rPr>
                <w:i/>
              </w:rPr>
            </w:pPr>
            <w:r w:rsidRPr="006A1EC7">
              <w:rPr>
                <w:i/>
              </w:rPr>
              <w:t>Brain</w:t>
            </w:r>
          </w:p>
          <w:p w14:paraId="58C3A067" w14:textId="77777777" w:rsidR="0087601C" w:rsidRPr="006A1EC7" w:rsidRDefault="0087601C" w:rsidP="00D56051">
            <w:pPr>
              <w:rPr>
                <w:u w:val="single"/>
              </w:rPr>
            </w:pPr>
          </w:p>
          <w:p w14:paraId="63ED6FD9" w14:textId="77777777" w:rsidR="0087601C" w:rsidRPr="006A1EC7" w:rsidRDefault="0087601C" w:rsidP="00D56051">
            <w:pPr>
              <w:rPr>
                <w:u w:val="single"/>
              </w:rPr>
            </w:pPr>
            <w:r w:rsidRPr="006A1EC7">
              <w:rPr>
                <w:u w:val="single"/>
              </w:rPr>
              <w:t>Item 5C: Does the patient have any structural brain disease confirmed by investigation (e.g. scan)?</w:t>
            </w:r>
          </w:p>
          <w:p w14:paraId="26E8CF45" w14:textId="77777777" w:rsidR="0087601C" w:rsidRPr="006A1EC7" w:rsidRDefault="0087601C" w:rsidP="00D56051">
            <w:r w:rsidRPr="006A1EC7">
              <w:t>Yes = 1</w:t>
            </w:r>
          </w:p>
          <w:p w14:paraId="4C645212" w14:textId="77777777" w:rsidR="0087601C" w:rsidRPr="006A1EC7" w:rsidRDefault="0087601C" w:rsidP="00D56051">
            <w:r w:rsidRPr="006A1EC7">
              <w:t>No = 0</w:t>
            </w:r>
          </w:p>
          <w:p w14:paraId="3FAD6BBC" w14:textId="77777777" w:rsidR="0087601C" w:rsidRPr="006A1EC7" w:rsidRDefault="0087601C" w:rsidP="00D56051">
            <w:pPr>
              <w:rPr>
                <w:u w:val="single"/>
              </w:rPr>
            </w:pPr>
          </w:p>
          <w:p w14:paraId="7B0AD40D" w14:textId="77777777" w:rsidR="0087601C" w:rsidRPr="006A1EC7" w:rsidRDefault="0087601C" w:rsidP="00D56051">
            <w:pPr>
              <w:rPr>
                <w:u w:val="single"/>
              </w:rPr>
            </w:pPr>
            <w:r w:rsidRPr="006A1EC7">
              <w:rPr>
                <w:u w:val="single"/>
              </w:rPr>
              <w:t>Item 5CA: Was surgical intervention required for structural brain disease?</w:t>
            </w:r>
          </w:p>
          <w:p w14:paraId="6975DEDF" w14:textId="77777777" w:rsidR="0087601C" w:rsidRPr="006A1EC7" w:rsidRDefault="0087601C" w:rsidP="00D56051">
            <w:r w:rsidRPr="006A1EC7">
              <w:t>Yes = 1</w:t>
            </w:r>
            <w:r w:rsidRPr="006A1EC7">
              <w:br/>
              <w:t>No = 0</w:t>
            </w:r>
          </w:p>
          <w:p w14:paraId="69F3FD6E" w14:textId="77777777" w:rsidR="0087601C" w:rsidRPr="006A1EC7" w:rsidRDefault="0087601C" w:rsidP="00D56051">
            <w:pPr>
              <w:rPr>
                <w:u w:val="single"/>
              </w:rPr>
            </w:pPr>
          </w:p>
          <w:p w14:paraId="504E5ECB" w14:textId="77777777" w:rsidR="0087601C" w:rsidRPr="006A1EC7" w:rsidRDefault="0087601C" w:rsidP="00D56051">
            <w:pPr>
              <w:rPr>
                <w:u w:val="single"/>
              </w:rPr>
            </w:pPr>
          </w:p>
          <w:p w14:paraId="699778EC" w14:textId="77777777" w:rsidR="0087601C" w:rsidRPr="006A1EC7" w:rsidRDefault="0087601C" w:rsidP="00D56051">
            <w:pPr>
              <w:rPr>
                <w:i/>
              </w:rPr>
            </w:pPr>
            <w:r w:rsidRPr="006A1EC7">
              <w:rPr>
                <w:i/>
              </w:rPr>
              <w:t>Mobility</w:t>
            </w:r>
          </w:p>
          <w:p w14:paraId="7306D424" w14:textId="77777777" w:rsidR="0087601C" w:rsidRPr="006A1EC7" w:rsidRDefault="0087601C" w:rsidP="00D56051">
            <w:pPr>
              <w:rPr>
                <w:u w:val="single"/>
              </w:rPr>
            </w:pPr>
          </w:p>
          <w:p w14:paraId="6805642F" w14:textId="77777777" w:rsidR="0087601C" w:rsidRPr="006A1EC7" w:rsidRDefault="0087601C" w:rsidP="00D56051">
            <w:pPr>
              <w:rPr>
                <w:color w:val="000000" w:themeColor="text1"/>
              </w:rPr>
            </w:pPr>
            <w:r w:rsidRPr="006A1EC7">
              <w:rPr>
                <w:color w:val="000000" w:themeColor="text1"/>
                <w:u w:val="single"/>
              </w:rPr>
              <w:lastRenderedPageBreak/>
              <w:t>Item 5D: Is the patient able to sit?</w:t>
            </w:r>
            <w:r w:rsidRPr="006A1EC7">
              <w:rPr>
                <w:color w:val="000000" w:themeColor="text1"/>
                <w:u w:val="single"/>
              </w:rPr>
              <w:br/>
            </w:r>
            <w:r w:rsidRPr="006A1EC7">
              <w:rPr>
                <w:color w:val="000000" w:themeColor="text1"/>
              </w:rPr>
              <w:t>Patient is unable to sit safely without formal support (i.e. safety belt, safety harness in wheelchair or special chair) = 3</w:t>
            </w:r>
          </w:p>
          <w:p w14:paraId="31E149B3" w14:textId="77777777" w:rsidR="0087601C" w:rsidRPr="006A1EC7" w:rsidRDefault="0087601C" w:rsidP="00D56051">
            <w:pPr>
              <w:rPr>
                <w:color w:val="000000" w:themeColor="text1"/>
              </w:rPr>
            </w:pPr>
            <w:r w:rsidRPr="006A1EC7">
              <w:rPr>
                <w:color w:val="000000" w:themeColor="text1"/>
              </w:rPr>
              <w:t>Patient sits with poor posture (slumped forward, to one side; requiring pillows or similar support) = 2</w:t>
            </w:r>
          </w:p>
          <w:p w14:paraId="2AD51DB6" w14:textId="77777777" w:rsidR="0087601C" w:rsidRPr="006A1EC7" w:rsidRDefault="0087601C" w:rsidP="00D56051">
            <w:pPr>
              <w:rPr>
                <w:color w:val="000000" w:themeColor="text1"/>
              </w:rPr>
            </w:pPr>
            <w:r w:rsidRPr="006A1EC7">
              <w:rPr>
                <w:color w:val="000000" w:themeColor="text1"/>
              </w:rPr>
              <w:t>Patient occasionally requires support when sitting = 1</w:t>
            </w:r>
          </w:p>
          <w:p w14:paraId="4CE1A61C" w14:textId="77777777" w:rsidR="0087601C" w:rsidRPr="006A1EC7" w:rsidRDefault="0087601C" w:rsidP="00D56051">
            <w:pPr>
              <w:rPr>
                <w:color w:val="000000" w:themeColor="text1"/>
              </w:rPr>
            </w:pPr>
            <w:r w:rsidRPr="006A1EC7">
              <w:rPr>
                <w:color w:val="000000" w:themeColor="text1"/>
              </w:rPr>
              <w:t xml:space="preserve">No issues, sits independently = 0 </w:t>
            </w:r>
          </w:p>
          <w:p w14:paraId="07AE5598" w14:textId="77777777" w:rsidR="0087601C" w:rsidRPr="006A1EC7" w:rsidRDefault="0087601C" w:rsidP="00D56051">
            <w:pPr>
              <w:rPr>
                <w:u w:val="wave"/>
              </w:rPr>
            </w:pPr>
          </w:p>
          <w:p w14:paraId="46165E64" w14:textId="77777777" w:rsidR="0087601C" w:rsidRPr="006A1EC7" w:rsidRDefault="0087601C" w:rsidP="00D56051">
            <w:pPr>
              <w:rPr>
                <w:u w:val="single"/>
              </w:rPr>
            </w:pPr>
            <w:r w:rsidRPr="006A1EC7">
              <w:rPr>
                <w:u w:val="single"/>
              </w:rPr>
              <w:t>Item 5E: Is the patient able to stand?</w:t>
            </w:r>
          </w:p>
          <w:p w14:paraId="633008AE" w14:textId="77777777" w:rsidR="0087601C" w:rsidRPr="006A1EC7" w:rsidRDefault="0087601C" w:rsidP="00D56051">
            <w:r w:rsidRPr="006A1EC7">
              <w:t>Unable to stand at all (walking frames and carer support ineffective) = 3</w:t>
            </w:r>
          </w:p>
          <w:p w14:paraId="44C9D9B2" w14:textId="77777777" w:rsidR="0087601C" w:rsidRPr="006A1EC7" w:rsidRDefault="0087601C" w:rsidP="00D56051">
            <w:r w:rsidRPr="006A1EC7">
              <w:t>Able to stand with support of at least one other individual = 2</w:t>
            </w:r>
          </w:p>
          <w:p w14:paraId="0EB15D61" w14:textId="77777777" w:rsidR="0087601C" w:rsidRPr="006A1EC7" w:rsidRDefault="0087601C" w:rsidP="00D56051">
            <w:r w:rsidRPr="006A1EC7">
              <w:t>Able to stand with walking aid = 1</w:t>
            </w:r>
          </w:p>
          <w:p w14:paraId="4558124D" w14:textId="77777777" w:rsidR="0087601C" w:rsidRPr="006A1EC7" w:rsidRDefault="0087601C" w:rsidP="00D56051">
            <w:r w:rsidRPr="006A1EC7">
              <w:t xml:space="preserve">No issues = 0 </w:t>
            </w:r>
          </w:p>
          <w:p w14:paraId="5EC2F96D" w14:textId="77777777" w:rsidR="0087601C" w:rsidRPr="006A1EC7" w:rsidRDefault="0087601C" w:rsidP="00D56051">
            <w:pPr>
              <w:rPr>
                <w:u w:val="single"/>
              </w:rPr>
            </w:pPr>
          </w:p>
          <w:p w14:paraId="78E7A230" w14:textId="77777777" w:rsidR="0087601C" w:rsidRPr="006A1EC7" w:rsidRDefault="0087601C" w:rsidP="00D56051">
            <w:pPr>
              <w:rPr>
                <w:u w:val="single"/>
              </w:rPr>
            </w:pPr>
            <w:r w:rsidRPr="006A1EC7">
              <w:rPr>
                <w:u w:val="single"/>
              </w:rPr>
              <w:t>Item 5F: Is the patient able to walk?</w:t>
            </w:r>
          </w:p>
          <w:p w14:paraId="6945F23D" w14:textId="77777777" w:rsidR="0087601C" w:rsidRPr="006A1EC7" w:rsidRDefault="0087601C" w:rsidP="00D56051">
            <w:r w:rsidRPr="006A1EC7">
              <w:t>Unable to walk, patient is entirely reliant on wheelchair intervention  = 3</w:t>
            </w:r>
          </w:p>
          <w:p w14:paraId="3B6AF018" w14:textId="77777777" w:rsidR="0087601C" w:rsidRPr="006A1EC7" w:rsidRDefault="0087601C" w:rsidP="00D56051">
            <w:r w:rsidRPr="006A1EC7">
              <w:t>Patient can walk very short distances with carer support = 3</w:t>
            </w:r>
          </w:p>
          <w:p w14:paraId="10898BB5" w14:textId="77777777" w:rsidR="0087601C" w:rsidRPr="006A1EC7" w:rsidRDefault="0087601C" w:rsidP="00D56051">
            <w:r w:rsidRPr="006A1EC7">
              <w:t>Patient can walk short distances, aided with walking frame or similar = 2</w:t>
            </w:r>
          </w:p>
          <w:p w14:paraId="07C16112" w14:textId="77777777" w:rsidR="0087601C" w:rsidRPr="006A1EC7" w:rsidRDefault="0087601C" w:rsidP="00D56051">
            <w:r w:rsidRPr="006A1EC7">
              <w:t>Patient can walk short distances unaided, needs intervention for longer distances = 1</w:t>
            </w:r>
          </w:p>
          <w:p w14:paraId="20B59980" w14:textId="77777777" w:rsidR="0087601C" w:rsidRPr="006A1EC7" w:rsidRDefault="0087601C" w:rsidP="00D56051">
            <w:r w:rsidRPr="006A1EC7">
              <w:t>Patient can walk unassisted =0</w:t>
            </w:r>
          </w:p>
          <w:p w14:paraId="71CE928C" w14:textId="77777777" w:rsidR="0087601C" w:rsidRPr="006A1EC7" w:rsidRDefault="0087601C" w:rsidP="00D56051"/>
          <w:p w14:paraId="1CD8F6E7" w14:textId="77777777" w:rsidR="0087601C" w:rsidRPr="006A1EC7" w:rsidRDefault="0087601C" w:rsidP="00D56051">
            <w:r w:rsidRPr="006A1EC7">
              <w:rPr>
                <w:u w:val="single"/>
              </w:rPr>
              <w:t>Item 5G: Has the patient been diagnosed with Scoliosis?</w:t>
            </w:r>
            <w:r w:rsidRPr="006A1EC7">
              <w:rPr>
                <w:u w:val="single"/>
              </w:rPr>
              <w:br/>
            </w:r>
            <w:r w:rsidRPr="006A1EC7">
              <w:t>Yes = 1</w:t>
            </w:r>
          </w:p>
          <w:p w14:paraId="4A84C114" w14:textId="77777777" w:rsidR="0087601C" w:rsidRPr="006A1EC7" w:rsidRDefault="0087601C" w:rsidP="00D56051">
            <w:r w:rsidRPr="006A1EC7">
              <w:t>No = 0</w:t>
            </w:r>
          </w:p>
          <w:p w14:paraId="61EFE8D7" w14:textId="77777777" w:rsidR="0087601C" w:rsidRPr="006A1EC7" w:rsidRDefault="0087601C" w:rsidP="00D56051"/>
          <w:p w14:paraId="4BC4725F" w14:textId="77777777" w:rsidR="0087601C" w:rsidRPr="006A1EC7" w:rsidRDefault="0087601C" w:rsidP="00D56051">
            <w:r w:rsidRPr="006A1EC7">
              <w:rPr>
                <w:u w:val="single"/>
              </w:rPr>
              <w:t>Item 5GA: Is/was Surgery required for scoliosis?</w:t>
            </w:r>
          </w:p>
          <w:p w14:paraId="4A64806D" w14:textId="77777777" w:rsidR="0087601C" w:rsidRPr="006A1EC7" w:rsidRDefault="0087601C" w:rsidP="00D56051">
            <w:r w:rsidRPr="006A1EC7">
              <w:t>Yes =1</w:t>
            </w:r>
          </w:p>
          <w:p w14:paraId="0C9FAE3E" w14:textId="77777777" w:rsidR="0087601C" w:rsidRPr="006A1EC7" w:rsidRDefault="0087601C" w:rsidP="00D56051">
            <w:r w:rsidRPr="006A1EC7">
              <w:t>No = 0</w:t>
            </w:r>
          </w:p>
          <w:p w14:paraId="64EC2F6D" w14:textId="77777777" w:rsidR="0087601C" w:rsidRPr="006A1EC7" w:rsidRDefault="0087601C" w:rsidP="00D56051"/>
          <w:p w14:paraId="53E45D8F" w14:textId="77777777" w:rsidR="0087601C" w:rsidRPr="006A1EC7" w:rsidRDefault="0087601C" w:rsidP="00D56051">
            <w:r w:rsidRPr="006A1EC7">
              <w:rPr>
                <w:u w:val="single"/>
              </w:rPr>
              <w:t xml:space="preserve">Item 5H: Does the patient have talipes? </w:t>
            </w:r>
            <w:r w:rsidRPr="006A1EC7">
              <w:br/>
              <w:t>Yes, bilateral = 2</w:t>
            </w:r>
            <w:r w:rsidRPr="006A1EC7">
              <w:br/>
              <w:t>Yes, unilateral = 1</w:t>
            </w:r>
          </w:p>
          <w:p w14:paraId="7AE6258A" w14:textId="77777777" w:rsidR="0087601C" w:rsidRPr="006A1EC7" w:rsidRDefault="0087601C" w:rsidP="00D56051">
            <w:r w:rsidRPr="006A1EC7">
              <w:t>No = 0</w:t>
            </w:r>
          </w:p>
          <w:p w14:paraId="6A3B233B" w14:textId="77777777" w:rsidR="0087601C" w:rsidRPr="006A1EC7" w:rsidRDefault="0087601C" w:rsidP="00D56051"/>
          <w:p w14:paraId="79C37143" w14:textId="77777777" w:rsidR="0087601C" w:rsidRPr="006A1EC7" w:rsidRDefault="0087601C" w:rsidP="00D56051">
            <w:pPr>
              <w:rPr>
                <w:u w:val="single"/>
              </w:rPr>
            </w:pPr>
            <w:r w:rsidRPr="006A1EC7">
              <w:rPr>
                <w:u w:val="single"/>
              </w:rPr>
              <w:t>Item5HA: Was Surgery required for talipes?</w:t>
            </w:r>
          </w:p>
          <w:p w14:paraId="59DD0795" w14:textId="77777777" w:rsidR="0087601C" w:rsidRPr="006A1EC7" w:rsidRDefault="0087601C" w:rsidP="00D56051">
            <w:r w:rsidRPr="006A1EC7">
              <w:t>Yes =1</w:t>
            </w:r>
          </w:p>
          <w:p w14:paraId="0F78BCDE" w14:textId="77777777" w:rsidR="0087601C" w:rsidRPr="006A1EC7" w:rsidRDefault="0087601C" w:rsidP="00D56051">
            <w:r w:rsidRPr="006A1EC7">
              <w:t>No = 0</w:t>
            </w:r>
          </w:p>
          <w:p w14:paraId="25F24D0B" w14:textId="77777777" w:rsidR="0087601C" w:rsidRPr="006A1EC7" w:rsidRDefault="0087601C" w:rsidP="00D56051">
            <w:pPr>
              <w:spacing w:line="360" w:lineRule="auto"/>
            </w:pPr>
          </w:p>
        </w:tc>
      </w:tr>
      <w:tr w:rsidR="0087601C" w:rsidRPr="006A1EC7" w14:paraId="1E71A686" w14:textId="77777777" w:rsidTr="00D56051">
        <w:tc>
          <w:tcPr>
            <w:tcW w:w="9634" w:type="dxa"/>
          </w:tcPr>
          <w:p w14:paraId="33F2E2FD" w14:textId="77777777" w:rsidR="0087601C" w:rsidRPr="006A1EC7" w:rsidRDefault="0087601C" w:rsidP="00D56051">
            <w:pPr>
              <w:rPr>
                <w:u w:val="wave"/>
              </w:rPr>
            </w:pPr>
            <w:r w:rsidRPr="006A1EC7">
              <w:rPr>
                <w:b/>
                <w:u w:val="single"/>
              </w:rPr>
              <w:lastRenderedPageBreak/>
              <w:t>Section 6: Low immunity</w:t>
            </w:r>
          </w:p>
          <w:p w14:paraId="07FAD85C" w14:textId="77777777" w:rsidR="0087601C" w:rsidRPr="006A1EC7" w:rsidRDefault="0087601C" w:rsidP="00D56051">
            <w:pPr>
              <w:rPr>
                <w:u w:val="single"/>
              </w:rPr>
            </w:pPr>
          </w:p>
          <w:p w14:paraId="3D4AE9BC" w14:textId="77777777" w:rsidR="0087601C" w:rsidRPr="006A1EC7" w:rsidRDefault="0087601C" w:rsidP="00D56051">
            <w:pPr>
              <w:rPr>
                <w:u w:val="single"/>
              </w:rPr>
            </w:pPr>
            <w:r w:rsidRPr="006A1EC7">
              <w:rPr>
                <w:u w:val="single"/>
              </w:rPr>
              <w:lastRenderedPageBreak/>
              <w:t>Item 6a: How often does the patient suffer from infections?</w:t>
            </w:r>
          </w:p>
          <w:p w14:paraId="7DF5A07E" w14:textId="77777777" w:rsidR="0087601C" w:rsidRPr="006A1EC7" w:rsidRDefault="0087601C" w:rsidP="00D56051">
            <w:r w:rsidRPr="006A1EC7">
              <w:t>Repeated, frequent infections (more than 5/year) = 5</w:t>
            </w:r>
          </w:p>
          <w:p w14:paraId="531B01C0" w14:textId="77777777" w:rsidR="0087601C" w:rsidRPr="006A1EC7" w:rsidRDefault="0087601C" w:rsidP="00D56051">
            <w:r w:rsidRPr="006A1EC7">
              <w:t>Infrequent infections (3/year, excluding the common cold) = 3</w:t>
            </w:r>
          </w:p>
          <w:p w14:paraId="4E1F05E1" w14:textId="77777777" w:rsidR="0087601C" w:rsidRPr="006A1EC7" w:rsidRDefault="0087601C" w:rsidP="00D56051">
            <w:r w:rsidRPr="006A1EC7">
              <w:t>Neither frequent nor infrequent infections = 0</w:t>
            </w:r>
          </w:p>
          <w:p w14:paraId="17316E7E" w14:textId="77777777" w:rsidR="0087601C" w:rsidRPr="006A1EC7" w:rsidRDefault="0087601C" w:rsidP="00D56051">
            <w:pPr>
              <w:rPr>
                <w:u w:val="wave"/>
              </w:rPr>
            </w:pPr>
          </w:p>
          <w:p w14:paraId="5E68A4E0" w14:textId="77777777" w:rsidR="0087601C" w:rsidRPr="006A1EC7" w:rsidRDefault="0087601C" w:rsidP="00D56051">
            <w:pPr>
              <w:rPr>
                <w:u w:val="single"/>
              </w:rPr>
            </w:pPr>
            <w:r w:rsidRPr="006A1EC7">
              <w:rPr>
                <w:u w:val="single"/>
              </w:rPr>
              <w:t>Item 6B: How many hospital admissions did the patient have in the past year, due to infections (i.e. not elective surgery or outpatient appointments)?</w:t>
            </w:r>
          </w:p>
          <w:p w14:paraId="6F89FBB1" w14:textId="77777777" w:rsidR="0087601C" w:rsidRPr="006A1EC7" w:rsidRDefault="0087601C" w:rsidP="00D56051">
            <w:r w:rsidRPr="006A1EC7">
              <w:t>5 or more hospital admissions = 5</w:t>
            </w:r>
          </w:p>
          <w:p w14:paraId="1B8998BC" w14:textId="77777777" w:rsidR="0087601C" w:rsidRPr="006A1EC7" w:rsidRDefault="0087601C" w:rsidP="00D56051">
            <w:r w:rsidRPr="006A1EC7">
              <w:t>3-5 hospital admissions = 4</w:t>
            </w:r>
          </w:p>
          <w:p w14:paraId="08B51946" w14:textId="77777777" w:rsidR="0087601C" w:rsidRPr="006A1EC7" w:rsidRDefault="0087601C" w:rsidP="00D56051">
            <w:r w:rsidRPr="006A1EC7">
              <w:t>2 Hospital admissions = 2</w:t>
            </w:r>
            <w:r w:rsidRPr="006A1EC7">
              <w:br/>
              <w:t>1 Hospital admission = 1</w:t>
            </w:r>
          </w:p>
          <w:p w14:paraId="26975604" w14:textId="77777777" w:rsidR="0087601C" w:rsidRPr="006A1EC7" w:rsidRDefault="0087601C" w:rsidP="00D56051">
            <w:r w:rsidRPr="006A1EC7">
              <w:t>None = 0</w:t>
            </w:r>
          </w:p>
          <w:p w14:paraId="16CBAB27" w14:textId="77777777" w:rsidR="0087601C" w:rsidRPr="006A1EC7" w:rsidRDefault="0087601C" w:rsidP="00D56051">
            <w:pPr>
              <w:spacing w:line="360" w:lineRule="auto"/>
            </w:pPr>
          </w:p>
        </w:tc>
      </w:tr>
      <w:tr w:rsidR="0087601C" w:rsidRPr="006A1EC7" w14:paraId="338E4614" w14:textId="77777777" w:rsidTr="00D56051">
        <w:tc>
          <w:tcPr>
            <w:tcW w:w="9634" w:type="dxa"/>
          </w:tcPr>
          <w:p w14:paraId="090E34BB" w14:textId="77777777" w:rsidR="0087601C" w:rsidRPr="006A1EC7" w:rsidRDefault="0087601C" w:rsidP="00D56051">
            <w:pPr>
              <w:rPr>
                <w:b/>
                <w:u w:val="single"/>
              </w:rPr>
            </w:pPr>
            <w:r w:rsidRPr="006A1EC7">
              <w:rPr>
                <w:b/>
                <w:u w:val="single"/>
              </w:rPr>
              <w:lastRenderedPageBreak/>
              <w:t>Section 7: Sleep</w:t>
            </w:r>
          </w:p>
          <w:p w14:paraId="01099971" w14:textId="77777777" w:rsidR="0087601C" w:rsidRPr="006A1EC7" w:rsidRDefault="0087601C" w:rsidP="00D56051">
            <w:pPr>
              <w:rPr>
                <w:u w:val="wave"/>
              </w:rPr>
            </w:pPr>
          </w:p>
          <w:p w14:paraId="68503DAB" w14:textId="77777777" w:rsidR="0087601C" w:rsidRPr="006A1EC7" w:rsidRDefault="0087601C" w:rsidP="00D56051">
            <w:pPr>
              <w:rPr>
                <w:u w:val="single"/>
              </w:rPr>
            </w:pPr>
            <w:r w:rsidRPr="006A1EC7">
              <w:rPr>
                <w:u w:val="single"/>
              </w:rPr>
              <w:t>Item 7A: What are the patient’s sleeping patterns at night?</w:t>
            </w:r>
          </w:p>
          <w:p w14:paraId="695ABD1C" w14:textId="77777777" w:rsidR="0087601C" w:rsidRPr="006A1EC7" w:rsidRDefault="0087601C" w:rsidP="00D56051">
            <w:r w:rsidRPr="006A1EC7">
              <w:t>Majority of nights are disturbed, unable to self-soothe requiring care = 3</w:t>
            </w:r>
            <w:r w:rsidRPr="006A1EC7">
              <w:br/>
              <w:t>Some disturbed nights (max. 2 a week) = 2</w:t>
            </w:r>
            <w:r w:rsidRPr="006A1EC7">
              <w:br/>
              <w:t>One disturbed night a week = 1</w:t>
            </w:r>
          </w:p>
          <w:p w14:paraId="5915C75E" w14:textId="77777777" w:rsidR="0087601C" w:rsidRPr="006A1EC7" w:rsidRDefault="0087601C" w:rsidP="00D56051">
            <w:pPr>
              <w:spacing w:line="360" w:lineRule="auto"/>
            </w:pPr>
            <w:r w:rsidRPr="006A1EC7">
              <w:t>No disturbed nights = 0</w:t>
            </w:r>
          </w:p>
        </w:tc>
      </w:tr>
      <w:tr w:rsidR="0087601C" w:rsidRPr="006A1EC7" w14:paraId="79819BC4" w14:textId="77777777" w:rsidTr="00D56051">
        <w:tc>
          <w:tcPr>
            <w:tcW w:w="9634" w:type="dxa"/>
          </w:tcPr>
          <w:p w14:paraId="74233A70" w14:textId="77777777" w:rsidR="0087601C" w:rsidRPr="006A1EC7" w:rsidRDefault="0087601C" w:rsidP="00D56051">
            <w:pPr>
              <w:rPr>
                <w:b/>
                <w:u w:val="single"/>
              </w:rPr>
            </w:pPr>
            <w:r w:rsidRPr="006A1EC7">
              <w:rPr>
                <w:b/>
                <w:u w:val="single"/>
              </w:rPr>
              <w:t>Section 8: Functional assessment</w:t>
            </w:r>
          </w:p>
          <w:p w14:paraId="0685DE57" w14:textId="77777777" w:rsidR="0087601C" w:rsidRPr="006A1EC7" w:rsidRDefault="0087601C" w:rsidP="00D56051">
            <w:pPr>
              <w:rPr>
                <w:u w:val="single"/>
              </w:rPr>
            </w:pPr>
          </w:p>
          <w:p w14:paraId="58AF68A0" w14:textId="77777777" w:rsidR="0087601C" w:rsidRPr="006A1EC7" w:rsidRDefault="0087601C" w:rsidP="00D56051">
            <w:pPr>
              <w:pStyle w:val="Default"/>
              <w:rPr>
                <w:color w:val="000000" w:themeColor="text1"/>
                <w:u w:val="single"/>
              </w:rPr>
            </w:pPr>
            <w:r w:rsidRPr="006A1EC7">
              <w:rPr>
                <w:color w:val="000000" w:themeColor="text1"/>
                <w:u w:val="single"/>
              </w:rPr>
              <w:t>Item 8A: What is the patient’s play behaviour like?</w:t>
            </w:r>
          </w:p>
          <w:p w14:paraId="5C4DA4BB" w14:textId="77777777" w:rsidR="0087601C" w:rsidRPr="006A1EC7" w:rsidRDefault="0087601C" w:rsidP="00D56051">
            <w:pPr>
              <w:pStyle w:val="Default"/>
              <w:rPr>
                <w:color w:val="000000" w:themeColor="text1"/>
              </w:rPr>
            </w:pPr>
            <w:r w:rsidRPr="006A1EC7">
              <w:rPr>
                <w:color w:val="000000" w:themeColor="text1"/>
              </w:rPr>
              <w:t>Patient is unable to engage in play, will not react to toys/ stimuli = 2</w:t>
            </w:r>
          </w:p>
          <w:p w14:paraId="29B57546" w14:textId="77777777" w:rsidR="0087601C" w:rsidRPr="006A1EC7" w:rsidRDefault="0087601C" w:rsidP="00D56051">
            <w:pPr>
              <w:pStyle w:val="Default"/>
              <w:rPr>
                <w:color w:val="000000" w:themeColor="text1"/>
              </w:rPr>
            </w:pPr>
            <w:r w:rsidRPr="006A1EC7">
              <w:rPr>
                <w:color w:val="000000" w:themeColor="text1"/>
              </w:rPr>
              <w:t>Patient is able to partake in simple games, aided = 1</w:t>
            </w:r>
          </w:p>
          <w:p w14:paraId="3160C204" w14:textId="77777777" w:rsidR="0087601C" w:rsidRPr="006A1EC7" w:rsidRDefault="0087601C" w:rsidP="00D56051">
            <w:pPr>
              <w:pStyle w:val="Default"/>
              <w:rPr>
                <w:color w:val="000000" w:themeColor="text1"/>
              </w:rPr>
            </w:pPr>
            <w:r w:rsidRPr="006A1EC7">
              <w:rPr>
                <w:color w:val="000000" w:themeColor="text1"/>
              </w:rPr>
              <w:t>Patient is able to take part in simple games, unaided = 0</w:t>
            </w:r>
          </w:p>
          <w:p w14:paraId="67FFE725" w14:textId="77777777" w:rsidR="0087601C" w:rsidRPr="006A1EC7" w:rsidRDefault="0087601C" w:rsidP="00D56051">
            <w:pPr>
              <w:rPr>
                <w:color w:val="000000" w:themeColor="text1"/>
                <w:u w:val="single"/>
              </w:rPr>
            </w:pPr>
            <w:r w:rsidRPr="006A1EC7">
              <w:rPr>
                <w:color w:val="000000" w:themeColor="text1"/>
              </w:rPr>
              <w:br/>
            </w:r>
            <w:r w:rsidRPr="006A1EC7">
              <w:rPr>
                <w:color w:val="000000" w:themeColor="text1"/>
                <w:u w:val="single"/>
              </w:rPr>
              <w:t>Item 8B: Can the patient perform simple household tasks?</w:t>
            </w:r>
          </w:p>
          <w:p w14:paraId="5F537285" w14:textId="77777777" w:rsidR="0087601C" w:rsidRPr="006A1EC7" w:rsidRDefault="0087601C" w:rsidP="00D56051">
            <w:pPr>
              <w:pStyle w:val="Default"/>
              <w:rPr>
                <w:color w:val="000000" w:themeColor="text1"/>
              </w:rPr>
            </w:pPr>
            <w:r w:rsidRPr="006A1EC7">
              <w:rPr>
                <w:color w:val="000000" w:themeColor="text1"/>
              </w:rPr>
              <w:t>Patient is unable to perform any tasks around the house = 2</w:t>
            </w:r>
          </w:p>
          <w:p w14:paraId="1F5D50BA" w14:textId="77777777" w:rsidR="0087601C" w:rsidRPr="006A1EC7" w:rsidRDefault="0087601C" w:rsidP="00D56051">
            <w:pPr>
              <w:pStyle w:val="Default"/>
              <w:rPr>
                <w:color w:val="000000" w:themeColor="text1"/>
              </w:rPr>
            </w:pPr>
            <w:r w:rsidRPr="006A1EC7">
              <w:rPr>
                <w:color w:val="000000" w:themeColor="text1"/>
              </w:rPr>
              <w:t>Patient is able to perform simple tasks around the house, with help (e.g. making bed, setting table)= 1</w:t>
            </w:r>
          </w:p>
          <w:p w14:paraId="59EEC570" w14:textId="77777777" w:rsidR="0087601C" w:rsidRPr="006A1EC7" w:rsidRDefault="0087601C" w:rsidP="00D56051">
            <w:pPr>
              <w:pStyle w:val="Default"/>
              <w:rPr>
                <w:color w:val="000000" w:themeColor="text1"/>
              </w:rPr>
            </w:pPr>
            <w:r w:rsidRPr="006A1EC7">
              <w:rPr>
                <w:color w:val="000000" w:themeColor="text1"/>
              </w:rPr>
              <w:t>Patient is able to do tasks independently = 0</w:t>
            </w:r>
          </w:p>
          <w:p w14:paraId="381939AC" w14:textId="77777777" w:rsidR="0087601C" w:rsidRPr="006A1EC7" w:rsidRDefault="0087601C" w:rsidP="00D56051">
            <w:pPr>
              <w:pStyle w:val="Default"/>
              <w:rPr>
                <w:color w:val="000000" w:themeColor="text1"/>
              </w:rPr>
            </w:pPr>
          </w:p>
          <w:p w14:paraId="3AC6491C" w14:textId="77777777" w:rsidR="0087601C" w:rsidRPr="006A1EC7" w:rsidRDefault="0087601C" w:rsidP="00D56051">
            <w:pPr>
              <w:pStyle w:val="Default"/>
              <w:rPr>
                <w:color w:val="000000" w:themeColor="text1"/>
                <w:u w:val="single"/>
              </w:rPr>
            </w:pPr>
            <w:r w:rsidRPr="006A1EC7">
              <w:rPr>
                <w:color w:val="000000" w:themeColor="text1"/>
                <w:u w:val="single"/>
              </w:rPr>
              <w:t>Item 8C: If applicable, what schooling/daycare facility does the patient attend?</w:t>
            </w:r>
          </w:p>
          <w:p w14:paraId="63EF97E7" w14:textId="77777777" w:rsidR="0087601C" w:rsidRPr="006A1EC7" w:rsidRDefault="0087601C" w:rsidP="00D56051">
            <w:r w:rsidRPr="006A1EC7">
              <w:t>Patient is unable to go to mainstream school or work; attends special needs school or day care centre = 3</w:t>
            </w:r>
          </w:p>
          <w:p w14:paraId="79A365DC" w14:textId="77777777" w:rsidR="0087601C" w:rsidRPr="006A1EC7" w:rsidRDefault="0087601C" w:rsidP="00D56051">
            <w:r w:rsidRPr="006A1EC7">
              <w:t>Patient is able to go to mainstream school or work, requires 1:1 assistance at all times = 2</w:t>
            </w:r>
          </w:p>
          <w:p w14:paraId="0C87AD2C" w14:textId="77777777" w:rsidR="0087601C" w:rsidRPr="006A1EC7" w:rsidRDefault="0087601C" w:rsidP="00D56051">
            <w:r w:rsidRPr="006A1EC7">
              <w:t>Patient is able to go to mainstream school with assistance (does not need 1:1 assistance at all times) = 1</w:t>
            </w:r>
            <w:r w:rsidRPr="006A1EC7">
              <w:tab/>
            </w:r>
          </w:p>
          <w:p w14:paraId="4C0B3B63" w14:textId="77777777" w:rsidR="0087601C" w:rsidRPr="006A1EC7" w:rsidRDefault="0087601C" w:rsidP="00D56051">
            <w:r w:rsidRPr="006A1EC7">
              <w:t>Patient is able to go to mainstream school or participate in paid employment =0</w:t>
            </w:r>
          </w:p>
          <w:p w14:paraId="65F22CF7" w14:textId="77777777" w:rsidR="0087601C" w:rsidRPr="006A1EC7" w:rsidRDefault="0087601C" w:rsidP="00D56051">
            <w:pPr>
              <w:rPr>
                <w:u w:val="single"/>
              </w:rPr>
            </w:pPr>
          </w:p>
          <w:p w14:paraId="16B3DE11" w14:textId="77777777" w:rsidR="0087601C" w:rsidRPr="006A1EC7" w:rsidRDefault="0087601C" w:rsidP="00D56051">
            <w:pPr>
              <w:rPr>
                <w:u w:val="single"/>
              </w:rPr>
            </w:pPr>
            <w:r w:rsidRPr="006A1EC7">
              <w:rPr>
                <w:u w:val="single"/>
              </w:rPr>
              <w:t>Item 8D: What is the patient’s communication and speech like?</w:t>
            </w:r>
          </w:p>
          <w:p w14:paraId="0D5AFFF4" w14:textId="77777777" w:rsidR="0087601C" w:rsidRPr="006A1EC7" w:rsidRDefault="0087601C" w:rsidP="00D56051">
            <w:r w:rsidRPr="006A1EC7">
              <w:t>Patient neither uses words nor sounds= 4</w:t>
            </w:r>
          </w:p>
          <w:p w14:paraId="7719FBF2" w14:textId="77777777" w:rsidR="0087601C" w:rsidRPr="006A1EC7" w:rsidRDefault="0087601C" w:rsidP="00D56051">
            <w:r w:rsidRPr="006A1EC7">
              <w:t>Patient communicates via noise and sound = 3</w:t>
            </w:r>
          </w:p>
          <w:p w14:paraId="3AE3579E" w14:textId="77777777" w:rsidR="0087601C" w:rsidRPr="006A1EC7" w:rsidRDefault="0087601C" w:rsidP="00D56051">
            <w:r w:rsidRPr="006A1EC7">
              <w:t>Patient communicates using Macaton/sign language = 2</w:t>
            </w:r>
          </w:p>
          <w:p w14:paraId="3EA52709" w14:textId="77777777" w:rsidR="0087601C" w:rsidRPr="006A1EC7" w:rsidRDefault="0087601C" w:rsidP="00D56051">
            <w:r w:rsidRPr="006A1EC7">
              <w:t>Patient is able to from a limited number of words, but unable to form sentences = 1</w:t>
            </w:r>
          </w:p>
          <w:p w14:paraId="60D7478E" w14:textId="77777777" w:rsidR="0087601C" w:rsidRPr="006A1EC7" w:rsidRDefault="0087601C" w:rsidP="00D56051">
            <w:r w:rsidRPr="006A1EC7">
              <w:t>Patient is able to form short sentences of at least 3-5 words = 0</w:t>
            </w:r>
          </w:p>
          <w:p w14:paraId="3DE0F0C5" w14:textId="77777777" w:rsidR="0087601C" w:rsidRPr="006A1EC7" w:rsidRDefault="0087601C" w:rsidP="00D56051">
            <w:pPr>
              <w:spacing w:line="360" w:lineRule="auto"/>
            </w:pPr>
          </w:p>
        </w:tc>
      </w:tr>
      <w:tr w:rsidR="0087601C" w:rsidRPr="006A1EC7" w14:paraId="5C3FE7CD" w14:textId="77777777" w:rsidTr="00D56051">
        <w:tc>
          <w:tcPr>
            <w:tcW w:w="9634" w:type="dxa"/>
          </w:tcPr>
          <w:p w14:paraId="7C41A51C" w14:textId="77777777" w:rsidR="0087601C" w:rsidRPr="006A1EC7" w:rsidRDefault="0087601C" w:rsidP="00D56051">
            <w:pPr>
              <w:rPr>
                <w:b/>
                <w:u w:val="single"/>
              </w:rPr>
            </w:pPr>
            <w:r w:rsidRPr="006A1EC7">
              <w:rPr>
                <w:b/>
                <w:u w:val="single"/>
              </w:rPr>
              <w:lastRenderedPageBreak/>
              <w:t>Section 9: Level of care</w:t>
            </w:r>
          </w:p>
          <w:p w14:paraId="7D682D90" w14:textId="77777777" w:rsidR="0087601C" w:rsidRPr="006A1EC7" w:rsidRDefault="0087601C" w:rsidP="00D56051"/>
          <w:p w14:paraId="20A8DA09" w14:textId="77777777" w:rsidR="0087601C" w:rsidRPr="006A1EC7" w:rsidRDefault="0087601C" w:rsidP="00D56051">
            <w:r w:rsidRPr="006A1EC7">
              <w:rPr>
                <w:u w:val="single"/>
              </w:rPr>
              <w:t>Item 9: What is the level of care required for day-to-day life?</w:t>
            </w:r>
            <w:r w:rsidRPr="006A1EC7">
              <w:rPr>
                <w:u w:val="wave"/>
              </w:rPr>
              <w:br/>
            </w:r>
            <w:r w:rsidRPr="006A1EC7">
              <w:t>Skilled nursing care required = 2</w:t>
            </w:r>
          </w:p>
          <w:p w14:paraId="08C15454" w14:textId="77777777" w:rsidR="0087601C" w:rsidRPr="006A1EC7" w:rsidRDefault="0087601C" w:rsidP="00D56051">
            <w:r w:rsidRPr="006A1EC7">
              <w:t>Home nursing by family member= 1</w:t>
            </w:r>
          </w:p>
          <w:p w14:paraId="7BCCD1CF" w14:textId="77777777" w:rsidR="0087601C" w:rsidRPr="006A1EC7" w:rsidRDefault="0087601C" w:rsidP="00D56051">
            <w:r w:rsidRPr="006A1EC7">
              <w:t xml:space="preserve">No care required = 0 </w:t>
            </w:r>
          </w:p>
          <w:p w14:paraId="7B99F459" w14:textId="77777777" w:rsidR="0087601C" w:rsidRPr="006A1EC7" w:rsidRDefault="0087601C" w:rsidP="00D56051">
            <w:pPr>
              <w:spacing w:line="360" w:lineRule="auto"/>
            </w:pPr>
          </w:p>
        </w:tc>
      </w:tr>
    </w:tbl>
    <w:p w14:paraId="687DDEA5" w14:textId="77777777" w:rsidR="0087601C" w:rsidRPr="006A1EC7" w:rsidRDefault="0087601C" w:rsidP="0087601C"/>
    <w:p w14:paraId="3FD33F7A" w14:textId="77777777" w:rsidR="0087601C" w:rsidRPr="006A1EC7" w:rsidRDefault="0087601C" w:rsidP="0087601C">
      <w:pPr>
        <w:pStyle w:val="Heading3"/>
        <w:rPr>
          <w:rFonts w:ascii="Times New Roman" w:hAnsi="Times New Roman" w:cs="Times New Roman"/>
        </w:rPr>
      </w:pPr>
      <w:bookmarkStart w:id="297" w:name="_Toc38821481"/>
      <w:r w:rsidRPr="006A1EC7">
        <w:rPr>
          <w:rFonts w:ascii="Times New Roman" w:hAnsi="Times New Roman" w:cs="Times New Roman"/>
        </w:rPr>
        <w:t>Appendix 6.2: COA with comments of origin</w:t>
      </w:r>
      <w:bookmarkEnd w:id="297"/>
    </w:p>
    <w:p w14:paraId="2636F580" w14:textId="77777777" w:rsidR="0087601C" w:rsidRPr="006A1EC7" w:rsidRDefault="0087601C" w:rsidP="0087601C"/>
    <w:tbl>
      <w:tblPr>
        <w:tblStyle w:val="TableGrid"/>
        <w:tblW w:w="0" w:type="auto"/>
        <w:tblLook w:val="04A0" w:firstRow="1" w:lastRow="0" w:firstColumn="1" w:lastColumn="0" w:noHBand="0" w:noVBand="1"/>
      </w:tblPr>
      <w:tblGrid>
        <w:gridCol w:w="4464"/>
        <w:gridCol w:w="4024"/>
      </w:tblGrid>
      <w:tr w:rsidR="0087601C" w:rsidRPr="006A1EC7" w14:paraId="54BF13D7" w14:textId="77777777" w:rsidTr="00D56051">
        <w:tc>
          <w:tcPr>
            <w:tcW w:w="4475" w:type="dxa"/>
          </w:tcPr>
          <w:p w14:paraId="25750299" w14:textId="77777777" w:rsidR="0087601C" w:rsidRPr="006A1EC7" w:rsidRDefault="0087601C" w:rsidP="00D56051">
            <w:pPr>
              <w:spacing w:line="360" w:lineRule="auto"/>
              <w:rPr>
                <w:b/>
              </w:rPr>
            </w:pPr>
            <w:r w:rsidRPr="006A1EC7">
              <w:rPr>
                <w:b/>
              </w:rPr>
              <w:t>Items &amp; Item Origin</w:t>
            </w:r>
          </w:p>
          <w:p w14:paraId="14F16BEB" w14:textId="77777777" w:rsidR="0087601C" w:rsidRPr="006A1EC7" w:rsidRDefault="0087601C" w:rsidP="00D56051">
            <w:pPr>
              <w:spacing w:line="360" w:lineRule="auto"/>
            </w:pPr>
            <w:r w:rsidRPr="006A1EC7">
              <w:rPr>
                <w:highlight w:val="magenta"/>
              </w:rPr>
              <w:t>I: Interviews</w:t>
            </w:r>
          </w:p>
          <w:p w14:paraId="0CC5E307" w14:textId="77777777" w:rsidR="0087601C" w:rsidRPr="006A1EC7" w:rsidRDefault="0087601C" w:rsidP="00D56051">
            <w:pPr>
              <w:spacing w:line="360" w:lineRule="auto"/>
            </w:pPr>
            <w:r w:rsidRPr="006A1EC7">
              <w:rPr>
                <w:highlight w:val="green"/>
              </w:rPr>
              <w:t>L: Literature</w:t>
            </w:r>
          </w:p>
          <w:p w14:paraId="1EA3300E" w14:textId="77777777" w:rsidR="0087601C" w:rsidRPr="006A1EC7" w:rsidRDefault="0087601C" w:rsidP="00D56051">
            <w:pPr>
              <w:spacing w:line="360" w:lineRule="auto"/>
            </w:pPr>
            <w:r w:rsidRPr="006A1EC7">
              <w:rPr>
                <w:highlight w:val="cyan"/>
              </w:rPr>
              <w:t>I/L: Interviews &amp; Literature</w:t>
            </w:r>
          </w:p>
          <w:p w14:paraId="75773883" w14:textId="77777777" w:rsidR="0087601C" w:rsidRPr="006A1EC7" w:rsidRDefault="0087601C" w:rsidP="00D56051">
            <w:pPr>
              <w:spacing w:line="360" w:lineRule="auto"/>
            </w:pPr>
            <w:r w:rsidRPr="006A1EC7">
              <w:rPr>
                <w:highlight w:val="red"/>
              </w:rPr>
              <w:t>I/C: Interviews &amp; Clinician</w:t>
            </w:r>
            <w:r w:rsidRPr="006A1EC7">
              <w:br/>
            </w:r>
            <w:r w:rsidRPr="006A1EC7">
              <w:rPr>
                <w:highlight w:val="yellow"/>
              </w:rPr>
              <w:t>R/C: Not explicitly mentioned in interviews or literature, source purely from Researchers/Clinician experience</w:t>
            </w:r>
          </w:p>
        </w:tc>
        <w:tc>
          <w:tcPr>
            <w:tcW w:w="4155" w:type="dxa"/>
          </w:tcPr>
          <w:p w14:paraId="79BFF8F7" w14:textId="77777777" w:rsidR="0087601C" w:rsidRPr="006A1EC7" w:rsidRDefault="0087601C" w:rsidP="00D56051">
            <w:pPr>
              <w:spacing w:line="360" w:lineRule="auto"/>
              <w:rPr>
                <w:b/>
              </w:rPr>
            </w:pPr>
            <w:r w:rsidRPr="006A1EC7">
              <w:rPr>
                <w:b/>
              </w:rPr>
              <w:t>Rationale for Inclusion</w:t>
            </w:r>
          </w:p>
        </w:tc>
      </w:tr>
      <w:tr w:rsidR="0087601C" w:rsidRPr="006A1EC7" w14:paraId="6DFE01F6" w14:textId="77777777" w:rsidTr="00D56051">
        <w:tc>
          <w:tcPr>
            <w:tcW w:w="4475" w:type="dxa"/>
          </w:tcPr>
          <w:p w14:paraId="4168FF8A" w14:textId="77777777" w:rsidR="0087601C" w:rsidRPr="006A1EC7" w:rsidRDefault="0087601C" w:rsidP="00D56051">
            <w:pPr>
              <w:rPr>
                <w:b/>
                <w:u w:val="single"/>
              </w:rPr>
            </w:pPr>
            <w:r w:rsidRPr="006A1EC7">
              <w:rPr>
                <w:b/>
                <w:u w:val="single"/>
              </w:rPr>
              <w:t>Section 1: Facial features</w:t>
            </w:r>
          </w:p>
          <w:p w14:paraId="74202234" w14:textId="77777777" w:rsidR="0087601C" w:rsidRPr="006A1EC7" w:rsidRDefault="0087601C" w:rsidP="00D56051">
            <w:pPr>
              <w:rPr>
                <w:i/>
                <w:u w:val="single"/>
              </w:rPr>
            </w:pPr>
            <w:r w:rsidRPr="006A1EC7">
              <w:rPr>
                <w:u w:val="single"/>
              </w:rPr>
              <w:br/>
            </w:r>
            <w:r w:rsidRPr="006A1EC7">
              <w:rPr>
                <w:highlight w:val="cyan"/>
                <w:u w:val="single"/>
              </w:rPr>
              <w:t>Item 1 Examiner, how would you rate the patient’s facial features?</w:t>
            </w:r>
            <w:r w:rsidRPr="006A1EC7">
              <w:rPr>
                <w:u w:val="single"/>
              </w:rPr>
              <w:t xml:space="preserve"> </w:t>
            </w:r>
          </w:p>
          <w:p w14:paraId="0FCD1343" w14:textId="77777777" w:rsidR="0087601C" w:rsidRPr="006A1EC7" w:rsidRDefault="0087601C" w:rsidP="00D56051">
            <w:pPr>
              <w:rPr>
                <w:highlight w:val="green"/>
              </w:rPr>
            </w:pPr>
            <w:r w:rsidRPr="006A1EC7">
              <w:rPr>
                <w:highlight w:val="green"/>
              </w:rPr>
              <w:t>Highly dysmorphic = 3</w:t>
            </w:r>
          </w:p>
          <w:p w14:paraId="4968BA3F" w14:textId="77777777" w:rsidR="0087601C" w:rsidRPr="006A1EC7" w:rsidRDefault="0087601C" w:rsidP="00D56051">
            <w:pPr>
              <w:rPr>
                <w:highlight w:val="green"/>
              </w:rPr>
            </w:pPr>
            <w:r w:rsidRPr="006A1EC7">
              <w:rPr>
                <w:highlight w:val="green"/>
              </w:rPr>
              <w:t>Moderately dysmorphic = 2</w:t>
            </w:r>
          </w:p>
          <w:p w14:paraId="51BDD29C" w14:textId="77777777" w:rsidR="0087601C" w:rsidRPr="006A1EC7" w:rsidRDefault="0087601C" w:rsidP="00D56051">
            <w:pPr>
              <w:rPr>
                <w:highlight w:val="green"/>
              </w:rPr>
            </w:pPr>
            <w:r w:rsidRPr="006A1EC7">
              <w:rPr>
                <w:highlight w:val="green"/>
              </w:rPr>
              <w:t>Mildly dysmorphic = 1</w:t>
            </w:r>
          </w:p>
          <w:p w14:paraId="7A458EB3" w14:textId="77777777" w:rsidR="0087601C" w:rsidRPr="006A1EC7" w:rsidRDefault="0087601C" w:rsidP="00D56051">
            <w:pPr>
              <w:rPr>
                <w:highlight w:val="green"/>
              </w:rPr>
            </w:pPr>
            <w:r w:rsidRPr="006A1EC7">
              <w:rPr>
                <w:highlight w:val="green"/>
              </w:rPr>
              <w:t>Not dysmorphic = 0</w:t>
            </w:r>
          </w:p>
          <w:p w14:paraId="598055AC" w14:textId="77777777" w:rsidR="0087601C" w:rsidRPr="006A1EC7" w:rsidRDefault="0087601C" w:rsidP="00D56051">
            <w:r w:rsidRPr="006A1EC7">
              <w:rPr>
                <w:highlight w:val="green"/>
              </w:rPr>
              <w:t>No = 0</w:t>
            </w:r>
            <w:r w:rsidRPr="006A1EC7">
              <w:t xml:space="preserve"> </w:t>
            </w:r>
          </w:p>
          <w:p w14:paraId="2B639003" w14:textId="77777777" w:rsidR="0087601C" w:rsidRPr="006A1EC7" w:rsidRDefault="0087601C" w:rsidP="00D56051">
            <w:pPr>
              <w:spacing w:line="360" w:lineRule="auto"/>
            </w:pPr>
          </w:p>
        </w:tc>
        <w:tc>
          <w:tcPr>
            <w:tcW w:w="4155" w:type="dxa"/>
          </w:tcPr>
          <w:p w14:paraId="2598857A" w14:textId="77777777" w:rsidR="0087601C" w:rsidRPr="006A1EC7" w:rsidRDefault="0087601C" w:rsidP="00D56051">
            <w:r w:rsidRPr="006A1EC7">
              <w:t>This section was added additionally. Facial dysmorphia is a key aspect of WHS, mentioned in the interviews and the clinical literature.</w:t>
            </w:r>
          </w:p>
          <w:p w14:paraId="6745709C" w14:textId="77777777" w:rsidR="0087601C" w:rsidRPr="006A1EC7" w:rsidRDefault="0087601C" w:rsidP="00D56051">
            <w:r w:rsidRPr="006A1EC7">
              <w:t xml:space="preserve">The examiner can assess facial dysmorphia without having to directly question the family about it, as this was felt to be inappropriate and insensitive.  </w:t>
            </w:r>
          </w:p>
        </w:tc>
      </w:tr>
      <w:tr w:rsidR="0087601C" w:rsidRPr="006A1EC7" w14:paraId="02A72763" w14:textId="77777777" w:rsidTr="00D56051">
        <w:tc>
          <w:tcPr>
            <w:tcW w:w="4475" w:type="dxa"/>
          </w:tcPr>
          <w:p w14:paraId="449E2CC8" w14:textId="77777777" w:rsidR="0087601C" w:rsidRPr="006A1EC7" w:rsidRDefault="0087601C" w:rsidP="00D56051">
            <w:pPr>
              <w:rPr>
                <w:b/>
                <w:u w:val="single"/>
              </w:rPr>
            </w:pPr>
            <w:r w:rsidRPr="006A1EC7">
              <w:rPr>
                <w:b/>
                <w:u w:val="single"/>
              </w:rPr>
              <w:lastRenderedPageBreak/>
              <w:t>Section 2: Epilepsy and seizures</w:t>
            </w:r>
          </w:p>
          <w:p w14:paraId="0328DC96" w14:textId="77777777" w:rsidR="0087601C" w:rsidRPr="006A1EC7" w:rsidRDefault="0087601C" w:rsidP="00D56051"/>
          <w:p w14:paraId="51A3177F" w14:textId="77777777" w:rsidR="0087601C" w:rsidRPr="006A1EC7" w:rsidRDefault="0087601C" w:rsidP="00D56051">
            <w:r w:rsidRPr="006A1EC7">
              <w:rPr>
                <w:highlight w:val="cyan"/>
                <w:u w:val="single"/>
              </w:rPr>
              <w:t>Item 2A: Has the patient ever had a diagnosis of febrile seizure/s?</w:t>
            </w:r>
            <w:r w:rsidRPr="006A1EC7">
              <w:rPr>
                <w:u w:val="single"/>
              </w:rPr>
              <w:t xml:space="preserve">  </w:t>
            </w:r>
            <w:r w:rsidRPr="006A1EC7">
              <w:rPr>
                <w:u w:val="single"/>
              </w:rPr>
              <w:br/>
            </w:r>
            <w:r w:rsidRPr="006A1EC7">
              <w:t>Yes = 1</w:t>
            </w:r>
          </w:p>
          <w:p w14:paraId="78C93508" w14:textId="77777777" w:rsidR="0087601C" w:rsidRPr="006A1EC7" w:rsidRDefault="0087601C" w:rsidP="00D56051">
            <w:r w:rsidRPr="006A1EC7">
              <w:t>No = 0</w:t>
            </w:r>
          </w:p>
          <w:p w14:paraId="5A047934" w14:textId="77777777" w:rsidR="0087601C" w:rsidRPr="006A1EC7" w:rsidRDefault="0087601C" w:rsidP="00D56051">
            <w:pPr>
              <w:rPr>
                <w:u w:val="single"/>
              </w:rPr>
            </w:pPr>
          </w:p>
          <w:p w14:paraId="78AA9F1F" w14:textId="77777777" w:rsidR="0087601C" w:rsidRPr="006A1EC7" w:rsidRDefault="0087601C" w:rsidP="00D56051">
            <w:pPr>
              <w:rPr>
                <w:u w:val="single"/>
              </w:rPr>
            </w:pPr>
            <w:r w:rsidRPr="006A1EC7">
              <w:rPr>
                <w:highlight w:val="cyan"/>
                <w:u w:val="single"/>
              </w:rPr>
              <w:t>Item 2B: Does the patient currently have a diagnosis of epilepsy (= unprovoked seizures)?</w:t>
            </w:r>
            <w:r w:rsidRPr="006A1EC7">
              <w:br/>
              <w:t>Yes = 1</w:t>
            </w:r>
          </w:p>
          <w:p w14:paraId="44A7634B" w14:textId="77777777" w:rsidR="0087601C" w:rsidRPr="006A1EC7" w:rsidRDefault="0087601C" w:rsidP="00D56051">
            <w:r w:rsidRPr="006A1EC7">
              <w:t xml:space="preserve">No = 0 </w:t>
            </w:r>
          </w:p>
          <w:p w14:paraId="649917F9" w14:textId="77777777" w:rsidR="0087601C" w:rsidRPr="006A1EC7" w:rsidRDefault="0087601C" w:rsidP="00D56051"/>
          <w:p w14:paraId="6039A297" w14:textId="77777777" w:rsidR="0087601C" w:rsidRPr="006A1EC7" w:rsidRDefault="0087601C" w:rsidP="00D56051">
            <w:pPr>
              <w:rPr>
                <w:u w:val="single"/>
              </w:rPr>
            </w:pPr>
            <w:r w:rsidRPr="006A1EC7">
              <w:rPr>
                <w:highlight w:val="cyan"/>
                <w:u w:val="single"/>
              </w:rPr>
              <w:t>Item 2C: Is the patient currently taking Medication for epilepsy?</w:t>
            </w:r>
          </w:p>
          <w:p w14:paraId="1E1F73B8" w14:textId="77777777" w:rsidR="0087601C" w:rsidRPr="006A1EC7" w:rsidRDefault="0087601C" w:rsidP="00D56051">
            <w:r w:rsidRPr="006A1EC7">
              <w:t>Yes = 1</w:t>
            </w:r>
          </w:p>
          <w:p w14:paraId="37A70CCC" w14:textId="77777777" w:rsidR="0087601C" w:rsidRPr="006A1EC7" w:rsidRDefault="0087601C" w:rsidP="00D56051">
            <w:r w:rsidRPr="006A1EC7">
              <w:t xml:space="preserve">No = 0 </w:t>
            </w:r>
          </w:p>
          <w:p w14:paraId="1EA2B55E" w14:textId="77777777" w:rsidR="0087601C" w:rsidRPr="006A1EC7" w:rsidRDefault="0087601C" w:rsidP="00D56051"/>
          <w:p w14:paraId="6314A705" w14:textId="77777777" w:rsidR="0087601C" w:rsidRPr="006A1EC7" w:rsidRDefault="0087601C" w:rsidP="00D56051">
            <w:pPr>
              <w:rPr>
                <w:u w:val="single"/>
              </w:rPr>
            </w:pPr>
            <w:r w:rsidRPr="006A1EC7">
              <w:rPr>
                <w:highlight w:val="cyan"/>
                <w:u w:val="single"/>
              </w:rPr>
              <w:t>Item 2D: What is the patient’s seizure frequency (Status: current)?</w:t>
            </w:r>
          </w:p>
          <w:p w14:paraId="2A585CC9" w14:textId="77777777" w:rsidR="0087601C" w:rsidRPr="006A1EC7" w:rsidRDefault="0087601C" w:rsidP="00D56051">
            <w:pPr>
              <w:pStyle w:val="Default"/>
              <w:rPr>
                <w:color w:val="000000" w:themeColor="text1"/>
                <w:highlight w:val="yellow"/>
              </w:rPr>
            </w:pPr>
            <w:r w:rsidRPr="006A1EC7">
              <w:rPr>
                <w:color w:val="000000" w:themeColor="text1"/>
                <w:highlight w:val="yellow"/>
              </w:rPr>
              <w:t xml:space="preserve">No seizures = 0 </w:t>
            </w:r>
          </w:p>
          <w:p w14:paraId="1AEC4910" w14:textId="77777777" w:rsidR="0087601C" w:rsidRPr="006A1EC7" w:rsidRDefault="0087601C" w:rsidP="00D56051">
            <w:pPr>
              <w:pStyle w:val="Default"/>
              <w:rPr>
                <w:color w:val="000000" w:themeColor="text1"/>
                <w:highlight w:val="yellow"/>
              </w:rPr>
            </w:pPr>
            <w:r w:rsidRPr="006A1EC7">
              <w:rPr>
                <w:color w:val="000000" w:themeColor="text1"/>
                <w:highlight w:val="yellow"/>
              </w:rPr>
              <w:t>Less than one over the past 6 months =1</w:t>
            </w:r>
          </w:p>
          <w:p w14:paraId="75BBAD92" w14:textId="77777777" w:rsidR="0087601C" w:rsidRPr="006A1EC7" w:rsidRDefault="0087601C" w:rsidP="00D56051">
            <w:pPr>
              <w:pStyle w:val="Default"/>
              <w:rPr>
                <w:color w:val="000000" w:themeColor="text1"/>
              </w:rPr>
            </w:pPr>
            <w:r w:rsidRPr="006A1EC7">
              <w:rPr>
                <w:color w:val="000000" w:themeColor="text1"/>
                <w:highlight w:val="yellow"/>
              </w:rPr>
              <w:t>One seizure in the past 3-6 months = 2</w:t>
            </w:r>
            <w:r w:rsidRPr="006A1EC7">
              <w:rPr>
                <w:color w:val="000000" w:themeColor="text1"/>
                <w:highlight w:val="yellow"/>
              </w:rPr>
              <w:br/>
              <w:t>One seizure in the last 1-3 months = 3</w:t>
            </w:r>
            <w:r w:rsidRPr="006A1EC7">
              <w:rPr>
                <w:color w:val="000000" w:themeColor="text1"/>
                <w:highlight w:val="yellow"/>
              </w:rPr>
              <w:br/>
              <w:t>One to three seizure in the last four weeks = 4</w:t>
            </w:r>
            <w:r w:rsidRPr="006A1EC7">
              <w:rPr>
                <w:color w:val="000000" w:themeColor="text1"/>
                <w:highlight w:val="yellow"/>
              </w:rPr>
              <w:br/>
              <w:t>One seizure a week = 5</w:t>
            </w:r>
            <w:r w:rsidRPr="006A1EC7">
              <w:rPr>
                <w:color w:val="000000" w:themeColor="text1"/>
                <w:highlight w:val="yellow"/>
              </w:rPr>
              <w:br/>
              <w:t>One seizure a day or more = 6</w:t>
            </w:r>
          </w:p>
          <w:p w14:paraId="3BFEB42C" w14:textId="77777777" w:rsidR="0087601C" w:rsidRPr="006A1EC7" w:rsidRDefault="0087601C" w:rsidP="00D56051">
            <w:pPr>
              <w:rPr>
                <w:u w:val="single"/>
              </w:rPr>
            </w:pPr>
          </w:p>
          <w:p w14:paraId="3552D8D2" w14:textId="77777777" w:rsidR="0087601C" w:rsidRPr="006A1EC7" w:rsidRDefault="0087601C" w:rsidP="00D56051">
            <w:pPr>
              <w:rPr>
                <w:u w:val="single"/>
              </w:rPr>
            </w:pPr>
          </w:p>
          <w:p w14:paraId="4654CC27" w14:textId="77777777" w:rsidR="0087601C" w:rsidRPr="006A1EC7" w:rsidRDefault="0087601C" w:rsidP="00D56051">
            <w:pPr>
              <w:rPr>
                <w:highlight w:val="cyan"/>
                <w:u w:val="single"/>
              </w:rPr>
            </w:pPr>
            <w:r w:rsidRPr="006A1EC7">
              <w:rPr>
                <w:highlight w:val="cyan"/>
                <w:u w:val="single"/>
              </w:rPr>
              <w:t>Item 2E: What types of seizures does the patient experience? (If more than one type of seizure, add up)</w:t>
            </w:r>
          </w:p>
          <w:p w14:paraId="3E28C22B" w14:textId="77777777" w:rsidR="0087601C" w:rsidRPr="006A1EC7" w:rsidRDefault="0087601C" w:rsidP="00D56051">
            <w:pPr>
              <w:rPr>
                <w:highlight w:val="cyan"/>
              </w:rPr>
            </w:pPr>
            <w:r w:rsidRPr="006A1EC7">
              <w:rPr>
                <w:highlight w:val="cyan"/>
              </w:rPr>
              <w:t>Tonic-clonic = 3</w:t>
            </w:r>
          </w:p>
          <w:p w14:paraId="3CADC8D5" w14:textId="77777777" w:rsidR="0087601C" w:rsidRPr="006A1EC7" w:rsidRDefault="0087601C" w:rsidP="00D56051">
            <w:pPr>
              <w:rPr>
                <w:highlight w:val="cyan"/>
              </w:rPr>
            </w:pPr>
            <w:r w:rsidRPr="006A1EC7">
              <w:rPr>
                <w:highlight w:val="cyan"/>
              </w:rPr>
              <w:t xml:space="preserve">Focal = 2 </w:t>
            </w:r>
          </w:p>
          <w:p w14:paraId="71FE6BB7" w14:textId="77777777" w:rsidR="0087601C" w:rsidRPr="006A1EC7" w:rsidRDefault="0087601C" w:rsidP="00D56051">
            <w:r w:rsidRPr="006A1EC7">
              <w:rPr>
                <w:highlight w:val="cyan"/>
              </w:rPr>
              <w:t>Absence = 1</w:t>
            </w:r>
          </w:p>
          <w:p w14:paraId="4877519A" w14:textId="77777777" w:rsidR="0087601C" w:rsidRPr="006A1EC7" w:rsidRDefault="0087601C" w:rsidP="00D56051">
            <w:r w:rsidRPr="006A1EC7">
              <w:rPr>
                <w:highlight w:val="yellow"/>
              </w:rPr>
              <w:t>Myoclonic = 1</w:t>
            </w:r>
          </w:p>
          <w:p w14:paraId="2482602E" w14:textId="77777777" w:rsidR="0087601C" w:rsidRPr="006A1EC7" w:rsidRDefault="0087601C" w:rsidP="00D56051">
            <w:r w:rsidRPr="006A1EC7">
              <w:rPr>
                <w:highlight w:val="cyan"/>
              </w:rPr>
              <w:t>None = 0</w:t>
            </w:r>
            <w:r w:rsidRPr="006A1EC7">
              <w:t xml:space="preserve"> </w:t>
            </w:r>
          </w:p>
          <w:p w14:paraId="38B09961" w14:textId="77777777" w:rsidR="0087601C" w:rsidRPr="006A1EC7" w:rsidRDefault="0087601C" w:rsidP="00D56051"/>
          <w:p w14:paraId="69F901D1" w14:textId="77777777" w:rsidR="0087601C" w:rsidRPr="006A1EC7" w:rsidRDefault="0087601C" w:rsidP="00D56051">
            <w:pPr>
              <w:rPr>
                <w:color w:val="000000" w:themeColor="text1"/>
                <w:highlight w:val="cyan"/>
              </w:rPr>
            </w:pPr>
            <w:r w:rsidRPr="006A1EC7">
              <w:rPr>
                <w:color w:val="000000" w:themeColor="text1"/>
                <w:highlight w:val="cyan"/>
                <w:u w:val="single"/>
              </w:rPr>
              <w:t>Item 2F: What was the maximum level of after-care needed for seizures over the past 6 months?</w:t>
            </w:r>
            <w:r w:rsidRPr="006A1EC7">
              <w:rPr>
                <w:color w:val="000000" w:themeColor="text1"/>
                <w:highlight w:val="cyan"/>
                <w:u w:val="single"/>
              </w:rPr>
              <w:br/>
            </w:r>
            <w:r w:rsidRPr="006A1EC7">
              <w:rPr>
                <w:color w:val="000000" w:themeColor="text1"/>
                <w:highlight w:val="cyan"/>
              </w:rPr>
              <w:t xml:space="preserve">None/no after-care required = 0 </w:t>
            </w:r>
            <w:r w:rsidRPr="006A1EC7">
              <w:rPr>
                <w:color w:val="000000" w:themeColor="text1"/>
                <w:highlight w:val="cyan"/>
              </w:rPr>
              <w:br/>
            </w:r>
            <w:r w:rsidRPr="006A1EC7">
              <w:rPr>
                <w:color w:val="000000" w:themeColor="text1"/>
                <w:highlight w:val="cyan"/>
              </w:rPr>
              <w:lastRenderedPageBreak/>
              <w:t>Parent/carer administration of treatment at home = 1</w:t>
            </w:r>
          </w:p>
          <w:p w14:paraId="10C79821" w14:textId="77777777" w:rsidR="0087601C" w:rsidRPr="006A1EC7" w:rsidRDefault="0087601C" w:rsidP="00D56051">
            <w:pPr>
              <w:rPr>
                <w:color w:val="000000" w:themeColor="text1"/>
                <w:highlight w:val="cyan"/>
              </w:rPr>
            </w:pPr>
            <w:r w:rsidRPr="006A1EC7">
              <w:rPr>
                <w:color w:val="000000" w:themeColor="text1"/>
                <w:highlight w:val="cyan"/>
              </w:rPr>
              <w:t xml:space="preserve">Ambulance called = 2 </w:t>
            </w:r>
          </w:p>
          <w:p w14:paraId="5423DE5D" w14:textId="77777777" w:rsidR="0087601C" w:rsidRPr="006A1EC7" w:rsidRDefault="0087601C" w:rsidP="00D56051">
            <w:pPr>
              <w:rPr>
                <w:color w:val="000000" w:themeColor="text1"/>
              </w:rPr>
            </w:pPr>
            <w:r w:rsidRPr="006A1EC7">
              <w:rPr>
                <w:color w:val="000000" w:themeColor="text1"/>
                <w:highlight w:val="cyan"/>
              </w:rPr>
              <w:t>Hospital admission = 3</w:t>
            </w:r>
            <w:r w:rsidRPr="006A1EC7">
              <w:rPr>
                <w:color w:val="000000" w:themeColor="text1"/>
              </w:rPr>
              <w:t xml:space="preserve"> </w:t>
            </w:r>
          </w:p>
          <w:p w14:paraId="7F166E59" w14:textId="77777777" w:rsidR="0087601C" w:rsidRPr="006A1EC7" w:rsidRDefault="0087601C" w:rsidP="00D56051">
            <w:pPr>
              <w:rPr>
                <w:color w:val="000000" w:themeColor="text1"/>
                <w:u w:val="single"/>
              </w:rPr>
            </w:pPr>
          </w:p>
          <w:p w14:paraId="1A9440FF" w14:textId="77777777" w:rsidR="0087601C" w:rsidRPr="006A1EC7" w:rsidRDefault="0087601C" w:rsidP="00D56051">
            <w:pPr>
              <w:rPr>
                <w:color w:val="000000" w:themeColor="text1"/>
              </w:rPr>
            </w:pPr>
            <w:r w:rsidRPr="006A1EC7">
              <w:rPr>
                <w:color w:val="000000" w:themeColor="text1"/>
                <w:highlight w:val="cyan"/>
                <w:u w:val="single"/>
              </w:rPr>
              <w:t>Item 2G: Have there been any changes in epilepsy medication over the past 6 months (i.e. adjustments, drug change)?</w:t>
            </w:r>
            <w:r w:rsidRPr="006A1EC7">
              <w:rPr>
                <w:color w:val="000000" w:themeColor="text1"/>
                <w:highlight w:val="cyan"/>
              </w:rPr>
              <w:br/>
            </w:r>
            <w:r w:rsidRPr="006A1EC7">
              <w:rPr>
                <w:color w:val="000000" w:themeColor="text1"/>
              </w:rPr>
              <w:t>Yes = 1</w:t>
            </w:r>
            <w:r w:rsidRPr="006A1EC7">
              <w:rPr>
                <w:color w:val="000000" w:themeColor="text1"/>
              </w:rPr>
              <w:br/>
              <w:t>No = 0</w:t>
            </w:r>
          </w:p>
          <w:p w14:paraId="448E496F" w14:textId="77777777" w:rsidR="0087601C" w:rsidRPr="006A1EC7" w:rsidRDefault="0087601C" w:rsidP="00D56051">
            <w:pPr>
              <w:rPr>
                <w:color w:val="000000" w:themeColor="text1"/>
                <w:u w:val="wave"/>
              </w:rPr>
            </w:pPr>
          </w:p>
          <w:p w14:paraId="21A3F627" w14:textId="77777777" w:rsidR="0087601C" w:rsidRPr="006A1EC7" w:rsidRDefault="0087601C" w:rsidP="00D56051">
            <w:pPr>
              <w:rPr>
                <w:color w:val="000000" w:themeColor="text1"/>
                <w:highlight w:val="cyan"/>
                <w:u w:val="single"/>
              </w:rPr>
            </w:pPr>
            <w:r w:rsidRPr="006A1EC7">
              <w:rPr>
                <w:color w:val="000000" w:themeColor="text1"/>
                <w:highlight w:val="cyan"/>
                <w:u w:val="single"/>
              </w:rPr>
              <w:t>Item 2H: If appropriate; free text answer:</w:t>
            </w:r>
          </w:p>
          <w:p w14:paraId="2A26ECF1" w14:textId="77777777" w:rsidR="0087601C" w:rsidRPr="006A1EC7" w:rsidRDefault="0087601C" w:rsidP="00D56051">
            <w:pPr>
              <w:rPr>
                <w:color w:val="000000" w:themeColor="text1"/>
                <w:u w:val="single"/>
              </w:rPr>
            </w:pPr>
            <w:r w:rsidRPr="006A1EC7">
              <w:rPr>
                <w:color w:val="000000" w:themeColor="text1"/>
                <w:highlight w:val="cyan"/>
                <w:u w:val="single"/>
              </w:rPr>
              <w:t>Does the patient experience any side effects from epilepsy medication that may affect functioning or may indicate a medication review is needed?</w:t>
            </w:r>
          </w:p>
        </w:tc>
        <w:tc>
          <w:tcPr>
            <w:tcW w:w="4155" w:type="dxa"/>
          </w:tcPr>
          <w:p w14:paraId="325CAAED" w14:textId="77777777" w:rsidR="0087601C" w:rsidRPr="006A1EC7" w:rsidRDefault="0087601C" w:rsidP="00D56051"/>
          <w:p w14:paraId="2816039E" w14:textId="77777777" w:rsidR="0087601C" w:rsidRPr="006A1EC7" w:rsidRDefault="0087601C" w:rsidP="00D56051"/>
          <w:p w14:paraId="6F957CBE" w14:textId="77777777" w:rsidR="0087601C" w:rsidRPr="006A1EC7" w:rsidRDefault="0087601C" w:rsidP="00D56051">
            <w:r w:rsidRPr="006A1EC7">
              <w:t>Febrile seizures were reported in the interviews; and seen as clinically relevant.</w:t>
            </w:r>
          </w:p>
          <w:p w14:paraId="54DF75A4" w14:textId="77777777" w:rsidR="0087601C" w:rsidRPr="006A1EC7" w:rsidRDefault="0087601C" w:rsidP="00D56051"/>
          <w:p w14:paraId="1BB0EEB8" w14:textId="77777777" w:rsidR="0087601C" w:rsidRPr="006A1EC7" w:rsidRDefault="0087601C" w:rsidP="00D56051"/>
          <w:p w14:paraId="6DC2D006" w14:textId="77777777" w:rsidR="0087601C" w:rsidRPr="006A1EC7" w:rsidRDefault="0087601C" w:rsidP="00D56051"/>
          <w:p w14:paraId="65B36572" w14:textId="77777777" w:rsidR="0087601C" w:rsidRPr="006A1EC7" w:rsidRDefault="0087601C" w:rsidP="00D56051">
            <w:r w:rsidRPr="006A1EC7">
              <w:t>Differentiation febrile seizures/epilepsy</w:t>
            </w:r>
          </w:p>
          <w:p w14:paraId="2E47BC94" w14:textId="77777777" w:rsidR="0087601C" w:rsidRPr="006A1EC7" w:rsidRDefault="0087601C" w:rsidP="00D56051"/>
          <w:p w14:paraId="111A3E67" w14:textId="77777777" w:rsidR="0087601C" w:rsidRPr="006A1EC7" w:rsidRDefault="0087601C" w:rsidP="00D56051"/>
          <w:p w14:paraId="36D8B795" w14:textId="77777777" w:rsidR="0087601C" w:rsidRPr="006A1EC7" w:rsidRDefault="0087601C" w:rsidP="00D56051"/>
          <w:p w14:paraId="33079184" w14:textId="77777777" w:rsidR="0087601C" w:rsidRPr="006A1EC7" w:rsidRDefault="0087601C" w:rsidP="00D56051"/>
          <w:p w14:paraId="44664C3F" w14:textId="77777777" w:rsidR="0087601C" w:rsidRPr="006A1EC7" w:rsidRDefault="0087601C" w:rsidP="00D56051"/>
          <w:p w14:paraId="2387D7D1" w14:textId="77777777" w:rsidR="0087601C" w:rsidRPr="006A1EC7" w:rsidRDefault="0087601C" w:rsidP="00D56051">
            <w:r w:rsidRPr="006A1EC7">
              <w:t>To assess medication status</w:t>
            </w:r>
          </w:p>
          <w:p w14:paraId="2D6F38FB" w14:textId="77777777" w:rsidR="0087601C" w:rsidRPr="006A1EC7" w:rsidRDefault="0087601C" w:rsidP="00D56051"/>
          <w:p w14:paraId="1EE9B6AC" w14:textId="77777777" w:rsidR="0087601C" w:rsidRPr="006A1EC7" w:rsidRDefault="0087601C" w:rsidP="00D56051"/>
          <w:p w14:paraId="0711B4E3" w14:textId="77777777" w:rsidR="0087601C" w:rsidRPr="006A1EC7" w:rsidRDefault="0087601C" w:rsidP="00D56051"/>
          <w:p w14:paraId="4D55181E" w14:textId="77777777" w:rsidR="0087601C" w:rsidRPr="006A1EC7" w:rsidRDefault="0087601C" w:rsidP="00D56051"/>
          <w:p w14:paraId="548B24D1" w14:textId="77777777" w:rsidR="0087601C" w:rsidRPr="006A1EC7" w:rsidRDefault="0087601C" w:rsidP="00D56051">
            <w:r w:rsidRPr="006A1EC7">
              <w:t>(Current) seizure frequency/status was considered one of the most distressing aspects of epilepsy; thus requires assessment.</w:t>
            </w:r>
          </w:p>
          <w:p w14:paraId="791051AB" w14:textId="77777777" w:rsidR="0087601C" w:rsidRPr="006A1EC7" w:rsidRDefault="0087601C" w:rsidP="00D56051"/>
          <w:p w14:paraId="021A14F8" w14:textId="77777777" w:rsidR="0087601C" w:rsidRPr="006A1EC7" w:rsidRDefault="0087601C" w:rsidP="00D56051"/>
          <w:p w14:paraId="3DA32DB5" w14:textId="77777777" w:rsidR="0087601C" w:rsidRPr="006A1EC7" w:rsidRDefault="0087601C" w:rsidP="00D56051"/>
          <w:p w14:paraId="381D5AC3" w14:textId="77777777" w:rsidR="0087601C" w:rsidRPr="006A1EC7" w:rsidRDefault="0087601C" w:rsidP="00D56051"/>
          <w:p w14:paraId="592FCBCC" w14:textId="77777777" w:rsidR="0087601C" w:rsidRPr="006A1EC7" w:rsidRDefault="0087601C" w:rsidP="00D56051"/>
          <w:p w14:paraId="19AA2C99" w14:textId="77777777" w:rsidR="0087601C" w:rsidRPr="006A1EC7" w:rsidRDefault="0087601C" w:rsidP="00D56051"/>
          <w:p w14:paraId="307DBB1B" w14:textId="77777777" w:rsidR="0087601C" w:rsidRPr="006A1EC7" w:rsidRDefault="0087601C" w:rsidP="00D56051"/>
          <w:p w14:paraId="627FC642" w14:textId="77777777" w:rsidR="0087601C" w:rsidRPr="006A1EC7" w:rsidRDefault="0087601C" w:rsidP="00D56051"/>
          <w:p w14:paraId="5AE5CECE" w14:textId="77777777" w:rsidR="0087601C" w:rsidRPr="006A1EC7" w:rsidRDefault="0087601C" w:rsidP="00D56051">
            <w:r w:rsidRPr="006A1EC7">
              <w:t>Assessment of types of seizures important, differentiation between absences and more severe seizure forms.</w:t>
            </w:r>
          </w:p>
          <w:p w14:paraId="3D3BA634" w14:textId="77777777" w:rsidR="0087601C" w:rsidRPr="006A1EC7" w:rsidRDefault="0087601C" w:rsidP="00D56051"/>
          <w:p w14:paraId="3463EBEA" w14:textId="77777777" w:rsidR="0087601C" w:rsidRPr="006A1EC7" w:rsidRDefault="0087601C" w:rsidP="00D56051"/>
          <w:p w14:paraId="785E2D5F" w14:textId="77777777" w:rsidR="0087601C" w:rsidRPr="006A1EC7" w:rsidRDefault="0087601C" w:rsidP="00D56051"/>
          <w:p w14:paraId="4FFF8CA6" w14:textId="77777777" w:rsidR="0087601C" w:rsidRPr="006A1EC7" w:rsidRDefault="0087601C" w:rsidP="00D56051"/>
          <w:p w14:paraId="19C38EF4" w14:textId="77777777" w:rsidR="0087601C" w:rsidRPr="006A1EC7" w:rsidRDefault="0087601C" w:rsidP="00D56051"/>
          <w:p w14:paraId="7E4FE786" w14:textId="77777777" w:rsidR="0087601C" w:rsidRPr="006A1EC7" w:rsidRDefault="0087601C" w:rsidP="00D56051"/>
          <w:p w14:paraId="5A720B6B" w14:textId="77777777" w:rsidR="0087601C" w:rsidRPr="006A1EC7" w:rsidRDefault="0087601C" w:rsidP="00D56051">
            <w:r w:rsidRPr="006A1EC7">
              <w:t>To assess severity of seizures, impact on patient.</w:t>
            </w:r>
          </w:p>
          <w:p w14:paraId="642CFEEE" w14:textId="77777777" w:rsidR="0087601C" w:rsidRPr="006A1EC7" w:rsidRDefault="0087601C" w:rsidP="00D56051"/>
          <w:p w14:paraId="2D3CE25A" w14:textId="77777777" w:rsidR="0087601C" w:rsidRPr="006A1EC7" w:rsidRDefault="0087601C" w:rsidP="00D56051"/>
          <w:p w14:paraId="13C47422" w14:textId="77777777" w:rsidR="0087601C" w:rsidRPr="006A1EC7" w:rsidRDefault="0087601C" w:rsidP="00D56051"/>
          <w:p w14:paraId="72A8033B" w14:textId="77777777" w:rsidR="0087601C" w:rsidRPr="006A1EC7" w:rsidRDefault="0087601C" w:rsidP="00D56051"/>
          <w:p w14:paraId="3290E831" w14:textId="77777777" w:rsidR="0087601C" w:rsidRPr="006A1EC7" w:rsidRDefault="0087601C" w:rsidP="00D56051"/>
          <w:p w14:paraId="7C288015" w14:textId="77777777" w:rsidR="0087601C" w:rsidRPr="006A1EC7" w:rsidRDefault="0087601C" w:rsidP="00D56051"/>
          <w:p w14:paraId="38C68F21" w14:textId="77777777" w:rsidR="0087601C" w:rsidRPr="006A1EC7" w:rsidRDefault="0087601C" w:rsidP="00D56051"/>
          <w:p w14:paraId="346DB53D" w14:textId="77777777" w:rsidR="0087601C" w:rsidRPr="006A1EC7" w:rsidRDefault="0087601C" w:rsidP="00D56051">
            <w:r w:rsidRPr="006A1EC7">
              <w:t>Important to assess in context of seizure status/medication</w:t>
            </w:r>
          </w:p>
          <w:p w14:paraId="6FCEAD3D" w14:textId="77777777" w:rsidR="0087601C" w:rsidRPr="006A1EC7" w:rsidRDefault="0087601C" w:rsidP="00D56051"/>
          <w:p w14:paraId="66D8F352" w14:textId="77777777" w:rsidR="0087601C" w:rsidRPr="006A1EC7" w:rsidRDefault="0087601C" w:rsidP="00D56051"/>
          <w:p w14:paraId="2BFB7BDD" w14:textId="77777777" w:rsidR="0087601C" w:rsidRPr="006A1EC7" w:rsidRDefault="0087601C" w:rsidP="00D56051"/>
          <w:p w14:paraId="69CB966A" w14:textId="77777777" w:rsidR="0087601C" w:rsidRPr="006A1EC7" w:rsidRDefault="0087601C" w:rsidP="00D56051"/>
          <w:p w14:paraId="42564523" w14:textId="77777777" w:rsidR="0087601C" w:rsidRPr="006A1EC7" w:rsidRDefault="0087601C" w:rsidP="00D56051">
            <w:r w:rsidRPr="006A1EC7">
              <w:t>Consideration for patients’ quality of life; important to see if side effects could be minimised by drug change.</w:t>
            </w:r>
          </w:p>
        </w:tc>
      </w:tr>
      <w:tr w:rsidR="0087601C" w:rsidRPr="006A1EC7" w14:paraId="3F442804" w14:textId="77777777" w:rsidTr="00D56051">
        <w:tc>
          <w:tcPr>
            <w:tcW w:w="4475" w:type="dxa"/>
          </w:tcPr>
          <w:p w14:paraId="619EA202" w14:textId="77777777" w:rsidR="0087601C" w:rsidRPr="006A1EC7" w:rsidRDefault="0087601C" w:rsidP="00D56051">
            <w:pPr>
              <w:rPr>
                <w:b/>
                <w:u w:val="single"/>
              </w:rPr>
            </w:pPr>
            <w:r w:rsidRPr="006A1EC7">
              <w:rPr>
                <w:b/>
                <w:u w:val="single"/>
              </w:rPr>
              <w:lastRenderedPageBreak/>
              <w:t xml:space="preserve">Section 3: Gastrointestinal symptoms </w:t>
            </w:r>
          </w:p>
          <w:p w14:paraId="1DBA048B" w14:textId="77777777" w:rsidR="0087601C" w:rsidRPr="006A1EC7" w:rsidRDefault="0087601C" w:rsidP="00D56051">
            <w:pPr>
              <w:rPr>
                <w:b/>
                <w:u w:val="single"/>
              </w:rPr>
            </w:pPr>
          </w:p>
          <w:p w14:paraId="044CFC80" w14:textId="77777777" w:rsidR="0087601C" w:rsidRPr="006A1EC7" w:rsidRDefault="0087601C" w:rsidP="00D56051">
            <w:pPr>
              <w:rPr>
                <w:i/>
              </w:rPr>
            </w:pPr>
            <w:r w:rsidRPr="006A1EC7">
              <w:rPr>
                <w:i/>
              </w:rPr>
              <w:t>Feeding, reflux &amp; vomiting</w:t>
            </w:r>
          </w:p>
          <w:p w14:paraId="187F703A" w14:textId="77777777" w:rsidR="0087601C" w:rsidRPr="006A1EC7" w:rsidRDefault="0087601C" w:rsidP="00D56051">
            <w:pPr>
              <w:rPr>
                <w:u w:val="single"/>
              </w:rPr>
            </w:pPr>
          </w:p>
          <w:p w14:paraId="6C011D9C" w14:textId="77777777" w:rsidR="0087601C" w:rsidRPr="006A1EC7" w:rsidRDefault="0087601C" w:rsidP="00D56051">
            <w:pPr>
              <w:rPr>
                <w:highlight w:val="cyan"/>
                <w:u w:val="single"/>
              </w:rPr>
            </w:pPr>
            <w:r w:rsidRPr="006A1EC7">
              <w:rPr>
                <w:highlight w:val="cyan"/>
                <w:u w:val="single"/>
              </w:rPr>
              <w:t>Item 3A: Eating, is the patient  …?</w:t>
            </w:r>
          </w:p>
          <w:p w14:paraId="01D9E0E3" w14:textId="77777777" w:rsidR="0087601C" w:rsidRPr="006A1EC7" w:rsidRDefault="0087601C" w:rsidP="00D56051">
            <w:pPr>
              <w:rPr>
                <w:highlight w:val="cyan"/>
              </w:rPr>
            </w:pPr>
            <w:r w:rsidRPr="006A1EC7">
              <w:rPr>
                <w:highlight w:val="cyan"/>
              </w:rPr>
              <w:t>Reliant on an intervention, such as PEG feed, nasal gastric tube or jejunostomy, for diet intake = 2</w:t>
            </w:r>
          </w:p>
          <w:p w14:paraId="1E9517A5" w14:textId="77777777" w:rsidR="0087601C" w:rsidRPr="006A1EC7" w:rsidRDefault="0087601C" w:rsidP="00D56051">
            <w:r w:rsidRPr="006A1EC7">
              <w:rPr>
                <w:highlight w:val="cyan"/>
              </w:rPr>
              <w:t>Reliant on assistance, such as mashing or liquidising, but can feed/swallow themselves = 1</w:t>
            </w:r>
            <w:r w:rsidRPr="006A1EC7">
              <w:rPr>
                <w:highlight w:val="cyan"/>
              </w:rPr>
              <w:br/>
              <w:t>Able to eat independently (e.g. may need help cutting food) = 0</w:t>
            </w:r>
          </w:p>
          <w:p w14:paraId="58B8CABE" w14:textId="77777777" w:rsidR="0087601C" w:rsidRPr="006A1EC7" w:rsidRDefault="0087601C" w:rsidP="00D56051"/>
          <w:p w14:paraId="4446B589" w14:textId="77777777" w:rsidR="0087601C" w:rsidRPr="006A1EC7" w:rsidRDefault="0087601C" w:rsidP="00D56051">
            <w:r w:rsidRPr="006A1EC7">
              <w:rPr>
                <w:highlight w:val="cyan"/>
                <w:u w:val="single"/>
              </w:rPr>
              <w:t>Item 3AB: If reliant in intervention, are there any issues with recurrent infections at the intervention site?</w:t>
            </w:r>
            <w:r w:rsidRPr="006A1EC7">
              <w:rPr>
                <w:highlight w:val="cyan"/>
              </w:rPr>
              <w:br/>
              <w:t>Yes = 1</w:t>
            </w:r>
            <w:r w:rsidRPr="006A1EC7">
              <w:rPr>
                <w:highlight w:val="cyan"/>
              </w:rPr>
              <w:br/>
              <w:t>No = 0</w:t>
            </w:r>
          </w:p>
          <w:p w14:paraId="67AF32CA" w14:textId="77777777" w:rsidR="0087601C" w:rsidRPr="006A1EC7" w:rsidRDefault="0087601C" w:rsidP="00D56051"/>
          <w:p w14:paraId="473C7069" w14:textId="77777777" w:rsidR="0087601C" w:rsidRPr="006A1EC7" w:rsidRDefault="0087601C" w:rsidP="00D56051">
            <w:pPr>
              <w:rPr>
                <w:highlight w:val="magenta"/>
                <w:u w:val="single"/>
              </w:rPr>
            </w:pPr>
            <w:r w:rsidRPr="006A1EC7">
              <w:rPr>
                <w:highlight w:val="magenta"/>
                <w:u w:val="single"/>
              </w:rPr>
              <w:t xml:space="preserve">Item 3AC: If patient is oral, which issues do the family/carergivers face when eating </w:t>
            </w:r>
            <w:r w:rsidRPr="006A1EC7">
              <w:rPr>
                <w:highlight w:val="magenta"/>
                <w:u w:val="single"/>
              </w:rPr>
              <w:lastRenderedPageBreak/>
              <w:t>with their relative with Wolf-Hirschhorn syndrome? (Add up if more than one)</w:t>
            </w:r>
          </w:p>
          <w:p w14:paraId="74B13DBD" w14:textId="77777777" w:rsidR="0087601C" w:rsidRPr="006A1EC7" w:rsidRDefault="0087601C" w:rsidP="00D56051">
            <w:r w:rsidRPr="006A1EC7">
              <w:rPr>
                <w:highlight w:val="magenta"/>
              </w:rPr>
              <w:t>Time- consuming to feed due to motor- and coordination difficulties = 1</w:t>
            </w:r>
            <w:r w:rsidRPr="006A1EC7">
              <w:rPr>
                <w:highlight w:val="magenta"/>
              </w:rPr>
              <w:br/>
              <w:t>Difficulty feeding = 1</w:t>
            </w:r>
            <w:r w:rsidRPr="006A1EC7">
              <w:rPr>
                <w:highlight w:val="magenta"/>
              </w:rPr>
              <w:br/>
              <w:t>No issues = 0</w:t>
            </w:r>
          </w:p>
          <w:p w14:paraId="4E9A7472" w14:textId="77777777" w:rsidR="0087601C" w:rsidRPr="006A1EC7" w:rsidRDefault="0087601C" w:rsidP="00D56051"/>
          <w:p w14:paraId="16720BC3" w14:textId="77777777" w:rsidR="0087601C" w:rsidRPr="006A1EC7" w:rsidRDefault="0087601C" w:rsidP="00D56051">
            <w:pPr>
              <w:rPr>
                <w:highlight w:val="cyan"/>
              </w:rPr>
            </w:pPr>
            <w:r w:rsidRPr="006A1EC7">
              <w:rPr>
                <w:highlight w:val="cyan"/>
                <w:u w:val="single"/>
              </w:rPr>
              <w:t>Item 3B: For fluid intake/drinking, is the patient….?</w:t>
            </w:r>
            <w:r w:rsidRPr="006A1EC7">
              <w:rPr>
                <w:highlight w:val="cyan"/>
              </w:rPr>
              <w:br/>
              <w:t>Reliant on an intervention for fluid intake, as above = 2</w:t>
            </w:r>
          </w:p>
          <w:p w14:paraId="303A0338" w14:textId="77777777" w:rsidR="0087601C" w:rsidRPr="006A1EC7" w:rsidRDefault="0087601C" w:rsidP="00D56051">
            <w:pPr>
              <w:rPr>
                <w:highlight w:val="cyan"/>
              </w:rPr>
            </w:pPr>
            <w:r w:rsidRPr="006A1EC7">
              <w:rPr>
                <w:highlight w:val="cyan"/>
              </w:rPr>
              <w:t>Able to drink with assistance items (with straws, special cups) = 1</w:t>
            </w:r>
          </w:p>
          <w:p w14:paraId="3C9A4AD8" w14:textId="77777777" w:rsidR="0087601C" w:rsidRPr="006A1EC7" w:rsidRDefault="0087601C" w:rsidP="00D56051">
            <w:r w:rsidRPr="006A1EC7">
              <w:rPr>
                <w:highlight w:val="cyan"/>
              </w:rPr>
              <w:t>Able to drink independently without help= 0</w:t>
            </w:r>
            <w:r w:rsidRPr="006A1EC7">
              <w:t xml:space="preserve"> </w:t>
            </w:r>
          </w:p>
          <w:p w14:paraId="06360F99" w14:textId="77777777" w:rsidR="0087601C" w:rsidRPr="006A1EC7" w:rsidRDefault="0087601C" w:rsidP="00D56051"/>
          <w:p w14:paraId="63010CDD" w14:textId="77777777" w:rsidR="0087601C" w:rsidRPr="006A1EC7" w:rsidRDefault="0087601C" w:rsidP="00D56051">
            <w:pPr>
              <w:rPr>
                <w:highlight w:val="cyan"/>
                <w:u w:val="single"/>
              </w:rPr>
            </w:pPr>
            <w:r w:rsidRPr="006A1EC7">
              <w:rPr>
                <w:highlight w:val="cyan"/>
                <w:u w:val="single"/>
              </w:rPr>
              <w:t>Item 3C: Are there issues with aspiration?</w:t>
            </w:r>
          </w:p>
          <w:p w14:paraId="3A576189" w14:textId="77777777" w:rsidR="0087601C" w:rsidRPr="006A1EC7" w:rsidRDefault="0087601C" w:rsidP="00D56051">
            <w:pPr>
              <w:rPr>
                <w:highlight w:val="cyan"/>
              </w:rPr>
            </w:pPr>
            <w:r w:rsidRPr="006A1EC7">
              <w:rPr>
                <w:highlight w:val="cyan"/>
              </w:rPr>
              <w:t>Severe issues (e.g. consequentially cannot eat, reliant on intervention as result) = 2</w:t>
            </w:r>
          </w:p>
          <w:p w14:paraId="4545AA26" w14:textId="77777777" w:rsidR="0087601C" w:rsidRPr="006A1EC7" w:rsidRDefault="0087601C" w:rsidP="00D56051">
            <w:pPr>
              <w:rPr>
                <w:highlight w:val="cyan"/>
              </w:rPr>
            </w:pPr>
            <w:r w:rsidRPr="006A1EC7">
              <w:rPr>
                <w:highlight w:val="cyan"/>
              </w:rPr>
              <w:t>Intermittent issues/sometimes = 1</w:t>
            </w:r>
          </w:p>
          <w:p w14:paraId="1C9D446E" w14:textId="77777777" w:rsidR="0087601C" w:rsidRPr="006A1EC7" w:rsidRDefault="0087601C" w:rsidP="00D56051">
            <w:r w:rsidRPr="006A1EC7">
              <w:rPr>
                <w:highlight w:val="cyan"/>
              </w:rPr>
              <w:t>No issues = 0</w:t>
            </w:r>
            <w:r w:rsidRPr="006A1EC7">
              <w:t xml:space="preserve"> </w:t>
            </w:r>
          </w:p>
          <w:p w14:paraId="5856F485" w14:textId="77777777" w:rsidR="0087601C" w:rsidRPr="006A1EC7" w:rsidRDefault="0087601C" w:rsidP="00D56051"/>
          <w:p w14:paraId="1AEF73E0" w14:textId="77777777" w:rsidR="0087601C" w:rsidRPr="006A1EC7" w:rsidRDefault="0087601C" w:rsidP="00D56051">
            <w:pPr>
              <w:rPr>
                <w:u w:val="single"/>
              </w:rPr>
            </w:pPr>
            <w:r w:rsidRPr="006A1EC7">
              <w:rPr>
                <w:highlight w:val="cyan"/>
                <w:u w:val="single"/>
              </w:rPr>
              <w:t>Item 3D: Does the patient have a diagnosis of reflux</w:t>
            </w:r>
            <w:r w:rsidRPr="006A1EC7">
              <w:rPr>
                <w:u w:val="single"/>
              </w:rPr>
              <w:t xml:space="preserve"> </w:t>
            </w:r>
            <w:r w:rsidRPr="006A1EC7">
              <w:rPr>
                <w:highlight w:val="yellow"/>
                <w:u w:val="single"/>
              </w:rPr>
              <w:t>(=defined as effortless vomiting)</w:t>
            </w:r>
            <w:r w:rsidRPr="006A1EC7">
              <w:rPr>
                <w:u w:val="single"/>
              </w:rPr>
              <w:t xml:space="preserve"> </w:t>
            </w:r>
            <w:r w:rsidRPr="006A1EC7">
              <w:rPr>
                <w:highlight w:val="cyan"/>
                <w:u w:val="single"/>
              </w:rPr>
              <w:t>which has been…?</w:t>
            </w:r>
          </w:p>
          <w:p w14:paraId="6F3D1EE1" w14:textId="77777777" w:rsidR="0087601C" w:rsidRPr="006A1EC7" w:rsidRDefault="0087601C" w:rsidP="00D56051">
            <w:pPr>
              <w:rPr>
                <w:highlight w:val="yellow"/>
              </w:rPr>
            </w:pPr>
            <w:r w:rsidRPr="006A1EC7">
              <w:rPr>
                <w:highlight w:val="yellow"/>
              </w:rPr>
              <w:t>confirmed by an investigation/test = 2</w:t>
            </w:r>
          </w:p>
          <w:p w14:paraId="16D69B05" w14:textId="77777777" w:rsidR="0087601C" w:rsidRPr="006A1EC7" w:rsidRDefault="0087601C" w:rsidP="00D56051">
            <w:pPr>
              <w:rPr>
                <w:highlight w:val="yellow"/>
              </w:rPr>
            </w:pPr>
            <w:r w:rsidRPr="006A1EC7">
              <w:rPr>
                <w:highlight w:val="yellow"/>
              </w:rPr>
              <w:t>given as a clinical diagnosis (without testing) = 1</w:t>
            </w:r>
          </w:p>
          <w:p w14:paraId="4205DD44" w14:textId="77777777" w:rsidR="0087601C" w:rsidRPr="006A1EC7" w:rsidRDefault="0087601C" w:rsidP="00D56051">
            <w:r w:rsidRPr="006A1EC7">
              <w:rPr>
                <w:highlight w:val="yellow"/>
              </w:rPr>
              <w:t>None = 0</w:t>
            </w:r>
            <w:r w:rsidRPr="006A1EC7">
              <w:t xml:space="preserve"> </w:t>
            </w:r>
          </w:p>
          <w:p w14:paraId="76065A5C" w14:textId="77777777" w:rsidR="0087601C" w:rsidRPr="006A1EC7" w:rsidRDefault="0087601C" w:rsidP="00D56051">
            <w:pPr>
              <w:rPr>
                <w:u w:val="single"/>
              </w:rPr>
            </w:pPr>
          </w:p>
          <w:p w14:paraId="6CC56166" w14:textId="77777777" w:rsidR="0087601C" w:rsidRPr="006A1EC7" w:rsidRDefault="0087601C" w:rsidP="00D56051">
            <w:pPr>
              <w:rPr>
                <w:highlight w:val="cyan"/>
                <w:u w:val="single"/>
              </w:rPr>
            </w:pPr>
            <w:r w:rsidRPr="006A1EC7">
              <w:rPr>
                <w:highlight w:val="cyan"/>
                <w:u w:val="single"/>
              </w:rPr>
              <w:t>Item 3DA Does the patient’s reflux require medication?</w:t>
            </w:r>
          </w:p>
          <w:p w14:paraId="6B366822" w14:textId="77777777" w:rsidR="0087601C" w:rsidRPr="006A1EC7" w:rsidRDefault="0087601C" w:rsidP="00D56051">
            <w:pPr>
              <w:rPr>
                <w:highlight w:val="cyan"/>
              </w:rPr>
            </w:pPr>
            <w:r w:rsidRPr="006A1EC7">
              <w:rPr>
                <w:highlight w:val="cyan"/>
              </w:rPr>
              <w:t>Yes = 1</w:t>
            </w:r>
          </w:p>
          <w:p w14:paraId="2145D7B7" w14:textId="77777777" w:rsidR="0087601C" w:rsidRPr="006A1EC7" w:rsidRDefault="0087601C" w:rsidP="00D56051">
            <w:r w:rsidRPr="006A1EC7">
              <w:rPr>
                <w:highlight w:val="cyan"/>
              </w:rPr>
              <w:t>No = 0</w:t>
            </w:r>
            <w:r w:rsidRPr="006A1EC7">
              <w:t xml:space="preserve"> </w:t>
            </w:r>
          </w:p>
          <w:p w14:paraId="0F714899" w14:textId="77777777" w:rsidR="0087601C" w:rsidRPr="006A1EC7" w:rsidRDefault="0087601C" w:rsidP="00D56051"/>
          <w:p w14:paraId="07FAC324" w14:textId="77777777" w:rsidR="0087601C" w:rsidRPr="006A1EC7" w:rsidRDefault="0087601C" w:rsidP="00D56051">
            <w:pPr>
              <w:rPr>
                <w:highlight w:val="cyan"/>
                <w:u w:val="single"/>
              </w:rPr>
            </w:pPr>
            <w:r w:rsidRPr="006A1EC7">
              <w:rPr>
                <w:highlight w:val="cyan"/>
                <w:u w:val="single"/>
              </w:rPr>
              <w:t>Item 3DB: Does the patient experience apparent reflux symptoms? (Can be more than 1)</w:t>
            </w:r>
          </w:p>
          <w:p w14:paraId="3A1D0057" w14:textId="77777777" w:rsidR="0087601C" w:rsidRPr="006A1EC7" w:rsidRDefault="0087601C" w:rsidP="00D56051">
            <w:pPr>
              <w:rPr>
                <w:highlight w:val="cyan"/>
              </w:rPr>
            </w:pPr>
            <w:r w:rsidRPr="006A1EC7">
              <w:rPr>
                <w:highlight w:val="cyan"/>
              </w:rPr>
              <w:t>Yes, apparent pain/discomfort = 1</w:t>
            </w:r>
            <w:r w:rsidRPr="006A1EC7">
              <w:rPr>
                <w:highlight w:val="cyan"/>
              </w:rPr>
              <w:br/>
              <w:t>Yes, patient will vomit shortly after food =1</w:t>
            </w:r>
          </w:p>
          <w:p w14:paraId="05A2CF4B" w14:textId="77777777" w:rsidR="0087601C" w:rsidRPr="006A1EC7" w:rsidRDefault="0087601C" w:rsidP="00D56051">
            <w:r w:rsidRPr="006A1EC7">
              <w:rPr>
                <w:highlight w:val="cyan"/>
              </w:rPr>
              <w:t>Yes, patient performs back-arching = 1</w:t>
            </w:r>
          </w:p>
          <w:p w14:paraId="51F720E0" w14:textId="77777777" w:rsidR="0087601C" w:rsidRPr="006A1EC7" w:rsidRDefault="0087601C" w:rsidP="00D56051"/>
          <w:p w14:paraId="10B506CC" w14:textId="77777777" w:rsidR="0087601C" w:rsidRPr="006A1EC7" w:rsidRDefault="0087601C" w:rsidP="00D56051">
            <w:pPr>
              <w:rPr>
                <w:highlight w:val="magenta"/>
                <w:u w:val="single"/>
              </w:rPr>
            </w:pPr>
            <w:r w:rsidRPr="006A1EC7">
              <w:rPr>
                <w:highlight w:val="magenta"/>
                <w:u w:val="single"/>
              </w:rPr>
              <w:lastRenderedPageBreak/>
              <w:t>Item 3E: Does the patient experience any recurrent episodes of vomiting, which are not caused by apparent infection, not reflux, not associated with feeding itself)?</w:t>
            </w:r>
          </w:p>
          <w:p w14:paraId="0BD27649" w14:textId="77777777" w:rsidR="0087601C" w:rsidRPr="006A1EC7" w:rsidRDefault="0087601C" w:rsidP="00D56051">
            <w:pPr>
              <w:rPr>
                <w:highlight w:val="magenta"/>
              </w:rPr>
            </w:pPr>
            <w:r w:rsidRPr="006A1EC7">
              <w:rPr>
                <w:highlight w:val="magenta"/>
              </w:rPr>
              <w:t>Yes = 2</w:t>
            </w:r>
          </w:p>
          <w:p w14:paraId="24108E83" w14:textId="77777777" w:rsidR="0087601C" w:rsidRPr="006A1EC7" w:rsidRDefault="0087601C" w:rsidP="00D56051">
            <w:pPr>
              <w:rPr>
                <w:highlight w:val="magenta"/>
              </w:rPr>
            </w:pPr>
            <w:r w:rsidRPr="006A1EC7">
              <w:rPr>
                <w:highlight w:val="magenta"/>
              </w:rPr>
              <w:t>Intermittently/sometimes = 1</w:t>
            </w:r>
          </w:p>
          <w:p w14:paraId="2A37EFB6" w14:textId="77777777" w:rsidR="0087601C" w:rsidRPr="006A1EC7" w:rsidRDefault="0087601C" w:rsidP="00D56051">
            <w:r w:rsidRPr="006A1EC7">
              <w:rPr>
                <w:highlight w:val="magenta"/>
              </w:rPr>
              <w:t>No = 0</w:t>
            </w:r>
          </w:p>
          <w:p w14:paraId="3EF3F4D4" w14:textId="77777777" w:rsidR="0087601C" w:rsidRPr="006A1EC7" w:rsidRDefault="0087601C" w:rsidP="00D56051">
            <w:pPr>
              <w:rPr>
                <w:i/>
              </w:rPr>
            </w:pPr>
            <w:r w:rsidRPr="006A1EC7">
              <w:rPr>
                <w:i/>
              </w:rPr>
              <w:t>Bowel movements &amp; Bladder/Bowel control</w:t>
            </w:r>
          </w:p>
          <w:p w14:paraId="30044F72" w14:textId="77777777" w:rsidR="0087601C" w:rsidRPr="006A1EC7" w:rsidRDefault="0087601C" w:rsidP="00D56051">
            <w:pPr>
              <w:rPr>
                <w:u w:val="single"/>
              </w:rPr>
            </w:pPr>
          </w:p>
          <w:p w14:paraId="30688781" w14:textId="77777777" w:rsidR="0087601C" w:rsidRPr="006A1EC7" w:rsidRDefault="0087601C" w:rsidP="00D56051">
            <w:pPr>
              <w:rPr>
                <w:highlight w:val="cyan"/>
              </w:rPr>
            </w:pPr>
            <w:r w:rsidRPr="006A1EC7">
              <w:rPr>
                <w:u w:val="single"/>
              </w:rPr>
              <w:t xml:space="preserve">Item 3F: </w:t>
            </w:r>
            <w:r w:rsidRPr="006A1EC7">
              <w:rPr>
                <w:highlight w:val="yellow"/>
                <w:u w:val="single"/>
              </w:rPr>
              <w:t>Over the past 6 months</w:t>
            </w:r>
            <w:r w:rsidRPr="006A1EC7">
              <w:rPr>
                <w:u w:val="single"/>
              </w:rPr>
              <w:t xml:space="preserve">, </w:t>
            </w:r>
            <w:r w:rsidRPr="006A1EC7">
              <w:rPr>
                <w:highlight w:val="cyan"/>
                <w:u w:val="single"/>
              </w:rPr>
              <w:t>has the patient experienced any problems with constipation?</w:t>
            </w:r>
            <w:r w:rsidRPr="006A1EC7">
              <w:rPr>
                <w:highlight w:val="cyan"/>
                <w:u w:val="single"/>
              </w:rPr>
              <w:br/>
            </w:r>
            <w:r w:rsidRPr="006A1EC7">
              <w:rPr>
                <w:highlight w:val="cyan"/>
              </w:rPr>
              <w:t>Most of the time = 2</w:t>
            </w:r>
          </w:p>
          <w:p w14:paraId="35233775" w14:textId="77777777" w:rsidR="0087601C" w:rsidRPr="006A1EC7" w:rsidRDefault="0087601C" w:rsidP="00D56051">
            <w:r w:rsidRPr="006A1EC7">
              <w:rPr>
                <w:highlight w:val="cyan"/>
              </w:rPr>
              <w:t>Some of the time = 1</w:t>
            </w:r>
            <w:r w:rsidRPr="006A1EC7">
              <w:rPr>
                <w:highlight w:val="cyan"/>
              </w:rPr>
              <w:br/>
              <w:t>Rarely = 0</w:t>
            </w:r>
            <w:r w:rsidRPr="006A1EC7">
              <w:t xml:space="preserve"> </w:t>
            </w:r>
          </w:p>
          <w:p w14:paraId="231343F2" w14:textId="77777777" w:rsidR="0087601C" w:rsidRPr="006A1EC7" w:rsidRDefault="0087601C" w:rsidP="00D56051"/>
          <w:p w14:paraId="3522567C" w14:textId="77777777" w:rsidR="0087601C" w:rsidRPr="006A1EC7" w:rsidRDefault="0087601C" w:rsidP="00D56051">
            <w:pPr>
              <w:rPr>
                <w:highlight w:val="magenta"/>
                <w:u w:val="single"/>
              </w:rPr>
            </w:pPr>
            <w:r w:rsidRPr="006A1EC7">
              <w:rPr>
                <w:highlight w:val="magenta"/>
                <w:u w:val="single"/>
              </w:rPr>
              <w:t>Item 3FA: What specific constipation-related issues does the patient suffer? (Add items up)</w:t>
            </w:r>
          </w:p>
          <w:p w14:paraId="015C9609" w14:textId="77777777" w:rsidR="0087601C" w:rsidRPr="006A1EC7" w:rsidRDefault="0087601C" w:rsidP="00D56051">
            <w:pPr>
              <w:rPr>
                <w:highlight w:val="magenta"/>
              </w:rPr>
            </w:pPr>
            <w:r w:rsidRPr="006A1EC7">
              <w:rPr>
                <w:highlight w:val="magenta"/>
              </w:rPr>
              <w:t>Abdominal distention/bloating = 1</w:t>
            </w:r>
            <w:r w:rsidRPr="006A1EC7">
              <w:rPr>
                <w:highlight w:val="magenta"/>
              </w:rPr>
              <w:br/>
              <w:t>Inability to pass stool = 1</w:t>
            </w:r>
          </w:p>
          <w:p w14:paraId="57F49994" w14:textId="77777777" w:rsidR="0087601C" w:rsidRPr="006A1EC7" w:rsidRDefault="0087601C" w:rsidP="00D56051">
            <w:r w:rsidRPr="006A1EC7">
              <w:rPr>
                <w:highlight w:val="magenta"/>
              </w:rPr>
              <w:t>Observable pain/cramps = 1</w:t>
            </w:r>
          </w:p>
          <w:p w14:paraId="5DB4B974" w14:textId="77777777" w:rsidR="0087601C" w:rsidRPr="006A1EC7" w:rsidRDefault="0087601C" w:rsidP="00D56051"/>
          <w:p w14:paraId="793B71A7" w14:textId="77777777" w:rsidR="0087601C" w:rsidRPr="006A1EC7" w:rsidRDefault="0087601C" w:rsidP="00D56051">
            <w:pPr>
              <w:rPr>
                <w:highlight w:val="magenta"/>
              </w:rPr>
            </w:pPr>
            <w:r w:rsidRPr="006A1EC7">
              <w:rPr>
                <w:highlight w:val="magenta"/>
                <w:u w:val="single"/>
              </w:rPr>
              <w:t>Item 3FB: Over the past 6 months, has the patient experienced any problems with diarrhoea? (not caused by evident infection)</w:t>
            </w:r>
            <w:r w:rsidRPr="006A1EC7">
              <w:rPr>
                <w:highlight w:val="magenta"/>
                <w:u w:val="single"/>
              </w:rPr>
              <w:br/>
            </w:r>
            <w:r w:rsidRPr="006A1EC7">
              <w:rPr>
                <w:highlight w:val="magenta"/>
              </w:rPr>
              <w:t>Most of the time = 2</w:t>
            </w:r>
          </w:p>
          <w:p w14:paraId="7883FDB0" w14:textId="77777777" w:rsidR="0087601C" w:rsidRPr="006A1EC7" w:rsidRDefault="0087601C" w:rsidP="00D56051">
            <w:r w:rsidRPr="006A1EC7">
              <w:rPr>
                <w:highlight w:val="magenta"/>
              </w:rPr>
              <w:t>Some of the time = 1</w:t>
            </w:r>
            <w:r w:rsidRPr="006A1EC7">
              <w:rPr>
                <w:highlight w:val="magenta"/>
              </w:rPr>
              <w:br/>
              <w:t>Rarely = 0</w:t>
            </w:r>
            <w:r w:rsidRPr="006A1EC7">
              <w:t xml:space="preserve"> </w:t>
            </w:r>
          </w:p>
          <w:p w14:paraId="7AA84A09" w14:textId="77777777" w:rsidR="0087601C" w:rsidRPr="006A1EC7" w:rsidRDefault="0087601C" w:rsidP="00D56051">
            <w:pPr>
              <w:rPr>
                <w:u w:val="single"/>
              </w:rPr>
            </w:pPr>
          </w:p>
          <w:p w14:paraId="252D3A46" w14:textId="77777777" w:rsidR="0087601C" w:rsidRPr="006A1EC7" w:rsidRDefault="0087601C" w:rsidP="00D56051">
            <w:pPr>
              <w:rPr>
                <w:highlight w:val="magenta"/>
                <w:u w:val="single"/>
              </w:rPr>
            </w:pPr>
            <w:r w:rsidRPr="006A1EC7">
              <w:rPr>
                <w:highlight w:val="magenta"/>
                <w:u w:val="single"/>
              </w:rPr>
              <w:t>Item 3FC: What specific diarrhoea-related issues does the patient suffer? (Add items up)</w:t>
            </w:r>
          </w:p>
          <w:p w14:paraId="532164C6" w14:textId="77777777" w:rsidR="0087601C" w:rsidRPr="006A1EC7" w:rsidRDefault="0087601C" w:rsidP="00D56051">
            <w:pPr>
              <w:rPr>
                <w:highlight w:val="magenta"/>
              </w:rPr>
            </w:pPr>
            <w:r w:rsidRPr="006A1EC7">
              <w:rPr>
                <w:highlight w:val="magenta"/>
              </w:rPr>
              <w:t>Predominantly liquid stools, no solid pieces =1</w:t>
            </w:r>
          </w:p>
          <w:p w14:paraId="4323D57F" w14:textId="77777777" w:rsidR="0087601C" w:rsidRPr="006A1EC7" w:rsidRDefault="0087601C" w:rsidP="00D56051">
            <w:pPr>
              <w:rPr>
                <w:highlight w:val="yellow"/>
              </w:rPr>
            </w:pPr>
            <w:r w:rsidRPr="006A1EC7">
              <w:rPr>
                <w:highlight w:val="yellow"/>
              </w:rPr>
              <w:t>Bloating = 1</w:t>
            </w:r>
          </w:p>
          <w:p w14:paraId="50C2539C" w14:textId="77777777" w:rsidR="0087601C" w:rsidRPr="006A1EC7" w:rsidRDefault="0087601C" w:rsidP="00D56051">
            <w:r w:rsidRPr="006A1EC7">
              <w:rPr>
                <w:highlight w:val="yellow"/>
              </w:rPr>
              <w:t>Fever =1</w:t>
            </w:r>
            <w:r w:rsidRPr="006A1EC7">
              <w:t xml:space="preserve"> </w:t>
            </w:r>
          </w:p>
          <w:p w14:paraId="4A0E65C8" w14:textId="77777777" w:rsidR="0087601C" w:rsidRPr="006A1EC7" w:rsidRDefault="0087601C" w:rsidP="00D56051"/>
          <w:p w14:paraId="256388E4" w14:textId="77777777" w:rsidR="0087601C" w:rsidRPr="006A1EC7" w:rsidRDefault="0087601C" w:rsidP="00D56051">
            <w:pPr>
              <w:rPr>
                <w:highlight w:val="cyan"/>
                <w:u w:val="single"/>
              </w:rPr>
            </w:pPr>
            <w:r w:rsidRPr="006A1EC7">
              <w:rPr>
                <w:highlight w:val="cyan"/>
                <w:u w:val="single"/>
              </w:rPr>
              <w:t>Item 3G: Does the patient have bladder control?</w:t>
            </w:r>
            <w:r w:rsidRPr="006A1EC7">
              <w:rPr>
                <w:highlight w:val="cyan"/>
              </w:rPr>
              <w:br/>
              <w:t>No, patient needs pads/nappies and cannot indicate, whether toilet is needed = 2</w:t>
            </w:r>
          </w:p>
          <w:p w14:paraId="7687677E" w14:textId="77777777" w:rsidR="0087601C" w:rsidRPr="006A1EC7" w:rsidRDefault="0087601C" w:rsidP="00D56051">
            <w:pPr>
              <w:rPr>
                <w:highlight w:val="cyan"/>
              </w:rPr>
            </w:pPr>
            <w:r w:rsidRPr="006A1EC7">
              <w:rPr>
                <w:highlight w:val="cyan"/>
              </w:rPr>
              <w:t>Patient is partly able to indicate = 1</w:t>
            </w:r>
          </w:p>
          <w:p w14:paraId="439A56B7" w14:textId="77777777" w:rsidR="0087601C" w:rsidRPr="006A1EC7" w:rsidRDefault="0087601C" w:rsidP="00D56051">
            <w:r w:rsidRPr="006A1EC7">
              <w:rPr>
                <w:highlight w:val="cyan"/>
              </w:rPr>
              <w:lastRenderedPageBreak/>
              <w:t>Independent = 0</w:t>
            </w:r>
          </w:p>
          <w:p w14:paraId="12FD93C2" w14:textId="77777777" w:rsidR="0087601C" w:rsidRPr="006A1EC7" w:rsidRDefault="0087601C" w:rsidP="00D56051"/>
          <w:p w14:paraId="251A34D2" w14:textId="77777777" w:rsidR="0087601C" w:rsidRPr="006A1EC7" w:rsidRDefault="0087601C" w:rsidP="00D56051">
            <w:pPr>
              <w:rPr>
                <w:highlight w:val="yellow"/>
                <w:u w:val="single"/>
              </w:rPr>
            </w:pPr>
            <w:r w:rsidRPr="006A1EC7">
              <w:rPr>
                <w:highlight w:val="yellow"/>
                <w:u w:val="single"/>
              </w:rPr>
              <w:t>Item 3GA: Is the patient dry during the day? (bladder, not bowels)</w:t>
            </w:r>
          </w:p>
          <w:p w14:paraId="796930BB" w14:textId="77777777" w:rsidR="0087601C" w:rsidRPr="006A1EC7" w:rsidRDefault="0087601C" w:rsidP="00D56051">
            <w:pPr>
              <w:rPr>
                <w:highlight w:val="yellow"/>
              </w:rPr>
            </w:pPr>
            <w:r w:rsidRPr="006A1EC7">
              <w:rPr>
                <w:highlight w:val="yellow"/>
              </w:rPr>
              <w:t>Predominantly no = 1</w:t>
            </w:r>
          </w:p>
          <w:p w14:paraId="537F6AF9" w14:textId="77777777" w:rsidR="0087601C" w:rsidRPr="006A1EC7" w:rsidRDefault="0087601C" w:rsidP="00D56051">
            <w:pPr>
              <w:rPr>
                <w:highlight w:val="yellow"/>
              </w:rPr>
            </w:pPr>
            <w:r w:rsidRPr="006A1EC7">
              <w:rPr>
                <w:highlight w:val="yellow"/>
              </w:rPr>
              <w:t>Predominantly yes = 0</w:t>
            </w:r>
          </w:p>
          <w:p w14:paraId="5A37A1CE" w14:textId="77777777" w:rsidR="0087601C" w:rsidRPr="006A1EC7" w:rsidRDefault="0087601C" w:rsidP="00D56051">
            <w:pPr>
              <w:rPr>
                <w:highlight w:val="yellow"/>
              </w:rPr>
            </w:pPr>
          </w:p>
          <w:p w14:paraId="23474364" w14:textId="77777777" w:rsidR="0087601C" w:rsidRPr="006A1EC7" w:rsidRDefault="0087601C" w:rsidP="00D56051">
            <w:pPr>
              <w:rPr>
                <w:highlight w:val="yellow"/>
                <w:u w:val="single"/>
              </w:rPr>
            </w:pPr>
            <w:r w:rsidRPr="006A1EC7">
              <w:rPr>
                <w:highlight w:val="yellow"/>
                <w:u w:val="single"/>
              </w:rPr>
              <w:t>Item 3GB: Is the patient dry during the night? (bladder, not bowels)</w:t>
            </w:r>
          </w:p>
          <w:p w14:paraId="7FF107D9" w14:textId="77777777" w:rsidR="0087601C" w:rsidRPr="006A1EC7" w:rsidRDefault="0087601C" w:rsidP="00D56051">
            <w:pPr>
              <w:rPr>
                <w:highlight w:val="yellow"/>
              </w:rPr>
            </w:pPr>
            <w:r w:rsidRPr="006A1EC7">
              <w:rPr>
                <w:highlight w:val="yellow"/>
              </w:rPr>
              <w:t>Predominantly no = 1</w:t>
            </w:r>
          </w:p>
          <w:p w14:paraId="5CC71CB2" w14:textId="77777777" w:rsidR="0087601C" w:rsidRPr="006A1EC7" w:rsidRDefault="0087601C" w:rsidP="00D56051">
            <w:r w:rsidRPr="006A1EC7">
              <w:rPr>
                <w:highlight w:val="yellow"/>
              </w:rPr>
              <w:t>Predominantly yes = 0</w:t>
            </w:r>
          </w:p>
          <w:p w14:paraId="5DA4C515" w14:textId="77777777" w:rsidR="0087601C" w:rsidRPr="006A1EC7" w:rsidRDefault="0087601C" w:rsidP="00D56051"/>
          <w:p w14:paraId="1529B077" w14:textId="77777777" w:rsidR="0087601C" w:rsidRPr="006A1EC7" w:rsidRDefault="0087601C" w:rsidP="00D56051">
            <w:pPr>
              <w:rPr>
                <w:highlight w:val="cyan"/>
                <w:u w:val="single"/>
              </w:rPr>
            </w:pPr>
            <w:r w:rsidRPr="006A1EC7">
              <w:rPr>
                <w:highlight w:val="cyan"/>
                <w:u w:val="single"/>
              </w:rPr>
              <w:t>Item 3H: Does the patient have bowel control?</w:t>
            </w:r>
          </w:p>
          <w:p w14:paraId="7B63860A" w14:textId="77777777" w:rsidR="0087601C" w:rsidRPr="006A1EC7" w:rsidRDefault="0087601C" w:rsidP="00D56051">
            <w:pPr>
              <w:rPr>
                <w:highlight w:val="cyan"/>
                <w:u w:val="single"/>
              </w:rPr>
            </w:pPr>
            <w:r w:rsidRPr="006A1EC7">
              <w:rPr>
                <w:highlight w:val="cyan"/>
              </w:rPr>
              <w:t>No, patient needs pads/nappies and cannot indicate, whether toilet is needed = 2</w:t>
            </w:r>
          </w:p>
          <w:p w14:paraId="341A3268" w14:textId="77777777" w:rsidR="0087601C" w:rsidRPr="006A1EC7" w:rsidRDefault="0087601C" w:rsidP="00D56051">
            <w:pPr>
              <w:rPr>
                <w:highlight w:val="cyan"/>
              </w:rPr>
            </w:pPr>
            <w:r w:rsidRPr="006A1EC7">
              <w:rPr>
                <w:highlight w:val="cyan"/>
              </w:rPr>
              <w:t>Patient is partly able to indicate = 1</w:t>
            </w:r>
          </w:p>
          <w:p w14:paraId="6C0C9486" w14:textId="77777777" w:rsidR="0087601C" w:rsidRPr="006A1EC7" w:rsidRDefault="0087601C" w:rsidP="00D56051">
            <w:r w:rsidRPr="006A1EC7">
              <w:rPr>
                <w:highlight w:val="cyan"/>
              </w:rPr>
              <w:t>Independent = 0</w:t>
            </w:r>
          </w:p>
          <w:p w14:paraId="39AAC33A" w14:textId="77777777" w:rsidR="0087601C" w:rsidRPr="006A1EC7" w:rsidRDefault="0087601C" w:rsidP="00D56051"/>
          <w:p w14:paraId="67106D4C" w14:textId="77777777" w:rsidR="0087601C" w:rsidRPr="006A1EC7" w:rsidRDefault="0087601C" w:rsidP="00D56051">
            <w:pPr>
              <w:rPr>
                <w:highlight w:val="yellow"/>
                <w:u w:val="single"/>
              </w:rPr>
            </w:pPr>
            <w:r w:rsidRPr="006A1EC7">
              <w:rPr>
                <w:highlight w:val="yellow"/>
                <w:u w:val="single"/>
              </w:rPr>
              <w:t>Item 3HA: Is the patient dry during the day? (bowels, not bladder)</w:t>
            </w:r>
          </w:p>
          <w:p w14:paraId="7C3DE5A8" w14:textId="77777777" w:rsidR="0087601C" w:rsidRPr="006A1EC7" w:rsidRDefault="0087601C" w:rsidP="00D56051">
            <w:pPr>
              <w:rPr>
                <w:highlight w:val="yellow"/>
              </w:rPr>
            </w:pPr>
            <w:r w:rsidRPr="006A1EC7">
              <w:rPr>
                <w:highlight w:val="yellow"/>
              </w:rPr>
              <w:t>Predominantly no = 1</w:t>
            </w:r>
          </w:p>
          <w:p w14:paraId="6DA05132" w14:textId="77777777" w:rsidR="0087601C" w:rsidRPr="006A1EC7" w:rsidRDefault="0087601C" w:rsidP="00D56051">
            <w:pPr>
              <w:rPr>
                <w:highlight w:val="yellow"/>
              </w:rPr>
            </w:pPr>
            <w:r w:rsidRPr="006A1EC7">
              <w:rPr>
                <w:highlight w:val="yellow"/>
              </w:rPr>
              <w:t>Predominantly yes = 0</w:t>
            </w:r>
          </w:p>
          <w:p w14:paraId="3A57CC0C" w14:textId="77777777" w:rsidR="0087601C" w:rsidRPr="006A1EC7" w:rsidRDefault="0087601C" w:rsidP="00D56051">
            <w:pPr>
              <w:rPr>
                <w:highlight w:val="yellow"/>
              </w:rPr>
            </w:pPr>
          </w:p>
          <w:p w14:paraId="553BBCF4" w14:textId="77777777" w:rsidR="0087601C" w:rsidRPr="006A1EC7" w:rsidRDefault="0087601C" w:rsidP="00D56051">
            <w:pPr>
              <w:rPr>
                <w:highlight w:val="yellow"/>
                <w:u w:val="single"/>
              </w:rPr>
            </w:pPr>
            <w:r w:rsidRPr="006A1EC7">
              <w:rPr>
                <w:highlight w:val="yellow"/>
                <w:u w:val="single"/>
              </w:rPr>
              <w:t>Item 3HB: Is the patient dry during the night? (bowels, not bladder)</w:t>
            </w:r>
          </w:p>
          <w:p w14:paraId="6FCCB940" w14:textId="77777777" w:rsidR="0087601C" w:rsidRPr="006A1EC7" w:rsidRDefault="0087601C" w:rsidP="00D56051">
            <w:pPr>
              <w:rPr>
                <w:highlight w:val="yellow"/>
              </w:rPr>
            </w:pPr>
            <w:r w:rsidRPr="006A1EC7">
              <w:rPr>
                <w:highlight w:val="yellow"/>
              </w:rPr>
              <w:t>Predominantly no = 1</w:t>
            </w:r>
          </w:p>
          <w:p w14:paraId="1BEBB993" w14:textId="77777777" w:rsidR="0087601C" w:rsidRPr="006A1EC7" w:rsidRDefault="0087601C" w:rsidP="00D56051">
            <w:r w:rsidRPr="006A1EC7">
              <w:rPr>
                <w:highlight w:val="yellow"/>
              </w:rPr>
              <w:t>Predominantly yes = 0</w:t>
            </w:r>
          </w:p>
          <w:p w14:paraId="3D3AF07A" w14:textId="77777777" w:rsidR="0087601C" w:rsidRPr="006A1EC7" w:rsidRDefault="0087601C" w:rsidP="00D56051">
            <w:pPr>
              <w:rPr>
                <w:u w:val="single"/>
              </w:rPr>
            </w:pPr>
          </w:p>
          <w:p w14:paraId="19285B61" w14:textId="77777777" w:rsidR="0087601C" w:rsidRPr="006A1EC7" w:rsidRDefault="0087601C" w:rsidP="00D56051">
            <w:pPr>
              <w:rPr>
                <w:i/>
              </w:rPr>
            </w:pPr>
            <w:r w:rsidRPr="006A1EC7">
              <w:rPr>
                <w:i/>
              </w:rPr>
              <w:t>Genitourinary tract</w:t>
            </w:r>
          </w:p>
          <w:p w14:paraId="3C4650A9" w14:textId="77777777" w:rsidR="0087601C" w:rsidRPr="006A1EC7" w:rsidRDefault="0087601C" w:rsidP="00D56051"/>
          <w:p w14:paraId="7091349D" w14:textId="77777777" w:rsidR="0087601C" w:rsidRPr="006A1EC7" w:rsidRDefault="0087601C" w:rsidP="00D56051">
            <w:pPr>
              <w:rPr>
                <w:highlight w:val="cyan"/>
                <w:u w:val="single"/>
              </w:rPr>
            </w:pPr>
            <w:r w:rsidRPr="006A1EC7">
              <w:rPr>
                <w:highlight w:val="cyan"/>
                <w:u w:val="single"/>
              </w:rPr>
              <w:t>Item 3I: Does the patient suffer recurrent urinary tract infections?</w:t>
            </w:r>
          </w:p>
          <w:p w14:paraId="0D9C6758" w14:textId="77777777" w:rsidR="0087601C" w:rsidRPr="006A1EC7" w:rsidRDefault="0087601C" w:rsidP="00D56051">
            <w:r w:rsidRPr="006A1EC7">
              <w:rPr>
                <w:highlight w:val="cyan"/>
              </w:rPr>
              <w:t>Yes  = 1</w:t>
            </w:r>
            <w:r w:rsidRPr="006A1EC7">
              <w:rPr>
                <w:highlight w:val="cyan"/>
              </w:rPr>
              <w:br/>
              <w:t>No = 0</w:t>
            </w:r>
          </w:p>
          <w:p w14:paraId="44355BA2" w14:textId="77777777" w:rsidR="0087601C" w:rsidRPr="006A1EC7" w:rsidRDefault="0087601C" w:rsidP="00D56051"/>
          <w:p w14:paraId="4E092653" w14:textId="77777777" w:rsidR="0087601C" w:rsidRPr="006A1EC7" w:rsidRDefault="0087601C" w:rsidP="00D56051">
            <w:pPr>
              <w:rPr>
                <w:highlight w:val="magenta"/>
                <w:u w:val="single"/>
              </w:rPr>
            </w:pPr>
            <w:r w:rsidRPr="006A1EC7">
              <w:rPr>
                <w:highlight w:val="magenta"/>
                <w:u w:val="single"/>
              </w:rPr>
              <w:t>Item 3IA: Over the past 6 months, what was the maximum level of care needed to treat urinary infections?</w:t>
            </w:r>
          </w:p>
          <w:p w14:paraId="50101B23" w14:textId="77777777" w:rsidR="0087601C" w:rsidRPr="006A1EC7" w:rsidRDefault="0087601C" w:rsidP="00D56051">
            <w:pPr>
              <w:rPr>
                <w:highlight w:val="magenta"/>
              </w:rPr>
            </w:pPr>
            <w:r w:rsidRPr="006A1EC7">
              <w:rPr>
                <w:highlight w:val="magenta"/>
              </w:rPr>
              <w:t>Patient required hospital admission = 3</w:t>
            </w:r>
          </w:p>
          <w:p w14:paraId="14EDF784" w14:textId="77777777" w:rsidR="0087601C" w:rsidRPr="006A1EC7" w:rsidRDefault="0087601C" w:rsidP="00D56051">
            <w:pPr>
              <w:rPr>
                <w:highlight w:val="magenta"/>
              </w:rPr>
            </w:pPr>
            <w:r w:rsidRPr="006A1EC7">
              <w:rPr>
                <w:highlight w:val="magenta"/>
              </w:rPr>
              <w:t>Home care/GP care with antibiotics = 2</w:t>
            </w:r>
          </w:p>
          <w:p w14:paraId="083D48B7" w14:textId="77777777" w:rsidR="0087601C" w:rsidRPr="006A1EC7" w:rsidRDefault="0087601C" w:rsidP="00D56051">
            <w:pPr>
              <w:rPr>
                <w:highlight w:val="yellow"/>
              </w:rPr>
            </w:pPr>
            <w:r w:rsidRPr="006A1EC7">
              <w:rPr>
                <w:highlight w:val="yellow"/>
              </w:rPr>
              <w:lastRenderedPageBreak/>
              <w:t>Self-care (e.g. painkillers, cranberry supplement)= 1</w:t>
            </w:r>
          </w:p>
          <w:p w14:paraId="321B4C14" w14:textId="77777777" w:rsidR="0087601C" w:rsidRPr="006A1EC7" w:rsidRDefault="0087601C" w:rsidP="00D56051">
            <w:r w:rsidRPr="006A1EC7">
              <w:rPr>
                <w:highlight w:val="magenta"/>
              </w:rPr>
              <w:t>Not applicable = 0</w:t>
            </w:r>
          </w:p>
          <w:p w14:paraId="5C426C90" w14:textId="77777777" w:rsidR="0087601C" w:rsidRPr="006A1EC7" w:rsidRDefault="0087601C" w:rsidP="00D56051"/>
          <w:p w14:paraId="7B4BAD38" w14:textId="77777777" w:rsidR="0087601C" w:rsidRPr="006A1EC7" w:rsidRDefault="0087601C" w:rsidP="00D56051">
            <w:pPr>
              <w:rPr>
                <w:highlight w:val="cyan"/>
              </w:rPr>
            </w:pPr>
            <w:r w:rsidRPr="006A1EC7">
              <w:rPr>
                <w:highlight w:val="cyan"/>
                <w:u w:val="single"/>
              </w:rPr>
              <w:t>Item 3J: Does the patient have any known renal malformations (confirmed on ultrasound etc)?</w:t>
            </w:r>
            <w:r w:rsidRPr="006A1EC7">
              <w:rPr>
                <w:highlight w:val="cyan"/>
              </w:rPr>
              <w:br/>
              <w:t>Yes = 1</w:t>
            </w:r>
          </w:p>
          <w:p w14:paraId="2141468A" w14:textId="77777777" w:rsidR="0087601C" w:rsidRPr="006A1EC7" w:rsidRDefault="0087601C" w:rsidP="00D56051">
            <w:pPr>
              <w:rPr>
                <w:highlight w:val="cyan"/>
              </w:rPr>
            </w:pPr>
            <w:r w:rsidRPr="006A1EC7">
              <w:rPr>
                <w:highlight w:val="cyan"/>
              </w:rPr>
              <w:t>No = 0</w:t>
            </w:r>
          </w:p>
          <w:p w14:paraId="603BE616" w14:textId="77777777" w:rsidR="0087601C" w:rsidRPr="006A1EC7" w:rsidRDefault="0087601C" w:rsidP="00D56051">
            <w:pPr>
              <w:rPr>
                <w:highlight w:val="cyan"/>
              </w:rPr>
            </w:pPr>
          </w:p>
          <w:p w14:paraId="74F6BE8B" w14:textId="77777777" w:rsidR="0087601C" w:rsidRPr="006A1EC7" w:rsidRDefault="0087601C" w:rsidP="00D56051">
            <w:r w:rsidRPr="006A1EC7">
              <w:rPr>
                <w:highlight w:val="cyan"/>
                <w:u w:val="single"/>
              </w:rPr>
              <w:t>Item 3JA: If applicable, diagnoses:</w:t>
            </w:r>
            <w:r w:rsidRPr="006A1EC7">
              <w:rPr>
                <w:highlight w:val="cyan"/>
              </w:rPr>
              <w:t xml:space="preserve"> _______________________________</w:t>
            </w:r>
          </w:p>
          <w:p w14:paraId="38F8D18F" w14:textId="77777777" w:rsidR="0087601C" w:rsidRPr="006A1EC7" w:rsidRDefault="0087601C" w:rsidP="00D56051"/>
          <w:p w14:paraId="3C8C268D" w14:textId="77777777" w:rsidR="0087601C" w:rsidRPr="006A1EC7" w:rsidRDefault="0087601C" w:rsidP="00D56051">
            <w:pPr>
              <w:rPr>
                <w:highlight w:val="cyan"/>
              </w:rPr>
            </w:pPr>
            <w:r w:rsidRPr="006A1EC7">
              <w:rPr>
                <w:highlight w:val="cyan"/>
                <w:u w:val="single"/>
              </w:rPr>
              <w:t>Item3JB: Is the renal malformation symptomatic?</w:t>
            </w:r>
            <w:r w:rsidRPr="006A1EC7">
              <w:rPr>
                <w:highlight w:val="cyan"/>
              </w:rPr>
              <w:t xml:space="preserve"> </w:t>
            </w:r>
            <w:r w:rsidRPr="006A1EC7">
              <w:rPr>
                <w:highlight w:val="cyan"/>
              </w:rPr>
              <w:br/>
              <w:t>Yes = 1</w:t>
            </w:r>
          </w:p>
          <w:p w14:paraId="67AFD3A0" w14:textId="77777777" w:rsidR="0087601C" w:rsidRPr="006A1EC7" w:rsidRDefault="0087601C" w:rsidP="00D56051">
            <w:r w:rsidRPr="006A1EC7">
              <w:rPr>
                <w:highlight w:val="cyan"/>
              </w:rPr>
              <w:t>No = 0</w:t>
            </w:r>
          </w:p>
          <w:p w14:paraId="5F568A3F" w14:textId="77777777" w:rsidR="0087601C" w:rsidRPr="006A1EC7" w:rsidRDefault="0087601C" w:rsidP="00D56051"/>
          <w:p w14:paraId="16028D06" w14:textId="77777777" w:rsidR="0087601C" w:rsidRPr="006A1EC7" w:rsidRDefault="0087601C" w:rsidP="00D56051">
            <w:pPr>
              <w:rPr>
                <w:highlight w:val="cyan"/>
                <w:u w:val="single"/>
              </w:rPr>
            </w:pPr>
            <w:r w:rsidRPr="006A1EC7">
              <w:rPr>
                <w:highlight w:val="cyan"/>
                <w:u w:val="single"/>
              </w:rPr>
              <w:t>Item 3K: If male, presence of hypospadias?</w:t>
            </w:r>
          </w:p>
          <w:p w14:paraId="7AE8D580" w14:textId="77777777" w:rsidR="0087601C" w:rsidRPr="006A1EC7" w:rsidRDefault="0087601C" w:rsidP="00D56051">
            <w:pPr>
              <w:rPr>
                <w:highlight w:val="cyan"/>
                <w:u w:val="single"/>
              </w:rPr>
            </w:pPr>
            <w:r w:rsidRPr="006A1EC7">
              <w:rPr>
                <w:highlight w:val="cyan"/>
                <w:u w:val="single"/>
              </w:rPr>
              <w:t>Yes = 1</w:t>
            </w:r>
          </w:p>
          <w:p w14:paraId="515383CA" w14:textId="77777777" w:rsidR="0087601C" w:rsidRPr="006A1EC7" w:rsidRDefault="0087601C" w:rsidP="00D56051">
            <w:pPr>
              <w:rPr>
                <w:u w:val="single"/>
              </w:rPr>
            </w:pPr>
            <w:r w:rsidRPr="006A1EC7">
              <w:rPr>
                <w:highlight w:val="cyan"/>
                <w:u w:val="single"/>
              </w:rPr>
              <w:t>No = 0</w:t>
            </w:r>
          </w:p>
          <w:p w14:paraId="0BF3B2A1" w14:textId="77777777" w:rsidR="0087601C" w:rsidRPr="006A1EC7" w:rsidRDefault="0087601C" w:rsidP="00D56051"/>
          <w:p w14:paraId="1F188097" w14:textId="77777777" w:rsidR="0087601C" w:rsidRPr="006A1EC7" w:rsidRDefault="0087601C" w:rsidP="00D56051">
            <w:pPr>
              <w:rPr>
                <w:highlight w:val="cyan"/>
              </w:rPr>
            </w:pPr>
            <w:r w:rsidRPr="006A1EC7">
              <w:rPr>
                <w:highlight w:val="cyan"/>
                <w:u w:val="single"/>
              </w:rPr>
              <w:t>Item 3KA: Does/Did hypospadias require treatment?</w:t>
            </w:r>
            <w:r w:rsidRPr="006A1EC7">
              <w:rPr>
                <w:highlight w:val="cyan"/>
              </w:rPr>
              <w:br/>
              <w:t>Surgical management = 2</w:t>
            </w:r>
          </w:p>
          <w:p w14:paraId="0A09D9E1" w14:textId="77777777" w:rsidR="0087601C" w:rsidRPr="006A1EC7" w:rsidRDefault="0087601C" w:rsidP="00D56051">
            <w:pPr>
              <w:rPr>
                <w:highlight w:val="yellow"/>
              </w:rPr>
            </w:pPr>
            <w:r w:rsidRPr="006A1EC7">
              <w:rPr>
                <w:highlight w:val="yellow"/>
              </w:rPr>
              <w:t>Conservative treatment (might need antibiotics, observation)= 1</w:t>
            </w:r>
          </w:p>
          <w:p w14:paraId="36F848FB" w14:textId="77777777" w:rsidR="0087601C" w:rsidRPr="006A1EC7" w:rsidRDefault="0087601C" w:rsidP="00D56051">
            <w:r w:rsidRPr="006A1EC7">
              <w:rPr>
                <w:highlight w:val="cyan"/>
              </w:rPr>
              <w:t>No treatment = 0</w:t>
            </w:r>
          </w:p>
          <w:p w14:paraId="6E14A085" w14:textId="77777777" w:rsidR="0087601C" w:rsidRPr="006A1EC7" w:rsidRDefault="0087601C" w:rsidP="00D56051">
            <w:pPr>
              <w:spacing w:line="360" w:lineRule="auto"/>
            </w:pPr>
          </w:p>
        </w:tc>
        <w:tc>
          <w:tcPr>
            <w:tcW w:w="4155" w:type="dxa"/>
          </w:tcPr>
          <w:p w14:paraId="285EF844" w14:textId="77777777" w:rsidR="0087601C" w:rsidRPr="006A1EC7" w:rsidRDefault="0087601C" w:rsidP="00D56051"/>
          <w:p w14:paraId="5E671C8C" w14:textId="77777777" w:rsidR="0087601C" w:rsidRPr="006A1EC7" w:rsidRDefault="0087601C" w:rsidP="00D56051"/>
          <w:p w14:paraId="34BF0A84" w14:textId="77777777" w:rsidR="0087601C" w:rsidRPr="006A1EC7" w:rsidRDefault="0087601C" w:rsidP="00D56051"/>
          <w:p w14:paraId="200333C3" w14:textId="77777777" w:rsidR="0087601C" w:rsidRPr="006A1EC7" w:rsidRDefault="0087601C" w:rsidP="00D56051"/>
          <w:p w14:paraId="35E57018" w14:textId="77777777" w:rsidR="0087601C" w:rsidRPr="006A1EC7" w:rsidRDefault="0087601C" w:rsidP="00D56051">
            <w:r w:rsidRPr="006A1EC7">
              <w:t>These categories were identified from the interviews and are concurrent with the literature.</w:t>
            </w:r>
          </w:p>
          <w:p w14:paraId="3E0A21A9" w14:textId="77777777" w:rsidR="0087601C" w:rsidRPr="006A1EC7" w:rsidRDefault="0087601C" w:rsidP="00D56051"/>
          <w:p w14:paraId="25BA1B2D" w14:textId="77777777" w:rsidR="0087601C" w:rsidRPr="006A1EC7" w:rsidRDefault="0087601C" w:rsidP="00D56051"/>
          <w:p w14:paraId="6FB14B76" w14:textId="77777777" w:rsidR="0087601C" w:rsidRPr="006A1EC7" w:rsidRDefault="0087601C" w:rsidP="00D56051"/>
          <w:p w14:paraId="7FA8DDF5" w14:textId="77777777" w:rsidR="0087601C" w:rsidRPr="006A1EC7" w:rsidRDefault="0087601C" w:rsidP="00D56051"/>
          <w:p w14:paraId="0C57F605" w14:textId="77777777" w:rsidR="0087601C" w:rsidRPr="006A1EC7" w:rsidRDefault="0087601C" w:rsidP="00D56051"/>
          <w:p w14:paraId="2585D497" w14:textId="77777777" w:rsidR="0087601C" w:rsidRPr="006A1EC7" w:rsidRDefault="0087601C" w:rsidP="00D56051"/>
          <w:p w14:paraId="1A39763B" w14:textId="77777777" w:rsidR="0087601C" w:rsidRPr="006A1EC7" w:rsidRDefault="0087601C" w:rsidP="00D56051"/>
          <w:p w14:paraId="297972F4" w14:textId="77777777" w:rsidR="0087601C" w:rsidRPr="006A1EC7" w:rsidRDefault="0087601C" w:rsidP="00D56051">
            <w:r w:rsidRPr="006A1EC7">
              <w:t>Recurrent infections were reported in the interviews; these are not uncommon hence why it has been marked as interviews/literature.</w:t>
            </w:r>
          </w:p>
          <w:p w14:paraId="333BB2FD" w14:textId="77777777" w:rsidR="0087601C" w:rsidRPr="006A1EC7" w:rsidRDefault="0087601C" w:rsidP="00D56051"/>
          <w:p w14:paraId="144E5E2B" w14:textId="77777777" w:rsidR="0087601C" w:rsidRPr="006A1EC7" w:rsidRDefault="0087601C" w:rsidP="00D56051">
            <w:r w:rsidRPr="006A1EC7">
              <w:t xml:space="preserve">These issues were explicitly reported in the interviews, and family caregivers </w:t>
            </w:r>
            <w:r w:rsidRPr="006A1EC7">
              <w:lastRenderedPageBreak/>
              <w:t>emphasises the impact of these; hence why they were added.</w:t>
            </w:r>
          </w:p>
          <w:p w14:paraId="1D7F4B53" w14:textId="77777777" w:rsidR="0087601C" w:rsidRPr="006A1EC7" w:rsidRDefault="0087601C" w:rsidP="00D56051"/>
          <w:p w14:paraId="37796F5E" w14:textId="77777777" w:rsidR="0087601C" w:rsidRPr="006A1EC7" w:rsidRDefault="0087601C" w:rsidP="00D56051"/>
          <w:p w14:paraId="48B2362D" w14:textId="77777777" w:rsidR="0087601C" w:rsidRPr="006A1EC7" w:rsidRDefault="0087601C" w:rsidP="00D56051"/>
          <w:p w14:paraId="77D52BB2" w14:textId="77777777" w:rsidR="0087601C" w:rsidRPr="006A1EC7" w:rsidRDefault="0087601C" w:rsidP="00D56051"/>
          <w:p w14:paraId="47FA3337" w14:textId="77777777" w:rsidR="0087601C" w:rsidRPr="006A1EC7" w:rsidRDefault="0087601C" w:rsidP="00D56051"/>
          <w:p w14:paraId="648BA004" w14:textId="77777777" w:rsidR="0087601C" w:rsidRPr="006A1EC7" w:rsidRDefault="0087601C" w:rsidP="00D56051">
            <w:r w:rsidRPr="006A1EC7">
              <w:t>These categories were identified from the interviews and are concurrent with the literature.</w:t>
            </w:r>
          </w:p>
          <w:p w14:paraId="5B86ADE4" w14:textId="77777777" w:rsidR="0087601C" w:rsidRPr="006A1EC7" w:rsidRDefault="0087601C" w:rsidP="00D56051"/>
          <w:p w14:paraId="58C9E802" w14:textId="77777777" w:rsidR="0087601C" w:rsidRPr="006A1EC7" w:rsidRDefault="0087601C" w:rsidP="00D56051"/>
          <w:p w14:paraId="54D668F2" w14:textId="77777777" w:rsidR="0087601C" w:rsidRPr="006A1EC7" w:rsidRDefault="0087601C" w:rsidP="00D56051"/>
          <w:p w14:paraId="4084EC0C" w14:textId="77777777" w:rsidR="0087601C" w:rsidRPr="006A1EC7" w:rsidRDefault="0087601C" w:rsidP="00D56051"/>
          <w:p w14:paraId="466063EC" w14:textId="77777777" w:rsidR="0087601C" w:rsidRPr="006A1EC7" w:rsidRDefault="0087601C" w:rsidP="00D56051"/>
          <w:p w14:paraId="7AE62D39" w14:textId="77777777" w:rsidR="0087601C" w:rsidRPr="006A1EC7" w:rsidRDefault="0087601C" w:rsidP="00D56051">
            <w:r w:rsidRPr="006A1EC7">
              <w:t>These categories were identified from the interviews and are concurrent with the literature.</w:t>
            </w:r>
          </w:p>
          <w:p w14:paraId="6B61D166" w14:textId="77777777" w:rsidR="0087601C" w:rsidRPr="006A1EC7" w:rsidRDefault="0087601C" w:rsidP="00D56051"/>
          <w:p w14:paraId="22AB3343" w14:textId="77777777" w:rsidR="0087601C" w:rsidRPr="006A1EC7" w:rsidRDefault="0087601C" w:rsidP="00D56051"/>
          <w:p w14:paraId="1CDA58E6" w14:textId="77777777" w:rsidR="0087601C" w:rsidRPr="006A1EC7" w:rsidRDefault="0087601C" w:rsidP="00D56051"/>
          <w:p w14:paraId="7F9134EF" w14:textId="77777777" w:rsidR="0087601C" w:rsidRPr="006A1EC7" w:rsidRDefault="0087601C" w:rsidP="00D56051">
            <w:r w:rsidRPr="006A1EC7">
              <w:t>Reflux was discussed as an issue for patients; the definition and clinical assessment criteria were added by the clinician/researcher team to meaningfully assess this clinical feature.</w:t>
            </w:r>
          </w:p>
          <w:p w14:paraId="00A8BCAC" w14:textId="77777777" w:rsidR="0087601C" w:rsidRPr="006A1EC7" w:rsidRDefault="0087601C" w:rsidP="00D56051"/>
          <w:p w14:paraId="645AD219" w14:textId="77777777" w:rsidR="0087601C" w:rsidRPr="006A1EC7" w:rsidRDefault="0087601C" w:rsidP="00D56051"/>
          <w:p w14:paraId="0B3AEB18" w14:textId="77777777" w:rsidR="0087601C" w:rsidRPr="006A1EC7" w:rsidRDefault="0087601C" w:rsidP="00D56051"/>
          <w:p w14:paraId="6E59A6C5" w14:textId="77777777" w:rsidR="0087601C" w:rsidRPr="006A1EC7" w:rsidRDefault="0087601C" w:rsidP="00D56051">
            <w:r w:rsidRPr="006A1EC7">
              <w:t>These categories were identified from the interviews and are concurrent with the literature.</w:t>
            </w:r>
          </w:p>
          <w:p w14:paraId="005FD678" w14:textId="77777777" w:rsidR="0087601C" w:rsidRPr="006A1EC7" w:rsidRDefault="0087601C" w:rsidP="00D56051"/>
          <w:p w14:paraId="77B379A8" w14:textId="77777777" w:rsidR="0087601C" w:rsidRPr="006A1EC7" w:rsidRDefault="0087601C" w:rsidP="00D56051"/>
          <w:p w14:paraId="3B4F077C" w14:textId="77777777" w:rsidR="0087601C" w:rsidRPr="006A1EC7" w:rsidRDefault="0087601C" w:rsidP="00D56051">
            <w:r w:rsidRPr="006A1EC7">
              <w:t>These categories were identified from the interviews and are concurrent with the literature.</w:t>
            </w:r>
          </w:p>
          <w:p w14:paraId="61DF0606" w14:textId="77777777" w:rsidR="0087601C" w:rsidRPr="006A1EC7" w:rsidRDefault="0087601C" w:rsidP="00D56051">
            <w:pPr>
              <w:rPr>
                <w:b/>
              </w:rPr>
            </w:pPr>
          </w:p>
          <w:p w14:paraId="43F6F630" w14:textId="77777777" w:rsidR="0087601C" w:rsidRPr="006A1EC7" w:rsidRDefault="0087601C" w:rsidP="00D56051">
            <w:pPr>
              <w:rPr>
                <w:b/>
              </w:rPr>
            </w:pPr>
          </w:p>
          <w:p w14:paraId="744F5964" w14:textId="77777777" w:rsidR="0087601C" w:rsidRPr="006A1EC7" w:rsidRDefault="0087601C" w:rsidP="00D56051">
            <w:pPr>
              <w:rPr>
                <w:b/>
              </w:rPr>
            </w:pPr>
          </w:p>
          <w:p w14:paraId="232535E2" w14:textId="77777777" w:rsidR="0087601C" w:rsidRPr="006A1EC7" w:rsidRDefault="0087601C" w:rsidP="00D56051">
            <w:pPr>
              <w:rPr>
                <w:b/>
              </w:rPr>
            </w:pPr>
          </w:p>
          <w:p w14:paraId="6590EFF2" w14:textId="77777777" w:rsidR="0087601C" w:rsidRPr="006A1EC7" w:rsidRDefault="0087601C" w:rsidP="00D56051">
            <w:r w:rsidRPr="006A1EC7">
              <w:lastRenderedPageBreak/>
              <w:t xml:space="preserve">These categories were predominantly identified from the interviews </w:t>
            </w:r>
          </w:p>
          <w:p w14:paraId="045216BF" w14:textId="77777777" w:rsidR="0087601C" w:rsidRPr="006A1EC7" w:rsidRDefault="0087601C" w:rsidP="00D56051">
            <w:pPr>
              <w:rPr>
                <w:b/>
              </w:rPr>
            </w:pPr>
          </w:p>
          <w:p w14:paraId="5C3F4C37" w14:textId="77777777" w:rsidR="0087601C" w:rsidRPr="006A1EC7" w:rsidRDefault="0087601C" w:rsidP="00D56051">
            <w:pPr>
              <w:rPr>
                <w:b/>
              </w:rPr>
            </w:pPr>
          </w:p>
          <w:p w14:paraId="035BC7FB" w14:textId="77777777" w:rsidR="0087601C" w:rsidRPr="006A1EC7" w:rsidRDefault="0087601C" w:rsidP="00D56051">
            <w:pPr>
              <w:rPr>
                <w:b/>
              </w:rPr>
            </w:pPr>
          </w:p>
          <w:p w14:paraId="73138E2B" w14:textId="77777777" w:rsidR="0087601C" w:rsidRPr="006A1EC7" w:rsidRDefault="0087601C" w:rsidP="00D56051">
            <w:pPr>
              <w:rPr>
                <w:b/>
              </w:rPr>
            </w:pPr>
          </w:p>
          <w:p w14:paraId="50420B58" w14:textId="77777777" w:rsidR="0087601C" w:rsidRPr="006A1EC7" w:rsidRDefault="0087601C" w:rsidP="00D56051">
            <w:pPr>
              <w:rPr>
                <w:b/>
              </w:rPr>
            </w:pPr>
          </w:p>
          <w:p w14:paraId="10BA1566" w14:textId="77777777" w:rsidR="0087601C" w:rsidRPr="006A1EC7" w:rsidRDefault="0087601C" w:rsidP="00D56051">
            <w:pPr>
              <w:rPr>
                <w:b/>
              </w:rPr>
            </w:pPr>
          </w:p>
          <w:p w14:paraId="4DD3A925" w14:textId="77777777" w:rsidR="0087601C" w:rsidRPr="006A1EC7" w:rsidRDefault="0087601C" w:rsidP="00D56051">
            <w:pPr>
              <w:rPr>
                <w:b/>
              </w:rPr>
            </w:pPr>
          </w:p>
          <w:p w14:paraId="4C0CC808" w14:textId="77777777" w:rsidR="0087601C" w:rsidRPr="006A1EC7" w:rsidRDefault="0087601C" w:rsidP="00D56051">
            <w:r w:rsidRPr="006A1EC7">
              <w:t>These categories were identified from the interviews and are concurrent with the literature.</w:t>
            </w:r>
          </w:p>
          <w:p w14:paraId="2162C1B6" w14:textId="77777777" w:rsidR="0087601C" w:rsidRPr="006A1EC7" w:rsidRDefault="0087601C" w:rsidP="00D56051"/>
          <w:p w14:paraId="64AE1EAF" w14:textId="77777777" w:rsidR="0087601C" w:rsidRPr="006A1EC7" w:rsidRDefault="0087601C" w:rsidP="00D56051"/>
          <w:p w14:paraId="06DC08ED" w14:textId="77777777" w:rsidR="0087601C" w:rsidRPr="006A1EC7" w:rsidRDefault="0087601C" w:rsidP="00D56051"/>
          <w:p w14:paraId="424F2E69" w14:textId="77777777" w:rsidR="0087601C" w:rsidRPr="006A1EC7" w:rsidRDefault="0087601C" w:rsidP="00D56051"/>
          <w:p w14:paraId="72B44277" w14:textId="77777777" w:rsidR="0087601C" w:rsidRPr="006A1EC7" w:rsidRDefault="0087601C" w:rsidP="00D56051">
            <w:r w:rsidRPr="006A1EC7">
              <w:t xml:space="preserve">These categories were predominantly identified from the interviews </w:t>
            </w:r>
          </w:p>
          <w:p w14:paraId="0866C4A6" w14:textId="77777777" w:rsidR="0087601C" w:rsidRPr="006A1EC7" w:rsidRDefault="0087601C" w:rsidP="00D56051"/>
          <w:p w14:paraId="6992B9B1" w14:textId="77777777" w:rsidR="0087601C" w:rsidRPr="006A1EC7" w:rsidRDefault="0087601C" w:rsidP="00D56051"/>
          <w:p w14:paraId="3CEAADA4" w14:textId="77777777" w:rsidR="0087601C" w:rsidRPr="006A1EC7" w:rsidRDefault="0087601C" w:rsidP="00D56051"/>
          <w:p w14:paraId="12144D77" w14:textId="77777777" w:rsidR="0087601C" w:rsidRPr="006A1EC7" w:rsidRDefault="0087601C" w:rsidP="00D56051"/>
          <w:p w14:paraId="2FEC7C63" w14:textId="77777777" w:rsidR="0087601C" w:rsidRPr="006A1EC7" w:rsidRDefault="0087601C" w:rsidP="00D56051"/>
          <w:p w14:paraId="1E6CB79C" w14:textId="77777777" w:rsidR="0087601C" w:rsidRPr="006A1EC7" w:rsidRDefault="0087601C" w:rsidP="00D56051">
            <w:r w:rsidRPr="006A1EC7">
              <w:t xml:space="preserve">These categories were predominantly identified from the interviews </w:t>
            </w:r>
          </w:p>
          <w:p w14:paraId="4BCCA6C0" w14:textId="77777777" w:rsidR="0087601C" w:rsidRPr="006A1EC7" w:rsidRDefault="0087601C" w:rsidP="00D56051"/>
          <w:p w14:paraId="0525EDBE" w14:textId="77777777" w:rsidR="0087601C" w:rsidRPr="006A1EC7" w:rsidRDefault="0087601C" w:rsidP="00D56051"/>
          <w:p w14:paraId="1B1E4B45" w14:textId="77777777" w:rsidR="0087601C" w:rsidRPr="006A1EC7" w:rsidRDefault="0087601C" w:rsidP="00D56051"/>
          <w:p w14:paraId="743A6736" w14:textId="77777777" w:rsidR="0087601C" w:rsidRPr="006A1EC7" w:rsidRDefault="0087601C" w:rsidP="00D56051"/>
          <w:p w14:paraId="7F9677F4" w14:textId="77777777" w:rsidR="0087601C" w:rsidRPr="006A1EC7" w:rsidRDefault="0087601C" w:rsidP="00D56051"/>
          <w:p w14:paraId="4A84B6DD" w14:textId="77777777" w:rsidR="0087601C" w:rsidRPr="006A1EC7" w:rsidRDefault="0087601C" w:rsidP="00D56051">
            <w:r w:rsidRPr="006A1EC7">
              <w:t>These categories were identified from the interviews and clinician input.</w:t>
            </w:r>
          </w:p>
          <w:p w14:paraId="6068136D" w14:textId="77777777" w:rsidR="0087601C" w:rsidRPr="006A1EC7" w:rsidRDefault="0087601C" w:rsidP="00D56051"/>
          <w:p w14:paraId="13BE1FF5" w14:textId="77777777" w:rsidR="0087601C" w:rsidRPr="006A1EC7" w:rsidRDefault="0087601C" w:rsidP="00D56051"/>
          <w:p w14:paraId="7FDCA7EE" w14:textId="77777777" w:rsidR="0087601C" w:rsidRPr="006A1EC7" w:rsidRDefault="0087601C" w:rsidP="00D56051"/>
          <w:p w14:paraId="4F2362ED" w14:textId="77777777" w:rsidR="0087601C" w:rsidRPr="006A1EC7" w:rsidRDefault="0087601C" w:rsidP="00D56051"/>
          <w:p w14:paraId="1B96F58B" w14:textId="77777777" w:rsidR="0087601C" w:rsidRPr="006A1EC7" w:rsidRDefault="0087601C" w:rsidP="00D56051"/>
          <w:p w14:paraId="09568800" w14:textId="77777777" w:rsidR="0087601C" w:rsidRPr="006A1EC7" w:rsidRDefault="0087601C" w:rsidP="00D56051"/>
          <w:p w14:paraId="57AC2BCF" w14:textId="77777777" w:rsidR="0087601C" w:rsidRPr="006A1EC7" w:rsidRDefault="0087601C" w:rsidP="00D56051">
            <w:r w:rsidRPr="006A1EC7">
              <w:lastRenderedPageBreak/>
              <w:t>These categories were identified from the interviews and are concurrent with the literature.</w:t>
            </w:r>
          </w:p>
          <w:p w14:paraId="03198CCE" w14:textId="77777777" w:rsidR="0087601C" w:rsidRPr="006A1EC7" w:rsidRDefault="0087601C" w:rsidP="00D56051"/>
          <w:p w14:paraId="063B5DD5" w14:textId="77777777" w:rsidR="0087601C" w:rsidRPr="006A1EC7" w:rsidRDefault="0087601C" w:rsidP="00D56051"/>
          <w:p w14:paraId="2E8B6131" w14:textId="77777777" w:rsidR="0087601C" w:rsidRPr="006A1EC7" w:rsidRDefault="0087601C" w:rsidP="00D56051"/>
          <w:p w14:paraId="341C50BC" w14:textId="77777777" w:rsidR="0087601C" w:rsidRPr="006A1EC7" w:rsidRDefault="0087601C" w:rsidP="00D56051"/>
          <w:p w14:paraId="3D5212E1" w14:textId="77777777" w:rsidR="0087601C" w:rsidRPr="006A1EC7" w:rsidRDefault="0087601C" w:rsidP="00D56051">
            <w:r w:rsidRPr="006A1EC7">
              <w:t>Items 3GA/3GB: It was decided to split bladder control, as an indication of function, into the domains of night and day to give a better insight.</w:t>
            </w:r>
          </w:p>
          <w:p w14:paraId="10AB0404" w14:textId="77777777" w:rsidR="0087601C" w:rsidRPr="006A1EC7" w:rsidRDefault="0087601C" w:rsidP="00D56051"/>
          <w:p w14:paraId="0BC5C727" w14:textId="77777777" w:rsidR="0087601C" w:rsidRPr="006A1EC7" w:rsidRDefault="0087601C" w:rsidP="00D56051"/>
          <w:p w14:paraId="3D75D166" w14:textId="77777777" w:rsidR="0087601C" w:rsidRPr="006A1EC7" w:rsidRDefault="0087601C" w:rsidP="00D56051"/>
          <w:p w14:paraId="6BEF12AA" w14:textId="77777777" w:rsidR="0087601C" w:rsidRPr="006A1EC7" w:rsidRDefault="0087601C" w:rsidP="00D56051"/>
          <w:p w14:paraId="4DABF114" w14:textId="77777777" w:rsidR="0087601C" w:rsidRPr="006A1EC7" w:rsidRDefault="0087601C" w:rsidP="00D56051"/>
          <w:p w14:paraId="584C66B4" w14:textId="77777777" w:rsidR="0087601C" w:rsidRPr="006A1EC7" w:rsidRDefault="0087601C" w:rsidP="00D56051"/>
          <w:p w14:paraId="060CEA73" w14:textId="77777777" w:rsidR="0087601C" w:rsidRPr="006A1EC7" w:rsidRDefault="0087601C" w:rsidP="00D56051"/>
          <w:p w14:paraId="388AF633" w14:textId="77777777" w:rsidR="0087601C" w:rsidRPr="006A1EC7" w:rsidRDefault="0087601C" w:rsidP="00D56051">
            <w:r w:rsidRPr="006A1EC7">
              <w:t>These categories were identified from the interviews and are concurrent with the literature.</w:t>
            </w:r>
          </w:p>
          <w:p w14:paraId="4613D3C0" w14:textId="77777777" w:rsidR="0087601C" w:rsidRPr="006A1EC7" w:rsidRDefault="0087601C" w:rsidP="00D56051"/>
          <w:p w14:paraId="01AF42B2" w14:textId="77777777" w:rsidR="0087601C" w:rsidRPr="006A1EC7" w:rsidRDefault="0087601C" w:rsidP="00D56051"/>
          <w:p w14:paraId="3B9E6741" w14:textId="77777777" w:rsidR="0087601C" w:rsidRPr="006A1EC7" w:rsidRDefault="0087601C" w:rsidP="00D56051"/>
          <w:p w14:paraId="46EBF21F" w14:textId="77777777" w:rsidR="0087601C" w:rsidRPr="006A1EC7" w:rsidRDefault="0087601C" w:rsidP="00D56051">
            <w:r w:rsidRPr="006A1EC7">
              <w:t>Items 3HA/3HB: As above, it was decided to split bowel control, as an indication of function, into the domains of night and day to give a better insight.</w:t>
            </w:r>
          </w:p>
          <w:p w14:paraId="64B46102" w14:textId="77777777" w:rsidR="0087601C" w:rsidRPr="006A1EC7" w:rsidRDefault="0087601C" w:rsidP="00D56051"/>
          <w:p w14:paraId="76FA6A15" w14:textId="77777777" w:rsidR="0087601C" w:rsidRPr="006A1EC7" w:rsidRDefault="0087601C" w:rsidP="00D56051"/>
          <w:p w14:paraId="7FC49818" w14:textId="77777777" w:rsidR="0087601C" w:rsidRPr="006A1EC7" w:rsidRDefault="0087601C" w:rsidP="00D56051"/>
          <w:p w14:paraId="340BC349" w14:textId="77777777" w:rsidR="0087601C" w:rsidRPr="006A1EC7" w:rsidRDefault="0087601C" w:rsidP="00D56051"/>
          <w:p w14:paraId="424F9705" w14:textId="77777777" w:rsidR="0087601C" w:rsidRPr="006A1EC7" w:rsidRDefault="0087601C" w:rsidP="00D56051"/>
          <w:p w14:paraId="026169F2" w14:textId="77777777" w:rsidR="0087601C" w:rsidRPr="006A1EC7" w:rsidRDefault="0087601C" w:rsidP="00D56051"/>
          <w:p w14:paraId="6E2A1532" w14:textId="77777777" w:rsidR="0087601C" w:rsidRPr="006A1EC7" w:rsidRDefault="0087601C" w:rsidP="00D56051"/>
          <w:p w14:paraId="5F7C066A" w14:textId="77777777" w:rsidR="0087601C" w:rsidRPr="006A1EC7" w:rsidRDefault="0087601C" w:rsidP="00D56051"/>
          <w:p w14:paraId="340F0CF7" w14:textId="77777777" w:rsidR="0087601C" w:rsidRPr="006A1EC7" w:rsidRDefault="0087601C" w:rsidP="00D56051">
            <w:r w:rsidRPr="006A1EC7">
              <w:t>These categories were identified from the interviews and are concurrent with the literature.</w:t>
            </w:r>
          </w:p>
          <w:p w14:paraId="40712E41" w14:textId="77777777" w:rsidR="0087601C" w:rsidRPr="006A1EC7" w:rsidRDefault="0087601C" w:rsidP="00D56051"/>
          <w:p w14:paraId="51085B3D" w14:textId="77777777" w:rsidR="0087601C" w:rsidRPr="006A1EC7" w:rsidRDefault="0087601C" w:rsidP="00D56051"/>
          <w:p w14:paraId="48A11504" w14:textId="77777777" w:rsidR="0087601C" w:rsidRPr="006A1EC7" w:rsidRDefault="0087601C" w:rsidP="00D56051">
            <w:r w:rsidRPr="006A1EC7">
              <w:lastRenderedPageBreak/>
              <w:t>These categories were predominantly identified by the interviews; with some clinician input.</w:t>
            </w:r>
          </w:p>
          <w:p w14:paraId="66B01CD5" w14:textId="77777777" w:rsidR="0087601C" w:rsidRPr="006A1EC7" w:rsidRDefault="0087601C" w:rsidP="00D56051"/>
          <w:p w14:paraId="0D4F042E" w14:textId="77777777" w:rsidR="0087601C" w:rsidRPr="006A1EC7" w:rsidRDefault="0087601C" w:rsidP="00D56051"/>
          <w:p w14:paraId="2B60024C" w14:textId="77777777" w:rsidR="0087601C" w:rsidRPr="006A1EC7" w:rsidRDefault="0087601C" w:rsidP="00D56051"/>
          <w:p w14:paraId="1D44F02F" w14:textId="77777777" w:rsidR="0087601C" w:rsidRPr="006A1EC7" w:rsidRDefault="0087601C" w:rsidP="00D56051"/>
          <w:p w14:paraId="78BEF4FE" w14:textId="77777777" w:rsidR="0087601C" w:rsidRPr="006A1EC7" w:rsidRDefault="0087601C" w:rsidP="00D56051"/>
          <w:p w14:paraId="50C99DC6" w14:textId="77777777" w:rsidR="0087601C" w:rsidRPr="006A1EC7" w:rsidRDefault="0087601C" w:rsidP="00D56051"/>
          <w:p w14:paraId="61B6852D" w14:textId="77777777" w:rsidR="0087601C" w:rsidRPr="006A1EC7" w:rsidRDefault="0087601C" w:rsidP="00D56051">
            <w:r w:rsidRPr="006A1EC7">
              <w:t>These categories were identified from the interviews and are concurrent with the literature.</w:t>
            </w:r>
          </w:p>
          <w:p w14:paraId="321FFDCB" w14:textId="77777777" w:rsidR="0087601C" w:rsidRPr="006A1EC7" w:rsidRDefault="0087601C" w:rsidP="00D56051"/>
          <w:p w14:paraId="1058248C" w14:textId="77777777" w:rsidR="0087601C" w:rsidRPr="006A1EC7" w:rsidRDefault="0087601C" w:rsidP="00D56051"/>
          <w:p w14:paraId="207ED37F" w14:textId="77777777" w:rsidR="0087601C" w:rsidRPr="006A1EC7" w:rsidRDefault="0087601C" w:rsidP="00D56051"/>
          <w:p w14:paraId="3C84714D" w14:textId="77777777" w:rsidR="0087601C" w:rsidRPr="006A1EC7" w:rsidRDefault="0087601C" w:rsidP="00D56051"/>
          <w:p w14:paraId="3FFB595C" w14:textId="77777777" w:rsidR="0087601C" w:rsidRPr="006A1EC7" w:rsidRDefault="0087601C" w:rsidP="00D56051"/>
          <w:p w14:paraId="289FF5B7" w14:textId="77777777" w:rsidR="0087601C" w:rsidRPr="006A1EC7" w:rsidRDefault="0087601C" w:rsidP="00D56051"/>
          <w:p w14:paraId="1BA23869" w14:textId="77777777" w:rsidR="0087601C" w:rsidRPr="006A1EC7" w:rsidRDefault="0087601C" w:rsidP="00D56051">
            <w:r w:rsidRPr="006A1EC7">
              <w:t>This was identified from the interviews and are concurrent with the literature.</w:t>
            </w:r>
          </w:p>
          <w:p w14:paraId="395AE033" w14:textId="77777777" w:rsidR="0087601C" w:rsidRPr="006A1EC7" w:rsidRDefault="0087601C" w:rsidP="00D56051"/>
          <w:p w14:paraId="6E57C603" w14:textId="77777777" w:rsidR="0087601C" w:rsidRPr="006A1EC7" w:rsidRDefault="0087601C" w:rsidP="00D56051"/>
          <w:p w14:paraId="385457DA" w14:textId="77777777" w:rsidR="0087601C" w:rsidRPr="006A1EC7" w:rsidRDefault="0087601C" w:rsidP="00D56051"/>
          <w:p w14:paraId="16BB1C4A" w14:textId="77777777" w:rsidR="0087601C" w:rsidRPr="006A1EC7" w:rsidRDefault="0087601C" w:rsidP="00D56051">
            <w:r w:rsidRPr="006A1EC7">
              <w:t>This was identified from the interviews and are concurrent with the literature.</w:t>
            </w:r>
          </w:p>
          <w:p w14:paraId="23391169" w14:textId="77777777" w:rsidR="0087601C" w:rsidRPr="006A1EC7" w:rsidRDefault="0087601C" w:rsidP="00D56051"/>
          <w:p w14:paraId="5F5DAA68" w14:textId="77777777" w:rsidR="0087601C" w:rsidRPr="006A1EC7" w:rsidRDefault="0087601C" w:rsidP="00D56051"/>
          <w:p w14:paraId="275F39A4" w14:textId="77777777" w:rsidR="0087601C" w:rsidRPr="006A1EC7" w:rsidRDefault="0087601C" w:rsidP="00D56051">
            <w:r w:rsidRPr="006A1EC7">
              <w:t>This was identified from the interviews and are concurrent with the literature. Additional category of ‘conservative management’ was added due to clinician input, as all males in the sample either had no treatment or surgical treatment of their hypospadias.</w:t>
            </w:r>
          </w:p>
          <w:p w14:paraId="0B330499" w14:textId="77777777" w:rsidR="0087601C" w:rsidRPr="006A1EC7" w:rsidRDefault="0087601C" w:rsidP="00D56051"/>
        </w:tc>
      </w:tr>
      <w:tr w:rsidR="0087601C" w:rsidRPr="006A1EC7" w14:paraId="78A61C44" w14:textId="77777777" w:rsidTr="00D56051">
        <w:tc>
          <w:tcPr>
            <w:tcW w:w="4475" w:type="dxa"/>
          </w:tcPr>
          <w:p w14:paraId="34BFF167" w14:textId="77777777" w:rsidR="0087601C" w:rsidRPr="006A1EC7" w:rsidRDefault="0087601C" w:rsidP="00D56051">
            <w:r w:rsidRPr="006A1EC7">
              <w:rPr>
                <w:b/>
                <w:u w:val="single"/>
              </w:rPr>
              <w:lastRenderedPageBreak/>
              <w:t>Section 4: Cardiac and respiratory symptoms</w:t>
            </w:r>
          </w:p>
          <w:p w14:paraId="429CCEFD" w14:textId="77777777" w:rsidR="0087601C" w:rsidRPr="006A1EC7" w:rsidRDefault="0087601C" w:rsidP="00D56051"/>
          <w:p w14:paraId="14BDA032" w14:textId="77777777" w:rsidR="0087601C" w:rsidRPr="006A1EC7" w:rsidRDefault="0087601C" w:rsidP="00D56051">
            <w:pPr>
              <w:rPr>
                <w:u w:val="single"/>
              </w:rPr>
            </w:pPr>
            <w:r w:rsidRPr="006A1EC7">
              <w:rPr>
                <w:highlight w:val="cyan"/>
                <w:u w:val="single"/>
              </w:rPr>
              <w:t>Item 4A: Has the patient ever been diagnosed with a structural heart defect (i.e. ventricular, ASD, …)?</w:t>
            </w:r>
          </w:p>
          <w:p w14:paraId="49B7614D" w14:textId="77777777" w:rsidR="0087601C" w:rsidRPr="006A1EC7" w:rsidRDefault="0087601C" w:rsidP="00D56051">
            <w:r w:rsidRPr="006A1EC7">
              <w:t>Yes = 1</w:t>
            </w:r>
          </w:p>
          <w:p w14:paraId="1B1C9739" w14:textId="77777777" w:rsidR="0087601C" w:rsidRPr="006A1EC7" w:rsidRDefault="0087601C" w:rsidP="00D56051">
            <w:r w:rsidRPr="006A1EC7">
              <w:lastRenderedPageBreak/>
              <w:t>No = 2</w:t>
            </w:r>
          </w:p>
          <w:p w14:paraId="32E22DCA" w14:textId="77777777" w:rsidR="0087601C" w:rsidRPr="006A1EC7" w:rsidRDefault="0087601C" w:rsidP="00D56051"/>
          <w:p w14:paraId="2A036E2F" w14:textId="77777777" w:rsidR="0087601C" w:rsidRPr="006A1EC7" w:rsidRDefault="0087601C" w:rsidP="00D56051">
            <w:r w:rsidRPr="006A1EC7">
              <w:rPr>
                <w:highlight w:val="cyan"/>
                <w:u w:val="single"/>
              </w:rPr>
              <w:t>Item 4AA: If applicable, diagnoses</w:t>
            </w:r>
            <w:r w:rsidRPr="006A1EC7">
              <w:rPr>
                <w:highlight w:val="cyan"/>
              </w:rPr>
              <w:t>: __________________________________</w:t>
            </w:r>
          </w:p>
          <w:p w14:paraId="60A6C5B5" w14:textId="77777777" w:rsidR="0087601C" w:rsidRPr="006A1EC7" w:rsidRDefault="0087601C" w:rsidP="00D56051"/>
          <w:p w14:paraId="78FB9947" w14:textId="77777777" w:rsidR="0087601C" w:rsidRPr="006A1EC7" w:rsidRDefault="0087601C" w:rsidP="00D56051">
            <w:pPr>
              <w:rPr>
                <w:highlight w:val="cyan"/>
              </w:rPr>
            </w:pPr>
            <w:r w:rsidRPr="006A1EC7">
              <w:rPr>
                <w:highlight w:val="cyan"/>
                <w:u w:val="single"/>
              </w:rPr>
              <w:t>Item 4AB: If yes,</w:t>
            </w:r>
            <w:r w:rsidRPr="006A1EC7">
              <w:rPr>
                <w:highlight w:val="cyan"/>
              </w:rPr>
              <w:t xml:space="preserve"> </w:t>
            </w:r>
            <w:r w:rsidRPr="006A1EC7">
              <w:rPr>
                <w:highlight w:val="cyan"/>
                <w:u w:val="single"/>
              </w:rPr>
              <w:t>how has this been treated?</w:t>
            </w:r>
          </w:p>
          <w:p w14:paraId="6734218A" w14:textId="77777777" w:rsidR="0087601C" w:rsidRPr="006A1EC7" w:rsidRDefault="0087601C" w:rsidP="00D56051">
            <w:pPr>
              <w:rPr>
                <w:highlight w:val="yellow"/>
              </w:rPr>
            </w:pPr>
            <w:r w:rsidRPr="006A1EC7">
              <w:rPr>
                <w:highlight w:val="yellow"/>
              </w:rPr>
              <w:t>Urgent surgery = 3</w:t>
            </w:r>
          </w:p>
          <w:p w14:paraId="55F7A8F0" w14:textId="77777777" w:rsidR="0087601C" w:rsidRPr="006A1EC7" w:rsidRDefault="0087601C" w:rsidP="00D56051">
            <w:pPr>
              <w:rPr>
                <w:highlight w:val="cyan"/>
              </w:rPr>
            </w:pPr>
            <w:r w:rsidRPr="006A1EC7">
              <w:rPr>
                <w:highlight w:val="cyan"/>
              </w:rPr>
              <w:t>Elective surgery = 2</w:t>
            </w:r>
          </w:p>
          <w:p w14:paraId="1918D80E" w14:textId="77777777" w:rsidR="0087601C" w:rsidRPr="006A1EC7" w:rsidRDefault="0087601C" w:rsidP="00D56051">
            <w:pPr>
              <w:rPr>
                <w:highlight w:val="yellow"/>
              </w:rPr>
            </w:pPr>
            <w:r w:rsidRPr="006A1EC7">
              <w:rPr>
                <w:highlight w:val="yellow"/>
              </w:rPr>
              <w:t>Medication = 1</w:t>
            </w:r>
          </w:p>
          <w:p w14:paraId="692554E5" w14:textId="77777777" w:rsidR="0087601C" w:rsidRPr="006A1EC7" w:rsidRDefault="0087601C" w:rsidP="00D56051">
            <w:r w:rsidRPr="006A1EC7">
              <w:rPr>
                <w:highlight w:val="cyan"/>
              </w:rPr>
              <w:t>None needed/observation only = 0</w:t>
            </w:r>
          </w:p>
          <w:p w14:paraId="5836BDCA" w14:textId="77777777" w:rsidR="0087601C" w:rsidRPr="006A1EC7" w:rsidRDefault="0087601C" w:rsidP="00D56051">
            <w:pPr>
              <w:rPr>
                <w:u w:val="single"/>
              </w:rPr>
            </w:pPr>
          </w:p>
          <w:p w14:paraId="471BDE1A" w14:textId="77777777" w:rsidR="0087601C" w:rsidRPr="006A1EC7" w:rsidRDefault="0087601C" w:rsidP="00D56051">
            <w:pPr>
              <w:rPr>
                <w:u w:val="single"/>
              </w:rPr>
            </w:pPr>
          </w:p>
          <w:p w14:paraId="13245E9E" w14:textId="77777777" w:rsidR="0087601C" w:rsidRPr="006A1EC7" w:rsidRDefault="0087601C" w:rsidP="00D56051">
            <w:pPr>
              <w:rPr>
                <w:u w:val="single"/>
              </w:rPr>
            </w:pPr>
            <w:r w:rsidRPr="006A1EC7">
              <w:rPr>
                <w:highlight w:val="cyan"/>
                <w:u w:val="single"/>
              </w:rPr>
              <w:t>Item 4AC: Is the heart defect symptomatic?</w:t>
            </w:r>
          </w:p>
          <w:p w14:paraId="754E9EB3" w14:textId="77777777" w:rsidR="0087601C" w:rsidRPr="006A1EC7" w:rsidRDefault="0087601C" w:rsidP="00D56051">
            <w:pPr>
              <w:rPr>
                <w:highlight w:val="yellow"/>
              </w:rPr>
            </w:pPr>
            <w:r w:rsidRPr="006A1EC7">
              <w:rPr>
                <w:highlight w:val="yellow"/>
              </w:rPr>
              <w:t>Predominantly yes = 1</w:t>
            </w:r>
          </w:p>
          <w:p w14:paraId="642B27EB" w14:textId="77777777" w:rsidR="0087601C" w:rsidRPr="006A1EC7" w:rsidRDefault="0087601C" w:rsidP="00D56051">
            <w:r w:rsidRPr="006A1EC7">
              <w:rPr>
                <w:highlight w:val="yellow"/>
              </w:rPr>
              <w:t>Predominantly no = 0</w:t>
            </w:r>
            <w:r w:rsidRPr="006A1EC7">
              <w:t xml:space="preserve"> </w:t>
            </w:r>
          </w:p>
          <w:p w14:paraId="66A75BFA" w14:textId="77777777" w:rsidR="0087601C" w:rsidRPr="006A1EC7" w:rsidRDefault="0087601C" w:rsidP="00D56051"/>
          <w:p w14:paraId="3D807E75" w14:textId="77777777" w:rsidR="0087601C" w:rsidRPr="006A1EC7" w:rsidRDefault="0087601C" w:rsidP="00D56051">
            <w:pPr>
              <w:rPr>
                <w:u w:val="single"/>
              </w:rPr>
            </w:pPr>
          </w:p>
          <w:p w14:paraId="058012EB" w14:textId="77777777" w:rsidR="0087601C" w:rsidRPr="006A1EC7" w:rsidRDefault="0087601C" w:rsidP="00D56051">
            <w:pPr>
              <w:rPr>
                <w:u w:val="single"/>
              </w:rPr>
            </w:pPr>
          </w:p>
          <w:p w14:paraId="1D626EA1" w14:textId="77777777" w:rsidR="0087601C" w:rsidRPr="006A1EC7" w:rsidRDefault="0087601C" w:rsidP="00D56051">
            <w:pPr>
              <w:rPr>
                <w:highlight w:val="cyan"/>
                <w:u w:val="single"/>
              </w:rPr>
            </w:pPr>
            <w:r w:rsidRPr="006A1EC7">
              <w:rPr>
                <w:highlight w:val="cyan"/>
                <w:u w:val="single"/>
              </w:rPr>
              <w:t>Item 4AD: What specific heart defect-related symptoms does the patient suffer? (Add items up)</w:t>
            </w:r>
          </w:p>
          <w:p w14:paraId="643AE53C" w14:textId="77777777" w:rsidR="0087601C" w:rsidRPr="006A1EC7" w:rsidRDefault="0087601C" w:rsidP="00D56051">
            <w:pPr>
              <w:rPr>
                <w:highlight w:val="cyan"/>
              </w:rPr>
            </w:pPr>
            <w:r w:rsidRPr="006A1EC7">
              <w:rPr>
                <w:highlight w:val="cyan"/>
              </w:rPr>
              <w:t>Breathlessness = 1</w:t>
            </w:r>
          </w:p>
          <w:p w14:paraId="42792B54" w14:textId="77777777" w:rsidR="0087601C" w:rsidRPr="006A1EC7" w:rsidRDefault="0087601C" w:rsidP="00D56051">
            <w:pPr>
              <w:rPr>
                <w:highlight w:val="cyan"/>
              </w:rPr>
            </w:pPr>
            <w:r w:rsidRPr="006A1EC7">
              <w:rPr>
                <w:highlight w:val="cyan"/>
              </w:rPr>
              <w:t xml:space="preserve">chest pain = 1 </w:t>
            </w:r>
          </w:p>
          <w:p w14:paraId="3D800B02" w14:textId="77777777" w:rsidR="0087601C" w:rsidRPr="006A1EC7" w:rsidRDefault="0087601C" w:rsidP="00D56051">
            <w:r w:rsidRPr="006A1EC7">
              <w:rPr>
                <w:highlight w:val="cyan"/>
              </w:rPr>
              <w:t>fatigue = 1</w:t>
            </w:r>
            <w:r w:rsidRPr="006A1EC7">
              <w:t xml:space="preserve"> </w:t>
            </w:r>
          </w:p>
          <w:p w14:paraId="74332F3A" w14:textId="77777777" w:rsidR="0087601C" w:rsidRPr="006A1EC7" w:rsidRDefault="0087601C" w:rsidP="00D56051">
            <w:pPr>
              <w:rPr>
                <w:highlight w:val="yellow"/>
              </w:rPr>
            </w:pPr>
            <w:r w:rsidRPr="006A1EC7">
              <w:rPr>
                <w:highlight w:val="yellow"/>
              </w:rPr>
              <w:t xml:space="preserve">swelling of the ankles = 1 </w:t>
            </w:r>
          </w:p>
          <w:p w14:paraId="6AA7CCAA" w14:textId="77777777" w:rsidR="0087601C" w:rsidRPr="006A1EC7" w:rsidRDefault="0087601C" w:rsidP="00D56051">
            <w:r w:rsidRPr="006A1EC7">
              <w:rPr>
                <w:highlight w:val="yellow"/>
              </w:rPr>
              <w:t>fainting = 1</w:t>
            </w:r>
            <w:r w:rsidRPr="006A1EC7">
              <w:t xml:space="preserve"> </w:t>
            </w:r>
          </w:p>
          <w:p w14:paraId="426374B1" w14:textId="77777777" w:rsidR="0087601C" w:rsidRPr="006A1EC7" w:rsidRDefault="0087601C" w:rsidP="00D56051"/>
          <w:p w14:paraId="7C808975" w14:textId="77777777" w:rsidR="0087601C" w:rsidRPr="006A1EC7" w:rsidRDefault="0087601C" w:rsidP="00D56051">
            <w:pPr>
              <w:rPr>
                <w:highlight w:val="cyan"/>
                <w:u w:val="single"/>
              </w:rPr>
            </w:pPr>
            <w:r w:rsidRPr="006A1EC7">
              <w:rPr>
                <w:highlight w:val="cyan"/>
              </w:rPr>
              <w:t xml:space="preserve">Item 4B: </w:t>
            </w:r>
            <w:r w:rsidRPr="006A1EC7">
              <w:rPr>
                <w:highlight w:val="cyan"/>
                <w:u w:val="single"/>
              </w:rPr>
              <w:t>Has the patient ever been diagnosed with a structural respiratory/upper airways malformation?</w:t>
            </w:r>
          </w:p>
          <w:p w14:paraId="6A264191" w14:textId="77777777" w:rsidR="0087601C" w:rsidRPr="006A1EC7" w:rsidRDefault="0087601C" w:rsidP="00D56051">
            <w:pPr>
              <w:rPr>
                <w:highlight w:val="cyan"/>
              </w:rPr>
            </w:pPr>
            <w:r w:rsidRPr="006A1EC7">
              <w:rPr>
                <w:highlight w:val="cyan"/>
              </w:rPr>
              <w:t>yes = 1</w:t>
            </w:r>
          </w:p>
          <w:p w14:paraId="58AE3F73" w14:textId="77777777" w:rsidR="0087601C" w:rsidRPr="006A1EC7" w:rsidRDefault="0087601C" w:rsidP="00D56051">
            <w:r w:rsidRPr="006A1EC7">
              <w:rPr>
                <w:highlight w:val="cyan"/>
              </w:rPr>
              <w:t>no = 0</w:t>
            </w:r>
          </w:p>
          <w:p w14:paraId="2FC50E92" w14:textId="77777777" w:rsidR="0087601C" w:rsidRPr="006A1EC7" w:rsidRDefault="0087601C" w:rsidP="00D56051"/>
          <w:p w14:paraId="35CCD12E" w14:textId="77777777" w:rsidR="0087601C" w:rsidRPr="006A1EC7" w:rsidRDefault="0087601C" w:rsidP="00D56051">
            <w:pPr>
              <w:rPr>
                <w:u w:val="single"/>
              </w:rPr>
            </w:pPr>
            <w:r w:rsidRPr="006A1EC7">
              <w:rPr>
                <w:u w:val="single"/>
              </w:rPr>
              <w:t>Item 4BA: If applicable, diagnosis</w:t>
            </w:r>
            <w:r w:rsidRPr="006A1EC7">
              <w:t>:</w:t>
            </w:r>
            <w:r w:rsidRPr="006A1EC7">
              <w:rPr>
                <w:u w:val="single"/>
              </w:rPr>
              <w:t>__________________________</w:t>
            </w:r>
          </w:p>
          <w:p w14:paraId="0D8198E5" w14:textId="77777777" w:rsidR="0087601C" w:rsidRPr="006A1EC7" w:rsidRDefault="0087601C" w:rsidP="00D56051"/>
          <w:p w14:paraId="3FD35219" w14:textId="77777777" w:rsidR="0087601C" w:rsidRPr="006A1EC7" w:rsidRDefault="0087601C" w:rsidP="00D56051">
            <w:pPr>
              <w:rPr>
                <w:highlight w:val="cyan"/>
                <w:u w:val="single"/>
              </w:rPr>
            </w:pPr>
            <w:r w:rsidRPr="006A1EC7">
              <w:rPr>
                <w:highlight w:val="cyan"/>
                <w:u w:val="single"/>
              </w:rPr>
              <w:t>Item 4BB: Does the patient suffer recurrent lower respiratory tract infections?</w:t>
            </w:r>
          </w:p>
          <w:p w14:paraId="290158CF" w14:textId="77777777" w:rsidR="0087601C" w:rsidRPr="006A1EC7" w:rsidRDefault="0087601C" w:rsidP="00D56051">
            <w:pPr>
              <w:rPr>
                <w:highlight w:val="cyan"/>
              </w:rPr>
            </w:pPr>
            <w:r w:rsidRPr="006A1EC7">
              <w:rPr>
                <w:highlight w:val="cyan"/>
              </w:rPr>
              <w:t>Yes  = 1</w:t>
            </w:r>
            <w:r w:rsidRPr="006A1EC7">
              <w:rPr>
                <w:highlight w:val="cyan"/>
              </w:rPr>
              <w:br/>
              <w:t>No = 0</w:t>
            </w:r>
          </w:p>
          <w:p w14:paraId="33B8BADE" w14:textId="77777777" w:rsidR="0087601C" w:rsidRPr="006A1EC7" w:rsidRDefault="0087601C" w:rsidP="00D56051">
            <w:pPr>
              <w:rPr>
                <w:highlight w:val="cyan"/>
              </w:rPr>
            </w:pPr>
          </w:p>
          <w:p w14:paraId="50E59CEE" w14:textId="77777777" w:rsidR="0087601C" w:rsidRPr="006A1EC7" w:rsidRDefault="0087601C" w:rsidP="00D56051">
            <w:pPr>
              <w:rPr>
                <w:highlight w:val="cyan"/>
                <w:u w:val="single"/>
              </w:rPr>
            </w:pPr>
            <w:r w:rsidRPr="006A1EC7">
              <w:rPr>
                <w:highlight w:val="cyan"/>
                <w:u w:val="single"/>
              </w:rPr>
              <w:t>Item 4BC: Over the past 6 months, what was the maximum level of care needed to treat lower respiratory tract infections?</w:t>
            </w:r>
          </w:p>
          <w:p w14:paraId="13C23ED7" w14:textId="77777777" w:rsidR="0087601C" w:rsidRPr="006A1EC7" w:rsidRDefault="0087601C" w:rsidP="00D56051">
            <w:pPr>
              <w:rPr>
                <w:highlight w:val="cyan"/>
              </w:rPr>
            </w:pPr>
            <w:r w:rsidRPr="006A1EC7">
              <w:rPr>
                <w:highlight w:val="cyan"/>
              </w:rPr>
              <w:t>Patient required hospital admission = 3</w:t>
            </w:r>
          </w:p>
          <w:p w14:paraId="1DF1728F" w14:textId="77777777" w:rsidR="0087601C" w:rsidRPr="006A1EC7" w:rsidRDefault="0087601C" w:rsidP="00D56051">
            <w:r w:rsidRPr="006A1EC7">
              <w:rPr>
                <w:highlight w:val="cyan"/>
              </w:rPr>
              <w:t>Home care/GP care with antibiotics = 2</w:t>
            </w:r>
          </w:p>
          <w:p w14:paraId="52C4911E" w14:textId="77777777" w:rsidR="0087601C" w:rsidRPr="006A1EC7" w:rsidRDefault="0087601C" w:rsidP="00D56051">
            <w:r w:rsidRPr="006A1EC7">
              <w:rPr>
                <w:highlight w:val="yellow"/>
              </w:rPr>
              <w:t>Self-care (e.g. Lempsip etc.) = 1</w:t>
            </w:r>
          </w:p>
          <w:p w14:paraId="5A001C71" w14:textId="77777777" w:rsidR="0087601C" w:rsidRPr="006A1EC7" w:rsidRDefault="0087601C" w:rsidP="00D56051">
            <w:r w:rsidRPr="006A1EC7">
              <w:rPr>
                <w:highlight w:val="cyan"/>
              </w:rPr>
              <w:t>Not applicable = 0</w:t>
            </w:r>
          </w:p>
          <w:p w14:paraId="514FEE25" w14:textId="77777777" w:rsidR="0087601C" w:rsidRPr="006A1EC7" w:rsidRDefault="0087601C" w:rsidP="00D56051">
            <w:pPr>
              <w:spacing w:line="360" w:lineRule="auto"/>
            </w:pPr>
          </w:p>
        </w:tc>
        <w:tc>
          <w:tcPr>
            <w:tcW w:w="4155" w:type="dxa"/>
          </w:tcPr>
          <w:p w14:paraId="026FEC25" w14:textId="77777777" w:rsidR="0087601C" w:rsidRPr="006A1EC7" w:rsidRDefault="0087601C" w:rsidP="00D56051">
            <w:pPr>
              <w:spacing w:line="360" w:lineRule="auto"/>
            </w:pPr>
          </w:p>
          <w:p w14:paraId="1AC2EDBB" w14:textId="77777777" w:rsidR="0087601C" w:rsidRPr="006A1EC7" w:rsidRDefault="0087601C" w:rsidP="00D56051">
            <w:pPr>
              <w:spacing w:line="360" w:lineRule="auto"/>
            </w:pPr>
          </w:p>
          <w:p w14:paraId="4326F1CF" w14:textId="77777777" w:rsidR="0087601C" w:rsidRPr="006A1EC7" w:rsidRDefault="0087601C" w:rsidP="00D56051">
            <w:r w:rsidRPr="006A1EC7">
              <w:t>This was identified from the interviews and are concurrent with the literature.</w:t>
            </w:r>
          </w:p>
          <w:p w14:paraId="481758A2" w14:textId="77777777" w:rsidR="0087601C" w:rsidRPr="006A1EC7" w:rsidRDefault="0087601C" w:rsidP="00D56051">
            <w:pPr>
              <w:spacing w:line="360" w:lineRule="auto"/>
            </w:pPr>
          </w:p>
          <w:p w14:paraId="42B00ECD" w14:textId="77777777" w:rsidR="0087601C" w:rsidRPr="006A1EC7" w:rsidRDefault="0087601C" w:rsidP="00D56051">
            <w:pPr>
              <w:spacing w:line="360" w:lineRule="auto"/>
            </w:pPr>
          </w:p>
          <w:p w14:paraId="7734A10A" w14:textId="77777777" w:rsidR="0087601C" w:rsidRPr="006A1EC7" w:rsidRDefault="0087601C" w:rsidP="00D56051">
            <w:pPr>
              <w:spacing w:line="360" w:lineRule="auto"/>
            </w:pPr>
          </w:p>
          <w:p w14:paraId="39130348" w14:textId="77777777" w:rsidR="0087601C" w:rsidRPr="006A1EC7" w:rsidRDefault="0087601C" w:rsidP="00D56051">
            <w:pPr>
              <w:spacing w:line="360" w:lineRule="auto"/>
            </w:pPr>
          </w:p>
          <w:p w14:paraId="2971A45E" w14:textId="77777777" w:rsidR="0087601C" w:rsidRPr="006A1EC7" w:rsidRDefault="0087601C" w:rsidP="00D56051"/>
          <w:p w14:paraId="07BB815E" w14:textId="77777777" w:rsidR="0087601C" w:rsidRPr="006A1EC7" w:rsidRDefault="0087601C" w:rsidP="00D56051">
            <w:r w:rsidRPr="006A1EC7">
              <w:t>This was identified from the interviews and are concurrent with the literature. Additional category of ‘urgent surgery’ and ‘medication’ was added due to clinician input, as this was not directly discussed in the interviews.</w:t>
            </w:r>
          </w:p>
          <w:p w14:paraId="3F5EB71C" w14:textId="77777777" w:rsidR="0087601C" w:rsidRPr="006A1EC7" w:rsidRDefault="0087601C" w:rsidP="00D56051"/>
          <w:p w14:paraId="2FA37D59" w14:textId="77777777" w:rsidR="0087601C" w:rsidRPr="006A1EC7" w:rsidRDefault="0087601C" w:rsidP="00D56051">
            <w:r w:rsidRPr="006A1EC7">
              <w:t>This was identified from the interviews and are concurrent with the literature. Answer categories with added word ‘predominantly’ were chosen due to discussions among the research team.</w:t>
            </w:r>
          </w:p>
          <w:p w14:paraId="2E0C8072" w14:textId="77777777" w:rsidR="0087601C" w:rsidRPr="006A1EC7" w:rsidRDefault="0087601C" w:rsidP="00D56051"/>
          <w:p w14:paraId="30A86956" w14:textId="77777777" w:rsidR="0087601C" w:rsidRPr="006A1EC7" w:rsidRDefault="0087601C" w:rsidP="00D56051">
            <w:r w:rsidRPr="006A1EC7">
              <w:t>This was identified from the interviews and are concurrent with the literature. Additional category of ‘swelling of the ankles’ and ‘fainting’ was added due to clinician input.</w:t>
            </w:r>
          </w:p>
          <w:p w14:paraId="47DDCC80" w14:textId="77777777" w:rsidR="0087601C" w:rsidRPr="006A1EC7" w:rsidRDefault="0087601C" w:rsidP="00D56051"/>
          <w:p w14:paraId="22FB368C" w14:textId="77777777" w:rsidR="0087601C" w:rsidRPr="006A1EC7" w:rsidRDefault="0087601C" w:rsidP="00D56051"/>
          <w:p w14:paraId="1A686FDB" w14:textId="77777777" w:rsidR="0087601C" w:rsidRPr="006A1EC7" w:rsidRDefault="0087601C" w:rsidP="00D56051"/>
          <w:p w14:paraId="3397D39D" w14:textId="77777777" w:rsidR="0087601C" w:rsidRPr="006A1EC7" w:rsidRDefault="0087601C" w:rsidP="00D56051"/>
          <w:p w14:paraId="629E0A92" w14:textId="77777777" w:rsidR="0087601C" w:rsidRPr="006A1EC7" w:rsidRDefault="0087601C" w:rsidP="00D56051">
            <w:r w:rsidRPr="006A1EC7">
              <w:t xml:space="preserve">This was identified from the interviews and are concurrent with the literature. </w:t>
            </w:r>
          </w:p>
          <w:p w14:paraId="64086964" w14:textId="77777777" w:rsidR="0087601C" w:rsidRPr="006A1EC7" w:rsidRDefault="0087601C" w:rsidP="00D56051"/>
          <w:p w14:paraId="31BFFFD0" w14:textId="77777777" w:rsidR="0087601C" w:rsidRPr="006A1EC7" w:rsidRDefault="0087601C" w:rsidP="00D56051"/>
          <w:p w14:paraId="2DC5AA47" w14:textId="77777777" w:rsidR="0087601C" w:rsidRPr="006A1EC7" w:rsidRDefault="0087601C" w:rsidP="00D56051"/>
          <w:p w14:paraId="132225DC" w14:textId="77777777" w:rsidR="0087601C" w:rsidRPr="006A1EC7" w:rsidRDefault="0087601C" w:rsidP="00D56051"/>
          <w:p w14:paraId="20132804" w14:textId="77777777" w:rsidR="0087601C" w:rsidRPr="006A1EC7" w:rsidRDefault="0087601C" w:rsidP="00D56051"/>
          <w:p w14:paraId="19F2D2AF" w14:textId="77777777" w:rsidR="0087601C" w:rsidRPr="006A1EC7" w:rsidRDefault="0087601C" w:rsidP="00D56051"/>
          <w:p w14:paraId="13894404" w14:textId="77777777" w:rsidR="0087601C" w:rsidRPr="006A1EC7" w:rsidRDefault="0087601C" w:rsidP="00D56051"/>
          <w:p w14:paraId="14030906" w14:textId="77777777" w:rsidR="0087601C" w:rsidRPr="006A1EC7" w:rsidRDefault="0087601C" w:rsidP="00D56051"/>
          <w:p w14:paraId="537DEE2A" w14:textId="77777777" w:rsidR="0087601C" w:rsidRPr="006A1EC7" w:rsidRDefault="0087601C" w:rsidP="00D56051"/>
          <w:p w14:paraId="2126A9EF" w14:textId="77777777" w:rsidR="0087601C" w:rsidRPr="006A1EC7" w:rsidRDefault="0087601C" w:rsidP="00D56051">
            <w:r w:rsidRPr="006A1EC7">
              <w:t xml:space="preserve">This was identified from the interviews and are concurrent with the literature. </w:t>
            </w:r>
          </w:p>
          <w:p w14:paraId="63520625" w14:textId="77777777" w:rsidR="0087601C" w:rsidRPr="006A1EC7" w:rsidRDefault="0087601C" w:rsidP="00D56051"/>
          <w:p w14:paraId="5CC2AEDA" w14:textId="77777777" w:rsidR="0087601C" w:rsidRPr="006A1EC7" w:rsidRDefault="0087601C" w:rsidP="00D56051"/>
          <w:p w14:paraId="33BAD33D" w14:textId="77777777" w:rsidR="0087601C" w:rsidRPr="006A1EC7" w:rsidRDefault="0087601C" w:rsidP="00D56051"/>
          <w:p w14:paraId="2146902C" w14:textId="77777777" w:rsidR="0087601C" w:rsidRPr="006A1EC7" w:rsidRDefault="0087601C" w:rsidP="00D56051">
            <w:r w:rsidRPr="006A1EC7">
              <w:t>This was identified from the interviews and are concurrent with the literature. Additional category of ‘self-care (i.e. Lemsip)’ was added due to clinician input.</w:t>
            </w:r>
          </w:p>
          <w:p w14:paraId="2B15A6A0" w14:textId="77777777" w:rsidR="0087601C" w:rsidRPr="006A1EC7" w:rsidRDefault="0087601C" w:rsidP="00D56051"/>
        </w:tc>
      </w:tr>
      <w:tr w:rsidR="0087601C" w:rsidRPr="006A1EC7" w14:paraId="16D6FDC4" w14:textId="77777777" w:rsidTr="00D56051">
        <w:tc>
          <w:tcPr>
            <w:tcW w:w="4475" w:type="dxa"/>
          </w:tcPr>
          <w:p w14:paraId="17975C3C" w14:textId="77777777" w:rsidR="0087601C" w:rsidRPr="006A1EC7" w:rsidRDefault="0087601C" w:rsidP="00D56051">
            <w:pPr>
              <w:rPr>
                <w:b/>
                <w:u w:val="single"/>
              </w:rPr>
            </w:pPr>
            <w:r w:rsidRPr="006A1EC7">
              <w:rPr>
                <w:b/>
                <w:u w:val="single"/>
              </w:rPr>
              <w:lastRenderedPageBreak/>
              <w:t>Section 5: Central nervous system</w:t>
            </w:r>
          </w:p>
          <w:p w14:paraId="24BA2345" w14:textId="77777777" w:rsidR="0087601C" w:rsidRPr="006A1EC7" w:rsidRDefault="0087601C" w:rsidP="00D56051">
            <w:pPr>
              <w:rPr>
                <w:u w:val="single"/>
              </w:rPr>
            </w:pPr>
          </w:p>
          <w:p w14:paraId="13E7CDC2" w14:textId="77777777" w:rsidR="0087601C" w:rsidRPr="006A1EC7" w:rsidRDefault="0087601C" w:rsidP="00D56051">
            <w:pPr>
              <w:rPr>
                <w:i/>
              </w:rPr>
            </w:pPr>
            <w:r w:rsidRPr="006A1EC7">
              <w:rPr>
                <w:i/>
              </w:rPr>
              <w:t xml:space="preserve">Vision </w:t>
            </w:r>
          </w:p>
          <w:p w14:paraId="3ECD4E17" w14:textId="77777777" w:rsidR="0087601C" w:rsidRPr="006A1EC7" w:rsidRDefault="0087601C" w:rsidP="00D56051">
            <w:pPr>
              <w:rPr>
                <w:u w:val="single"/>
              </w:rPr>
            </w:pPr>
          </w:p>
          <w:p w14:paraId="65398E30" w14:textId="77777777" w:rsidR="0087601C" w:rsidRPr="006A1EC7" w:rsidRDefault="0087601C" w:rsidP="00D56051">
            <w:pPr>
              <w:rPr>
                <w:highlight w:val="cyan"/>
                <w:u w:val="single"/>
              </w:rPr>
            </w:pPr>
            <w:r w:rsidRPr="006A1EC7">
              <w:rPr>
                <w:highlight w:val="cyan"/>
                <w:u w:val="single"/>
              </w:rPr>
              <w:t>Item 5A: Does the patient have a diagnosis of structural eye disease?</w:t>
            </w:r>
          </w:p>
          <w:p w14:paraId="6C10AC5D" w14:textId="77777777" w:rsidR="0087601C" w:rsidRPr="006A1EC7" w:rsidRDefault="0087601C" w:rsidP="00D56051">
            <w:pPr>
              <w:rPr>
                <w:highlight w:val="cyan"/>
              </w:rPr>
            </w:pPr>
            <w:r w:rsidRPr="006A1EC7">
              <w:rPr>
                <w:highlight w:val="cyan"/>
              </w:rPr>
              <w:t>Yes = 1</w:t>
            </w:r>
          </w:p>
          <w:p w14:paraId="56B15F53" w14:textId="77777777" w:rsidR="0087601C" w:rsidRPr="006A1EC7" w:rsidRDefault="0087601C" w:rsidP="00D56051">
            <w:r w:rsidRPr="006A1EC7">
              <w:rPr>
                <w:highlight w:val="cyan"/>
              </w:rPr>
              <w:t>No = 0</w:t>
            </w:r>
          </w:p>
          <w:p w14:paraId="6DA2D096" w14:textId="77777777" w:rsidR="0087601C" w:rsidRPr="006A1EC7" w:rsidRDefault="0087601C" w:rsidP="00D56051">
            <w:pPr>
              <w:rPr>
                <w:u w:val="single"/>
              </w:rPr>
            </w:pPr>
          </w:p>
          <w:p w14:paraId="1A28F7BE" w14:textId="77777777" w:rsidR="0087601C" w:rsidRPr="006A1EC7" w:rsidRDefault="0087601C" w:rsidP="00D56051">
            <w:pPr>
              <w:rPr>
                <w:highlight w:val="yellow"/>
                <w:u w:val="single"/>
              </w:rPr>
            </w:pPr>
            <w:r w:rsidRPr="006A1EC7">
              <w:rPr>
                <w:highlight w:val="yellow"/>
                <w:u w:val="single"/>
              </w:rPr>
              <w:t>Item 5AB: Does the patient require eye surgery for structural eye disease?</w:t>
            </w:r>
          </w:p>
          <w:p w14:paraId="30B4E135" w14:textId="77777777" w:rsidR="0087601C" w:rsidRPr="006A1EC7" w:rsidRDefault="0087601C" w:rsidP="00D56051">
            <w:pPr>
              <w:rPr>
                <w:highlight w:val="yellow"/>
              </w:rPr>
            </w:pPr>
            <w:r w:rsidRPr="006A1EC7">
              <w:rPr>
                <w:highlight w:val="yellow"/>
              </w:rPr>
              <w:t>Yes = 1</w:t>
            </w:r>
          </w:p>
          <w:p w14:paraId="2630760A" w14:textId="77777777" w:rsidR="0087601C" w:rsidRPr="006A1EC7" w:rsidRDefault="0087601C" w:rsidP="00D56051">
            <w:r w:rsidRPr="006A1EC7">
              <w:rPr>
                <w:highlight w:val="yellow"/>
              </w:rPr>
              <w:t>No = 0</w:t>
            </w:r>
            <w:r w:rsidRPr="006A1EC7">
              <w:t xml:space="preserve"> </w:t>
            </w:r>
          </w:p>
          <w:p w14:paraId="2C2D118F" w14:textId="77777777" w:rsidR="0087601C" w:rsidRPr="006A1EC7" w:rsidRDefault="0087601C" w:rsidP="00D56051">
            <w:pPr>
              <w:rPr>
                <w:u w:val="single"/>
              </w:rPr>
            </w:pPr>
          </w:p>
          <w:p w14:paraId="58077011" w14:textId="77777777" w:rsidR="0087601C" w:rsidRPr="006A1EC7" w:rsidRDefault="0087601C" w:rsidP="00D56051">
            <w:pPr>
              <w:rPr>
                <w:highlight w:val="cyan"/>
              </w:rPr>
            </w:pPr>
            <w:r w:rsidRPr="006A1EC7">
              <w:rPr>
                <w:highlight w:val="cyan"/>
                <w:u w:val="single"/>
              </w:rPr>
              <w:t>Item5AC: What is the patient’s sight like?</w:t>
            </w:r>
            <w:r w:rsidRPr="006A1EC7">
              <w:rPr>
                <w:highlight w:val="cyan"/>
                <w:u w:val="single"/>
              </w:rPr>
              <w:br/>
            </w:r>
            <w:r w:rsidRPr="006A1EC7">
              <w:rPr>
                <w:highlight w:val="cyan"/>
              </w:rPr>
              <w:t>Registered blind (visual defect that cannot be fixed) = 2</w:t>
            </w:r>
          </w:p>
          <w:p w14:paraId="30632334" w14:textId="77777777" w:rsidR="0087601C" w:rsidRPr="006A1EC7" w:rsidRDefault="0087601C" w:rsidP="00D56051">
            <w:r w:rsidRPr="006A1EC7">
              <w:rPr>
                <w:highlight w:val="cyan"/>
              </w:rPr>
              <w:t>Requires glasses =1</w:t>
            </w:r>
            <w:r w:rsidRPr="006A1EC7">
              <w:rPr>
                <w:highlight w:val="cyan"/>
              </w:rPr>
              <w:br/>
              <w:t>Normal vision = 0</w:t>
            </w:r>
          </w:p>
          <w:p w14:paraId="664A525D" w14:textId="77777777" w:rsidR="0087601C" w:rsidRPr="006A1EC7" w:rsidRDefault="0087601C" w:rsidP="00D56051"/>
          <w:p w14:paraId="4C4696C5" w14:textId="77777777" w:rsidR="0087601C" w:rsidRPr="006A1EC7" w:rsidRDefault="0087601C" w:rsidP="00D56051">
            <w:pPr>
              <w:rPr>
                <w:i/>
              </w:rPr>
            </w:pPr>
            <w:r w:rsidRPr="006A1EC7">
              <w:rPr>
                <w:i/>
              </w:rPr>
              <w:t>Hearing &amp; Ears</w:t>
            </w:r>
          </w:p>
          <w:p w14:paraId="4B12ED5D" w14:textId="77777777" w:rsidR="0087601C" w:rsidRPr="006A1EC7" w:rsidRDefault="0087601C" w:rsidP="00D56051"/>
          <w:p w14:paraId="3028F4E8" w14:textId="77777777" w:rsidR="0087601C" w:rsidRPr="006A1EC7" w:rsidRDefault="0087601C" w:rsidP="00D56051">
            <w:pPr>
              <w:rPr>
                <w:highlight w:val="cyan"/>
                <w:u w:val="single"/>
              </w:rPr>
            </w:pPr>
            <w:r w:rsidRPr="006A1EC7">
              <w:rPr>
                <w:highlight w:val="cyan"/>
                <w:u w:val="single"/>
              </w:rPr>
              <w:t>Item 5B: What is he patient’s hearing like?</w:t>
            </w:r>
          </w:p>
          <w:p w14:paraId="2E48463E" w14:textId="77777777" w:rsidR="0087601C" w:rsidRPr="006A1EC7" w:rsidRDefault="0087601C" w:rsidP="00D56051">
            <w:pPr>
              <w:rPr>
                <w:highlight w:val="cyan"/>
              </w:rPr>
            </w:pPr>
            <w:r w:rsidRPr="006A1EC7">
              <w:rPr>
                <w:highlight w:val="cyan"/>
              </w:rPr>
              <w:t>Registered deaf = 2</w:t>
            </w:r>
          </w:p>
          <w:p w14:paraId="25BB89D3" w14:textId="77777777" w:rsidR="0087601C" w:rsidRPr="006A1EC7" w:rsidRDefault="0087601C" w:rsidP="00D56051">
            <w:pPr>
              <w:rPr>
                <w:highlight w:val="cyan"/>
              </w:rPr>
            </w:pPr>
            <w:r w:rsidRPr="006A1EC7">
              <w:rPr>
                <w:highlight w:val="cyan"/>
              </w:rPr>
              <w:t>Requires an aid = 1</w:t>
            </w:r>
          </w:p>
          <w:p w14:paraId="26A31A34" w14:textId="77777777" w:rsidR="0087601C" w:rsidRPr="006A1EC7" w:rsidRDefault="0087601C" w:rsidP="00D56051">
            <w:r w:rsidRPr="006A1EC7">
              <w:rPr>
                <w:highlight w:val="cyan"/>
              </w:rPr>
              <w:t>Normal hearing = 0</w:t>
            </w:r>
          </w:p>
          <w:p w14:paraId="5A30F95B" w14:textId="77777777" w:rsidR="0087601C" w:rsidRPr="006A1EC7" w:rsidRDefault="0087601C" w:rsidP="00D56051">
            <w:pPr>
              <w:rPr>
                <w:u w:val="single"/>
              </w:rPr>
            </w:pPr>
          </w:p>
          <w:p w14:paraId="23DB084E" w14:textId="77777777" w:rsidR="0087601C" w:rsidRPr="006A1EC7" w:rsidRDefault="0087601C" w:rsidP="00D56051">
            <w:pPr>
              <w:rPr>
                <w:highlight w:val="magenta"/>
                <w:u w:val="single"/>
              </w:rPr>
            </w:pPr>
            <w:r w:rsidRPr="006A1EC7">
              <w:rPr>
                <w:highlight w:val="magenta"/>
                <w:u w:val="single"/>
              </w:rPr>
              <w:t>Item 5BA: Does the patient suffer recurrent ear infections?</w:t>
            </w:r>
          </w:p>
          <w:p w14:paraId="24DA4F8F" w14:textId="77777777" w:rsidR="0087601C" w:rsidRPr="006A1EC7" w:rsidRDefault="0087601C" w:rsidP="00D56051">
            <w:pPr>
              <w:rPr>
                <w:highlight w:val="magenta"/>
              </w:rPr>
            </w:pPr>
            <w:r w:rsidRPr="006A1EC7">
              <w:rPr>
                <w:highlight w:val="magenta"/>
              </w:rPr>
              <w:t>Yes = 1</w:t>
            </w:r>
          </w:p>
          <w:p w14:paraId="662AF5C4" w14:textId="77777777" w:rsidR="0087601C" w:rsidRPr="006A1EC7" w:rsidRDefault="0087601C" w:rsidP="00D56051">
            <w:r w:rsidRPr="006A1EC7">
              <w:rPr>
                <w:highlight w:val="magenta"/>
              </w:rPr>
              <w:t>No = 2</w:t>
            </w:r>
          </w:p>
          <w:p w14:paraId="192351B9" w14:textId="77777777" w:rsidR="0087601C" w:rsidRPr="006A1EC7" w:rsidRDefault="0087601C" w:rsidP="00D56051">
            <w:pPr>
              <w:rPr>
                <w:u w:val="single"/>
              </w:rPr>
            </w:pPr>
          </w:p>
          <w:p w14:paraId="7B02E0CC" w14:textId="77777777" w:rsidR="0087601C" w:rsidRPr="006A1EC7" w:rsidRDefault="0087601C" w:rsidP="00D56051">
            <w:pPr>
              <w:rPr>
                <w:highlight w:val="magenta"/>
                <w:u w:val="single"/>
              </w:rPr>
            </w:pPr>
            <w:r w:rsidRPr="006A1EC7">
              <w:rPr>
                <w:highlight w:val="magenta"/>
                <w:u w:val="single"/>
              </w:rPr>
              <w:t>Item 5BB: Over the past 6 months, what was the maximum level of care needed to treat ear infection?</w:t>
            </w:r>
          </w:p>
          <w:p w14:paraId="3876F3F6" w14:textId="77777777" w:rsidR="0087601C" w:rsidRPr="006A1EC7" w:rsidRDefault="0087601C" w:rsidP="00D56051">
            <w:pPr>
              <w:rPr>
                <w:highlight w:val="magenta"/>
              </w:rPr>
            </w:pPr>
            <w:r w:rsidRPr="006A1EC7">
              <w:rPr>
                <w:highlight w:val="magenta"/>
              </w:rPr>
              <w:t>Patient required hospital admission = 3</w:t>
            </w:r>
          </w:p>
          <w:p w14:paraId="4679F5F7" w14:textId="77777777" w:rsidR="0087601C" w:rsidRPr="006A1EC7" w:rsidRDefault="0087601C" w:rsidP="00D56051">
            <w:pPr>
              <w:rPr>
                <w:highlight w:val="magenta"/>
              </w:rPr>
            </w:pPr>
            <w:r w:rsidRPr="006A1EC7">
              <w:rPr>
                <w:highlight w:val="magenta"/>
              </w:rPr>
              <w:t>Home care/GP care with antibiotics = 2</w:t>
            </w:r>
          </w:p>
          <w:p w14:paraId="4FDDD727" w14:textId="77777777" w:rsidR="0087601C" w:rsidRPr="006A1EC7" w:rsidRDefault="0087601C" w:rsidP="00D56051">
            <w:pPr>
              <w:rPr>
                <w:highlight w:val="magenta"/>
              </w:rPr>
            </w:pPr>
            <w:r w:rsidRPr="006A1EC7">
              <w:rPr>
                <w:highlight w:val="magenta"/>
              </w:rPr>
              <w:t>Self-care = 1</w:t>
            </w:r>
          </w:p>
          <w:p w14:paraId="0C93C585" w14:textId="77777777" w:rsidR="0087601C" w:rsidRPr="006A1EC7" w:rsidRDefault="0087601C" w:rsidP="00D56051">
            <w:r w:rsidRPr="006A1EC7">
              <w:rPr>
                <w:highlight w:val="magenta"/>
              </w:rPr>
              <w:t>Not applicable = 0</w:t>
            </w:r>
          </w:p>
          <w:p w14:paraId="1C0D2455" w14:textId="77777777" w:rsidR="0087601C" w:rsidRPr="006A1EC7" w:rsidRDefault="0087601C" w:rsidP="00D56051"/>
          <w:p w14:paraId="3F37A061" w14:textId="77777777" w:rsidR="0087601C" w:rsidRPr="006A1EC7" w:rsidRDefault="0087601C" w:rsidP="00D56051">
            <w:pPr>
              <w:rPr>
                <w:i/>
              </w:rPr>
            </w:pPr>
            <w:r w:rsidRPr="006A1EC7">
              <w:rPr>
                <w:i/>
              </w:rPr>
              <w:t>Brain</w:t>
            </w:r>
          </w:p>
          <w:p w14:paraId="5410785D" w14:textId="77777777" w:rsidR="0087601C" w:rsidRPr="006A1EC7" w:rsidRDefault="0087601C" w:rsidP="00D56051">
            <w:pPr>
              <w:rPr>
                <w:u w:val="single"/>
              </w:rPr>
            </w:pPr>
          </w:p>
          <w:p w14:paraId="16E65A6F" w14:textId="77777777" w:rsidR="0087601C" w:rsidRPr="006A1EC7" w:rsidRDefault="0087601C" w:rsidP="00D56051">
            <w:pPr>
              <w:rPr>
                <w:highlight w:val="cyan"/>
                <w:u w:val="single"/>
              </w:rPr>
            </w:pPr>
            <w:r w:rsidRPr="006A1EC7">
              <w:rPr>
                <w:highlight w:val="cyan"/>
                <w:u w:val="single"/>
              </w:rPr>
              <w:t xml:space="preserve">Item 5C: Does the patient have any structural brain disease </w:t>
            </w:r>
            <w:r w:rsidRPr="006A1EC7">
              <w:rPr>
                <w:highlight w:val="yellow"/>
                <w:u w:val="single"/>
              </w:rPr>
              <w:t>confirmed by investigation (e.g. scan)?</w:t>
            </w:r>
          </w:p>
          <w:p w14:paraId="1E281537" w14:textId="77777777" w:rsidR="0087601C" w:rsidRPr="006A1EC7" w:rsidRDefault="0087601C" w:rsidP="00D56051">
            <w:pPr>
              <w:rPr>
                <w:highlight w:val="cyan"/>
              </w:rPr>
            </w:pPr>
            <w:r w:rsidRPr="006A1EC7">
              <w:rPr>
                <w:highlight w:val="cyan"/>
              </w:rPr>
              <w:t>Yes = 1</w:t>
            </w:r>
          </w:p>
          <w:p w14:paraId="02C29E00" w14:textId="77777777" w:rsidR="0087601C" w:rsidRPr="006A1EC7" w:rsidRDefault="0087601C" w:rsidP="00D56051">
            <w:r w:rsidRPr="006A1EC7">
              <w:rPr>
                <w:highlight w:val="cyan"/>
              </w:rPr>
              <w:t>No = 0</w:t>
            </w:r>
          </w:p>
          <w:p w14:paraId="7F341042" w14:textId="77777777" w:rsidR="0087601C" w:rsidRPr="006A1EC7" w:rsidRDefault="0087601C" w:rsidP="00D56051">
            <w:pPr>
              <w:rPr>
                <w:u w:val="single"/>
              </w:rPr>
            </w:pPr>
          </w:p>
          <w:p w14:paraId="0B609EE8" w14:textId="77777777" w:rsidR="0087601C" w:rsidRPr="006A1EC7" w:rsidRDefault="0087601C" w:rsidP="00D56051">
            <w:pPr>
              <w:rPr>
                <w:highlight w:val="cyan"/>
                <w:u w:val="single"/>
              </w:rPr>
            </w:pPr>
            <w:r w:rsidRPr="006A1EC7">
              <w:rPr>
                <w:highlight w:val="cyan"/>
                <w:u w:val="single"/>
              </w:rPr>
              <w:t>Item 5CA: Was surgical intervention required for structural brain disease?</w:t>
            </w:r>
          </w:p>
          <w:p w14:paraId="14BCD61E" w14:textId="77777777" w:rsidR="0087601C" w:rsidRPr="006A1EC7" w:rsidRDefault="0087601C" w:rsidP="00D56051">
            <w:r w:rsidRPr="006A1EC7">
              <w:rPr>
                <w:highlight w:val="cyan"/>
              </w:rPr>
              <w:t>Yes = 1</w:t>
            </w:r>
            <w:r w:rsidRPr="006A1EC7">
              <w:rPr>
                <w:highlight w:val="cyan"/>
              </w:rPr>
              <w:br/>
              <w:t>No = 0</w:t>
            </w:r>
          </w:p>
          <w:p w14:paraId="2B6EFA57" w14:textId="77777777" w:rsidR="0087601C" w:rsidRPr="006A1EC7" w:rsidRDefault="0087601C" w:rsidP="00D56051">
            <w:pPr>
              <w:rPr>
                <w:u w:val="single"/>
              </w:rPr>
            </w:pPr>
          </w:p>
          <w:p w14:paraId="5B86B358" w14:textId="77777777" w:rsidR="0087601C" w:rsidRPr="006A1EC7" w:rsidRDefault="0087601C" w:rsidP="00D56051">
            <w:pPr>
              <w:rPr>
                <w:u w:val="single"/>
              </w:rPr>
            </w:pPr>
          </w:p>
          <w:p w14:paraId="599B2BB5" w14:textId="77777777" w:rsidR="0087601C" w:rsidRPr="006A1EC7" w:rsidRDefault="0087601C" w:rsidP="00D56051">
            <w:pPr>
              <w:rPr>
                <w:i/>
              </w:rPr>
            </w:pPr>
            <w:r w:rsidRPr="006A1EC7">
              <w:rPr>
                <w:i/>
              </w:rPr>
              <w:t>Mobility</w:t>
            </w:r>
          </w:p>
          <w:p w14:paraId="30E89872" w14:textId="77777777" w:rsidR="0087601C" w:rsidRPr="006A1EC7" w:rsidRDefault="0087601C" w:rsidP="00D56051">
            <w:pPr>
              <w:rPr>
                <w:u w:val="single"/>
              </w:rPr>
            </w:pPr>
          </w:p>
          <w:p w14:paraId="662D1126" w14:textId="77777777" w:rsidR="0087601C" w:rsidRPr="006A1EC7" w:rsidRDefault="0087601C" w:rsidP="00D56051">
            <w:pPr>
              <w:rPr>
                <w:color w:val="000000" w:themeColor="text1"/>
                <w:highlight w:val="red"/>
              </w:rPr>
            </w:pPr>
            <w:r w:rsidRPr="006A1EC7">
              <w:rPr>
                <w:color w:val="000000" w:themeColor="text1"/>
                <w:highlight w:val="red"/>
                <w:u w:val="single"/>
              </w:rPr>
              <w:t>Item 5D: Is the patient able to sit?</w:t>
            </w:r>
            <w:r w:rsidRPr="006A1EC7">
              <w:rPr>
                <w:color w:val="000000" w:themeColor="text1"/>
                <w:highlight w:val="red"/>
                <w:u w:val="single"/>
              </w:rPr>
              <w:br/>
            </w:r>
            <w:r w:rsidRPr="006A1EC7">
              <w:rPr>
                <w:color w:val="000000" w:themeColor="text1"/>
                <w:highlight w:val="red"/>
              </w:rPr>
              <w:t>Patient is unable to sit safely without formal support (i.e. safety belt, safety harness in wheelchair or special chair) = 3</w:t>
            </w:r>
          </w:p>
          <w:p w14:paraId="69F7C06F" w14:textId="77777777" w:rsidR="0087601C" w:rsidRPr="006A1EC7" w:rsidRDefault="0087601C" w:rsidP="00D56051">
            <w:pPr>
              <w:rPr>
                <w:color w:val="000000" w:themeColor="text1"/>
                <w:highlight w:val="red"/>
              </w:rPr>
            </w:pPr>
            <w:r w:rsidRPr="006A1EC7">
              <w:rPr>
                <w:color w:val="000000" w:themeColor="text1"/>
                <w:highlight w:val="red"/>
              </w:rPr>
              <w:t>Patient sits with poor posture (slumped forward, to one side; requiring pillows or similar support) = 2</w:t>
            </w:r>
          </w:p>
          <w:p w14:paraId="609E5629" w14:textId="77777777" w:rsidR="0087601C" w:rsidRPr="006A1EC7" w:rsidRDefault="0087601C" w:rsidP="00D56051">
            <w:pPr>
              <w:rPr>
                <w:color w:val="000000" w:themeColor="text1"/>
                <w:highlight w:val="red"/>
              </w:rPr>
            </w:pPr>
            <w:r w:rsidRPr="006A1EC7">
              <w:rPr>
                <w:color w:val="000000" w:themeColor="text1"/>
                <w:highlight w:val="red"/>
              </w:rPr>
              <w:t>Patient occasionally requires support when sitting = 1</w:t>
            </w:r>
          </w:p>
          <w:p w14:paraId="355C5C0E" w14:textId="77777777" w:rsidR="0087601C" w:rsidRPr="006A1EC7" w:rsidRDefault="0087601C" w:rsidP="00D56051">
            <w:pPr>
              <w:rPr>
                <w:color w:val="000000" w:themeColor="text1"/>
                <w:highlight w:val="red"/>
              </w:rPr>
            </w:pPr>
            <w:r w:rsidRPr="006A1EC7">
              <w:rPr>
                <w:color w:val="000000" w:themeColor="text1"/>
                <w:highlight w:val="red"/>
              </w:rPr>
              <w:t xml:space="preserve">No issues, sits independently = 0 </w:t>
            </w:r>
          </w:p>
          <w:p w14:paraId="334453E9" w14:textId="77777777" w:rsidR="0087601C" w:rsidRPr="006A1EC7" w:rsidRDefault="0087601C" w:rsidP="00D56051">
            <w:pPr>
              <w:rPr>
                <w:highlight w:val="red"/>
                <w:u w:val="wave"/>
              </w:rPr>
            </w:pPr>
          </w:p>
          <w:p w14:paraId="5F53EEC7" w14:textId="77777777" w:rsidR="0087601C" w:rsidRPr="006A1EC7" w:rsidRDefault="0087601C" w:rsidP="00D56051">
            <w:pPr>
              <w:rPr>
                <w:highlight w:val="red"/>
                <w:u w:val="single"/>
              </w:rPr>
            </w:pPr>
            <w:r w:rsidRPr="006A1EC7">
              <w:rPr>
                <w:highlight w:val="red"/>
                <w:u w:val="single"/>
              </w:rPr>
              <w:t>Item 5E: Is the patient able to stand?</w:t>
            </w:r>
          </w:p>
          <w:p w14:paraId="31FC4008" w14:textId="77777777" w:rsidR="0087601C" w:rsidRPr="006A1EC7" w:rsidRDefault="0087601C" w:rsidP="00D56051">
            <w:pPr>
              <w:rPr>
                <w:highlight w:val="red"/>
              </w:rPr>
            </w:pPr>
            <w:r w:rsidRPr="006A1EC7">
              <w:rPr>
                <w:highlight w:val="red"/>
              </w:rPr>
              <w:t>Unable to stand at all (walking frames and carer support ineffective) = 3</w:t>
            </w:r>
          </w:p>
          <w:p w14:paraId="3531306C" w14:textId="77777777" w:rsidR="0087601C" w:rsidRPr="006A1EC7" w:rsidRDefault="0087601C" w:rsidP="00D56051">
            <w:pPr>
              <w:rPr>
                <w:highlight w:val="red"/>
              </w:rPr>
            </w:pPr>
            <w:r w:rsidRPr="006A1EC7">
              <w:rPr>
                <w:highlight w:val="red"/>
              </w:rPr>
              <w:t>Able to stand with support of at least one other individual = 2</w:t>
            </w:r>
          </w:p>
          <w:p w14:paraId="3B1B7DF2" w14:textId="77777777" w:rsidR="0087601C" w:rsidRPr="006A1EC7" w:rsidRDefault="0087601C" w:rsidP="00D56051">
            <w:pPr>
              <w:rPr>
                <w:highlight w:val="red"/>
              </w:rPr>
            </w:pPr>
            <w:r w:rsidRPr="006A1EC7">
              <w:rPr>
                <w:highlight w:val="red"/>
              </w:rPr>
              <w:t>Able to stand with walking aid = 1</w:t>
            </w:r>
          </w:p>
          <w:p w14:paraId="28BB772B" w14:textId="77777777" w:rsidR="0087601C" w:rsidRPr="006A1EC7" w:rsidRDefault="0087601C" w:rsidP="00D56051">
            <w:pPr>
              <w:rPr>
                <w:highlight w:val="red"/>
              </w:rPr>
            </w:pPr>
            <w:r w:rsidRPr="006A1EC7">
              <w:rPr>
                <w:highlight w:val="red"/>
              </w:rPr>
              <w:lastRenderedPageBreak/>
              <w:t xml:space="preserve">No issues = 0 </w:t>
            </w:r>
          </w:p>
          <w:p w14:paraId="3AD786AF" w14:textId="77777777" w:rsidR="0087601C" w:rsidRPr="006A1EC7" w:rsidRDefault="0087601C" w:rsidP="00D56051">
            <w:pPr>
              <w:rPr>
                <w:highlight w:val="red"/>
                <w:u w:val="single"/>
              </w:rPr>
            </w:pPr>
          </w:p>
          <w:p w14:paraId="7956CE26" w14:textId="77777777" w:rsidR="0087601C" w:rsidRPr="006A1EC7" w:rsidRDefault="0087601C" w:rsidP="00D56051">
            <w:pPr>
              <w:rPr>
                <w:highlight w:val="red"/>
                <w:u w:val="single"/>
              </w:rPr>
            </w:pPr>
            <w:r w:rsidRPr="006A1EC7">
              <w:rPr>
                <w:highlight w:val="red"/>
                <w:u w:val="single"/>
              </w:rPr>
              <w:t>Item 5F: Is the patient able to walk?</w:t>
            </w:r>
          </w:p>
          <w:p w14:paraId="122F7B33" w14:textId="77777777" w:rsidR="0087601C" w:rsidRPr="006A1EC7" w:rsidRDefault="0087601C" w:rsidP="00D56051">
            <w:pPr>
              <w:rPr>
                <w:highlight w:val="red"/>
              </w:rPr>
            </w:pPr>
            <w:r w:rsidRPr="006A1EC7">
              <w:rPr>
                <w:highlight w:val="red"/>
              </w:rPr>
              <w:t>Unable to walk, patient is entirely reliant on wheelchair intervention  = 3</w:t>
            </w:r>
          </w:p>
          <w:p w14:paraId="4295FC83" w14:textId="77777777" w:rsidR="0087601C" w:rsidRPr="006A1EC7" w:rsidRDefault="0087601C" w:rsidP="00D56051">
            <w:pPr>
              <w:rPr>
                <w:highlight w:val="red"/>
              </w:rPr>
            </w:pPr>
            <w:r w:rsidRPr="006A1EC7">
              <w:rPr>
                <w:highlight w:val="red"/>
              </w:rPr>
              <w:t>Patient can walk very short distances with carer support = 3</w:t>
            </w:r>
          </w:p>
          <w:p w14:paraId="0F051525" w14:textId="77777777" w:rsidR="0087601C" w:rsidRPr="006A1EC7" w:rsidRDefault="0087601C" w:rsidP="00D56051">
            <w:pPr>
              <w:rPr>
                <w:highlight w:val="red"/>
              </w:rPr>
            </w:pPr>
            <w:r w:rsidRPr="006A1EC7">
              <w:rPr>
                <w:highlight w:val="red"/>
              </w:rPr>
              <w:t>Patient can walk short distances, aided with walking frame or similar = 2</w:t>
            </w:r>
          </w:p>
          <w:p w14:paraId="5108E0F7" w14:textId="77777777" w:rsidR="0087601C" w:rsidRPr="006A1EC7" w:rsidRDefault="0087601C" w:rsidP="00D56051">
            <w:pPr>
              <w:rPr>
                <w:highlight w:val="red"/>
              </w:rPr>
            </w:pPr>
            <w:r w:rsidRPr="006A1EC7">
              <w:rPr>
                <w:highlight w:val="red"/>
              </w:rPr>
              <w:t>Patient can walk short distances unaided, needs intervention for longer distances = 1</w:t>
            </w:r>
          </w:p>
          <w:p w14:paraId="5CAB4A3B" w14:textId="77777777" w:rsidR="0087601C" w:rsidRPr="006A1EC7" w:rsidRDefault="0087601C" w:rsidP="00D56051">
            <w:r w:rsidRPr="006A1EC7">
              <w:rPr>
                <w:highlight w:val="red"/>
              </w:rPr>
              <w:t>Patient can walk unassisted =0</w:t>
            </w:r>
          </w:p>
          <w:p w14:paraId="324BA5DB" w14:textId="77777777" w:rsidR="0087601C" w:rsidRPr="006A1EC7" w:rsidRDefault="0087601C" w:rsidP="00D56051"/>
          <w:p w14:paraId="1B269608" w14:textId="77777777" w:rsidR="0087601C" w:rsidRPr="006A1EC7" w:rsidRDefault="0087601C" w:rsidP="00D56051">
            <w:pPr>
              <w:rPr>
                <w:highlight w:val="yellow"/>
              </w:rPr>
            </w:pPr>
            <w:r w:rsidRPr="006A1EC7">
              <w:rPr>
                <w:highlight w:val="yellow"/>
                <w:u w:val="single"/>
              </w:rPr>
              <w:t>Item 5G: Has the patient been diagnosed with Scoliosis?</w:t>
            </w:r>
            <w:r w:rsidRPr="006A1EC7">
              <w:rPr>
                <w:highlight w:val="yellow"/>
                <w:u w:val="single"/>
              </w:rPr>
              <w:br/>
            </w:r>
            <w:r w:rsidRPr="006A1EC7">
              <w:rPr>
                <w:highlight w:val="yellow"/>
              </w:rPr>
              <w:t>Yes = 1</w:t>
            </w:r>
          </w:p>
          <w:p w14:paraId="325671B8" w14:textId="77777777" w:rsidR="0087601C" w:rsidRPr="006A1EC7" w:rsidRDefault="0087601C" w:rsidP="00D56051">
            <w:pPr>
              <w:rPr>
                <w:highlight w:val="yellow"/>
              </w:rPr>
            </w:pPr>
            <w:r w:rsidRPr="006A1EC7">
              <w:rPr>
                <w:highlight w:val="yellow"/>
              </w:rPr>
              <w:t>No = 0</w:t>
            </w:r>
          </w:p>
          <w:p w14:paraId="39557E41" w14:textId="77777777" w:rsidR="0087601C" w:rsidRPr="006A1EC7" w:rsidRDefault="0087601C" w:rsidP="00D56051">
            <w:pPr>
              <w:rPr>
                <w:highlight w:val="yellow"/>
              </w:rPr>
            </w:pPr>
          </w:p>
          <w:p w14:paraId="1FD9585C" w14:textId="77777777" w:rsidR="0087601C" w:rsidRPr="006A1EC7" w:rsidRDefault="0087601C" w:rsidP="00D56051">
            <w:pPr>
              <w:rPr>
                <w:highlight w:val="yellow"/>
              </w:rPr>
            </w:pPr>
            <w:r w:rsidRPr="006A1EC7">
              <w:rPr>
                <w:highlight w:val="yellow"/>
                <w:u w:val="single"/>
              </w:rPr>
              <w:t>Item 5GA: Is/was Surgery required for scoliosis?</w:t>
            </w:r>
          </w:p>
          <w:p w14:paraId="701F859B" w14:textId="77777777" w:rsidR="0087601C" w:rsidRPr="006A1EC7" w:rsidRDefault="0087601C" w:rsidP="00D56051">
            <w:pPr>
              <w:rPr>
                <w:highlight w:val="yellow"/>
              </w:rPr>
            </w:pPr>
            <w:r w:rsidRPr="006A1EC7">
              <w:rPr>
                <w:highlight w:val="yellow"/>
              </w:rPr>
              <w:t>Yes =1</w:t>
            </w:r>
          </w:p>
          <w:p w14:paraId="04557064" w14:textId="77777777" w:rsidR="0087601C" w:rsidRPr="006A1EC7" w:rsidRDefault="0087601C" w:rsidP="00D56051">
            <w:r w:rsidRPr="006A1EC7">
              <w:rPr>
                <w:highlight w:val="yellow"/>
              </w:rPr>
              <w:t>No = 0</w:t>
            </w:r>
          </w:p>
          <w:p w14:paraId="5CC56127" w14:textId="77777777" w:rsidR="0087601C" w:rsidRPr="006A1EC7" w:rsidRDefault="0087601C" w:rsidP="00D56051"/>
          <w:p w14:paraId="1B2CF12F" w14:textId="77777777" w:rsidR="0087601C" w:rsidRPr="006A1EC7" w:rsidRDefault="0087601C" w:rsidP="00D56051">
            <w:pPr>
              <w:rPr>
                <w:highlight w:val="cyan"/>
              </w:rPr>
            </w:pPr>
            <w:r w:rsidRPr="006A1EC7">
              <w:rPr>
                <w:highlight w:val="cyan"/>
                <w:u w:val="single"/>
              </w:rPr>
              <w:t xml:space="preserve">Item 5H: Does the patient have talipes? </w:t>
            </w:r>
            <w:r w:rsidRPr="006A1EC7">
              <w:rPr>
                <w:highlight w:val="cyan"/>
              </w:rPr>
              <w:br/>
              <w:t>Yes, bilateral = 2</w:t>
            </w:r>
            <w:r w:rsidRPr="006A1EC7">
              <w:rPr>
                <w:highlight w:val="cyan"/>
              </w:rPr>
              <w:br/>
              <w:t>Yes, unilateral = 1</w:t>
            </w:r>
          </w:p>
          <w:p w14:paraId="262D4DA6" w14:textId="77777777" w:rsidR="0087601C" w:rsidRPr="006A1EC7" w:rsidRDefault="0087601C" w:rsidP="00D56051">
            <w:r w:rsidRPr="006A1EC7">
              <w:rPr>
                <w:highlight w:val="cyan"/>
              </w:rPr>
              <w:t>No = 0</w:t>
            </w:r>
          </w:p>
          <w:p w14:paraId="3308AE46" w14:textId="77777777" w:rsidR="0087601C" w:rsidRPr="006A1EC7" w:rsidRDefault="0087601C" w:rsidP="00D56051"/>
          <w:p w14:paraId="6F128C84" w14:textId="77777777" w:rsidR="0087601C" w:rsidRPr="006A1EC7" w:rsidRDefault="0087601C" w:rsidP="00D56051">
            <w:pPr>
              <w:rPr>
                <w:highlight w:val="yellow"/>
                <w:u w:val="single"/>
              </w:rPr>
            </w:pPr>
            <w:r w:rsidRPr="006A1EC7">
              <w:rPr>
                <w:highlight w:val="yellow"/>
                <w:u w:val="single"/>
              </w:rPr>
              <w:t>Item5HA: Was Surgery required for talipes?</w:t>
            </w:r>
          </w:p>
          <w:p w14:paraId="35A5A308" w14:textId="77777777" w:rsidR="0087601C" w:rsidRPr="006A1EC7" w:rsidRDefault="0087601C" w:rsidP="00D56051">
            <w:pPr>
              <w:rPr>
                <w:highlight w:val="yellow"/>
              </w:rPr>
            </w:pPr>
            <w:r w:rsidRPr="006A1EC7">
              <w:rPr>
                <w:highlight w:val="yellow"/>
              </w:rPr>
              <w:t>Yes =1</w:t>
            </w:r>
          </w:p>
          <w:p w14:paraId="2E6C4625" w14:textId="77777777" w:rsidR="0087601C" w:rsidRPr="006A1EC7" w:rsidRDefault="0087601C" w:rsidP="00D56051">
            <w:r w:rsidRPr="006A1EC7">
              <w:rPr>
                <w:highlight w:val="yellow"/>
              </w:rPr>
              <w:t>No = 0</w:t>
            </w:r>
          </w:p>
          <w:p w14:paraId="0ACBC3EC" w14:textId="77777777" w:rsidR="0087601C" w:rsidRPr="006A1EC7" w:rsidRDefault="0087601C" w:rsidP="00D56051">
            <w:pPr>
              <w:spacing w:line="360" w:lineRule="auto"/>
            </w:pPr>
          </w:p>
        </w:tc>
        <w:tc>
          <w:tcPr>
            <w:tcW w:w="4155" w:type="dxa"/>
          </w:tcPr>
          <w:p w14:paraId="4627FD57" w14:textId="77777777" w:rsidR="0087601C" w:rsidRPr="006A1EC7" w:rsidRDefault="0087601C" w:rsidP="00D56051"/>
          <w:p w14:paraId="072ECCD3" w14:textId="77777777" w:rsidR="0087601C" w:rsidRPr="006A1EC7" w:rsidRDefault="0087601C" w:rsidP="00D56051"/>
          <w:p w14:paraId="29746271" w14:textId="77777777" w:rsidR="0087601C" w:rsidRPr="006A1EC7" w:rsidRDefault="0087601C" w:rsidP="00D56051"/>
          <w:p w14:paraId="70F14DD5" w14:textId="77777777" w:rsidR="0087601C" w:rsidRPr="006A1EC7" w:rsidRDefault="0087601C" w:rsidP="00D56051"/>
          <w:p w14:paraId="7443DAD6" w14:textId="77777777" w:rsidR="0087601C" w:rsidRPr="006A1EC7" w:rsidRDefault="0087601C" w:rsidP="00D56051">
            <w:r w:rsidRPr="006A1EC7">
              <w:t xml:space="preserve">This was identified from the interviews and are concurrent with the literature. </w:t>
            </w:r>
          </w:p>
          <w:p w14:paraId="6A2F4AB0" w14:textId="77777777" w:rsidR="0087601C" w:rsidRPr="006A1EC7" w:rsidRDefault="0087601C" w:rsidP="00D56051"/>
          <w:p w14:paraId="33512106" w14:textId="77777777" w:rsidR="0087601C" w:rsidRPr="006A1EC7" w:rsidRDefault="0087601C" w:rsidP="00D56051"/>
          <w:p w14:paraId="4A6CA9E9" w14:textId="77777777" w:rsidR="0087601C" w:rsidRPr="006A1EC7" w:rsidRDefault="0087601C" w:rsidP="00D56051"/>
          <w:p w14:paraId="45BF3B77" w14:textId="77777777" w:rsidR="0087601C" w:rsidRPr="006A1EC7" w:rsidRDefault="0087601C" w:rsidP="00D56051">
            <w:r w:rsidRPr="006A1EC7">
              <w:t>This was added due to clinician input.</w:t>
            </w:r>
          </w:p>
          <w:p w14:paraId="54592CAE" w14:textId="77777777" w:rsidR="0087601C" w:rsidRPr="006A1EC7" w:rsidRDefault="0087601C" w:rsidP="00D56051"/>
          <w:p w14:paraId="7C13F0FD" w14:textId="77777777" w:rsidR="0087601C" w:rsidRPr="006A1EC7" w:rsidRDefault="0087601C" w:rsidP="00D56051"/>
          <w:p w14:paraId="24111BB0" w14:textId="77777777" w:rsidR="0087601C" w:rsidRPr="006A1EC7" w:rsidRDefault="0087601C" w:rsidP="00D56051"/>
          <w:p w14:paraId="3F5FF97E" w14:textId="77777777" w:rsidR="0087601C" w:rsidRPr="006A1EC7" w:rsidRDefault="0087601C" w:rsidP="00D56051"/>
          <w:p w14:paraId="5FF32658" w14:textId="77777777" w:rsidR="0087601C" w:rsidRPr="006A1EC7" w:rsidRDefault="0087601C" w:rsidP="00D56051">
            <w:r w:rsidRPr="006A1EC7">
              <w:t xml:space="preserve">This was identified from the interviews and are concurrent with the literature. </w:t>
            </w:r>
          </w:p>
          <w:p w14:paraId="0E12FA6E" w14:textId="77777777" w:rsidR="0087601C" w:rsidRPr="006A1EC7" w:rsidRDefault="0087601C" w:rsidP="00D56051"/>
          <w:p w14:paraId="091DF620" w14:textId="77777777" w:rsidR="0087601C" w:rsidRPr="006A1EC7" w:rsidRDefault="0087601C" w:rsidP="00D56051"/>
          <w:p w14:paraId="5D77EAE3" w14:textId="77777777" w:rsidR="0087601C" w:rsidRPr="006A1EC7" w:rsidRDefault="0087601C" w:rsidP="00D56051"/>
          <w:p w14:paraId="5C7AE852" w14:textId="77777777" w:rsidR="0087601C" w:rsidRPr="006A1EC7" w:rsidRDefault="0087601C" w:rsidP="00D56051"/>
          <w:p w14:paraId="722F742B" w14:textId="77777777" w:rsidR="0087601C" w:rsidRPr="006A1EC7" w:rsidRDefault="0087601C" w:rsidP="00D56051"/>
          <w:p w14:paraId="2188826B" w14:textId="77777777" w:rsidR="0087601C" w:rsidRPr="006A1EC7" w:rsidRDefault="0087601C" w:rsidP="00D56051"/>
          <w:p w14:paraId="0D0012D3" w14:textId="77777777" w:rsidR="0087601C" w:rsidRPr="006A1EC7" w:rsidRDefault="0087601C" w:rsidP="00D56051">
            <w:r w:rsidRPr="006A1EC7">
              <w:t xml:space="preserve">This was identified from the interviews and are concurrent with the literature. </w:t>
            </w:r>
          </w:p>
          <w:p w14:paraId="56DED4DC" w14:textId="77777777" w:rsidR="0087601C" w:rsidRPr="006A1EC7" w:rsidRDefault="0087601C" w:rsidP="00D56051"/>
          <w:p w14:paraId="3D98DC35" w14:textId="77777777" w:rsidR="0087601C" w:rsidRPr="006A1EC7" w:rsidRDefault="0087601C" w:rsidP="00D56051"/>
          <w:p w14:paraId="2C44A064" w14:textId="77777777" w:rsidR="0087601C" w:rsidRPr="006A1EC7" w:rsidRDefault="0087601C" w:rsidP="00D56051">
            <w:r w:rsidRPr="006A1EC7">
              <w:t>This was identified predominantly from the interviews.</w:t>
            </w:r>
          </w:p>
          <w:p w14:paraId="5FC9EC93" w14:textId="77777777" w:rsidR="0087601C" w:rsidRPr="006A1EC7" w:rsidRDefault="0087601C" w:rsidP="00D56051"/>
          <w:p w14:paraId="6085B1D8" w14:textId="77777777" w:rsidR="0087601C" w:rsidRPr="006A1EC7" w:rsidRDefault="0087601C" w:rsidP="00D56051"/>
          <w:p w14:paraId="0404A1A2" w14:textId="77777777" w:rsidR="0087601C" w:rsidRPr="006A1EC7" w:rsidRDefault="0087601C" w:rsidP="00D56051"/>
          <w:p w14:paraId="40B9887C" w14:textId="77777777" w:rsidR="0087601C" w:rsidRPr="006A1EC7" w:rsidRDefault="0087601C" w:rsidP="00D56051">
            <w:r w:rsidRPr="006A1EC7">
              <w:lastRenderedPageBreak/>
              <w:t xml:space="preserve">This was identified from the interviews and are concurrent with the literature. </w:t>
            </w:r>
          </w:p>
          <w:p w14:paraId="28B5E593" w14:textId="77777777" w:rsidR="0087601C" w:rsidRPr="006A1EC7" w:rsidRDefault="0087601C" w:rsidP="00D56051"/>
          <w:p w14:paraId="6534FAC9" w14:textId="77777777" w:rsidR="0087601C" w:rsidRPr="006A1EC7" w:rsidRDefault="0087601C" w:rsidP="00D56051"/>
          <w:p w14:paraId="3C85EEAD" w14:textId="77777777" w:rsidR="0087601C" w:rsidRPr="006A1EC7" w:rsidRDefault="0087601C" w:rsidP="00D56051"/>
          <w:p w14:paraId="79222DC6" w14:textId="77777777" w:rsidR="0087601C" w:rsidRPr="006A1EC7" w:rsidRDefault="0087601C" w:rsidP="00D56051"/>
          <w:p w14:paraId="2F42F759" w14:textId="77777777" w:rsidR="0087601C" w:rsidRPr="006A1EC7" w:rsidRDefault="0087601C" w:rsidP="00D56051"/>
          <w:p w14:paraId="3717D2E5" w14:textId="77777777" w:rsidR="0087601C" w:rsidRPr="006A1EC7" w:rsidRDefault="0087601C" w:rsidP="00D56051"/>
          <w:p w14:paraId="2802728F" w14:textId="77777777" w:rsidR="0087601C" w:rsidRPr="006A1EC7" w:rsidRDefault="0087601C" w:rsidP="00D56051"/>
          <w:p w14:paraId="00F1A9DA" w14:textId="77777777" w:rsidR="0087601C" w:rsidRPr="006A1EC7" w:rsidRDefault="0087601C" w:rsidP="00D56051">
            <w:r w:rsidRPr="006A1EC7">
              <w:t>This was identified from the interviews and are concurrent with the literature. The wording “confirmed by scan” was added due to clinician input.</w:t>
            </w:r>
          </w:p>
          <w:p w14:paraId="520DB1C3" w14:textId="77777777" w:rsidR="0087601C" w:rsidRPr="006A1EC7" w:rsidRDefault="0087601C" w:rsidP="00D56051"/>
          <w:p w14:paraId="72696E10" w14:textId="77777777" w:rsidR="0087601C" w:rsidRPr="006A1EC7" w:rsidRDefault="0087601C" w:rsidP="00D56051"/>
          <w:p w14:paraId="51B05A84" w14:textId="77777777" w:rsidR="0087601C" w:rsidRPr="006A1EC7" w:rsidRDefault="0087601C" w:rsidP="00D56051">
            <w:r w:rsidRPr="006A1EC7">
              <w:t xml:space="preserve">This was identified from the interviews and are concurrent with the literature. </w:t>
            </w:r>
          </w:p>
          <w:p w14:paraId="758D59C9" w14:textId="77777777" w:rsidR="0087601C" w:rsidRPr="006A1EC7" w:rsidRDefault="0087601C" w:rsidP="00D56051"/>
          <w:p w14:paraId="4ABA5A12" w14:textId="77777777" w:rsidR="0087601C" w:rsidRPr="006A1EC7" w:rsidRDefault="0087601C" w:rsidP="00D56051"/>
          <w:p w14:paraId="6A1E4DA9" w14:textId="77777777" w:rsidR="0087601C" w:rsidRPr="006A1EC7" w:rsidRDefault="0087601C" w:rsidP="00D56051"/>
          <w:p w14:paraId="27964688" w14:textId="77777777" w:rsidR="0087601C" w:rsidRPr="006A1EC7" w:rsidRDefault="0087601C" w:rsidP="00D56051"/>
          <w:p w14:paraId="4B1C85BB" w14:textId="77777777" w:rsidR="0087601C" w:rsidRPr="006A1EC7" w:rsidRDefault="0087601C" w:rsidP="00D56051"/>
          <w:p w14:paraId="204324DC" w14:textId="77777777" w:rsidR="0087601C" w:rsidRPr="006A1EC7" w:rsidRDefault="0087601C" w:rsidP="00D56051"/>
          <w:p w14:paraId="4AE9E22A" w14:textId="77777777" w:rsidR="0087601C" w:rsidRPr="006A1EC7" w:rsidRDefault="0087601C" w:rsidP="00D56051"/>
          <w:p w14:paraId="099641B9" w14:textId="77777777" w:rsidR="0087601C" w:rsidRPr="006A1EC7" w:rsidRDefault="0087601C" w:rsidP="00D56051">
            <w:r w:rsidRPr="006A1EC7">
              <w:t>While impaired mobility and low muscle tone are commonly reported for WHS in the literature; no detailed functional assessment has been developed for this clinical feature. Using the interview data and clinical expertise, we developed a detailed functional assessment of the mobility of a patient with WHS.</w:t>
            </w:r>
          </w:p>
          <w:p w14:paraId="64640F3A" w14:textId="77777777" w:rsidR="0087601C" w:rsidRPr="006A1EC7" w:rsidRDefault="0087601C" w:rsidP="00D56051"/>
          <w:p w14:paraId="6DA906AC" w14:textId="77777777" w:rsidR="0087601C" w:rsidRPr="006A1EC7" w:rsidRDefault="0087601C" w:rsidP="00D56051"/>
          <w:p w14:paraId="0871F630" w14:textId="77777777" w:rsidR="0087601C" w:rsidRPr="006A1EC7" w:rsidRDefault="0087601C" w:rsidP="00D56051"/>
          <w:p w14:paraId="16FE531A" w14:textId="77777777" w:rsidR="0087601C" w:rsidRPr="006A1EC7" w:rsidRDefault="0087601C" w:rsidP="00D56051"/>
          <w:p w14:paraId="35C6C0BF" w14:textId="77777777" w:rsidR="0087601C" w:rsidRPr="006A1EC7" w:rsidRDefault="0087601C" w:rsidP="00D56051"/>
          <w:p w14:paraId="24DD30FC" w14:textId="77777777" w:rsidR="0087601C" w:rsidRPr="006A1EC7" w:rsidRDefault="0087601C" w:rsidP="00D56051"/>
          <w:p w14:paraId="54AD05F8" w14:textId="77777777" w:rsidR="0087601C" w:rsidRPr="006A1EC7" w:rsidRDefault="0087601C" w:rsidP="00D56051"/>
          <w:p w14:paraId="0CCACD72" w14:textId="77777777" w:rsidR="0087601C" w:rsidRPr="006A1EC7" w:rsidRDefault="0087601C" w:rsidP="00D56051"/>
          <w:p w14:paraId="5B38336D" w14:textId="77777777" w:rsidR="0087601C" w:rsidRPr="006A1EC7" w:rsidRDefault="0087601C" w:rsidP="00D56051"/>
          <w:p w14:paraId="1619D276" w14:textId="77777777" w:rsidR="0087601C" w:rsidRPr="006A1EC7" w:rsidRDefault="0087601C" w:rsidP="00D56051"/>
          <w:p w14:paraId="77ABC7FD" w14:textId="77777777" w:rsidR="0087601C" w:rsidRPr="006A1EC7" w:rsidRDefault="0087601C" w:rsidP="00D56051"/>
          <w:p w14:paraId="14242DEC" w14:textId="77777777" w:rsidR="0087601C" w:rsidRPr="006A1EC7" w:rsidRDefault="0087601C" w:rsidP="00D56051"/>
          <w:p w14:paraId="4B0277B2" w14:textId="77777777" w:rsidR="0087601C" w:rsidRPr="006A1EC7" w:rsidRDefault="0087601C" w:rsidP="00D56051"/>
          <w:p w14:paraId="38B6D403" w14:textId="77777777" w:rsidR="0087601C" w:rsidRPr="006A1EC7" w:rsidRDefault="0087601C" w:rsidP="00D56051"/>
          <w:p w14:paraId="58F04397" w14:textId="77777777" w:rsidR="0087601C" w:rsidRPr="006A1EC7" w:rsidRDefault="0087601C" w:rsidP="00D56051"/>
          <w:p w14:paraId="145DE328" w14:textId="77777777" w:rsidR="0087601C" w:rsidRPr="006A1EC7" w:rsidRDefault="0087601C" w:rsidP="00D56051"/>
          <w:p w14:paraId="70E02D33" w14:textId="77777777" w:rsidR="0087601C" w:rsidRPr="006A1EC7" w:rsidRDefault="0087601C" w:rsidP="00D56051"/>
          <w:p w14:paraId="6332FC28" w14:textId="77777777" w:rsidR="0087601C" w:rsidRPr="006A1EC7" w:rsidRDefault="0087601C" w:rsidP="00D56051"/>
          <w:p w14:paraId="36006379" w14:textId="77777777" w:rsidR="0087601C" w:rsidRPr="006A1EC7" w:rsidRDefault="0087601C" w:rsidP="00D56051"/>
          <w:p w14:paraId="47F4E3BC" w14:textId="77777777" w:rsidR="0087601C" w:rsidRPr="006A1EC7" w:rsidRDefault="0087601C" w:rsidP="00D56051"/>
          <w:p w14:paraId="18D187C7" w14:textId="77777777" w:rsidR="0087601C" w:rsidRPr="006A1EC7" w:rsidRDefault="0087601C" w:rsidP="00D56051"/>
          <w:p w14:paraId="3952A706" w14:textId="77777777" w:rsidR="0087601C" w:rsidRPr="006A1EC7" w:rsidRDefault="0087601C" w:rsidP="00D56051"/>
          <w:p w14:paraId="32DE60D4" w14:textId="77777777" w:rsidR="0087601C" w:rsidRPr="006A1EC7" w:rsidRDefault="0087601C" w:rsidP="00D56051"/>
          <w:p w14:paraId="18358214" w14:textId="77777777" w:rsidR="0087601C" w:rsidRPr="006A1EC7" w:rsidRDefault="0087601C" w:rsidP="00D56051">
            <w:r w:rsidRPr="006A1EC7">
              <w:t>These two items were added due to clinical input.</w:t>
            </w:r>
          </w:p>
          <w:p w14:paraId="57CC03AB" w14:textId="77777777" w:rsidR="0087601C" w:rsidRPr="006A1EC7" w:rsidRDefault="0087601C" w:rsidP="00D56051"/>
          <w:p w14:paraId="48B59F1F" w14:textId="77777777" w:rsidR="0087601C" w:rsidRPr="006A1EC7" w:rsidRDefault="0087601C" w:rsidP="00D56051"/>
          <w:p w14:paraId="7AA64698" w14:textId="77777777" w:rsidR="0087601C" w:rsidRPr="006A1EC7" w:rsidRDefault="0087601C" w:rsidP="00D56051"/>
          <w:p w14:paraId="57EF295B" w14:textId="77777777" w:rsidR="0087601C" w:rsidRPr="006A1EC7" w:rsidRDefault="0087601C" w:rsidP="00D56051"/>
          <w:p w14:paraId="0D1276E2" w14:textId="77777777" w:rsidR="0087601C" w:rsidRPr="006A1EC7" w:rsidRDefault="0087601C" w:rsidP="00D56051"/>
          <w:p w14:paraId="18676205" w14:textId="77777777" w:rsidR="0087601C" w:rsidRPr="006A1EC7" w:rsidRDefault="0087601C" w:rsidP="00D56051"/>
          <w:p w14:paraId="512809D8" w14:textId="77777777" w:rsidR="0087601C" w:rsidRPr="006A1EC7" w:rsidRDefault="0087601C" w:rsidP="00D56051"/>
          <w:p w14:paraId="080E8DDF" w14:textId="77777777" w:rsidR="0087601C" w:rsidRPr="006A1EC7" w:rsidRDefault="0087601C" w:rsidP="00D56051"/>
          <w:p w14:paraId="316554CB" w14:textId="77777777" w:rsidR="0087601C" w:rsidRPr="006A1EC7" w:rsidRDefault="0087601C" w:rsidP="00D56051">
            <w:r w:rsidRPr="006A1EC7">
              <w:t xml:space="preserve">This was identified from the interviews and are concurrent with the literature. </w:t>
            </w:r>
          </w:p>
          <w:p w14:paraId="1772ACBE" w14:textId="77777777" w:rsidR="0087601C" w:rsidRPr="006A1EC7" w:rsidRDefault="0087601C" w:rsidP="00D56051"/>
          <w:p w14:paraId="2559A2F5" w14:textId="77777777" w:rsidR="0087601C" w:rsidRPr="006A1EC7" w:rsidRDefault="0087601C" w:rsidP="00D56051"/>
          <w:p w14:paraId="7ACD51BD" w14:textId="77777777" w:rsidR="0087601C" w:rsidRPr="006A1EC7" w:rsidRDefault="0087601C" w:rsidP="00D56051"/>
          <w:p w14:paraId="31C5BD77" w14:textId="77777777" w:rsidR="0087601C" w:rsidRPr="006A1EC7" w:rsidRDefault="0087601C" w:rsidP="00D56051">
            <w:r w:rsidRPr="006A1EC7">
              <w:t>This was added due to clinical input, as no participants mentioned surgery.</w:t>
            </w:r>
          </w:p>
          <w:p w14:paraId="0A02572D" w14:textId="77777777" w:rsidR="0087601C" w:rsidRPr="006A1EC7" w:rsidRDefault="0087601C" w:rsidP="00D56051"/>
        </w:tc>
      </w:tr>
      <w:tr w:rsidR="0087601C" w:rsidRPr="006A1EC7" w14:paraId="26595723" w14:textId="77777777" w:rsidTr="00D56051">
        <w:tc>
          <w:tcPr>
            <w:tcW w:w="4475" w:type="dxa"/>
          </w:tcPr>
          <w:p w14:paraId="50D20651" w14:textId="77777777" w:rsidR="0087601C" w:rsidRPr="006A1EC7" w:rsidRDefault="0087601C" w:rsidP="00D56051">
            <w:pPr>
              <w:rPr>
                <w:u w:val="wave"/>
              </w:rPr>
            </w:pPr>
            <w:r w:rsidRPr="006A1EC7">
              <w:rPr>
                <w:b/>
                <w:u w:val="single"/>
              </w:rPr>
              <w:lastRenderedPageBreak/>
              <w:t>Section 6: Low immunity</w:t>
            </w:r>
          </w:p>
          <w:p w14:paraId="24494185" w14:textId="77777777" w:rsidR="0087601C" w:rsidRPr="006A1EC7" w:rsidRDefault="0087601C" w:rsidP="00D56051">
            <w:pPr>
              <w:rPr>
                <w:u w:val="single"/>
              </w:rPr>
            </w:pPr>
          </w:p>
          <w:p w14:paraId="29635AF8" w14:textId="77777777" w:rsidR="0087601C" w:rsidRPr="006A1EC7" w:rsidRDefault="0087601C" w:rsidP="00D56051">
            <w:pPr>
              <w:rPr>
                <w:highlight w:val="cyan"/>
                <w:u w:val="single"/>
              </w:rPr>
            </w:pPr>
            <w:r w:rsidRPr="006A1EC7">
              <w:rPr>
                <w:highlight w:val="cyan"/>
                <w:u w:val="single"/>
              </w:rPr>
              <w:t>Item 6a: How often does the patient suffer from infections?</w:t>
            </w:r>
          </w:p>
          <w:p w14:paraId="63A592CA" w14:textId="77777777" w:rsidR="0087601C" w:rsidRPr="006A1EC7" w:rsidRDefault="0087601C" w:rsidP="00D56051">
            <w:pPr>
              <w:rPr>
                <w:highlight w:val="cyan"/>
              </w:rPr>
            </w:pPr>
            <w:r w:rsidRPr="006A1EC7">
              <w:rPr>
                <w:highlight w:val="cyan"/>
              </w:rPr>
              <w:t>Repeated, frequent infections (more than 5/year) = 5</w:t>
            </w:r>
          </w:p>
          <w:p w14:paraId="61FD4026" w14:textId="77777777" w:rsidR="0087601C" w:rsidRPr="006A1EC7" w:rsidRDefault="0087601C" w:rsidP="00D56051">
            <w:pPr>
              <w:rPr>
                <w:highlight w:val="cyan"/>
              </w:rPr>
            </w:pPr>
            <w:r w:rsidRPr="006A1EC7">
              <w:rPr>
                <w:highlight w:val="cyan"/>
              </w:rPr>
              <w:t>Infrequent infections (3/year, excluding the common cold) = 3</w:t>
            </w:r>
          </w:p>
          <w:p w14:paraId="4B92D9CE" w14:textId="77777777" w:rsidR="0087601C" w:rsidRPr="006A1EC7" w:rsidRDefault="0087601C" w:rsidP="00D56051">
            <w:r w:rsidRPr="006A1EC7">
              <w:rPr>
                <w:highlight w:val="cyan"/>
              </w:rPr>
              <w:lastRenderedPageBreak/>
              <w:t>Neither frequent nor infrequent infections = 0</w:t>
            </w:r>
          </w:p>
          <w:p w14:paraId="5BBA922B" w14:textId="77777777" w:rsidR="0087601C" w:rsidRPr="006A1EC7" w:rsidRDefault="0087601C" w:rsidP="00D56051">
            <w:pPr>
              <w:rPr>
                <w:u w:val="wave"/>
              </w:rPr>
            </w:pPr>
          </w:p>
          <w:p w14:paraId="1F866FC3" w14:textId="77777777" w:rsidR="0087601C" w:rsidRPr="006A1EC7" w:rsidRDefault="0087601C" w:rsidP="00D56051">
            <w:pPr>
              <w:rPr>
                <w:highlight w:val="magenta"/>
                <w:u w:val="single"/>
              </w:rPr>
            </w:pPr>
            <w:r w:rsidRPr="006A1EC7">
              <w:rPr>
                <w:highlight w:val="magenta"/>
                <w:u w:val="single"/>
              </w:rPr>
              <w:t>Item 6B: How many hospital admissions did the patient have in the past year, due to infections (i.e. not elective surgery or outpatient appointments)?</w:t>
            </w:r>
          </w:p>
          <w:p w14:paraId="037A5426" w14:textId="77777777" w:rsidR="0087601C" w:rsidRPr="006A1EC7" w:rsidRDefault="0087601C" w:rsidP="00D56051">
            <w:pPr>
              <w:rPr>
                <w:highlight w:val="magenta"/>
              </w:rPr>
            </w:pPr>
            <w:r w:rsidRPr="006A1EC7">
              <w:rPr>
                <w:highlight w:val="magenta"/>
              </w:rPr>
              <w:t>5 or more hospital admissions = 5</w:t>
            </w:r>
          </w:p>
          <w:p w14:paraId="06FAF426" w14:textId="77777777" w:rsidR="0087601C" w:rsidRPr="006A1EC7" w:rsidRDefault="0087601C" w:rsidP="00D56051">
            <w:pPr>
              <w:rPr>
                <w:highlight w:val="magenta"/>
              </w:rPr>
            </w:pPr>
            <w:r w:rsidRPr="006A1EC7">
              <w:rPr>
                <w:highlight w:val="magenta"/>
              </w:rPr>
              <w:t>3-5 hospital admissions = 4</w:t>
            </w:r>
          </w:p>
          <w:p w14:paraId="64750E13" w14:textId="77777777" w:rsidR="0087601C" w:rsidRPr="006A1EC7" w:rsidRDefault="0087601C" w:rsidP="00D56051">
            <w:pPr>
              <w:rPr>
                <w:highlight w:val="magenta"/>
              </w:rPr>
            </w:pPr>
            <w:r w:rsidRPr="006A1EC7">
              <w:rPr>
                <w:highlight w:val="magenta"/>
              </w:rPr>
              <w:t>2 Hospital admissions = 2</w:t>
            </w:r>
            <w:r w:rsidRPr="006A1EC7">
              <w:rPr>
                <w:highlight w:val="magenta"/>
              </w:rPr>
              <w:br/>
              <w:t>1 Hospital admission = 1</w:t>
            </w:r>
          </w:p>
          <w:p w14:paraId="79A9D88C" w14:textId="77777777" w:rsidR="0087601C" w:rsidRPr="006A1EC7" w:rsidRDefault="0087601C" w:rsidP="00D56051">
            <w:r w:rsidRPr="006A1EC7">
              <w:rPr>
                <w:highlight w:val="magenta"/>
              </w:rPr>
              <w:t>None = 0</w:t>
            </w:r>
          </w:p>
          <w:p w14:paraId="03E57769" w14:textId="77777777" w:rsidR="0087601C" w:rsidRPr="006A1EC7" w:rsidRDefault="0087601C" w:rsidP="00D56051">
            <w:pPr>
              <w:spacing w:line="360" w:lineRule="auto"/>
            </w:pPr>
          </w:p>
        </w:tc>
        <w:tc>
          <w:tcPr>
            <w:tcW w:w="4155" w:type="dxa"/>
          </w:tcPr>
          <w:p w14:paraId="1522B710" w14:textId="77777777" w:rsidR="0087601C" w:rsidRPr="006A1EC7" w:rsidRDefault="0087601C" w:rsidP="00D56051">
            <w:pPr>
              <w:spacing w:line="360" w:lineRule="auto"/>
            </w:pPr>
          </w:p>
          <w:p w14:paraId="6FD591F6" w14:textId="77777777" w:rsidR="0087601C" w:rsidRPr="006A1EC7" w:rsidRDefault="0087601C" w:rsidP="00D56051">
            <w:r w:rsidRPr="006A1EC7">
              <w:t xml:space="preserve">This was identified from the interviews and are concurrent with the literature. </w:t>
            </w:r>
          </w:p>
          <w:p w14:paraId="6F4D9090" w14:textId="77777777" w:rsidR="0087601C" w:rsidRPr="006A1EC7" w:rsidRDefault="0087601C" w:rsidP="00D56051">
            <w:pPr>
              <w:spacing w:line="360" w:lineRule="auto"/>
            </w:pPr>
          </w:p>
          <w:p w14:paraId="0DAFCA71" w14:textId="77777777" w:rsidR="0087601C" w:rsidRPr="006A1EC7" w:rsidRDefault="0087601C" w:rsidP="00D56051">
            <w:pPr>
              <w:spacing w:line="360" w:lineRule="auto"/>
            </w:pPr>
          </w:p>
          <w:p w14:paraId="2BF61AB5" w14:textId="77777777" w:rsidR="0087601C" w:rsidRPr="006A1EC7" w:rsidRDefault="0087601C" w:rsidP="00D56051">
            <w:pPr>
              <w:spacing w:line="360" w:lineRule="auto"/>
            </w:pPr>
          </w:p>
          <w:p w14:paraId="1B6B5A70" w14:textId="77777777" w:rsidR="0087601C" w:rsidRPr="006A1EC7" w:rsidRDefault="0087601C" w:rsidP="00D56051">
            <w:pPr>
              <w:spacing w:line="360" w:lineRule="auto"/>
            </w:pPr>
          </w:p>
          <w:p w14:paraId="00793583" w14:textId="77777777" w:rsidR="0087601C" w:rsidRPr="006A1EC7" w:rsidRDefault="0087601C" w:rsidP="00D56051">
            <w:pPr>
              <w:spacing w:line="360" w:lineRule="auto"/>
            </w:pPr>
          </w:p>
          <w:p w14:paraId="45068641" w14:textId="77777777" w:rsidR="0087601C" w:rsidRPr="006A1EC7" w:rsidRDefault="0087601C" w:rsidP="00D56051">
            <w:r w:rsidRPr="006A1EC7">
              <w:t>This was identified from the interviews, where quantity/frequency of hospital admissions prompted significant discussion in the interviews and epitomised significant impact on health status and quality of life.</w:t>
            </w:r>
          </w:p>
        </w:tc>
      </w:tr>
      <w:tr w:rsidR="0087601C" w:rsidRPr="006A1EC7" w14:paraId="621F83E6" w14:textId="77777777" w:rsidTr="00D56051">
        <w:tc>
          <w:tcPr>
            <w:tcW w:w="4475" w:type="dxa"/>
          </w:tcPr>
          <w:p w14:paraId="4C70B1C1" w14:textId="77777777" w:rsidR="0087601C" w:rsidRPr="006A1EC7" w:rsidRDefault="0087601C" w:rsidP="00D56051">
            <w:pPr>
              <w:rPr>
                <w:b/>
                <w:u w:val="single"/>
              </w:rPr>
            </w:pPr>
            <w:r w:rsidRPr="006A1EC7">
              <w:rPr>
                <w:b/>
                <w:u w:val="single"/>
              </w:rPr>
              <w:lastRenderedPageBreak/>
              <w:t>Section 7: Sleep</w:t>
            </w:r>
          </w:p>
          <w:p w14:paraId="1A60235D" w14:textId="77777777" w:rsidR="0087601C" w:rsidRPr="006A1EC7" w:rsidRDefault="0087601C" w:rsidP="00D56051">
            <w:pPr>
              <w:rPr>
                <w:u w:val="wave"/>
              </w:rPr>
            </w:pPr>
          </w:p>
          <w:p w14:paraId="75396FFD" w14:textId="77777777" w:rsidR="0087601C" w:rsidRPr="006A1EC7" w:rsidRDefault="0087601C" w:rsidP="00D56051">
            <w:pPr>
              <w:rPr>
                <w:highlight w:val="magenta"/>
                <w:u w:val="single"/>
              </w:rPr>
            </w:pPr>
            <w:r w:rsidRPr="006A1EC7">
              <w:rPr>
                <w:highlight w:val="magenta"/>
                <w:u w:val="single"/>
              </w:rPr>
              <w:t>Item 7A: What are the patient’s sleeping patterns at night?</w:t>
            </w:r>
          </w:p>
          <w:p w14:paraId="378A2882" w14:textId="77777777" w:rsidR="0087601C" w:rsidRPr="006A1EC7" w:rsidRDefault="0087601C" w:rsidP="00D56051">
            <w:pPr>
              <w:rPr>
                <w:highlight w:val="magenta"/>
              </w:rPr>
            </w:pPr>
            <w:r w:rsidRPr="006A1EC7">
              <w:rPr>
                <w:highlight w:val="magenta"/>
              </w:rPr>
              <w:t>Majority of nights are disturbed, unable to self-soothe requiring care = 3</w:t>
            </w:r>
            <w:r w:rsidRPr="006A1EC7">
              <w:rPr>
                <w:highlight w:val="magenta"/>
              </w:rPr>
              <w:br/>
              <w:t>Some disturbed nights (max. 2 a week) = 2</w:t>
            </w:r>
            <w:r w:rsidRPr="006A1EC7">
              <w:rPr>
                <w:highlight w:val="magenta"/>
              </w:rPr>
              <w:br/>
              <w:t>One disturbed night a week = 1</w:t>
            </w:r>
          </w:p>
          <w:p w14:paraId="4A40D6C5" w14:textId="77777777" w:rsidR="0087601C" w:rsidRPr="006A1EC7" w:rsidRDefault="0087601C" w:rsidP="00D56051">
            <w:pPr>
              <w:spacing w:line="360" w:lineRule="auto"/>
            </w:pPr>
            <w:r w:rsidRPr="006A1EC7">
              <w:rPr>
                <w:highlight w:val="magenta"/>
              </w:rPr>
              <w:t>No disturbed nights = 0</w:t>
            </w:r>
          </w:p>
        </w:tc>
        <w:tc>
          <w:tcPr>
            <w:tcW w:w="4155" w:type="dxa"/>
          </w:tcPr>
          <w:p w14:paraId="347C31B6" w14:textId="77777777" w:rsidR="0087601C" w:rsidRPr="006A1EC7" w:rsidRDefault="0087601C" w:rsidP="00D56051">
            <w:pPr>
              <w:spacing w:line="360" w:lineRule="auto"/>
            </w:pPr>
          </w:p>
          <w:p w14:paraId="1B8BED69" w14:textId="77777777" w:rsidR="0087601C" w:rsidRPr="006A1EC7" w:rsidRDefault="0087601C" w:rsidP="00D56051">
            <w:r w:rsidRPr="006A1EC7">
              <w:t>This was predominantly identified from the interviews; although issues with sleep are also reported – in less detail – in the literature.</w:t>
            </w:r>
          </w:p>
        </w:tc>
      </w:tr>
      <w:tr w:rsidR="0087601C" w:rsidRPr="006A1EC7" w14:paraId="03E51E11" w14:textId="77777777" w:rsidTr="00D56051">
        <w:tc>
          <w:tcPr>
            <w:tcW w:w="4475" w:type="dxa"/>
          </w:tcPr>
          <w:p w14:paraId="6E13F594" w14:textId="77777777" w:rsidR="0087601C" w:rsidRPr="006A1EC7" w:rsidRDefault="0087601C" w:rsidP="00D56051">
            <w:pPr>
              <w:rPr>
                <w:b/>
                <w:u w:val="single"/>
              </w:rPr>
            </w:pPr>
            <w:r w:rsidRPr="006A1EC7">
              <w:rPr>
                <w:b/>
                <w:u w:val="single"/>
              </w:rPr>
              <w:t>Section 8: Functional assessment</w:t>
            </w:r>
          </w:p>
          <w:p w14:paraId="0EC1259B" w14:textId="77777777" w:rsidR="0087601C" w:rsidRPr="006A1EC7" w:rsidRDefault="0087601C" w:rsidP="00D56051">
            <w:pPr>
              <w:rPr>
                <w:u w:val="single"/>
              </w:rPr>
            </w:pPr>
          </w:p>
          <w:p w14:paraId="22CC6215" w14:textId="77777777" w:rsidR="0087601C" w:rsidRPr="006A1EC7" w:rsidRDefault="0087601C" w:rsidP="00D56051">
            <w:pPr>
              <w:pStyle w:val="Default"/>
              <w:rPr>
                <w:color w:val="000000" w:themeColor="text1"/>
                <w:highlight w:val="red"/>
                <w:u w:val="single"/>
              </w:rPr>
            </w:pPr>
            <w:r w:rsidRPr="006A1EC7">
              <w:rPr>
                <w:color w:val="000000" w:themeColor="text1"/>
                <w:highlight w:val="red"/>
                <w:u w:val="single"/>
              </w:rPr>
              <w:t>Item 8A: What is the patient’s play behaviour like?</w:t>
            </w:r>
          </w:p>
          <w:p w14:paraId="15DB9101" w14:textId="77777777" w:rsidR="0087601C" w:rsidRPr="006A1EC7" w:rsidRDefault="0087601C" w:rsidP="00D56051">
            <w:pPr>
              <w:pStyle w:val="Default"/>
              <w:rPr>
                <w:color w:val="000000" w:themeColor="text1"/>
                <w:highlight w:val="red"/>
              </w:rPr>
            </w:pPr>
            <w:r w:rsidRPr="006A1EC7">
              <w:rPr>
                <w:color w:val="000000" w:themeColor="text1"/>
                <w:highlight w:val="red"/>
              </w:rPr>
              <w:t>Patient is unable to engage in play, will not react to toys/ stimuli = 2</w:t>
            </w:r>
          </w:p>
          <w:p w14:paraId="235690E2" w14:textId="77777777" w:rsidR="0087601C" w:rsidRPr="006A1EC7" w:rsidRDefault="0087601C" w:rsidP="00D56051">
            <w:pPr>
              <w:pStyle w:val="Default"/>
              <w:rPr>
                <w:color w:val="000000" w:themeColor="text1"/>
                <w:highlight w:val="red"/>
              </w:rPr>
            </w:pPr>
            <w:r w:rsidRPr="006A1EC7">
              <w:rPr>
                <w:color w:val="000000" w:themeColor="text1"/>
                <w:highlight w:val="red"/>
              </w:rPr>
              <w:t>Patient is able to partake in simple games, aided = 1</w:t>
            </w:r>
          </w:p>
          <w:p w14:paraId="4B00E673" w14:textId="77777777" w:rsidR="0087601C" w:rsidRPr="006A1EC7" w:rsidRDefault="0087601C" w:rsidP="00D56051">
            <w:pPr>
              <w:pStyle w:val="Default"/>
              <w:rPr>
                <w:color w:val="000000" w:themeColor="text1"/>
                <w:highlight w:val="red"/>
              </w:rPr>
            </w:pPr>
            <w:r w:rsidRPr="006A1EC7">
              <w:rPr>
                <w:color w:val="000000" w:themeColor="text1"/>
                <w:highlight w:val="red"/>
              </w:rPr>
              <w:t>Patient is able to take part in simple games, unaided = 0</w:t>
            </w:r>
          </w:p>
          <w:p w14:paraId="7C959407" w14:textId="77777777" w:rsidR="0087601C" w:rsidRPr="006A1EC7" w:rsidRDefault="0087601C" w:rsidP="00D56051">
            <w:pPr>
              <w:rPr>
                <w:color w:val="000000" w:themeColor="text1"/>
                <w:highlight w:val="red"/>
                <w:u w:val="single"/>
              </w:rPr>
            </w:pPr>
            <w:r w:rsidRPr="006A1EC7">
              <w:rPr>
                <w:color w:val="000000" w:themeColor="text1"/>
                <w:highlight w:val="red"/>
              </w:rPr>
              <w:br/>
            </w:r>
            <w:r w:rsidRPr="006A1EC7">
              <w:rPr>
                <w:color w:val="000000" w:themeColor="text1"/>
                <w:highlight w:val="red"/>
                <w:u w:val="single"/>
              </w:rPr>
              <w:t>Item 8B: Can the patient perform simple household tasks?</w:t>
            </w:r>
          </w:p>
          <w:p w14:paraId="115CD0F9" w14:textId="77777777" w:rsidR="0087601C" w:rsidRPr="006A1EC7" w:rsidRDefault="0087601C" w:rsidP="00D56051">
            <w:pPr>
              <w:pStyle w:val="Default"/>
              <w:rPr>
                <w:color w:val="000000" w:themeColor="text1"/>
                <w:highlight w:val="red"/>
              </w:rPr>
            </w:pPr>
            <w:r w:rsidRPr="006A1EC7">
              <w:rPr>
                <w:color w:val="000000" w:themeColor="text1"/>
                <w:highlight w:val="red"/>
              </w:rPr>
              <w:t>Patient is unable to perform any tasks around the house = 2</w:t>
            </w:r>
          </w:p>
          <w:p w14:paraId="30C9A0D2" w14:textId="77777777" w:rsidR="0087601C" w:rsidRPr="006A1EC7" w:rsidRDefault="0087601C" w:rsidP="00D56051">
            <w:pPr>
              <w:pStyle w:val="Default"/>
              <w:rPr>
                <w:color w:val="000000" w:themeColor="text1"/>
                <w:highlight w:val="red"/>
              </w:rPr>
            </w:pPr>
            <w:r w:rsidRPr="006A1EC7">
              <w:rPr>
                <w:color w:val="000000" w:themeColor="text1"/>
                <w:highlight w:val="red"/>
              </w:rPr>
              <w:t>Patient is able to perform simple tasks around the house, with help (e.g. making bed, setting table)= 1</w:t>
            </w:r>
          </w:p>
          <w:p w14:paraId="422B7341" w14:textId="77777777" w:rsidR="0087601C" w:rsidRPr="006A1EC7" w:rsidRDefault="0087601C" w:rsidP="00D56051">
            <w:pPr>
              <w:pStyle w:val="Default"/>
              <w:rPr>
                <w:color w:val="000000" w:themeColor="text1"/>
              </w:rPr>
            </w:pPr>
            <w:r w:rsidRPr="006A1EC7">
              <w:rPr>
                <w:color w:val="000000" w:themeColor="text1"/>
                <w:highlight w:val="red"/>
              </w:rPr>
              <w:t>Patient is able to do tasks independently = 0</w:t>
            </w:r>
          </w:p>
          <w:p w14:paraId="17F14BB9" w14:textId="77777777" w:rsidR="0087601C" w:rsidRPr="006A1EC7" w:rsidRDefault="0087601C" w:rsidP="00D56051">
            <w:pPr>
              <w:pStyle w:val="Default"/>
              <w:rPr>
                <w:color w:val="000000" w:themeColor="text1"/>
              </w:rPr>
            </w:pPr>
          </w:p>
          <w:p w14:paraId="1EF2BA25" w14:textId="77777777" w:rsidR="0087601C" w:rsidRPr="006A1EC7" w:rsidRDefault="0087601C" w:rsidP="00D56051">
            <w:pPr>
              <w:pStyle w:val="Default"/>
              <w:rPr>
                <w:color w:val="000000" w:themeColor="text1"/>
                <w:highlight w:val="magenta"/>
                <w:u w:val="single"/>
              </w:rPr>
            </w:pPr>
            <w:r w:rsidRPr="006A1EC7">
              <w:rPr>
                <w:color w:val="000000" w:themeColor="text1"/>
                <w:highlight w:val="magenta"/>
                <w:u w:val="single"/>
              </w:rPr>
              <w:lastRenderedPageBreak/>
              <w:t>Item 8C: If applicable, what schooling/daycare facility does the patient attend?</w:t>
            </w:r>
          </w:p>
          <w:p w14:paraId="60DBF149" w14:textId="77777777" w:rsidR="0087601C" w:rsidRPr="006A1EC7" w:rsidRDefault="0087601C" w:rsidP="00D56051">
            <w:pPr>
              <w:rPr>
                <w:highlight w:val="magenta"/>
              </w:rPr>
            </w:pPr>
            <w:r w:rsidRPr="006A1EC7">
              <w:rPr>
                <w:highlight w:val="magenta"/>
              </w:rPr>
              <w:t>Patient is unable to go to mainstream school or work; attends special needs school or day care centre = 3</w:t>
            </w:r>
          </w:p>
          <w:p w14:paraId="70C4612C" w14:textId="77777777" w:rsidR="0087601C" w:rsidRPr="006A1EC7" w:rsidRDefault="0087601C" w:rsidP="00D56051">
            <w:pPr>
              <w:rPr>
                <w:highlight w:val="magenta"/>
              </w:rPr>
            </w:pPr>
            <w:r w:rsidRPr="006A1EC7">
              <w:rPr>
                <w:highlight w:val="magenta"/>
              </w:rPr>
              <w:t>Patient is able to go to mainstream school or work, requires 1:1 assistance at all times = 2</w:t>
            </w:r>
          </w:p>
          <w:p w14:paraId="38D0C527" w14:textId="77777777" w:rsidR="0087601C" w:rsidRPr="006A1EC7" w:rsidRDefault="0087601C" w:rsidP="00D56051">
            <w:pPr>
              <w:rPr>
                <w:highlight w:val="magenta"/>
              </w:rPr>
            </w:pPr>
            <w:r w:rsidRPr="006A1EC7">
              <w:rPr>
                <w:highlight w:val="magenta"/>
              </w:rPr>
              <w:t>Patient is able to go to mainstream school with assistance (does not need 1:1 assistance at all times) = 1</w:t>
            </w:r>
            <w:r w:rsidRPr="006A1EC7">
              <w:rPr>
                <w:highlight w:val="magenta"/>
              </w:rPr>
              <w:tab/>
            </w:r>
          </w:p>
          <w:p w14:paraId="3C283FDC" w14:textId="77777777" w:rsidR="0087601C" w:rsidRPr="006A1EC7" w:rsidRDefault="0087601C" w:rsidP="00D56051">
            <w:r w:rsidRPr="006A1EC7">
              <w:rPr>
                <w:highlight w:val="magenta"/>
              </w:rPr>
              <w:t>Patient is able to go to mainstream school or participate in paid employment =0</w:t>
            </w:r>
          </w:p>
          <w:p w14:paraId="6F26BAD4" w14:textId="77777777" w:rsidR="0087601C" w:rsidRPr="006A1EC7" w:rsidRDefault="0087601C" w:rsidP="00D56051">
            <w:pPr>
              <w:rPr>
                <w:u w:val="single"/>
              </w:rPr>
            </w:pPr>
          </w:p>
          <w:p w14:paraId="3BDA4409" w14:textId="77777777" w:rsidR="0087601C" w:rsidRPr="006A1EC7" w:rsidRDefault="0087601C" w:rsidP="00D56051">
            <w:pPr>
              <w:rPr>
                <w:highlight w:val="cyan"/>
                <w:u w:val="single"/>
              </w:rPr>
            </w:pPr>
            <w:r w:rsidRPr="006A1EC7">
              <w:rPr>
                <w:highlight w:val="cyan"/>
                <w:u w:val="single"/>
              </w:rPr>
              <w:t>Item 8D: What is the patient’s communication and speech like?</w:t>
            </w:r>
          </w:p>
          <w:p w14:paraId="3F70F233" w14:textId="77777777" w:rsidR="0087601C" w:rsidRPr="006A1EC7" w:rsidRDefault="0087601C" w:rsidP="00D56051">
            <w:pPr>
              <w:rPr>
                <w:highlight w:val="cyan"/>
              </w:rPr>
            </w:pPr>
            <w:r w:rsidRPr="006A1EC7">
              <w:rPr>
                <w:highlight w:val="cyan"/>
              </w:rPr>
              <w:t>Patient neither uses words nor sounds= 4</w:t>
            </w:r>
          </w:p>
          <w:p w14:paraId="6B085BB4" w14:textId="77777777" w:rsidR="0087601C" w:rsidRPr="006A1EC7" w:rsidRDefault="0087601C" w:rsidP="00D56051">
            <w:pPr>
              <w:rPr>
                <w:highlight w:val="cyan"/>
              </w:rPr>
            </w:pPr>
            <w:r w:rsidRPr="006A1EC7">
              <w:rPr>
                <w:highlight w:val="cyan"/>
              </w:rPr>
              <w:t>Patient communicates via noise and sound = 3</w:t>
            </w:r>
          </w:p>
          <w:p w14:paraId="3AB2E5AD" w14:textId="77777777" w:rsidR="0087601C" w:rsidRPr="006A1EC7" w:rsidRDefault="0087601C" w:rsidP="00D56051">
            <w:pPr>
              <w:rPr>
                <w:highlight w:val="cyan"/>
              </w:rPr>
            </w:pPr>
            <w:r w:rsidRPr="006A1EC7">
              <w:rPr>
                <w:highlight w:val="cyan"/>
              </w:rPr>
              <w:t>Patient communicates using Macaton/sign language = 2</w:t>
            </w:r>
          </w:p>
          <w:p w14:paraId="7C21FD3A" w14:textId="77777777" w:rsidR="0087601C" w:rsidRPr="006A1EC7" w:rsidRDefault="0087601C" w:rsidP="00D56051">
            <w:pPr>
              <w:rPr>
                <w:highlight w:val="cyan"/>
              </w:rPr>
            </w:pPr>
            <w:r w:rsidRPr="006A1EC7">
              <w:rPr>
                <w:highlight w:val="cyan"/>
              </w:rPr>
              <w:t>Patient is able to from a limited number of words, but unable to form sentences = 1</w:t>
            </w:r>
          </w:p>
          <w:p w14:paraId="3EFCA30A" w14:textId="77777777" w:rsidR="0087601C" w:rsidRPr="006A1EC7" w:rsidRDefault="0087601C" w:rsidP="00D56051">
            <w:r w:rsidRPr="006A1EC7">
              <w:rPr>
                <w:highlight w:val="cyan"/>
              </w:rPr>
              <w:t>Patient is able to form short sentences of at least 3-5 words = 0</w:t>
            </w:r>
          </w:p>
          <w:p w14:paraId="7D0791F8" w14:textId="77777777" w:rsidR="0087601C" w:rsidRPr="006A1EC7" w:rsidRDefault="0087601C" w:rsidP="00D56051">
            <w:pPr>
              <w:spacing w:line="360" w:lineRule="auto"/>
            </w:pPr>
          </w:p>
        </w:tc>
        <w:tc>
          <w:tcPr>
            <w:tcW w:w="4155" w:type="dxa"/>
          </w:tcPr>
          <w:p w14:paraId="2677C10B" w14:textId="77777777" w:rsidR="0087601C" w:rsidRPr="006A1EC7" w:rsidRDefault="0087601C" w:rsidP="00D56051"/>
          <w:p w14:paraId="5B3596D7" w14:textId="77777777" w:rsidR="0087601C" w:rsidRPr="006A1EC7" w:rsidRDefault="0087601C" w:rsidP="00D56051"/>
          <w:p w14:paraId="31E899C3" w14:textId="77777777" w:rsidR="0087601C" w:rsidRPr="006A1EC7" w:rsidRDefault="0087601C" w:rsidP="00D56051">
            <w:r w:rsidRPr="006A1EC7">
              <w:t>Similar to the functional assessment of Mobility above; we developed an assessment for functioning using interview data and clinical expertise.</w:t>
            </w:r>
          </w:p>
          <w:p w14:paraId="435F97A5" w14:textId="77777777" w:rsidR="0087601C" w:rsidRPr="006A1EC7" w:rsidRDefault="0087601C" w:rsidP="00D56051"/>
          <w:p w14:paraId="45496B8F" w14:textId="77777777" w:rsidR="0087601C" w:rsidRPr="006A1EC7" w:rsidRDefault="0087601C" w:rsidP="00D56051">
            <w:pPr>
              <w:rPr>
                <w:b/>
              </w:rPr>
            </w:pPr>
          </w:p>
          <w:p w14:paraId="2CB025E4" w14:textId="77777777" w:rsidR="0087601C" w:rsidRPr="006A1EC7" w:rsidRDefault="0087601C" w:rsidP="00D56051">
            <w:pPr>
              <w:spacing w:line="360" w:lineRule="auto"/>
            </w:pPr>
          </w:p>
          <w:p w14:paraId="7CAA669A" w14:textId="77777777" w:rsidR="0087601C" w:rsidRPr="006A1EC7" w:rsidRDefault="0087601C" w:rsidP="00D56051">
            <w:pPr>
              <w:spacing w:line="360" w:lineRule="auto"/>
            </w:pPr>
          </w:p>
          <w:p w14:paraId="302F2CCA" w14:textId="77777777" w:rsidR="0087601C" w:rsidRPr="006A1EC7" w:rsidRDefault="0087601C" w:rsidP="00D56051">
            <w:pPr>
              <w:spacing w:line="360" w:lineRule="auto"/>
            </w:pPr>
          </w:p>
          <w:p w14:paraId="1CD60B31" w14:textId="77777777" w:rsidR="0087601C" w:rsidRPr="006A1EC7" w:rsidRDefault="0087601C" w:rsidP="00D56051">
            <w:pPr>
              <w:spacing w:line="360" w:lineRule="auto"/>
            </w:pPr>
          </w:p>
          <w:p w14:paraId="5A78070E" w14:textId="77777777" w:rsidR="0087601C" w:rsidRPr="006A1EC7" w:rsidRDefault="0087601C" w:rsidP="00D56051">
            <w:pPr>
              <w:spacing w:line="360" w:lineRule="auto"/>
            </w:pPr>
          </w:p>
          <w:p w14:paraId="49B37D07" w14:textId="77777777" w:rsidR="0087601C" w:rsidRPr="006A1EC7" w:rsidRDefault="0087601C" w:rsidP="00D56051">
            <w:pPr>
              <w:spacing w:line="360" w:lineRule="auto"/>
            </w:pPr>
          </w:p>
          <w:p w14:paraId="05D04053" w14:textId="77777777" w:rsidR="0087601C" w:rsidRPr="006A1EC7" w:rsidRDefault="0087601C" w:rsidP="00D56051">
            <w:pPr>
              <w:spacing w:line="360" w:lineRule="auto"/>
            </w:pPr>
          </w:p>
          <w:p w14:paraId="21406E45" w14:textId="77777777" w:rsidR="0087601C" w:rsidRPr="006A1EC7" w:rsidRDefault="0087601C" w:rsidP="00D56051">
            <w:pPr>
              <w:spacing w:line="360" w:lineRule="auto"/>
            </w:pPr>
          </w:p>
          <w:p w14:paraId="3FD316CC" w14:textId="77777777" w:rsidR="0087601C" w:rsidRPr="006A1EC7" w:rsidRDefault="0087601C" w:rsidP="00D56051">
            <w:r w:rsidRPr="006A1EC7">
              <w:t>This was predominantly identified from the interviews.</w:t>
            </w:r>
          </w:p>
          <w:p w14:paraId="201E5FC3" w14:textId="77777777" w:rsidR="0087601C" w:rsidRPr="006A1EC7" w:rsidRDefault="0087601C" w:rsidP="00D56051"/>
          <w:p w14:paraId="484C728A" w14:textId="77777777" w:rsidR="0087601C" w:rsidRPr="006A1EC7" w:rsidRDefault="0087601C" w:rsidP="00D56051"/>
          <w:p w14:paraId="37D2E28A" w14:textId="77777777" w:rsidR="0087601C" w:rsidRPr="006A1EC7" w:rsidRDefault="0087601C" w:rsidP="00D56051"/>
          <w:p w14:paraId="304989C5" w14:textId="77777777" w:rsidR="0087601C" w:rsidRPr="006A1EC7" w:rsidRDefault="0087601C" w:rsidP="00D56051"/>
          <w:p w14:paraId="103728E8" w14:textId="77777777" w:rsidR="0087601C" w:rsidRPr="006A1EC7" w:rsidRDefault="0087601C" w:rsidP="00D56051"/>
          <w:p w14:paraId="2F28F3B2" w14:textId="77777777" w:rsidR="0087601C" w:rsidRPr="006A1EC7" w:rsidRDefault="0087601C" w:rsidP="00D56051"/>
          <w:p w14:paraId="5119BBF8" w14:textId="77777777" w:rsidR="0087601C" w:rsidRPr="006A1EC7" w:rsidRDefault="0087601C" w:rsidP="00D56051"/>
          <w:p w14:paraId="634CFDCC" w14:textId="77777777" w:rsidR="0087601C" w:rsidRPr="006A1EC7" w:rsidRDefault="0087601C" w:rsidP="00D56051"/>
          <w:p w14:paraId="1BB159BF" w14:textId="77777777" w:rsidR="0087601C" w:rsidRPr="006A1EC7" w:rsidRDefault="0087601C" w:rsidP="00D56051"/>
          <w:p w14:paraId="7DCCB7AB" w14:textId="77777777" w:rsidR="0087601C" w:rsidRPr="006A1EC7" w:rsidRDefault="0087601C" w:rsidP="00D56051"/>
          <w:p w14:paraId="31AF1FAC" w14:textId="77777777" w:rsidR="0087601C" w:rsidRPr="006A1EC7" w:rsidRDefault="0087601C" w:rsidP="00D56051"/>
          <w:p w14:paraId="265EC966" w14:textId="77777777" w:rsidR="0087601C" w:rsidRPr="006A1EC7" w:rsidRDefault="0087601C" w:rsidP="00D56051"/>
          <w:p w14:paraId="1D612593" w14:textId="77777777" w:rsidR="0087601C" w:rsidRPr="006A1EC7" w:rsidRDefault="0087601C" w:rsidP="00D56051">
            <w:r w:rsidRPr="006A1EC7">
              <w:t xml:space="preserve">This was identified from the interviews and are concurrent with the literature. </w:t>
            </w:r>
          </w:p>
          <w:p w14:paraId="32EB31E0" w14:textId="77777777" w:rsidR="0087601C" w:rsidRPr="006A1EC7" w:rsidRDefault="0087601C" w:rsidP="00D56051">
            <w:pPr>
              <w:spacing w:line="360" w:lineRule="auto"/>
            </w:pPr>
          </w:p>
        </w:tc>
      </w:tr>
      <w:tr w:rsidR="0087601C" w:rsidRPr="006A1EC7" w14:paraId="0200505C" w14:textId="77777777" w:rsidTr="00D56051">
        <w:tc>
          <w:tcPr>
            <w:tcW w:w="4475" w:type="dxa"/>
          </w:tcPr>
          <w:p w14:paraId="07BF34CA" w14:textId="77777777" w:rsidR="0087601C" w:rsidRPr="006A1EC7" w:rsidRDefault="0087601C" w:rsidP="00D56051">
            <w:pPr>
              <w:rPr>
                <w:b/>
                <w:u w:val="single"/>
              </w:rPr>
            </w:pPr>
            <w:r w:rsidRPr="006A1EC7">
              <w:rPr>
                <w:b/>
                <w:u w:val="single"/>
              </w:rPr>
              <w:lastRenderedPageBreak/>
              <w:t>Section 9: Level of care</w:t>
            </w:r>
          </w:p>
          <w:p w14:paraId="4D58EF37" w14:textId="77777777" w:rsidR="0087601C" w:rsidRPr="006A1EC7" w:rsidRDefault="0087601C" w:rsidP="00D56051"/>
          <w:p w14:paraId="67DDF5E8" w14:textId="77777777" w:rsidR="0087601C" w:rsidRPr="006A1EC7" w:rsidRDefault="0087601C" w:rsidP="00D56051">
            <w:pPr>
              <w:rPr>
                <w:highlight w:val="magenta"/>
              </w:rPr>
            </w:pPr>
            <w:r w:rsidRPr="006A1EC7">
              <w:rPr>
                <w:highlight w:val="magenta"/>
                <w:u w:val="single"/>
              </w:rPr>
              <w:t>Item 9: What is the level of care required for day-to-day life?</w:t>
            </w:r>
            <w:r w:rsidRPr="006A1EC7">
              <w:rPr>
                <w:highlight w:val="magenta"/>
                <w:u w:val="wave"/>
              </w:rPr>
              <w:br/>
            </w:r>
            <w:r w:rsidRPr="006A1EC7">
              <w:rPr>
                <w:highlight w:val="magenta"/>
              </w:rPr>
              <w:t>Skilled nursing care required = 2</w:t>
            </w:r>
          </w:p>
          <w:p w14:paraId="492FB8D2" w14:textId="77777777" w:rsidR="0087601C" w:rsidRPr="006A1EC7" w:rsidRDefault="0087601C" w:rsidP="00D56051">
            <w:pPr>
              <w:rPr>
                <w:highlight w:val="magenta"/>
              </w:rPr>
            </w:pPr>
            <w:r w:rsidRPr="006A1EC7">
              <w:rPr>
                <w:highlight w:val="magenta"/>
              </w:rPr>
              <w:t>Home nursing by family member= 1</w:t>
            </w:r>
          </w:p>
          <w:p w14:paraId="46D22D93" w14:textId="77777777" w:rsidR="0087601C" w:rsidRPr="006A1EC7" w:rsidRDefault="0087601C" w:rsidP="00D56051">
            <w:r w:rsidRPr="006A1EC7">
              <w:rPr>
                <w:highlight w:val="magenta"/>
              </w:rPr>
              <w:t>No care required = 0</w:t>
            </w:r>
            <w:r w:rsidRPr="006A1EC7">
              <w:t xml:space="preserve"> </w:t>
            </w:r>
          </w:p>
          <w:p w14:paraId="082B3FB7" w14:textId="77777777" w:rsidR="0087601C" w:rsidRPr="006A1EC7" w:rsidRDefault="0087601C" w:rsidP="00D56051">
            <w:pPr>
              <w:spacing w:line="360" w:lineRule="auto"/>
            </w:pPr>
          </w:p>
        </w:tc>
        <w:tc>
          <w:tcPr>
            <w:tcW w:w="4155" w:type="dxa"/>
          </w:tcPr>
          <w:p w14:paraId="7E3804C0" w14:textId="77777777" w:rsidR="0087601C" w:rsidRPr="006A1EC7" w:rsidRDefault="0087601C" w:rsidP="00D56051">
            <w:pPr>
              <w:spacing w:line="360" w:lineRule="auto"/>
            </w:pPr>
          </w:p>
          <w:p w14:paraId="461B3F92" w14:textId="77777777" w:rsidR="0087601C" w:rsidRPr="006A1EC7" w:rsidRDefault="0087601C" w:rsidP="00D56051">
            <w:r w:rsidRPr="006A1EC7">
              <w:t>This was predominantly identified from the interviews.</w:t>
            </w:r>
          </w:p>
          <w:p w14:paraId="1E62ADC4" w14:textId="77777777" w:rsidR="0087601C" w:rsidRPr="006A1EC7" w:rsidRDefault="0087601C" w:rsidP="00D56051">
            <w:pPr>
              <w:spacing w:line="360" w:lineRule="auto"/>
            </w:pPr>
          </w:p>
          <w:p w14:paraId="4AB0F6FE" w14:textId="77777777" w:rsidR="0087601C" w:rsidRPr="006A1EC7" w:rsidRDefault="0087601C" w:rsidP="00D56051">
            <w:pPr>
              <w:spacing w:line="360" w:lineRule="auto"/>
            </w:pPr>
          </w:p>
        </w:tc>
      </w:tr>
    </w:tbl>
    <w:p w14:paraId="611783FB" w14:textId="77777777" w:rsidR="0087601C" w:rsidRPr="006A1EC7" w:rsidRDefault="0087601C" w:rsidP="0087601C">
      <w:r w:rsidRPr="006A1EC7">
        <w:br/>
      </w:r>
    </w:p>
    <w:p w14:paraId="5E2F149E" w14:textId="77777777" w:rsidR="0087601C" w:rsidRPr="006A1EC7" w:rsidRDefault="0087601C" w:rsidP="0087601C">
      <w:pPr>
        <w:pStyle w:val="Heading3"/>
        <w:rPr>
          <w:rFonts w:ascii="Times New Roman" w:hAnsi="Times New Roman" w:cs="Times New Roman"/>
        </w:rPr>
      </w:pPr>
      <w:bookmarkStart w:id="298" w:name="_Toc38821482"/>
      <w:r w:rsidRPr="006A1EC7">
        <w:rPr>
          <w:rFonts w:ascii="Times New Roman" w:hAnsi="Times New Roman" w:cs="Times New Roman"/>
        </w:rPr>
        <w:t>Appendix 6.3: Ethics approval for the Content and Face validity assessment study</w:t>
      </w:r>
      <w:bookmarkEnd w:id="298"/>
    </w:p>
    <w:p w14:paraId="4F36D979" w14:textId="77777777" w:rsidR="0087601C" w:rsidRPr="006A1EC7" w:rsidRDefault="0087601C" w:rsidP="0087601C"/>
    <w:p w14:paraId="0641DC44" w14:textId="77777777" w:rsidR="0087601C" w:rsidRPr="006A1EC7" w:rsidRDefault="0087601C" w:rsidP="0087601C">
      <w:pPr>
        <w:spacing w:before="100" w:beforeAutospacing="1" w:after="100" w:afterAutospacing="1"/>
        <w:rPr>
          <w:lang w:eastAsia="en-GB"/>
        </w:rPr>
      </w:pPr>
      <w:r w:rsidRPr="006A1EC7">
        <w:rPr>
          <w:sz w:val="16"/>
          <w:szCs w:val="16"/>
          <w:lang w:eastAsia="en-GB"/>
        </w:rPr>
        <w:t>Katharina Vogt</w:t>
      </w:r>
      <w:r w:rsidRPr="006A1EC7">
        <w:rPr>
          <w:sz w:val="16"/>
          <w:szCs w:val="16"/>
          <w:lang w:eastAsia="en-GB"/>
        </w:rPr>
        <w:br/>
        <w:t>Registration number: 160115545 Neuroscience</w:t>
      </w:r>
      <w:r w:rsidRPr="006A1EC7">
        <w:rPr>
          <w:sz w:val="16"/>
          <w:szCs w:val="16"/>
          <w:lang w:eastAsia="en-GB"/>
        </w:rPr>
        <w:br/>
        <w:t xml:space="preserve">Programme: PhD Medicine </w:t>
      </w:r>
    </w:p>
    <w:p w14:paraId="27ABBFFF" w14:textId="77777777" w:rsidR="0087601C" w:rsidRPr="006A1EC7" w:rsidRDefault="0087601C" w:rsidP="0087601C">
      <w:pPr>
        <w:spacing w:before="100" w:beforeAutospacing="1" w:after="100" w:afterAutospacing="1"/>
        <w:rPr>
          <w:lang w:eastAsia="en-GB"/>
        </w:rPr>
      </w:pPr>
      <w:r w:rsidRPr="006A1EC7">
        <w:rPr>
          <w:sz w:val="16"/>
          <w:szCs w:val="16"/>
          <w:lang w:eastAsia="en-GB"/>
        </w:rPr>
        <w:lastRenderedPageBreak/>
        <w:t>Dear Katharina</w:t>
      </w:r>
      <w:r w:rsidRPr="006A1EC7">
        <w:rPr>
          <w:sz w:val="16"/>
          <w:szCs w:val="16"/>
          <w:lang w:eastAsia="en-GB"/>
        </w:rPr>
        <w:br/>
      </w:r>
      <w:r w:rsidRPr="006A1EC7">
        <w:rPr>
          <w:b/>
          <w:bCs/>
          <w:sz w:val="16"/>
          <w:szCs w:val="16"/>
          <w:lang w:eastAsia="en-GB"/>
        </w:rPr>
        <w:t xml:space="preserve">PROJECT TITLE: </w:t>
      </w:r>
      <w:r w:rsidRPr="006A1EC7">
        <w:rPr>
          <w:sz w:val="16"/>
          <w:szCs w:val="16"/>
          <w:lang w:eastAsia="en-GB"/>
        </w:rPr>
        <w:t xml:space="preserve">Developing a Clinician-Rated Clinical Outcome Assessment for Wolf-Hirschhorn syndrome </w:t>
      </w:r>
    </w:p>
    <w:p w14:paraId="02F16252" w14:textId="77777777" w:rsidR="0087601C" w:rsidRPr="006A1EC7" w:rsidRDefault="0087601C" w:rsidP="0087601C">
      <w:pPr>
        <w:spacing w:before="100" w:beforeAutospacing="1" w:after="100" w:afterAutospacing="1"/>
        <w:rPr>
          <w:lang w:eastAsia="en-GB"/>
        </w:rPr>
      </w:pPr>
      <w:r w:rsidRPr="006A1EC7">
        <w:rPr>
          <w:b/>
          <w:bCs/>
          <w:sz w:val="16"/>
          <w:szCs w:val="16"/>
          <w:lang w:eastAsia="en-GB"/>
        </w:rPr>
        <w:t xml:space="preserve">APPLICATION: </w:t>
      </w:r>
      <w:r w:rsidRPr="006A1EC7">
        <w:rPr>
          <w:sz w:val="16"/>
          <w:szCs w:val="16"/>
          <w:lang w:eastAsia="en-GB"/>
        </w:rPr>
        <w:t xml:space="preserve">Reference Number 022481 </w:t>
      </w:r>
    </w:p>
    <w:p w14:paraId="01559E9D" w14:textId="77777777" w:rsidR="0087601C" w:rsidRPr="006A1EC7" w:rsidRDefault="0087601C" w:rsidP="0087601C">
      <w:pPr>
        <w:spacing w:before="100" w:beforeAutospacing="1" w:after="100" w:afterAutospacing="1"/>
        <w:rPr>
          <w:lang w:eastAsia="en-GB"/>
        </w:rPr>
      </w:pPr>
      <w:r w:rsidRPr="006A1EC7">
        <w:rPr>
          <w:sz w:val="16"/>
          <w:szCs w:val="16"/>
          <w:lang w:eastAsia="en-GB"/>
        </w:rPr>
        <w:t xml:space="preserve">On behalf of the University ethics reviewers who reviewed your project, I am pleased to inform you that on 28/08/2018 the above-named project was </w:t>
      </w:r>
      <w:r w:rsidRPr="006A1EC7">
        <w:rPr>
          <w:b/>
          <w:bCs/>
          <w:sz w:val="16"/>
          <w:szCs w:val="16"/>
          <w:lang w:eastAsia="en-GB"/>
        </w:rPr>
        <w:t xml:space="preserve">approved </w:t>
      </w:r>
      <w:r w:rsidRPr="006A1EC7">
        <w:rPr>
          <w:sz w:val="16"/>
          <w:szCs w:val="16"/>
          <w:lang w:eastAsia="en-GB"/>
        </w:rPr>
        <w:t xml:space="preserve">on ethics grounds, on the basis that you will adhere to the following documentation that you submitted for ethics review: </w:t>
      </w:r>
    </w:p>
    <w:p w14:paraId="4CB290B4" w14:textId="77777777" w:rsidR="0087601C" w:rsidRPr="006A1EC7" w:rsidRDefault="0087601C" w:rsidP="0087601C">
      <w:pPr>
        <w:spacing w:before="100" w:beforeAutospacing="1" w:after="100" w:afterAutospacing="1"/>
        <w:rPr>
          <w:lang w:eastAsia="en-GB"/>
        </w:rPr>
      </w:pPr>
      <w:r w:rsidRPr="006A1EC7">
        <w:rPr>
          <w:sz w:val="16"/>
          <w:szCs w:val="16"/>
          <w:lang w:eastAsia="en-GB"/>
        </w:rPr>
        <w:t>University research ethics application form 022481 (form submission date: 27/08/2018); (expected project end date: 16/10/2018).</w:t>
      </w:r>
      <w:r w:rsidRPr="006A1EC7">
        <w:rPr>
          <w:sz w:val="16"/>
          <w:szCs w:val="16"/>
          <w:lang w:eastAsia="en-GB"/>
        </w:rPr>
        <w:br/>
        <w:t>Participant information sheet 1049739 version 1 (16/07/2018).</w:t>
      </w:r>
      <w:r w:rsidRPr="006A1EC7">
        <w:rPr>
          <w:sz w:val="16"/>
          <w:szCs w:val="16"/>
          <w:lang w:eastAsia="en-GB"/>
        </w:rPr>
        <w:br/>
        <w:t xml:space="preserve">Participant consent form 1049742 version 2 (27/08/2018). </w:t>
      </w:r>
    </w:p>
    <w:p w14:paraId="7966258B" w14:textId="77777777" w:rsidR="0087601C" w:rsidRPr="006A1EC7" w:rsidRDefault="0087601C" w:rsidP="0087601C">
      <w:pPr>
        <w:spacing w:before="100" w:beforeAutospacing="1" w:after="100" w:afterAutospacing="1"/>
        <w:rPr>
          <w:lang w:eastAsia="en-GB"/>
        </w:rPr>
      </w:pPr>
      <w:r w:rsidRPr="006A1EC7">
        <w:rPr>
          <w:sz w:val="16"/>
          <w:szCs w:val="16"/>
          <w:lang w:eastAsia="en-GB"/>
        </w:rPr>
        <w:t xml:space="preserve">If during the course of the project you need to </w:t>
      </w:r>
      <w:r w:rsidRPr="006A1EC7">
        <w:rPr>
          <w:color w:val="0000ED"/>
          <w:sz w:val="16"/>
          <w:szCs w:val="16"/>
          <w:lang w:eastAsia="en-GB"/>
        </w:rPr>
        <w:t>deviate significantly from the above-approved documentation</w:t>
      </w:r>
      <w:r w:rsidRPr="006A1EC7">
        <w:rPr>
          <w:sz w:val="16"/>
          <w:szCs w:val="16"/>
          <w:lang w:eastAsia="en-GB"/>
        </w:rPr>
        <w:t xml:space="preserve">please inform me since written approval will be required. </w:t>
      </w:r>
    </w:p>
    <w:p w14:paraId="5EBB42A0" w14:textId="77777777" w:rsidR="0087601C" w:rsidRPr="006A1EC7" w:rsidRDefault="0087601C" w:rsidP="0087601C">
      <w:pPr>
        <w:spacing w:before="100" w:beforeAutospacing="1" w:after="100" w:afterAutospacing="1"/>
        <w:rPr>
          <w:lang w:eastAsia="en-GB"/>
        </w:rPr>
      </w:pPr>
      <w:r w:rsidRPr="006A1EC7">
        <w:rPr>
          <w:sz w:val="16"/>
          <w:szCs w:val="16"/>
          <w:lang w:eastAsia="en-GB"/>
        </w:rPr>
        <w:t xml:space="preserve">Your responsibilities in delivering this research project are set out at the end of this letter. Yours sincerely </w:t>
      </w:r>
    </w:p>
    <w:p w14:paraId="4F9F37A4" w14:textId="187FB959" w:rsidR="0087601C" w:rsidRPr="006A1EC7" w:rsidRDefault="0087601C" w:rsidP="0087601C">
      <w:pPr>
        <w:spacing w:before="100" w:beforeAutospacing="1" w:after="100" w:afterAutospacing="1"/>
        <w:rPr>
          <w:lang w:eastAsia="en-GB"/>
        </w:rPr>
      </w:pPr>
      <w:r w:rsidRPr="006A1EC7">
        <w:rPr>
          <w:sz w:val="16"/>
          <w:szCs w:val="16"/>
          <w:lang w:eastAsia="en-GB"/>
        </w:rPr>
        <w:t xml:space="preserve">Paula Blackwell Ethics Administrator Medical School </w:t>
      </w:r>
    </w:p>
    <w:p w14:paraId="2A266B91" w14:textId="77777777" w:rsidR="0087601C" w:rsidRPr="006A1EC7" w:rsidRDefault="0087601C" w:rsidP="0087601C">
      <w:pPr>
        <w:spacing w:after="80"/>
      </w:pPr>
    </w:p>
    <w:p w14:paraId="1EF95D1D" w14:textId="77777777" w:rsidR="0087601C" w:rsidRPr="006A1EC7" w:rsidRDefault="0087601C" w:rsidP="0087601C">
      <w:pPr>
        <w:pStyle w:val="Heading3"/>
        <w:rPr>
          <w:rFonts w:ascii="Times New Roman" w:hAnsi="Times New Roman" w:cs="Times New Roman"/>
        </w:rPr>
      </w:pPr>
      <w:bookmarkStart w:id="299" w:name="_Toc17977979"/>
      <w:bookmarkStart w:id="300" w:name="_Toc38821483"/>
      <w:r w:rsidRPr="006A1EC7">
        <w:rPr>
          <w:rFonts w:ascii="Times New Roman" w:hAnsi="Times New Roman" w:cs="Times New Roman"/>
        </w:rPr>
        <w:t>A</w:t>
      </w:r>
      <w:r w:rsidRPr="006A1EC7">
        <w:rPr>
          <w:rStyle w:val="Heading3Char"/>
          <w:rFonts w:ascii="Times New Roman" w:hAnsi="Times New Roman" w:cs="Times New Roman"/>
        </w:rPr>
        <w:t>ppendix 6.4: Qualtrics survey with Information Sheet and Consent Form</w:t>
      </w:r>
      <w:bookmarkEnd w:id="299"/>
      <w:bookmarkEnd w:id="300"/>
    </w:p>
    <w:p w14:paraId="5F75E74B" w14:textId="166414D4" w:rsidR="0087601C" w:rsidRPr="006A1EC7" w:rsidRDefault="0087601C" w:rsidP="0087601C">
      <w:pPr>
        <w:pStyle w:val="H2"/>
        <w:rPr>
          <w:rFonts w:ascii="Times New Roman" w:hAnsi="Times New Roman" w:cs="Times New Roman"/>
        </w:rPr>
      </w:pPr>
      <w:r w:rsidRPr="006A1EC7">
        <w:rPr>
          <w:rFonts w:ascii="Times New Roman" w:hAnsi="Times New Roman" w:cs="Times New Roman"/>
        </w:rPr>
        <w:t>Wolf-Hirschhorn Syndrome: Expert study</w:t>
      </w:r>
    </w:p>
    <w:p w14:paraId="49370635" w14:textId="77777777" w:rsidR="0087601C" w:rsidRPr="006A1EC7" w:rsidRDefault="0087601C" w:rsidP="0087601C"/>
    <w:p w14:paraId="5EF5F08D" w14:textId="77777777" w:rsidR="0087601C" w:rsidRPr="006A1EC7" w:rsidRDefault="0087601C" w:rsidP="0087601C">
      <w:pPr>
        <w:pStyle w:val="BlockSeparator"/>
        <w:rPr>
          <w:rFonts w:ascii="Times New Roman" w:hAnsi="Times New Roman" w:cs="Times New Roman"/>
        </w:rPr>
      </w:pPr>
    </w:p>
    <w:p w14:paraId="1C1A2E23" w14:textId="77777777" w:rsidR="0087601C" w:rsidRPr="006A1EC7" w:rsidRDefault="0087601C" w:rsidP="0087601C">
      <w:pPr>
        <w:pStyle w:val="BlockStartLabel"/>
        <w:rPr>
          <w:rFonts w:ascii="Times New Roman" w:hAnsi="Times New Roman" w:cs="Times New Roman"/>
        </w:rPr>
      </w:pPr>
      <w:r w:rsidRPr="006A1EC7">
        <w:rPr>
          <w:rFonts w:ascii="Times New Roman" w:hAnsi="Times New Roman" w:cs="Times New Roman"/>
        </w:rPr>
        <w:t>Start of Block: Default Question Block</w:t>
      </w:r>
    </w:p>
    <w:p w14:paraId="3368B12F" w14:textId="77777777" w:rsidR="0087601C" w:rsidRPr="006A1EC7" w:rsidRDefault="0087601C" w:rsidP="0087601C"/>
    <w:p w14:paraId="526221F4" w14:textId="77777777" w:rsidR="0087601C" w:rsidRPr="006A1EC7" w:rsidRDefault="0087601C" w:rsidP="0087601C">
      <w:pPr>
        <w:keepNext/>
      </w:pPr>
      <w:r w:rsidRPr="006A1EC7">
        <w:t xml:space="preserve">Q1   </w:t>
      </w:r>
      <w:r w:rsidRPr="006A1EC7">
        <w:br/>
        <w:t xml:space="preserve"> </w:t>
      </w:r>
      <w:r w:rsidRPr="006A1EC7">
        <w:rPr>
          <w:u w:val="single"/>
        </w:rPr>
        <w:t>CLINICIAN PARTICIPANT INFORMATION SHEET: DEVELOPING A CLINICAL OUTCOME ASSESSMENT FOR WOLF-HIRSCHHORN SYNDROME</w:t>
      </w:r>
      <w:r w:rsidRPr="006A1EC7">
        <w:br/>
        <w:t xml:space="preserve">     </w:t>
      </w:r>
      <w:r w:rsidRPr="006A1EC7">
        <w:br/>
        <w:t xml:space="preserve"> We would like to invite you to take part in our research study.  Before you decide we would like you to understand why the research is being done and what it would involve. Ask us if there is anything that is not clear.</w:t>
      </w:r>
      <w:r w:rsidRPr="006A1EC7">
        <w:br/>
        <w:t xml:space="preserve"> </w:t>
      </w:r>
      <w:r w:rsidRPr="006A1EC7">
        <w:br/>
        <w:t xml:space="preserve"> If you have the link to this survey, you have been invited to participate in this study by one of the research team and you have been emailed the Information Sheet - this page contains all relevant information again, </w:t>
      </w:r>
      <w:r w:rsidRPr="006A1EC7">
        <w:rPr>
          <w:b/>
        </w:rPr>
        <w:t>and when you click "Yes, I agree to participate" at the bottom of this page, you agree to participate in the study. </w:t>
      </w:r>
      <w:r w:rsidRPr="006A1EC7">
        <w:rPr>
          <w:b/>
        </w:rPr>
        <w:br/>
        <w:t xml:space="preserve">  </w:t>
      </w:r>
      <w:r w:rsidRPr="006A1EC7">
        <w:br/>
        <w:t xml:space="preserve"> </w:t>
      </w:r>
      <w:r w:rsidRPr="006A1EC7">
        <w:rPr>
          <w:u w:val="single"/>
        </w:rPr>
        <w:t>1. What is the purpose of the study?</w:t>
      </w:r>
      <w:r w:rsidRPr="006A1EC7">
        <w:br/>
        <w:t xml:space="preserve"> This study aims to create a Clinical Outcome Assessment for Wolf-Hirschhorn syndrome.  This will help doctors to measure how severely affected someone is by Wolf-Hirschhorn syndrome.  </w:t>
      </w:r>
      <w:r w:rsidRPr="006A1EC7">
        <w:br/>
        <w:t xml:space="preserve"> </w:t>
      </w:r>
      <w:r w:rsidRPr="006A1EC7">
        <w:rPr>
          <w:u w:val="single"/>
        </w:rPr>
        <w:t>2. Why have we been invited?</w:t>
      </w:r>
      <w:r w:rsidRPr="006A1EC7">
        <w:br/>
        <w:t xml:space="preserve"> We are inviting you, as a clinician with expertise in the genetic disease we are creating a clinical outcome assessment for, to take part in a Delphi process. The aim of this is to identify the clinical features of which make the greatest contribution to its overall severity of the genetic disease. </w:t>
      </w:r>
      <w:r w:rsidRPr="006A1EC7">
        <w:br/>
        <w:t xml:space="preserve"> </w:t>
      </w:r>
      <w:r w:rsidRPr="006A1EC7">
        <w:rPr>
          <w:u w:val="single"/>
        </w:rPr>
        <w:t>3. Do we have to take part?</w:t>
      </w:r>
      <w:r w:rsidRPr="006A1EC7">
        <w:br/>
      </w:r>
      <w:r w:rsidRPr="006A1EC7">
        <w:lastRenderedPageBreak/>
        <w:t xml:space="preserve"> It is up to you to decide to join the study.   </w:t>
      </w:r>
      <w:r w:rsidRPr="006A1EC7">
        <w:br/>
        <w:t xml:space="preserve"> </w:t>
      </w:r>
      <w:r w:rsidRPr="006A1EC7">
        <w:rPr>
          <w:u w:val="single"/>
        </w:rPr>
        <w:t>4. What will happen if we agree take part?</w:t>
      </w:r>
      <w:r w:rsidRPr="006A1EC7">
        <w:br/>
        <w:t xml:space="preserve"> You will take part in an electronic Delphi process in order to reach an expert consensus on the rating scale. This will involve receiving an email and providing feedback for the rating scale via this survey link containing the QQ-10 questionnaire. The whole process may involve multiple emails, depending on the consensus and feedback collected. We estimate the whole process will take around 1-2 hours (spread out over several days).</w:t>
      </w:r>
      <w:r w:rsidRPr="006A1EC7">
        <w:br/>
        <w:t xml:space="preserve"> </w:t>
      </w:r>
      <w:r w:rsidRPr="006A1EC7">
        <w:rPr>
          <w:u w:val="single"/>
        </w:rPr>
        <w:t>5. Can I withdraw from the study if I wish?</w:t>
      </w:r>
      <w:r w:rsidRPr="006A1EC7">
        <w:br/>
        <w:t xml:space="preserve"> You can withdraw from the study at any point without giving a reason. We will then not use data obtained from you and destroy any data obtained from you. </w:t>
      </w:r>
      <w:r w:rsidRPr="006A1EC7">
        <w:br/>
        <w:t xml:space="preserve"> </w:t>
      </w:r>
      <w:r w:rsidRPr="006A1EC7">
        <w:rPr>
          <w:u w:val="single"/>
        </w:rPr>
        <w:t>6. What are the possible disadvantages and risks of taking part?</w:t>
      </w:r>
      <w:r w:rsidRPr="006A1EC7">
        <w:br/>
        <w:t xml:space="preserve"> There is no realistic prospect of physical harm from taking part in this study. </w:t>
      </w:r>
      <w:r w:rsidRPr="006A1EC7">
        <w:br/>
        <w:t xml:space="preserve"> </w:t>
      </w:r>
      <w:r w:rsidRPr="006A1EC7">
        <w:rPr>
          <w:u w:val="single"/>
        </w:rPr>
        <w:t>7. What are the possible benefits of taking part?</w:t>
      </w:r>
      <w:r w:rsidRPr="006A1EC7">
        <w:br/>
        <w:t xml:space="preserve"> The information we get from this study will help improve the treatment of people with Wolf-Hirschhorn syndrome and other genetic diseases. </w:t>
      </w:r>
      <w:r w:rsidRPr="006A1EC7">
        <w:br/>
        <w:t xml:space="preserve"> </w:t>
      </w:r>
      <w:r w:rsidRPr="006A1EC7">
        <w:br/>
        <w:t xml:space="preserve"> </w:t>
      </w:r>
      <w:r w:rsidRPr="006A1EC7">
        <w:rPr>
          <w:u w:val="single"/>
        </w:rPr>
        <w:t>8.  What happens when the research study stops?</w:t>
      </w:r>
      <w:r w:rsidRPr="006A1EC7">
        <w:br/>
        <w:t xml:space="preserve"> We will collect all the information together and we will decide if it is useful in telling us if doctors can manage Wolf-Hirschhorn syndrome, and other genetic diseases, better in the future.</w:t>
      </w:r>
      <w:r w:rsidRPr="006A1EC7">
        <w:br/>
        <w:t xml:space="preserve">  </w:t>
      </w:r>
      <w:r w:rsidRPr="006A1EC7">
        <w:br/>
        <w:t xml:space="preserve"> </w:t>
      </w:r>
      <w:r w:rsidRPr="006A1EC7">
        <w:rPr>
          <w:u w:val="single"/>
        </w:rPr>
        <w:t>9.  What if there is a problem?</w:t>
      </w:r>
      <w:r w:rsidRPr="006A1EC7">
        <w:br/>
        <w:t xml:space="preserve"> Complaints; If you have a concern about any aspect of this study, you should ask to speak to the researchers who will do their best to answer your questions.</w:t>
      </w:r>
      <w:r w:rsidRPr="006A1EC7">
        <w:br/>
      </w:r>
      <w:r w:rsidRPr="006A1EC7">
        <w:br/>
        <w:t xml:space="preserve"> Alisdair McNeill (Consultant in Clinical Genetics); Hospital/Department: Sheffield Clinical Genetics Service, OPD2, Northern General Hospital; Tel: 0114 243 4343</w:t>
      </w:r>
      <w:r w:rsidRPr="006A1EC7">
        <w:br/>
        <w:t xml:space="preserve"> If you remain unhappy and wish to complain formally, you can do this by contacting:</w:t>
      </w:r>
      <w:r w:rsidRPr="006A1EC7">
        <w:br/>
        <w:t xml:space="preserve"> Mrs Linda Towers</w:t>
      </w:r>
      <w:r w:rsidRPr="006A1EC7">
        <w:br/>
        <w:t xml:space="preserve"> Patient Advice &amp; Liaison Co-ordinator</w:t>
      </w:r>
      <w:r w:rsidRPr="006A1EC7">
        <w:br/>
        <w:t xml:space="preserve"> Sheffield Children’s NHS Foundation Trust</w:t>
      </w:r>
      <w:r w:rsidRPr="006A1EC7">
        <w:br/>
        <w:t xml:space="preserve"> Tel: 0114 271 7594</w:t>
      </w:r>
      <w:r w:rsidRPr="006A1EC7">
        <w:br/>
        <w:t xml:space="preserve"> </w:t>
      </w:r>
      <w:r w:rsidRPr="006A1EC7">
        <w:rPr>
          <w:i/>
        </w:rPr>
        <w:t>Harm: In the event that something does go wrong and you are harmed during the research and this is due to someone’s negligence then you may have grounds for a legal action for compensation, but you may have to pay your legal costs. The normal NHS complaints mechanisms will still be available to you.</w:t>
      </w:r>
      <w:r w:rsidRPr="006A1EC7">
        <w:br/>
        <w:t xml:space="preserve"> 10.  </w:t>
      </w:r>
      <w:r w:rsidRPr="006A1EC7">
        <w:rPr>
          <w:u w:val="single"/>
        </w:rPr>
        <w:t>Will my taking part in this study be kept confidential?</w:t>
      </w:r>
      <w:r w:rsidRPr="006A1EC7">
        <w:br/>
        <w:t xml:space="preserve"> </w:t>
      </w:r>
      <w:r w:rsidRPr="006A1EC7">
        <w:rPr>
          <w:b/>
        </w:rPr>
        <w:t>We will name you as an author on any publications arising from this project, unless you ask us not to. </w:t>
      </w:r>
      <w:r w:rsidRPr="006A1EC7">
        <w:br/>
        <w:t xml:space="preserve"> Our procedures for handling, processing, storage and destruction of data are compliant with the Data Protection Act 1998.</w:t>
      </w:r>
      <w:r w:rsidRPr="006A1EC7">
        <w:br/>
        <w:t xml:space="preserve"> Clinical and demographic data, audio recordings and any completed questionnaires will be anonymised. They will be kept securely for 5 years and then destroyed.  </w:t>
      </w:r>
      <w:r w:rsidRPr="006A1EC7">
        <w:br/>
        <w:t xml:space="preserve"> </w:t>
      </w:r>
      <w:r w:rsidRPr="006A1EC7">
        <w:rPr>
          <w:u w:val="single"/>
        </w:rPr>
        <w:br/>
        <w:t>11. Will any genetic tests be done?</w:t>
      </w:r>
      <w:r w:rsidRPr="006A1EC7">
        <w:br/>
        <w:t xml:space="preserve"> No. </w:t>
      </w:r>
      <w:r w:rsidRPr="006A1EC7">
        <w:br/>
        <w:t xml:space="preserve"> </w:t>
      </w:r>
      <w:r w:rsidRPr="006A1EC7">
        <w:rPr>
          <w:u w:val="single"/>
        </w:rPr>
        <w:t>12. What will happen to the results of the research study?</w:t>
      </w:r>
      <w:r w:rsidRPr="006A1EC7">
        <w:br/>
        <w:t xml:space="preserve"> When the study has finished we will present our findings to other researchers, and we will put the results in medical magazines and websites that researchers read.  We would also like to put a brief summary on the hospital research website so that you will be able </w:t>
      </w:r>
      <w:r w:rsidRPr="006A1EC7">
        <w:lastRenderedPageBreak/>
        <w:t>to read about our results too.  This will be available at the end of the study, in 2020 on www.sheffieldchildrens.nhs.uk/research-and-innovation.htm.  The results will also be included as part of the investigator’s educational qualification (a PhD for a member of the research team).  They will be anonymous, which means participants will not be able to be identified from them.</w:t>
      </w:r>
      <w:r w:rsidRPr="006A1EC7">
        <w:br/>
        <w:t xml:space="preserve"> </w:t>
      </w:r>
      <w:r w:rsidRPr="006A1EC7">
        <w:rPr>
          <w:u w:val="single"/>
        </w:rPr>
        <w:br/>
        <w:t>13. Who is organising and funding the research?</w:t>
      </w:r>
      <w:r w:rsidRPr="006A1EC7">
        <w:br/>
        <w:t xml:space="preserve"> The research is being organised by Sheffield Children’s NHS Foundation Trust and paid for by the Sir Halley-Stewart Trust (a medical research charity which chose to support this project financially because they believed it to be important).</w:t>
      </w:r>
      <w:r w:rsidRPr="006A1EC7">
        <w:br/>
        <w:t xml:space="preserve"> </w:t>
      </w:r>
      <w:r w:rsidRPr="006A1EC7">
        <w:rPr>
          <w:u w:val="single"/>
        </w:rPr>
        <w:br/>
        <w:t>14.Who has reviewed the study?</w:t>
      </w:r>
      <w:r w:rsidRPr="006A1EC7">
        <w:br/>
        <w:t xml:space="preserve"> All research in the NHS is looked at by an independent group of people, called a Research Ethics Committee, to protect your interests. This study has been reviewed and given a favourable opinion by &lt;name of&gt;Research Ethics Committee.</w:t>
      </w:r>
      <w:r w:rsidRPr="006A1EC7">
        <w:br/>
        <w:t xml:space="preserve"> It has also been given approval by the Research Department to run at this hospital.</w:t>
      </w:r>
      <w:r w:rsidRPr="006A1EC7">
        <w:br/>
        <w:t xml:space="preserve"> </w:t>
      </w:r>
      <w:r w:rsidRPr="006A1EC7">
        <w:rPr>
          <w:u w:val="single"/>
        </w:rPr>
        <w:br/>
        <w:t>15. How can I find out more?</w:t>
      </w:r>
      <w:r w:rsidRPr="006A1EC7">
        <w:br/>
        <w:t xml:space="preserve"> If you would like to find know more about research in general, the Clinical Research Facility at this hospital has an Information for families section on its website www.sheffieldchildrens.nhs.uk/research-and-innovation.htmor you could contact the hospital Clinical Research Facility:</w:t>
      </w:r>
      <w:r w:rsidRPr="006A1EC7">
        <w:br/>
        <w:t xml:space="preserve"> </w:t>
      </w:r>
      <w:r w:rsidRPr="006A1EC7">
        <w:rPr>
          <w:i/>
        </w:rPr>
        <w:t>Ms Wendy Swann</w:t>
      </w:r>
      <w:r w:rsidRPr="006A1EC7">
        <w:br/>
        <w:t xml:space="preserve"> </w:t>
      </w:r>
      <w:r w:rsidRPr="006A1EC7">
        <w:rPr>
          <w:i/>
        </w:rPr>
        <w:t>R&amp;D Manager</w:t>
      </w:r>
      <w:r w:rsidRPr="006A1EC7">
        <w:br/>
        <w:t xml:space="preserve"> </w:t>
      </w:r>
      <w:r w:rsidRPr="006A1EC7">
        <w:rPr>
          <w:i/>
        </w:rPr>
        <w:t>Sheffield Children’s NHS Foundation Trust</w:t>
      </w:r>
      <w:r w:rsidRPr="006A1EC7">
        <w:br/>
        <w:t xml:space="preserve"> </w:t>
      </w:r>
      <w:r w:rsidRPr="006A1EC7">
        <w:rPr>
          <w:i/>
        </w:rPr>
        <w:t>Tel: 0114 3053478</w:t>
      </w:r>
      <w:r w:rsidRPr="006A1EC7">
        <w:br/>
        <w:t xml:space="preserve">  </w:t>
      </w:r>
      <w:r w:rsidRPr="006A1EC7">
        <w:br/>
        <w:t xml:space="preserve"> If you would like to know more specific information about this research project, please contact the project co-ordinator: Alisdair McNeill (Consultant in Clinical Genetics ), Hospital/Department: Sheffield Clinical Genetics service, OPD2 Northern general hospital  </w:t>
      </w:r>
      <w:r w:rsidRPr="006A1EC7">
        <w:br/>
        <w:t xml:space="preserve"> Tel: 0114 243 4343, ask for clinical genetics and then please leave your name and number with the secretary.</w:t>
      </w:r>
      <w:r w:rsidRPr="006A1EC7">
        <w:br/>
        <w:t xml:space="preserve"> If you have any concerns during the study, you should contact the project team.  </w:t>
      </w:r>
      <w:r w:rsidRPr="006A1EC7">
        <w:br/>
        <w:t xml:space="preserve"> If you decide to take part in this study, you will be given this information sheet and signed consent forms to keep.</w:t>
      </w:r>
      <w:r w:rsidRPr="006A1EC7">
        <w:br/>
        <w:t xml:space="preserve">  </w:t>
      </w:r>
      <w:r w:rsidRPr="006A1EC7">
        <w:br/>
        <w:t xml:space="preserve"> Thank you for taking the time to read this information sheet.</w:t>
      </w:r>
      <w:r w:rsidRPr="006A1EC7">
        <w:br/>
      </w:r>
      <w:r w:rsidRPr="006A1EC7">
        <w:rPr>
          <w:i/>
        </w:rPr>
        <w:t xml:space="preserve">  </w:t>
      </w:r>
      <w:r w:rsidRPr="006A1EC7">
        <w:rPr>
          <w:i/>
        </w:rPr>
        <w:br/>
        <w:t xml:space="preserve"> </w:t>
      </w:r>
    </w:p>
    <w:p w14:paraId="19BD6B3B" w14:textId="77777777" w:rsidR="0087601C" w:rsidRPr="006A1EC7" w:rsidRDefault="0087601C" w:rsidP="0087601C"/>
    <w:p w14:paraId="12C764E4" w14:textId="77777777" w:rsidR="0087601C" w:rsidRPr="006A1EC7" w:rsidRDefault="0087601C" w:rsidP="0087601C">
      <w:pPr>
        <w:pStyle w:val="QuestionSeparator"/>
        <w:rPr>
          <w:rFonts w:ascii="Times New Roman" w:hAnsi="Times New Roman" w:cs="Times New Roman"/>
        </w:rPr>
      </w:pPr>
    </w:p>
    <w:p w14:paraId="067649FC" w14:textId="77777777" w:rsidR="0087601C" w:rsidRPr="006A1EC7" w:rsidRDefault="0087601C" w:rsidP="0087601C"/>
    <w:p w14:paraId="03010325" w14:textId="77777777" w:rsidR="0087601C" w:rsidRPr="006A1EC7" w:rsidRDefault="0087601C" w:rsidP="0087601C">
      <w:pPr>
        <w:keepNext/>
      </w:pPr>
      <w:r w:rsidRPr="006A1EC7">
        <w:t>Q13 Do you agree to take part?</w:t>
      </w:r>
    </w:p>
    <w:p w14:paraId="58E25790" w14:textId="77777777" w:rsidR="0087601C" w:rsidRPr="006A1EC7" w:rsidRDefault="0087601C" w:rsidP="0087601C">
      <w:pPr>
        <w:pStyle w:val="ListParagraph"/>
        <w:keepNext/>
        <w:numPr>
          <w:ilvl w:val="0"/>
          <w:numId w:val="14"/>
        </w:numPr>
        <w:contextualSpacing w:val="0"/>
        <w:rPr>
          <w:rFonts w:ascii="Times New Roman" w:hAnsi="Times New Roman" w:cs="Times New Roman"/>
        </w:rPr>
      </w:pPr>
      <w:r w:rsidRPr="006A1EC7">
        <w:rPr>
          <w:rFonts w:ascii="Times New Roman" w:hAnsi="Times New Roman" w:cs="Times New Roman"/>
        </w:rPr>
        <w:t xml:space="preserve">Yes  (1) </w:t>
      </w:r>
    </w:p>
    <w:p w14:paraId="7E462732" w14:textId="77777777" w:rsidR="0087601C" w:rsidRPr="006A1EC7" w:rsidRDefault="0087601C" w:rsidP="0087601C">
      <w:pPr>
        <w:pStyle w:val="ListParagraph"/>
        <w:keepNext/>
        <w:numPr>
          <w:ilvl w:val="0"/>
          <w:numId w:val="14"/>
        </w:numPr>
        <w:contextualSpacing w:val="0"/>
        <w:rPr>
          <w:rFonts w:ascii="Times New Roman" w:hAnsi="Times New Roman" w:cs="Times New Roman"/>
        </w:rPr>
      </w:pPr>
      <w:r w:rsidRPr="006A1EC7">
        <w:rPr>
          <w:rFonts w:ascii="Times New Roman" w:hAnsi="Times New Roman" w:cs="Times New Roman"/>
        </w:rPr>
        <w:t xml:space="preserve">No  (2) </w:t>
      </w:r>
    </w:p>
    <w:p w14:paraId="645AB1FB" w14:textId="77777777" w:rsidR="0087601C" w:rsidRPr="006A1EC7" w:rsidRDefault="0087601C" w:rsidP="0087601C"/>
    <w:p w14:paraId="066ADE1A" w14:textId="77777777" w:rsidR="0087601C" w:rsidRPr="006A1EC7" w:rsidRDefault="0087601C" w:rsidP="0087601C">
      <w:pPr>
        <w:pStyle w:val="QSkipLogic"/>
        <w:rPr>
          <w:rFonts w:ascii="Times New Roman" w:hAnsi="Times New Roman" w:cs="Times New Roman"/>
        </w:rPr>
      </w:pPr>
      <w:r w:rsidRPr="006A1EC7">
        <w:rPr>
          <w:rFonts w:ascii="Times New Roman" w:hAnsi="Times New Roman" w:cs="Times New Roman"/>
        </w:rPr>
        <w:lastRenderedPageBreak/>
        <w:t>Skip To: Q3 If Do you agree to take part? = Yes</w:t>
      </w:r>
    </w:p>
    <w:p w14:paraId="4CD73ED8" w14:textId="77777777" w:rsidR="0087601C" w:rsidRPr="006A1EC7" w:rsidRDefault="0087601C" w:rsidP="0087601C">
      <w:pPr>
        <w:pStyle w:val="QSkipLogic"/>
        <w:rPr>
          <w:rFonts w:ascii="Times New Roman" w:hAnsi="Times New Roman" w:cs="Times New Roman"/>
        </w:rPr>
      </w:pPr>
      <w:r w:rsidRPr="006A1EC7">
        <w:rPr>
          <w:rFonts w:ascii="Times New Roman" w:hAnsi="Times New Roman" w:cs="Times New Roman"/>
        </w:rPr>
        <w:t>Skip To: End of Survey If Do you agree to take part? = No</w:t>
      </w:r>
    </w:p>
    <w:p w14:paraId="7892D588" w14:textId="77777777" w:rsidR="0087601C" w:rsidRPr="006A1EC7" w:rsidRDefault="0087601C" w:rsidP="0087601C">
      <w:pPr>
        <w:pStyle w:val="QuestionSeparator"/>
        <w:rPr>
          <w:rFonts w:ascii="Times New Roman" w:hAnsi="Times New Roman" w:cs="Times New Roman"/>
        </w:rPr>
      </w:pPr>
    </w:p>
    <w:tbl>
      <w:tblPr>
        <w:tblW w:w="0" w:type="auto"/>
        <w:tblInd w:w="10" w:type="dxa"/>
        <w:tblCellMar>
          <w:left w:w="10" w:type="dxa"/>
          <w:right w:w="10" w:type="dxa"/>
        </w:tblCellMar>
        <w:tblLook w:val="0000" w:firstRow="0" w:lastRow="0" w:firstColumn="0" w:lastColumn="0" w:noHBand="0" w:noVBand="0"/>
      </w:tblPr>
      <w:tblGrid>
        <w:gridCol w:w="1274"/>
        <w:gridCol w:w="7214"/>
      </w:tblGrid>
      <w:tr w:rsidR="0087601C" w:rsidRPr="006A1EC7" w14:paraId="633ECA00" w14:textId="77777777" w:rsidTr="00D56051">
        <w:trPr>
          <w:trHeight w:val="300"/>
        </w:trPr>
        <w:tc>
          <w:tcPr>
            <w:tcW w:w="1368" w:type="dxa"/>
            <w:tcBorders>
              <w:top w:val="nil"/>
              <w:left w:val="nil"/>
              <w:bottom w:val="nil"/>
              <w:right w:val="nil"/>
            </w:tcBorders>
          </w:tcPr>
          <w:p w14:paraId="3416C648" w14:textId="77777777" w:rsidR="0087601C" w:rsidRPr="006A1EC7" w:rsidRDefault="0087601C" w:rsidP="00D56051">
            <w:pPr>
              <w:rPr>
                <w:color w:val="CCCCCC"/>
              </w:rPr>
            </w:pPr>
            <w:r w:rsidRPr="006A1EC7">
              <w:rPr>
                <w:color w:val="CCCCCC"/>
              </w:rPr>
              <w:t>Page Break</w:t>
            </w:r>
          </w:p>
        </w:tc>
        <w:tc>
          <w:tcPr>
            <w:tcW w:w="8208" w:type="dxa"/>
            <w:tcBorders>
              <w:top w:val="nil"/>
              <w:left w:val="nil"/>
              <w:bottom w:val="nil"/>
              <w:right w:val="nil"/>
            </w:tcBorders>
          </w:tcPr>
          <w:p w14:paraId="68C18601" w14:textId="77777777" w:rsidR="0087601C" w:rsidRPr="006A1EC7" w:rsidRDefault="0087601C" w:rsidP="00D56051">
            <w:pPr>
              <w:pBdr>
                <w:top w:val="single" w:sz="8" w:space="0" w:color="CCCCCC"/>
              </w:pBdr>
              <w:spacing w:before="120" w:after="120" w:line="120" w:lineRule="auto"/>
              <w:jc w:val="center"/>
              <w:rPr>
                <w:color w:val="CCCCCC"/>
              </w:rPr>
            </w:pPr>
          </w:p>
        </w:tc>
      </w:tr>
    </w:tbl>
    <w:p w14:paraId="7AD84294" w14:textId="77777777" w:rsidR="0087601C" w:rsidRPr="006A1EC7" w:rsidRDefault="0087601C" w:rsidP="0087601C"/>
    <w:p w14:paraId="557F2D23" w14:textId="77777777" w:rsidR="0087601C" w:rsidRPr="006A1EC7" w:rsidRDefault="0087601C" w:rsidP="0087601C">
      <w:pPr>
        <w:keepNext/>
      </w:pPr>
      <w:r w:rsidRPr="006A1EC7">
        <w:t>Q3 What is your name? (Please note, unless you tell us otherwise, you will be a named author on any of the publications arising from this project - if you do not want to be a named author, please indicate this).  </w:t>
      </w:r>
    </w:p>
    <w:p w14:paraId="0AF37DD8" w14:textId="77777777" w:rsidR="0087601C" w:rsidRPr="006A1EC7" w:rsidRDefault="0087601C" w:rsidP="0087601C">
      <w:pPr>
        <w:pStyle w:val="TextEntryLine"/>
        <w:ind w:firstLine="400"/>
        <w:rPr>
          <w:rFonts w:ascii="Times New Roman" w:hAnsi="Times New Roman" w:cs="Times New Roman"/>
        </w:rPr>
      </w:pPr>
      <w:r w:rsidRPr="006A1EC7">
        <w:rPr>
          <w:rFonts w:ascii="Times New Roman" w:hAnsi="Times New Roman" w:cs="Times New Roman"/>
        </w:rPr>
        <w:t>________________________________________________________________</w:t>
      </w:r>
    </w:p>
    <w:p w14:paraId="3A2F910D" w14:textId="77777777" w:rsidR="0087601C" w:rsidRPr="006A1EC7" w:rsidRDefault="0087601C" w:rsidP="0087601C"/>
    <w:p w14:paraId="4DDC616F" w14:textId="77777777" w:rsidR="0087601C" w:rsidRPr="006A1EC7" w:rsidRDefault="0087601C" w:rsidP="0087601C">
      <w:pPr>
        <w:pStyle w:val="QuestionSeparator"/>
        <w:rPr>
          <w:rFonts w:ascii="Times New Roman" w:hAnsi="Times New Roman" w:cs="Times New Roman"/>
        </w:rPr>
      </w:pPr>
    </w:p>
    <w:p w14:paraId="1A92C4A1" w14:textId="77777777" w:rsidR="0087601C" w:rsidRPr="006A1EC7" w:rsidRDefault="0087601C" w:rsidP="0087601C"/>
    <w:p w14:paraId="0B8E1E25" w14:textId="77777777" w:rsidR="0087601C" w:rsidRPr="006A1EC7" w:rsidRDefault="0087601C" w:rsidP="0087601C">
      <w:pPr>
        <w:keepNext/>
      </w:pPr>
      <w:r w:rsidRPr="006A1EC7">
        <w:t>Q4 What is your job title?</w:t>
      </w:r>
    </w:p>
    <w:p w14:paraId="66273A1F" w14:textId="77777777" w:rsidR="0087601C" w:rsidRPr="006A1EC7" w:rsidRDefault="0087601C" w:rsidP="0087601C">
      <w:pPr>
        <w:pStyle w:val="TextEntryLine"/>
        <w:ind w:firstLine="400"/>
        <w:rPr>
          <w:rFonts w:ascii="Times New Roman" w:hAnsi="Times New Roman" w:cs="Times New Roman"/>
        </w:rPr>
      </w:pPr>
      <w:r w:rsidRPr="006A1EC7">
        <w:rPr>
          <w:rFonts w:ascii="Times New Roman" w:hAnsi="Times New Roman" w:cs="Times New Roman"/>
        </w:rPr>
        <w:t>________________________________________________________________</w:t>
      </w:r>
    </w:p>
    <w:p w14:paraId="09ED9873" w14:textId="77777777" w:rsidR="0087601C" w:rsidRPr="006A1EC7" w:rsidRDefault="0087601C" w:rsidP="0087601C"/>
    <w:p w14:paraId="7AFE1771" w14:textId="77777777" w:rsidR="0087601C" w:rsidRPr="006A1EC7" w:rsidRDefault="0087601C" w:rsidP="0087601C">
      <w:pPr>
        <w:pStyle w:val="QuestionSeparator"/>
        <w:rPr>
          <w:rFonts w:ascii="Times New Roman" w:hAnsi="Times New Roman" w:cs="Times New Roman"/>
        </w:rPr>
      </w:pPr>
    </w:p>
    <w:p w14:paraId="00D63594" w14:textId="77777777" w:rsidR="0087601C" w:rsidRPr="006A1EC7" w:rsidRDefault="0087601C" w:rsidP="0087601C"/>
    <w:p w14:paraId="34D2150E" w14:textId="77777777" w:rsidR="0087601C" w:rsidRPr="006A1EC7" w:rsidRDefault="0087601C" w:rsidP="0087601C">
      <w:pPr>
        <w:keepNext/>
      </w:pPr>
      <w:r w:rsidRPr="006A1EC7">
        <w:t>Q5 Which country do you practice in? </w:t>
      </w:r>
    </w:p>
    <w:p w14:paraId="7A7E8CF4" w14:textId="77777777" w:rsidR="0087601C" w:rsidRPr="006A1EC7" w:rsidRDefault="0087601C" w:rsidP="0087601C">
      <w:pPr>
        <w:pStyle w:val="TextEntryLine"/>
        <w:ind w:firstLine="400"/>
        <w:rPr>
          <w:rFonts w:ascii="Times New Roman" w:hAnsi="Times New Roman" w:cs="Times New Roman"/>
        </w:rPr>
      </w:pPr>
      <w:r w:rsidRPr="006A1EC7">
        <w:rPr>
          <w:rFonts w:ascii="Times New Roman" w:hAnsi="Times New Roman" w:cs="Times New Roman"/>
        </w:rPr>
        <w:t>________________________________________________________________</w:t>
      </w:r>
    </w:p>
    <w:p w14:paraId="63F2744C" w14:textId="77777777" w:rsidR="0087601C" w:rsidRPr="006A1EC7" w:rsidRDefault="0087601C" w:rsidP="0087601C"/>
    <w:p w14:paraId="67646F62" w14:textId="77777777" w:rsidR="0087601C" w:rsidRPr="006A1EC7" w:rsidRDefault="0087601C" w:rsidP="0087601C">
      <w:pPr>
        <w:pStyle w:val="QuestionSeparator"/>
        <w:rPr>
          <w:rFonts w:ascii="Times New Roman" w:hAnsi="Times New Roman" w:cs="Times New Roman"/>
        </w:rPr>
      </w:pPr>
    </w:p>
    <w:tbl>
      <w:tblPr>
        <w:tblW w:w="0" w:type="auto"/>
        <w:tblInd w:w="10" w:type="dxa"/>
        <w:tblCellMar>
          <w:left w:w="10" w:type="dxa"/>
          <w:right w:w="10" w:type="dxa"/>
        </w:tblCellMar>
        <w:tblLook w:val="0000" w:firstRow="0" w:lastRow="0" w:firstColumn="0" w:lastColumn="0" w:noHBand="0" w:noVBand="0"/>
      </w:tblPr>
      <w:tblGrid>
        <w:gridCol w:w="1274"/>
        <w:gridCol w:w="7214"/>
      </w:tblGrid>
      <w:tr w:rsidR="0087601C" w:rsidRPr="006A1EC7" w14:paraId="6280408F" w14:textId="77777777" w:rsidTr="00D56051">
        <w:trPr>
          <w:trHeight w:val="300"/>
        </w:trPr>
        <w:tc>
          <w:tcPr>
            <w:tcW w:w="1368" w:type="dxa"/>
            <w:tcBorders>
              <w:top w:val="nil"/>
              <w:left w:val="nil"/>
              <w:bottom w:val="nil"/>
              <w:right w:val="nil"/>
            </w:tcBorders>
          </w:tcPr>
          <w:p w14:paraId="1311F266" w14:textId="77777777" w:rsidR="0087601C" w:rsidRPr="006A1EC7" w:rsidRDefault="0087601C" w:rsidP="00D56051">
            <w:pPr>
              <w:rPr>
                <w:color w:val="CCCCCC"/>
              </w:rPr>
            </w:pPr>
            <w:r w:rsidRPr="006A1EC7">
              <w:rPr>
                <w:color w:val="CCCCCC"/>
              </w:rPr>
              <w:t>Page Break</w:t>
            </w:r>
          </w:p>
        </w:tc>
        <w:tc>
          <w:tcPr>
            <w:tcW w:w="8208" w:type="dxa"/>
            <w:tcBorders>
              <w:top w:val="nil"/>
              <w:left w:val="nil"/>
              <w:bottom w:val="nil"/>
              <w:right w:val="nil"/>
            </w:tcBorders>
          </w:tcPr>
          <w:p w14:paraId="328CE6D5" w14:textId="77777777" w:rsidR="0087601C" w:rsidRPr="006A1EC7" w:rsidRDefault="0087601C" w:rsidP="00D56051">
            <w:pPr>
              <w:pBdr>
                <w:top w:val="single" w:sz="8" w:space="0" w:color="CCCCCC"/>
              </w:pBdr>
              <w:spacing w:before="120" w:after="120" w:line="120" w:lineRule="auto"/>
              <w:jc w:val="center"/>
              <w:rPr>
                <w:color w:val="CCCCCC"/>
              </w:rPr>
            </w:pPr>
          </w:p>
        </w:tc>
      </w:tr>
    </w:tbl>
    <w:p w14:paraId="6D399D37" w14:textId="77777777" w:rsidR="0087601C" w:rsidRPr="006A1EC7" w:rsidRDefault="0087601C" w:rsidP="0087601C">
      <w:r w:rsidRPr="006A1EC7">
        <w:br w:type="page"/>
      </w:r>
    </w:p>
    <w:p w14:paraId="56513D11" w14:textId="77777777" w:rsidR="0087601C" w:rsidRPr="006A1EC7" w:rsidRDefault="0087601C" w:rsidP="0087601C"/>
    <w:p w14:paraId="05A09935" w14:textId="77777777" w:rsidR="0087601C" w:rsidRPr="006A1EC7" w:rsidRDefault="0087601C" w:rsidP="0087601C">
      <w:pPr>
        <w:keepNext/>
      </w:pPr>
      <w:r w:rsidRPr="006A1EC7">
        <w:t>Q6 The QI-10 questionnaire:</w:t>
      </w:r>
      <w:r w:rsidRPr="006A1EC7">
        <w:br/>
      </w:r>
      <w:r w:rsidRPr="006A1EC7">
        <w:br/>
      </w:r>
      <w:r w:rsidRPr="006A1EC7">
        <w:br/>
        <w:t>This questionnaire is used to collect your feedback on the Clinical Outcome Assessment, it utilises a mix of numerical and free-text answers.</w:t>
      </w:r>
    </w:p>
    <w:p w14:paraId="7D224C89" w14:textId="77777777" w:rsidR="0087601C" w:rsidRPr="006A1EC7" w:rsidRDefault="0087601C" w:rsidP="0087601C"/>
    <w:p w14:paraId="27DF0C25" w14:textId="77777777" w:rsidR="0087601C" w:rsidRPr="006A1EC7" w:rsidRDefault="0087601C" w:rsidP="0087601C">
      <w:pPr>
        <w:pStyle w:val="QuestionSeparator"/>
        <w:rPr>
          <w:rFonts w:ascii="Times New Roman" w:hAnsi="Times New Roman" w:cs="Times New Roman"/>
        </w:rPr>
      </w:pPr>
    </w:p>
    <w:p w14:paraId="32E1C255" w14:textId="77777777" w:rsidR="0087601C" w:rsidRPr="006A1EC7" w:rsidRDefault="0087601C" w:rsidP="0087601C">
      <w:pPr>
        <w:keepNext/>
        <w:rPr>
          <w:b/>
        </w:rPr>
      </w:pPr>
      <w:r w:rsidRPr="006A1EC7">
        <w:t xml:space="preserve">Q7 </w:t>
      </w:r>
      <w:r w:rsidRPr="006A1EC7">
        <w:rPr>
          <w:b/>
        </w:rPr>
        <w:t> Please choose the answers below for each of the following 10 statements that best fit your opinion about the instrument. </w:t>
      </w:r>
    </w:p>
    <w:p w14:paraId="19E8F705" w14:textId="77777777" w:rsidR="0087601C" w:rsidRPr="006A1EC7" w:rsidRDefault="0087601C" w:rsidP="0087601C"/>
    <w:tbl>
      <w:tblPr>
        <w:tblStyle w:val="QQuestionTable"/>
        <w:tblW w:w="9576" w:type="auto"/>
        <w:tblLook w:val="07E0" w:firstRow="1" w:lastRow="1" w:firstColumn="1" w:lastColumn="1" w:noHBand="1" w:noVBand="1"/>
      </w:tblPr>
      <w:tblGrid>
        <w:gridCol w:w="1599"/>
        <w:gridCol w:w="1387"/>
        <w:gridCol w:w="1341"/>
        <w:gridCol w:w="1379"/>
        <w:gridCol w:w="1396"/>
        <w:gridCol w:w="1396"/>
      </w:tblGrid>
      <w:tr w:rsidR="0087601C" w:rsidRPr="006A1EC7" w14:paraId="2836A3E0" w14:textId="77777777" w:rsidTr="00D56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95940E1" w14:textId="77777777" w:rsidR="0087601C" w:rsidRPr="006A1EC7" w:rsidRDefault="0087601C" w:rsidP="00D56051">
            <w:pPr>
              <w:keepNext/>
            </w:pPr>
          </w:p>
        </w:tc>
        <w:tc>
          <w:tcPr>
            <w:tcW w:w="1596" w:type="dxa"/>
          </w:tcPr>
          <w:p w14:paraId="101AA4D9" w14:textId="77777777" w:rsidR="0087601C" w:rsidRPr="006A1EC7" w:rsidRDefault="0087601C" w:rsidP="00D56051">
            <w:pPr>
              <w:cnfStyle w:val="100000000000" w:firstRow="1" w:lastRow="0" w:firstColumn="0" w:lastColumn="0" w:oddVBand="0" w:evenVBand="0" w:oddHBand="0" w:evenHBand="0" w:firstRowFirstColumn="0" w:firstRowLastColumn="0" w:lastRowFirstColumn="0" w:lastRowLastColumn="0"/>
            </w:pPr>
            <w:r w:rsidRPr="006A1EC7">
              <w:t>Strongly Agree (1)</w:t>
            </w:r>
          </w:p>
        </w:tc>
        <w:tc>
          <w:tcPr>
            <w:tcW w:w="1596" w:type="dxa"/>
          </w:tcPr>
          <w:p w14:paraId="6932D9A5" w14:textId="77777777" w:rsidR="0087601C" w:rsidRPr="006A1EC7" w:rsidRDefault="0087601C" w:rsidP="00D56051">
            <w:pPr>
              <w:cnfStyle w:val="100000000000" w:firstRow="1" w:lastRow="0" w:firstColumn="0" w:lastColumn="0" w:oddVBand="0" w:evenVBand="0" w:oddHBand="0" w:evenHBand="0" w:firstRowFirstColumn="0" w:firstRowLastColumn="0" w:lastRowFirstColumn="0" w:lastRowLastColumn="0"/>
            </w:pPr>
            <w:r w:rsidRPr="006A1EC7">
              <w:t>Mostly Agree (2)</w:t>
            </w:r>
          </w:p>
        </w:tc>
        <w:tc>
          <w:tcPr>
            <w:tcW w:w="1596" w:type="dxa"/>
          </w:tcPr>
          <w:p w14:paraId="5ED46D59" w14:textId="77777777" w:rsidR="0087601C" w:rsidRPr="006A1EC7" w:rsidRDefault="0087601C" w:rsidP="00D56051">
            <w:pPr>
              <w:cnfStyle w:val="100000000000" w:firstRow="1" w:lastRow="0" w:firstColumn="0" w:lastColumn="0" w:oddVBand="0" w:evenVBand="0" w:oddHBand="0" w:evenHBand="0" w:firstRowFirstColumn="0" w:firstRowLastColumn="0" w:lastRowFirstColumn="0" w:lastRowLastColumn="0"/>
            </w:pPr>
            <w:r w:rsidRPr="006A1EC7">
              <w:t>Neither agree nor disagree (3)</w:t>
            </w:r>
          </w:p>
        </w:tc>
        <w:tc>
          <w:tcPr>
            <w:tcW w:w="1596" w:type="dxa"/>
          </w:tcPr>
          <w:p w14:paraId="1673EA71" w14:textId="77777777" w:rsidR="0087601C" w:rsidRPr="006A1EC7" w:rsidRDefault="0087601C" w:rsidP="00D56051">
            <w:pPr>
              <w:cnfStyle w:val="100000000000" w:firstRow="1" w:lastRow="0" w:firstColumn="0" w:lastColumn="0" w:oddVBand="0" w:evenVBand="0" w:oddHBand="0" w:evenHBand="0" w:firstRowFirstColumn="0" w:firstRowLastColumn="0" w:lastRowFirstColumn="0" w:lastRowLastColumn="0"/>
            </w:pPr>
            <w:r w:rsidRPr="006A1EC7">
              <w:t>Mostly Disagree (4)</w:t>
            </w:r>
          </w:p>
        </w:tc>
        <w:tc>
          <w:tcPr>
            <w:tcW w:w="1596" w:type="dxa"/>
          </w:tcPr>
          <w:p w14:paraId="77F5B53C" w14:textId="77777777" w:rsidR="0087601C" w:rsidRPr="006A1EC7" w:rsidRDefault="0087601C" w:rsidP="00D56051">
            <w:pPr>
              <w:cnfStyle w:val="100000000000" w:firstRow="1" w:lastRow="0" w:firstColumn="0" w:lastColumn="0" w:oddVBand="0" w:evenVBand="0" w:oddHBand="0" w:evenHBand="0" w:firstRowFirstColumn="0" w:firstRowLastColumn="0" w:lastRowFirstColumn="0" w:lastRowLastColumn="0"/>
            </w:pPr>
            <w:r w:rsidRPr="006A1EC7">
              <w:t>Strongly Disagree  (5)</w:t>
            </w:r>
          </w:p>
        </w:tc>
      </w:tr>
      <w:tr w:rsidR="0087601C" w:rsidRPr="006A1EC7" w14:paraId="624BF244"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5339A390" w14:textId="77777777" w:rsidR="0087601C" w:rsidRPr="006A1EC7" w:rsidRDefault="0087601C" w:rsidP="00D56051">
            <w:pPr>
              <w:keepNext/>
            </w:pPr>
            <w:r w:rsidRPr="006A1EC7">
              <w:t xml:space="preserve">The instrument is a valuable aid to communication with my patients. (1) </w:t>
            </w:r>
          </w:p>
        </w:tc>
        <w:tc>
          <w:tcPr>
            <w:tcW w:w="1596" w:type="dxa"/>
          </w:tcPr>
          <w:p w14:paraId="6544A753"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15D3F718"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7FBB0252"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4455033E"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0C6A3A51"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7601C" w:rsidRPr="006A1EC7" w14:paraId="703100BE"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169A076D" w14:textId="77777777" w:rsidR="0087601C" w:rsidRPr="006A1EC7" w:rsidRDefault="0087601C" w:rsidP="00D56051">
            <w:pPr>
              <w:keepNext/>
            </w:pPr>
            <w:r w:rsidRPr="006A1EC7">
              <w:t xml:space="preserve">The instrument is relevant to my patients (2) </w:t>
            </w:r>
          </w:p>
        </w:tc>
        <w:tc>
          <w:tcPr>
            <w:tcW w:w="1596" w:type="dxa"/>
          </w:tcPr>
          <w:p w14:paraId="2E1BA994"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76456974"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5FEB8D69"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6A9CE22A"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1F9D4A1D"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7601C" w:rsidRPr="006A1EC7" w14:paraId="71357F6D"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22F65A6F" w14:textId="77777777" w:rsidR="0087601C" w:rsidRPr="006A1EC7" w:rsidRDefault="0087601C" w:rsidP="00D56051">
            <w:pPr>
              <w:keepNext/>
            </w:pPr>
            <w:r w:rsidRPr="006A1EC7">
              <w:t xml:space="preserve">I would be happy to use the instrument as part of initial patient assessment (3) </w:t>
            </w:r>
          </w:p>
        </w:tc>
        <w:tc>
          <w:tcPr>
            <w:tcW w:w="1596" w:type="dxa"/>
          </w:tcPr>
          <w:p w14:paraId="5FF80CE5"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4A138C5A"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6AFC2665"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6659D864"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1FCF5D28"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7601C" w:rsidRPr="006A1EC7" w14:paraId="0C4BFFF1"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2C6665C5" w14:textId="77777777" w:rsidR="0087601C" w:rsidRPr="006A1EC7" w:rsidRDefault="0087601C" w:rsidP="00D56051">
            <w:pPr>
              <w:keepNext/>
            </w:pPr>
            <w:r w:rsidRPr="006A1EC7">
              <w:t xml:space="preserve">The instrument is efficient to use in clinical practice (4) </w:t>
            </w:r>
          </w:p>
        </w:tc>
        <w:tc>
          <w:tcPr>
            <w:tcW w:w="1596" w:type="dxa"/>
          </w:tcPr>
          <w:p w14:paraId="6F5B0311"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11918E7A"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181395FF"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426E098A"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1270CBED"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7601C" w:rsidRPr="006A1EC7" w14:paraId="486A33DA"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5AA686E8" w14:textId="77777777" w:rsidR="0087601C" w:rsidRPr="006A1EC7" w:rsidRDefault="0087601C" w:rsidP="00D56051">
            <w:pPr>
              <w:keepNext/>
            </w:pPr>
            <w:r w:rsidRPr="006A1EC7">
              <w:t xml:space="preserve">The instrument addresses all the important aspects of my patients’ conditions (5) </w:t>
            </w:r>
          </w:p>
        </w:tc>
        <w:tc>
          <w:tcPr>
            <w:tcW w:w="1596" w:type="dxa"/>
          </w:tcPr>
          <w:p w14:paraId="419261A0"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27B80DD2"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5AF6EAD5"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4D9BDA66"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6F165FE8"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7601C" w:rsidRPr="006A1EC7" w14:paraId="59C114E1"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2D5413AE" w14:textId="77777777" w:rsidR="0087601C" w:rsidRPr="006A1EC7" w:rsidRDefault="0087601C" w:rsidP="00D56051">
            <w:pPr>
              <w:keepNext/>
            </w:pPr>
            <w:r w:rsidRPr="006A1EC7">
              <w:t xml:space="preserve">The instrument helps patients to make the best decisions for themselves (6) </w:t>
            </w:r>
          </w:p>
        </w:tc>
        <w:tc>
          <w:tcPr>
            <w:tcW w:w="1596" w:type="dxa"/>
          </w:tcPr>
          <w:p w14:paraId="0D83B9C1"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1179D5CB"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0A0B7476"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747F90AE"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5CDE5DCB"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7601C" w:rsidRPr="006A1EC7" w14:paraId="3C712711"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5F4AD74D" w14:textId="77777777" w:rsidR="0087601C" w:rsidRPr="006A1EC7" w:rsidRDefault="0087601C" w:rsidP="00D56051">
            <w:pPr>
              <w:keepNext/>
            </w:pPr>
            <w:r w:rsidRPr="006A1EC7">
              <w:t xml:space="preserve">The instrument is too long (7) </w:t>
            </w:r>
          </w:p>
        </w:tc>
        <w:tc>
          <w:tcPr>
            <w:tcW w:w="1596" w:type="dxa"/>
          </w:tcPr>
          <w:p w14:paraId="55327D76"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0D040591"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6E563C27"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7D4E9202"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4A446205"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7601C" w:rsidRPr="006A1EC7" w14:paraId="37E0C71B"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5BF49B6E" w14:textId="77777777" w:rsidR="0087601C" w:rsidRPr="006A1EC7" w:rsidRDefault="0087601C" w:rsidP="00D56051">
            <w:pPr>
              <w:keepNext/>
            </w:pPr>
            <w:r w:rsidRPr="006A1EC7">
              <w:t xml:space="preserve">The instrument is difficult for my patients to use (8) </w:t>
            </w:r>
          </w:p>
        </w:tc>
        <w:tc>
          <w:tcPr>
            <w:tcW w:w="1596" w:type="dxa"/>
          </w:tcPr>
          <w:p w14:paraId="51FBA626"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3E21DBD1"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33FABCDD"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352C3F41"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7D8379B3"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7601C" w:rsidRPr="006A1EC7" w14:paraId="77C28D45"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4543330C" w14:textId="77777777" w:rsidR="0087601C" w:rsidRPr="006A1EC7" w:rsidRDefault="0087601C" w:rsidP="00D56051">
            <w:pPr>
              <w:keepNext/>
            </w:pPr>
            <w:r w:rsidRPr="006A1EC7">
              <w:t xml:space="preserve">Data collected using the instrument are difficult to use in clinical practice (9) </w:t>
            </w:r>
          </w:p>
        </w:tc>
        <w:tc>
          <w:tcPr>
            <w:tcW w:w="1596" w:type="dxa"/>
          </w:tcPr>
          <w:p w14:paraId="3E0A1DD7"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252789B7"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78DAE554"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009CBC09"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17E643C5"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7601C" w:rsidRPr="006A1EC7" w14:paraId="66C0D897" w14:textId="77777777" w:rsidTr="00D56051">
        <w:tc>
          <w:tcPr>
            <w:cnfStyle w:val="001000000000" w:firstRow="0" w:lastRow="0" w:firstColumn="1" w:lastColumn="0" w:oddVBand="0" w:evenVBand="0" w:oddHBand="0" w:evenHBand="0" w:firstRowFirstColumn="0" w:firstRowLastColumn="0" w:lastRowFirstColumn="0" w:lastRowLastColumn="0"/>
            <w:tcW w:w="1596" w:type="dxa"/>
          </w:tcPr>
          <w:p w14:paraId="7DB277F3" w14:textId="77777777" w:rsidR="0087601C" w:rsidRPr="006A1EC7" w:rsidRDefault="0087601C" w:rsidP="00D56051">
            <w:pPr>
              <w:keepNext/>
            </w:pPr>
            <w:r w:rsidRPr="006A1EC7">
              <w:lastRenderedPageBreak/>
              <w:t xml:space="preserve">The overall resources and costs involved in using the instrument are too great (10) </w:t>
            </w:r>
          </w:p>
        </w:tc>
        <w:tc>
          <w:tcPr>
            <w:tcW w:w="1596" w:type="dxa"/>
          </w:tcPr>
          <w:p w14:paraId="42B0B2D1"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0FC8DA6A"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276FC9DC"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069FBCFD"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96" w:type="dxa"/>
          </w:tcPr>
          <w:p w14:paraId="3921F500" w14:textId="77777777" w:rsidR="0087601C" w:rsidRPr="006A1EC7" w:rsidRDefault="0087601C" w:rsidP="00D56051">
            <w:pPr>
              <w:pStyle w:val="ListParagraph"/>
              <w:keepNext/>
              <w:numPr>
                <w:ilvl w:val="0"/>
                <w:numId w:val="14"/>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F41FFA9" w14:textId="77777777" w:rsidR="0087601C" w:rsidRPr="006A1EC7" w:rsidRDefault="0087601C" w:rsidP="0087601C"/>
    <w:p w14:paraId="71F9B1F6" w14:textId="77777777" w:rsidR="0087601C" w:rsidRPr="006A1EC7" w:rsidRDefault="0087601C" w:rsidP="0087601C"/>
    <w:p w14:paraId="132D13B8" w14:textId="77777777" w:rsidR="0087601C" w:rsidRPr="006A1EC7" w:rsidRDefault="0087601C" w:rsidP="0087601C">
      <w:pPr>
        <w:pStyle w:val="QuestionSeparator"/>
        <w:rPr>
          <w:rFonts w:ascii="Times New Roman" w:hAnsi="Times New Roman" w:cs="Times New Roman"/>
        </w:rPr>
      </w:pPr>
    </w:p>
    <w:p w14:paraId="435A3C4E" w14:textId="77777777" w:rsidR="0087601C" w:rsidRPr="006A1EC7" w:rsidRDefault="0087601C" w:rsidP="0087601C"/>
    <w:p w14:paraId="77C85A98" w14:textId="77777777" w:rsidR="0087601C" w:rsidRPr="006A1EC7" w:rsidRDefault="0087601C" w:rsidP="0087601C">
      <w:pPr>
        <w:keepNext/>
      </w:pPr>
      <w:r w:rsidRPr="006A1EC7">
        <w:t xml:space="preserve">Q8 </w:t>
      </w:r>
      <w:r w:rsidRPr="006A1EC7">
        <w:rPr>
          <w:b/>
        </w:rPr>
        <w:t>Do you have any comments or suggestions to make about the instrument or the report that the instrument provides? (e.g. content, design, delivery or output)</w:t>
      </w:r>
    </w:p>
    <w:p w14:paraId="5C486663" w14:textId="77777777" w:rsidR="0087601C" w:rsidRPr="006A1EC7" w:rsidRDefault="0087601C" w:rsidP="0087601C">
      <w:pPr>
        <w:pStyle w:val="TextEntryLine"/>
        <w:ind w:firstLine="400"/>
        <w:rPr>
          <w:rFonts w:ascii="Times New Roman" w:hAnsi="Times New Roman" w:cs="Times New Roman"/>
        </w:rPr>
      </w:pPr>
      <w:r w:rsidRPr="006A1EC7">
        <w:rPr>
          <w:rFonts w:ascii="Times New Roman" w:hAnsi="Times New Roman" w:cs="Times New Roman"/>
        </w:rPr>
        <w:t>________________________________________________________________</w:t>
      </w:r>
    </w:p>
    <w:p w14:paraId="608CD6D4" w14:textId="77777777" w:rsidR="0087601C" w:rsidRPr="006A1EC7" w:rsidRDefault="0087601C" w:rsidP="0087601C"/>
    <w:p w14:paraId="161A6E51" w14:textId="77777777" w:rsidR="0087601C" w:rsidRPr="006A1EC7" w:rsidRDefault="0087601C" w:rsidP="0087601C">
      <w:pPr>
        <w:pStyle w:val="QuestionSeparator"/>
        <w:rPr>
          <w:rFonts w:ascii="Times New Roman" w:hAnsi="Times New Roman" w:cs="Times New Roman"/>
        </w:rPr>
      </w:pPr>
    </w:p>
    <w:p w14:paraId="0F06D11A" w14:textId="77777777" w:rsidR="0087601C" w:rsidRPr="006A1EC7" w:rsidRDefault="0087601C" w:rsidP="0087601C"/>
    <w:p w14:paraId="1390845A" w14:textId="77777777" w:rsidR="0087601C" w:rsidRPr="006A1EC7" w:rsidRDefault="0087601C" w:rsidP="0087601C">
      <w:pPr>
        <w:keepNext/>
      </w:pPr>
      <w:r w:rsidRPr="006A1EC7">
        <w:t xml:space="preserve">Q9 </w:t>
      </w:r>
      <w:r w:rsidRPr="006A1EC7">
        <w:rPr>
          <w:b/>
        </w:rPr>
        <w:t>Do you feel that any important areas, issues, symptoms or conditions were missed out?</w:t>
      </w:r>
    </w:p>
    <w:p w14:paraId="2A322320" w14:textId="77777777" w:rsidR="0087601C" w:rsidRPr="006A1EC7" w:rsidRDefault="0087601C" w:rsidP="0087601C">
      <w:pPr>
        <w:pStyle w:val="TextEntryLine"/>
        <w:ind w:firstLine="400"/>
        <w:rPr>
          <w:rFonts w:ascii="Times New Roman" w:hAnsi="Times New Roman" w:cs="Times New Roman"/>
        </w:rPr>
      </w:pPr>
      <w:r w:rsidRPr="006A1EC7">
        <w:rPr>
          <w:rFonts w:ascii="Times New Roman" w:hAnsi="Times New Roman" w:cs="Times New Roman"/>
        </w:rPr>
        <w:t>________________________________________________________________</w:t>
      </w:r>
    </w:p>
    <w:p w14:paraId="607A3F77" w14:textId="77777777" w:rsidR="0087601C" w:rsidRPr="006A1EC7" w:rsidRDefault="0087601C" w:rsidP="0087601C"/>
    <w:p w14:paraId="4CE1A4F3" w14:textId="77777777" w:rsidR="0087601C" w:rsidRPr="006A1EC7" w:rsidRDefault="0087601C" w:rsidP="0087601C">
      <w:pPr>
        <w:pStyle w:val="QuestionSeparator"/>
        <w:rPr>
          <w:rFonts w:ascii="Times New Roman" w:hAnsi="Times New Roman" w:cs="Times New Roman"/>
        </w:rPr>
      </w:pPr>
    </w:p>
    <w:p w14:paraId="0781EDA0" w14:textId="77777777" w:rsidR="0087601C" w:rsidRPr="006A1EC7" w:rsidRDefault="0087601C" w:rsidP="0087601C"/>
    <w:p w14:paraId="1E85C375" w14:textId="77777777" w:rsidR="0087601C" w:rsidRPr="006A1EC7" w:rsidRDefault="0087601C" w:rsidP="0087601C">
      <w:pPr>
        <w:keepNext/>
      </w:pPr>
      <w:r w:rsidRPr="006A1EC7">
        <w:t xml:space="preserve">Q10 </w:t>
      </w:r>
      <w:r w:rsidRPr="006A1EC7">
        <w:rPr>
          <w:b/>
        </w:rPr>
        <w:t>Do you have any comments or suggestions about how the instrument could be improved, or how it could be better used?</w:t>
      </w:r>
    </w:p>
    <w:p w14:paraId="0CA8190D" w14:textId="77777777" w:rsidR="0087601C" w:rsidRPr="006A1EC7" w:rsidRDefault="0087601C" w:rsidP="0087601C">
      <w:pPr>
        <w:pStyle w:val="TextEntryLine"/>
        <w:ind w:firstLine="400"/>
        <w:rPr>
          <w:rFonts w:ascii="Times New Roman" w:hAnsi="Times New Roman" w:cs="Times New Roman"/>
        </w:rPr>
      </w:pPr>
      <w:r w:rsidRPr="006A1EC7">
        <w:rPr>
          <w:rFonts w:ascii="Times New Roman" w:hAnsi="Times New Roman" w:cs="Times New Roman"/>
        </w:rPr>
        <w:t>________________________________________________________________</w:t>
      </w:r>
    </w:p>
    <w:p w14:paraId="27D5CE62" w14:textId="77777777" w:rsidR="0087601C" w:rsidRPr="006A1EC7" w:rsidRDefault="0087601C" w:rsidP="0087601C"/>
    <w:p w14:paraId="505B4417" w14:textId="77777777" w:rsidR="0087601C" w:rsidRPr="006A1EC7" w:rsidRDefault="0087601C" w:rsidP="0087601C">
      <w:pPr>
        <w:pStyle w:val="QuestionSeparator"/>
        <w:rPr>
          <w:rFonts w:ascii="Times New Roman" w:hAnsi="Times New Roman" w:cs="Times New Roman"/>
        </w:rPr>
      </w:pPr>
    </w:p>
    <w:tbl>
      <w:tblPr>
        <w:tblW w:w="0" w:type="auto"/>
        <w:tblInd w:w="10" w:type="dxa"/>
        <w:tblCellMar>
          <w:left w:w="10" w:type="dxa"/>
          <w:right w:w="10" w:type="dxa"/>
        </w:tblCellMar>
        <w:tblLook w:val="0000" w:firstRow="0" w:lastRow="0" w:firstColumn="0" w:lastColumn="0" w:noHBand="0" w:noVBand="0"/>
      </w:tblPr>
      <w:tblGrid>
        <w:gridCol w:w="1274"/>
        <w:gridCol w:w="7214"/>
      </w:tblGrid>
      <w:tr w:rsidR="0087601C" w:rsidRPr="006A1EC7" w14:paraId="0CDB06CD" w14:textId="77777777" w:rsidTr="00D56051">
        <w:trPr>
          <w:trHeight w:val="300"/>
        </w:trPr>
        <w:tc>
          <w:tcPr>
            <w:tcW w:w="1368" w:type="dxa"/>
            <w:tcBorders>
              <w:top w:val="nil"/>
              <w:left w:val="nil"/>
              <w:bottom w:val="nil"/>
              <w:right w:val="nil"/>
            </w:tcBorders>
          </w:tcPr>
          <w:p w14:paraId="585012ED" w14:textId="77777777" w:rsidR="0087601C" w:rsidRPr="006A1EC7" w:rsidRDefault="0087601C" w:rsidP="00D56051">
            <w:pPr>
              <w:rPr>
                <w:color w:val="CCCCCC"/>
              </w:rPr>
            </w:pPr>
            <w:r w:rsidRPr="006A1EC7">
              <w:rPr>
                <w:color w:val="CCCCCC"/>
              </w:rPr>
              <w:t>Page Break</w:t>
            </w:r>
          </w:p>
        </w:tc>
        <w:tc>
          <w:tcPr>
            <w:tcW w:w="8208" w:type="dxa"/>
            <w:tcBorders>
              <w:top w:val="nil"/>
              <w:left w:val="nil"/>
              <w:bottom w:val="nil"/>
              <w:right w:val="nil"/>
            </w:tcBorders>
          </w:tcPr>
          <w:p w14:paraId="12F2EF82" w14:textId="77777777" w:rsidR="0087601C" w:rsidRPr="006A1EC7" w:rsidRDefault="0087601C" w:rsidP="00D56051">
            <w:pPr>
              <w:pBdr>
                <w:top w:val="single" w:sz="8" w:space="0" w:color="CCCCCC"/>
              </w:pBdr>
              <w:spacing w:before="120" w:after="120" w:line="120" w:lineRule="auto"/>
              <w:jc w:val="center"/>
              <w:rPr>
                <w:color w:val="CCCCCC"/>
              </w:rPr>
            </w:pPr>
          </w:p>
        </w:tc>
      </w:tr>
    </w:tbl>
    <w:p w14:paraId="49A09F45" w14:textId="77777777" w:rsidR="0087601C" w:rsidRPr="006A1EC7" w:rsidRDefault="0087601C" w:rsidP="0087601C">
      <w:r w:rsidRPr="006A1EC7">
        <w:br w:type="page"/>
      </w:r>
    </w:p>
    <w:p w14:paraId="320AE7C5" w14:textId="77777777" w:rsidR="0087601C" w:rsidRPr="006A1EC7" w:rsidRDefault="0087601C" w:rsidP="0087601C"/>
    <w:p w14:paraId="676A31E7" w14:textId="77777777" w:rsidR="0087601C" w:rsidRPr="006A1EC7" w:rsidRDefault="0087601C" w:rsidP="0087601C">
      <w:pPr>
        <w:keepNext/>
      </w:pPr>
      <w:r w:rsidRPr="006A1EC7">
        <w:t>Q11 Many thanks for your participation in this research. We may require a second round of the Delphi process, depending on the level of consensus among the feedback collected; in this case, we would be in touch via email to let you know. Please do not hesitate to contact me in the mean time should any questions or concerns arise. </w:t>
      </w:r>
      <w:r w:rsidRPr="006A1EC7">
        <w:br/>
      </w:r>
      <w:r w:rsidRPr="006A1EC7">
        <w:br/>
      </w:r>
      <w:r w:rsidRPr="006A1EC7">
        <w:br/>
        <w:t>Best wishes, </w:t>
      </w:r>
      <w:r w:rsidRPr="006A1EC7">
        <w:br/>
      </w:r>
      <w:r w:rsidRPr="006A1EC7">
        <w:br/>
      </w:r>
      <w:r w:rsidRPr="006A1EC7">
        <w:br/>
        <w:t>Katharina Vogt, The University of Sheffield  </w:t>
      </w:r>
      <w:r w:rsidRPr="006A1EC7">
        <w:br/>
        <w:t>ksvogt1@sheffield.ac.uk</w:t>
      </w:r>
    </w:p>
    <w:p w14:paraId="700953BD" w14:textId="77777777" w:rsidR="0087601C" w:rsidRPr="006A1EC7" w:rsidRDefault="0087601C" w:rsidP="0087601C"/>
    <w:p w14:paraId="30DE7E49" w14:textId="77777777" w:rsidR="0087601C" w:rsidRPr="006A1EC7" w:rsidRDefault="0087601C" w:rsidP="0087601C">
      <w:pPr>
        <w:pStyle w:val="BlockEndLabel"/>
        <w:rPr>
          <w:rFonts w:ascii="Times New Roman" w:hAnsi="Times New Roman" w:cs="Times New Roman"/>
        </w:rPr>
      </w:pPr>
      <w:r w:rsidRPr="006A1EC7">
        <w:rPr>
          <w:rFonts w:ascii="Times New Roman" w:hAnsi="Times New Roman" w:cs="Times New Roman"/>
        </w:rPr>
        <w:t>End of Block: Default Question Block</w:t>
      </w:r>
    </w:p>
    <w:p w14:paraId="629F7D7A" w14:textId="77777777" w:rsidR="0087601C" w:rsidRPr="006A1EC7" w:rsidRDefault="0087601C" w:rsidP="0087601C">
      <w:pPr>
        <w:pStyle w:val="BlockSeparator"/>
        <w:rPr>
          <w:rFonts w:ascii="Times New Roman" w:hAnsi="Times New Roman" w:cs="Times New Roman"/>
        </w:rPr>
      </w:pPr>
    </w:p>
    <w:p w14:paraId="1B9D8BB0" w14:textId="77777777" w:rsidR="0087601C" w:rsidRPr="006A1EC7" w:rsidRDefault="0087601C" w:rsidP="0087601C"/>
    <w:p w14:paraId="060494AA" w14:textId="77777777" w:rsidR="0087601C" w:rsidRPr="006A1EC7" w:rsidRDefault="0087601C" w:rsidP="0087601C"/>
    <w:p w14:paraId="78C7FA4C" w14:textId="77777777" w:rsidR="0087601C" w:rsidRPr="006A1EC7" w:rsidRDefault="0087601C" w:rsidP="0087601C"/>
    <w:p w14:paraId="0EF64DD5" w14:textId="60BD3265" w:rsidR="0087601C" w:rsidRPr="006A1EC7" w:rsidRDefault="0087601C" w:rsidP="0087601C">
      <w:pPr>
        <w:pStyle w:val="Heading3"/>
        <w:rPr>
          <w:rFonts w:ascii="Times New Roman" w:hAnsi="Times New Roman" w:cs="Times New Roman"/>
        </w:rPr>
      </w:pPr>
      <w:bookmarkStart w:id="301" w:name="_Toc38821484"/>
      <w:r w:rsidRPr="006A1EC7">
        <w:rPr>
          <w:rFonts w:ascii="Times New Roman" w:hAnsi="Times New Roman" w:cs="Times New Roman"/>
        </w:rPr>
        <w:t>Appendix 6.5: Email sent to participants</w:t>
      </w:r>
      <w:bookmarkEnd w:id="301"/>
      <w:r w:rsidRPr="006A1EC7">
        <w:rPr>
          <w:rFonts w:ascii="Times New Roman" w:hAnsi="Times New Roman" w:cs="Times New Roman"/>
        </w:rPr>
        <w:br/>
      </w:r>
    </w:p>
    <w:p w14:paraId="1A149A2E" w14:textId="77777777" w:rsidR="0087601C" w:rsidRPr="006A1EC7" w:rsidRDefault="0087601C" w:rsidP="0087601C">
      <w:pPr>
        <w:rPr>
          <w:lang w:val="en-US"/>
        </w:rPr>
      </w:pPr>
      <w:r w:rsidRPr="006A1EC7">
        <w:rPr>
          <w:lang w:val="en-US"/>
        </w:rPr>
        <w:t xml:space="preserve">Dear esteemed clinician </w:t>
      </w:r>
      <w:r w:rsidRPr="006A1EC7">
        <w:rPr>
          <w:i/>
          <w:lang w:val="en-US"/>
        </w:rPr>
        <w:t>(name),</w:t>
      </w:r>
    </w:p>
    <w:p w14:paraId="236B9A39" w14:textId="77777777" w:rsidR="0087601C" w:rsidRPr="006A1EC7" w:rsidRDefault="0087601C" w:rsidP="0087601C">
      <w:pPr>
        <w:rPr>
          <w:lang w:val="en-US"/>
        </w:rPr>
      </w:pPr>
    </w:p>
    <w:p w14:paraId="7208496E" w14:textId="77777777" w:rsidR="0087601C" w:rsidRPr="006A1EC7" w:rsidRDefault="0087601C" w:rsidP="0087601C">
      <w:pPr>
        <w:ind w:firstLine="720"/>
        <w:rPr>
          <w:lang w:val="en-US"/>
        </w:rPr>
      </w:pPr>
      <w:r w:rsidRPr="006A1EC7">
        <w:rPr>
          <w:lang w:val="en-US"/>
        </w:rPr>
        <w:t xml:space="preserve">My name is Katharina Vogt and I am a PhD student at the University of Sheffield (UK), and my PhD project focuses on: </w:t>
      </w:r>
      <w:r w:rsidRPr="006A1EC7">
        <w:rPr>
          <w:lang w:val="en-US"/>
        </w:rPr>
        <w:tab/>
      </w:r>
      <w:r w:rsidRPr="006A1EC7">
        <w:rPr>
          <w:i/>
          <w:lang w:val="en-US"/>
        </w:rPr>
        <w:t>“Developing a Clinician-Rated Clinical Outcome Assessment for Wolf-Hirschhorn syndrome”</w:t>
      </w:r>
    </w:p>
    <w:p w14:paraId="42F6012A" w14:textId="77777777" w:rsidR="0087601C" w:rsidRPr="006A1EC7" w:rsidRDefault="0087601C" w:rsidP="0087601C">
      <w:pPr>
        <w:rPr>
          <w:i/>
          <w:lang w:val="en-US"/>
        </w:rPr>
      </w:pPr>
    </w:p>
    <w:p w14:paraId="72977A00" w14:textId="77777777" w:rsidR="0087601C" w:rsidRPr="006A1EC7" w:rsidRDefault="0087601C" w:rsidP="0087601C">
      <w:pPr>
        <w:ind w:firstLine="720"/>
        <w:rPr>
          <w:lang w:val="en-US"/>
        </w:rPr>
      </w:pPr>
      <w:r w:rsidRPr="006A1EC7">
        <w:rPr>
          <w:lang w:val="en-US"/>
        </w:rPr>
        <w:t xml:space="preserve">I am emailing you because we believe that you are an expert on this rare genetic illness, and we would therefore value your feedback and contribution to the scale development process. </w:t>
      </w:r>
    </w:p>
    <w:p w14:paraId="383058B9" w14:textId="77777777" w:rsidR="0087601C" w:rsidRPr="006A1EC7" w:rsidRDefault="0087601C" w:rsidP="0087601C">
      <w:pPr>
        <w:ind w:firstLine="720"/>
        <w:rPr>
          <w:lang w:val="en-US"/>
        </w:rPr>
      </w:pPr>
      <w:r w:rsidRPr="006A1EC7">
        <w:rPr>
          <w:lang w:val="en-US"/>
        </w:rPr>
        <w:t xml:space="preserve">A little background: We hope that this Clinician-Rated Clinical Outcome Assessment will fulfill two purposes: firstly, it will guide less experienced clinicians in their assessment of children and adults with Wolf-Hirschhorn syndrome; and secondly, be a useful tool for clinical trials and other studies aiming to assess functioning of patients with Wolf-Hirschhorn syndrome. </w:t>
      </w:r>
    </w:p>
    <w:p w14:paraId="31C87B76" w14:textId="77777777" w:rsidR="0087601C" w:rsidRPr="006A1EC7" w:rsidRDefault="0087601C" w:rsidP="0087601C">
      <w:pPr>
        <w:ind w:firstLine="720"/>
        <w:rPr>
          <w:lang w:val="en-US"/>
        </w:rPr>
      </w:pPr>
      <w:r w:rsidRPr="006A1EC7">
        <w:rPr>
          <w:lang w:val="en-US"/>
        </w:rPr>
        <w:t>We have developed this scale on the basis of literature reviews, twenty-two interviews with family members of children and adults with Wolf-Hirschhorn syndrome and with the input of both clinical expertise from Dr McNeill (geneticist) and my experience of nursing patients with Wolf-Hirschhorn syndrome.</w:t>
      </w:r>
    </w:p>
    <w:p w14:paraId="733537EE" w14:textId="77777777" w:rsidR="0087601C" w:rsidRPr="006A1EC7" w:rsidRDefault="0087601C" w:rsidP="0087601C">
      <w:pPr>
        <w:ind w:firstLine="720"/>
        <w:rPr>
          <w:lang w:val="en-US"/>
        </w:rPr>
      </w:pPr>
    </w:p>
    <w:p w14:paraId="5BAF8C09" w14:textId="77777777" w:rsidR="0087601C" w:rsidRPr="006A1EC7" w:rsidRDefault="0087601C" w:rsidP="0087601C">
      <w:pPr>
        <w:ind w:firstLine="720"/>
        <w:rPr>
          <w:lang w:val="en-US"/>
        </w:rPr>
      </w:pPr>
      <w:r w:rsidRPr="006A1EC7">
        <w:rPr>
          <w:lang w:val="en-US"/>
        </w:rPr>
        <w:t>Attached to this email is the Clinical Outcome Assessment that we have developed, and a survey link. We would very much appreciate if you could spare some time reading the scale and providing feedback via attached link. Participation will take around 15-20 minutes.</w:t>
      </w:r>
    </w:p>
    <w:p w14:paraId="789C28BB" w14:textId="77777777" w:rsidR="0087601C" w:rsidRPr="006A1EC7" w:rsidRDefault="0087601C" w:rsidP="0087601C">
      <w:pPr>
        <w:ind w:firstLine="720"/>
        <w:rPr>
          <w:lang w:val="en-US"/>
        </w:rPr>
      </w:pPr>
      <w:r w:rsidRPr="006A1EC7">
        <w:rPr>
          <w:lang w:val="en-US"/>
        </w:rPr>
        <w:t xml:space="preserve">Your participation is entirely voluntary; however, we are offering authorship on the resulting publication(s) as a sign of our appreciation for your time and work. If you do not want to be a named author on the publication but would still like to provide feedback, you could also indicate this in the survey link. </w:t>
      </w:r>
    </w:p>
    <w:p w14:paraId="19D38A9E" w14:textId="77777777" w:rsidR="0087601C" w:rsidRPr="006A1EC7" w:rsidRDefault="0087601C" w:rsidP="0087601C">
      <w:pPr>
        <w:ind w:firstLine="720"/>
        <w:rPr>
          <w:lang w:val="en-US"/>
        </w:rPr>
      </w:pPr>
      <w:r w:rsidRPr="006A1EC7">
        <w:rPr>
          <w:lang w:val="en-US"/>
        </w:rPr>
        <w:t xml:space="preserve">If you have any questions about this research, please do not hesitate to reply to this email. Alternatively, you can email Dr Alisdair McNeill (PI, Clinical Geneticist) any questions or concerns you may have: </w:t>
      </w:r>
      <w:hyperlink r:id="rId45" w:history="1">
        <w:r w:rsidRPr="006A1EC7">
          <w:rPr>
            <w:rStyle w:val="Hyperlink"/>
            <w:rFonts w:eastAsiaTheme="majorEastAsia"/>
            <w:lang w:val="en-US"/>
          </w:rPr>
          <w:t>a.mcneill@sheffield.ac.uk</w:t>
        </w:r>
      </w:hyperlink>
      <w:r w:rsidRPr="006A1EC7">
        <w:rPr>
          <w:lang w:val="en-US"/>
        </w:rPr>
        <w:t xml:space="preserve"> </w:t>
      </w:r>
    </w:p>
    <w:p w14:paraId="63798C77" w14:textId="77777777" w:rsidR="0087601C" w:rsidRPr="006A1EC7" w:rsidRDefault="0087601C" w:rsidP="0087601C">
      <w:pPr>
        <w:rPr>
          <w:lang w:val="en-US"/>
        </w:rPr>
      </w:pPr>
    </w:p>
    <w:p w14:paraId="490E8C7E" w14:textId="77777777" w:rsidR="0087601C" w:rsidRPr="006A1EC7" w:rsidRDefault="0087601C" w:rsidP="0087601C">
      <w:pPr>
        <w:rPr>
          <w:lang w:val="en-US"/>
        </w:rPr>
      </w:pPr>
      <w:r w:rsidRPr="006A1EC7">
        <w:rPr>
          <w:lang w:val="en-US"/>
        </w:rPr>
        <w:tab/>
        <w:t>If you are wanting to participate, the Clinical Outcome Assessment is attached and the survey link is below:</w:t>
      </w:r>
    </w:p>
    <w:p w14:paraId="4E30A0C1" w14:textId="77777777" w:rsidR="0087601C" w:rsidRPr="006A1EC7" w:rsidRDefault="0087601C" w:rsidP="0087601C">
      <w:pPr>
        <w:rPr>
          <w:lang w:val="en-US"/>
        </w:rPr>
      </w:pPr>
    </w:p>
    <w:p w14:paraId="3A93E3EE" w14:textId="77777777" w:rsidR="0087601C" w:rsidRPr="006A1EC7" w:rsidRDefault="0087601C" w:rsidP="0087601C">
      <w:pPr>
        <w:rPr>
          <w:lang w:val="en-US"/>
        </w:rPr>
      </w:pPr>
      <w:r w:rsidRPr="006A1EC7">
        <w:rPr>
          <w:lang w:val="en-US"/>
        </w:rPr>
        <w:t>(survey link)</w:t>
      </w:r>
    </w:p>
    <w:p w14:paraId="569BF6CE" w14:textId="77777777" w:rsidR="0087601C" w:rsidRPr="006A1EC7" w:rsidRDefault="0087601C" w:rsidP="0087601C">
      <w:pPr>
        <w:rPr>
          <w:lang w:val="en-US"/>
        </w:rPr>
      </w:pPr>
    </w:p>
    <w:p w14:paraId="38581268" w14:textId="77777777" w:rsidR="0087601C" w:rsidRPr="006A1EC7" w:rsidRDefault="0087601C" w:rsidP="0087601C">
      <w:pPr>
        <w:ind w:firstLine="720"/>
        <w:rPr>
          <w:lang w:val="en-US"/>
        </w:rPr>
      </w:pPr>
    </w:p>
    <w:p w14:paraId="25C6E3E5" w14:textId="77777777" w:rsidR="0087601C" w:rsidRPr="006A1EC7" w:rsidRDefault="0087601C" w:rsidP="0087601C">
      <w:pPr>
        <w:ind w:firstLine="720"/>
        <w:rPr>
          <w:lang w:val="en-US"/>
        </w:rPr>
      </w:pPr>
      <w:r w:rsidRPr="006A1EC7">
        <w:rPr>
          <w:lang w:val="en-US"/>
        </w:rPr>
        <w:t>Many thanks and Best wishes,</w:t>
      </w:r>
    </w:p>
    <w:p w14:paraId="5A217FF0" w14:textId="77777777" w:rsidR="0087601C" w:rsidRPr="006A1EC7" w:rsidRDefault="0087601C" w:rsidP="0087601C">
      <w:pPr>
        <w:ind w:firstLine="720"/>
        <w:rPr>
          <w:lang w:val="en-US"/>
        </w:rPr>
      </w:pPr>
    </w:p>
    <w:p w14:paraId="5235F96C" w14:textId="77777777" w:rsidR="0087601C" w:rsidRPr="006A1EC7" w:rsidRDefault="0087601C" w:rsidP="0087601C">
      <w:pPr>
        <w:ind w:firstLine="720"/>
        <w:rPr>
          <w:lang w:val="en-US"/>
        </w:rPr>
      </w:pPr>
      <w:r w:rsidRPr="006A1EC7">
        <w:rPr>
          <w:lang w:val="en-US"/>
        </w:rPr>
        <w:t>Katharina Vogt</w:t>
      </w:r>
    </w:p>
    <w:p w14:paraId="7BAE78E6" w14:textId="77777777" w:rsidR="0087601C" w:rsidRPr="006A1EC7" w:rsidRDefault="0087601C" w:rsidP="0087601C"/>
    <w:p w14:paraId="6F61197F" w14:textId="77777777" w:rsidR="0087601C" w:rsidRPr="006A1EC7" w:rsidRDefault="0087601C" w:rsidP="0087601C"/>
    <w:p w14:paraId="07521E97" w14:textId="6C6BF825" w:rsidR="0087601C" w:rsidRPr="006A1EC7" w:rsidRDefault="0087601C" w:rsidP="0087601C">
      <w:pPr>
        <w:pStyle w:val="Heading3"/>
        <w:rPr>
          <w:rFonts w:ascii="Times New Roman" w:hAnsi="Times New Roman" w:cs="Times New Roman"/>
        </w:rPr>
      </w:pPr>
      <w:bookmarkStart w:id="302" w:name="_Toc17977981"/>
      <w:bookmarkStart w:id="303" w:name="_Toc38821485"/>
      <w:r w:rsidRPr="006A1EC7">
        <w:rPr>
          <w:rFonts w:ascii="Times New Roman" w:hAnsi="Times New Roman" w:cs="Times New Roman"/>
        </w:rPr>
        <w:t>Appendix 6.6: Reminder Email to Clinicians</w:t>
      </w:r>
      <w:bookmarkEnd w:id="302"/>
      <w:bookmarkEnd w:id="303"/>
      <w:r w:rsidRPr="006A1EC7">
        <w:rPr>
          <w:rFonts w:ascii="Times New Roman" w:hAnsi="Times New Roman" w:cs="Times New Roman"/>
        </w:rPr>
        <w:br/>
      </w:r>
    </w:p>
    <w:p w14:paraId="746C3216" w14:textId="77777777" w:rsidR="0087601C" w:rsidRPr="006A1EC7" w:rsidRDefault="0087601C" w:rsidP="0087601C">
      <w:r w:rsidRPr="006A1EC7">
        <w:rPr>
          <w:color w:val="000000"/>
          <w:sz w:val="18"/>
          <w:szCs w:val="18"/>
        </w:rPr>
        <w:t>Dear clinician,</w:t>
      </w:r>
    </w:p>
    <w:p w14:paraId="75CA6EC6" w14:textId="77777777" w:rsidR="0087601C" w:rsidRPr="006A1EC7" w:rsidRDefault="0087601C" w:rsidP="0087601C">
      <w:pPr>
        <w:rPr>
          <w:color w:val="000000"/>
          <w:sz w:val="18"/>
          <w:szCs w:val="18"/>
        </w:rPr>
      </w:pPr>
    </w:p>
    <w:p w14:paraId="72089AA3" w14:textId="77777777" w:rsidR="0087601C" w:rsidRPr="006A1EC7" w:rsidRDefault="0087601C" w:rsidP="0087601C">
      <w:pPr>
        <w:rPr>
          <w:color w:val="000000"/>
          <w:sz w:val="18"/>
          <w:szCs w:val="18"/>
        </w:rPr>
      </w:pPr>
      <w:r w:rsidRPr="006A1EC7">
        <w:rPr>
          <w:color w:val="000000"/>
          <w:sz w:val="18"/>
          <w:szCs w:val="18"/>
        </w:rPr>
        <w:t>this is a reminder that your participation in this important research would be very much appreciated, and that you can get recognition for your contributions. It should take around 15-20 minutes. The survey will be open for another week. </w:t>
      </w:r>
    </w:p>
    <w:p w14:paraId="4F215108" w14:textId="77777777" w:rsidR="0087601C" w:rsidRPr="006A1EC7" w:rsidRDefault="0087601C" w:rsidP="0087601C">
      <w:pPr>
        <w:rPr>
          <w:color w:val="000000"/>
          <w:sz w:val="18"/>
          <w:szCs w:val="18"/>
        </w:rPr>
      </w:pPr>
    </w:p>
    <w:p w14:paraId="4C2E7673" w14:textId="77777777" w:rsidR="0087601C" w:rsidRPr="006A1EC7" w:rsidRDefault="0087601C" w:rsidP="0087601C">
      <w:pPr>
        <w:rPr>
          <w:color w:val="000000"/>
          <w:sz w:val="18"/>
          <w:szCs w:val="18"/>
        </w:rPr>
      </w:pPr>
      <w:r w:rsidRPr="006A1EC7">
        <w:rPr>
          <w:color w:val="000000"/>
          <w:sz w:val="18"/>
          <w:szCs w:val="18"/>
        </w:rPr>
        <w:t>Many thanks and best wishes,</w:t>
      </w:r>
    </w:p>
    <w:p w14:paraId="2D82EBC0" w14:textId="77777777" w:rsidR="0087601C" w:rsidRPr="006A1EC7" w:rsidRDefault="0087601C" w:rsidP="0087601C">
      <w:pPr>
        <w:rPr>
          <w:color w:val="000000"/>
          <w:sz w:val="18"/>
          <w:szCs w:val="18"/>
        </w:rPr>
      </w:pPr>
    </w:p>
    <w:p w14:paraId="129AF3A7" w14:textId="77777777" w:rsidR="0087601C" w:rsidRPr="006A1EC7" w:rsidRDefault="0087601C" w:rsidP="0087601C">
      <w:pPr>
        <w:rPr>
          <w:color w:val="000000"/>
          <w:sz w:val="18"/>
          <w:szCs w:val="18"/>
        </w:rPr>
      </w:pPr>
      <w:r w:rsidRPr="006A1EC7">
        <w:rPr>
          <w:color w:val="000000"/>
          <w:sz w:val="18"/>
          <w:szCs w:val="18"/>
        </w:rPr>
        <w:t>Katharina Vogt</w:t>
      </w:r>
    </w:p>
    <w:p w14:paraId="5D820B68" w14:textId="77777777" w:rsidR="0087601C" w:rsidRPr="006A1EC7" w:rsidRDefault="0087601C" w:rsidP="0087601C">
      <w:pPr>
        <w:rPr>
          <w:color w:val="000000"/>
          <w:sz w:val="18"/>
          <w:szCs w:val="18"/>
        </w:rPr>
      </w:pPr>
    </w:p>
    <w:p w14:paraId="60FC8865" w14:textId="77777777" w:rsidR="0087601C" w:rsidRPr="006A1EC7" w:rsidRDefault="0087601C" w:rsidP="0087601C">
      <w:pPr>
        <w:rPr>
          <w:color w:val="000000"/>
          <w:sz w:val="18"/>
          <w:szCs w:val="18"/>
        </w:rPr>
      </w:pPr>
    </w:p>
    <w:p w14:paraId="2BF2151A" w14:textId="77777777" w:rsidR="0087601C" w:rsidRPr="006A1EC7" w:rsidRDefault="0087601C" w:rsidP="0087601C">
      <w:pPr>
        <w:pStyle w:val="Heading3"/>
        <w:rPr>
          <w:rFonts w:ascii="Times New Roman" w:hAnsi="Times New Roman" w:cs="Times New Roman"/>
        </w:rPr>
      </w:pPr>
      <w:bookmarkStart w:id="304" w:name="_Toc17977982"/>
      <w:bookmarkStart w:id="305" w:name="_Toc38821486"/>
      <w:r w:rsidRPr="006A1EC7">
        <w:rPr>
          <w:rFonts w:ascii="Times New Roman" w:hAnsi="Times New Roman" w:cs="Times New Roman"/>
        </w:rPr>
        <w:t>Appendix 6.7: Version of the COA post Expert-study</w:t>
      </w:r>
      <w:bookmarkEnd w:id="304"/>
      <w:r w:rsidRPr="006A1EC7">
        <w:rPr>
          <w:rFonts w:ascii="Times New Roman" w:hAnsi="Times New Roman" w:cs="Times New Roman"/>
        </w:rPr>
        <w:t>, ready to be trialled</w:t>
      </w:r>
      <w:bookmarkEnd w:id="305"/>
    </w:p>
    <w:p w14:paraId="01206276" w14:textId="77777777" w:rsidR="0087601C" w:rsidRPr="006A1EC7" w:rsidRDefault="0087601C" w:rsidP="0087601C"/>
    <w:p w14:paraId="526DFE71" w14:textId="77777777" w:rsidR="0087601C" w:rsidRPr="006A1EC7" w:rsidRDefault="0087601C" w:rsidP="0087601C">
      <w:pPr>
        <w:rPr>
          <w:b/>
        </w:rPr>
      </w:pPr>
      <w:r w:rsidRPr="006A1EC7">
        <w:t xml:space="preserve">CLINICAL OUTCOME ASSESSMENT FOR </w:t>
      </w:r>
      <w:r w:rsidRPr="006A1EC7">
        <w:rPr>
          <w:b/>
        </w:rPr>
        <w:t>Wolf-Hirschhorn syndrome</w:t>
      </w:r>
    </w:p>
    <w:p w14:paraId="60C70A05" w14:textId="77777777" w:rsidR="0087601C" w:rsidRPr="006A1EC7" w:rsidRDefault="0087601C" w:rsidP="0087601C"/>
    <w:p w14:paraId="4ED8465F" w14:textId="77777777" w:rsidR="0087601C" w:rsidRPr="006A1EC7" w:rsidRDefault="0087601C" w:rsidP="0087601C"/>
    <w:p w14:paraId="5A107B35" w14:textId="77777777" w:rsidR="0087601C" w:rsidRPr="006A1EC7" w:rsidRDefault="0087601C" w:rsidP="0087601C"/>
    <w:p w14:paraId="45539225" w14:textId="77777777" w:rsidR="0087601C" w:rsidRPr="006A1EC7" w:rsidRDefault="0087601C" w:rsidP="0087601C">
      <w:pPr>
        <w:rPr>
          <w:i/>
        </w:rPr>
      </w:pPr>
      <w:r w:rsidRPr="006A1EC7">
        <w:rPr>
          <w:i/>
        </w:rPr>
        <w:t>Instructions for assessors:</w:t>
      </w:r>
    </w:p>
    <w:p w14:paraId="321A72E1" w14:textId="77777777" w:rsidR="0087601C" w:rsidRPr="006A1EC7" w:rsidRDefault="0087601C" w:rsidP="0087601C"/>
    <w:p w14:paraId="3BB5E89F" w14:textId="77777777" w:rsidR="0087601C" w:rsidRPr="006A1EC7" w:rsidRDefault="0087601C" w:rsidP="0087601C">
      <w:r w:rsidRPr="006A1EC7">
        <w:t xml:space="preserve">This comprehensive clinician-rated Clinical Outcome Assessment (ClinRo) has been developed by researchers at the University of Sheffield to aid the assessment of patients with Wolf-Hirschhorn syndrome. </w:t>
      </w:r>
    </w:p>
    <w:p w14:paraId="4CA9EF28" w14:textId="77777777" w:rsidR="0087601C" w:rsidRPr="006A1EC7" w:rsidRDefault="0087601C" w:rsidP="0087601C">
      <w:r w:rsidRPr="006A1EC7">
        <w:t xml:space="preserve">It is based on the scientific literature of the syndrome as well as expert input (obtained via interviews from patient caregivers). Its content has undergone peer-review by international experts in the field of Wolf-Hirschhorn syndrome. </w:t>
      </w:r>
    </w:p>
    <w:p w14:paraId="2E48B1BE" w14:textId="77777777" w:rsidR="0087601C" w:rsidRPr="006A1EC7" w:rsidRDefault="0087601C" w:rsidP="0087601C">
      <w:r w:rsidRPr="006A1EC7">
        <w:t xml:space="preserve">The ClinRo is split in nine sections/domains, and instructions are contained within these domains. If you think a question/item is not applicable to the patient you are assessing, you can either choose the ‘N/A’ (not applicable) answer option or choose the corresponding answer. </w:t>
      </w:r>
    </w:p>
    <w:p w14:paraId="35D78231" w14:textId="77777777" w:rsidR="0087601C" w:rsidRPr="006A1EC7" w:rsidRDefault="0087601C" w:rsidP="0087601C"/>
    <w:p w14:paraId="27AA662C" w14:textId="77777777" w:rsidR="0087601C" w:rsidRPr="006A1EC7" w:rsidRDefault="0087601C" w:rsidP="0087601C">
      <w:r w:rsidRPr="006A1EC7">
        <w:t xml:space="preserve">The rating scale is designed in such a way that you can, and should, use it during your consultation. You, as the assessor, transform reports from caregivers (such as parent, care worker) into ratings along the scales provided. For some of the question, such as domain 1 (Facial features) or domain 7 (Functional assessment), you can base your score on your own observations of that patient as well as reports from caregivers. </w:t>
      </w:r>
    </w:p>
    <w:p w14:paraId="4F1E6DB1" w14:textId="77777777" w:rsidR="0087601C" w:rsidRPr="006A1EC7" w:rsidRDefault="0087601C" w:rsidP="0087601C"/>
    <w:p w14:paraId="5D62F29F" w14:textId="77777777" w:rsidR="0087601C" w:rsidRPr="006A1EC7" w:rsidRDefault="0087601C" w:rsidP="0087601C">
      <w:r w:rsidRPr="006A1EC7">
        <w:lastRenderedPageBreak/>
        <w:t>Ultimately, you make the final decision about the functioning of the patient that you are assessing – in accordance with the information you are given and the observations of the patient you are making.</w:t>
      </w:r>
    </w:p>
    <w:p w14:paraId="38029701" w14:textId="77777777" w:rsidR="0087601C" w:rsidRPr="006A1EC7" w:rsidRDefault="0087601C" w:rsidP="0087601C"/>
    <w:p w14:paraId="5667C1A7" w14:textId="77777777" w:rsidR="0087601C" w:rsidRPr="006A1EC7" w:rsidRDefault="0087601C" w:rsidP="0087601C"/>
    <w:p w14:paraId="0635FFFD" w14:textId="7AFABB1C" w:rsidR="0087601C" w:rsidRPr="006A1EC7" w:rsidRDefault="0087601C" w:rsidP="0087601C">
      <w:r w:rsidRPr="006A1EC7">
        <w:t xml:space="preserve">The rating scale can be administered just once to gain a comprehensive overview of patient functioning, or in regular intervals to monitor patient progression or functioning over time. </w:t>
      </w:r>
    </w:p>
    <w:p w14:paraId="60AA4E79" w14:textId="77777777" w:rsidR="0087601C" w:rsidRPr="006A1EC7" w:rsidRDefault="0087601C" w:rsidP="0087601C"/>
    <w:p w14:paraId="00914F54" w14:textId="77777777" w:rsidR="0087601C" w:rsidRPr="006A1EC7" w:rsidRDefault="0087601C" w:rsidP="0087601C"/>
    <w:p w14:paraId="619CF50C" w14:textId="77777777" w:rsidR="0087601C" w:rsidRPr="006A1EC7" w:rsidRDefault="0087601C" w:rsidP="0087601C"/>
    <w:p w14:paraId="6F38E95B" w14:textId="77777777" w:rsidR="0087601C" w:rsidRPr="006A1EC7" w:rsidRDefault="0087601C" w:rsidP="0087601C">
      <w:pPr>
        <w:sectPr w:rsidR="0087601C" w:rsidRPr="006A1EC7" w:rsidSect="00D56051">
          <w:headerReference w:type="default" r:id="rId46"/>
          <w:footerReference w:type="even" r:id="rId47"/>
          <w:footerReference w:type="default" r:id="rId48"/>
          <w:type w:val="nextColumn"/>
          <w:pgSz w:w="11900" w:h="16840"/>
          <w:pgMar w:top="1440" w:right="1701" w:bottom="1440" w:left="1701" w:header="720" w:footer="720" w:gutter="0"/>
          <w:cols w:space="720"/>
          <w:docGrid w:linePitch="360"/>
        </w:sectPr>
      </w:pPr>
    </w:p>
    <w:p w14:paraId="1385284D" w14:textId="77777777" w:rsidR="0087601C" w:rsidRPr="006A1EC7" w:rsidRDefault="0087601C" w:rsidP="0087601C">
      <w:r w:rsidRPr="006A1EC7">
        <w:lastRenderedPageBreak/>
        <w:t>Patient name:</w:t>
      </w:r>
      <w:r w:rsidRPr="006A1EC7">
        <w:tab/>
      </w:r>
      <w:r w:rsidRPr="006A1EC7">
        <w:tab/>
      </w:r>
      <w:r w:rsidRPr="006A1EC7">
        <w:tab/>
      </w:r>
      <w:r w:rsidRPr="006A1EC7">
        <w:tab/>
      </w:r>
    </w:p>
    <w:p w14:paraId="7667CF09" w14:textId="77777777" w:rsidR="0087601C" w:rsidRPr="006A1EC7" w:rsidRDefault="0087601C" w:rsidP="0087601C"/>
    <w:p w14:paraId="077E8DE6" w14:textId="77777777" w:rsidR="0087601C" w:rsidRPr="006A1EC7" w:rsidRDefault="0087601C" w:rsidP="0087601C"/>
    <w:p w14:paraId="1D166D53" w14:textId="77777777" w:rsidR="0087601C" w:rsidRPr="006A1EC7" w:rsidRDefault="0087601C" w:rsidP="0087601C"/>
    <w:p w14:paraId="006CC88C" w14:textId="77777777" w:rsidR="0087601C" w:rsidRPr="006A1EC7" w:rsidRDefault="0087601C" w:rsidP="0087601C"/>
    <w:p w14:paraId="68564998" w14:textId="77777777" w:rsidR="0087601C" w:rsidRPr="006A1EC7" w:rsidRDefault="0087601C" w:rsidP="0087601C"/>
    <w:p w14:paraId="515248E6" w14:textId="77777777" w:rsidR="0087601C" w:rsidRPr="006A1EC7" w:rsidRDefault="0087601C" w:rsidP="0087601C">
      <w:r w:rsidRPr="006A1EC7">
        <w:t>Date information obtained:</w:t>
      </w:r>
    </w:p>
    <w:p w14:paraId="5CC38E72" w14:textId="77777777" w:rsidR="0087601C" w:rsidRPr="006A1EC7" w:rsidRDefault="0087601C" w:rsidP="0087601C"/>
    <w:p w14:paraId="553CA506" w14:textId="77777777" w:rsidR="0087601C" w:rsidRPr="006A1EC7" w:rsidRDefault="0087601C" w:rsidP="0087601C">
      <w:r w:rsidRPr="006A1EC7">
        <w:t>DOB:  ____/____/____</w:t>
      </w:r>
      <w:r w:rsidRPr="006A1EC7">
        <w:tab/>
        <w:t xml:space="preserve"> </w:t>
      </w:r>
    </w:p>
    <w:p w14:paraId="1293A974" w14:textId="77777777" w:rsidR="0087601C" w:rsidRPr="006A1EC7" w:rsidRDefault="0087601C" w:rsidP="0087601C"/>
    <w:p w14:paraId="45D88B8D" w14:textId="77777777" w:rsidR="0087601C" w:rsidRPr="006A1EC7" w:rsidRDefault="0087601C" w:rsidP="0087601C">
      <w:r w:rsidRPr="006A1EC7">
        <w:t xml:space="preserve">Age: </w:t>
      </w:r>
    </w:p>
    <w:p w14:paraId="1F6E73D8" w14:textId="77777777" w:rsidR="0087601C" w:rsidRPr="006A1EC7" w:rsidRDefault="0087601C" w:rsidP="0087601C"/>
    <w:p w14:paraId="6B5EF437" w14:textId="77777777" w:rsidR="0087601C" w:rsidRPr="006A1EC7" w:rsidRDefault="0087601C" w:rsidP="0087601C">
      <w:r w:rsidRPr="006A1EC7">
        <w:t>Born at gestational week:</w:t>
      </w:r>
    </w:p>
    <w:p w14:paraId="34CBDE83" w14:textId="77777777" w:rsidR="0087601C" w:rsidRPr="006A1EC7" w:rsidRDefault="0087601C" w:rsidP="0087601C"/>
    <w:p w14:paraId="0C241D3D" w14:textId="77777777" w:rsidR="0087601C" w:rsidRPr="006A1EC7" w:rsidRDefault="0087601C" w:rsidP="0087601C">
      <w:r w:rsidRPr="006A1EC7">
        <w:t xml:space="preserve">Sex: </w:t>
      </w:r>
      <w:r w:rsidRPr="006A1EC7">
        <w:tab/>
        <w:t xml:space="preserve">Male </w:t>
      </w:r>
      <w:r w:rsidRPr="006A1EC7">
        <w:tab/>
        <w:t>Female</w:t>
      </w:r>
    </w:p>
    <w:p w14:paraId="608251E0" w14:textId="77777777" w:rsidR="0087601C" w:rsidRPr="006A1EC7" w:rsidRDefault="0087601C" w:rsidP="0087601C"/>
    <w:p w14:paraId="028BD85E" w14:textId="77777777" w:rsidR="0087601C" w:rsidRPr="006A1EC7" w:rsidRDefault="0087601C" w:rsidP="0087601C">
      <w:r w:rsidRPr="006A1EC7">
        <w:t>Details re genetic abnormalities (i.e. deletion, deletion size, translocation, etc.):</w:t>
      </w:r>
    </w:p>
    <w:p w14:paraId="49F84765" w14:textId="77777777" w:rsidR="0087601C" w:rsidRPr="006A1EC7" w:rsidRDefault="0087601C" w:rsidP="0087601C"/>
    <w:p w14:paraId="54D7BED7" w14:textId="77777777" w:rsidR="0087601C" w:rsidRPr="006A1EC7" w:rsidRDefault="0087601C" w:rsidP="0087601C">
      <w:r w:rsidRPr="006A1EC7">
        <w:t>No of unaffected siblings:</w:t>
      </w:r>
    </w:p>
    <w:p w14:paraId="73C12414" w14:textId="77777777" w:rsidR="0087601C" w:rsidRPr="006A1EC7" w:rsidRDefault="0087601C" w:rsidP="0087601C"/>
    <w:p w14:paraId="53921BA2" w14:textId="77777777" w:rsidR="0087601C" w:rsidRPr="006A1EC7" w:rsidRDefault="0087601C" w:rsidP="0087601C">
      <w:r w:rsidRPr="006A1EC7">
        <w:t>No. of affected siblings:</w:t>
      </w:r>
    </w:p>
    <w:p w14:paraId="273B062C" w14:textId="77777777" w:rsidR="0087601C" w:rsidRPr="006A1EC7" w:rsidRDefault="0087601C" w:rsidP="0087601C"/>
    <w:p w14:paraId="1E68842D" w14:textId="77777777" w:rsidR="0087601C" w:rsidRPr="006A1EC7" w:rsidRDefault="0087601C" w:rsidP="0087601C">
      <w:r w:rsidRPr="006A1EC7">
        <w:t>Weight:</w:t>
      </w:r>
    </w:p>
    <w:p w14:paraId="2AA3830C" w14:textId="77777777" w:rsidR="0087601C" w:rsidRPr="006A1EC7" w:rsidRDefault="0087601C" w:rsidP="0087601C"/>
    <w:p w14:paraId="5DE72EE3" w14:textId="77777777" w:rsidR="0087601C" w:rsidRPr="006A1EC7" w:rsidRDefault="0087601C" w:rsidP="0087601C">
      <w:r w:rsidRPr="006A1EC7">
        <w:t>Height:</w:t>
      </w:r>
    </w:p>
    <w:p w14:paraId="08FE97E7" w14:textId="77777777" w:rsidR="0087601C" w:rsidRPr="006A1EC7" w:rsidRDefault="0087601C" w:rsidP="0087601C"/>
    <w:p w14:paraId="2A163FCD" w14:textId="77777777" w:rsidR="0087601C" w:rsidRPr="006A1EC7" w:rsidRDefault="0087601C" w:rsidP="0087601C">
      <w:r w:rsidRPr="006A1EC7">
        <w:t>Occipitofrontal circumference (OCP):</w:t>
      </w:r>
    </w:p>
    <w:p w14:paraId="329A6EDE" w14:textId="77777777" w:rsidR="0087601C" w:rsidRPr="006A1EC7" w:rsidRDefault="0087601C" w:rsidP="0087601C"/>
    <w:p w14:paraId="699C1ADB" w14:textId="77777777" w:rsidR="0087601C" w:rsidRPr="006A1EC7" w:rsidRDefault="0087601C" w:rsidP="0087601C">
      <w:r w:rsidRPr="006A1EC7">
        <w:t>Simple family tree:</w:t>
      </w:r>
    </w:p>
    <w:p w14:paraId="24BF2617" w14:textId="77777777" w:rsidR="0087601C" w:rsidRPr="006A1EC7" w:rsidRDefault="0087601C" w:rsidP="0087601C"/>
    <w:p w14:paraId="542514B9" w14:textId="77777777" w:rsidR="0087601C" w:rsidRPr="006A1EC7" w:rsidRDefault="0087601C" w:rsidP="0087601C"/>
    <w:p w14:paraId="2D98EB47" w14:textId="77777777" w:rsidR="0087601C" w:rsidRPr="006A1EC7" w:rsidRDefault="0087601C" w:rsidP="0087601C"/>
    <w:p w14:paraId="5E86D61D" w14:textId="77777777" w:rsidR="0087601C" w:rsidRPr="006A1EC7" w:rsidRDefault="0087601C" w:rsidP="0087601C"/>
    <w:p w14:paraId="75D0EFC6" w14:textId="77777777" w:rsidR="0087601C" w:rsidRPr="006A1EC7" w:rsidRDefault="0087601C" w:rsidP="0087601C"/>
    <w:p w14:paraId="6B8B6594" w14:textId="77777777" w:rsidR="0087601C" w:rsidRPr="006A1EC7" w:rsidRDefault="0087601C" w:rsidP="0087601C"/>
    <w:p w14:paraId="5DC4D946" w14:textId="77777777" w:rsidR="0087601C" w:rsidRPr="006A1EC7" w:rsidRDefault="0087601C" w:rsidP="0087601C"/>
    <w:p w14:paraId="63D02BAB" w14:textId="77777777" w:rsidR="0087601C" w:rsidRPr="006A1EC7" w:rsidRDefault="0087601C" w:rsidP="0087601C"/>
    <w:p w14:paraId="442825C6" w14:textId="77777777" w:rsidR="0087601C" w:rsidRPr="006A1EC7" w:rsidRDefault="0087601C" w:rsidP="0087601C"/>
    <w:p w14:paraId="533DF0EC" w14:textId="77777777" w:rsidR="0087601C" w:rsidRPr="006A1EC7" w:rsidRDefault="0087601C" w:rsidP="0087601C"/>
    <w:p w14:paraId="0A507F54" w14:textId="77777777" w:rsidR="0087601C" w:rsidRPr="006A1EC7" w:rsidRDefault="0087601C" w:rsidP="0087601C"/>
    <w:p w14:paraId="4D317B14" w14:textId="77777777" w:rsidR="0087601C" w:rsidRPr="006A1EC7" w:rsidRDefault="0087601C" w:rsidP="0087601C"/>
    <w:p w14:paraId="7E4B85A1" w14:textId="77777777" w:rsidR="0087601C" w:rsidRPr="006A1EC7" w:rsidRDefault="0087601C" w:rsidP="0087601C"/>
    <w:p w14:paraId="325269C0" w14:textId="77777777" w:rsidR="0087601C" w:rsidRPr="006A1EC7" w:rsidRDefault="0087601C" w:rsidP="0087601C"/>
    <w:p w14:paraId="1EAFB2C2" w14:textId="77777777" w:rsidR="0087601C" w:rsidRPr="006A1EC7" w:rsidRDefault="0087601C" w:rsidP="0087601C"/>
    <w:p w14:paraId="5569854E" w14:textId="77777777" w:rsidR="0087601C" w:rsidRPr="006A1EC7" w:rsidRDefault="0087601C" w:rsidP="0087601C"/>
    <w:p w14:paraId="4C2BF074" w14:textId="77777777" w:rsidR="0087601C" w:rsidRPr="006A1EC7" w:rsidRDefault="0087601C" w:rsidP="0087601C"/>
    <w:p w14:paraId="4CB47A4A" w14:textId="77777777" w:rsidR="0087601C" w:rsidRPr="006A1EC7" w:rsidRDefault="0087601C" w:rsidP="0087601C">
      <w:r w:rsidRPr="006A1EC7">
        <w:t>(Alternatively, please put patient detail sicker here)</w:t>
      </w:r>
      <w:r w:rsidRPr="006A1EC7">
        <w:br/>
      </w:r>
    </w:p>
    <w:p w14:paraId="42C45528" w14:textId="77777777" w:rsidR="0087601C" w:rsidRPr="006A1EC7" w:rsidRDefault="0087601C" w:rsidP="0087601C"/>
    <w:p w14:paraId="0103A512" w14:textId="77777777" w:rsidR="0087601C" w:rsidRPr="006A1EC7" w:rsidRDefault="0087601C" w:rsidP="0087601C">
      <w:pPr>
        <w:rPr>
          <w:b/>
          <w:u w:val="single"/>
        </w:rPr>
      </w:pPr>
      <w:r w:rsidRPr="006A1EC7">
        <w:br w:type="page"/>
      </w:r>
      <w:r w:rsidRPr="006A1EC7">
        <w:rPr>
          <w:b/>
          <w:u w:val="single"/>
        </w:rPr>
        <w:lastRenderedPageBreak/>
        <w:t>Section 1: Facial features</w:t>
      </w:r>
    </w:p>
    <w:p w14:paraId="03E0463C" w14:textId="77777777" w:rsidR="0087601C" w:rsidRPr="006A1EC7" w:rsidRDefault="0087601C" w:rsidP="0087601C">
      <w:pPr>
        <w:rPr>
          <w:b/>
          <w:u w:val="single"/>
        </w:rPr>
      </w:pPr>
    </w:p>
    <w:p w14:paraId="4DF32318" w14:textId="77777777" w:rsidR="0087601C" w:rsidRPr="006A1EC7" w:rsidRDefault="0087601C" w:rsidP="0087601C">
      <w:r w:rsidRPr="006A1EC7">
        <w:rPr>
          <w:u w:val="single"/>
        </w:rPr>
        <w:br/>
        <w:t>1A: Broad/prominent nasal bridge</w:t>
      </w:r>
      <w:r w:rsidRPr="006A1EC7">
        <w:t xml:space="preserve"> </w:t>
      </w:r>
      <w:r w:rsidRPr="006A1EC7">
        <w:br/>
        <w:t xml:space="preserve">Present = 1 </w:t>
      </w:r>
    </w:p>
    <w:p w14:paraId="03963702" w14:textId="77777777" w:rsidR="0087601C" w:rsidRPr="006A1EC7" w:rsidRDefault="0087601C" w:rsidP="0087601C">
      <w:r w:rsidRPr="006A1EC7">
        <w:t xml:space="preserve">Absent = 0 </w:t>
      </w:r>
    </w:p>
    <w:p w14:paraId="34C8EF71" w14:textId="77777777" w:rsidR="0087601C" w:rsidRPr="006A1EC7" w:rsidRDefault="0087601C" w:rsidP="0087601C"/>
    <w:p w14:paraId="1B967FDF" w14:textId="77777777" w:rsidR="0087601C" w:rsidRPr="006A1EC7" w:rsidRDefault="0087601C" w:rsidP="0087601C">
      <w:pPr>
        <w:rPr>
          <w:u w:val="single"/>
        </w:rPr>
      </w:pPr>
      <w:r w:rsidRPr="006A1EC7">
        <w:rPr>
          <w:u w:val="single"/>
        </w:rPr>
        <w:t xml:space="preserve">1B: Prominent glabella </w:t>
      </w:r>
    </w:p>
    <w:p w14:paraId="77B43BDD" w14:textId="77777777" w:rsidR="0087601C" w:rsidRPr="006A1EC7" w:rsidRDefault="0087601C" w:rsidP="0087601C">
      <w:r w:rsidRPr="006A1EC7">
        <w:t xml:space="preserve">Present = 1 </w:t>
      </w:r>
    </w:p>
    <w:p w14:paraId="586993C8" w14:textId="77777777" w:rsidR="0087601C" w:rsidRPr="006A1EC7" w:rsidRDefault="0087601C" w:rsidP="0087601C">
      <w:r w:rsidRPr="006A1EC7">
        <w:t xml:space="preserve">Absent = 0 </w:t>
      </w:r>
    </w:p>
    <w:p w14:paraId="65573B4B" w14:textId="77777777" w:rsidR="0087601C" w:rsidRPr="006A1EC7" w:rsidRDefault="0087601C" w:rsidP="0087601C"/>
    <w:p w14:paraId="5E8A8BB4" w14:textId="77777777" w:rsidR="0087601C" w:rsidRPr="006A1EC7" w:rsidRDefault="0087601C" w:rsidP="0087601C">
      <w:pPr>
        <w:rPr>
          <w:u w:val="single"/>
        </w:rPr>
      </w:pPr>
      <w:r w:rsidRPr="006A1EC7">
        <w:rPr>
          <w:u w:val="single"/>
        </w:rPr>
        <w:t xml:space="preserve">1C: Highly arched eyebrows </w:t>
      </w:r>
    </w:p>
    <w:p w14:paraId="041E61F8" w14:textId="77777777" w:rsidR="0087601C" w:rsidRPr="006A1EC7" w:rsidRDefault="0087601C" w:rsidP="0087601C">
      <w:r w:rsidRPr="006A1EC7">
        <w:t xml:space="preserve">Present = 1 </w:t>
      </w:r>
    </w:p>
    <w:p w14:paraId="1CA117F3" w14:textId="77777777" w:rsidR="0087601C" w:rsidRPr="006A1EC7" w:rsidRDefault="0087601C" w:rsidP="0087601C">
      <w:r w:rsidRPr="006A1EC7">
        <w:t xml:space="preserve">Absent = 0 </w:t>
      </w:r>
    </w:p>
    <w:p w14:paraId="6B20893C" w14:textId="77777777" w:rsidR="0087601C" w:rsidRPr="006A1EC7" w:rsidRDefault="0087601C" w:rsidP="0087601C"/>
    <w:p w14:paraId="5A3DB955" w14:textId="77777777" w:rsidR="0087601C" w:rsidRPr="006A1EC7" w:rsidRDefault="0087601C" w:rsidP="0087601C">
      <w:pPr>
        <w:rPr>
          <w:u w:val="single"/>
        </w:rPr>
      </w:pPr>
      <w:r w:rsidRPr="006A1EC7">
        <w:rPr>
          <w:u w:val="single"/>
        </w:rPr>
        <w:t>1D: Prominent, widely-spaced eyes (hypertelorism)</w:t>
      </w:r>
    </w:p>
    <w:p w14:paraId="0CFBD982" w14:textId="77777777" w:rsidR="0087601C" w:rsidRPr="006A1EC7" w:rsidRDefault="0087601C" w:rsidP="0087601C">
      <w:r w:rsidRPr="006A1EC7">
        <w:t xml:space="preserve">Present = 1 </w:t>
      </w:r>
    </w:p>
    <w:p w14:paraId="34D40BB8" w14:textId="77777777" w:rsidR="0087601C" w:rsidRPr="006A1EC7" w:rsidRDefault="0087601C" w:rsidP="0087601C">
      <w:r w:rsidRPr="006A1EC7">
        <w:t xml:space="preserve">Absent = 0 </w:t>
      </w:r>
    </w:p>
    <w:p w14:paraId="45D27439" w14:textId="77777777" w:rsidR="0087601C" w:rsidRPr="006A1EC7" w:rsidRDefault="0087601C" w:rsidP="0087601C"/>
    <w:p w14:paraId="35C19B81" w14:textId="77777777" w:rsidR="0087601C" w:rsidRPr="006A1EC7" w:rsidRDefault="0087601C" w:rsidP="0087601C">
      <w:pPr>
        <w:rPr>
          <w:u w:val="single"/>
        </w:rPr>
      </w:pPr>
      <w:r w:rsidRPr="006A1EC7">
        <w:rPr>
          <w:u w:val="single"/>
        </w:rPr>
        <w:t xml:space="preserve">1E: Short philtrum </w:t>
      </w:r>
    </w:p>
    <w:p w14:paraId="5F7773CF" w14:textId="77777777" w:rsidR="0087601C" w:rsidRPr="006A1EC7" w:rsidRDefault="0087601C" w:rsidP="0087601C">
      <w:r w:rsidRPr="006A1EC7">
        <w:t xml:space="preserve">Present = 1 </w:t>
      </w:r>
    </w:p>
    <w:p w14:paraId="04A2C523" w14:textId="77777777" w:rsidR="0087601C" w:rsidRPr="006A1EC7" w:rsidRDefault="0087601C" w:rsidP="0087601C">
      <w:r w:rsidRPr="006A1EC7">
        <w:t xml:space="preserve">Absent = 0  </w:t>
      </w:r>
    </w:p>
    <w:p w14:paraId="737189A2" w14:textId="77777777" w:rsidR="0087601C" w:rsidRPr="006A1EC7" w:rsidRDefault="0087601C" w:rsidP="0087601C"/>
    <w:p w14:paraId="65B9F559" w14:textId="77777777" w:rsidR="0087601C" w:rsidRPr="006A1EC7" w:rsidRDefault="0087601C" w:rsidP="0087601C">
      <w:r w:rsidRPr="006A1EC7">
        <w:rPr>
          <w:u w:val="single"/>
        </w:rPr>
        <w:t>1F: Downturned corners of the mouth</w:t>
      </w:r>
      <w:r w:rsidRPr="006A1EC7">
        <w:t xml:space="preserve">  </w:t>
      </w:r>
    </w:p>
    <w:p w14:paraId="2A064DF2" w14:textId="77777777" w:rsidR="0087601C" w:rsidRPr="006A1EC7" w:rsidRDefault="0087601C" w:rsidP="0087601C">
      <w:r w:rsidRPr="006A1EC7">
        <w:t xml:space="preserve">Present = 1 </w:t>
      </w:r>
    </w:p>
    <w:p w14:paraId="4EE904FF" w14:textId="77777777" w:rsidR="0087601C" w:rsidRPr="006A1EC7" w:rsidRDefault="0087601C" w:rsidP="0087601C">
      <w:r w:rsidRPr="006A1EC7">
        <w:t xml:space="preserve">Absent = 0 </w:t>
      </w:r>
    </w:p>
    <w:p w14:paraId="5C717A6F" w14:textId="77777777" w:rsidR="0087601C" w:rsidRPr="006A1EC7" w:rsidRDefault="0087601C" w:rsidP="0087601C"/>
    <w:p w14:paraId="0872DF53" w14:textId="77777777" w:rsidR="0087601C" w:rsidRPr="006A1EC7" w:rsidRDefault="0087601C" w:rsidP="0087601C">
      <w:pPr>
        <w:rPr>
          <w:u w:val="single"/>
        </w:rPr>
      </w:pPr>
      <w:r w:rsidRPr="006A1EC7">
        <w:rPr>
          <w:u w:val="single"/>
        </w:rPr>
        <w:t>1G: Greek warrior helmet appearance</w:t>
      </w:r>
    </w:p>
    <w:p w14:paraId="39EE3551" w14:textId="77777777" w:rsidR="0087601C" w:rsidRPr="006A1EC7" w:rsidRDefault="0087601C" w:rsidP="0087601C">
      <w:r w:rsidRPr="006A1EC7">
        <w:t xml:space="preserve">Present = 1 </w:t>
      </w:r>
    </w:p>
    <w:p w14:paraId="028026D1" w14:textId="77777777" w:rsidR="0087601C" w:rsidRPr="006A1EC7" w:rsidRDefault="0087601C" w:rsidP="0087601C">
      <w:r w:rsidRPr="006A1EC7">
        <w:t xml:space="preserve">Absent = 0 </w:t>
      </w:r>
    </w:p>
    <w:p w14:paraId="095DD0DC" w14:textId="77777777" w:rsidR="0087601C" w:rsidRPr="006A1EC7" w:rsidRDefault="0087601C" w:rsidP="0087601C"/>
    <w:p w14:paraId="6F222C7D" w14:textId="77777777" w:rsidR="0087601C" w:rsidRPr="006A1EC7" w:rsidRDefault="0087601C" w:rsidP="0087601C">
      <w:pPr>
        <w:rPr>
          <w:u w:val="single"/>
        </w:rPr>
      </w:pPr>
      <w:r w:rsidRPr="006A1EC7">
        <w:rPr>
          <w:u w:val="single"/>
        </w:rPr>
        <w:t xml:space="preserve">1H: Microcephaly </w:t>
      </w:r>
    </w:p>
    <w:p w14:paraId="0D119A76" w14:textId="77777777" w:rsidR="0087601C" w:rsidRPr="006A1EC7" w:rsidRDefault="0087601C" w:rsidP="0087601C">
      <w:r w:rsidRPr="006A1EC7">
        <w:t xml:space="preserve">Present = 1 </w:t>
      </w:r>
    </w:p>
    <w:p w14:paraId="775F4A26" w14:textId="77777777" w:rsidR="0087601C" w:rsidRPr="006A1EC7" w:rsidRDefault="0087601C" w:rsidP="0087601C">
      <w:r w:rsidRPr="006A1EC7">
        <w:t xml:space="preserve">Absent = 0 </w:t>
      </w:r>
    </w:p>
    <w:p w14:paraId="1DAC973B" w14:textId="77777777" w:rsidR="0087601C" w:rsidRPr="006A1EC7" w:rsidRDefault="0087601C" w:rsidP="0087601C"/>
    <w:p w14:paraId="01327CFE" w14:textId="77777777" w:rsidR="0087601C" w:rsidRPr="006A1EC7" w:rsidRDefault="0087601C" w:rsidP="0087601C">
      <w:pPr>
        <w:rPr>
          <w:u w:val="single"/>
        </w:rPr>
      </w:pPr>
      <w:r w:rsidRPr="006A1EC7">
        <w:rPr>
          <w:u w:val="single"/>
        </w:rPr>
        <w:t>1I: High hairline</w:t>
      </w:r>
    </w:p>
    <w:p w14:paraId="08F1C57D" w14:textId="77777777" w:rsidR="0087601C" w:rsidRPr="006A1EC7" w:rsidRDefault="0087601C" w:rsidP="0087601C">
      <w:r w:rsidRPr="006A1EC7">
        <w:t xml:space="preserve">Present = 1 </w:t>
      </w:r>
    </w:p>
    <w:p w14:paraId="3E31FC24" w14:textId="77777777" w:rsidR="0087601C" w:rsidRPr="006A1EC7" w:rsidRDefault="0087601C" w:rsidP="0087601C">
      <w:r w:rsidRPr="006A1EC7">
        <w:t xml:space="preserve">Absent = 0 </w:t>
      </w:r>
    </w:p>
    <w:p w14:paraId="1EA2CB1B" w14:textId="77777777" w:rsidR="0087601C" w:rsidRPr="006A1EC7" w:rsidRDefault="0087601C" w:rsidP="0087601C">
      <w:pPr>
        <w:rPr>
          <w:u w:val="single"/>
        </w:rPr>
      </w:pPr>
    </w:p>
    <w:p w14:paraId="66569AAE" w14:textId="77777777" w:rsidR="0087601C" w:rsidRPr="006A1EC7" w:rsidRDefault="0087601C" w:rsidP="0087601C">
      <w:pPr>
        <w:rPr>
          <w:u w:val="single"/>
        </w:rPr>
      </w:pPr>
      <w:r w:rsidRPr="006A1EC7">
        <w:rPr>
          <w:u w:val="single"/>
        </w:rPr>
        <w:t>1K: Cleft lip</w:t>
      </w:r>
    </w:p>
    <w:p w14:paraId="2378F72E" w14:textId="77777777" w:rsidR="0087601C" w:rsidRPr="006A1EC7" w:rsidRDefault="0087601C" w:rsidP="0087601C">
      <w:r w:rsidRPr="006A1EC7">
        <w:t xml:space="preserve">Absent = 0 </w:t>
      </w:r>
    </w:p>
    <w:p w14:paraId="72AF5DC0" w14:textId="77777777" w:rsidR="0087601C" w:rsidRPr="006A1EC7" w:rsidRDefault="0087601C" w:rsidP="0087601C">
      <w:r w:rsidRPr="006A1EC7">
        <w:t xml:space="preserve">Present* = 1 </w:t>
      </w:r>
      <w:r w:rsidRPr="006A1EC7">
        <w:br/>
        <w:t>* if present, height of cleft:</w:t>
      </w:r>
    </w:p>
    <w:p w14:paraId="4CAC77E0" w14:textId="77777777" w:rsidR="0087601C" w:rsidRPr="006A1EC7" w:rsidRDefault="0087601C" w:rsidP="0087601C">
      <w:pPr>
        <w:rPr>
          <w:u w:val="single"/>
        </w:rPr>
      </w:pPr>
    </w:p>
    <w:p w14:paraId="0F7FA039" w14:textId="77777777" w:rsidR="0087601C" w:rsidRPr="006A1EC7" w:rsidRDefault="0087601C" w:rsidP="0087601C">
      <w:pPr>
        <w:rPr>
          <w:u w:val="single"/>
        </w:rPr>
      </w:pPr>
      <w:r w:rsidRPr="006A1EC7">
        <w:rPr>
          <w:u w:val="single"/>
        </w:rPr>
        <w:t>1L: Cleft palate</w:t>
      </w:r>
    </w:p>
    <w:p w14:paraId="2E326800" w14:textId="77777777" w:rsidR="0087601C" w:rsidRPr="006A1EC7" w:rsidRDefault="0087601C" w:rsidP="0087601C">
      <w:r w:rsidRPr="006A1EC7">
        <w:t xml:space="preserve">Present* = 1 </w:t>
      </w:r>
    </w:p>
    <w:p w14:paraId="5ECC91CE" w14:textId="77777777" w:rsidR="0087601C" w:rsidRPr="006A1EC7" w:rsidRDefault="0087601C" w:rsidP="0087601C">
      <w:r w:rsidRPr="006A1EC7">
        <w:t>Absent= 0</w:t>
      </w:r>
      <w:r w:rsidRPr="006A1EC7">
        <w:br/>
        <w:t>* if present, height of cleft:</w:t>
      </w:r>
    </w:p>
    <w:p w14:paraId="69026273" w14:textId="77777777" w:rsidR="0087601C" w:rsidRPr="006A1EC7" w:rsidRDefault="0087601C" w:rsidP="0087601C"/>
    <w:p w14:paraId="1B87D515" w14:textId="77777777" w:rsidR="0087601C" w:rsidRPr="006A1EC7" w:rsidRDefault="0087601C" w:rsidP="0087601C">
      <w:pPr>
        <w:rPr>
          <w:b/>
          <w:u w:val="single"/>
        </w:rPr>
      </w:pPr>
      <w:r w:rsidRPr="006A1EC7">
        <w:rPr>
          <w:b/>
          <w:u w:val="single"/>
        </w:rPr>
        <w:t>Section 2: Epilepsy and seizures</w:t>
      </w:r>
    </w:p>
    <w:p w14:paraId="45065168" w14:textId="77777777" w:rsidR="0087601C" w:rsidRPr="006A1EC7" w:rsidRDefault="0087601C" w:rsidP="0087601C"/>
    <w:p w14:paraId="1E6DE743" w14:textId="77777777" w:rsidR="0087601C" w:rsidRPr="006A1EC7" w:rsidRDefault="0087601C" w:rsidP="0087601C">
      <w:r w:rsidRPr="006A1EC7">
        <w:rPr>
          <w:u w:val="single"/>
        </w:rPr>
        <w:t xml:space="preserve">2A: Has the patient ever had a diagnosis of febrile seizure/s? </w:t>
      </w:r>
      <w:r w:rsidRPr="006A1EC7">
        <w:rPr>
          <w:u w:val="single"/>
        </w:rPr>
        <w:br/>
      </w:r>
      <w:r w:rsidRPr="006A1EC7">
        <w:t>Yes = 1</w:t>
      </w:r>
    </w:p>
    <w:p w14:paraId="794DBF11" w14:textId="77777777" w:rsidR="0087601C" w:rsidRPr="006A1EC7" w:rsidRDefault="0087601C" w:rsidP="0087601C">
      <w:r w:rsidRPr="006A1EC7">
        <w:t>No = 0</w:t>
      </w:r>
    </w:p>
    <w:p w14:paraId="36A7E530" w14:textId="77777777" w:rsidR="0087601C" w:rsidRPr="006A1EC7" w:rsidRDefault="0087601C" w:rsidP="0087601C">
      <w:pPr>
        <w:rPr>
          <w:u w:val="single"/>
        </w:rPr>
      </w:pPr>
    </w:p>
    <w:p w14:paraId="62103F92" w14:textId="77777777" w:rsidR="0087601C" w:rsidRPr="006A1EC7" w:rsidRDefault="0087601C" w:rsidP="0087601C">
      <w:pPr>
        <w:rPr>
          <w:u w:val="single"/>
        </w:rPr>
      </w:pPr>
    </w:p>
    <w:p w14:paraId="2463BBC7" w14:textId="77777777" w:rsidR="0087601C" w:rsidRPr="006A1EC7" w:rsidRDefault="0087601C" w:rsidP="0087601C">
      <w:pPr>
        <w:rPr>
          <w:u w:val="single"/>
        </w:rPr>
      </w:pPr>
      <w:r w:rsidRPr="006A1EC7">
        <w:rPr>
          <w:u w:val="single"/>
        </w:rPr>
        <w:t xml:space="preserve">2B: Has the patient ever had a diagnosis of epilepsy? </w:t>
      </w:r>
    </w:p>
    <w:p w14:paraId="21277ED0" w14:textId="77777777" w:rsidR="0087601C" w:rsidRPr="006A1EC7" w:rsidRDefault="0087601C" w:rsidP="0087601C">
      <w:r w:rsidRPr="006A1EC7">
        <w:t>Yes = 1</w:t>
      </w:r>
    </w:p>
    <w:p w14:paraId="0338A9EA" w14:textId="77777777" w:rsidR="0087601C" w:rsidRPr="006A1EC7" w:rsidRDefault="0087601C" w:rsidP="0087601C">
      <w:r w:rsidRPr="006A1EC7">
        <w:t>No = 0</w:t>
      </w:r>
    </w:p>
    <w:p w14:paraId="2FDB19E6" w14:textId="77777777" w:rsidR="0087601C" w:rsidRPr="006A1EC7" w:rsidRDefault="0087601C" w:rsidP="0087601C"/>
    <w:p w14:paraId="037D66A0" w14:textId="77777777" w:rsidR="0087601C" w:rsidRPr="006A1EC7" w:rsidRDefault="0087601C" w:rsidP="0087601C">
      <w:pPr>
        <w:rPr>
          <w:u w:val="single"/>
        </w:rPr>
      </w:pPr>
      <w:r w:rsidRPr="006A1EC7">
        <w:rPr>
          <w:u w:val="single"/>
        </w:rPr>
        <w:t>2C.1: Does the patient currently have epileptic seizures (= unprovoked seizures)?</w:t>
      </w:r>
      <w:r w:rsidRPr="006A1EC7">
        <w:br/>
        <w:t>Yes = 1</w:t>
      </w:r>
    </w:p>
    <w:p w14:paraId="7CD6B8FA" w14:textId="77777777" w:rsidR="0087601C" w:rsidRPr="006A1EC7" w:rsidRDefault="0087601C" w:rsidP="0087601C">
      <w:r w:rsidRPr="006A1EC7">
        <w:t xml:space="preserve">No = 0 </w:t>
      </w:r>
    </w:p>
    <w:p w14:paraId="54833925" w14:textId="77777777" w:rsidR="0087601C" w:rsidRPr="006A1EC7" w:rsidRDefault="0087601C" w:rsidP="0087601C"/>
    <w:p w14:paraId="493410B0" w14:textId="77777777" w:rsidR="0087601C" w:rsidRPr="006A1EC7" w:rsidRDefault="0087601C" w:rsidP="0087601C">
      <w:pPr>
        <w:rPr>
          <w:b/>
        </w:rPr>
      </w:pPr>
      <w:r w:rsidRPr="006A1EC7">
        <w:rPr>
          <w:b/>
        </w:rPr>
        <w:t xml:space="preserve">If </w:t>
      </w:r>
      <w:r w:rsidRPr="006A1EC7">
        <w:rPr>
          <w:b/>
          <w:u w:val="single"/>
        </w:rPr>
        <w:t>2A, 2B and 2C</w:t>
      </w:r>
      <w:r w:rsidRPr="006A1EC7">
        <w:rPr>
          <w:b/>
        </w:rPr>
        <w:t xml:space="preserve"> were </w:t>
      </w:r>
      <w:r w:rsidRPr="006A1EC7">
        <w:rPr>
          <w:b/>
          <w:u w:val="single"/>
        </w:rPr>
        <w:t>all</w:t>
      </w:r>
      <w:r w:rsidRPr="006A1EC7">
        <w:rPr>
          <w:b/>
        </w:rPr>
        <w:t xml:space="preserve"> answered no (=no febrile seizures, no status epilepticus, never had seizure activity), please proceed to Section 3.</w:t>
      </w:r>
    </w:p>
    <w:p w14:paraId="6D711E61" w14:textId="77777777" w:rsidR="0087601C" w:rsidRPr="006A1EC7" w:rsidRDefault="0087601C" w:rsidP="0087601C"/>
    <w:p w14:paraId="27A76567" w14:textId="77777777" w:rsidR="0087601C" w:rsidRPr="006A1EC7" w:rsidRDefault="0087601C" w:rsidP="0087601C">
      <w:pPr>
        <w:rPr>
          <w:u w:val="single"/>
        </w:rPr>
      </w:pPr>
      <w:r w:rsidRPr="006A1EC7">
        <w:rPr>
          <w:u w:val="single"/>
        </w:rPr>
        <w:t>2C.2: What is the patient’s current seizure frequency?</w:t>
      </w:r>
    </w:p>
    <w:p w14:paraId="5BE9E520" w14:textId="77777777" w:rsidR="0087601C" w:rsidRPr="006A1EC7" w:rsidRDefault="0087601C" w:rsidP="0087601C">
      <w:pPr>
        <w:pStyle w:val="Default"/>
        <w:rPr>
          <w:color w:val="000000" w:themeColor="text1"/>
        </w:rPr>
      </w:pPr>
      <w:r w:rsidRPr="006A1EC7">
        <w:rPr>
          <w:color w:val="000000" w:themeColor="text1"/>
        </w:rPr>
        <w:t>One seizure a day or more = 6</w:t>
      </w:r>
    </w:p>
    <w:p w14:paraId="3707EC1F" w14:textId="77777777" w:rsidR="0087601C" w:rsidRPr="006A1EC7" w:rsidRDefault="0087601C" w:rsidP="0087601C">
      <w:pPr>
        <w:pStyle w:val="Default"/>
        <w:rPr>
          <w:color w:val="000000" w:themeColor="text1"/>
        </w:rPr>
      </w:pPr>
      <w:r w:rsidRPr="006A1EC7">
        <w:rPr>
          <w:color w:val="000000" w:themeColor="text1"/>
        </w:rPr>
        <w:t>One seizure a week = 5</w:t>
      </w:r>
      <w:r w:rsidRPr="006A1EC7">
        <w:rPr>
          <w:color w:val="000000" w:themeColor="text1"/>
        </w:rPr>
        <w:br/>
        <w:t>One to three seizure in the last four weeks = 4</w:t>
      </w:r>
    </w:p>
    <w:p w14:paraId="45FA1F87" w14:textId="77777777" w:rsidR="0087601C" w:rsidRPr="006A1EC7" w:rsidRDefault="0087601C" w:rsidP="0087601C">
      <w:pPr>
        <w:pStyle w:val="Default"/>
        <w:rPr>
          <w:color w:val="000000" w:themeColor="text1"/>
        </w:rPr>
      </w:pPr>
      <w:r w:rsidRPr="006A1EC7">
        <w:rPr>
          <w:color w:val="000000" w:themeColor="text1"/>
        </w:rPr>
        <w:t>One seizure in the last 1-3 months = 3</w:t>
      </w:r>
    </w:p>
    <w:p w14:paraId="279855B6" w14:textId="77777777" w:rsidR="0087601C" w:rsidRPr="006A1EC7" w:rsidRDefault="0087601C" w:rsidP="0087601C">
      <w:pPr>
        <w:pStyle w:val="Default"/>
        <w:rPr>
          <w:color w:val="000000" w:themeColor="text1"/>
        </w:rPr>
      </w:pPr>
      <w:r w:rsidRPr="006A1EC7">
        <w:rPr>
          <w:color w:val="000000" w:themeColor="text1"/>
        </w:rPr>
        <w:t>One seizure in the past 3-6 months = 2</w:t>
      </w:r>
    </w:p>
    <w:p w14:paraId="1A1CEE87" w14:textId="77777777" w:rsidR="0087601C" w:rsidRPr="006A1EC7" w:rsidRDefault="0087601C" w:rsidP="0087601C">
      <w:pPr>
        <w:pStyle w:val="Default"/>
        <w:rPr>
          <w:color w:val="000000" w:themeColor="text1"/>
        </w:rPr>
      </w:pPr>
      <w:r w:rsidRPr="006A1EC7">
        <w:rPr>
          <w:color w:val="000000" w:themeColor="text1"/>
        </w:rPr>
        <w:t>Less than one over the past 6 months =1</w:t>
      </w:r>
    </w:p>
    <w:p w14:paraId="62F7687D" w14:textId="77777777" w:rsidR="0087601C" w:rsidRPr="006A1EC7" w:rsidRDefault="0087601C" w:rsidP="0087601C">
      <w:pPr>
        <w:pStyle w:val="Default"/>
        <w:rPr>
          <w:color w:val="000000" w:themeColor="text1"/>
        </w:rPr>
      </w:pPr>
      <w:r w:rsidRPr="006A1EC7">
        <w:rPr>
          <w:color w:val="000000" w:themeColor="text1"/>
        </w:rPr>
        <w:t xml:space="preserve">No seizures = 0 </w:t>
      </w:r>
    </w:p>
    <w:p w14:paraId="48706D22" w14:textId="77777777" w:rsidR="0087601C" w:rsidRPr="006A1EC7" w:rsidRDefault="0087601C" w:rsidP="0087601C">
      <w:pPr>
        <w:pStyle w:val="Default"/>
        <w:rPr>
          <w:color w:val="000000" w:themeColor="text1"/>
        </w:rPr>
      </w:pPr>
    </w:p>
    <w:p w14:paraId="1C179682" w14:textId="77777777" w:rsidR="0087601C" w:rsidRPr="006A1EC7" w:rsidRDefault="0087601C" w:rsidP="0087601C">
      <w:pPr>
        <w:rPr>
          <w:u w:val="single"/>
        </w:rPr>
      </w:pPr>
      <w:r w:rsidRPr="006A1EC7">
        <w:rPr>
          <w:u w:val="single"/>
        </w:rPr>
        <w:t xml:space="preserve">2C.3: What types of seizures does the patient experience? </w:t>
      </w:r>
    </w:p>
    <w:p w14:paraId="4FF5B4F2" w14:textId="77777777" w:rsidR="0087601C" w:rsidRPr="006A1EC7" w:rsidRDefault="0087601C" w:rsidP="0087601C">
      <w:pPr>
        <w:rPr>
          <w:i/>
        </w:rPr>
      </w:pPr>
      <w:r w:rsidRPr="006A1EC7">
        <w:rPr>
          <w:i/>
        </w:rPr>
        <w:t xml:space="preserve">If more than one applicable, add up </w:t>
      </w:r>
    </w:p>
    <w:p w14:paraId="202B78D7" w14:textId="77777777" w:rsidR="0087601C" w:rsidRPr="006A1EC7" w:rsidRDefault="0087601C" w:rsidP="0087601C">
      <w:r w:rsidRPr="006A1EC7">
        <w:t>Tonic-clonic = 3</w:t>
      </w:r>
    </w:p>
    <w:p w14:paraId="3EC78A2D" w14:textId="77777777" w:rsidR="0087601C" w:rsidRPr="006A1EC7" w:rsidRDefault="0087601C" w:rsidP="0087601C">
      <w:r w:rsidRPr="006A1EC7">
        <w:t xml:space="preserve">Focal = 2 </w:t>
      </w:r>
    </w:p>
    <w:p w14:paraId="080CB16C" w14:textId="77777777" w:rsidR="0087601C" w:rsidRPr="006A1EC7" w:rsidRDefault="0087601C" w:rsidP="0087601C">
      <w:r w:rsidRPr="006A1EC7">
        <w:t>Absence = 1</w:t>
      </w:r>
    </w:p>
    <w:p w14:paraId="69FF443D" w14:textId="77777777" w:rsidR="0087601C" w:rsidRPr="006A1EC7" w:rsidRDefault="0087601C" w:rsidP="0087601C">
      <w:r w:rsidRPr="006A1EC7">
        <w:t>Myoclonic = 1</w:t>
      </w:r>
    </w:p>
    <w:p w14:paraId="00E9C75C" w14:textId="77777777" w:rsidR="0087601C" w:rsidRPr="006A1EC7" w:rsidRDefault="0087601C" w:rsidP="0087601C">
      <w:r w:rsidRPr="006A1EC7">
        <w:t xml:space="preserve">None = 0 </w:t>
      </w:r>
    </w:p>
    <w:p w14:paraId="2391B6D1" w14:textId="77777777" w:rsidR="0087601C" w:rsidRPr="006A1EC7" w:rsidRDefault="0087601C" w:rsidP="0087601C">
      <w:pPr>
        <w:rPr>
          <w:color w:val="000000" w:themeColor="text1"/>
          <w:u w:val="single"/>
        </w:rPr>
      </w:pPr>
    </w:p>
    <w:p w14:paraId="281F31B7" w14:textId="77777777" w:rsidR="0087601C" w:rsidRPr="006A1EC7" w:rsidRDefault="0087601C" w:rsidP="0087601C">
      <w:pPr>
        <w:rPr>
          <w:color w:val="000000" w:themeColor="text1"/>
        </w:rPr>
      </w:pPr>
      <w:r w:rsidRPr="006A1EC7">
        <w:rPr>
          <w:color w:val="000000" w:themeColor="text1"/>
          <w:u w:val="single"/>
        </w:rPr>
        <w:t>2C.4: What was the maximum level of after-care needed for seizures over the past 6 months?</w:t>
      </w:r>
      <w:r w:rsidRPr="006A1EC7">
        <w:rPr>
          <w:color w:val="000000" w:themeColor="text1"/>
          <w:u w:val="single"/>
        </w:rPr>
        <w:br/>
      </w:r>
      <w:r w:rsidRPr="006A1EC7">
        <w:rPr>
          <w:color w:val="000000" w:themeColor="text1"/>
        </w:rPr>
        <w:t xml:space="preserve">Hospital admission = 3 </w:t>
      </w:r>
    </w:p>
    <w:p w14:paraId="4FC30AE4" w14:textId="77777777" w:rsidR="0087601C" w:rsidRPr="006A1EC7" w:rsidRDefault="0087601C" w:rsidP="0087601C">
      <w:pPr>
        <w:rPr>
          <w:color w:val="000000" w:themeColor="text1"/>
        </w:rPr>
      </w:pPr>
      <w:r w:rsidRPr="006A1EC7">
        <w:rPr>
          <w:color w:val="000000" w:themeColor="text1"/>
        </w:rPr>
        <w:lastRenderedPageBreak/>
        <w:t xml:space="preserve">Ambulance called = 2 </w:t>
      </w:r>
    </w:p>
    <w:p w14:paraId="0885A104" w14:textId="77777777" w:rsidR="0087601C" w:rsidRPr="006A1EC7" w:rsidRDefault="0087601C" w:rsidP="0087601C">
      <w:pPr>
        <w:rPr>
          <w:color w:val="000000" w:themeColor="text1"/>
        </w:rPr>
      </w:pPr>
      <w:r w:rsidRPr="006A1EC7">
        <w:rPr>
          <w:color w:val="000000" w:themeColor="text1"/>
        </w:rPr>
        <w:t>Parent/caregiver administration of treatment at home = 1</w:t>
      </w:r>
    </w:p>
    <w:p w14:paraId="097EB986" w14:textId="77777777" w:rsidR="0087601C" w:rsidRPr="006A1EC7" w:rsidRDefault="0087601C" w:rsidP="0087601C">
      <w:pPr>
        <w:rPr>
          <w:color w:val="000000" w:themeColor="text1"/>
        </w:rPr>
      </w:pPr>
      <w:r w:rsidRPr="006A1EC7">
        <w:rPr>
          <w:color w:val="000000" w:themeColor="text1"/>
        </w:rPr>
        <w:t xml:space="preserve">None/no after-care required = 0 </w:t>
      </w:r>
      <w:r w:rsidRPr="006A1EC7">
        <w:rPr>
          <w:color w:val="000000" w:themeColor="text1"/>
        </w:rPr>
        <w:br/>
      </w:r>
    </w:p>
    <w:p w14:paraId="5D9FFD74" w14:textId="77777777" w:rsidR="0087601C" w:rsidRPr="006A1EC7" w:rsidRDefault="0087601C" w:rsidP="0087601C">
      <w:pPr>
        <w:rPr>
          <w:u w:val="single"/>
        </w:rPr>
      </w:pPr>
      <w:r w:rsidRPr="006A1EC7">
        <w:rPr>
          <w:u w:val="single"/>
        </w:rPr>
        <w:t>2D.1: Is the patient currently taking Medication for epilepsy?</w:t>
      </w:r>
    </w:p>
    <w:p w14:paraId="5DCB38AF" w14:textId="77777777" w:rsidR="0087601C" w:rsidRPr="006A1EC7" w:rsidRDefault="0087601C" w:rsidP="0087601C">
      <w:r w:rsidRPr="006A1EC7">
        <w:t>Yes = 1</w:t>
      </w:r>
    </w:p>
    <w:p w14:paraId="584A80D7" w14:textId="77777777" w:rsidR="0087601C" w:rsidRPr="006A1EC7" w:rsidRDefault="0087601C" w:rsidP="0087601C">
      <w:r w:rsidRPr="006A1EC7">
        <w:t xml:space="preserve">No = 0 </w:t>
      </w:r>
    </w:p>
    <w:p w14:paraId="3D3DAE31" w14:textId="77777777" w:rsidR="0087601C" w:rsidRPr="006A1EC7" w:rsidRDefault="0087601C" w:rsidP="0087601C">
      <w:r w:rsidRPr="006A1EC7">
        <w:t>N/A = 0</w:t>
      </w:r>
    </w:p>
    <w:p w14:paraId="025071D6" w14:textId="77777777" w:rsidR="0087601C" w:rsidRPr="006A1EC7" w:rsidRDefault="0087601C" w:rsidP="0087601C">
      <w:pPr>
        <w:rPr>
          <w:color w:val="000000" w:themeColor="text1"/>
          <w:u w:val="single"/>
        </w:rPr>
      </w:pPr>
    </w:p>
    <w:p w14:paraId="632BBEA9" w14:textId="77777777" w:rsidR="0087601C" w:rsidRPr="006A1EC7" w:rsidRDefault="0087601C" w:rsidP="0087601C">
      <w:pPr>
        <w:rPr>
          <w:color w:val="000000" w:themeColor="text1"/>
        </w:rPr>
      </w:pPr>
      <w:r w:rsidRPr="006A1EC7">
        <w:rPr>
          <w:color w:val="000000" w:themeColor="text1"/>
          <w:u w:val="single"/>
        </w:rPr>
        <w:t>2D.2.1: Have there been any changes in epilepsy medication over the past 6 months (i.e. adjustments, drug change)?</w:t>
      </w:r>
      <w:r w:rsidRPr="006A1EC7">
        <w:rPr>
          <w:color w:val="000000" w:themeColor="text1"/>
        </w:rPr>
        <w:br/>
        <w:t>Yes = 1</w:t>
      </w:r>
      <w:r w:rsidRPr="006A1EC7">
        <w:rPr>
          <w:color w:val="000000" w:themeColor="text1"/>
        </w:rPr>
        <w:br/>
        <w:t>No = 0</w:t>
      </w:r>
    </w:p>
    <w:p w14:paraId="203E41C6" w14:textId="77777777" w:rsidR="0087601C" w:rsidRPr="006A1EC7" w:rsidRDefault="0087601C" w:rsidP="0087601C">
      <w:pPr>
        <w:rPr>
          <w:color w:val="000000" w:themeColor="text1"/>
        </w:rPr>
      </w:pPr>
      <w:r w:rsidRPr="006A1EC7">
        <w:rPr>
          <w:color w:val="000000" w:themeColor="text1"/>
        </w:rPr>
        <w:t>N/A = 0</w:t>
      </w:r>
    </w:p>
    <w:p w14:paraId="0F6E1463" w14:textId="77777777" w:rsidR="0087601C" w:rsidRPr="006A1EC7" w:rsidRDefault="0087601C" w:rsidP="0087601C">
      <w:pPr>
        <w:rPr>
          <w:color w:val="000000" w:themeColor="text1"/>
        </w:rPr>
      </w:pPr>
    </w:p>
    <w:p w14:paraId="0D10CA12" w14:textId="77777777" w:rsidR="0087601C" w:rsidRPr="006A1EC7" w:rsidRDefault="0087601C" w:rsidP="0087601C">
      <w:pPr>
        <w:rPr>
          <w:color w:val="000000" w:themeColor="text1"/>
          <w:u w:val="single"/>
        </w:rPr>
      </w:pPr>
      <w:r w:rsidRPr="006A1EC7">
        <w:rPr>
          <w:color w:val="000000" w:themeColor="text1"/>
          <w:u w:val="single"/>
        </w:rPr>
        <w:t>2D.2.2 Details:</w:t>
      </w:r>
    </w:p>
    <w:p w14:paraId="5824DF8B" w14:textId="77777777" w:rsidR="0087601C" w:rsidRPr="006A1EC7" w:rsidRDefault="0087601C" w:rsidP="0087601C">
      <w:pPr>
        <w:rPr>
          <w:color w:val="000000" w:themeColor="text1"/>
        </w:rPr>
      </w:pPr>
      <w:r w:rsidRPr="006A1EC7">
        <w:rPr>
          <w:color w:val="000000" w:themeColor="text1"/>
        </w:rPr>
        <w:t>_______________________________</w:t>
      </w:r>
    </w:p>
    <w:p w14:paraId="19A0AA85" w14:textId="77777777" w:rsidR="0087601C" w:rsidRPr="006A1EC7" w:rsidRDefault="0087601C" w:rsidP="0087601C">
      <w:pPr>
        <w:rPr>
          <w:color w:val="000000" w:themeColor="text1"/>
        </w:rPr>
      </w:pPr>
    </w:p>
    <w:p w14:paraId="43BA6DAF" w14:textId="77777777" w:rsidR="0087601C" w:rsidRPr="006A1EC7" w:rsidRDefault="0087601C" w:rsidP="0087601C">
      <w:pPr>
        <w:rPr>
          <w:color w:val="000000" w:themeColor="text1"/>
          <w:u w:val="wave"/>
        </w:rPr>
      </w:pPr>
    </w:p>
    <w:p w14:paraId="620EA358" w14:textId="77777777" w:rsidR="0087601C" w:rsidRPr="006A1EC7" w:rsidRDefault="0087601C" w:rsidP="0087601C">
      <w:pPr>
        <w:rPr>
          <w:color w:val="000000" w:themeColor="text1"/>
          <w:u w:val="single"/>
        </w:rPr>
      </w:pPr>
      <w:r w:rsidRPr="006A1EC7">
        <w:rPr>
          <w:color w:val="000000" w:themeColor="text1"/>
          <w:u w:val="single"/>
        </w:rPr>
        <w:t>2D.3 Does the patient experience any side effects from epilepsy medication that may affect functioning or may indicate a medication review is needed?</w:t>
      </w:r>
    </w:p>
    <w:p w14:paraId="669D5FD3" w14:textId="77777777" w:rsidR="0087601C" w:rsidRPr="006A1EC7" w:rsidRDefault="0087601C" w:rsidP="0087601C">
      <w:pPr>
        <w:rPr>
          <w:color w:val="000000" w:themeColor="text1"/>
          <w:u w:val="single"/>
        </w:rPr>
      </w:pPr>
    </w:p>
    <w:p w14:paraId="3E722155" w14:textId="77777777" w:rsidR="0087601C" w:rsidRPr="006A1EC7" w:rsidRDefault="0087601C" w:rsidP="0087601C">
      <w:pPr>
        <w:rPr>
          <w:color w:val="000000" w:themeColor="text1"/>
          <w:u w:val="single"/>
        </w:rPr>
      </w:pPr>
      <w:r w:rsidRPr="006A1EC7">
        <w:rPr>
          <w:color w:val="000000" w:themeColor="text1"/>
          <w:u w:val="single"/>
        </w:rPr>
        <w:t>_______________________________</w:t>
      </w:r>
    </w:p>
    <w:p w14:paraId="3B758123" w14:textId="77777777" w:rsidR="0087601C" w:rsidRPr="006A1EC7" w:rsidRDefault="0087601C" w:rsidP="0087601C">
      <w:pPr>
        <w:rPr>
          <w:u w:val="wave"/>
        </w:rPr>
      </w:pPr>
    </w:p>
    <w:p w14:paraId="25E7EB97" w14:textId="77777777" w:rsidR="0087601C" w:rsidRPr="006A1EC7" w:rsidRDefault="0087601C" w:rsidP="0087601C"/>
    <w:p w14:paraId="4D45CB75" w14:textId="77777777" w:rsidR="0087601C" w:rsidRPr="006A1EC7" w:rsidRDefault="0087601C" w:rsidP="0087601C">
      <w:pPr>
        <w:rPr>
          <w:b/>
          <w:u w:val="single"/>
        </w:rPr>
      </w:pPr>
    </w:p>
    <w:p w14:paraId="099B2BE9" w14:textId="77777777" w:rsidR="0087601C" w:rsidRPr="006A1EC7" w:rsidRDefault="0087601C" w:rsidP="0087601C">
      <w:pPr>
        <w:rPr>
          <w:b/>
          <w:u w:val="single"/>
        </w:rPr>
      </w:pPr>
    </w:p>
    <w:p w14:paraId="20F04C68" w14:textId="77777777" w:rsidR="0087601C" w:rsidRPr="006A1EC7" w:rsidRDefault="0087601C" w:rsidP="0087601C">
      <w:pPr>
        <w:rPr>
          <w:b/>
          <w:u w:val="single"/>
        </w:rPr>
      </w:pPr>
    </w:p>
    <w:p w14:paraId="3DB0058D" w14:textId="77777777" w:rsidR="0087601C" w:rsidRPr="006A1EC7" w:rsidRDefault="0087601C" w:rsidP="0087601C">
      <w:pPr>
        <w:rPr>
          <w:b/>
          <w:u w:val="single"/>
        </w:rPr>
      </w:pPr>
    </w:p>
    <w:p w14:paraId="24D1CEE9" w14:textId="77777777" w:rsidR="0087601C" w:rsidRPr="006A1EC7" w:rsidRDefault="0087601C" w:rsidP="0087601C">
      <w:pPr>
        <w:rPr>
          <w:b/>
          <w:u w:val="single"/>
        </w:rPr>
      </w:pPr>
    </w:p>
    <w:p w14:paraId="1FFB8E92" w14:textId="77777777" w:rsidR="0087601C" w:rsidRPr="006A1EC7" w:rsidRDefault="0087601C" w:rsidP="0087601C">
      <w:pPr>
        <w:rPr>
          <w:b/>
          <w:u w:val="single"/>
        </w:rPr>
      </w:pPr>
    </w:p>
    <w:p w14:paraId="10994D49" w14:textId="77777777" w:rsidR="0087601C" w:rsidRPr="006A1EC7" w:rsidRDefault="0087601C" w:rsidP="0087601C">
      <w:pPr>
        <w:rPr>
          <w:b/>
          <w:u w:val="single"/>
        </w:rPr>
      </w:pPr>
    </w:p>
    <w:p w14:paraId="64369F9E" w14:textId="77777777" w:rsidR="0087601C" w:rsidRPr="006A1EC7" w:rsidRDefault="0087601C" w:rsidP="0087601C">
      <w:pPr>
        <w:rPr>
          <w:b/>
          <w:u w:val="single"/>
        </w:rPr>
      </w:pPr>
    </w:p>
    <w:p w14:paraId="18C35189" w14:textId="77777777" w:rsidR="0087601C" w:rsidRPr="006A1EC7" w:rsidRDefault="0087601C" w:rsidP="0087601C">
      <w:pPr>
        <w:rPr>
          <w:b/>
          <w:u w:val="single"/>
        </w:rPr>
      </w:pPr>
    </w:p>
    <w:p w14:paraId="181BAF84" w14:textId="77777777" w:rsidR="0087601C" w:rsidRPr="006A1EC7" w:rsidRDefault="0087601C" w:rsidP="0087601C">
      <w:pPr>
        <w:rPr>
          <w:b/>
          <w:u w:val="single"/>
        </w:rPr>
      </w:pPr>
      <w:r w:rsidRPr="006A1EC7">
        <w:rPr>
          <w:b/>
          <w:u w:val="single"/>
        </w:rPr>
        <w:t xml:space="preserve">Section 3: Gastrointestinal symptoms </w:t>
      </w:r>
    </w:p>
    <w:p w14:paraId="79291E03" w14:textId="77777777" w:rsidR="0087601C" w:rsidRPr="006A1EC7" w:rsidRDefault="0087601C" w:rsidP="0087601C">
      <w:pPr>
        <w:rPr>
          <w:b/>
          <w:u w:val="single"/>
        </w:rPr>
      </w:pPr>
    </w:p>
    <w:p w14:paraId="397148BC" w14:textId="77777777" w:rsidR="0087601C" w:rsidRPr="006A1EC7" w:rsidRDefault="0087601C" w:rsidP="0087601C">
      <w:pPr>
        <w:rPr>
          <w:i/>
        </w:rPr>
      </w:pPr>
    </w:p>
    <w:p w14:paraId="4A0020A6" w14:textId="77777777" w:rsidR="0087601C" w:rsidRPr="006A1EC7" w:rsidRDefault="0087601C" w:rsidP="0087601C">
      <w:pPr>
        <w:rPr>
          <w:i/>
        </w:rPr>
      </w:pPr>
      <w:r w:rsidRPr="006A1EC7">
        <w:rPr>
          <w:i/>
        </w:rPr>
        <w:t>Feeding (food intake, interventions &amp; challenges)</w:t>
      </w:r>
    </w:p>
    <w:p w14:paraId="01F15DAB" w14:textId="77777777" w:rsidR="0087601C" w:rsidRPr="006A1EC7" w:rsidRDefault="0087601C" w:rsidP="0087601C">
      <w:pPr>
        <w:rPr>
          <w:u w:val="single"/>
        </w:rPr>
      </w:pPr>
    </w:p>
    <w:p w14:paraId="23A32909" w14:textId="77777777" w:rsidR="0087601C" w:rsidRPr="006A1EC7" w:rsidRDefault="0087601C" w:rsidP="0087601C">
      <w:pPr>
        <w:rPr>
          <w:u w:val="single"/>
        </w:rPr>
      </w:pPr>
      <w:r w:rsidRPr="006A1EC7">
        <w:rPr>
          <w:u w:val="single"/>
        </w:rPr>
        <w:t>3A.1: Eating, is the patient  …?</w:t>
      </w:r>
    </w:p>
    <w:p w14:paraId="456A15CA" w14:textId="77777777" w:rsidR="0087601C" w:rsidRPr="006A1EC7" w:rsidRDefault="0087601C" w:rsidP="0087601C">
      <w:r w:rsidRPr="006A1EC7">
        <w:t>Reliant on intervention (PEG feed, nasal gastric tube, jejunostomy) for diet intake = 2</w:t>
      </w:r>
    </w:p>
    <w:p w14:paraId="11D2B6DC" w14:textId="77777777" w:rsidR="0087601C" w:rsidRPr="006A1EC7" w:rsidRDefault="0087601C" w:rsidP="0087601C">
      <w:r w:rsidRPr="006A1EC7">
        <w:t>Reliant on assistance (mashing or liquidising) but can feed/swallow themselves = 1</w:t>
      </w:r>
      <w:r w:rsidRPr="006A1EC7">
        <w:br/>
        <w:t>Able to eat independently (e.g. may need help cutting food) = 0</w:t>
      </w:r>
    </w:p>
    <w:p w14:paraId="5BBDCC8B" w14:textId="77777777" w:rsidR="0087601C" w:rsidRPr="006A1EC7" w:rsidRDefault="0087601C" w:rsidP="0087601C"/>
    <w:p w14:paraId="1B5CDA4C" w14:textId="77777777" w:rsidR="0087601C" w:rsidRPr="006A1EC7" w:rsidRDefault="0087601C" w:rsidP="0087601C">
      <w:r w:rsidRPr="006A1EC7">
        <w:rPr>
          <w:u w:val="single"/>
        </w:rPr>
        <w:t>3A.2: If reliant on intervention, are there any issues with recurrent infections at the intervention site?</w:t>
      </w:r>
      <w:r w:rsidRPr="006A1EC7">
        <w:br/>
        <w:t>Yes = 1</w:t>
      </w:r>
      <w:r w:rsidRPr="006A1EC7">
        <w:br/>
        <w:t>No = 0</w:t>
      </w:r>
      <w:r w:rsidRPr="006A1EC7">
        <w:br/>
        <w:t>N/A = 0</w:t>
      </w:r>
    </w:p>
    <w:p w14:paraId="542F5B5E" w14:textId="77777777" w:rsidR="0087601C" w:rsidRPr="006A1EC7" w:rsidRDefault="0087601C" w:rsidP="0087601C"/>
    <w:p w14:paraId="37D1031C" w14:textId="77777777" w:rsidR="0087601C" w:rsidRPr="006A1EC7" w:rsidRDefault="0087601C" w:rsidP="0087601C">
      <w:pPr>
        <w:rPr>
          <w:u w:val="single"/>
        </w:rPr>
      </w:pPr>
      <w:r w:rsidRPr="006A1EC7">
        <w:rPr>
          <w:u w:val="single"/>
        </w:rPr>
        <w:t xml:space="preserve">3A.3: If patient is oral, which issues do the family/caregivers face when eating with their relative with Wolf-Hirschhorn syndrome? </w:t>
      </w:r>
    </w:p>
    <w:p w14:paraId="68711A78" w14:textId="77777777" w:rsidR="0087601C" w:rsidRPr="006A1EC7" w:rsidRDefault="0087601C" w:rsidP="0087601C">
      <w:pPr>
        <w:rPr>
          <w:i/>
        </w:rPr>
      </w:pPr>
      <w:r w:rsidRPr="006A1EC7">
        <w:rPr>
          <w:i/>
        </w:rPr>
        <w:t xml:space="preserve">If more than one applicable, add up </w:t>
      </w:r>
    </w:p>
    <w:p w14:paraId="56114A81" w14:textId="77777777" w:rsidR="0087601C" w:rsidRPr="006A1EC7" w:rsidRDefault="0087601C" w:rsidP="0087601C">
      <w:r w:rsidRPr="006A1EC7">
        <w:t>Time- consuming to feed due to motor- and coordination difficulties = 1</w:t>
      </w:r>
      <w:r w:rsidRPr="006A1EC7">
        <w:br/>
        <w:t>Difficulty feeding = 1</w:t>
      </w:r>
      <w:r w:rsidRPr="006A1EC7">
        <w:br/>
        <w:t>No issues = 0</w:t>
      </w:r>
    </w:p>
    <w:p w14:paraId="706419B1" w14:textId="77777777" w:rsidR="0087601C" w:rsidRPr="006A1EC7" w:rsidRDefault="0087601C" w:rsidP="0087601C">
      <w:r w:rsidRPr="006A1EC7">
        <w:t xml:space="preserve">N/A = 0 </w:t>
      </w:r>
    </w:p>
    <w:p w14:paraId="4B3A8B8B" w14:textId="77777777" w:rsidR="0087601C" w:rsidRPr="006A1EC7" w:rsidRDefault="0087601C" w:rsidP="0087601C"/>
    <w:p w14:paraId="2008313C" w14:textId="77777777" w:rsidR="0087601C" w:rsidRPr="006A1EC7" w:rsidRDefault="0087601C" w:rsidP="0087601C">
      <w:pPr>
        <w:rPr>
          <w:i/>
        </w:rPr>
      </w:pPr>
      <w:r w:rsidRPr="006A1EC7">
        <w:rPr>
          <w:i/>
        </w:rPr>
        <w:t>Drinking/ fluid intake</w:t>
      </w:r>
    </w:p>
    <w:p w14:paraId="75558730" w14:textId="77777777" w:rsidR="0087601C" w:rsidRPr="006A1EC7" w:rsidRDefault="0087601C" w:rsidP="0087601C"/>
    <w:p w14:paraId="6D3025B6" w14:textId="77777777" w:rsidR="0087601C" w:rsidRPr="006A1EC7" w:rsidRDefault="0087601C" w:rsidP="0087601C">
      <w:r w:rsidRPr="006A1EC7">
        <w:rPr>
          <w:u w:val="single"/>
        </w:rPr>
        <w:t>3B: For fluid intake/drinking, is the patient….?</w:t>
      </w:r>
      <w:r w:rsidRPr="006A1EC7">
        <w:br/>
        <w:t>Reliant on an intervention for fluid intake, as above = 2</w:t>
      </w:r>
    </w:p>
    <w:p w14:paraId="6B2398E5" w14:textId="77777777" w:rsidR="0087601C" w:rsidRPr="006A1EC7" w:rsidRDefault="0087601C" w:rsidP="0087601C">
      <w:r w:rsidRPr="006A1EC7">
        <w:t>Able to drink with assistance items (with straws, special cups) = 1</w:t>
      </w:r>
    </w:p>
    <w:p w14:paraId="4FAD8B0B" w14:textId="77777777" w:rsidR="0087601C" w:rsidRPr="006A1EC7" w:rsidRDefault="0087601C" w:rsidP="0087601C">
      <w:r w:rsidRPr="006A1EC7">
        <w:t xml:space="preserve">Able to drink independently without help= 0 </w:t>
      </w:r>
    </w:p>
    <w:p w14:paraId="4FBBF698" w14:textId="77777777" w:rsidR="0087601C" w:rsidRPr="006A1EC7" w:rsidRDefault="0087601C" w:rsidP="0087601C"/>
    <w:p w14:paraId="78EFF7A3" w14:textId="77777777" w:rsidR="0087601C" w:rsidRPr="006A1EC7" w:rsidRDefault="0087601C" w:rsidP="0087601C">
      <w:pPr>
        <w:rPr>
          <w:i/>
        </w:rPr>
      </w:pPr>
    </w:p>
    <w:p w14:paraId="28FC20ED" w14:textId="77777777" w:rsidR="0087601C" w:rsidRPr="006A1EC7" w:rsidRDefault="0087601C" w:rsidP="0087601C">
      <w:pPr>
        <w:rPr>
          <w:i/>
        </w:rPr>
      </w:pPr>
    </w:p>
    <w:p w14:paraId="6B87EF8C" w14:textId="77777777" w:rsidR="0087601C" w:rsidRPr="006A1EC7" w:rsidRDefault="0087601C" w:rsidP="0087601C">
      <w:pPr>
        <w:rPr>
          <w:i/>
        </w:rPr>
      </w:pPr>
    </w:p>
    <w:p w14:paraId="58FDCAB0" w14:textId="77777777" w:rsidR="0087601C" w:rsidRPr="006A1EC7" w:rsidRDefault="0087601C" w:rsidP="0087601C">
      <w:pPr>
        <w:rPr>
          <w:i/>
        </w:rPr>
      </w:pPr>
    </w:p>
    <w:p w14:paraId="1B55B375" w14:textId="77777777" w:rsidR="0087601C" w:rsidRPr="006A1EC7" w:rsidRDefault="0087601C" w:rsidP="0087601C">
      <w:pPr>
        <w:rPr>
          <w:i/>
        </w:rPr>
      </w:pPr>
      <w:r w:rsidRPr="006A1EC7">
        <w:rPr>
          <w:i/>
        </w:rPr>
        <w:t xml:space="preserve">Aspiration </w:t>
      </w:r>
    </w:p>
    <w:p w14:paraId="41D24A19" w14:textId="77777777" w:rsidR="0087601C" w:rsidRPr="006A1EC7" w:rsidRDefault="0087601C" w:rsidP="0087601C"/>
    <w:p w14:paraId="3B717C92" w14:textId="77777777" w:rsidR="0087601C" w:rsidRPr="006A1EC7" w:rsidRDefault="0087601C" w:rsidP="0087601C">
      <w:pPr>
        <w:rPr>
          <w:u w:val="single"/>
        </w:rPr>
      </w:pPr>
      <w:r w:rsidRPr="006A1EC7">
        <w:rPr>
          <w:u w:val="single"/>
        </w:rPr>
        <w:t>3C: Are there issues with aspiration?</w:t>
      </w:r>
    </w:p>
    <w:p w14:paraId="0BC4BE91" w14:textId="77777777" w:rsidR="0087601C" w:rsidRPr="006A1EC7" w:rsidRDefault="0087601C" w:rsidP="0087601C">
      <w:r w:rsidRPr="006A1EC7">
        <w:t>Severe issues (e.g. consequentially cannot eat, reliant on intervention as result) = 2</w:t>
      </w:r>
    </w:p>
    <w:p w14:paraId="15CF65C5" w14:textId="77777777" w:rsidR="0087601C" w:rsidRPr="006A1EC7" w:rsidRDefault="0087601C" w:rsidP="0087601C">
      <w:r w:rsidRPr="006A1EC7">
        <w:t>Intermittent issues/sometimes = 1</w:t>
      </w:r>
    </w:p>
    <w:p w14:paraId="507FE6AB" w14:textId="77777777" w:rsidR="0087601C" w:rsidRPr="006A1EC7" w:rsidRDefault="0087601C" w:rsidP="0087601C">
      <w:r w:rsidRPr="006A1EC7">
        <w:t xml:space="preserve">No issues = 0 </w:t>
      </w:r>
    </w:p>
    <w:p w14:paraId="55C11F7D" w14:textId="77777777" w:rsidR="0087601C" w:rsidRPr="006A1EC7" w:rsidRDefault="0087601C" w:rsidP="0087601C"/>
    <w:p w14:paraId="6CE1D16E" w14:textId="77777777" w:rsidR="0087601C" w:rsidRPr="006A1EC7" w:rsidRDefault="0087601C" w:rsidP="0087601C">
      <w:pPr>
        <w:rPr>
          <w:i/>
        </w:rPr>
      </w:pPr>
      <w:r w:rsidRPr="006A1EC7">
        <w:rPr>
          <w:i/>
        </w:rPr>
        <w:t>Reflux</w:t>
      </w:r>
    </w:p>
    <w:p w14:paraId="2E2C4CB1" w14:textId="77777777" w:rsidR="0087601C" w:rsidRPr="006A1EC7" w:rsidRDefault="0087601C" w:rsidP="0087601C"/>
    <w:p w14:paraId="7486F325" w14:textId="77777777" w:rsidR="0087601C" w:rsidRPr="006A1EC7" w:rsidRDefault="0087601C" w:rsidP="0087601C">
      <w:pPr>
        <w:rPr>
          <w:u w:val="single"/>
        </w:rPr>
      </w:pPr>
      <w:r w:rsidRPr="006A1EC7">
        <w:rPr>
          <w:u w:val="single"/>
        </w:rPr>
        <w:lastRenderedPageBreak/>
        <w:t>3D.1: Does the patient have a diagnosis of reflux (=effortless vomiting)?</w:t>
      </w:r>
    </w:p>
    <w:p w14:paraId="782AD244" w14:textId="77777777" w:rsidR="0087601C" w:rsidRPr="006A1EC7" w:rsidRDefault="0087601C" w:rsidP="0087601C">
      <w:r w:rsidRPr="006A1EC7">
        <w:t>Yes, confirmed by an investigation/test = 2</w:t>
      </w:r>
    </w:p>
    <w:p w14:paraId="1DD1766A" w14:textId="77777777" w:rsidR="0087601C" w:rsidRPr="006A1EC7" w:rsidRDefault="0087601C" w:rsidP="0087601C">
      <w:r w:rsidRPr="006A1EC7">
        <w:t>Yes, clinical diagnosis (without testing) = 1</w:t>
      </w:r>
      <w:r w:rsidRPr="006A1EC7">
        <w:br/>
        <w:t>No diagnosis, but suspected by caregivers/parents= 1</w:t>
      </w:r>
    </w:p>
    <w:p w14:paraId="07B86FCB" w14:textId="77777777" w:rsidR="0087601C" w:rsidRPr="006A1EC7" w:rsidRDefault="0087601C" w:rsidP="0087601C">
      <w:r w:rsidRPr="006A1EC7">
        <w:t xml:space="preserve">N/A = 0 </w:t>
      </w:r>
    </w:p>
    <w:p w14:paraId="49A56376" w14:textId="77777777" w:rsidR="0087601C" w:rsidRPr="006A1EC7" w:rsidRDefault="0087601C" w:rsidP="0087601C">
      <w:pPr>
        <w:rPr>
          <w:u w:val="single"/>
        </w:rPr>
      </w:pPr>
    </w:p>
    <w:p w14:paraId="68E57FDB" w14:textId="77777777" w:rsidR="0087601C" w:rsidRPr="006A1EC7" w:rsidRDefault="0087601C" w:rsidP="0087601C">
      <w:pPr>
        <w:rPr>
          <w:u w:val="single"/>
        </w:rPr>
      </w:pPr>
      <w:r w:rsidRPr="006A1EC7">
        <w:rPr>
          <w:u w:val="single"/>
        </w:rPr>
        <w:t>3D.2: If applicable, does the reflux require medication?</w:t>
      </w:r>
    </w:p>
    <w:p w14:paraId="4766D42B" w14:textId="77777777" w:rsidR="0087601C" w:rsidRPr="006A1EC7" w:rsidRDefault="0087601C" w:rsidP="0087601C">
      <w:r w:rsidRPr="006A1EC7">
        <w:t>Yes = 1</w:t>
      </w:r>
    </w:p>
    <w:p w14:paraId="4EE646C5" w14:textId="77777777" w:rsidR="0087601C" w:rsidRPr="006A1EC7" w:rsidRDefault="0087601C" w:rsidP="0087601C">
      <w:r w:rsidRPr="006A1EC7">
        <w:t xml:space="preserve">No = 0 </w:t>
      </w:r>
    </w:p>
    <w:p w14:paraId="7335C28A" w14:textId="77777777" w:rsidR="0087601C" w:rsidRPr="006A1EC7" w:rsidRDefault="0087601C" w:rsidP="0087601C">
      <w:r w:rsidRPr="006A1EC7">
        <w:t xml:space="preserve">N/A = 0 </w:t>
      </w:r>
    </w:p>
    <w:p w14:paraId="70751334" w14:textId="77777777" w:rsidR="0087601C" w:rsidRPr="006A1EC7" w:rsidRDefault="0087601C" w:rsidP="0087601C"/>
    <w:p w14:paraId="566EA175" w14:textId="77777777" w:rsidR="0087601C" w:rsidRPr="006A1EC7" w:rsidRDefault="0087601C" w:rsidP="0087601C">
      <w:pPr>
        <w:rPr>
          <w:i/>
        </w:rPr>
      </w:pPr>
      <w:r w:rsidRPr="006A1EC7">
        <w:rPr>
          <w:u w:val="single"/>
        </w:rPr>
        <w:t>3D.3:  If applicable, does the patient experience apparent reflux symptoms?</w:t>
      </w:r>
      <w:r w:rsidRPr="006A1EC7">
        <w:rPr>
          <w:u w:val="single"/>
        </w:rPr>
        <w:br/>
      </w:r>
      <w:r w:rsidRPr="006A1EC7">
        <w:rPr>
          <w:i/>
        </w:rPr>
        <w:t xml:space="preserve">If more than one applicable, add up </w:t>
      </w:r>
    </w:p>
    <w:p w14:paraId="6D34F12C" w14:textId="77777777" w:rsidR="0087601C" w:rsidRPr="006A1EC7" w:rsidRDefault="0087601C" w:rsidP="0087601C">
      <w:r w:rsidRPr="006A1EC7">
        <w:t>Apparent pain/discomfort = 1</w:t>
      </w:r>
      <w:r w:rsidRPr="006A1EC7">
        <w:br/>
        <w:t>Vomiting shortly after food =1</w:t>
      </w:r>
    </w:p>
    <w:p w14:paraId="231525DD" w14:textId="77777777" w:rsidR="0087601C" w:rsidRPr="006A1EC7" w:rsidRDefault="0087601C" w:rsidP="0087601C">
      <w:r w:rsidRPr="006A1EC7">
        <w:t>Back arching = 1</w:t>
      </w:r>
      <w:r w:rsidRPr="006A1EC7">
        <w:br/>
        <w:t>No symptoms = 0</w:t>
      </w:r>
      <w:r w:rsidRPr="006A1EC7">
        <w:br/>
        <w:t xml:space="preserve">N/A = 0 </w:t>
      </w:r>
    </w:p>
    <w:p w14:paraId="7D5A52F1" w14:textId="77777777" w:rsidR="0087601C" w:rsidRPr="006A1EC7" w:rsidRDefault="0087601C" w:rsidP="0087601C"/>
    <w:p w14:paraId="0D2CE895" w14:textId="77777777" w:rsidR="0087601C" w:rsidRPr="006A1EC7" w:rsidRDefault="0087601C" w:rsidP="0087601C">
      <w:pPr>
        <w:rPr>
          <w:i/>
        </w:rPr>
      </w:pPr>
      <w:r w:rsidRPr="006A1EC7">
        <w:rPr>
          <w:i/>
        </w:rPr>
        <w:t>Vomiting</w:t>
      </w:r>
    </w:p>
    <w:p w14:paraId="0EE34784" w14:textId="77777777" w:rsidR="0087601C" w:rsidRPr="006A1EC7" w:rsidRDefault="0087601C" w:rsidP="0087601C"/>
    <w:p w14:paraId="403B4CF3" w14:textId="77777777" w:rsidR="0087601C" w:rsidRPr="006A1EC7" w:rsidRDefault="0087601C" w:rsidP="0087601C">
      <w:pPr>
        <w:rPr>
          <w:u w:val="single"/>
        </w:rPr>
      </w:pPr>
      <w:r w:rsidRPr="006A1EC7">
        <w:rPr>
          <w:u w:val="single"/>
        </w:rPr>
        <w:t>3E: Does the patient experience any recurrent episodes of vomiting (not caused by apparent infection, not reflux, not associated with feeding itself)?</w:t>
      </w:r>
    </w:p>
    <w:p w14:paraId="3E03D062" w14:textId="77777777" w:rsidR="0087601C" w:rsidRPr="006A1EC7" w:rsidRDefault="0087601C" w:rsidP="0087601C">
      <w:r w:rsidRPr="006A1EC7">
        <w:t>Yes = 2</w:t>
      </w:r>
    </w:p>
    <w:p w14:paraId="335E0BBB" w14:textId="77777777" w:rsidR="0087601C" w:rsidRPr="006A1EC7" w:rsidRDefault="0087601C" w:rsidP="0087601C">
      <w:r w:rsidRPr="006A1EC7">
        <w:t>Intermittently/sometimes = 1</w:t>
      </w:r>
    </w:p>
    <w:p w14:paraId="39F4CD64" w14:textId="77777777" w:rsidR="0087601C" w:rsidRPr="006A1EC7" w:rsidRDefault="0087601C" w:rsidP="0087601C">
      <w:r w:rsidRPr="006A1EC7">
        <w:t>No = 0</w:t>
      </w:r>
    </w:p>
    <w:p w14:paraId="40DF8A9C" w14:textId="77777777" w:rsidR="0087601C" w:rsidRPr="006A1EC7" w:rsidRDefault="0087601C" w:rsidP="0087601C">
      <w:pPr>
        <w:rPr>
          <w:i/>
        </w:rPr>
      </w:pPr>
      <w:r w:rsidRPr="006A1EC7">
        <w:rPr>
          <w:i/>
        </w:rPr>
        <w:t xml:space="preserve">Bowel movements </w:t>
      </w:r>
    </w:p>
    <w:p w14:paraId="5AD561E8" w14:textId="77777777" w:rsidR="0087601C" w:rsidRPr="006A1EC7" w:rsidRDefault="0087601C" w:rsidP="0087601C">
      <w:pPr>
        <w:rPr>
          <w:u w:val="single"/>
        </w:rPr>
      </w:pPr>
    </w:p>
    <w:p w14:paraId="4719D5F3" w14:textId="77777777" w:rsidR="0087601C" w:rsidRPr="006A1EC7" w:rsidRDefault="0087601C" w:rsidP="0087601C">
      <w:r w:rsidRPr="006A1EC7">
        <w:rPr>
          <w:u w:val="single"/>
        </w:rPr>
        <w:t>3F.1: Over the past 6 months, has the patient experienced any issues with constipation?</w:t>
      </w:r>
      <w:r w:rsidRPr="006A1EC7">
        <w:rPr>
          <w:u w:val="single"/>
        </w:rPr>
        <w:br/>
      </w:r>
      <w:r w:rsidRPr="006A1EC7">
        <w:t>Most of the time = 2</w:t>
      </w:r>
    </w:p>
    <w:p w14:paraId="4531AEDB" w14:textId="77777777" w:rsidR="0087601C" w:rsidRPr="006A1EC7" w:rsidRDefault="0087601C" w:rsidP="0087601C">
      <w:r w:rsidRPr="006A1EC7">
        <w:t>Some of the time = 1</w:t>
      </w:r>
      <w:r w:rsidRPr="006A1EC7">
        <w:br/>
        <w:t xml:space="preserve">Rarely = 0 </w:t>
      </w:r>
    </w:p>
    <w:p w14:paraId="1E0DF0C3" w14:textId="77777777" w:rsidR="0087601C" w:rsidRPr="006A1EC7" w:rsidRDefault="0087601C" w:rsidP="0087601C"/>
    <w:p w14:paraId="17DA1D38" w14:textId="77777777" w:rsidR="0087601C" w:rsidRPr="006A1EC7" w:rsidRDefault="0087601C" w:rsidP="0087601C">
      <w:pPr>
        <w:rPr>
          <w:u w:val="single"/>
        </w:rPr>
      </w:pPr>
      <w:r w:rsidRPr="006A1EC7">
        <w:rPr>
          <w:u w:val="single"/>
        </w:rPr>
        <w:t xml:space="preserve">3F.2: If applicable, what specific constipation-related issues does the patient suffer? </w:t>
      </w:r>
    </w:p>
    <w:p w14:paraId="259F9F8C" w14:textId="77777777" w:rsidR="0087601C" w:rsidRPr="006A1EC7" w:rsidRDefault="0087601C" w:rsidP="0087601C">
      <w:pPr>
        <w:rPr>
          <w:u w:val="single"/>
        </w:rPr>
      </w:pPr>
      <w:r w:rsidRPr="006A1EC7">
        <w:rPr>
          <w:i/>
        </w:rPr>
        <w:t>If more than one applicable, add up</w:t>
      </w:r>
    </w:p>
    <w:p w14:paraId="77B88C28" w14:textId="77777777" w:rsidR="0087601C" w:rsidRPr="006A1EC7" w:rsidRDefault="0087601C" w:rsidP="0087601C">
      <w:r w:rsidRPr="006A1EC7">
        <w:t>Abdominal distention/bloating = 1</w:t>
      </w:r>
      <w:r w:rsidRPr="006A1EC7">
        <w:br/>
        <w:t>Inability to pass stool = 1</w:t>
      </w:r>
    </w:p>
    <w:p w14:paraId="7DE5D39D" w14:textId="77777777" w:rsidR="0087601C" w:rsidRPr="006A1EC7" w:rsidRDefault="0087601C" w:rsidP="0087601C">
      <w:r w:rsidRPr="006A1EC7">
        <w:t>Observable pain/cramps = 1</w:t>
      </w:r>
    </w:p>
    <w:p w14:paraId="74F41C40" w14:textId="77777777" w:rsidR="0087601C" w:rsidRPr="006A1EC7" w:rsidRDefault="0087601C" w:rsidP="0087601C"/>
    <w:p w14:paraId="53ECCAF2" w14:textId="77777777" w:rsidR="0087601C" w:rsidRPr="006A1EC7" w:rsidRDefault="0087601C" w:rsidP="0087601C">
      <w:r w:rsidRPr="006A1EC7">
        <w:rPr>
          <w:u w:val="single"/>
        </w:rPr>
        <w:t>3F.3: Over the past 6 months, has the patient experienced any problems with diarrhoea? (not caused by evident infection)</w:t>
      </w:r>
      <w:r w:rsidRPr="006A1EC7">
        <w:rPr>
          <w:u w:val="single"/>
        </w:rPr>
        <w:br/>
      </w:r>
      <w:r w:rsidRPr="006A1EC7">
        <w:t>Most of the time = 2</w:t>
      </w:r>
    </w:p>
    <w:p w14:paraId="3E327DF5" w14:textId="77777777" w:rsidR="0087601C" w:rsidRPr="006A1EC7" w:rsidRDefault="0087601C" w:rsidP="0087601C">
      <w:r w:rsidRPr="006A1EC7">
        <w:t>Some of the time = 1</w:t>
      </w:r>
      <w:r w:rsidRPr="006A1EC7">
        <w:br/>
        <w:t xml:space="preserve">Rarely = 0 </w:t>
      </w:r>
    </w:p>
    <w:p w14:paraId="3216E3E4" w14:textId="77777777" w:rsidR="0087601C" w:rsidRPr="006A1EC7" w:rsidRDefault="0087601C" w:rsidP="0087601C">
      <w:pPr>
        <w:rPr>
          <w:u w:val="single"/>
        </w:rPr>
      </w:pPr>
    </w:p>
    <w:p w14:paraId="33316B09" w14:textId="77777777" w:rsidR="0087601C" w:rsidRPr="006A1EC7" w:rsidRDefault="0087601C" w:rsidP="0087601C">
      <w:pPr>
        <w:rPr>
          <w:u w:val="single"/>
        </w:rPr>
      </w:pPr>
      <w:r w:rsidRPr="006A1EC7">
        <w:rPr>
          <w:u w:val="single"/>
        </w:rPr>
        <w:t xml:space="preserve">3F.4: What specific diarrhoea-related issues does the patient suffer? </w:t>
      </w:r>
    </w:p>
    <w:p w14:paraId="09E3FD82" w14:textId="77777777" w:rsidR="0087601C" w:rsidRPr="006A1EC7" w:rsidRDefault="0087601C" w:rsidP="0087601C">
      <w:pPr>
        <w:rPr>
          <w:u w:val="single"/>
        </w:rPr>
      </w:pPr>
      <w:r w:rsidRPr="006A1EC7">
        <w:rPr>
          <w:i/>
        </w:rPr>
        <w:t>If more than one applicable, add up</w:t>
      </w:r>
    </w:p>
    <w:p w14:paraId="0A811169" w14:textId="77777777" w:rsidR="0087601C" w:rsidRPr="006A1EC7" w:rsidRDefault="0087601C" w:rsidP="0087601C">
      <w:r w:rsidRPr="006A1EC7">
        <w:t>Predominantly liquid stools, no solid pieces =1</w:t>
      </w:r>
    </w:p>
    <w:p w14:paraId="1485B0EE" w14:textId="77777777" w:rsidR="0087601C" w:rsidRPr="006A1EC7" w:rsidRDefault="0087601C" w:rsidP="0087601C">
      <w:r w:rsidRPr="006A1EC7">
        <w:t>Bloating = 1</w:t>
      </w:r>
    </w:p>
    <w:p w14:paraId="67E14E62" w14:textId="77777777" w:rsidR="0087601C" w:rsidRPr="006A1EC7" w:rsidRDefault="0087601C" w:rsidP="0087601C">
      <w:r w:rsidRPr="006A1EC7">
        <w:t xml:space="preserve">Fever =1 </w:t>
      </w:r>
    </w:p>
    <w:p w14:paraId="49890115" w14:textId="77777777" w:rsidR="0087601C" w:rsidRPr="006A1EC7" w:rsidRDefault="0087601C" w:rsidP="0087601C">
      <w:pPr>
        <w:rPr>
          <w:i/>
        </w:rPr>
      </w:pPr>
    </w:p>
    <w:p w14:paraId="27FB69A8" w14:textId="77777777" w:rsidR="0087601C" w:rsidRPr="006A1EC7" w:rsidRDefault="0087601C" w:rsidP="0087601C">
      <w:pPr>
        <w:rPr>
          <w:i/>
        </w:rPr>
      </w:pPr>
      <w:r w:rsidRPr="006A1EC7">
        <w:rPr>
          <w:i/>
        </w:rPr>
        <w:t>Bladder/Bowel control</w:t>
      </w:r>
    </w:p>
    <w:p w14:paraId="73112280" w14:textId="77777777" w:rsidR="0087601C" w:rsidRPr="006A1EC7" w:rsidRDefault="0087601C" w:rsidP="0087601C"/>
    <w:p w14:paraId="73658BD9" w14:textId="77777777" w:rsidR="0087601C" w:rsidRPr="006A1EC7" w:rsidRDefault="0087601C" w:rsidP="0087601C">
      <w:pPr>
        <w:rPr>
          <w:u w:val="single"/>
        </w:rPr>
      </w:pPr>
      <w:r w:rsidRPr="006A1EC7">
        <w:rPr>
          <w:u w:val="single"/>
        </w:rPr>
        <w:t>3G.1: Does the patient have bladder control?</w:t>
      </w:r>
      <w:r w:rsidRPr="006A1EC7">
        <w:br/>
        <w:t>No, patient needs pads/nappies and cannot indicate whether toilet is needed = 2</w:t>
      </w:r>
    </w:p>
    <w:p w14:paraId="19B2EDB5" w14:textId="77777777" w:rsidR="0087601C" w:rsidRPr="006A1EC7" w:rsidRDefault="0087601C" w:rsidP="0087601C">
      <w:r w:rsidRPr="006A1EC7">
        <w:t>Patient is partly able to indicate = 1</w:t>
      </w:r>
    </w:p>
    <w:p w14:paraId="0056058F" w14:textId="77777777" w:rsidR="0087601C" w:rsidRPr="006A1EC7" w:rsidRDefault="0087601C" w:rsidP="0087601C">
      <w:r w:rsidRPr="006A1EC7">
        <w:t>Yes, independent = 0</w:t>
      </w:r>
    </w:p>
    <w:p w14:paraId="7F1FF964" w14:textId="77777777" w:rsidR="0087601C" w:rsidRPr="006A1EC7" w:rsidRDefault="0087601C" w:rsidP="0087601C"/>
    <w:p w14:paraId="08AF653F" w14:textId="77777777" w:rsidR="0087601C" w:rsidRPr="006A1EC7" w:rsidRDefault="0087601C" w:rsidP="0087601C">
      <w:pPr>
        <w:rPr>
          <w:u w:val="single"/>
        </w:rPr>
      </w:pPr>
      <w:r w:rsidRPr="006A1EC7">
        <w:rPr>
          <w:u w:val="single"/>
        </w:rPr>
        <w:t>3G.1.1: Is the patient dry during the day? (bladder, not bowels)</w:t>
      </w:r>
    </w:p>
    <w:p w14:paraId="4BCBE3C0" w14:textId="77777777" w:rsidR="0087601C" w:rsidRPr="006A1EC7" w:rsidRDefault="0087601C" w:rsidP="0087601C">
      <w:r w:rsidRPr="006A1EC7">
        <w:t>Predominantly no = 1</w:t>
      </w:r>
    </w:p>
    <w:p w14:paraId="67ED09A0" w14:textId="77777777" w:rsidR="0087601C" w:rsidRPr="006A1EC7" w:rsidRDefault="0087601C" w:rsidP="0087601C">
      <w:r w:rsidRPr="006A1EC7">
        <w:t>Predominantly yes = 0</w:t>
      </w:r>
    </w:p>
    <w:p w14:paraId="0B9726E7" w14:textId="77777777" w:rsidR="0087601C" w:rsidRPr="006A1EC7" w:rsidRDefault="0087601C" w:rsidP="0087601C"/>
    <w:p w14:paraId="40BC3559" w14:textId="77777777" w:rsidR="0087601C" w:rsidRPr="006A1EC7" w:rsidRDefault="0087601C" w:rsidP="0087601C">
      <w:pPr>
        <w:rPr>
          <w:u w:val="single"/>
        </w:rPr>
      </w:pPr>
      <w:r w:rsidRPr="006A1EC7">
        <w:rPr>
          <w:u w:val="single"/>
        </w:rPr>
        <w:t>3G1.2: Is the patient dry during the night? (bladder, not bowels)</w:t>
      </w:r>
    </w:p>
    <w:p w14:paraId="0F577179" w14:textId="77777777" w:rsidR="0087601C" w:rsidRPr="006A1EC7" w:rsidRDefault="0087601C" w:rsidP="0087601C">
      <w:r w:rsidRPr="006A1EC7">
        <w:t>Predominantly no = 1</w:t>
      </w:r>
    </w:p>
    <w:p w14:paraId="28A8F624" w14:textId="77777777" w:rsidR="0087601C" w:rsidRPr="006A1EC7" w:rsidRDefault="0087601C" w:rsidP="0087601C">
      <w:r w:rsidRPr="006A1EC7">
        <w:t>Predominantly yes = 0</w:t>
      </w:r>
    </w:p>
    <w:p w14:paraId="74F78BFB" w14:textId="77777777" w:rsidR="0087601C" w:rsidRPr="006A1EC7" w:rsidRDefault="0087601C" w:rsidP="0087601C"/>
    <w:p w14:paraId="57C21245" w14:textId="77777777" w:rsidR="0087601C" w:rsidRPr="006A1EC7" w:rsidRDefault="0087601C" w:rsidP="0087601C">
      <w:pPr>
        <w:rPr>
          <w:u w:val="single"/>
        </w:rPr>
      </w:pPr>
      <w:r w:rsidRPr="006A1EC7">
        <w:rPr>
          <w:u w:val="single"/>
        </w:rPr>
        <w:t>3H.2: Does the patient have bowel control?</w:t>
      </w:r>
    </w:p>
    <w:p w14:paraId="4B43C518" w14:textId="77777777" w:rsidR="0087601C" w:rsidRPr="006A1EC7" w:rsidRDefault="0087601C" w:rsidP="0087601C">
      <w:pPr>
        <w:rPr>
          <w:u w:val="single"/>
        </w:rPr>
      </w:pPr>
      <w:r w:rsidRPr="006A1EC7">
        <w:t>No, patient needs pads/nappies and cannot indicate whether toilet is needed = 2</w:t>
      </w:r>
    </w:p>
    <w:p w14:paraId="01ED165E" w14:textId="77777777" w:rsidR="0087601C" w:rsidRPr="006A1EC7" w:rsidRDefault="0087601C" w:rsidP="0087601C">
      <w:r w:rsidRPr="006A1EC7">
        <w:t>Patient is partly able to indicate = 1</w:t>
      </w:r>
    </w:p>
    <w:p w14:paraId="7F7FD628" w14:textId="77777777" w:rsidR="0087601C" w:rsidRPr="006A1EC7" w:rsidRDefault="0087601C" w:rsidP="0087601C">
      <w:r w:rsidRPr="006A1EC7">
        <w:t>Yes, independent = 0</w:t>
      </w:r>
    </w:p>
    <w:p w14:paraId="6647BDB5" w14:textId="77777777" w:rsidR="0087601C" w:rsidRPr="006A1EC7" w:rsidRDefault="0087601C" w:rsidP="0087601C"/>
    <w:p w14:paraId="6945BF5D" w14:textId="77777777" w:rsidR="0087601C" w:rsidRPr="006A1EC7" w:rsidRDefault="0087601C" w:rsidP="0087601C">
      <w:pPr>
        <w:rPr>
          <w:u w:val="single"/>
        </w:rPr>
      </w:pPr>
      <w:r w:rsidRPr="006A1EC7">
        <w:rPr>
          <w:u w:val="single"/>
        </w:rPr>
        <w:t>3H2.1. Is the patient dry during the day? (bowels, not bladder)</w:t>
      </w:r>
    </w:p>
    <w:p w14:paraId="33CB413B" w14:textId="77777777" w:rsidR="0087601C" w:rsidRPr="006A1EC7" w:rsidRDefault="0087601C" w:rsidP="0087601C">
      <w:r w:rsidRPr="006A1EC7">
        <w:t>Predominantly no = 1</w:t>
      </w:r>
    </w:p>
    <w:p w14:paraId="1792443C" w14:textId="77777777" w:rsidR="0087601C" w:rsidRPr="006A1EC7" w:rsidRDefault="0087601C" w:rsidP="0087601C">
      <w:r w:rsidRPr="006A1EC7">
        <w:t>Predominantly yes = 0</w:t>
      </w:r>
    </w:p>
    <w:p w14:paraId="6150766E" w14:textId="77777777" w:rsidR="0087601C" w:rsidRPr="006A1EC7" w:rsidRDefault="0087601C" w:rsidP="0087601C"/>
    <w:p w14:paraId="66DC427C" w14:textId="77777777" w:rsidR="0087601C" w:rsidRPr="006A1EC7" w:rsidRDefault="0087601C" w:rsidP="0087601C">
      <w:pPr>
        <w:rPr>
          <w:u w:val="single"/>
        </w:rPr>
      </w:pPr>
      <w:r w:rsidRPr="006A1EC7">
        <w:rPr>
          <w:u w:val="single"/>
        </w:rPr>
        <w:lastRenderedPageBreak/>
        <w:t>3H2.2: Is the patient dry during the night? (bowels, not bladder)</w:t>
      </w:r>
    </w:p>
    <w:p w14:paraId="2AEF77CC" w14:textId="77777777" w:rsidR="0087601C" w:rsidRPr="006A1EC7" w:rsidRDefault="0087601C" w:rsidP="0087601C">
      <w:r w:rsidRPr="006A1EC7">
        <w:t>Predominantly no = 1</w:t>
      </w:r>
    </w:p>
    <w:p w14:paraId="3FD3A467" w14:textId="77777777" w:rsidR="0087601C" w:rsidRPr="006A1EC7" w:rsidRDefault="0087601C" w:rsidP="0087601C">
      <w:r w:rsidRPr="006A1EC7">
        <w:t>Predominantly yes = 0</w:t>
      </w:r>
    </w:p>
    <w:p w14:paraId="3556CE59" w14:textId="77777777" w:rsidR="0087601C" w:rsidRPr="006A1EC7" w:rsidRDefault="0087601C" w:rsidP="0087601C">
      <w:pPr>
        <w:rPr>
          <w:u w:val="single"/>
        </w:rPr>
      </w:pPr>
    </w:p>
    <w:p w14:paraId="5E36F862" w14:textId="77777777" w:rsidR="0087601C" w:rsidRPr="006A1EC7" w:rsidRDefault="0087601C" w:rsidP="0087601C">
      <w:pPr>
        <w:rPr>
          <w:i/>
        </w:rPr>
      </w:pPr>
      <w:r w:rsidRPr="006A1EC7">
        <w:rPr>
          <w:i/>
        </w:rPr>
        <w:t>Genitourinary tract</w:t>
      </w:r>
    </w:p>
    <w:p w14:paraId="7DE3AF73" w14:textId="77777777" w:rsidR="0087601C" w:rsidRPr="006A1EC7" w:rsidRDefault="0087601C" w:rsidP="0087601C"/>
    <w:p w14:paraId="22CEC58A" w14:textId="77777777" w:rsidR="0087601C" w:rsidRPr="006A1EC7" w:rsidRDefault="0087601C" w:rsidP="0087601C">
      <w:pPr>
        <w:rPr>
          <w:u w:val="single"/>
        </w:rPr>
      </w:pPr>
      <w:r w:rsidRPr="006A1EC7">
        <w:rPr>
          <w:u w:val="single"/>
        </w:rPr>
        <w:t>3I.1: Does the patient suffer recurrent urinary tract infections?</w:t>
      </w:r>
    </w:p>
    <w:p w14:paraId="717D1539" w14:textId="77777777" w:rsidR="0087601C" w:rsidRPr="006A1EC7" w:rsidRDefault="0087601C" w:rsidP="0087601C">
      <w:r w:rsidRPr="006A1EC7">
        <w:t>Yes  = 1</w:t>
      </w:r>
      <w:r w:rsidRPr="006A1EC7">
        <w:br/>
        <w:t>No = 0</w:t>
      </w:r>
    </w:p>
    <w:p w14:paraId="66A42098" w14:textId="77777777" w:rsidR="0087601C" w:rsidRPr="006A1EC7" w:rsidRDefault="0087601C" w:rsidP="0087601C"/>
    <w:p w14:paraId="41834ED8" w14:textId="77777777" w:rsidR="0087601C" w:rsidRPr="006A1EC7" w:rsidRDefault="0087601C" w:rsidP="0087601C">
      <w:pPr>
        <w:rPr>
          <w:u w:val="single"/>
        </w:rPr>
      </w:pPr>
      <w:r w:rsidRPr="006A1EC7">
        <w:rPr>
          <w:u w:val="single"/>
        </w:rPr>
        <w:t>Item 3I.2: Over the past 6 months, what was the maximum level of care needed to treat urinary infections?</w:t>
      </w:r>
    </w:p>
    <w:p w14:paraId="65749653" w14:textId="77777777" w:rsidR="0087601C" w:rsidRPr="006A1EC7" w:rsidRDefault="0087601C" w:rsidP="0087601C">
      <w:r w:rsidRPr="006A1EC7">
        <w:t>Patient required hospital admission = 3</w:t>
      </w:r>
    </w:p>
    <w:p w14:paraId="44B7D089" w14:textId="77777777" w:rsidR="0087601C" w:rsidRPr="006A1EC7" w:rsidRDefault="0087601C" w:rsidP="0087601C">
      <w:r w:rsidRPr="006A1EC7">
        <w:t>Home care/GP care with antibiotics = 2</w:t>
      </w:r>
    </w:p>
    <w:p w14:paraId="5AC7DE33" w14:textId="77777777" w:rsidR="0087601C" w:rsidRPr="006A1EC7" w:rsidRDefault="0087601C" w:rsidP="0087601C">
      <w:r w:rsidRPr="006A1EC7">
        <w:t>Self-care (e.g. painkillers, cranberry supplement) = 1</w:t>
      </w:r>
    </w:p>
    <w:p w14:paraId="40A440D7" w14:textId="77777777" w:rsidR="0087601C" w:rsidRPr="006A1EC7" w:rsidRDefault="0087601C" w:rsidP="0087601C">
      <w:r w:rsidRPr="006A1EC7">
        <w:t>N/A = 0</w:t>
      </w:r>
    </w:p>
    <w:p w14:paraId="78584AAC" w14:textId="77777777" w:rsidR="0087601C" w:rsidRPr="006A1EC7" w:rsidRDefault="0087601C" w:rsidP="0087601C"/>
    <w:p w14:paraId="6E35AF21" w14:textId="77777777" w:rsidR="0087601C" w:rsidRPr="006A1EC7" w:rsidRDefault="0087601C" w:rsidP="0087601C">
      <w:r w:rsidRPr="006A1EC7">
        <w:rPr>
          <w:u w:val="single"/>
        </w:rPr>
        <w:t>3K.1: Does the patient have any known renal malformations (confirmed on ultrasound etc.)?</w:t>
      </w:r>
      <w:r w:rsidRPr="006A1EC7">
        <w:br/>
        <w:t>Yes = 1</w:t>
      </w:r>
    </w:p>
    <w:p w14:paraId="1C8C6E91" w14:textId="77777777" w:rsidR="0087601C" w:rsidRPr="006A1EC7" w:rsidRDefault="0087601C" w:rsidP="0087601C">
      <w:r w:rsidRPr="006A1EC7">
        <w:t>No = 0</w:t>
      </w:r>
    </w:p>
    <w:p w14:paraId="527A619A" w14:textId="77777777" w:rsidR="0087601C" w:rsidRPr="006A1EC7" w:rsidRDefault="0087601C" w:rsidP="0087601C"/>
    <w:p w14:paraId="3BFF423D" w14:textId="77777777" w:rsidR="0087601C" w:rsidRPr="006A1EC7" w:rsidRDefault="0087601C" w:rsidP="0087601C">
      <w:r w:rsidRPr="006A1EC7">
        <w:rPr>
          <w:u w:val="single"/>
        </w:rPr>
        <w:t>3K.2: If applicable, diagnoses:</w:t>
      </w:r>
      <w:r w:rsidRPr="006A1EC7">
        <w:t xml:space="preserve"> _______________________________</w:t>
      </w:r>
    </w:p>
    <w:p w14:paraId="4A9CEA36" w14:textId="77777777" w:rsidR="0087601C" w:rsidRPr="006A1EC7" w:rsidRDefault="0087601C" w:rsidP="0087601C"/>
    <w:p w14:paraId="00D20179" w14:textId="77777777" w:rsidR="0087601C" w:rsidRPr="006A1EC7" w:rsidRDefault="0087601C" w:rsidP="0087601C">
      <w:r w:rsidRPr="006A1EC7">
        <w:rPr>
          <w:u w:val="single"/>
        </w:rPr>
        <w:t>3K.3: Is the renal malformation symptomatic?</w:t>
      </w:r>
      <w:r w:rsidRPr="006A1EC7">
        <w:t xml:space="preserve"> </w:t>
      </w:r>
      <w:r w:rsidRPr="006A1EC7">
        <w:br/>
        <w:t>Yes = 1</w:t>
      </w:r>
    </w:p>
    <w:p w14:paraId="138F28FF" w14:textId="77777777" w:rsidR="0087601C" w:rsidRPr="006A1EC7" w:rsidRDefault="0087601C" w:rsidP="0087601C">
      <w:r w:rsidRPr="006A1EC7">
        <w:t>No = 0</w:t>
      </w:r>
    </w:p>
    <w:p w14:paraId="76246E4A" w14:textId="77777777" w:rsidR="0087601C" w:rsidRPr="006A1EC7" w:rsidRDefault="0087601C" w:rsidP="0087601C">
      <w:pPr>
        <w:rPr>
          <w:u w:val="single"/>
        </w:rPr>
      </w:pPr>
    </w:p>
    <w:p w14:paraId="6EA8064D" w14:textId="77777777" w:rsidR="0087601C" w:rsidRPr="006A1EC7" w:rsidRDefault="0087601C" w:rsidP="0087601C">
      <w:pPr>
        <w:rPr>
          <w:u w:val="single"/>
        </w:rPr>
      </w:pPr>
      <w:r w:rsidRPr="006A1EC7">
        <w:rPr>
          <w:u w:val="single"/>
        </w:rPr>
        <w:t>3K.4: What are the symptoms of the renal malformation?</w:t>
      </w:r>
    </w:p>
    <w:p w14:paraId="3F06B27B" w14:textId="77777777" w:rsidR="0087601C" w:rsidRPr="006A1EC7" w:rsidRDefault="0087601C" w:rsidP="0087601C">
      <w:pPr>
        <w:rPr>
          <w:u w:val="single"/>
        </w:rPr>
      </w:pPr>
      <w:r w:rsidRPr="006A1EC7">
        <w:t>_______________________________</w:t>
      </w:r>
    </w:p>
    <w:p w14:paraId="7EF9F1EB" w14:textId="77777777" w:rsidR="0087601C" w:rsidRPr="006A1EC7" w:rsidRDefault="0087601C" w:rsidP="0087601C">
      <w:pPr>
        <w:rPr>
          <w:u w:val="single"/>
        </w:rPr>
      </w:pPr>
    </w:p>
    <w:p w14:paraId="55C2D163" w14:textId="77777777" w:rsidR="0087601C" w:rsidRPr="006A1EC7" w:rsidRDefault="0087601C" w:rsidP="0087601C">
      <w:pPr>
        <w:rPr>
          <w:b/>
          <w:i/>
        </w:rPr>
      </w:pPr>
      <w:r w:rsidRPr="006A1EC7">
        <w:rPr>
          <w:b/>
          <w:i/>
        </w:rPr>
        <w:t>Items 3L.1 and 3L.2 only applicable if male patient</w:t>
      </w:r>
    </w:p>
    <w:p w14:paraId="2DE7971C" w14:textId="77777777" w:rsidR="0087601C" w:rsidRPr="006A1EC7" w:rsidRDefault="0087601C" w:rsidP="0087601C">
      <w:pPr>
        <w:rPr>
          <w:u w:val="single"/>
        </w:rPr>
      </w:pPr>
    </w:p>
    <w:p w14:paraId="289CE657" w14:textId="77777777" w:rsidR="0087601C" w:rsidRPr="006A1EC7" w:rsidRDefault="0087601C" w:rsidP="0087601C">
      <w:pPr>
        <w:rPr>
          <w:u w:val="single"/>
        </w:rPr>
      </w:pPr>
      <w:r w:rsidRPr="006A1EC7">
        <w:rPr>
          <w:u w:val="single"/>
        </w:rPr>
        <w:t>3L.1 Presence of hypospadias?</w:t>
      </w:r>
    </w:p>
    <w:p w14:paraId="263D50ED" w14:textId="77777777" w:rsidR="0087601C" w:rsidRPr="006A1EC7" w:rsidRDefault="0087601C" w:rsidP="0087601C">
      <w:pPr>
        <w:rPr>
          <w:u w:val="single"/>
        </w:rPr>
      </w:pPr>
      <w:r w:rsidRPr="006A1EC7">
        <w:rPr>
          <w:u w:val="single"/>
        </w:rPr>
        <w:t>Yes = 1</w:t>
      </w:r>
    </w:p>
    <w:p w14:paraId="19566C37" w14:textId="77777777" w:rsidR="0087601C" w:rsidRPr="006A1EC7" w:rsidRDefault="0087601C" w:rsidP="0087601C">
      <w:pPr>
        <w:rPr>
          <w:u w:val="single"/>
        </w:rPr>
      </w:pPr>
      <w:r w:rsidRPr="006A1EC7">
        <w:rPr>
          <w:u w:val="single"/>
        </w:rPr>
        <w:t>No = 0</w:t>
      </w:r>
    </w:p>
    <w:p w14:paraId="238244D6" w14:textId="77777777" w:rsidR="0087601C" w:rsidRPr="006A1EC7" w:rsidRDefault="0087601C" w:rsidP="0087601C"/>
    <w:p w14:paraId="57978AD3" w14:textId="77777777" w:rsidR="0087601C" w:rsidRPr="006A1EC7" w:rsidRDefault="0087601C" w:rsidP="0087601C">
      <w:r w:rsidRPr="006A1EC7">
        <w:rPr>
          <w:u w:val="single"/>
        </w:rPr>
        <w:t>3L.2: Does/Did hypospadias require treatment?</w:t>
      </w:r>
      <w:r w:rsidRPr="006A1EC7">
        <w:br/>
        <w:t>Surgical management = 2</w:t>
      </w:r>
    </w:p>
    <w:p w14:paraId="6BB5AC9F" w14:textId="77777777" w:rsidR="0087601C" w:rsidRPr="006A1EC7" w:rsidRDefault="0087601C" w:rsidP="0087601C">
      <w:r w:rsidRPr="006A1EC7">
        <w:t>Conservative treatment (antibiotics, observation) = 1</w:t>
      </w:r>
    </w:p>
    <w:p w14:paraId="33AC4626" w14:textId="77777777" w:rsidR="0087601C" w:rsidRPr="006A1EC7" w:rsidRDefault="0087601C" w:rsidP="0087601C">
      <w:r w:rsidRPr="006A1EC7">
        <w:t>No treatment = 0</w:t>
      </w:r>
    </w:p>
    <w:p w14:paraId="730BF957" w14:textId="77777777" w:rsidR="0087601C" w:rsidRPr="006A1EC7" w:rsidRDefault="0087601C" w:rsidP="0087601C"/>
    <w:p w14:paraId="2D698122" w14:textId="77777777" w:rsidR="0087601C" w:rsidRPr="006A1EC7" w:rsidRDefault="0087601C" w:rsidP="0087601C">
      <w:pPr>
        <w:rPr>
          <w:b/>
          <w:u w:val="single"/>
        </w:rPr>
      </w:pPr>
    </w:p>
    <w:p w14:paraId="438BB903" w14:textId="77777777" w:rsidR="0087601C" w:rsidRPr="006A1EC7" w:rsidRDefault="0087601C" w:rsidP="0087601C">
      <w:pPr>
        <w:rPr>
          <w:b/>
          <w:u w:val="single"/>
        </w:rPr>
      </w:pPr>
    </w:p>
    <w:p w14:paraId="624582C0" w14:textId="77777777" w:rsidR="0087601C" w:rsidRPr="006A1EC7" w:rsidRDefault="0087601C" w:rsidP="0087601C">
      <w:pPr>
        <w:rPr>
          <w:b/>
          <w:u w:val="single"/>
        </w:rPr>
      </w:pPr>
    </w:p>
    <w:p w14:paraId="1FB5F7B6" w14:textId="77777777" w:rsidR="0087601C" w:rsidRPr="006A1EC7" w:rsidRDefault="0087601C" w:rsidP="0087601C">
      <w:pPr>
        <w:rPr>
          <w:b/>
          <w:u w:val="single"/>
        </w:rPr>
      </w:pPr>
    </w:p>
    <w:p w14:paraId="22ECD38A" w14:textId="77777777" w:rsidR="0087601C" w:rsidRPr="006A1EC7" w:rsidRDefault="0087601C" w:rsidP="0087601C">
      <w:pPr>
        <w:rPr>
          <w:b/>
          <w:u w:val="single"/>
        </w:rPr>
      </w:pPr>
    </w:p>
    <w:p w14:paraId="727C277A" w14:textId="77777777" w:rsidR="0087601C" w:rsidRPr="006A1EC7" w:rsidRDefault="0087601C" w:rsidP="0087601C">
      <w:pPr>
        <w:rPr>
          <w:b/>
          <w:u w:val="single"/>
        </w:rPr>
      </w:pPr>
    </w:p>
    <w:p w14:paraId="20036510" w14:textId="77777777" w:rsidR="0087601C" w:rsidRPr="006A1EC7" w:rsidRDefault="0087601C" w:rsidP="0087601C">
      <w:pPr>
        <w:rPr>
          <w:b/>
          <w:u w:val="single"/>
        </w:rPr>
      </w:pPr>
    </w:p>
    <w:p w14:paraId="3D48E676" w14:textId="77777777" w:rsidR="0087601C" w:rsidRPr="006A1EC7" w:rsidRDefault="0087601C" w:rsidP="0087601C">
      <w:pPr>
        <w:rPr>
          <w:b/>
          <w:u w:val="single"/>
        </w:rPr>
      </w:pPr>
    </w:p>
    <w:p w14:paraId="30BE19EE" w14:textId="77777777" w:rsidR="0087601C" w:rsidRPr="006A1EC7" w:rsidRDefault="0087601C" w:rsidP="0087601C">
      <w:pPr>
        <w:rPr>
          <w:b/>
          <w:u w:val="single"/>
        </w:rPr>
      </w:pPr>
    </w:p>
    <w:p w14:paraId="07F589DE" w14:textId="77777777" w:rsidR="0087601C" w:rsidRPr="006A1EC7" w:rsidRDefault="0087601C" w:rsidP="0087601C">
      <w:pPr>
        <w:rPr>
          <w:b/>
          <w:u w:val="single"/>
        </w:rPr>
      </w:pPr>
    </w:p>
    <w:p w14:paraId="71B6CB48" w14:textId="77777777" w:rsidR="0087601C" w:rsidRPr="006A1EC7" w:rsidRDefault="0087601C" w:rsidP="0087601C">
      <w:pPr>
        <w:rPr>
          <w:b/>
          <w:u w:val="single"/>
        </w:rPr>
      </w:pPr>
    </w:p>
    <w:p w14:paraId="0CA18DDC" w14:textId="77777777" w:rsidR="0087601C" w:rsidRPr="006A1EC7" w:rsidRDefault="0087601C" w:rsidP="0087601C">
      <w:pPr>
        <w:rPr>
          <w:b/>
          <w:u w:val="single"/>
        </w:rPr>
      </w:pPr>
    </w:p>
    <w:p w14:paraId="2CCBD869" w14:textId="77777777" w:rsidR="0087601C" w:rsidRPr="006A1EC7" w:rsidRDefault="0087601C" w:rsidP="0087601C">
      <w:pPr>
        <w:rPr>
          <w:b/>
          <w:u w:val="single"/>
        </w:rPr>
      </w:pPr>
    </w:p>
    <w:p w14:paraId="233A036C" w14:textId="77777777" w:rsidR="0087601C" w:rsidRPr="006A1EC7" w:rsidRDefault="0087601C" w:rsidP="0087601C">
      <w:pPr>
        <w:rPr>
          <w:b/>
          <w:u w:val="single"/>
        </w:rPr>
      </w:pPr>
    </w:p>
    <w:p w14:paraId="03A20075" w14:textId="77777777" w:rsidR="0087601C" w:rsidRPr="006A1EC7" w:rsidRDefault="0087601C" w:rsidP="0087601C">
      <w:pPr>
        <w:rPr>
          <w:b/>
          <w:u w:val="single"/>
        </w:rPr>
      </w:pPr>
    </w:p>
    <w:p w14:paraId="78F84126" w14:textId="77777777" w:rsidR="0087601C" w:rsidRPr="006A1EC7" w:rsidRDefault="0087601C" w:rsidP="0087601C">
      <w:pPr>
        <w:rPr>
          <w:b/>
          <w:u w:val="single"/>
        </w:rPr>
      </w:pPr>
    </w:p>
    <w:p w14:paraId="66E834EE" w14:textId="77777777" w:rsidR="0087601C" w:rsidRPr="006A1EC7" w:rsidRDefault="0087601C" w:rsidP="0087601C">
      <w:pPr>
        <w:rPr>
          <w:b/>
          <w:u w:val="single"/>
        </w:rPr>
      </w:pPr>
    </w:p>
    <w:p w14:paraId="75437E7A" w14:textId="77777777" w:rsidR="0087601C" w:rsidRPr="006A1EC7" w:rsidRDefault="0087601C" w:rsidP="0087601C">
      <w:pPr>
        <w:rPr>
          <w:b/>
          <w:u w:val="single"/>
        </w:rPr>
      </w:pPr>
    </w:p>
    <w:p w14:paraId="3957FD5D" w14:textId="77777777" w:rsidR="0087601C" w:rsidRPr="006A1EC7" w:rsidRDefault="0087601C" w:rsidP="0087601C">
      <w:pPr>
        <w:rPr>
          <w:b/>
          <w:u w:val="single"/>
        </w:rPr>
      </w:pPr>
    </w:p>
    <w:p w14:paraId="7F9FBA1D" w14:textId="77777777" w:rsidR="0087601C" w:rsidRPr="006A1EC7" w:rsidRDefault="0087601C" w:rsidP="0087601C">
      <w:pPr>
        <w:rPr>
          <w:b/>
          <w:u w:val="single"/>
        </w:rPr>
      </w:pPr>
    </w:p>
    <w:p w14:paraId="2DB3E8DE" w14:textId="77777777" w:rsidR="0087601C" w:rsidRPr="006A1EC7" w:rsidRDefault="0087601C" w:rsidP="0087601C">
      <w:pPr>
        <w:rPr>
          <w:b/>
          <w:u w:val="single"/>
        </w:rPr>
      </w:pPr>
    </w:p>
    <w:p w14:paraId="69F949B6" w14:textId="77777777" w:rsidR="0087601C" w:rsidRPr="006A1EC7" w:rsidRDefault="0087601C" w:rsidP="0087601C">
      <w:pPr>
        <w:rPr>
          <w:b/>
          <w:u w:val="single"/>
        </w:rPr>
      </w:pPr>
    </w:p>
    <w:p w14:paraId="1B8DCCBF" w14:textId="77777777" w:rsidR="0087601C" w:rsidRPr="006A1EC7" w:rsidRDefault="0087601C" w:rsidP="0087601C">
      <w:pPr>
        <w:rPr>
          <w:b/>
          <w:u w:val="single"/>
        </w:rPr>
      </w:pPr>
    </w:p>
    <w:p w14:paraId="29F47801" w14:textId="77777777" w:rsidR="0087601C" w:rsidRPr="006A1EC7" w:rsidRDefault="0087601C" w:rsidP="0087601C">
      <w:pPr>
        <w:rPr>
          <w:b/>
          <w:u w:val="single"/>
        </w:rPr>
      </w:pPr>
    </w:p>
    <w:p w14:paraId="22AC962E" w14:textId="77777777" w:rsidR="0087601C" w:rsidRPr="006A1EC7" w:rsidRDefault="0087601C" w:rsidP="0087601C">
      <w:pPr>
        <w:rPr>
          <w:b/>
          <w:u w:val="single"/>
        </w:rPr>
      </w:pPr>
    </w:p>
    <w:p w14:paraId="40724B0B" w14:textId="77777777" w:rsidR="0087601C" w:rsidRPr="006A1EC7" w:rsidRDefault="0087601C" w:rsidP="0087601C">
      <w:pPr>
        <w:rPr>
          <w:b/>
          <w:u w:val="single"/>
        </w:rPr>
      </w:pPr>
      <w:r w:rsidRPr="006A1EC7">
        <w:rPr>
          <w:b/>
          <w:u w:val="single"/>
        </w:rPr>
        <w:t>Section 4: Cardiac and respiratory symptoms</w:t>
      </w:r>
    </w:p>
    <w:p w14:paraId="7BB5C8F2" w14:textId="77777777" w:rsidR="0087601C" w:rsidRPr="006A1EC7" w:rsidRDefault="0087601C" w:rsidP="0087601C"/>
    <w:p w14:paraId="07EAF7F5" w14:textId="77777777" w:rsidR="0087601C" w:rsidRPr="006A1EC7" w:rsidRDefault="0087601C" w:rsidP="0087601C">
      <w:pPr>
        <w:rPr>
          <w:i/>
        </w:rPr>
      </w:pPr>
      <w:r w:rsidRPr="006A1EC7">
        <w:rPr>
          <w:i/>
        </w:rPr>
        <w:t>Cardiac functioning</w:t>
      </w:r>
    </w:p>
    <w:p w14:paraId="5C373836" w14:textId="77777777" w:rsidR="0087601C" w:rsidRPr="006A1EC7" w:rsidRDefault="0087601C" w:rsidP="0087601C">
      <w:pPr>
        <w:rPr>
          <w:u w:val="single"/>
        </w:rPr>
      </w:pPr>
    </w:p>
    <w:p w14:paraId="4D745106" w14:textId="77777777" w:rsidR="0087601C" w:rsidRPr="006A1EC7" w:rsidRDefault="0087601C" w:rsidP="0087601C">
      <w:pPr>
        <w:rPr>
          <w:u w:val="single"/>
        </w:rPr>
      </w:pPr>
      <w:r w:rsidRPr="006A1EC7">
        <w:rPr>
          <w:u w:val="single"/>
        </w:rPr>
        <w:t>4A.1: Has the patient ever been diagnosed with a structural heart defect (i.e. ventricular, ASD, …)?</w:t>
      </w:r>
    </w:p>
    <w:p w14:paraId="0255321E" w14:textId="77777777" w:rsidR="0087601C" w:rsidRPr="006A1EC7" w:rsidRDefault="0087601C" w:rsidP="0087601C">
      <w:r w:rsidRPr="006A1EC7">
        <w:t>Yes = 1</w:t>
      </w:r>
    </w:p>
    <w:p w14:paraId="197061B2" w14:textId="77777777" w:rsidR="0087601C" w:rsidRPr="006A1EC7" w:rsidRDefault="0087601C" w:rsidP="0087601C">
      <w:r w:rsidRPr="006A1EC7">
        <w:t>No** = 2</w:t>
      </w:r>
    </w:p>
    <w:p w14:paraId="0760B75F" w14:textId="77777777" w:rsidR="0087601C" w:rsidRPr="006A1EC7" w:rsidRDefault="0087601C" w:rsidP="0087601C"/>
    <w:p w14:paraId="2467697E" w14:textId="77777777" w:rsidR="0087601C" w:rsidRPr="006A1EC7" w:rsidRDefault="0087601C" w:rsidP="0087601C">
      <w:pPr>
        <w:rPr>
          <w:b/>
        </w:rPr>
      </w:pPr>
      <w:r w:rsidRPr="006A1EC7">
        <w:rPr>
          <w:b/>
        </w:rPr>
        <w:t xml:space="preserve">If Yes, proceed to Item 4A.2 </w:t>
      </w:r>
    </w:p>
    <w:p w14:paraId="2E46C02B" w14:textId="77777777" w:rsidR="0087601C" w:rsidRPr="006A1EC7" w:rsidRDefault="0087601C" w:rsidP="0087601C">
      <w:pPr>
        <w:rPr>
          <w:b/>
        </w:rPr>
      </w:pPr>
      <w:r w:rsidRPr="006A1EC7">
        <w:rPr>
          <w:b/>
        </w:rPr>
        <w:t>**If No, proceed to Item 4B</w:t>
      </w:r>
    </w:p>
    <w:p w14:paraId="6B4710B4" w14:textId="77777777" w:rsidR="0087601C" w:rsidRPr="006A1EC7" w:rsidRDefault="0087601C" w:rsidP="0087601C"/>
    <w:p w14:paraId="2058B67D" w14:textId="77777777" w:rsidR="0087601C" w:rsidRPr="006A1EC7" w:rsidRDefault="0087601C" w:rsidP="0087601C">
      <w:pPr>
        <w:rPr>
          <w:u w:val="single"/>
        </w:rPr>
      </w:pPr>
      <w:r w:rsidRPr="006A1EC7">
        <w:rPr>
          <w:u w:val="single"/>
        </w:rPr>
        <w:t>4A.2: Diagnosis/diagnoses:</w:t>
      </w:r>
    </w:p>
    <w:p w14:paraId="065D9EDF" w14:textId="77777777" w:rsidR="0087601C" w:rsidRPr="006A1EC7" w:rsidRDefault="0087601C" w:rsidP="0087601C">
      <w:r w:rsidRPr="006A1EC7">
        <w:t>_______________________________</w:t>
      </w:r>
    </w:p>
    <w:p w14:paraId="50A49319" w14:textId="77777777" w:rsidR="0087601C" w:rsidRPr="006A1EC7" w:rsidRDefault="0087601C" w:rsidP="0087601C"/>
    <w:p w14:paraId="54AC07DD" w14:textId="77777777" w:rsidR="0087601C" w:rsidRPr="006A1EC7" w:rsidRDefault="0087601C" w:rsidP="0087601C">
      <w:pPr>
        <w:rPr>
          <w:u w:val="single"/>
        </w:rPr>
      </w:pPr>
      <w:r w:rsidRPr="006A1EC7">
        <w:rPr>
          <w:u w:val="single"/>
        </w:rPr>
        <w:t>4A.3: How is/ has the structural heart defect being/been treated?</w:t>
      </w:r>
    </w:p>
    <w:p w14:paraId="66B684B2" w14:textId="77777777" w:rsidR="0087601C" w:rsidRPr="006A1EC7" w:rsidRDefault="0087601C" w:rsidP="0087601C">
      <w:r w:rsidRPr="006A1EC7">
        <w:t>Urgent surgery = 3</w:t>
      </w:r>
    </w:p>
    <w:p w14:paraId="030D9196" w14:textId="77777777" w:rsidR="0087601C" w:rsidRPr="006A1EC7" w:rsidRDefault="0087601C" w:rsidP="0087601C">
      <w:r w:rsidRPr="006A1EC7">
        <w:t>Elective surgery = 2</w:t>
      </w:r>
    </w:p>
    <w:p w14:paraId="3A96D0B4" w14:textId="77777777" w:rsidR="0087601C" w:rsidRPr="006A1EC7" w:rsidRDefault="0087601C" w:rsidP="0087601C">
      <w:r w:rsidRPr="006A1EC7">
        <w:lastRenderedPageBreak/>
        <w:t>Medication = 1</w:t>
      </w:r>
    </w:p>
    <w:p w14:paraId="46D15F7C" w14:textId="77777777" w:rsidR="0087601C" w:rsidRPr="006A1EC7" w:rsidRDefault="0087601C" w:rsidP="0087601C">
      <w:r w:rsidRPr="006A1EC7">
        <w:t>None needed/observation only = 0</w:t>
      </w:r>
    </w:p>
    <w:p w14:paraId="6948FD93" w14:textId="77777777" w:rsidR="0087601C" w:rsidRPr="006A1EC7" w:rsidRDefault="0087601C" w:rsidP="0087601C">
      <w:pPr>
        <w:rPr>
          <w:u w:val="single"/>
        </w:rPr>
      </w:pPr>
    </w:p>
    <w:p w14:paraId="3034CEF7" w14:textId="77777777" w:rsidR="0087601C" w:rsidRPr="006A1EC7" w:rsidRDefault="0087601C" w:rsidP="0087601C">
      <w:pPr>
        <w:rPr>
          <w:u w:val="single"/>
        </w:rPr>
      </w:pPr>
      <w:r w:rsidRPr="006A1EC7">
        <w:rPr>
          <w:u w:val="single"/>
        </w:rPr>
        <w:t>4A.4: Is the heart defect symptomatic?</w:t>
      </w:r>
    </w:p>
    <w:p w14:paraId="74F4960B" w14:textId="77777777" w:rsidR="0087601C" w:rsidRPr="006A1EC7" w:rsidRDefault="0087601C" w:rsidP="0087601C">
      <w:r w:rsidRPr="006A1EC7">
        <w:t>Predominantly yes = 1</w:t>
      </w:r>
    </w:p>
    <w:p w14:paraId="662D2CAA" w14:textId="77777777" w:rsidR="0087601C" w:rsidRPr="006A1EC7" w:rsidRDefault="0087601C" w:rsidP="0087601C">
      <w:r w:rsidRPr="006A1EC7">
        <w:t xml:space="preserve">Predominantly no = 0 </w:t>
      </w:r>
    </w:p>
    <w:p w14:paraId="6E175B95" w14:textId="77777777" w:rsidR="0087601C" w:rsidRPr="006A1EC7" w:rsidRDefault="0087601C" w:rsidP="0087601C"/>
    <w:p w14:paraId="11215D91" w14:textId="77777777" w:rsidR="0087601C" w:rsidRPr="006A1EC7" w:rsidRDefault="0087601C" w:rsidP="0087601C">
      <w:pPr>
        <w:rPr>
          <w:u w:val="single"/>
        </w:rPr>
      </w:pPr>
      <w:r w:rsidRPr="006A1EC7">
        <w:rPr>
          <w:u w:val="single"/>
        </w:rPr>
        <w:t>4A.5: What specific heart defect-related symptoms does the patient suffer?</w:t>
      </w:r>
    </w:p>
    <w:p w14:paraId="480F2FA9" w14:textId="77777777" w:rsidR="0087601C" w:rsidRPr="006A1EC7" w:rsidRDefault="0087601C" w:rsidP="0087601C">
      <w:pPr>
        <w:rPr>
          <w:highlight w:val="yellow"/>
          <w:u w:val="single"/>
        </w:rPr>
      </w:pPr>
      <w:r w:rsidRPr="006A1EC7">
        <w:rPr>
          <w:i/>
        </w:rPr>
        <w:t>If more than one applicable, add up</w:t>
      </w:r>
    </w:p>
    <w:p w14:paraId="09A431C7" w14:textId="77777777" w:rsidR="0087601C" w:rsidRPr="006A1EC7" w:rsidRDefault="0087601C" w:rsidP="0087601C">
      <w:r w:rsidRPr="006A1EC7">
        <w:t>Breathlessness = 1</w:t>
      </w:r>
    </w:p>
    <w:p w14:paraId="7B16486D" w14:textId="77777777" w:rsidR="0087601C" w:rsidRPr="006A1EC7" w:rsidRDefault="0087601C" w:rsidP="0087601C">
      <w:r w:rsidRPr="006A1EC7">
        <w:t xml:space="preserve">chest pain = 1 </w:t>
      </w:r>
    </w:p>
    <w:p w14:paraId="20E57316" w14:textId="77777777" w:rsidR="0087601C" w:rsidRPr="006A1EC7" w:rsidRDefault="0087601C" w:rsidP="0087601C">
      <w:r w:rsidRPr="006A1EC7">
        <w:t xml:space="preserve">fatigue = 1 </w:t>
      </w:r>
    </w:p>
    <w:p w14:paraId="1D7CE5A4" w14:textId="77777777" w:rsidR="0087601C" w:rsidRPr="006A1EC7" w:rsidRDefault="0087601C" w:rsidP="0087601C">
      <w:r w:rsidRPr="006A1EC7">
        <w:t xml:space="preserve">swelling on the ankles = 1 </w:t>
      </w:r>
    </w:p>
    <w:p w14:paraId="5B828577" w14:textId="77777777" w:rsidR="0087601C" w:rsidRPr="006A1EC7" w:rsidRDefault="0087601C" w:rsidP="0087601C">
      <w:r w:rsidRPr="006A1EC7">
        <w:t xml:space="preserve">fainting = 1 </w:t>
      </w:r>
    </w:p>
    <w:p w14:paraId="39470B9C" w14:textId="77777777" w:rsidR="0087601C" w:rsidRPr="006A1EC7" w:rsidRDefault="0087601C" w:rsidP="0087601C"/>
    <w:p w14:paraId="7595304B" w14:textId="77777777" w:rsidR="0087601C" w:rsidRPr="006A1EC7" w:rsidRDefault="0087601C" w:rsidP="0087601C">
      <w:pPr>
        <w:rPr>
          <w:i/>
        </w:rPr>
      </w:pPr>
      <w:r w:rsidRPr="006A1EC7">
        <w:rPr>
          <w:i/>
        </w:rPr>
        <w:t>Respiratory systems</w:t>
      </w:r>
    </w:p>
    <w:p w14:paraId="776A982A" w14:textId="77777777" w:rsidR="0087601C" w:rsidRPr="006A1EC7" w:rsidRDefault="0087601C" w:rsidP="0087601C"/>
    <w:p w14:paraId="4F5C8B41" w14:textId="77777777" w:rsidR="0087601C" w:rsidRPr="006A1EC7" w:rsidRDefault="0087601C" w:rsidP="0087601C">
      <w:pPr>
        <w:rPr>
          <w:u w:val="single"/>
        </w:rPr>
      </w:pPr>
      <w:r w:rsidRPr="006A1EC7">
        <w:t xml:space="preserve">4B.1: </w:t>
      </w:r>
      <w:r w:rsidRPr="006A1EC7">
        <w:rPr>
          <w:u w:val="single"/>
        </w:rPr>
        <w:t>Has the patient ever been diagnosed with a structural respiratory/upper airways malformation?</w:t>
      </w:r>
    </w:p>
    <w:p w14:paraId="2C570A2A" w14:textId="77777777" w:rsidR="0087601C" w:rsidRPr="006A1EC7" w:rsidRDefault="0087601C" w:rsidP="0087601C">
      <w:r w:rsidRPr="006A1EC7">
        <w:t>yes = 1</w:t>
      </w:r>
    </w:p>
    <w:p w14:paraId="222DC706" w14:textId="77777777" w:rsidR="0087601C" w:rsidRPr="006A1EC7" w:rsidRDefault="0087601C" w:rsidP="0087601C">
      <w:r w:rsidRPr="006A1EC7">
        <w:t>no = 0</w:t>
      </w:r>
    </w:p>
    <w:p w14:paraId="5138FBE2" w14:textId="77777777" w:rsidR="0087601C" w:rsidRPr="006A1EC7" w:rsidRDefault="0087601C" w:rsidP="0087601C">
      <w:pPr>
        <w:rPr>
          <w:u w:val="single"/>
        </w:rPr>
      </w:pPr>
    </w:p>
    <w:p w14:paraId="1223EA9D" w14:textId="77777777" w:rsidR="0087601C" w:rsidRPr="006A1EC7" w:rsidRDefault="0087601C" w:rsidP="0087601C">
      <w:r w:rsidRPr="006A1EC7">
        <w:rPr>
          <w:u w:val="single"/>
        </w:rPr>
        <w:t>4B.2: Diagnosis/diagnoses</w:t>
      </w:r>
      <w:r w:rsidRPr="006A1EC7">
        <w:t>:</w:t>
      </w:r>
    </w:p>
    <w:p w14:paraId="06EC56E4" w14:textId="77777777" w:rsidR="0087601C" w:rsidRPr="006A1EC7" w:rsidRDefault="0087601C" w:rsidP="0087601C">
      <w:pPr>
        <w:rPr>
          <w:u w:val="single"/>
        </w:rPr>
      </w:pPr>
      <w:r w:rsidRPr="006A1EC7">
        <w:rPr>
          <w:u w:val="single"/>
        </w:rPr>
        <w:t>__________________________</w:t>
      </w:r>
    </w:p>
    <w:p w14:paraId="33CE11BD" w14:textId="77777777" w:rsidR="0087601C" w:rsidRPr="006A1EC7" w:rsidRDefault="0087601C" w:rsidP="0087601C"/>
    <w:p w14:paraId="038B603F" w14:textId="77777777" w:rsidR="0087601C" w:rsidRPr="006A1EC7" w:rsidRDefault="0087601C" w:rsidP="0087601C">
      <w:pPr>
        <w:rPr>
          <w:u w:val="single"/>
        </w:rPr>
      </w:pPr>
      <w:r w:rsidRPr="006A1EC7">
        <w:rPr>
          <w:u w:val="single"/>
        </w:rPr>
        <w:t>4C.1: Does the patient suffer recurrent lower respiratory tract infections?</w:t>
      </w:r>
    </w:p>
    <w:p w14:paraId="14F80989" w14:textId="77777777" w:rsidR="0087601C" w:rsidRPr="006A1EC7" w:rsidRDefault="0087601C" w:rsidP="0087601C">
      <w:r w:rsidRPr="006A1EC7">
        <w:t>Yes  = 1</w:t>
      </w:r>
      <w:r w:rsidRPr="006A1EC7">
        <w:br/>
        <w:t>No = 0</w:t>
      </w:r>
    </w:p>
    <w:p w14:paraId="0A928C89" w14:textId="77777777" w:rsidR="0087601C" w:rsidRPr="006A1EC7" w:rsidRDefault="0087601C" w:rsidP="0087601C"/>
    <w:p w14:paraId="33262D5A" w14:textId="77777777" w:rsidR="0087601C" w:rsidRPr="006A1EC7" w:rsidRDefault="0087601C" w:rsidP="0087601C">
      <w:pPr>
        <w:rPr>
          <w:u w:val="single"/>
        </w:rPr>
      </w:pPr>
      <w:r w:rsidRPr="006A1EC7">
        <w:rPr>
          <w:u w:val="single"/>
        </w:rPr>
        <w:t>4C.2: Over the past 6 months, what was the maximum level of care needed to treat lower respiratory tract infections?</w:t>
      </w:r>
    </w:p>
    <w:p w14:paraId="5AA69768" w14:textId="77777777" w:rsidR="0087601C" w:rsidRPr="006A1EC7" w:rsidRDefault="0087601C" w:rsidP="0087601C">
      <w:r w:rsidRPr="006A1EC7">
        <w:t>Patient required hospital admission = 3</w:t>
      </w:r>
    </w:p>
    <w:p w14:paraId="440B5616" w14:textId="77777777" w:rsidR="0087601C" w:rsidRPr="006A1EC7" w:rsidRDefault="0087601C" w:rsidP="0087601C">
      <w:r w:rsidRPr="006A1EC7">
        <w:t>Home care/GP care with antibiotics = 2</w:t>
      </w:r>
    </w:p>
    <w:p w14:paraId="01F253A7" w14:textId="77777777" w:rsidR="0087601C" w:rsidRPr="006A1EC7" w:rsidRDefault="0087601C" w:rsidP="0087601C">
      <w:r w:rsidRPr="006A1EC7">
        <w:t>Self-care (e.g. Lempsip etc.) = 1</w:t>
      </w:r>
    </w:p>
    <w:p w14:paraId="487FCFFC" w14:textId="77777777" w:rsidR="0087601C" w:rsidRPr="006A1EC7" w:rsidRDefault="0087601C" w:rsidP="0087601C">
      <w:r w:rsidRPr="006A1EC7">
        <w:t>N/A = 0</w:t>
      </w:r>
    </w:p>
    <w:p w14:paraId="6A5AD7BB" w14:textId="77777777" w:rsidR="0087601C" w:rsidRPr="006A1EC7" w:rsidRDefault="0087601C" w:rsidP="0087601C">
      <w:r w:rsidRPr="006A1EC7">
        <w:tab/>
      </w:r>
      <w:r w:rsidRPr="006A1EC7">
        <w:tab/>
      </w:r>
      <w:r w:rsidRPr="006A1EC7">
        <w:tab/>
      </w:r>
      <w:r w:rsidRPr="006A1EC7">
        <w:tab/>
      </w:r>
      <w:r w:rsidRPr="006A1EC7">
        <w:tab/>
      </w:r>
    </w:p>
    <w:p w14:paraId="3A1301F7" w14:textId="77777777" w:rsidR="0087601C" w:rsidRPr="006A1EC7" w:rsidRDefault="0087601C" w:rsidP="0087601C">
      <w:pPr>
        <w:rPr>
          <w:b/>
          <w:u w:val="single"/>
        </w:rPr>
      </w:pPr>
    </w:p>
    <w:p w14:paraId="063F4331" w14:textId="77777777" w:rsidR="0087601C" w:rsidRPr="006A1EC7" w:rsidRDefault="0087601C" w:rsidP="0087601C">
      <w:pPr>
        <w:rPr>
          <w:b/>
          <w:u w:val="single"/>
        </w:rPr>
      </w:pPr>
    </w:p>
    <w:p w14:paraId="440155D7" w14:textId="77777777" w:rsidR="0087601C" w:rsidRPr="006A1EC7" w:rsidRDefault="0087601C" w:rsidP="0087601C">
      <w:pPr>
        <w:rPr>
          <w:b/>
          <w:u w:val="single"/>
        </w:rPr>
      </w:pPr>
    </w:p>
    <w:p w14:paraId="0246E4F0" w14:textId="77777777" w:rsidR="0087601C" w:rsidRPr="006A1EC7" w:rsidRDefault="0087601C" w:rsidP="0087601C">
      <w:pPr>
        <w:rPr>
          <w:b/>
          <w:u w:val="single"/>
        </w:rPr>
      </w:pPr>
    </w:p>
    <w:p w14:paraId="74C977C4" w14:textId="77777777" w:rsidR="0087601C" w:rsidRPr="006A1EC7" w:rsidRDefault="0087601C" w:rsidP="0087601C">
      <w:pPr>
        <w:rPr>
          <w:b/>
          <w:u w:val="single"/>
        </w:rPr>
      </w:pPr>
    </w:p>
    <w:p w14:paraId="70049D54" w14:textId="77777777" w:rsidR="0087601C" w:rsidRPr="006A1EC7" w:rsidRDefault="0087601C" w:rsidP="0087601C">
      <w:pPr>
        <w:rPr>
          <w:b/>
          <w:u w:val="single"/>
        </w:rPr>
      </w:pPr>
    </w:p>
    <w:p w14:paraId="7C148B7C" w14:textId="77777777" w:rsidR="0087601C" w:rsidRPr="006A1EC7" w:rsidRDefault="0087601C" w:rsidP="0087601C">
      <w:pPr>
        <w:rPr>
          <w:b/>
          <w:u w:val="single"/>
        </w:rPr>
      </w:pPr>
    </w:p>
    <w:p w14:paraId="3B380A82" w14:textId="77777777" w:rsidR="0087601C" w:rsidRPr="006A1EC7" w:rsidRDefault="0087601C" w:rsidP="0087601C">
      <w:pPr>
        <w:rPr>
          <w:b/>
          <w:u w:val="single"/>
        </w:rPr>
      </w:pPr>
    </w:p>
    <w:p w14:paraId="6FF7FDCE" w14:textId="77777777" w:rsidR="0087601C" w:rsidRPr="006A1EC7" w:rsidRDefault="0087601C" w:rsidP="0087601C">
      <w:pPr>
        <w:rPr>
          <w:b/>
          <w:u w:val="single"/>
        </w:rPr>
      </w:pPr>
    </w:p>
    <w:p w14:paraId="17D0CD36" w14:textId="77777777" w:rsidR="0087601C" w:rsidRPr="006A1EC7" w:rsidRDefault="0087601C" w:rsidP="0087601C">
      <w:pPr>
        <w:rPr>
          <w:b/>
          <w:u w:val="single"/>
        </w:rPr>
      </w:pPr>
    </w:p>
    <w:p w14:paraId="405D5062" w14:textId="77777777" w:rsidR="0087601C" w:rsidRPr="006A1EC7" w:rsidRDefault="0087601C" w:rsidP="0087601C">
      <w:pPr>
        <w:rPr>
          <w:b/>
          <w:u w:val="single"/>
        </w:rPr>
      </w:pPr>
    </w:p>
    <w:p w14:paraId="56E1892E" w14:textId="77777777" w:rsidR="0087601C" w:rsidRPr="006A1EC7" w:rsidRDefault="0087601C" w:rsidP="0087601C">
      <w:pPr>
        <w:rPr>
          <w:b/>
          <w:u w:val="single"/>
        </w:rPr>
      </w:pPr>
    </w:p>
    <w:p w14:paraId="255891CA" w14:textId="77777777" w:rsidR="0087601C" w:rsidRPr="006A1EC7" w:rsidRDefault="0087601C" w:rsidP="0087601C">
      <w:pPr>
        <w:rPr>
          <w:b/>
          <w:u w:val="single"/>
        </w:rPr>
      </w:pPr>
    </w:p>
    <w:p w14:paraId="51DDB152" w14:textId="77777777" w:rsidR="0087601C" w:rsidRPr="006A1EC7" w:rsidRDefault="0087601C" w:rsidP="0087601C">
      <w:pPr>
        <w:rPr>
          <w:b/>
          <w:u w:val="single"/>
        </w:rPr>
      </w:pPr>
    </w:p>
    <w:p w14:paraId="40E886CF" w14:textId="77777777" w:rsidR="0087601C" w:rsidRPr="006A1EC7" w:rsidRDefault="0087601C" w:rsidP="0087601C">
      <w:pPr>
        <w:rPr>
          <w:b/>
          <w:u w:val="single"/>
        </w:rPr>
      </w:pPr>
    </w:p>
    <w:p w14:paraId="33887BE1" w14:textId="77777777" w:rsidR="0087601C" w:rsidRPr="006A1EC7" w:rsidRDefault="0087601C" w:rsidP="0087601C">
      <w:pPr>
        <w:rPr>
          <w:b/>
          <w:u w:val="single"/>
        </w:rPr>
      </w:pPr>
    </w:p>
    <w:p w14:paraId="160547EC" w14:textId="77777777" w:rsidR="0087601C" w:rsidRPr="006A1EC7" w:rsidRDefault="0087601C" w:rsidP="0087601C">
      <w:pPr>
        <w:rPr>
          <w:b/>
          <w:u w:val="single"/>
        </w:rPr>
      </w:pPr>
    </w:p>
    <w:p w14:paraId="63A4F2C3" w14:textId="77777777" w:rsidR="0087601C" w:rsidRPr="006A1EC7" w:rsidRDefault="0087601C" w:rsidP="0087601C">
      <w:pPr>
        <w:rPr>
          <w:b/>
          <w:u w:val="single"/>
        </w:rPr>
      </w:pPr>
    </w:p>
    <w:p w14:paraId="4A020E5D" w14:textId="77777777" w:rsidR="0087601C" w:rsidRPr="006A1EC7" w:rsidRDefault="0087601C" w:rsidP="0087601C">
      <w:pPr>
        <w:rPr>
          <w:b/>
          <w:u w:val="single"/>
        </w:rPr>
      </w:pPr>
    </w:p>
    <w:p w14:paraId="4BEDD25D" w14:textId="77777777" w:rsidR="0087601C" w:rsidRPr="006A1EC7" w:rsidRDefault="0087601C" w:rsidP="0087601C">
      <w:pPr>
        <w:rPr>
          <w:b/>
          <w:u w:val="single"/>
        </w:rPr>
      </w:pPr>
    </w:p>
    <w:p w14:paraId="7DAC05AF" w14:textId="77777777" w:rsidR="0087601C" w:rsidRPr="006A1EC7" w:rsidRDefault="0087601C" w:rsidP="0087601C">
      <w:pPr>
        <w:rPr>
          <w:b/>
          <w:u w:val="single"/>
        </w:rPr>
      </w:pPr>
    </w:p>
    <w:p w14:paraId="4B630ADA" w14:textId="77777777" w:rsidR="0087601C" w:rsidRPr="006A1EC7" w:rsidRDefault="0087601C" w:rsidP="0087601C">
      <w:pPr>
        <w:rPr>
          <w:b/>
          <w:u w:val="single"/>
        </w:rPr>
      </w:pPr>
    </w:p>
    <w:p w14:paraId="31A425D6" w14:textId="77777777" w:rsidR="0087601C" w:rsidRPr="006A1EC7" w:rsidRDefault="0087601C" w:rsidP="0087601C">
      <w:pPr>
        <w:rPr>
          <w:b/>
          <w:u w:val="single"/>
        </w:rPr>
      </w:pPr>
    </w:p>
    <w:p w14:paraId="014C5804" w14:textId="77777777" w:rsidR="0087601C" w:rsidRPr="006A1EC7" w:rsidRDefault="0087601C" w:rsidP="0087601C">
      <w:pPr>
        <w:rPr>
          <w:b/>
          <w:u w:val="single"/>
        </w:rPr>
      </w:pPr>
    </w:p>
    <w:p w14:paraId="68D939B0" w14:textId="77777777" w:rsidR="0087601C" w:rsidRPr="006A1EC7" w:rsidRDefault="0087601C" w:rsidP="0087601C">
      <w:pPr>
        <w:rPr>
          <w:b/>
          <w:u w:val="single"/>
        </w:rPr>
      </w:pPr>
    </w:p>
    <w:p w14:paraId="70870388" w14:textId="77777777" w:rsidR="0087601C" w:rsidRPr="006A1EC7" w:rsidRDefault="0087601C" w:rsidP="0087601C">
      <w:pPr>
        <w:rPr>
          <w:b/>
          <w:u w:val="single"/>
        </w:rPr>
      </w:pPr>
    </w:p>
    <w:p w14:paraId="069F619C" w14:textId="77777777" w:rsidR="0087601C" w:rsidRPr="006A1EC7" w:rsidRDefault="0087601C" w:rsidP="0087601C">
      <w:pPr>
        <w:rPr>
          <w:b/>
          <w:u w:val="single"/>
        </w:rPr>
      </w:pPr>
    </w:p>
    <w:p w14:paraId="2B70520C" w14:textId="77777777" w:rsidR="0087601C" w:rsidRPr="006A1EC7" w:rsidRDefault="0087601C" w:rsidP="0087601C">
      <w:pPr>
        <w:rPr>
          <w:b/>
          <w:u w:val="single"/>
        </w:rPr>
      </w:pPr>
    </w:p>
    <w:p w14:paraId="0F086EEE" w14:textId="77777777" w:rsidR="0087601C" w:rsidRPr="006A1EC7" w:rsidRDefault="0087601C" w:rsidP="0087601C">
      <w:pPr>
        <w:rPr>
          <w:b/>
          <w:u w:val="single"/>
        </w:rPr>
      </w:pPr>
    </w:p>
    <w:p w14:paraId="51944866" w14:textId="77777777" w:rsidR="0087601C" w:rsidRPr="006A1EC7" w:rsidRDefault="0087601C" w:rsidP="0087601C">
      <w:pPr>
        <w:rPr>
          <w:b/>
          <w:u w:val="single"/>
        </w:rPr>
      </w:pPr>
    </w:p>
    <w:p w14:paraId="40AA43C7" w14:textId="77777777" w:rsidR="0087601C" w:rsidRPr="006A1EC7" w:rsidRDefault="0087601C" w:rsidP="0087601C">
      <w:pPr>
        <w:rPr>
          <w:b/>
          <w:u w:val="single"/>
        </w:rPr>
      </w:pPr>
    </w:p>
    <w:p w14:paraId="78B6A2E5" w14:textId="77777777" w:rsidR="0087601C" w:rsidRPr="006A1EC7" w:rsidRDefault="0087601C" w:rsidP="0087601C">
      <w:pPr>
        <w:rPr>
          <w:b/>
          <w:u w:val="single"/>
        </w:rPr>
      </w:pPr>
      <w:r w:rsidRPr="006A1EC7">
        <w:rPr>
          <w:b/>
          <w:u w:val="single"/>
        </w:rPr>
        <w:t>Section 5: Central nervous system</w:t>
      </w:r>
    </w:p>
    <w:p w14:paraId="119419F0" w14:textId="77777777" w:rsidR="0087601C" w:rsidRPr="006A1EC7" w:rsidRDefault="0087601C" w:rsidP="0087601C">
      <w:pPr>
        <w:rPr>
          <w:u w:val="single"/>
        </w:rPr>
      </w:pPr>
    </w:p>
    <w:p w14:paraId="79B3D1A5" w14:textId="77777777" w:rsidR="0087601C" w:rsidRPr="006A1EC7" w:rsidRDefault="0087601C" w:rsidP="0087601C">
      <w:pPr>
        <w:rPr>
          <w:i/>
        </w:rPr>
      </w:pPr>
      <w:r w:rsidRPr="006A1EC7">
        <w:rPr>
          <w:i/>
        </w:rPr>
        <w:t xml:space="preserve">Vision </w:t>
      </w:r>
    </w:p>
    <w:p w14:paraId="027E8F65" w14:textId="77777777" w:rsidR="0087601C" w:rsidRPr="006A1EC7" w:rsidRDefault="0087601C" w:rsidP="0087601C">
      <w:pPr>
        <w:rPr>
          <w:u w:val="single"/>
        </w:rPr>
      </w:pPr>
    </w:p>
    <w:p w14:paraId="4C4FD142" w14:textId="77777777" w:rsidR="0087601C" w:rsidRPr="006A1EC7" w:rsidRDefault="0087601C" w:rsidP="0087601C">
      <w:pPr>
        <w:rPr>
          <w:u w:val="single"/>
        </w:rPr>
      </w:pPr>
      <w:r w:rsidRPr="006A1EC7">
        <w:rPr>
          <w:u w:val="single"/>
        </w:rPr>
        <w:t>5A.1: Does the patient have a diagnosis of structural eye disease?</w:t>
      </w:r>
    </w:p>
    <w:p w14:paraId="2D1BBA54" w14:textId="77777777" w:rsidR="0087601C" w:rsidRPr="006A1EC7" w:rsidRDefault="0087601C" w:rsidP="0087601C">
      <w:r w:rsidRPr="006A1EC7">
        <w:t>Yes = 1</w:t>
      </w:r>
    </w:p>
    <w:p w14:paraId="1BC801D5" w14:textId="77777777" w:rsidR="0087601C" w:rsidRPr="006A1EC7" w:rsidRDefault="0087601C" w:rsidP="0087601C">
      <w:r w:rsidRPr="006A1EC7">
        <w:t>No = 0</w:t>
      </w:r>
    </w:p>
    <w:p w14:paraId="62FB0FA2" w14:textId="77777777" w:rsidR="0087601C" w:rsidRPr="006A1EC7" w:rsidRDefault="0087601C" w:rsidP="0087601C"/>
    <w:p w14:paraId="5493B016" w14:textId="77777777" w:rsidR="0087601C" w:rsidRPr="006A1EC7" w:rsidRDefault="0087601C" w:rsidP="0087601C">
      <w:r w:rsidRPr="006A1EC7">
        <w:t>5A.2: Diagnosis/diagnoses:</w:t>
      </w:r>
    </w:p>
    <w:p w14:paraId="40D72DF5" w14:textId="77777777" w:rsidR="0087601C" w:rsidRPr="006A1EC7" w:rsidRDefault="0087601C" w:rsidP="0087601C">
      <w:r w:rsidRPr="006A1EC7">
        <w:rPr>
          <w:u w:val="single"/>
        </w:rPr>
        <w:t>______________________</w:t>
      </w:r>
    </w:p>
    <w:p w14:paraId="1A0AF469" w14:textId="77777777" w:rsidR="0087601C" w:rsidRPr="006A1EC7" w:rsidRDefault="0087601C" w:rsidP="0087601C">
      <w:pPr>
        <w:rPr>
          <w:u w:val="single"/>
        </w:rPr>
      </w:pPr>
    </w:p>
    <w:p w14:paraId="314F22E8" w14:textId="77777777" w:rsidR="0087601C" w:rsidRPr="006A1EC7" w:rsidRDefault="0087601C" w:rsidP="0087601C">
      <w:pPr>
        <w:rPr>
          <w:u w:val="single"/>
        </w:rPr>
      </w:pPr>
      <w:r w:rsidRPr="006A1EC7">
        <w:rPr>
          <w:u w:val="single"/>
        </w:rPr>
        <w:t>5A.3: If applicable, does/did the patient require eye surgery for structural eye disease?</w:t>
      </w:r>
    </w:p>
    <w:p w14:paraId="43FAF20D" w14:textId="77777777" w:rsidR="0087601C" w:rsidRPr="006A1EC7" w:rsidRDefault="0087601C" w:rsidP="0087601C">
      <w:r w:rsidRPr="006A1EC7">
        <w:t>Yes = 1</w:t>
      </w:r>
    </w:p>
    <w:p w14:paraId="0D24B96A" w14:textId="77777777" w:rsidR="0087601C" w:rsidRPr="006A1EC7" w:rsidRDefault="0087601C" w:rsidP="0087601C">
      <w:r w:rsidRPr="006A1EC7">
        <w:t xml:space="preserve">No = 0 </w:t>
      </w:r>
    </w:p>
    <w:p w14:paraId="54E9BF12" w14:textId="77777777" w:rsidR="0087601C" w:rsidRPr="006A1EC7" w:rsidRDefault="0087601C" w:rsidP="0087601C">
      <w:pPr>
        <w:rPr>
          <w:u w:val="single"/>
        </w:rPr>
      </w:pPr>
    </w:p>
    <w:p w14:paraId="2653EBC9" w14:textId="77777777" w:rsidR="0087601C" w:rsidRPr="006A1EC7" w:rsidRDefault="0087601C" w:rsidP="0087601C">
      <w:r w:rsidRPr="006A1EC7">
        <w:rPr>
          <w:u w:val="single"/>
        </w:rPr>
        <w:t>5B: What is the patient’s sight like?</w:t>
      </w:r>
      <w:r w:rsidRPr="006A1EC7">
        <w:rPr>
          <w:u w:val="single"/>
        </w:rPr>
        <w:br/>
      </w:r>
      <w:r w:rsidRPr="006A1EC7">
        <w:t>Registered blind (visual defect that cannot be fixed) = 2</w:t>
      </w:r>
    </w:p>
    <w:p w14:paraId="7C89341D" w14:textId="77777777" w:rsidR="0087601C" w:rsidRPr="006A1EC7" w:rsidRDefault="0087601C" w:rsidP="0087601C">
      <w:r w:rsidRPr="006A1EC7">
        <w:t>Requires glasses =1</w:t>
      </w:r>
      <w:r w:rsidRPr="006A1EC7">
        <w:br/>
        <w:t>Normal vision = 0</w:t>
      </w:r>
    </w:p>
    <w:p w14:paraId="36A14248" w14:textId="77777777" w:rsidR="0087601C" w:rsidRPr="006A1EC7" w:rsidRDefault="0087601C" w:rsidP="0087601C"/>
    <w:p w14:paraId="6378A6D6" w14:textId="77777777" w:rsidR="0087601C" w:rsidRPr="006A1EC7" w:rsidRDefault="0087601C" w:rsidP="0087601C">
      <w:pPr>
        <w:rPr>
          <w:i/>
        </w:rPr>
      </w:pPr>
      <w:r w:rsidRPr="006A1EC7">
        <w:rPr>
          <w:i/>
        </w:rPr>
        <w:t>Hearing &amp; Ears</w:t>
      </w:r>
    </w:p>
    <w:p w14:paraId="26A5420D" w14:textId="77777777" w:rsidR="0087601C" w:rsidRPr="006A1EC7" w:rsidRDefault="0087601C" w:rsidP="0087601C"/>
    <w:p w14:paraId="2CE3AC30" w14:textId="77777777" w:rsidR="0087601C" w:rsidRPr="006A1EC7" w:rsidRDefault="0087601C" w:rsidP="0087601C">
      <w:pPr>
        <w:rPr>
          <w:u w:val="single"/>
        </w:rPr>
      </w:pPr>
      <w:r w:rsidRPr="006A1EC7">
        <w:rPr>
          <w:u w:val="single"/>
        </w:rPr>
        <w:t>5C: What is he patient’s hearing like?</w:t>
      </w:r>
    </w:p>
    <w:p w14:paraId="35518182" w14:textId="77777777" w:rsidR="0087601C" w:rsidRPr="006A1EC7" w:rsidRDefault="0087601C" w:rsidP="0087601C">
      <w:r w:rsidRPr="006A1EC7">
        <w:t>Registered deaf = 2</w:t>
      </w:r>
    </w:p>
    <w:p w14:paraId="12E22A6D" w14:textId="77777777" w:rsidR="0087601C" w:rsidRPr="006A1EC7" w:rsidRDefault="0087601C" w:rsidP="0087601C">
      <w:r w:rsidRPr="006A1EC7">
        <w:lastRenderedPageBreak/>
        <w:t>Requires an aid = 1</w:t>
      </w:r>
    </w:p>
    <w:p w14:paraId="0982550B" w14:textId="77777777" w:rsidR="0087601C" w:rsidRPr="006A1EC7" w:rsidRDefault="0087601C" w:rsidP="0087601C">
      <w:r w:rsidRPr="006A1EC7">
        <w:t>Normal hearing = 0</w:t>
      </w:r>
    </w:p>
    <w:p w14:paraId="6805385F" w14:textId="77777777" w:rsidR="0087601C" w:rsidRPr="006A1EC7" w:rsidRDefault="0087601C" w:rsidP="0087601C">
      <w:pPr>
        <w:rPr>
          <w:u w:val="single"/>
        </w:rPr>
      </w:pPr>
    </w:p>
    <w:p w14:paraId="2B508940" w14:textId="77777777" w:rsidR="0087601C" w:rsidRPr="006A1EC7" w:rsidRDefault="0087601C" w:rsidP="0087601C">
      <w:pPr>
        <w:rPr>
          <w:u w:val="single"/>
        </w:rPr>
      </w:pPr>
      <w:r w:rsidRPr="006A1EC7">
        <w:rPr>
          <w:u w:val="single"/>
        </w:rPr>
        <w:t>5D.1: Does the patient suffer recurrent ear infections?</w:t>
      </w:r>
    </w:p>
    <w:p w14:paraId="4BAE35F0" w14:textId="77777777" w:rsidR="0087601C" w:rsidRPr="006A1EC7" w:rsidRDefault="0087601C" w:rsidP="0087601C">
      <w:r w:rsidRPr="006A1EC7">
        <w:t>Yes = 1</w:t>
      </w:r>
    </w:p>
    <w:p w14:paraId="75582248" w14:textId="77777777" w:rsidR="0087601C" w:rsidRPr="006A1EC7" w:rsidRDefault="0087601C" w:rsidP="0087601C">
      <w:r w:rsidRPr="006A1EC7">
        <w:t>No = 2</w:t>
      </w:r>
    </w:p>
    <w:p w14:paraId="51282C26" w14:textId="77777777" w:rsidR="0087601C" w:rsidRPr="006A1EC7" w:rsidRDefault="0087601C" w:rsidP="0087601C">
      <w:pPr>
        <w:rPr>
          <w:u w:val="single"/>
        </w:rPr>
      </w:pPr>
    </w:p>
    <w:p w14:paraId="0D32A1B9" w14:textId="77777777" w:rsidR="0087601C" w:rsidRPr="006A1EC7" w:rsidRDefault="0087601C" w:rsidP="0087601C">
      <w:pPr>
        <w:rPr>
          <w:u w:val="single"/>
        </w:rPr>
      </w:pPr>
      <w:r w:rsidRPr="006A1EC7">
        <w:rPr>
          <w:u w:val="single"/>
        </w:rPr>
        <w:t>5D.2: Over the past 6 months, what was the maximum level of care needed to treat ear infection?</w:t>
      </w:r>
    </w:p>
    <w:p w14:paraId="6A72E99B" w14:textId="77777777" w:rsidR="0087601C" w:rsidRPr="006A1EC7" w:rsidRDefault="0087601C" w:rsidP="0087601C">
      <w:r w:rsidRPr="006A1EC7">
        <w:t>Patient required hospital admission = 3</w:t>
      </w:r>
    </w:p>
    <w:p w14:paraId="5578D060" w14:textId="77777777" w:rsidR="0087601C" w:rsidRPr="006A1EC7" w:rsidRDefault="0087601C" w:rsidP="0087601C">
      <w:r w:rsidRPr="006A1EC7">
        <w:t>Home care/GP care with antibiotics = 2</w:t>
      </w:r>
    </w:p>
    <w:p w14:paraId="16DED063" w14:textId="77777777" w:rsidR="0087601C" w:rsidRPr="006A1EC7" w:rsidRDefault="0087601C" w:rsidP="0087601C">
      <w:r w:rsidRPr="006A1EC7">
        <w:t>Self-care = 1</w:t>
      </w:r>
    </w:p>
    <w:p w14:paraId="7CED33D0" w14:textId="77777777" w:rsidR="0087601C" w:rsidRPr="006A1EC7" w:rsidRDefault="0087601C" w:rsidP="0087601C">
      <w:r w:rsidRPr="006A1EC7">
        <w:t>Not applicable = 0</w:t>
      </w:r>
    </w:p>
    <w:p w14:paraId="32E9A833" w14:textId="77777777" w:rsidR="0087601C" w:rsidRPr="006A1EC7" w:rsidRDefault="0087601C" w:rsidP="0087601C"/>
    <w:p w14:paraId="48E68D42" w14:textId="77777777" w:rsidR="0087601C" w:rsidRPr="006A1EC7" w:rsidRDefault="0087601C" w:rsidP="0087601C">
      <w:pPr>
        <w:rPr>
          <w:i/>
        </w:rPr>
      </w:pPr>
      <w:r w:rsidRPr="006A1EC7">
        <w:rPr>
          <w:i/>
        </w:rPr>
        <w:t>Brain</w:t>
      </w:r>
    </w:p>
    <w:p w14:paraId="4FC609EC" w14:textId="77777777" w:rsidR="0087601C" w:rsidRPr="006A1EC7" w:rsidRDefault="0087601C" w:rsidP="0087601C">
      <w:pPr>
        <w:rPr>
          <w:u w:val="single"/>
        </w:rPr>
      </w:pPr>
    </w:p>
    <w:p w14:paraId="7B77809E" w14:textId="77777777" w:rsidR="0087601C" w:rsidRPr="006A1EC7" w:rsidRDefault="0087601C" w:rsidP="0087601C">
      <w:pPr>
        <w:rPr>
          <w:u w:val="single"/>
        </w:rPr>
      </w:pPr>
      <w:r w:rsidRPr="006A1EC7">
        <w:rPr>
          <w:u w:val="single"/>
        </w:rPr>
        <w:t>Item 5E.1: Does the patient have any structural brain abnormalities confirmed by investigation (e.g. MRI/CAT scan)?</w:t>
      </w:r>
    </w:p>
    <w:p w14:paraId="328E1E17" w14:textId="77777777" w:rsidR="0087601C" w:rsidRPr="006A1EC7" w:rsidRDefault="0087601C" w:rsidP="0087601C">
      <w:r w:rsidRPr="006A1EC7">
        <w:t>Yes = 1</w:t>
      </w:r>
    </w:p>
    <w:p w14:paraId="11253964" w14:textId="77777777" w:rsidR="0087601C" w:rsidRPr="006A1EC7" w:rsidRDefault="0087601C" w:rsidP="0087601C">
      <w:r w:rsidRPr="006A1EC7">
        <w:t>No** = 0</w:t>
      </w:r>
    </w:p>
    <w:p w14:paraId="5C176D6B" w14:textId="77777777" w:rsidR="0087601C" w:rsidRPr="006A1EC7" w:rsidRDefault="0087601C" w:rsidP="0087601C"/>
    <w:p w14:paraId="09CD95A4" w14:textId="77777777" w:rsidR="0087601C" w:rsidRPr="006A1EC7" w:rsidRDefault="0087601C" w:rsidP="0087601C">
      <w:pPr>
        <w:rPr>
          <w:b/>
        </w:rPr>
      </w:pPr>
      <w:r w:rsidRPr="006A1EC7">
        <w:rPr>
          <w:b/>
        </w:rPr>
        <w:t>If yes, proceed with next question (5E.2)</w:t>
      </w:r>
    </w:p>
    <w:p w14:paraId="2EF25A0B" w14:textId="77777777" w:rsidR="0087601C" w:rsidRPr="006A1EC7" w:rsidRDefault="0087601C" w:rsidP="0087601C">
      <w:pPr>
        <w:rPr>
          <w:b/>
        </w:rPr>
      </w:pPr>
      <w:r w:rsidRPr="006A1EC7">
        <w:rPr>
          <w:b/>
        </w:rPr>
        <w:t>*If No, proceed to Item 5F</w:t>
      </w:r>
    </w:p>
    <w:p w14:paraId="22752AF2" w14:textId="77777777" w:rsidR="0087601C" w:rsidRPr="006A1EC7" w:rsidRDefault="0087601C" w:rsidP="0087601C"/>
    <w:p w14:paraId="03FD3C51" w14:textId="77777777" w:rsidR="0087601C" w:rsidRPr="006A1EC7" w:rsidRDefault="0087601C" w:rsidP="0087601C">
      <w:pPr>
        <w:rPr>
          <w:u w:val="single"/>
        </w:rPr>
      </w:pPr>
      <w:r w:rsidRPr="006A1EC7">
        <w:rPr>
          <w:u w:val="single"/>
        </w:rPr>
        <w:t>5E.2: Diagnosis/diagnoses:</w:t>
      </w:r>
    </w:p>
    <w:p w14:paraId="24FF9DF5" w14:textId="77777777" w:rsidR="0087601C" w:rsidRPr="006A1EC7" w:rsidRDefault="0087601C" w:rsidP="0087601C">
      <w:pPr>
        <w:rPr>
          <w:u w:val="single"/>
        </w:rPr>
      </w:pPr>
      <w:r w:rsidRPr="006A1EC7">
        <w:rPr>
          <w:u w:val="single"/>
        </w:rPr>
        <w:t>______________________</w:t>
      </w:r>
    </w:p>
    <w:p w14:paraId="7D5B921F" w14:textId="77777777" w:rsidR="0087601C" w:rsidRPr="006A1EC7" w:rsidRDefault="0087601C" w:rsidP="0087601C"/>
    <w:p w14:paraId="3D01B276" w14:textId="77777777" w:rsidR="0087601C" w:rsidRPr="006A1EC7" w:rsidRDefault="0087601C" w:rsidP="0087601C">
      <w:pPr>
        <w:rPr>
          <w:u w:val="single"/>
        </w:rPr>
      </w:pPr>
    </w:p>
    <w:p w14:paraId="052834CF" w14:textId="77777777" w:rsidR="0087601C" w:rsidRPr="006A1EC7" w:rsidRDefault="0087601C" w:rsidP="0087601C">
      <w:pPr>
        <w:rPr>
          <w:u w:val="single"/>
        </w:rPr>
      </w:pPr>
      <w:r w:rsidRPr="006A1EC7">
        <w:rPr>
          <w:u w:val="single"/>
        </w:rPr>
        <w:t>5E.3: Was surgical intervention required for structural brain disease?</w:t>
      </w:r>
    </w:p>
    <w:p w14:paraId="727E97CD" w14:textId="77777777" w:rsidR="0087601C" w:rsidRPr="006A1EC7" w:rsidRDefault="0087601C" w:rsidP="0087601C">
      <w:r w:rsidRPr="006A1EC7">
        <w:t>Yes = 1</w:t>
      </w:r>
      <w:r w:rsidRPr="006A1EC7">
        <w:br/>
        <w:t>No = 0</w:t>
      </w:r>
    </w:p>
    <w:p w14:paraId="7D9292EC" w14:textId="77777777" w:rsidR="0087601C" w:rsidRPr="006A1EC7" w:rsidRDefault="0087601C" w:rsidP="0087601C"/>
    <w:p w14:paraId="7B1B66E2" w14:textId="77777777" w:rsidR="0087601C" w:rsidRPr="006A1EC7" w:rsidRDefault="0087601C" w:rsidP="0087601C">
      <w:r w:rsidRPr="006A1EC7">
        <w:t>5E.4: Details of intervention:</w:t>
      </w:r>
    </w:p>
    <w:p w14:paraId="6546F5BE" w14:textId="77777777" w:rsidR="0087601C" w:rsidRPr="006A1EC7" w:rsidRDefault="0087601C" w:rsidP="0087601C">
      <w:pPr>
        <w:rPr>
          <w:u w:val="single"/>
        </w:rPr>
      </w:pPr>
      <w:r w:rsidRPr="006A1EC7">
        <w:rPr>
          <w:u w:val="single"/>
        </w:rPr>
        <w:t>______________________</w:t>
      </w:r>
    </w:p>
    <w:p w14:paraId="6E4E6DC9" w14:textId="77777777" w:rsidR="0087601C" w:rsidRPr="006A1EC7" w:rsidRDefault="0087601C" w:rsidP="0087601C"/>
    <w:p w14:paraId="51D6AA36" w14:textId="77777777" w:rsidR="0087601C" w:rsidRPr="006A1EC7" w:rsidRDefault="0087601C" w:rsidP="0087601C">
      <w:pPr>
        <w:rPr>
          <w:u w:val="single"/>
        </w:rPr>
      </w:pPr>
    </w:p>
    <w:p w14:paraId="334CAC90" w14:textId="77777777" w:rsidR="0087601C" w:rsidRPr="006A1EC7" w:rsidRDefault="0087601C" w:rsidP="0087601C">
      <w:pPr>
        <w:rPr>
          <w:i/>
        </w:rPr>
      </w:pPr>
      <w:r w:rsidRPr="006A1EC7">
        <w:rPr>
          <w:i/>
        </w:rPr>
        <w:t>Mobility</w:t>
      </w:r>
    </w:p>
    <w:p w14:paraId="1F84ED13" w14:textId="77777777" w:rsidR="0087601C" w:rsidRPr="006A1EC7" w:rsidRDefault="0087601C" w:rsidP="0087601C">
      <w:pPr>
        <w:rPr>
          <w:u w:val="single"/>
        </w:rPr>
      </w:pPr>
    </w:p>
    <w:p w14:paraId="4987C6CC" w14:textId="77777777" w:rsidR="0087601C" w:rsidRPr="006A1EC7" w:rsidRDefault="0087601C" w:rsidP="0087601C">
      <w:r w:rsidRPr="006A1EC7">
        <w:rPr>
          <w:u w:val="single"/>
        </w:rPr>
        <w:t>5F: Is the patient able to sit?</w:t>
      </w:r>
      <w:r w:rsidRPr="006A1EC7">
        <w:rPr>
          <w:u w:val="single"/>
        </w:rPr>
        <w:br/>
      </w:r>
      <w:r w:rsidRPr="006A1EC7">
        <w:t>Patient unable to sit safely without formal support (i.e. safety belt, safety harness in wheelchair or special chair) = 3</w:t>
      </w:r>
    </w:p>
    <w:p w14:paraId="78E2523A" w14:textId="77777777" w:rsidR="0087601C" w:rsidRPr="006A1EC7" w:rsidRDefault="0087601C" w:rsidP="0087601C">
      <w:r w:rsidRPr="006A1EC7">
        <w:t>Patient sits with poor posture (slumped forward or to one side; requiring pillows or similar support) = 2</w:t>
      </w:r>
    </w:p>
    <w:p w14:paraId="1D797E46" w14:textId="77777777" w:rsidR="0087601C" w:rsidRPr="006A1EC7" w:rsidRDefault="0087601C" w:rsidP="0087601C">
      <w:r w:rsidRPr="006A1EC7">
        <w:t>Patient occasionally requires support when sitting = 1</w:t>
      </w:r>
    </w:p>
    <w:p w14:paraId="58EDF901" w14:textId="77777777" w:rsidR="0087601C" w:rsidRPr="006A1EC7" w:rsidRDefault="0087601C" w:rsidP="0087601C">
      <w:r w:rsidRPr="006A1EC7">
        <w:t xml:space="preserve">No issues, sits independently = 0 </w:t>
      </w:r>
    </w:p>
    <w:p w14:paraId="3C767055" w14:textId="77777777" w:rsidR="0087601C" w:rsidRPr="006A1EC7" w:rsidRDefault="0087601C" w:rsidP="0087601C">
      <w:pPr>
        <w:rPr>
          <w:u w:val="wave"/>
        </w:rPr>
      </w:pPr>
    </w:p>
    <w:p w14:paraId="26C045F8" w14:textId="77777777" w:rsidR="0087601C" w:rsidRPr="006A1EC7" w:rsidRDefault="0087601C" w:rsidP="0087601C">
      <w:pPr>
        <w:rPr>
          <w:u w:val="single"/>
        </w:rPr>
      </w:pPr>
      <w:r w:rsidRPr="006A1EC7">
        <w:rPr>
          <w:u w:val="single"/>
        </w:rPr>
        <w:t>5G: Is the patient able to stand?</w:t>
      </w:r>
    </w:p>
    <w:p w14:paraId="394913CF" w14:textId="77777777" w:rsidR="0087601C" w:rsidRPr="006A1EC7" w:rsidRDefault="0087601C" w:rsidP="0087601C">
      <w:r w:rsidRPr="006A1EC7">
        <w:t>Unable to stand at all (walking frames and caregiver support ineffective) = 3</w:t>
      </w:r>
    </w:p>
    <w:p w14:paraId="4389C870" w14:textId="77777777" w:rsidR="0087601C" w:rsidRPr="006A1EC7" w:rsidRDefault="0087601C" w:rsidP="0087601C">
      <w:r w:rsidRPr="006A1EC7">
        <w:t>Able to stand with support of at least one other individual = 2</w:t>
      </w:r>
    </w:p>
    <w:p w14:paraId="17DB3B2B" w14:textId="77777777" w:rsidR="0087601C" w:rsidRPr="006A1EC7" w:rsidRDefault="0087601C" w:rsidP="0087601C">
      <w:r w:rsidRPr="006A1EC7">
        <w:t>Able to stand with walking aid = 1</w:t>
      </w:r>
    </w:p>
    <w:p w14:paraId="5079A93A" w14:textId="77777777" w:rsidR="0087601C" w:rsidRPr="006A1EC7" w:rsidRDefault="0087601C" w:rsidP="0087601C">
      <w:r w:rsidRPr="006A1EC7">
        <w:t xml:space="preserve">No issues = 0 </w:t>
      </w:r>
    </w:p>
    <w:p w14:paraId="665DF048" w14:textId="77777777" w:rsidR="0087601C" w:rsidRPr="006A1EC7" w:rsidRDefault="0087601C" w:rsidP="0087601C">
      <w:pPr>
        <w:rPr>
          <w:u w:val="single"/>
        </w:rPr>
      </w:pPr>
    </w:p>
    <w:p w14:paraId="3CD7EEAC" w14:textId="77777777" w:rsidR="0087601C" w:rsidRPr="006A1EC7" w:rsidRDefault="0087601C" w:rsidP="0087601C">
      <w:pPr>
        <w:rPr>
          <w:u w:val="single"/>
        </w:rPr>
      </w:pPr>
      <w:r w:rsidRPr="006A1EC7">
        <w:rPr>
          <w:u w:val="single"/>
        </w:rPr>
        <w:t>5H: Is the patient able to walk?</w:t>
      </w:r>
    </w:p>
    <w:p w14:paraId="42EC0145" w14:textId="77777777" w:rsidR="0087601C" w:rsidRPr="006A1EC7" w:rsidRDefault="0087601C" w:rsidP="0087601C">
      <w:r w:rsidRPr="006A1EC7">
        <w:t>Unable to walk, patient entirely reliant on wheelchair/intervention = 4</w:t>
      </w:r>
    </w:p>
    <w:p w14:paraId="72F98429" w14:textId="77777777" w:rsidR="0087601C" w:rsidRPr="006A1EC7" w:rsidRDefault="0087601C" w:rsidP="0087601C">
      <w:r w:rsidRPr="006A1EC7">
        <w:t>Patient can walk very short distances with caregiver support = 3</w:t>
      </w:r>
    </w:p>
    <w:p w14:paraId="69501FC3" w14:textId="77777777" w:rsidR="0087601C" w:rsidRPr="006A1EC7" w:rsidRDefault="0087601C" w:rsidP="0087601C">
      <w:r w:rsidRPr="006A1EC7">
        <w:t>Patient can walk short distances, aided with walking frame or similar = 2</w:t>
      </w:r>
    </w:p>
    <w:p w14:paraId="41DF7A3E" w14:textId="77777777" w:rsidR="0087601C" w:rsidRPr="006A1EC7" w:rsidRDefault="0087601C" w:rsidP="0087601C">
      <w:r w:rsidRPr="006A1EC7">
        <w:t>Patient can walk short distances unaided, needs intervention for longer distances = 1</w:t>
      </w:r>
    </w:p>
    <w:p w14:paraId="356186C6" w14:textId="77777777" w:rsidR="0087601C" w:rsidRPr="006A1EC7" w:rsidRDefault="0087601C" w:rsidP="0087601C">
      <w:r w:rsidRPr="006A1EC7">
        <w:t>Patient can walk unassisted =0</w:t>
      </w:r>
    </w:p>
    <w:p w14:paraId="797C2322" w14:textId="77777777" w:rsidR="0087601C" w:rsidRPr="006A1EC7" w:rsidRDefault="0087601C" w:rsidP="0087601C"/>
    <w:p w14:paraId="2A5CBAF3" w14:textId="77777777" w:rsidR="0087601C" w:rsidRPr="006A1EC7" w:rsidRDefault="0087601C" w:rsidP="0087601C">
      <w:r w:rsidRPr="006A1EC7">
        <w:rPr>
          <w:u w:val="single"/>
        </w:rPr>
        <w:t>5I.1: Has the patient been diagnosed with Scoliosis?</w:t>
      </w:r>
      <w:r w:rsidRPr="006A1EC7">
        <w:rPr>
          <w:u w:val="single"/>
        </w:rPr>
        <w:br/>
      </w:r>
      <w:r w:rsidRPr="006A1EC7">
        <w:t>Yes = 1</w:t>
      </w:r>
    </w:p>
    <w:p w14:paraId="427CCFD3" w14:textId="77777777" w:rsidR="0087601C" w:rsidRPr="006A1EC7" w:rsidRDefault="0087601C" w:rsidP="0087601C">
      <w:r w:rsidRPr="006A1EC7">
        <w:t>No = 0</w:t>
      </w:r>
    </w:p>
    <w:p w14:paraId="493D996F" w14:textId="77777777" w:rsidR="0087601C" w:rsidRPr="006A1EC7" w:rsidRDefault="0087601C" w:rsidP="0087601C"/>
    <w:p w14:paraId="5B34119D" w14:textId="77777777" w:rsidR="0087601C" w:rsidRPr="006A1EC7" w:rsidRDefault="0087601C" w:rsidP="0087601C">
      <w:r w:rsidRPr="006A1EC7">
        <w:rPr>
          <w:u w:val="single"/>
        </w:rPr>
        <w:t>5I.2: If yes, was surgery required for scoliosis?</w:t>
      </w:r>
    </w:p>
    <w:p w14:paraId="77948927" w14:textId="77777777" w:rsidR="0087601C" w:rsidRPr="006A1EC7" w:rsidRDefault="0087601C" w:rsidP="0087601C">
      <w:r w:rsidRPr="006A1EC7">
        <w:t>Yes =1</w:t>
      </w:r>
    </w:p>
    <w:p w14:paraId="185E8432" w14:textId="77777777" w:rsidR="0087601C" w:rsidRPr="006A1EC7" w:rsidRDefault="0087601C" w:rsidP="0087601C">
      <w:r w:rsidRPr="006A1EC7">
        <w:t>No = 0</w:t>
      </w:r>
    </w:p>
    <w:p w14:paraId="7D0242B5" w14:textId="77777777" w:rsidR="0087601C" w:rsidRPr="006A1EC7" w:rsidRDefault="0087601C" w:rsidP="0087601C"/>
    <w:p w14:paraId="5AC62412" w14:textId="77777777" w:rsidR="0087601C" w:rsidRPr="006A1EC7" w:rsidRDefault="0087601C" w:rsidP="0087601C">
      <w:pPr>
        <w:rPr>
          <w:u w:val="single"/>
        </w:rPr>
      </w:pPr>
      <w:r w:rsidRPr="006A1EC7">
        <w:rPr>
          <w:u w:val="single"/>
        </w:rPr>
        <w:t>5I.3: If applicable, surgery details:</w:t>
      </w:r>
    </w:p>
    <w:p w14:paraId="7E62AC5D" w14:textId="77777777" w:rsidR="0087601C" w:rsidRPr="006A1EC7" w:rsidRDefault="0087601C" w:rsidP="0087601C">
      <w:pPr>
        <w:rPr>
          <w:u w:val="single"/>
        </w:rPr>
      </w:pPr>
      <w:r w:rsidRPr="006A1EC7">
        <w:rPr>
          <w:u w:val="single"/>
        </w:rPr>
        <w:t>______________________</w:t>
      </w:r>
    </w:p>
    <w:p w14:paraId="2A7B6638" w14:textId="77777777" w:rsidR="0087601C" w:rsidRPr="006A1EC7" w:rsidRDefault="0087601C" w:rsidP="0087601C"/>
    <w:p w14:paraId="5B0D44B0" w14:textId="77777777" w:rsidR="0087601C" w:rsidRPr="006A1EC7" w:rsidRDefault="0087601C" w:rsidP="0087601C">
      <w:r w:rsidRPr="006A1EC7">
        <w:rPr>
          <w:u w:val="single"/>
        </w:rPr>
        <w:t xml:space="preserve">5K.1: Does the patient have talipes/ clubfoot? </w:t>
      </w:r>
      <w:r w:rsidRPr="006A1EC7">
        <w:br/>
        <w:t>Yes, bilateral = 2</w:t>
      </w:r>
      <w:r w:rsidRPr="006A1EC7">
        <w:br/>
        <w:t>Yes, unilateral = 1</w:t>
      </w:r>
    </w:p>
    <w:p w14:paraId="271105AE" w14:textId="77777777" w:rsidR="0087601C" w:rsidRPr="006A1EC7" w:rsidRDefault="0087601C" w:rsidP="0087601C">
      <w:r w:rsidRPr="006A1EC7">
        <w:t>No = 0</w:t>
      </w:r>
    </w:p>
    <w:p w14:paraId="5313B3B6" w14:textId="77777777" w:rsidR="0087601C" w:rsidRPr="006A1EC7" w:rsidRDefault="0087601C" w:rsidP="0087601C"/>
    <w:p w14:paraId="35E21C3E" w14:textId="77777777" w:rsidR="0087601C" w:rsidRPr="006A1EC7" w:rsidRDefault="0087601C" w:rsidP="0087601C">
      <w:pPr>
        <w:rPr>
          <w:u w:val="single"/>
        </w:rPr>
      </w:pPr>
      <w:r w:rsidRPr="006A1EC7">
        <w:rPr>
          <w:u w:val="single"/>
        </w:rPr>
        <w:t>5K.2: Was Surgery required for talipes/ clubfoot?</w:t>
      </w:r>
    </w:p>
    <w:p w14:paraId="3E62492B" w14:textId="77777777" w:rsidR="0087601C" w:rsidRPr="006A1EC7" w:rsidRDefault="0087601C" w:rsidP="0087601C">
      <w:r w:rsidRPr="006A1EC7">
        <w:t>Yes =1</w:t>
      </w:r>
    </w:p>
    <w:p w14:paraId="5B9DDDDF" w14:textId="77777777" w:rsidR="0087601C" w:rsidRPr="006A1EC7" w:rsidRDefault="0087601C" w:rsidP="0087601C">
      <w:r w:rsidRPr="006A1EC7">
        <w:t>No = 0</w:t>
      </w:r>
    </w:p>
    <w:p w14:paraId="52559964" w14:textId="77777777" w:rsidR="0087601C" w:rsidRPr="006A1EC7" w:rsidRDefault="0087601C" w:rsidP="0087601C"/>
    <w:p w14:paraId="38EA61F4" w14:textId="77777777" w:rsidR="0087601C" w:rsidRPr="006A1EC7" w:rsidRDefault="0087601C" w:rsidP="0087601C">
      <w:pPr>
        <w:rPr>
          <w:b/>
          <w:u w:val="single"/>
        </w:rPr>
      </w:pPr>
    </w:p>
    <w:p w14:paraId="12BC9234" w14:textId="77777777" w:rsidR="0087601C" w:rsidRPr="006A1EC7" w:rsidRDefault="0087601C" w:rsidP="0087601C">
      <w:pPr>
        <w:rPr>
          <w:b/>
          <w:u w:val="single"/>
        </w:rPr>
      </w:pPr>
    </w:p>
    <w:p w14:paraId="67419015" w14:textId="77777777" w:rsidR="0087601C" w:rsidRPr="006A1EC7" w:rsidRDefault="0087601C" w:rsidP="0087601C">
      <w:pPr>
        <w:rPr>
          <w:b/>
          <w:u w:val="single"/>
        </w:rPr>
      </w:pPr>
    </w:p>
    <w:p w14:paraId="59416280" w14:textId="77777777" w:rsidR="0087601C" w:rsidRPr="006A1EC7" w:rsidRDefault="0087601C" w:rsidP="0087601C">
      <w:pPr>
        <w:rPr>
          <w:b/>
          <w:u w:val="single"/>
        </w:rPr>
      </w:pPr>
    </w:p>
    <w:p w14:paraId="3C6C9F6B" w14:textId="77777777" w:rsidR="0087601C" w:rsidRPr="006A1EC7" w:rsidRDefault="0087601C" w:rsidP="0087601C">
      <w:pPr>
        <w:rPr>
          <w:b/>
          <w:u w:val="single"/>
        </w:rPr>
      </w:pPr>
    </w:p>
    <w:p w14:paraId="2E2C9A53" w14:textId="77777777" w:rsidR="0087601C" w:rsidRPr="006A1EC7" w:rsidRDefault="0087601C" w:rsidP="0087601C">
      <w:pPr>
        <w:rPr>
          <w:b/>
          <w:u w:val="single"/>
        </w:rPr>
      </w:pPr>
    </w:p>
    <w:p w14:paraId="00291C73" w14:textId="77777777" w:rsidR="0087601C" w:rsidRPr="006A1EC7" w:rsidRDefault="0087601C" w:rsidP="0087601C">
      <w:pPr>
        <w:rPr>
          <w:b/>
          <w:u w:val="single"/>
        </w:rPr>
      </w:pPr>
    </w:p>
    <w:p w14:paraId="44352764" w14:textId="77777777" w:rsidR="0087601C" w:rsidRPr="006A1EC7" w:rsidRDefault="0087601C" w:rsidP="0087601C">
      <w:pPr>
        <w:rPr>
          <w:b/>
          <w:u w:val="single"/>
        </w:rPr>
      </w:pPr>
    </w:p>
    <w:p w14:paraId="46350956" w14:textId="77777777" w:rsidR="0087601C" w:rsidRPr="006A1EC7" w:rsidRDefault="0087601C" w:rsidP="0087601C">
      <w:pPr>
        <w:rPr>
          <w:b/>
          <w:u w:val="single"/>
        </w:rPr>
      </w:pPr>
    </w:p>
    <w:p w14:paraId="7BB40094" w14:textId="77777777" w:rsidR="0087601C" w:rsidRPr="006A1EC7" w:rsidRDefault="0087601C" w:rsidP="0087601C">
      <w:pPr>
        <w:rPr>
          <w:b/>
          <w:u w:val="single"/>
        </w:rPr>
      </w:pPr>
    </w:p>
    <w:p w14:paraId="438733E3" w14:textId="77777777" w:rsidR="0087601C" w:rsidRPr="006A1EC7" w:rsidRDefault="0087601C" w:rsidP="0087601C">
      <w:pPr>
        <w:rPr>
          <w:b/>
          <w:u w:val="single"/>
        </w:rPr>
      </w:pPr>
    </w:p>
    <w:p w14:paraId="34DE6AB3" w14:textId="77777777" w:rsidR="0087601C" w:rsidRPr="006A1EC7" w:rsidRDefault="0087601C" w:rsidP="0087601C">
      <w:pPr>
        <w:rPr>
          <w:b/>
          <w:u w:val="single"/>
        </w:rPr>
      </w:pPr>
    </w:p>
    <w:p w14:paraId="53B029B2" w14:textId="77777777" w:rsidR="0087601C" w:rsidRPr="006A1EC7" w:rsidRDefault="0087601C" w:rsidP="0087601C">
      <w:pPr>
        <w:rPr>
          <w:b/>
          <w:u w:val="single"/>
        </w:rPr>
      </w:pPr>
    </w:p>
    <w:p w14:paraId="57A0EBEC" w14:textId="77777777" w:rsidR="0087601C" w:rsidRPr="006A1EC7" w:rsidRDefault="0087601C" w:rsidP="0087601C">
      <w:pPr>
        <w:rPr>
          <w:u w:val="wave"/>
        </w:rPr>
      </w:pPr>
      <w:r w:rsidRPr="006A1EC7">
        <w:rPr>
          <w:b/>
          <w:u w:val="single"/>
        </w:rPr>
        <w:t>Section 6: Low immunity</w:t>
      </w:r>
    </w:p>
    <w:p w14:paraId="53879DFE" w14:textId="77777777" w:rsidR="0087601C" w:rsidRPr="006A1EC7" w:rsidRDefault="0087601C" w:rsidP="0087601C">
      <w:pPr>
        <w:rPr>
          <w:u w:val="single"/>
        </w:rPr>
      </w:pPr>
    </w:p>
    <w:p w14:paraId="14C4EA46" w14:textId="77777777" w:rsidR="0087601C" w:rsidRPr="006A1EC7" w:rsidRDefault="0087601C" w:rsidP="0087601C">
      <w:pPr>
        <w:rPr>
          <w:u w:val="single"/>
        </w:rPr>
      </w:pPr>
      <w:r w:rsidRPr="006A1EC7">
        <w:rPr>
          <w:u w:val="single"/>
        </w:rPr>
        <w:t>6A: How often does the patient suffer from infections?</w:t>
      </w:r>
    </w:p>
    <w:p w14:paraId="615C4077" w14:textId="77777777" w:rsidR="0087601C" w:rsidRPr="006A1EC7" w:rsidRDefault="0087601C" w:rsidP="0087601C">
      <w:r w:rsidRPr="006A1EC7">
        <w:t>Frequent infections (more than 5/year; excluding the common cold) = 5</w:t>
      </w:r>
    </w:p>
    <w:p w14:paraId="2B22088C" w14:textId="77777777" w:rsidR="0087601C" w:rsidRPr="006A1EC7" w:rsidRDefault="0087601C" w:rsidP="0087601C">
      <w:r w:rsidRPr="006A1EC7">
        <w:t>Infrequent infections (3-5/ year, excluding the common cold) = 3</w:t>
      </w:r>
    </w:p>
    <w:p w14:paraId="53AEAB3D" w14:textId="77777777" w:rsidR="0087601C" w:rsidRPr="006A1EC7" w:rsidRDefault="0087601C" w:rsidP="0087601C">
      <w:r w:rsidRPr="006A1EC7">
        <w:t xml:space="preserve">Rare infections (&lt; 3/year, excluding the common cold) = 0 </w:t>
      </w:r>
    </w:p>
    <w:p w14:paraId="6EEC2ED4" w14:textId="77777777" w:rsidR="0087601C" w:rsidRPr="006A1EC7" w:rsidRDefault="0087601C" w:rsidP="0087601C">
      <w:pPr>
        <w:rPr>
          <w:u w:val="wave"/>
        </w:rPr>
      </w:pPr>
    </w:p>
    <w:p w14:paraId="75CD7BE4" w14:textId="77777777" w:rsidR="0087601C" w:rsidRPr="006A1EC7" w:rsidRDefault="0087601C" w:rsidP="0087601C">
      <w:pPr>
        <w:rPr>
          <w:u w:val="single"/>
        </w:rPr>
      </w:pPr>
      <w:r w:rsidRPr="006A1EC7">
        <w:rPr>
          <w:u w:val="single"/>
        </w:rPr>
        <w:t>6B: How many hospital admissions did the patient have in the past year, due to infections (excluding elective surgery, outpatient appointments)?</w:t>
      </w:r>
    </w:p>
    <w:p w14:paraId="6716C3D9" w14:textId="77777777" w:rsidR="0087601C" w:rsidRPr="006A1EC7" w:rsidRDefault="0087601C" w:rsidP="0087601C">
      <w:r w:rsidRPr="006A1EC7">
        <w:t>5 or more hospital admissions = 5</w:t>
      </w:r>
    </w:p>
    <w:p w14:paraId="6F645CEE" w14:textId="77777777" w:rsidR="0087601C" w:rsidRPr="006A1EC7" w:rsidRDefault="0087601C" w:rsidP="0087601C">
      <w:r w:rsidRPr="006A1EC7">
        <w:t>3-5 hospital admissions = 4</w:t>
      </w:r>
    </w:p>
    <w:p w14:paraId="784E1563" w14:textId="77777777" w:rsidR="0087601C" w:rsidRPr="006A1EC7" w:rsidRDefault="0087601C" w:rsidP="0087601C">
      <w:r w:rsidRPr="006A1EC7">
        <w:t>2 Hospital admissions = 2</w:t>
      </w:r>
      <w:r w:rsidRPr="006A1EC7">
        <w:br/>
        <w:t>1 Hospital admission = 1</w:t>
      </w:r>
    </w:p>
    <w:p w14:paraId="66976BC7" w14:textId="77777777" w:rsidR="0087601C" w:rsidRPr="006A1EC7" w:rsidRDefault="0087601C" w:rsidP="0087601C">
      <w:r w:rsidRPr="006A1EC7">
        <w:t>None = 0</w:t>
      </w:r>
    </w:p>
    <w:p w14:paraId="5A0E9206" w14:textId="77777777" w:rsidR="0087601C" w:rsidRPr="006A1EC7" w:rsidRDefault="0087601C" w:rsidP="0087601C"/>
    <w:p w14:paraId="7C04DD1F" w14:textId="77777777" w:rsidR="0087601C" w:rsidRPr="006A1EC7" w:rsidRDefault="0087601C" w:rsidP="0087601C">
      <w:pPr>
        <w:rPr>
          <w:u w:val="single"/>
        </w:rPr>
      </w:pPr>
      <w:r w:rsidRPr="006A1EC7">
        <w:rPr>
          <w:u w:val="single"/>
        </w:rPr>
        <w:t>Item 6C.1: Does the patient have any tumours or malignancies?</w:t>
      </w:r>
    </w:p>
    <w:p w14:paraId="61A3F282" w14:textId="77777777" w:rsidR="0087601C" w:rsidRPr="006A1EC7" w:rsidRDefault="0087601C" w:rsidP="0087601C">
      <w:r w:rsidRPr="006A1EC7">
        <w:t xml:space="preserve">Yes = 1 </w:t>
      </w:r>
    </w:p>
    <w:p w14:paraId="699B55FE" w14:textId="77777777" w:rsidR="0087601C" w:rsidRPr="006A1EC7" w:rsidRDefault="0087601C" w:rsidP="0087601C">
      <w:r w:rsidRPr="006A1EC7">
        <w:t>No = 0</w:t>
      </w:r>
    </w:p>
    <w:p w14:paraId="073ED947" w14:textId="77777777" w:rsidR="0087601C" w:rsidRPr="006A1EC7" w:rsidRDefault="0087601C" w:rsidP="0087601C"/>
    <w:p w14:paraId="112230C5" w14:textId="77777777" w:rsidR="0087601C" w:rsidRPr="006A1EC7" w:rsidRDefault="0087601C" w:rsidP="0087601C">
      <w:pPr>
        <w:pBdr>
          <w:bottom w:val="single" w:sz="12" w:space="1" w:color="auto"/>
        </w:pBdr>
        <w:rPr>
          <w:u w:val="single"/>
        </w:rPr>
      </w:pPr>
      <w:r w:rsidRPr="006A1EC7">
        <w:rPr>
          <w:u w:val="single"/>
        </w:rPr>
        <w:t>Item 6C.2: If applicable, diagnosis:</w:t>
      </w:r>
    </w:p>
    <w:p w14:paraId="67B59CFA" w14:textId="77777777" w:rsidR="0087601C" w:rsidRPr="006A1EC7" w:rsidRDefault="0087601C" w:rsidP="0087601C">
      <w:pPr>
        <w:pBdr>
          <w:bottom w:val="single" w:sz="12" w:space="1" w:color="auto"/>
        </w:pBdr>
        <w:rPr>
          <w:u w:val="single"/>
        </w:rPr>
      </w:pPr>
    </w:p>
    <w:p w14:paraId="3D54117D" w14:textId="77777777" w:rsidR="0087601C" w:rsidRPr="006A1EC7" w:rsidRDefault="0087601C" w:rsidP="0087601C"/>
    <w:p w14:paraId="5D2FCD1D" w14:textId="77777777" w:rsidR="0087601C" w:rsidRPr="006A1EC7" w:rsidRDefault="0087601C" w:rsidP="0087601C">
      <w:pPr>
        <w:rPr>
          <w:u w:val="single"/>
        </w:rPr>
      </w:pPr>
      <w:r w:rsidRPr="006A1EC7">
        <w:rPr>
          <w:u w:val="single"/>
        </w:rPr>
        <w:t>6D.1: Does the patient have any abnormal skin findings?</w:t>
      </w:r>
    </w:p>
    <w:p w14:paraId="0DDCB02C" w14:textId="77777777" w:rsidR="0087601C" w:rsidRPr="006A1EC7" w:rsidRDefault="0087601C" w:rsidP="0087601C">
      <w:r w:rsidRPr="006A1EC7">
        <w:t xml:space="preserve">Yes = 1 </w:t>
      </w:r>
    </w:p>
    <w:p w14:paraId="665F4B45" w14:textId="77777777" w:rsidR="0087601C" w:rsidRPr="006A1EC7" w:rsidRDefault="0087601C" w:rsidP="0087601C">
      <w:r w:rsidRPr="006A1EC7">
        <w:t>No = 0</w:t>
      </w:r>
    </w:p>
    <w:p w14:paraId="70D77440" w14:textId="77777777" w:rsidR="0087601C" w:rsidRPr="006A1EC7" w:rsidRDefault="0087601C" w:rsidP="0087601C"/>
    <w:p w14:paraId="1493A175" w14:textId="77777777" w:rsidR="0087601C" w:rsidRPr="006A1EC7" w:rsidRDefault="0087601C" w:rsidP="0087601C">
      <w:pPr>
        <w:rPr>
          <w:u w:val="single"/>
        </w:rPr>
      </w:pPr>
      <w:r w:rsidRPr="006A1EC7">
        <w:rPr>
          <w:u w:val="single"/>
        </w:rPr>
        <w:t>Item 6D.2: If applicable, diagnosis:</w:t>
      </w:r>
    </w:p>
    <w:p w14:paraId="7EA5AFAF" w14:textId="77777777" w:rsidR="0087601C" w:rsidRPr="006A1EC7" w:rsidRDefault="0087601C" w:rsidP="0087601C">
      <w:pPr>
        <w:rPr>
          <w:u w:val="single"/>
        </w:rPr>
      </w:pPr>
      <w:r w:rsidRPr="006A1EC7">
        <w:rPr>
          <w:u w:val="single"/>
        </w:rPr>
        <w:t>______________________</w:t>
      </w:r>
    </w:p>
    <w:p w14:paraId="3551D6E5" w14:textId="77777777" w:rsidR="0087601C" w:rsidRPr="006A1EC7" w:rsidRDefault="0087601C" w:rsidP="0087601C">
      <w:pPr>
        <w:rPr>
          <w:u w:val="single"/>
        </w:rPr>
      </w:pPr>
    </w:p>
    <w:p w14:paraId="1FADCEA8" w14:textId="77777777" w:rsidR="0087601C" w:rsidRPr="006A1EC7" w:rsidRDefault="0087601C" w:rsidP="0087601C">
      <w:pPr>
        <w:rPr>
          <w:b/>
          <w:u w:val="single"/>
        </w:rPr>
      </w:pPr>
      <w:r w:rsidRPr="006A1EC7">
        <w:rPr>
          <w:b/>
          <w:u w:val="single"/>
        </w:rPr>
        <w:t xml:space="preserve"> </w:t>
      </w:r>
    </w:p>
    <w:p w14:paraId="69DDD719" w14:textId="77777777" w:rsidR="0087601C" w:rsidRPr="006A1EC7" w:rsidRDefault="0087601C" w:rsidP="0087601C">
      <w:pPr>
        <w:rPr>
          <w:b/>
          <w:u w:val="single"/>
        </w:rPr>
      </w:pPr>
    </w:p>
    <w:p w14:paraId="7E91D2A3" w14:textId="77777777" w:rsidR="0087601C" w:rsidRPr="006A1EC7" w:rsidRDefault="0087601C" w:rsidP="0087601C">
      <w:pPr>
        <w:rPr>
          <w:b/>
          <w:u w:val="single"/>
        </w:rPr>
      </w:pPr>
    </w:p>
    <w:p w14:paraId="3B4AC162" w14:textId="77777777" w:rsidR="0087601C" w:rsidRPr="006A1EC7" w:rsidRDefault="0087601C" w:rsidP="0087601C">
      <w:pPr>
        <w:rPr>
          <w:b/>
          <w:u w:val="single"/>
        </w:rPr>
      </w:pPr>
    </w:p>
    <w:p w14:paraId="3DE9A458" w14:textId="77777777" w:rsidR="0087601C" w:rsidRPr="006A1EC7" w:rsidRDefault="0087601C" w:rsidP="0087601C">
      <w:pPr>
        <w:rPr>
          <w:b/>
          <w:u w:val="single"/>
        </w:rPr>
      </w:pPr>
    </w:p>
    <w:p w14:paraId="47529258" w14:textId="77777777" w:rsidR="0087601C" w:rsidRPr="006A1EC7" w:rsidRDefault="0087601C" w:rsidP="0087601C">
      <w:pPr>
        <w:rPr>
          <w:b/>
          <w:u w:val="single"/>
        </w:rPr>
      </w:pPr>
    </w:p>
    <w:p w14:paraId="45C513A8" w14:textId="77777777" w:rsidR="0087601C" w:rsidRPr="006A1EC7" w:rsidRDefault="0087601C" w:rsidP="0087601C">
      <w:pPr>
        <w:rPr>
          <w:b/>
          <w:u w:val="single"/>
        </w:rPr>
      </w:pPr>
    </w:p>
    <w:p w14:paraId="348FFE21" w14:textId="77777777" w:rsidR="0087601C" w:rsidRPr="006A1EC7" w:rsidRDefault="0087601C" w:rsidP="0087601C">
      <w:pPr>
        <w:rPr>
          <w:b/>
          <w:u w:val="single"/>
        </w:rPr>
      </w:pPr>
    </w:p>
    <w:p w14:paraId="1315199F" w14:textId="77777777" w:rsidR="0087601C" w:rsidRPr="006A1EC7" w:rsidRDefault="0087601C" w:rsidP="0087601C">
      <w:pPr>
        <w:rPr>
          <w:b/>
          <w:u w:val="single"/>
        </w:rPr>
      </w:pPr>
    </w:p>
    <w:p w14:paraId="2B84B63D" w14:textId="77777777" w:rsidR="0087601C" w:rsidRPr="006A1EC7" w:rsidRDefault="0087601C" w:rsidP="0087601C">
      <w:pPr>
        <w:rPr>
          <w:b/>
          <w:u w:val="single"/>
        </w:rPr>
      </w:pPr>
    </w:p>
    <w:p w14:paraId="1D5014F5" w14:textId="77777777" w:rsidR="0087601C" w:rsidRPr="006A1EC7" w:rsidRDefault="0087601C" w:rsidP="0087601C">
      <w:pPr>
        <w:rPr>
          <w:b/>
          <w:u w:val="single"/>
        </w:rPr>
      </w:pPr>
    </w:p>
    <w:p w14:paraId="2440C9D5" w14:textId="77777777" w:rsidR="0087601C" w:rsidRPr="006A1EC7" w:rsidRDefault="0087601C" w:rsidP="0087601C">
      <w:pPr>
        <w:rPr>
          <w:b/>
          <w:u w:val="single"/>
        </w:rPr>
      </w:pPr>
    </w:p>
    <w:p w14:paraId="5C98548A" w14:textId="77777777" w:rsidR="0087601C" w:rsidRPr="006A1EC7" w:rsidRDefault="0087601C" w:rsidP="0087601C">
      <w:pPr>
        <w:rPr>
          <w:b/>
          <w:u w:val="single"/>
        </w:rPr>
      </w:pPr>
      <w:r w:rsidRPr="006A1EC7">
        <w:rPr>
          <w:b/>
          <w:u w:val="single"/>
        </w:rPr>
        <w:t>Section 7: Functional assessment</w:t>
      </w:r>
    </w:p>
    <w:p w14:paraId="5AF01603" w14:textId="77777777" w:rsidR="0087601C" w:rsidRPr="006A1EC7" w:rsidRDefault="0087601C" w:rsidP="0087601C">
      <w:pPr>
        <w:rPr>
          <w:u w:val="single"/>
        </w:rPr>
      </w:pPr>
    </w:p>
    <w:p w14:paraId="47894FCD" w14:textId="77777777" w:rsidR="0087601C" w:rsidRPr="006A1EC7" w:rsidRDefault="0087601C" w:rsidP="0087601C">
      <w:pPr>
        <w:pStyle w:val="Default"/>
        <w:rPr>
          <w:color w:val="000000" w:themeColor="text1"/>
          <w:u w:val="single"/>
        </w:rPr>
      </w:pPr>
      <w:r w:rsidRPr="006A1EC7">
        <w:rPr>
          <w:color w:val="000000" w:themeColor="text1"/>
          <w:u w:val="single"/>
        </w:rPr>
        <w:t>7A: What is the patient’s play behaviour like?</w:t>
      </w:r>
    </w:p>
    <w:p w14:paraId="79C735B9" w14:textId="77777777" w:rsidR="0087601C" w:rsidRPr="006A1EC7" w:rsidRDefault="0087601C" w:rsidP="0087601C">
      <w:pPr>
        <w:pStyle w:val="Default"/>
        <w:rPr>
          <w:color w:val="000000" w:themeColor="text1"/>
        </w:rPr>
      </w:pPr>
      <w:r w:rsidRPr="006A1EC7">
        <w:rPr>
          <w:color w:val="000000" w:themeColor="text1"/>
        </w:rPr>
        <w:t>Patient unable to engage in play, no reactions to toys/ stimuli = 2</w:t>
      </w:r>
    </w:p>
    <w:p w14:paraId="6A64FAA2" w14:textId="77777777" w:rsidR="0087601C" w:rsidRPr="006A1EC7" w:rsidRDefault="0087601C" w:rsidP="0087601C">
      <w:pPr>
        <w:pStyle w:val="Default"/>
        <w:rPr>
          <w:color w:val="000000" w:themeColor="text1"/>
        </w:rPr>
      </w:pPr>
      <w:r w:rsidRPr="006A1EC7">
        <w:rPr>
          <w:color w:val="000000" w:themeColor="text1"/>
        </w:rPr>
        <w:t>Patient able to partake in simple games, aided = 1</w:t>
      </w:r>
    </w:p>
    <w:p w14:paraId="3EEFFF94" w14:textId="77777777" w:rsidR="0087601C" w:rsidRPr="006A1EC7" w:rsidRDefault="0087601C" w:rsidP="0087601C">
      <w:pPr>
        <w:pStyle w:val="Default"/>
        <w:rPr>
          <w:color w:val="000000" w:themeColor="text1"/>
        </w:rPr>
      </w:pPr>
      <w:r w:rsidRPr="006A1EC7">
        <w:rPr>
          <w:color w:val="000000" w:themeColor="text1"/>
        </w:rPr>
        <w:t>Patient able to take part in simple games, unaided = 0</w:t>
      </w:r>
    </w:p>
    <w:p w14:paraId="182CABBB" w14:textId="77777777" w:rsidR="0087601C" w:rsidRPr="006A1EC7" w:rsidRDefault="0087601C" w:rsidP="0087601C">
      <w:pPr>
        <w:rPr>
          <w:color w:val="000000" w:themeColor="text1"/>
          <w:u w:val="single"/>
        </w:rPr>
      </w:pPr>
      <w:r w:rsidRPr="006A1EC7">
        <w:rPr>
          <w:color w:val="000000" w:themeColor="text1"/>
        </w:rPr>
        <w:br/>
      </w:r>
      <w:r w:rsidRPr="006A1EC7">
        <w:rPr>
          <w:color w:val="000000" w:themeColor="text1"/>
          <w:u w:val="single"/>
        </w:rPr>
        <w:t>7B: Can the patient perform simple household tasks?</w:t>
      </w:r>
    </w:p>
    <w:p w14:paraId="04C4EC0B" w14:textId="77777777" w:rsidR="0087601C" w:rsidRPr="006A1EC7" w:rsidRDefault="0087601C" w:rsidP="0087601C">
      <w:pPr>
        <w:pStyle w:val="Default"/>
        <w:rPr>
          <w:color w:val="000000" w:themeColor="text1"/>
        </w:rPr>
      </w:pPr>
      <w:r w:rsidRPr="006A1EC7">
        <w:rPr>
          <w:color w:val="000000" w:themeColor="text1"/>
        </w:rPr>
        <w:t>Patient unable to perform any household tasks = 2</w:t>
      </w:r>
    </w:p>
    <w:p w14:paraId="11A023F0" w14:textId="77777777" w:rsidR="0087601C" w:rsidRPr="006A1EC7" w:rsidRDefault="0087601C" w:rsidP="0087601C">
      <w:pPr>
        <w:pStyle w:val="Default"/>
        <w:rPr>
          <w:color w:val="000000" w:themeColor="text1"/>
        </w:rPr>
      </w:pPr>
      <w:r w:rsidRPr="006A1EC7">
        <w:rPr>
          <w:color w:val="000000" w:themeColor="text1"/>
        </w:rPr>
        <w:t>Patient able to perform simple tasks around the house, aided (e.g. making bed, setting table) = 1</w:t>
      </w:r>
    </w:p>
    <w:p w14:paraId="478F5BAB" w14:textId="77777777" w:rsidR="0087601C" w:rsidRPr="006A1EC7" w:rsidRDefault="0087601C" w:rsidP="0087601C">
      <w:pPr>
        <w:pStyle w:val="Default"/>
        <w:rPr>
          <w:color w:val="000000" w:themeColor="text1"/>
        </w:rPr>
      </w:pPr>
      <w:r w:rsidRPr="006A1EC7">
        <w:rPr>
          <w:color w:val="000000" w:themeColor="text1"/>
        </w:rPr>
        <w:t>Patient able to do tasks independently = 0</w:t>
      </w:r>
    </w:p>
    <w:p w14:paraId="61BC92C6" w14:textId="77777777" w:rsidR="0087601C" w:rsidRPr="006A1EC7" w:rsidRDefault="0087601C" w:rsidP="0087601C">
      <w:pPr>
        <w:pStyle w:val="Default"/>
        <w:rPr>
          <w:color w:val="000000" w:themeColor="text1"/>
        </w:rPr>
      </w:pPr>
    </w:p>
    <w:p w14:paraId="1A57A61A" w14:textId="77777777" w:rsidR="0087601C" w:rsidRPr="006A1EC7" w:rsidRDefault="0087601C" w:rsidP="0087601C">
      <w:pPr>
        <w:pStyle w:val="Default"/>
        <w:rPr>
          <w:color w:val="000000" w:themeColor="text1"/>
          <w:u w:val="single"/>
        </w:rPr>
      </w:pPr>
      <w:r w:rsidRPr="006A1EC7">
        <w:rPr>
          <w:color w:val="000000" w:themeColor="text1"/>
          <w:u w:val="single"/>
        </w:rPr>
        <w:t>7C: If applicable, what school/day care facility does the patient attend?</w:t>
      </w:r>
    </w:p>
    <w:p w14:paraId="2F8BE3B3" w14:textId="77777777" w:rsidR="0087601C" w:rsidRPr="006A1EC7" w:rsidRDefault="0087601C" w:rsidP="0087601C">
      <w:r w:rsidRPr="006A1EC7">
        <w:t>Patient attends special needs school or day care centre, unable to go to work/mainstream school = 3</w:t>
      </w:r>
    </w:p>
    <w:p w14:paraId="24AB22F8" w14:textId="77777777" w:rsidR="0087601C" w:rsidRPr="006A1EC7" w:rsidRDefault="0087601C" w:rsidP="0087601C">
      <w:r w:rsidRPr="006A1EC7">
        <w:t>Patient able to go to mainstream school/work, but requires 1:1 assistance at all times = 2</w:t>
      </w:r>
    </w:p>
    <w:p w14:paraId="54694EDF" w14:textId="77777777" w:rsidR="0087601C" w:rsidRPr="006A1EC7" w:rsidRDefault="0087601C" w:rsidP="0087601C">
      <w:r w:rsidRPr="006A1EC7">
        <w:t>Patient able to go to mainstream school/work with assistance (does not need 1:1 assistance at all times) = 1</w:t>
      </w:r>
    </w:p>
    <w:p w14:paraId="6703A57D" w14:textId="77777777" w:rsidR="0087601C" w:rsidRPr="006A1EC7" w:rsidRDefault="0087601C" w:rsidP="0087601C">
      <w:r w:rsidRPr="006A1EC7">
        <w:lastRenderedPageBreak/>
        <w:t>Patient able to go to mainstream school/participate in paid employment =0</w:t>
      </w:r>
    </w:p>
    <w:p w14:paraId="11F09C82" w14:textId="77777777" w:rsidR="0087601C" w:rsidRPr="006A1EC7" w:rsidRDefault="0087601C" w:rsidP="0087601C">
      <w:pPr>
        <w:rPr>
          <w:u w:val="single"/>
        </w:rPr>
      </w:pPr>
    </w:p>
    <w:p w14:paraId="56B0D083" w14:textId="77777777" w:rsidR="0087601C" w:rsidRPr="006A1EC7" w:rsidRDefault="0087601C" w:rsidP="0087601C">
      <w:pPr>
        <w:rPr>
          <w:u w:val="single"/>
        </w:rPr>
      </w:pPr>
      <w:r w:rsidRPr="006A1EC7">
        <w:rPr>
          <w:u w:val="single"/>
        </w:rPr>
        <w:t>7D: What is the patient’s communication and speech like?</w:t>
      </w:r>
    </w:p>
    <w:p w14:paraId="583C0EA6" w14:textId="77777777" w:rsidR="0087601C" w:rsidRPr="006A1EC7" w:rsidRDefault="0087601C" w:rsidP="0087601C">
      <w:r w:rsidRPr="006A1EC7">
        <w:t>Patient neither uses words nor sounds= 4</w:t>
      </w:r>
    </w:p>
    <w:p w14:paraId="130AE713" w14:textId="77777777" w:rsidR="0087601C" w:rsidRPr="006A1EC7" w:rsidRDefault="0087601C" w:rsidP="0087601C">
      <w:r w:rsidRPr="006A1EC7">
        <w:t>Patient communicates via noise and sound = 3</w:t>
      </w:r>
    </w:p>
    <w:p w14:paraId="244F858B" w14:textId="77777777" w:rsidR="0087601C" w:rsidRPr="006A1EC7" w:rsidRDefault="0087601C" w:rsidP="0087601C">
      <w:r w:rsidRPr="006A1EC7">
        <w:t>Patient communicates using Makaton/sign language = 2</w:t>
      </w:r>
    </w:p>
    <w:p w14:paraId="19C2DD78" w14:textId="77777777" w:rsidR="0087601C" w:rsidRPr="006A1EC7" w:rsidRDefault="0087601C" w:rsidP="0087601C">
      <w:r w:rsidRPr="006A1EC7">
        <w:t>Patient able to from a limited number of words, but unable to form sentences = 1</w:t>
      </w:r>
    </w:p>
    <w:p w14:paraId="63B7125E" w14:textId="77777777" w:rsidR="0087601C" w:rsidRPr="006A1EC7" w:rsidRDefault="0087601C" w:rsidP="0087601C">
      <w:r w:rsidRPr="006A1EC7">
        <w:t>Patient able to form short sentences of at least 3-5 words = 0</w:t>
      </w:r>
    </w:p>
    <w:p w14:paraId="01488ED2" w14:textId="77777777" w:rsidR="0087601C" w:rsidRPr="006A1EC7" w:rsidRDefault="0087601C" w:rsidP="0087601C">
      <w:pPr>
        <w:rPr>
          <w:b/>
          <w:u w:val="single"/>
        </w:rPr>
      </w:pPr>
    </w:p>
    <w:p w14:paraId="579BCCA1" w14:textId="77777777" w:rsidR="0087601C" w:rsidRPr="006A1EC7" w:rsidRDefault="0087601C" w:rsidP="0087601C">
      <w:pPr>
        <w:rPr>
          <w:b/>
          <w:u w:val="single"/>
        </w:rPr>
      </w:pPr>
      <w:r w:rsidRPr="006A1EC7">
        <w:rPr>
          <w:b/>
          <w:u w:val="single"/>
        </w:rPr>
        <w:t>Section 8: Sleep</w:t>
      </w:r>
    </w:p>
    <w:p w14:paraId="0F061B21" w14:textId="77777777" w:rsidR="0087601C" w:rsidRPr="006A1EC7" w:rsidRDefault="0087601C" w:rsidP="0087601C">
      <w:pPr>
        <w:rPr>
          <w:u w:val="wave"/>
        </w:rPr>
      </w:pPr>
    </w:p>
    <w:p w14:paraId="784B695F" w14:textId="77777777" w:rsidR="0087601C" w:rsidRPr="006A1EC7" w:rsidRDefault="0087601C" w:rsidP="0087601C">
      <w:pPr>
        <w:rPr>
          <w:u w:val="single"/>
        </w:rPr>
      </w:pPr>
      <w:r w:rsidRPr="006A1EC7">
        <w:rPr>
          <w:u w:val="single"/>
        </w:rPr>
        <w:t>8: What are the patient’s sleeping patterns at night?</w:t>
      </w:r>
    </w:p>
    <w:p w14:paraId="00165E0C" w14:textId="77777777" w:rsidR="0087601C" w:rsidRPr="006A1EC7" w:rsidRDefault="0087601C" w:rsidP="0087601C">
      <w:r w:rsidRPr="006A1EC7">
        <w:t>Majority of nights disturbed, unable to self-soothe requiring care = 3</w:t>
      </w:r>
      <w:r w:rsidRPr="006A1EC7">
        <w:br/>
        <w:t>Some disturbed nights (max. 2 a week) = 2</w:t>
      </w:r>
      <w:r w:rsidRPr="006A1EC7">
        <w:br/>
        <w:t>One disturbed night a week = 1</w:t>
      </w:r>
    </w:p>
    <w:p w14:paraId="7522A1A3" w14:textId="77777777" w:rsidR="0087601C" w:rsidRPr="006A1EC7" w:rsidRDefault="0087601C" w:rsidP="0087601C">
      <w:r w:rsidRPr="006A1EC7">
        <w:t xml:space="preserve">No disturbed nights = 0 </w:t>
      </w:r>
    </w:p>
    <w:p w14:paraId="4C9FDBA8" w14:textId="77777777" w:rsidR="0087601C" w:rsidRPr="006A1EC7" w:rsidRDefault="0087601C" w:rsidP="0087601C"/>
    <w:p w14:paraId="2BBAA3CF" w14:textId="77777777" w:rsidR="0087601C" w:rsidRPr="006A1EC7" w:rsidRDefault="0087601C" w:rsidP="0087601C">
      <w:pPr>
        <w:rPr>
          <w:b/>
          <w:u w:val="single"/>
        </w:rPr>
      </w:pPr>
    </w:p>
    <w:p w14:paraId="322B05A1" w14:textId="77777777" w:rsidR="0087601C" w:rsidRPr="006A1EC7" w:rsidRDefault="0087601C" w:rsidP="0087601C">
      <w:pPr>
        <w:rPr>
          <w:b/>
          <w:u w:val="single"/>
        </w:rPr>
      </w:pPr>
    </w:p>
    <w:p w14:paraId="3783CBA1" w14:textId="77777777" w:rsidR="0087601C" w:rsidRPr="006A1EC7" w:rsidRDefault="0087601C" w:rsidP="0087601C">
      <w:pPr>
        <w:rPr>
          <w:b/>
          <w:u w:val="single"/>
        </w:rPr>
      </w:pPr>
    </w:p>
    <w:p w14:paraId="5627A6AB" w14:textId="77777777" w:rsidR="0087601C" w:rsidRPr="006A1EC7" w:rsidRDefault="0087601C" w:rsidP="0087601C">
      <w:pPr>
        <w:rPr>
          <w:b/>
          <w:u w:val="single"/>
        </w:rPr>
      </w:pPr>
    </w:p>
    <w:p w14:paraId="4A31DD64" w14:textId="77777777" w:rsidR="0087601C" w:rsidRPr="006A1EC7" w:rsidRDefault="0087601C" w:rsidP="0087601C">
      <w:pPr>
        <w:rPr>
          <w:b/>
          <w:u w:val="single"/>
        </w:rPr>
      </w:pPr>
      <w:r w:rsidRPr="006A1EC7">
        <w:rPr>
          <w:b/>
          <w:u w:val="single"/>
        </w:rPr>
        <w:t>Section 9: Level of care</w:t>
      </w:r>
    </w:p>
    <w:p w14:paraId="7607150D" w14:textId="77777777" w:rsidR="0087601C" w:rsidRPr="006A1EC7" w:rsidRDefault="0087601C" w:rsidP="0087601C"/>
    <w:p w14:paraId="08BF77C1" w14:textId="77777777" w:rsidR="0087601C" w:rsidRPr="006A1EC7" w:rsidRDefault="0087601C" w:rsidP="0087601C">
      <w:r w:rsidRPr="006A1EC7">
        <w:rPr>
          <w:u w:val="single"/>
        </w:rPr>
        <w:t>9: What is the level of care required for day-to-day life?</w:t>
      </w:r>
      <w:r w:rsidRPr="006A1EC7">
        <w:rPr>
          <w:u w:val="wave"/>
        </w:rPr>
        <w:br/>
      </w:r>
      <w:r w:rsidRPr="006A1EC7">
        <w:t>Skilled nursing care required = 2</w:t>
      </w:r>
    </w:p>
    <w:p w14:paraId="3461ED79" w14:textId="77777777" w:rsidR="0087601C" w:rsidRPr="006A1EC7" w:rsidRDefault="0087601C" w:rsidP="0087601C">
      <w:r w:rsidRPr="006A1EC7">
        <w:t>Home nursing by family member= 1</w:t>
      </w:r>
    </w:p>
    <w:p w14:paraId="2BE003F0" w14:textId="77777777" w:rsidR="0087601C" w:rsidRPr="006A1EC7" w:rsidRDefault="0087601C" w:rsidP="0087601C">
      <w:r w:rsidRPr="006A1EC7">
        <w:t xml:space="preserve">No care required = 0 </w:t>
      </w:r>
    </w:p>
    <w:p w14:paraId="4C03E4E1" w14:textId="77777777" w:rsidR="0087601C" w:rsidRPr="006A1EC7" w:rsidRDefault="0087601C" w:rsidP="0087601C"/>
    <w:p w14:paraId="4C706BA5" w14:textId="77777777" w:rsidR="0087601C" w:rsidRPr="006A1EC7" w:rsidRDefault="0087601C" w:rsidP="0087601C"/>
    <w:p w14:paraId="0FDE85F7" w14:textId="77777777" w:rsidR="0087601C" w:rsidRPr="006A1EC7" w:rsidRDefault="0087601C" w:rsidP="0087601C"/>
    <w:p w14:paraId="66C61338" w14:textId="77777777" w:rsidR="0087601C" w:rsidRPr="006A1EC7" w:rsidRDefault="0087601C" w:rsidP="0087601C">
      <w:pPr>
        <w:rPr>
          <w:b/>
        </w:rPr>
        <w:sectPr w:rsidR="0087601C" w:rsidRPr="006A1EC7" w:rsidSect="00D56051">
          <w:type w:val="nextColumn"/>
          <w:pgSz w:w="11900" w:h="16840"/>
          <w:pgMar w:top="1440" w:right="1701" w:bottom="1440" w:left="1701" w:header="720" w:footer="720" w:gutter="0"/>
          <w:cols w:num="2" w:space="720"/>
          <w:docGrid w:linePitch="360"/>
        </w:sectPr>
      </w:pPr>
    </w:p>
    <w:p w14:paraId="57DC37EA" w14:textId="77777777" w:rsidR="0087601C" w:rsidRPr="006A1EC7" w:rsidRDefault="0087601C" w:rsidP="0087601C">
      <w:pPr>
        <w:rPr>
          <w:b/>
          <w:u w:val="single"/>
        </w:rPr>
      </w:pPr>
      <w:r w:rsidRPr="006A1EC7">
        <w:rPr>
          <w:b/>
          <w:u w:val="single"/>
        </w:rPr>
        <w:lastRenderedPageBreak/>
        <w:t>Scores for each section/domain</w:t>
      </w:r>
    </w:p>
    <w:p w14:paraId="3659ED6A" w14:textId="77777777" w:rsidR="0087601C" w:rsidRPr="006A1EC7" w:rsidRDefault="0087601C" w:rsidP="0087601C">
      <w:pPr>
        <w:rPr>
          <w:b/>
        </w:rPr>
      </w:pPr>
    </w:p>
    <w:p w14:paraId="32F5DA71" w14:textId="77777777" w:rsidR="0087601C" w:rsidRPr="006A1EC7" w:rsidRDefault="0087601C" w:rsidP="0087601C">
      <w:pPr>
        <w:rPr>
          <w:b/>
        </w:rPr>
      </w:pPr>
    </w:p>
    <w:tbl>
      <w:tblPr>
        <w:tblStyle w:val="TableGrid"/>
        <w:tblW w:w="0" w:type="auto"/>
        <w:tblLook w:val="04A0" w:firstRow="1" w:lastRow="0" w:firstColumn="1" w:lastColumn="0" w:noHBand="0" w:noVBand="1"/>
      </w:tblPr>
      <w:tblGrid>
        <w:gridCol w:w="2070"/>
        <w:gridCol w:w="2070"/>
      </w:tblGrid>
      <w:tr w:rsidR="0087601C" w:rsidRPr="006A1EC7" w14:paraId="16378074" w14:textId="77777777" w:rsidTr="00D56051">
        <w:tc>
          <w:tcPr>
            <w:tcW w:w="2070" w:type="dxa"/>
          </w:tcPr>
          <w:p w14:paraId="1CCA0036" w14:textId="77777777" w:rsidR="0087601C" w:rsidRPr="006A1EC7" w:rsidRDefault="0087601C" w:rsidP="00D56051">
            <w:pPr>
              <w:rPr>
                <w:b/>
              </w:rPr>
            </w:pPr>
            <w:r w:rsidRPr="006A1EC7">
              <w:rPr>
                <w:b/>
              </w:rPr>
              <w:t>Facial features</w:t>
            </w:r>
          </w:p>
          <w:p w14:paraId="0C76E552" w14:textId="77777777" w:rsidR="0087601C" w:rsidRPr="006A1EC7" w:rsidRDefault="0087601C" w:rsidP="00D56051">
            <w:pPr>
              <w:rPr>
                <w:b/>
              </w:rPr>
            </w:pPr>
          </w:p>
        </w:tc>
        <w:tc>
          <w:tcPr>
            <w:tcW w:w="2070" w:type="dxa"/>
          </w:tcPr>
          <w:p w14:paraId="48483C20" w14:textId="77777777" w:rsidR="0087601C" w:rsidRPr="006A1EC7" w:rsidRDefault="0087601C" w:rsidP="00D56051">
            <w:pPr>
              <w:rPr>
                <w:b/>
              </w:rPr>
            </w:pPr>
          </w:p>
        </w:tc>
      </w:tr>
      <w:tr w:rsidR="0087601C" w:rsidRPr="006A1EC7" w14:paraId="429B137A" w14:textId="77777777" w:rsidTr="00D56051">
        <w:tc>
          <w:tcPr>
            <w:tcW w:w="2070" w:type="dxa"/>
          </w:tcPr>
          <w:p w14:paraId="6A479A09" w14:textId="77777777" w:rsidR="0087601C" w:rsidRPr="006A1EC7" w:rsidRDefault="0087601C" w:rsidP="00D56051">
            <w:pPr>
              <w:rPr>
                <w:b/>
              </w:rPr>
            </w:pPr>
            <w:r w:rsidRPr="006A1EC7">
              <w:rPr>
                <w:b/>
              </w:rPr>
              <w:t>Epilepsy and seizures</w:t>
            </w:r>
          </w:p>
        </w:tc>
        <w:tc>
          <w:tcPr>
            <w:tcW w:w="2070" w:type="dxa"/>
          </w:tcPr>
          <w:p w14:paraId="57ED3870" w14:textId="77777777" w:rsidR="0087601C" w:rsidRPr="006A1EC7" w:rsidRDefault="0087601C" w:rsidP="00D56051">
            <w:pPr>
              <w:rPr>
                <w:b/>
              </w:rPr>
            </w:pPr>
          </w:p>
        </w:tc>
      </w:tr>
      <w:tr w:rsidR="0087601C" w:rsidRPr="006A1EC7" w14:paraId="5276EBC2" w14:textId="77777777" w:rsidTr="00D56051">
        <w:tc>
          <w:tcPr>
            <w:tcW w:w="2070" w:type="dxa"/>
          </w:tcPr>
          <w:p w14:paraId="524713A6" w14:textId="77777777" w:rsidR="0087601C" w:rsidRPr="006A1EC7" w:rsidRDefault="0087601C" w:rsidP="00D56051">
            <w:pPr>
              <w:rPr>
                <w:b/>
              </w:rPr>
            </w:pPr>
            <w:r w:rsidRPr="006A1EC7">
              <w:rPr>
                <w:b/>
              </w:rPr>
              <w:t>Gastrointestinal symptoms</w:t>
            </w:r>
          </w:p>
        </w:tc>
        <w:tc>
          <w:tcPr>
            <w:tcW w:w="2070" w:type="dxa"/>
          </w:tcPr>
          <w:p w14:paraId="0BC9A977" w14:textId="77777777" w:rsidR="0087601C" w:rsidRPr="006A1EC7" w:rsidRDefault="0087601C" w:rsidP="00D56051">
            <w:pPr>
              <w:rPr>
                <w:b/>
              </w:rPr>
            </w:pPr>
          </w:p>
        </w:tc>
      </w:tr>
      <w:tr w:rsidR="0087601C" w:rsidRPr="006A1EC7" w14:paraId="6EA422DC" w14:textId="77777777" w:rsidTr="00D56051">
        <w:tc>
          <w:tcPr>
            <w:tcW w:w="2070" w:type="dxa"/>
          </w:tcPr>
          <w:p w14:paraId="373F4DCA" w14:textId="77777777" w:rsidR="0087601C" w:rsidRPr="006A1EC7" w:rsidRDefault="0087601C" w:rsidP="00D56051">
            <w:pPr>
              <w:rPr>
                <w:b/>
              </w:rPr>
            </w:pPr>
            <w:r w:rsidRPr="006A1EC7">
              <w:rPr>
                <w:b/>
              </w:rPr>
              <w:t>Cardiac and respiratory symptoms</w:t>
            </w:r>
          </w:p>
        </w:tc>
        <w:tc>
          <w:tcPr>
            <w:tcW w:w="2070" w:type="dxa"/>
          </w:tcPr>
          <w:p w14:paraId="12980FD5" w14:textId="77777777" w:rsidR="0087601C" w:rsidRPr="006A1EC7" w:rsidRDefault="0087601C" w:rsidP="00D56051">
            <w:pPr>
              <w:rPr>
                <w:b/>
              </w:rPr>
            </w:pPr>
          </w:p>
        </w:tc>
      </w:tr>
      <w:tr w:rsidR="0087601C" w:rsidRPr="006A1EC7" w14:paraId="1583AAC7" w14:textId="77777777" w:rsidTr="00D56051">
        <w:tc>
          <w:tcPr>
            <w:tcW w:w="2070" w:type="dxa"/>
          </w:tcPr>
          <w:p w14:paraId="29DA52E0" w14:textId="77777777" w:rsidR="0087601C" w:rsidRPr="006A1EC7" w:rsidRDefault="0087601C" w:rsidP="00D56051">
            <w:pPr>
              <w:rPr>
                <w:b/>
              </w:rPr>
            </w:pPr>
            <w:r w:rsidRPr="006A1EC7">
              <w:rPr>
                <w:b/>
              </w:rPr>
              <w:t>Central nervous system</w:t>
            </w:r>
          </w:p>
        </w:tc>
        <w:tc>
          <w:tcPr>
            <w:tcW w:w="2070" w:type="dxa"/>
          </w:tcPr>
          <w:p w14:paraId="37AA2614" w14:textId="77777777" w:rsidR="0087601C" w:rsidRPr="006A1EC7" w:rsidRDefault="0087601C" w:rsidP="00D56051">
            <w:pPr>
              <w:rPr>
                <w:b/>
              </w:rPr>
            </w:pPr>
          </w:p>
        </w:tc>
      </w:tr>
      <w:tr w:rsidR="0087601C" w:rsidRPr="006A1EC7" w14:paraId="3D28F137" w14:textId="77777777" w:rsidTr="00D56051">
        <w:tc>
          <w:tcPr>
            <w:tcW w:w="2070" w:type="dxa"/>
          </w:tcPr>
          <w:p w14:paraId="773B6224" w14:textId="77777777" w:rsidR="0087601C" w:rsidRPr="006A1EC7" w:rsidRDefault="0087601C" w:rsidP="00D56051">
            <w:pPr>
              <w:rPr>
                <w:b/>
              </w:rPr>
            </w:pPr>
            <w:r w:rsidRPr="006A1EC7">
              <w:rPr>
                <w:b/>
              </w:rPr>
              <w:t>Low immunity</w:t>
            </w:r>
          </w:p>
        </w:tc>
        <w:tc>
          <w:tcPr>
            <w:tcW w:w="2070" w:type="dxa"/>
          </w:tcPr>
          <w:p w14:paraId="3C30F4B7" w14:textId="77777777" w:rsidR="0087601C" w:rsidRPr="006A1EC7" w:rsidRDefault="0087601C" w:rsidP="00D56051">
            <w:pPr>
              <w:rPr>
                <w:b/>
              </w:rPr>
            </w:pPr>
          </w:p>
        </w:tc>
      </w:tr>
      <w:tr w:rsidR="0087601C" w:rsidRPr="006A1EC7" w14:paraId="280CB1DC" w14:textId="77777777" w:rsidTr="00D56051">
        <w:tc>
          <w:tcPr>
            <w:tcW w:w="2070" w:type="dxa"/>
          </w:tcPr>
          <w:p w14:paraId="66BA9190" w14:textId="77777777" w:rsidR="0087601C" w:rsidRPr="006A1EC7" w:rsidRDefault="0087601C" w:rsidP="00D56051">
            <w:pPr>
              <w:rPr>
                <w:b/>
              </w:rPr>
            </w:pPr>
            <w:r w:rsidRPr="006A1EC7">
              <w:rPr>
                <w:b/>
              </w:rPr>
              <w:t>Functional assessment</w:t>
            </w:r>
          </w:p>
        </w:tc>
        <w:tc>
          <w:tcPr>
            <w:tcW w:w="2070" w:type="dxa"/>
          </w:tcPr>
          <w:p w14:paraId="1E6F1F33" w14:textId="77777777" w:rsidR="0087601C" w:rsidRPr="006A1EC7" w:rsidRDefault="0087601C" w:rsidP="00D56051">
            <w:pPr>
              <w:rPr>
                <w:b/>
              </w:rPr>
            </w:pPr>
          </w:p>
        </w:tc>
      </w:tr>
      <w:tr w:rsidR="0087601C" w:rsidRPr="006A1EC7" w14:paraId="33439877" w14:textId="77777777" w:rsidTr="00D56051">
        <w:tc>
          <w:tcPr>
            <w:tcW w:w="2070" w:type="dxa"/>
          </w:tcPr>
          <w:p w14:paraId="0A0FFF98" w14:textId="77777777" w:rsidR="0087601C" w:rsidRPr="006A1EC7" w:rsidRDefault="0087601C" w:rsidP="00D56051">
            <w:pPr>
              <w:rPr>
                <w:b/>
              </w:rPr>
            </w:pPr>
            <w:r w:rsidRPr="006A1EC7">
              <w:rPr>
                <w:b/>
              </w:rPr>
              <w:t>Sleep</w:t>
            </w:r>
          </w:p>
        </w:tc>
        <w:tc>
          <w:tcPr>
            <w:tcW w:w="2070" w:type="dxa"/>
          </w:tcPr>
          <w:p w14:paraId="22CD2650" w14:textId="77777777" w:rsidR="0087601C" w:rsidRPr="006A1EC7" w:rsidRDefault="0087601C" w:rsidP="00D56051">
            <w:pPr>
              <w:rPr>
                <w:b/>
              </w:rPr>
            </w:pPr>
          </w:p>
        </w:tc>
      </w:tr>
      <w:tr w:rsidR="0087601C" w:rsidRPr="006A1EC7" w14:paraId="4A3CEA74" w14:textId="77777777" w:rsidTr="00D56051">
        <w:tc>
          <w:tcPr>
            <w:tcW w:w="2070" w:type="dxa"/>
          </w:tcPr>
          <w:p w14:paraId="433CD90F" w14:textId="77777777" w:rsidR="0087601C" w:rsidRPr="006A1EC7" w:rsidRDefault="0087601C" w:rsidP="00D56051">
            <w:pPr>
              <w:rPr>
                <w:b/>
              </w:rPr>
            </w:pPr>
            <w:r w:rsidRPr="006A1EC7">
              <w:rPr>
                <w:b/>
              </w:rPr>
              <w:t>Level of care needed</w:t>
            </w:r>
          </w:p>
        </w:tc>
        <w:tc>
          <w:tcPr>
            <w:tcW w:w="2070" w:type="dxa"/>
          </w:tcPr>
          <w:p w14:paraId="105FE766" w14:textId="77777777" w:rsidR="0087601C" w:rsidRPr="006A1EC7" w:rsidRDefault="0087601C" w:rsidP="00D56051">
            <w:pPr>
              <w:rPr>
                <w:b/>
              </w:rPr>
            </w:pPr>
          </w:p>
        </w:tc>
      </w:tr>
      <w:tr w:rsidR="0087601C" w:rsidRPr="006A1EC7" w14:paraId="49C7E064" w14:textId="77777777" w:rsidTr="00D5605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070" w:type="dxa"/>
          <w:trHeight w:val="100"/>
        </w:trPr>
        <w:tc>
          <w:tcPr>
            <w:tcW w:w="2070" w:type="dxa"/>
            <w:tcBorders>
              <w:bottom w:val="single" w:sz="4" w:space="0" w:color="auto"/>
            </w:tcBorders>
          </w:tcPr>
          <w:p w14:paraId="1DFB3909" w14:textId="77777777" w:rsidR="0087601C" w:rsidRPr="006A1EC7" w:rsidRDefault="0087601C" w:rsidP="00D56051">
            <w:pPr>
              <w:rPr>
                <w:b/>
              </w:rPr>
            </w:pPr>
            <w:r w:rsidRPr="006A1EC7">
              <w:rPr>
                <w:b/>
              </w:rPr>
              <w:t xml:space="preserve">Total: </w:t>
            </w:r>
          </w:p>
        </w:tc>
      </w:tr>
    </w:tbl>
    <w:p w14:paraId="13F8392B" w14:textId="77777777" w:rsidR="0087601C" w:rsidRPr="006A1EC7" w:rsidRDefault="0087601C" w:rsidP="0087601C">
      <w:pPr>
        <w:rPr>
          <w:b/>
        </w:rPr>
      </w:pPr>
    </w:p>
    <w:p w14:paraId="34B5DC1F" w14:textId="77777777" w:rsidR="0087601C" w:rsidRPr="006A1EC7" w:rsidRDefault="0087601C" w:rsidP="0087601C">
      <w:pPr>
        <w:rPr>
          <w:b/>
        </w:rPr>
      </w:pPr>
    </w:p>
    <w:p w14:paraId="3FCA5F43" w14:textId="77777777" w:rsidR="0087601C" w:rsidRPr="006A1EC7" w:rsidRDefault="0087601C" w:rsidP="0087601C">
      <w:pPr>
        <w:rPr>
          <w:b/>
          <w:u w:val="single"/>
        </w:rPr>
      </w:pPr>
      <w:r w:rsidRPr="006A1EC7">
        <w:rPr>
          <w:b/>
          <w:noProof/>
          <w:u w:val="single"/>
          <w:lang w:eastAsia="en-GB"/>
        </w:rPr>
        <mc:AlternateContent>
          <mc:Choice Requires="wps">
            <w:drawing>
              <wp:anchor distT="0" distB="0" distL="114300" distR="114300" simplePos="0" relativeHeight="251700224" behindDoc="0" locked="0" layoutInCell="1" allowOverlap="1" wp14:anchorId="3FFC7017" wp14:editId="5264EC89">
                <wp:simplePos x="0" y="0"/>
                <wp:positionH relativeFrom="column">
                  <wp:posOffset>1558893</wp:posOffset>
                </wp:positionH>
                <wp:positionV relativeFrom="paragraph">
                  <wp:posOffset>86625</wp:posOffset>
                </wp:positionV>
                <wp:extent cx="4504786" cy="1064871"/>
                <wp:effectExtent l="0" t="0" r="16510" b="15240"/>
                <wp:wrapNone/>
                <wp:docPr id="41" name="Rectangle 41"/>
                <wp:cNvGraphicFramePr/>
                <a:graphic xmlns:a="http://schemas.openxmlformats.org/drawingml/2006/main">
                  <a:graphicData uri="http://schemas.microsoft.com/office/word/2010/wordprocessingShape">
                    <wps:wsp>
                      <wps:cNvSpPr/>
                      <wps:spPr>
                        <a:xfrm>
                          <a:off x="0" y="0"/>
                          <a:ext cx="4504786" cy="10648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4591A" id="Rectangle 41" o:spid="_x0000_s1026" style="position:absolute;margin-left:122.75pt;margin-top:6.8pt;width:354.7pt;height:8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" filled="f" strokecolor="black [3213]" strokeweight="1pt"/>
            </w:pict>
          </mc:Fallback>
        </mc:AlternateContent>
      </w:r>
      <w:r w:rsidRPr="006A1EC7">
        <w:rPr>
          <w:b/>
          <w:u w:val="single"/>
        </w:rPr>
        <w:t>Notes:</w:t>
      </w:r>
    </w:p>
    <w:p w14:paraId="51B56A8D" w14:textId="77777777" w:rsidR="0087601C" w:rsidRPr="006A1EC7" w:rsidRDefault="0087601C" w:rsidP="0087601C">
      <w:pPr>
        <w:rPr>
          <w:b/>
          <w:u w:val="single"/>
        </w:rPr>
      </w:pPr>
    </w:p>
    <w:p w14:paraId="37C57B90" w14:textId="77777777" w:rsidR="0087601C" w:rsidRPr="006A1EC7" w:rsidRDefault="0087601C" w:rsidP="0087601C">
      <w:pPr>
        <w:rPr>
          <w:b/>
          <w:u w:val="single"/>
        </w:rPr>
      </w:pPr>
    </w:p>
    <w:p w14:paraId="2E222313" w14:textId="77777777" w:rsidR="0087601C" w:rsidRPr="006A1EC7" w:rsidRDefault="0087601C" w:rsidP="0087601C">
      <w:pPr>
        <w:rPr>
          <w:b/>
          <w:u w:val="single"/>
        </w:rPr>
      </w:pPr>
    </w:p>
    <w:p w14:paraId="6EA8489F" w14:textId="77777777" w:rsidR="0087601C" w:rsidRPr="006A1EC7" w:rsidRDefault="0087601C" w:rsidP="0087601C">
      <w:pPr>
        <w:rPr>
          <w:b/>
          <w:u w:val="single"/>
        </w:rPr>
      </w:pPr>
    </w:p>
    <w:p w14:paraId="48F6E8DB" w14:textId="77777777" w:rsidR="0087601C" w:rsidRPr="006A1EC7" w:rsidRDefault="0087601C" w:rsidP="0087601C">
      <w:pPr>
        <w:rPr>
          <w:b/>
          <w:u w:val="single"/>
        </w:rPr>
      </w:pPr>
    </w:p>
    <w:p w14:paraId="43500561" w14:textId="77777777" w:rsidR="0087601C" w:rsidRPr="006A1EC7" w:rsidRDefault="0087601C" w:rsidP="0087601C">
      <w:pPr>
        <w:rPr>
          <w:b/>
          <w:u w:val="single"/>
        </w:rPr>
      </w:pPr>
    </w:p>
    <w:p w14:paraId="6FEB42B0" w14:textId="77777777" w:rsidR="0087601C" w:rsidRPr="006A1EC7" w:rsidRDefault="0087601C" w:rsidP="0087601C">
      <w:pPr>
        <w:rPr>
          <w:b/>
          <w:u w:val="single"/>
        </w:rPr>
      </w:pPr>
    </w:p>
    <w:p w14:paraId="2F6A3BB8" w14:textId="77777777" w:rsidR="0087601C" w:rsidRPr="006A1EC7" w:rsidRDefault="0087601C" w:rsidP="0087601C">
      <w:pPr>
        <w:rPr>
          <w:b/>
          <w:u w:val="single"/>
        </w:rPr>
      </w:pPr>
    </w:p>
    <w:p w14:paraId="1981DD55" w14:textId="77777777" w:rsidR="0087601C" w:rsidRPr="006A1EC7" w:rsidRDefault="0087601C" w:rsidP="0087601C">
      <w:pPr>
        <w:rPr>
          <w:b/>
          <w:u w:val="single"/>
        </w:rPr>
      </w:pPr>
    </w:p>
    <w:p w14:paraId="298B1DB3" w14:textId="77777777" w:rsidR="0087601C" w:rsidRPr="006A1EC7" w:rsidRDefault="0087601C" w:rsidP="0087601C">
      <w:pPr>
        <w:rPr>
          <w:b/>
          <w:u w:val="single"/>
        </w:rPr>
      </w:pPr>
      <w:r w:rsidRPr="006A1EC7">
        <w:rPr>
          <w:b/>
          <w:u w:val="single"/>
        </w:rPr>
        <w:t>Additional questions, suggested by international Wolf-Hirschhorn experts, that you may wish to ask in the consultation:</w:t>
      </w:r>
    </w:p>
    <w:p w14:paraId="58FF2EAC" w14:textId="77777777" w:rsidR="0087601C" w:rsidRPr="006A1EC7" w:rsidRDefault="0087601C" w:rsidP="0087601C">
      <w:pPr>
        <w:pStyle w:val="ListParagraph"/>
        <w:numPr>
          <w:ilvl w:val="0"/>
          <w:numId w:val="19"/>
        </w:numPr>
        <w:spacing w:after="0"/>
        <w:rPr>
          <w:rFonts w:ascii="Times New Roman" w:hAnsi="Times New Roman" w:cs="Times New Roman"/>
          <w:b/>
          <w:u w:val="single"/>
        </w:rPr>
      </w:pPr>
      <w:r w:rsidRPr="006A1EC7">
        <w:rPr>
          <w:rFonts w:ascii="Times New Roman" w:hAnsi="Times New Roman" w:cs="Times New Roman"/>
          <w:b/>
          <w:u w:val="single"/>
        </w:rPr>
        <w:t>When were developmental milestones reached (e.g. rolling over, first words)?</w:t>
      </w:r>
    </w:p>
    <w:p w14:paraId="50AE63BC" w14:textId="77777777" w:rsidR="0087601C" w:rsidRPr="006A1EC7" w:rsidRDefault="0087601C" w:rsidP="0087601C">
      <w:pPr>
        <w:pStyle w:val="ListParagraph"/>
        <w:numPr>
          <w:ilvl w:val="0"/>
          <w:numId w:val="19"/>
        </w:numPr>
        <w:spacing w:after="0"/>
        <w:rPr>
          <w:rFonts w:ascii="Times New Roman" w:hAnsi="Times New Roman" w:cs="Times New Roman"/>
          <w:b/>
          <w:u w:val="single"/>
        </w:rPr>
      </w:pPr>
      <w:r w:rsidRPr="006A1EC7">
        <w:rPr>
          <w:rFonts w:ascii="Times New Roman" w:hAnsi="Times New Roman" w:cs="Times New Roman"/>
          <w:b/>
          <w:u w:val="single"/>
        </w:rPr>
        <w:t>Information regarding pre- and post-natal growth?</w:t>
      </w:r>
    </w:p>
    <w:p w14:paraId="4D3508AD" w14:textId="77777777" w:rsidR="0087601C" w:rsidRPr="006A1EC7" w:rsidRDefault="0087601C" w:rsidP="0087601C">
      <w:pPr>
        <w:pStyle w:val="ListParagraph"/>
        <w:numPr>
          <w:ilvl w:val="0"/>
          <w:numId w:val="19"/>
        </w:numPr>
        <w:spacing w:after="0"/>
        <w:rPr>
          <w:rFonts w:ascii="Times New Roman" w:hAnsi="Times New Roman" w:cs="Times New Roman"/>
          <w:b/>
          <w:u w:val="single"/>
        </w:rPr>
      </w:pPr>
      <w:r w:rsidRPr="006A1EC7">
        <w:rPr>
          <w:rFonts w:ascii="Times New Roman" w:hAnsi="Times New Roman" w:cs="Times New Roman"/>
          <w:b/>
          <w:u w:val="single"/>
        </w:rPr>
        <w:t xml:space="preserve">Any dental abnormalities? </w:t>
      </w:r>
    </w:p>
    <w:p w14:paraId="069AA579" w14:textId="77777777" w:rsidR="0087601C" w:rsidRPr="006A1EC7" w:rsidRDefault="0087601C" w:rsidP="0087601C">
      <w:pPr>
        <w:rPr>
          <w:b/>
          <w:u w:val="single"/>
        </w:rPr>
      </w:pPr>
    </w:p>
    <w:p w14:paraId="75CAD783" w14:textId="77777777" w:rsidR="0087601C" w:rsidRPr="006A1EC7" w:rsidRDefault="0087601C" w:rsidP="0087601C"/>
    <w:p w14:paraId="01BAC484" w14:textId="77777777" w:rsidR="0087601C" w:rsidRPr="006A1EC7" w:rsidRDefault="0087601C" w:rsidP="0087601C">
      <w:pPr>
        <w:rPr>
          <w:color w:val="000000"/>
          <w:sz w:val="18"/>
          <w:szCs w:val="18"/>
        </w:rPr>
      </w:pPr>
    </w:p>
    <w:p w14:paraId="75119C3F" w14:textId="77777777" w:rsidR="0087601C" w:rsidRPr="006A1EC7" w:rsidRDefault="0087601C" w:rsidP="0087601C">
      <w:pPr>
        <w:rPr>
          <w:color w:val="000000"/>
          <w:sz w:val="18"/>
          <w:szCs w:val="18"/>
        </w:rPr>
        <w:sectPr w:rsidR="0087601C" w:rsidRPr="006A1EC7" w:rsidSect="00D56051">
          <w:type w:val="nextColumn"/>
          <w:pgSz w:w="12240" w:h="15840"/>
          <w:pgMar w:top="1440" w:right="1701" w:bottom="1440" w:left="1701" w:header="708" w:footer="708" w:gutter="0"/>
          <w:cols w:space="708"/>
          <w:docGrid w:linePitch="360"/>
        </w:sectPr>
      </w:pPr>
    </w:p>
    <w:p w14:paraId="3FA401BE" w14:textId="77777777" w:rsidR="0087601C" w:rsidRPr="006A1EC7" w:rsidRDefault="0087601C" w:rsidP="0087601C">
      <w:pPr>
        <w:pStyle w:val="Heading2"/>
        <w:rPr>
          <w:rFonts w:ascii="Times New Roman" w:hAnsi="Times New Roman" w:cs="Times New Roman"/>
        </w:rPr>
      </w:pPr>
      <w:bookmarkStart w:id="306" w:name="_Toc17977983"/>
      <w:bookmarkStart w:id="307" w:name="_Toc38821487"/>
      <w:bookmarkStart w:id="308" w:name="_Toc40173025"/>
      <w:r w:rsidRPr="006A1EC7">
        <w:rPr>
          <w:rFonts w:ascii="Times New Roman" w:hAnsi="Times New Roman" w:cs="Times New Roman"/>
        </w:rPr>
        <w:lastRenderedPageBreak/>
        <w:t xml:space="preserve">Appendix Chapter </w:t>
      </w:r>
      <w:bookmarkEnd w:id="306"/>
      <w:r w:rsidRPr="006A1EC7">
        <w:rPr>
          <w:rFonts w:ascii="Times New Roman" w:hAnsi="Times New Roman" w:cs="Times New Roman"/>
        </w:rPr>
        <w:t>7: Assessment of Measurement Properties of the Clinical Outcome Assessment (Reliability, Validity)</w:t>
      </w:r>
      <w:bookmarkEnd w:id="307"/>
      <w:bookmarkEnd w:id="308"/>
    </w:p>
    <w:p w14:paraId="11E3B350" w14:textId="77777777" w:rsidR="0087601C" w:rsidRPr="006A1EC7" w:rsidRDefault="0087601C" w:rsidP="0087601C">
      <w:pPr>
        <w:rPr>
          <w:color w:val="000000"/>
          <w:sz w:val="18"/>
          <w:szCs w:val="18"/>
        </w:rPr>
      </w:pPr>
    </w:p>
    <w:p w14:paraId="6762BD02" w14:textId="136A347A" w:rsidR="0087601C" w:rsidRPr="006A1EC7" w:rsidRDefault="0087601C" w:rsidP="0087601C">
      <w:pPr>
        <w:pStyle w:val="Heading3"/>
        <w:rPr>
          <w:rFonts w:ascii="Times New Roman" w:hAnsi="Times New Roman" w:cs="Times New Roman"/>
        </w:rPr>
      </w:pPr>
      <w:bookmarkStart w:id="309" w:name="_Toc17977984"/>
      <w:bookmarkStart w:id="310" w:name="_Toc38821488"/>
      <w:r w:rsidRPr="006A1EC7">
        <w:rPr>
          <w:rFonts w:ascii="Times New Roman" w:hAnsi="Times New Roman" w:cs="Times New Roman"/>
        </w:rPr>
        <w:t>Appendix 7.1: Ethics Approval</w:t>
      </w:r>
      <w:bookmarkEnd w:id="309"/>
      <w:bookmarkEnd w:id="310"/>
    </w:p>
    <w:p w14:paraId="51F9D15D" w14:textId="77777777" w:rsidR="0087601C" w:rsidRPr="006A1EC7" w:rsidRDefault="0087601C" w:rsidP="0087601C">
      <w:pPr>
        <w:spacing w:line="360" w:lineRule="auto"/>
        <w:rPr>
          <w:color w:val="000000" w:themeColor="text1"/>
        </w:rPr>
      </w:pPr>
    </w:p>
    <w:p w14:paraId="77E1BC3E" w14:textId="77777777" w:rsidR="0087601C" w:rsidRPr="006A1EC7" w:rsidRDefault="0087601C" w:rsidP="0087601C">
      <w:r w:rsidRPr="006A1EC7">
        <w:rPr>
          <w:noProof/>
          <w:lang w:eastAsia="en-GB"/>
        </w:rPr>
        <w:drawing>
          <wp:inline distT="0" distB="0" distL="0" distR="0" wp14:anchorId="04D316DE" wp14:editId="312106FC">
            <wp:extent cx="1896110" cy="764540"/>
            <wp:effectExtent l="0" t="0" r="0" b="0"/>
            <wp:docPr id="35" name="Picture 35" descr="page1image20572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05721264"/>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896110" cy="764540"/>
                    </a:xfrm>
                    <a:prstGeom prst="rect">
                      <a:avLst/>
                    </a:prstGeom>
                    <a:noFill/>
                    <a:ln>
                      <a:noFill/>
                    </a:ln>
                  </pic:spPr>
                </pic:pic>
              </a:graphicData>
            </a:graphic>
          </wp:inline>
        </w:drawing>
      </w:r>
    </w:p>
    <w:p w14:paraId="29FF8019" w14:textId="77777777" w:rsidR="0087601C" w:rsidRPr="006A1EC7" w:rsidRDefault="0087601C" w:rsidP="0087601C">
      <w:pPr>
        <w:spacing w:before="100" w:beforeAutospacing="1" w:after="100" w:afterAutospacing="1"/>
      </w:pPr>
      <w:r w:rsidRPr="006A1EC7">
        <w:rPr>
          <w:sz w:val="16"/>
          <w:szCs w:val="16"/>
        </w:rPr>
        <w:t xml:space="preserve">Downloaded: 04/07/2019 Approved: 11/01/2019 </w:t>
      </w:r>
    </w:p>
    <w:p w14:paraId="49E21660" w14:textId="77777777" w:rsidR="0087601C" w:rsidRPr="006A1EC7" w:rsidRDefault="0087601C" w:rsidP="0087601C">
      <w:pPr>
        <w:spacing w:before="100" w:beforeAutospacing="1" w:after="100" w:afterAutospacing="1"/>
      </w:pPr>
      <w:r w:rsidRPr="006A1EC7">
        <w:rPr>
          <w:sz w:val="16"/>
          <w:szCs w:val="16"/>
        </w:rPr>
        <w:t>Katharina Vogt</w:t>
      </w:r>
      <w:r w:rsidRPr="006A1EC7">
        <w:rPr>
          <w:sz w:val="16"/>
          <w:szCs w:val="16"/>
        </w:rPr>
        <w:br/>
        <w:t>Registration number: 160115545 Neuroscience</w:t>
      </w:r>
      <w:r w:rsidRPr="006A1EC7">
        <w:rPr>
          <w:sz w:val="16"/>
          <w:szCs w:val="16"/>
        </w:rPr>
        <w:br/>
        <w:t xml:space="preserve">Programme: PhD </w:t>
      </w:r>
    </w:p>
    <w:p w14:paraId="01812BCF" w14:textId="77777777" w:rsidR="0087601C" w:rsidRPr="006A1EC7" w:rsidRDefault="0087601C" w:rsidP="0087601C">
      <w:pPr>
        <w:spacing w:before="100" w:beforeAutospacing="1" w:after="100" w:afterAutospacing="1"/>
      </w:pPr>
      <w:r w:rsidRPr="006A1EC7">
        <w:rPr>
          <w:sz w:val="16"/>
          <w:szCs w:val="16"/>
        </w:rPr>
        <w:t xml:space="preserve">Dear Katharina </w:t>
      </w:r>
    </w:p>
    <w:p w14:paraId="537A49E3" w14:textId="77777777" w:rsidR="0087601C" w:rsidRPr="006A1EC7" w:rsidRDefault="0087601C" w:rsidP="0087601C">
      <w:pPr>
        <w:spacing w:before="100" w:beforeAutospacing="1" w:after="100" w:afterAutospacing="1"/>
      </w:pPr>
      <w:r w:rsidRPr="006A1EC7">
        <w:rPr>
          <w:b/>
          <w:bCs/>
          <w:sz w:val="16"/>
          <w:szCs w:val="16"/>
        </w:rPr>
        <w:t xml:space="preserve">PROJECT TITLE: </w:t>
      </w:r>
      <w:r w:rsidRPr="006A1EC7">
        <w:rPr>
          <w:sz w:val="16"/>
          <w:szCs w:val="16"/>
        </w:rPr>
        <w:t>Developing a Clinician-Rated Clinical Outcome Assessment for Wolf-Hirschhorn syndrome: Psychometric testing</w:t>
      </w:r>
      <w:r w:rsidRPr="006A1EC7">
        <w:rPr>
          <w:sz w:val="16"/>
          <w:szCs w:val="16"/>
        </w:rPr>
        <w:br/>
      </w:r>
      <w:r w:rsidRPr="006A1EC7">
        <w:rPr>
          <w:b/>
          <w:bCs/>
          <w:sz w:val="16"/>
          <w:szCs w:val="16"/>
        </w:rPr>
        <w:t xml:space="preserve">APPLICATION: </w:t>
      </w:r>
      <w:r w:rsidRPr="006A1EC7">
        <w:rPr>
          <w:sz w:val="16"/>
          <w:szCs w:val="16"/>
        </w:rPr>
        <w:t xml:space="preserve">Reference Number 023782 </w:t>
      </w:r>
    </w:p>
    <w:p w14:paraId="15717152" w14:textId="77777777" w:rsidR="0087601C" w:rsidRPr="006A1EC7" w:rsidRDefault="0087601C" w:rsidP="0087601C">
      <w:pPr>
        <w:spacing w:before="100" w:beforeAutospacing="1" w:after="100" w:afterAutospacing="1"/>
      </w:pPr>
      <w:r w:rsidRPr="006A1EC7">
        <w:rPr>
          <w:sz w:val="16"/>
          <w:szCs w:val="16"/>
        </w:rPr>
        <w:t xml:space="preserve">On behalf of the University ethics reviewers who reviewed your project, I am pleased to inform you that on 11/01/2019 the above-named project was </w:t>
      </w:r>
      <w:r w:rsidRPr="006A1EC7">
        <w:rPr>
          <w:b/>
          <w:bCs/>
          <w:sz w:val="16"/>
          <w:szCs w:val="16"/>
        </w:rPr>
        <w:t xml:space="preserve">approved </w:t>
      </w:r>
      <w:r w:rsidRPr="006A1EC7">
        <w:rPr>
          <w:sz w:val="16"/>
          <w:szCs w:val="16"/>
        </w:rPr>
        <w:t xml:space="preserve">on ethics grounds, on the basis that you will adhere to the following documentation that you submitted for ethics review: </w:t>
      </w:r>
    </w:p>
    <w:p w14:paraId="3C150C4A" w14:textId="77777777" w:rsidR="0087601C" w:rsidRPr="006A1EC7" w:rsidRDefault="0087601C" w:rsidP="0087601C">
      <w:pPr>
        <w:spacing w:before="100" w:beforeAutospacing="1" w:after="100" w:afterAutospacing="1"/>
      </w:pPr>
      <w:r w:rsidRPr="006A1EC7">
        <w:rPr>
          <w:sz w:val="16"/>
          <w:szCs w:val="16"/>
        </w:rPr>
        <w:t xml:space="preserve">University research ethics application form 023782 (dated 08/01/2019). Participant information sheet 1053305 version 4 (10/12/2018). Participant consent form 1053307 version 4 (10/12/2018). </w:t>
      </w:r>
    </w:p>
    <w:p w14:paraId="0E8540E3" w14:textId="77777777" w:rsidR="0087601C" w:rsidRPr="006A1EC7" w:rsidRDefault="0087601C" w:rsidP="0087601C">
      <w:pPr>
        <w:spacing w:before="100" w:beforeAutospacing="1" w:after="100" w:afterAutospacing="1"/>
      </w:pPr>
      <w:r w:rsidRPr="006A1EC7">
        <w:rPr>
          <w:sz w:val="16"/>
          <w:szCs w:val="16"/>
        </w:rPr>
        <w:t xml:space="preserve">The following optional amendments were suggested: </w:t>
      </w:r>
    </w:p>
    <w:p w14:paraId="2916FB50" w14:textId="77777777" w:rsidR="0087601C" w:rsidRPr="006A1EC7" w:rsidRDefault="0087601C" w:rsidP="0087601C">
      <w:pPr>
        <w:spacing w:before="100" w:beforeAutospacing="1" w:after="100" w:afterAutospacing="1"/>
      </w:pPr>
      <w:r w:rsidRPr="006A1EC7">
        <w:rPr>
          <w:sz w:val="16"/>
          <w:szCs w:val="16"/>
        </w:rPr>
        <w:t xml:space="preserve">End of section 2 of clinical ratings scale says "If 2A, 2B and 2C were all answered no (=no febrile seizures, no status epilepticus, never had seizure activity), please proceed to Section 3.", but status is not mentioned above. Good luck with the research. </w:t>
      </w:r>
    </w:p>
    <w:p w14:paraId="71B40466" w14:textId="77777777" w:rsidR="0087601C" w:rsidRPr="006A1EC7" w:rsidRDefault="0087601C" w:rsidP="0087601C">
      <w:pPr>
        <w:spacing w:before="100" w:beforeAutospacing="1" w:after="100" w:afterAutospacing="1"/>
      </w:pPr>
      <w:r w:rsidRPr="006A1EC7">
        <w:rPr>
          <w:sz w:val="16"/>
          <w:szCs w:val="16"/>
        </w:rPr>
        <w:t xml:space="preserve">If during the course of the project you need to </w:t>
      </w:r>
      <w:r w:rsidRPr="006A1EC7">
        <w:rPr>
          <w:color w:val="0000ED"/>
          <w:sz w:val="16"/>
          <w:szCs w:val="16"/>
        </w:rPr>
        <w:t>deviate significantly from the above-approved documentation</w:t>
      </w:r>
      <w:r w:rsidRPr="006A1EC7">
        <w:rPr>
          <w:sz w:val="16"/>
          <w:szCs w:val="16"/>
        </w:rPr>
        <w:t xml:space="preserve">please inform me since written approval will be required. </w:t>
      </w:r>
    </w:p>
    <w:p w14:paraId="2219C32E" w14:textId="77777777" w:rsidR="0087601C" w:rsidRPr="006A1EC7" w:rsidRDefault="0087601C" w:rsidP="0087601C">
      <w:pPr>
        <w:spacing w:before="100" w:beforeAutospacing="1" w:after="100" w:afterAutospacing="1"/>
      </w:pPr>
      <w:r w:rsidRPr="006A1EC7">
        <w:rPr>
          <w:sz w:val="16"/>
          <w:szCs w:val="16"/>
        </w:rPr>
        <w:t xml:space="preserve">Yours sincerely </w:t>
      </w:r>
    </w:p>
    <w:p w14:paraId="51617495" w14:textId="77777777" w:rsidR="0087601C" w:rsidRPr="006A1EC7" w:rsidRDefault="0087601C" w:rsidP="0087601C">
      <w:pPr>
        <w:spacing w:before="100" w:beforeAutospacing="1" w:after="100" w:afterAutospacing="1"/>
      </w:pPr>
      <w:r w:rsidRPr="006A1EC7">
        <w:rPr>
          <w:sz w:val="16"/>
          <w:szCs w:val="16"/>
        </w:rPr>
        <w:t xml:space="preserve">Laura Williams Ethics Administrator Medical School </w:t>
      </w:r>
    </w:p>
    <w:p w14:paraId="22C24CCD" w14:textId="77777777" w:rsidR="0087601C" w:rsidRPr="006A1EC7" w:rsidRDefault="0087601C" w:rsidP="0087601C"/>
    <w:p w14:paraId="130911B1" w14:textId="77777777" w:rsidR="0087601C" w:rsidRPr="006A1EC7" w:rsidRDefault="0087601C" w:rsidP="0087601C">
      <w:pPr>
        <w:spacing w:line="360" w:lineRule="auto"/>
        <w:rPr>
          <w:b/>
          <w:color w:val="000000" w:themeColor="text1"/>
        </w:rPr>
      </w:pPr>
    </w:p>
    <w:p w14:paraId="5DF87623" w14:textId="672CEC42" w:rsidR="0087601C" w:rsidRPr="006A1EC7" w:rsidRDefault="0087601C" w:rsidP="0087601C">
      <w:pPr>
        <w:pStyle w:val="Heading3"/>
        <w:rPr>
          <w:rFonts w:ascii="Times New Roman" w:hAnsi="Times New Roman" w:cs="Times New Roman"/>
        </w:rPr>
      </w:pPr>
      <w:bookmarkStart w:id="311" w:name="_Toc17977985"/>
      <w:bookmarkStart w:id="312" w:name="_Toc38821489"/>
      <w:r w:rsidRPr="006A1EC7">
        <w:rPr>
          <w:rFonts w:ascii="Times New Roman" w:hAnsi="Times New Roman" w:cs="Times New Roman"/>
        </w:rPr>
        <w:t>Appendix 7.2: Vignettes</w:t>
      </w:r>
      <w:bookmarkEnd w:id="311"/>
      <w:bookmarkEnd w:id="312"/>
    </w:p>
    <w:p w14:paraId="1FD8F775" w14:textId="77777777" w:rsidR="0087601C" w:rsidRPr="006A1EC7" w:rsidRDefault="0087601C" w:rsidP="0087601C"/>
    <w:p w14:paraId="6199F5B4" w14:textId="3E1433FA" w:rsidR="0087601C" w:rsidRPr="006A1EC7" w:rsidRDefault="0087601C" w:rsidP="0087601C">
      <w:pPr>
        <w:pStyle w:val="Heading4"/>
        <w:rPr>
          <w:rFonts w:ascii="Times New Roman" w:hAnsi="Times New Roman" w:cs="Times New Roman"/>
        </w:rPr>
      </w:pPr>
      <w:bookmarkStart w:id="313" w:name="_Toc17977986"/>
      <w:r w:rsidRPr="006A1EC7">
        <w:rPr>
          <w:rFonts w:ascii="Times New Roman" w:hAnsi="Times New Roman" w:cs="Times New Roman"/>
        </w:rPr>
        <w:t>Appendix 7.2A: Joshua Myers</w:t>
      </w:r>
      <w:bookmarkEnd w:id="313"/>
    </w:p>
    <w:p w14:paraId="6A73EF0D" w14:textId="77777777" w:rsidR="0087601C" w:rsidRPr="006A1EC7" w:rsidRDefault="0087601C" w:rsidP="0087601C"/>
    <w:p w14:paraId="7CA6BECE" w14:textId="3224E8CE" w:rsidR="0087601C" w:rsidRPr="006A1EC7" w:rsidRDefault="0087601C" w:rsidP="0087601C">
      <w:pPr>
        <w:spacing w:line="360" w:lineRule="auto"/>
        <w:rPr>
          <w:sz w:val="20"/>
        </w:rPr>
      </w:pPr>
      <w:r w:rsidRPr="006A1EC7">
        <w:rPr>
          <w:sz w:val="20"/>
        </w:rPr>
        <w:t>Imagine you are a paediatrician; and the following patient (Joshua, 5-years) is attending your clinic with his mother Maria. He has a 7-year old brother who is at home with his father (John). You have the following information before meeting Joshua: born at gestational week 35, he has a confirmed diagnosis of Wolf-Hirschhorn The nurse supporting your clinic today obtained the following measures for you: he weighs 11 kilos, he is 80 cm tall and his head circumference is below the 2</w:t>
      </w:r>
      <w:r w:rsidRPr="006A1EC7">
        <w:rPr>
          <w:sz w:val="20"/>
          <w:vertAlign w:val="superscript"/>
        </w:rPr>
        <w:t>nd</w:t>
      </w:r>
      <w:r w:rsidRPr="006A1EC7">
        <w:rPr>
          <w:sz w:val="20"/>
        </w:rPr>
        <w:t xml:space="preserve"> centile. </w:t>
      </w:r>
    </w:p>
    <w:p w14:paraId="23F2D30F" w14:textId="77777777" w:rsidR="0087601C" w:rsidRPr="006A1EC7" w:rsidRDefault="0087601C" w:rsidP="0087601C">
      <w:pPr>
        <w:spacing w:line="360" w:lineRule="auto"/>
        <w:rPr>
          <w:sz w:val="20"/>
        </w:rPr>
      </w:pPr>
      <w:r w:rsidRPr="006A1EC7">
        <w:rPr>
          <w:sz w:val="20"/>
        </w:rPr>
        <w:lastRenderedPageBreak/>
        <w:t>When you greet Joshua and his mother, you observe his widely spaced eyes, his high forehead and short philtrum. He doesn’t have a cleft lip or cleft palate.</w:t>
      </w:r>
    </w:p>
    <w:p w14:paraId="3597A16B" w14:textId="77777777" w:rsidR="0087601C" w:rsidRPr="006A1EC7" w:rsidRDefault="0087601C" w:rsidP="0087601C">
      <w:pPr>
        <w:spacing w:line="360" w:lineRule="auto"/>
        <w:rPr>
          <w:sz w:val="20"/>
        </w:rPr>
      </w:pPr>
      <w:r w:rsidRPr="006A1EC7">
        <w:rPr>
          <w:sz w:val="20"/>
        </w:rPr>
        <w:t xml:space="preserve">Maria tells you that she is worried about her son’s epilepsy; he mainly has tonic-clonic seizures and currently experiences at least one a week. She also reports some absences; however, she isn’t sure how frequent they are as she says they can be very brief. The seizures are treated  at home as they usually last around 3-4 minutes. He is medicated with Valporate; but Maria is pressing for you to make some changes to his medication as there have been no changes in medication since her son was 18 months old, she feels it’s ineffective, says that her son should not be having any seizures and that she feels it exacerbates his drooling. </w:t>
      </w:r>
    </w:p>
    <w:p w14:paraId="15185DD7" w14:textId="77777777" w:rsidR="0087601C" w:rsidRPr="006A1EC7" w:rsidRDefault="0087601C" w:rsidP="0087601C">
      <w:pPr>
        <w:spacing w:line="360" w:lineRule="auto"/>
        <w:rPr>
          <w:sz w:val="20"/>
        </w:rPr>
      </w:pPr>
      <w:r w:rsidRPr="006A1EC7">
        <w:rPr>
          <w:sz w:val="20"/>
        </w:rPr>
        <w:t xml:space="preserve">Joshua is nil by mouth and has a PEG due to previous aspiration. The PEG was fitted 3 years ago. They have had no issues with the PEG. She says they have had no trouble with any infections. Joshua never vomits but that he has ‘major’ issues with his bowels. She reports that he is unable to pass stool by himself; requiring laxatives for all bowel movements. She says the most distressing part about his constipation is that ‘you can see his little tummy distending’. </w:t>
      </w:r>
    </w:p>
    <w:p w14:paraId="62D4BE05" w14:textId="77777777" w:rsidR="0087601C" w:rsidRPr="006A1EC7" w:rsidRDefault="0087601C" w:rsidP="0087601C">
      <w:pPr>
        <w:spacing w:line="360" w:lineRule="auto"/>
        <w:rPr>
          <w:sz w:val="20"/>
        </w:rPr>
      </w:pPr>
      <w:r w:rsidRPr="006A1EC7">
        <w:rPr>
          <w:sz w:val="20"/>
        </w:rPr>
        <w:t>You ask whether Joshua wears pads at all; and Maria tells you that he is double incontinent – both during the night and the day.</w:t>
      </w:r>
    </w:p>
    <w:p w14:paraId="168AB982" w14:textId="77777777" w:rsidR="0087601C" w:rsidRPr="006A1EC7" w:rsidRDefault="0087601C" w:rsidP="0087601C">
      <w:pPr>
        <w:spacing w:line="360" w:lineRule="auto"/>
        <w:rPr>
          <w:sz w:val="20"/>
        </w:rPr>
      </w:pPr>
      <w:r w:rsidRPr="006A1EC7">
        <w:rPr>
          <w:sz w:val="20"/>
        </w:rPr>
        <w:t>You ask if there have been other concerns about any infections in the last six months, did her son have any infections or illnesses that caused her concern. The mother says he only had a cough that was medicated at home with a lotion on the chest.</w:t>
      </w:r>
    </w:p>
    <w:p w14:paraId="62FB7515" w14:textId="77777777" w:rsidR="0087601C" w:rsidRPr="006A1EC7" w:rsidRDefault="0087601C" w:rsidP="0087601C">
      <w:pPr>
        <w:spacing w:line="360" w:lineRule="auto"/>
        <w:rPr>
          <w:sz w:val="20"/>
        </w:rPr>
      </w:pPr>
      <w:r w:rsidRPr="006A1EC7">
        <w:rPr>
          <w:sz w:val="20"/>
        </w:rPr>
        <w:t xml:space="preserve">You say that you can see that Joshua uses a wheelchair with a safety belt, and you assume that is because of his hypotonia and ask Maria if that is correct. Maria says “Yes, he can’t walk or sit without support; but I hope that as he grows up he’ll be able to – at least – sit by himself because he’s getting heavier and my back isn’t getting any better”. </w:t>
      </w:r>
    </w:p>
    <w:p w14:paraId="63C7A40F" w14:textId="77777777" w:rsidR="0087601C" w:rsidRPr="006A1EC7" w:rsidRDefault="0087601C" w:rsidP="0087601C">
      <w:pPr>
        <w:spacing w:line="360" w:lineRule="auto"/>
        <w:rPr>
          <w:sz w:val="20"/>
        </w:rPr>
      </w:pPr>
      <w:r w:rsidRPr="006A1EC7">
        <w:rPr>
          <w:sz w:val="20"/>
        </w:rPr>
        <w:t>According to Maria, Joshua cannot speak or communicate; you ask whether he uses any noise to indicate whether he likes or dislikes certain things, like lights or music. Maria says that “he’s always the same really, whether he’s with people or not, or whether the TV is on or not, he is always the same and does not really seem to want or need anything. He doesn’t really take an interest in any toys, or people. He just lies there. I don’t know if that’s because he’s blind or if it would be the same if he wasn’t.”</w:t>
      </w:r>
    </w:p>
    <w:p w14:paraId="7CEDAFD5" w14:textId="77777777" w:rsidR="0087601C" w:rsidRPr="006A1EC7" w:rsidRDefault="0087601C" w:rsidP="0087601C">
      <w:pPr>
        <w:spacing w:line="360" w:lineRule="auto"/>
        <w:rPr>
          <w:sz w:val="20"/>
        </w:rPr>
      </w:pPr>
      <w:r w:rsidRPr="006A1EC7">
        <w:rPr>
          <w:sz w:val="20"/>
        </w:rPr>
        <w:t xml:space="preserve">Joshua has started at a special needs school. As a result, Joshua’s sleep has improved massively and he now sleeps for almost ten hours every night without disruptions.  </w:t>
      </w:r>
    </w:p>
    <w:p w14:paraId="457F7D28" w14:textId="77777777" w:rsidR="0087601C" w:rsidRPr="006A1EC7" w:rsidRDefault="0087601C" w:rsidP="0087601C">
      <w:pPr>
        <w:spacing w:line="360" w:lineRule="auto"/>
        <w:rPr>
          <w:sz w:val="20"/>
        </w:rPr>
      </w:pPr>
      <w:r w:rsidRPr="006A1EC7">
        <w:rPr>
          <w:sz w:val="20"/>
        </w:rPr>
        <w:t xml:space="preserve">Due to Joshua needing a hoist, PEG feeds and specialist equipment, skilled nursing scare is required, and his mum, dad and grandmother had to learn how to use this nursing equipment. The family is supported by a registered nurse, who comes and visits the family twice a week to check the PEG and answer any questions the family might have. </w:t>
      </w:r>
    </w:p>
    <w:p w14:paraId="46F14E42" w14:textId="77777777" w:rsidR="0087601C" w:rsidRPr="006A1EC7" w:rsidRDefault="0087601C" w:rsidP="0087601C"/>
    <w:p w14:paraId="325414F1" w14:textId="77777777" w:rsidR="0087601C" w:rsidRPr="006A1EC7" w:rsidRDefault="0087601C" w:rsidP="0087601C"/>
    <w:p w14:paraId="5EB428A8" w14:textId="4D03E9E5" w:rsidR="0087601C" w:rsidRPr="006A1EC7" w:rsidRDefault="0087601C" w:rsidP="0087601C">
      <w:pPr>
        <w:pStyle w:val="Heading4"/>
        <w:rPr>
          <w:rFonts w:ascii="Times New Roman" w:hAnsi="Times New Roman" w:cs="Times New Roman"/>
        </w:rPr>
      </w:pPr>
      <w:bookmarkStart w:id="314" w:name="_Toc17977987"/>
      <w:r w:rsidRPr="006A1EC7">
        <w:rPr>
          <w:rFonts w:ascii="Times New Roman" w:hAnsi="Times New Roman" w:cs="Times New Roman"/>
        </w:rPr>
        <w:t>Appendix 7.2B:</w:t>
      </w:r>
      <w:bookmarkEnd w:id="314"/>
      <w:r w:rsidRPr="006A1EC7">
        <w:rPr>
          <w:rFonts w:ascii="Times New Roman" w:hAnsi="Times New Roman" w:cs="Times New Roman"/>
        </w:rPr>
        <w:t xml:space="preserve"> Bronagh Curls</w:t>
      </w:r>
    </w:p>
    <w:p w14:paraId="40889D55" w14:textId="77777777" w:rsidR="0087601C" w:rsidRPr="006A1EC7" w:rsidRDefault="0087601C" w:rsidP="0087601C"/>
    <w:p w14:paraId="540899B9" w14:textId="77777777" w:rsidR="0087601C" w:rsidRPr="006A1EC7" w:rsidRDefault="0087601C" w:rsidP="0087601C">
      <w:pPr>
        <w:spacing w:line="360" w:lineRule="auto"/>
        <w:rPr>
          <w:sz w:val="20"/>
        </w:rPr>
      </w:pPr>
      <w:r w:rsidRPr="006A1EC7">
        <w:rPr>
          <w:sz w:val="20"/>
          <w:szCs w:val="20"/>
        </w:rPr>
        <w:t>You are a Junior Doctor in your F2 year; a colleague has asked you to help with her research study on Wolf-Hirschhorn syndrome and to assess Bronagh Curls</w:t>
      </w:r>
      <w:r w:rsidRPr="006A1EC7">
        <w:rPr>
          <w:sz w:val="20"/>
        </w:rPr>
        <w:t xml:space="preserve">. </w:t>
      </w:r>
      <w:r w:rsidRPr="006A1EC7">
        <w:rPr>
          <w:sz w:val="20"/>
          <w:szCs w:val="20"/>
        </w:rPr>
        <w:t xml:space="preserve">Upon entering the room, you introduce yourself. Russel says “we left her twin sister and mum at home, the length we go to get some peace and quiet!”. </w:t>
      </w:r>
      <w:r w:rsidRPr="006A1EC7">
        <w:rPr>
          <w:sz w:val="20"/>
          <w:szCs w:val="20"/>
        </w:rPr>
        <w:lastRenderedPageBreak/>
        <w:t xml:space="preserve">You ask about Bronagh’s twin sister, says “Ailbee doesn’t have any issues”. Russel has brought some documentation to the research meeting, documenting Bronagh’s deletion size of 0.5Mb at chromosome 4p16.3 (a microdeletion). Physical examinations (OFC, weigh and height) will be taken by a nurse afterwards. </w:t>
      </w:r>
    </w:p>
    <w:p w14:paraId="68FE31DC" w14:textId="77777777" w:rsidR="0087601C" w:rsidRPr="006A1EC7" w:rsidRDefault="0087601C" w:rsidP="0087601C">
      <w:pPr>
        <w:spacing w:line="360" w:lineRule="auto"/>
        <w:rPr>
          <w:sz w:val="20"/>
        </w:rPr>
      </w:pPr>
      <w:r w:rsidRPr="006A1EC7">
        <w:rPr>
          <w:sz w:val="20"/>
          <w:szCs w:val="20"/>
        </w:rPr>
        <w:t>Bronagh has no distinctive facial features, apart from a slightly raised forehead. You ask about Bronagh’s general health, and Russel says that there have been few issues. He reports that febrile seizures used to be their biggest concern but stopped when Bronagh was 5. Despite that, Russel says they are always vigilant whenever Bronagh shows any signs of illness and see the GP often to avoid any complications, even from a cough. He says, over the two years year, there haven’t been any admissions to the hospital as a result of any infections or illness. Bronagh never had any other seizures and she’s never been diagnosed as epileptic either; although he thinks that “she should be as the febrile seizures were scary to watch.”.</w:t>
      </w:r>
    </w:p>
    <w:p w14:paraId="7ACBB516" w14:textId="77777777" w:rsidR="0087601C" w:rsidRPr="006A1EC7" w:rsidRDefault="0087601C" w:rsidP="0087601C">
      <w:pPr>
        <w:spacing w:line="360" w:lineRule="auto"/>
        <w:rPr>
          <w:sz w:val="20"/>
          <w:szCs w:val="20"/>
        </w:rPr>
      </w:pPr>
      <w:r w:rsidRPr="006A1EC7">
        <w:rPr>
          <w:sz w:val="20"/>
          <w:szCs w:val="20"/>
        </w:rPr>
        <w:t xml:space="preserve">You ask about Bronagh’s eating and drinking; Russel explains “apart from being a messy, no issues”. You ask about toileting. Russel explains “Bronagh  uses the toilet in the day... she does have the odd accident; but we don’t mind, do we? She does still wear her night pads though as she can’t hold it in.” When asked about bowel movements, Russel explains “This is what we seem to have the most issues with: it seems one week she is constipated, the next she has diarrhoea. She either is badly bloated and can’t go to the toilet; or she is badly bloated and has liquid poos”. </w:t>
      </w:r>
    </w:p>
    <w:p w14:paraId="73EF09F8" w14:textId="77777777" w:rsidR="0087601C" w:rsidRPr="006A1EC7" w:rsidRDefault="0087601C" w:rsidP="0087601C">
      <w:pPr>
        <w:spacing w:line="360" w:lineRule="auto"/>
        <w:rPr>
          <w:sz w:val="20"/>
          <w:szCs w:val="20"/>
        </w:rPr>
      </w:pPr>
      <w:r w:rsidRPr="006A1EC7">
        <w:rPr>
          <w:sz w:val="20"/>
          <w:szCs w:val="20"/>
        </w:rPr>
        <w:t xml:space="preserve">When asked about her heart, Bronagh pulls her t-shirt over her shoulder to show you. Russel explains that she had elective surgery for a ventricular septal defect as a child; and is now symptom-free. </w:t>
      </w:r>
    </w:p>
    <w:p w14:paraId="345E6E66" w14:textId="77777777" w:rsidR="0087601C" w:rsidRPr="006A1EC7" w:rsidRDefault="0087601C" w:rsidP="0087601C">
      <w:pPr>
        <w:spacing w:line="360" w:lineRule="auto"/>
        <w:rPr>
          <w:sz w:val="20"/>
          <w:szCs w:val="20"/>
        </w:rPr>
      </w:pPr>
      <w:r w:rsidRPr="006A1EC7">
        <w:rPr>
          <w:sz w:val="20"/>
          <w:szCs w:val="20"/>
        </w:rPr>
        <w:t xml:space="preserve">You can see that Bronagh can walk and sit unaided and ask how far she can walk. Russel says “she can walk short distances, but would need to rest, if walking for more than 1-mile”. </w:t>
      </w:r>
    </w:p>
    <w:p w14:paraId="25BE09E9" w14:textId="77777777" w:rsidR="0087601C" w:rsidRPr="006A1EC7" w:rsidRDefault="0087601C" w:rsidP="0087601C">
      <w:pPr>
        <w:spacing w:line="360" w:lineRule="auto"/>
        <w:rPr>
          <w:sz w:val="20"/>
          <w:szCs w:val="20"/>
        </w:rPr>
      </w:pPr>
      <w:r w:rsidRPr="006A1EC7">
        <w:rPr>
          <w:sz w:val="20"/>
          <w:szCs w:val="20"/>
        </w:rPr>
        <w:t xml:space="preserve">Bronagh goes to a mainstream primary school with 1:1 help.  Bronagh tells you she likes “school and playing”, Russel explains that she likes playing with her class mates, and that she loves simple marble games. Bronagh gets up from the chair she is sat on and walks to the window, pointing at the sky. She says “birds”. Russel explains that Bronagh can say a number of words, especially animals, and that she can form very short sentences of a couple of words.  She also helps set the table for meals but not with more complex tasks in the house. </w:t>
      </w:r>
    </w:p>
    <w:p w14:paraId="068EF4BB" w14:textId="77777777" w:rsidR="0087601C" w:rsidRPr="006A1EC7" w:rsidRDefault="0087601C" w:rsidP="0087601C">
      <w:pPr>
        <w:spacing w:line="360" w:lineRule="auto"/>
        <w:rPr>
          <w:sz w:val="20"/>
          <w:szCs w:val="20"/>
        </w:rPr>
      </w:pPr>
      <w:r w:rsidRPr="006A1EC7">
        <w:rPr>
          <w:sz w:val="20"/>
          <w:szCs w:val="20"/>
        </w:rPr>
        <w:t>You ask about Bronagh’s sleep; Russel explains “Now that she’s older, she sleeps through most nights. Some nights she just can’t settle and then I’d rather she came to us than be upset by herself.”.</w:t>
      </w:r>
    </w:p>
    <w:p w14:paraId="354F6F8B" w14:textId="77777777" w:rsidR="0087601C" w:rsidRPr="006A1EC7" w:rsidRDefault="0087601C" w:rsidP="0087601C">
      <w:pPr>
        <w:spacing w:line="360" w:lineRule="auto"/>
        <w:rPr>
          <w:sz w:val="20"/>
          <w:szCs w:val="20"/>
        </w:rPr>
      </w:pPr>
      <w:r w:rsidRPr="006A1EC7">
        <w:rPr>
          <w:sz w:val="20"/>
          <w:szCs w:val="20"/>
        </w:rPr>
        <w:t xml:space="preserve">You ask about daily family life; Russel explains that him and his wife share a lot of the child care and that his wife’s sister helps too.  They feel able to care for Bronagh themselves and there is no need for skilled nursing care. However, they are in the process of applying for the money for a PA for Bronagh, so that he or his wife can spend some time with Ailbee on her own, as they feel that Bronagh gets the majority of attention. Russel says they are hoping to employ a reliable nursing student, although “you don’t really need nursing skills, just common sense.” </w:t>
      </w:r>
    </w:p>
    <w:p w14:paraId="4376F785" w14:textId="77777777" w:rsidR="0087601C" w:rsidRPr="006A1EC7" w:rsidRDefault="0087601C" w:rsidP="0087601C">
      <w:pPr>
        <w:spacing w:line="360" w:lineRule="auto"/>
        <w:rPr>
          <w:sz w:val="20"/>
          <w:szCs w:val="20"/>
        </w:rPr>
      </w:pPr>
      <w:r w:rsidRPr="006A1EC7">
        <w:rPr>
          <w:sz w:val="20"/>
          <w:szCs w:val="20"/>
        </w:rPr>
        <w:t>You ask Bronagh if she likes to help around the house, she says “no”. Russel explains that “she doesn’t like making her bed, but doesn’t mind setting the table at tea time.“</w:t>
      </w:r>
    </w:p>
    <w:p w14:paraId="460282DB" w14:textId="77777777" w:rsidR="0087601C" w:rsidRPr="006A1EC7" w:rsidRDefault="0087601C" w:rsidP="0087601C">
      <w:pPr>
        <w:spacing w:line="360" w:lineRule="auto"/>
        <w:rPr>
          <w:sz w:val="20"/>
          <w:szCs w:val="20"/>
        </w:rPr>
      </w:pPr>
    </w:p>
    <w:p w14:paraId="6962E7B8" w14:textId="50E770CF" w:rsidR="0087601C" w:rsidRPr="006A1EC7" w:rsidRDefault="0087601C" w:rsidP="0087601C">
      <w:pPr>
        <w:pStyle w:val="Heading4"/>
        <w:rPr>
          <w:rFonts w:ascii="Times New Roman" w:hAnsi="Times New Roman" w:cs="Times New Roman"/>
        </w:rPr>
      </w:pPr>
      <w:r w:rsidRPr="006A1EC7">
        <w:rPr>
          <w:rFonts w:ascii="Times New Roman" w:hAnsi="Times New Roman" w:cs="Times New Roman"/>
        </w:rPr>
        <w:t>A</w:t>
      </w:r>
      <w:bookmarkStart w:id="315" w:name="_Toc17977988"/>
      <w:r w:rsidRPr="006A1EC7">
        <w:rPr>
          <w:rFonts w:ascii="Times New Roman" w:hAnsi="Times New Roman" w:cs="Times New Roman"/>
        </w:rPr>
        <w:t>ppendix 7.2C</w:t>
      </w:r>
      <w:bookmarkEnd w:id="315"/>
      <w:r w:rsidRPr="006A1EC7">
        <w:rPr>
          <w:rFonts w:ascii="Times New Roman" w:hAnsi="Times New Roman" w:cs="Times New Roman"/>
        </w:rPr>
        <w:t>: Emma Watts</w:t>
      </w:r>
    </w:p>
    <w:p w14:paraId="126067B8" w14:textId="77777777" w:rsidR="0087601C" w:rsidRPr="006A1EC7" w:rsidRDefault="0087601C" w:rsidP="0087601C"/>
    <w:p w14:paraId="1777CA93" w14:textId="77777777" w:rsidR="0087601C" w:rsidRPr="006A1EC7" w:rsidRDefault="0087601C" w:rsidP="000E1574">
      <w:pPr>
        <w:spacing w:line="360" w:lineRule="auto"/>
        <w:rPr>
          <w:sz w:val="20"/>
          <w:szCs w:val="20"/>
        </w:rPr>
      </w:pPr>
      <w:r w:rsidRPr="006A1EC7">
        <w:rPr>
          <w:sz w:val="20"/>
          <w:szCs w:val="20"/>
        </w:rPr>
        <w:lastRenderedPageBreak/>
        <w:t>You are working as a Senior House Officer on the Medical Admissions Unit at a District General Hospital. You are called in to assess a 38-year old lady, Emma Watts, with Wolf-Hirschhorn syndrome (1 Mb 4p16.3 deletion). Due to the complex nature of her condition and because she cannot communicate, she is accompanied by a support worker, Mrs Donnovan. Ms Emma Watts is completely reliant on support workers for everyday tasks and personal care. Mrs Watts is asleep, so you introduce yourself to Mrs Donnovan who brought Ms Watt’s latest health records. According to the records, Ms Watts was weighed 3 days ago at 55 kilos, and her height is 140cms. Both of which are below the 5</w:t>
      </w:r>
      <w:r w:rsidRPr="006A1EC7">
        <w:rPr>
          <w:sz w:val="20"/>
          <w:szCs w:val="20"/>
          <w:vertAlign w:val="superscript"/>
        </w:rPr>
        <w:t>th</w:t>
      </w:r>
      <w:r w:rsidRPr="006A1EC7">
        <w:rPr>
          <w:sz w:val="20"/>
          <w:szCs w:val="20"/>
        </w:rPr>
        <w:t xml:space="preserve"> centile.  </w:t>
      </w:r>
    </w:p>
    <w:p w14:paraId="69A31CE0" w14:textId="77777777" w:rsidR="0087601C" w:rsidRPr="006A1EC7" w:rsidRDefault="0087601C" w:rsidP="00D56051">
      <w:pPr>
        <w:spacing w:line="360" w:lineRule="auto"/>
        <w:rPr>
          <w:sz w:val="20"/>
          <w:szCs w:val="20"/>
        </w:rPr>
      </w:pPr>
      <w:r w:rsidRPr="006A1EC7">
        <w:rPr>
          <w:sz w:val="20"/>
          <w:szCs w:val="20"/>
        </w:rPr>
        <w:t>Ms Watts has been admitted because she had a fall. The support worker tells you that she believes that a seizure caused her fall. Ms Watts has about one tonic-clonic seizure a month. “She does not have any absences, as far as I know. I’ve never seen her have any, in 15 years. She’s been on Keppra for 5 years, and that seems to be working; Seizures usually only last one or two minutes now and we can just look after her then. No need for hospital admissions. I mean, of course, our nurse will pop in and check she’s okay but she’s usually fine after; but they can be quite unpredictable so that’s why a support worker always has to have an eye on her.”</w:t>
      </w:r>
    </w:p>
    <w:p w14:paraId="3197B569" w14:textId="77777777" w:rsidR="0087601C" w:rsidRPr="006A1EC7" w:rsidRDefault="0087601C" w:rsidP="00744A8E">
      <w:pPr>
        <w:spacing w:line="360" w:lineRule="auto"/>
        <w:rPr>
          <w:sz w:val="20"/>
          <w:szCs w:val="20"/>
        </w:rPr>
      </w:pPr>
      <w:r w:rsidRPr="006A1EC7">
        <w:rPr>
          <w:sz w:val="20"/>
          <w:szCs w:val="20"/>
        </w:rPr>
        <w:t>You ask about eating and drinking. The carer states “Well, Emma can’t chew, so the kitchen blends her food; and then we feed her. Feeding her can be quite a nightmare as she’s quite slow and leaves food in her mouth for a long time before swallowing so mealtime can take up to an hour… SALT recommended we put thickener in her drink … other than that she’s fine. No issues with aspiration or anything.” Ms Watts vomits frequently and often spontaneously with no indication that she was feeling sick. Vomiting mainly occurs during night-time and not in relation to any meal times, or meals. Emma is double incontinent, with no indications as to when she might need the toilet or not. “She just has no control over it. But sometimes, you can tell she struggles with constipation a bit, this happens about once a week”. Diarrhoea is not an issue for Ms Watts; as this only happens “if she catches a bug from another resident”.</w:t>
      </w:r>
    </w:p>
    <w:p w14:paraId="24175689" w14:textId="63F060E1" w:rsidR="0087601C" w:rsidRPr="006A1EC7" w:rsidRDefault="0087601C" w:rsidP="00744A8E">
      <w:pPr>
        <w:spacing w:line="360" w:lineRule="auto"/>
        <w:rPr>
          <w:sz w:val="20"/>
          <w:szCs w:val="20"/>
        </w:rPr>
      </w:pPr>
      <w:r w:rsidRPr="006A1EC7">
        <w:rPr>
          <w:sz w:val="20"/>
          <w:szCs w:val="20"/>
        </w:rPr>
        <w:t>Ms Watts has a horseshoe kidney and often has UTIs. You ask how the UTIs are treated; and Mrs Donnovan explains “because she uses pads, we can tell when she has a UTI… so we get the nurse to do the stick-test… and then we’re off to the GP every time for antibiotics. She’s just finished a course of antibiotics last week actually.” She continues “though despite the kidney and UTIs, this has been the first hospital admission in three years… and not even for an infection thing.” Mrs Donnovan also tells you “Emma has a heart condition but I can’t remember the name…the reason she sleeps lots and can be quite short of breath, but it’s being monitored without any concerns.” You read the notes: left ventricular septal defect.</w:t>
      </w:r>
    </w:p>
    <w:p w14:paraId="2E5F93FF" w14:textId="77777777" w:rsidR="0087601C" w:rsidRPr="006A1EC7" w:rsidRDefault="0087601C" w:rsidP="000E1574">
      <w:pPr>
        <w:spacing w:line="360" w:lineRule="auto"/>
        <w:rPr>
          <w:sz w:val="20"/>
          <w:szCs w:val="20"/>
        </w:rPr>
      </w:pPr>
      <w:r w:rsidRPr="006A1EC7">
        <w:rPr>
          <w:sz w:val="20"/>
          <w:szCs w:val="20"/>
        </w:rPr>
        <w:t>The carer tells you “Emma can sit and stand up by herself and walk without help on the unit as she knows her way around, plus there are rails. For trips out, we use a wheelchair.” Ms Watts has scoliosis; but surgical intervention has never taken place.</w:t>
      </w:r>
    </w:p>
    <w:p w14:paraId="23BD6964" w14:textId="10251145" w:rsidR="0087601C" w:rsidRPr="006A1EC7" w:rsidRDefault="0087601C" w:rsidP="00744A8E">
      <w:pPr>
        <w:spacing w:line="360" w:lineRule="auto"/>
      </w:pPr>
      <w:r w:rsidRPr="006A1EC7">
        <w:rPr>
          <w:sz w:val="20"/>
          <w:szCs w:val="20"/>
        </w:rPr>
        <w:t>Finally, you ask about sleep. The care support worker tells you that Ms Watts sleeps well, she goes to bed at about 8 PM and wakes up about 7 AM</w:t>
      </w:r>
      <w:r w:rsidRPr="006A1EC7">
        <w:t>.</w:t>
      </w:r>
    </w:p>
    <w:p w14:paraId="79144181" w14:textId="77777777" w:rsidR="0087601C" w:rsidRPr="006A1EC7" w:rsidRDefault="0087601C" w:rsidP="0087601C"/>
    <w:p w14:paraId="4736C5EE" w14:textId="1245E0A8" w:rsidR="0087601C" w:rsidRPr="006A1EC7" w:rsidRDefault="0087601C" w:rsidP="0087601C">
      <w:pPr>
        <w:pStyle w:val="Heading4"/>
        <w:rPr>
          <w:rFonts w:ascii="Times New Roman" w:hAnsi="Times New Roman" w:cs="Times New Roman"/>
        </w:rPr>
      </w:pPr>
      <w:bookmarkStart w:id="316" w:name="_Toc17977989"/>
      <w:r w:rsidRPr="006A1EC7">
        <w:rPr>
          <w:rFonts w:ascii="Times New Roman" w:hAnsi="Times New Roman" w:cs="Times New Roman"/>
        </w:rPr>
        <w:t>Appendix 7.2D:</w:t>
      </w:r>
      <w:bookmarkEnd w:id="316"/>
      <w:r w:rsidRPr="006A1EC7">
        <w:rPr>
          <w:rFonts w:ascii="Times New Roman" w:hAnsi="Times New Roman" w:cs="Times New Roman"/>
        </w:rPr>
        <w:t xml:space="preserve"> Fineen Furlough</w:t>
      </w:r>
    </w:p>
    <w:p w14:paraId="1B54068B" w14:textId="77777777" w:rsidR="0087601C" w:rsidRPr="006A1EC7" w:rsidRDefault="0087601C" w:rsidP="0087601C">
      <w:pPr>
        <w:spacing w:line="360" w:lineRule="auto"/>
        <w:rPr>
          <w:sz w:val="20"/>
          <w:szCs w:val="20"/>
        </w:rPr>
      </w:pPr>
      <w:r w:rsidRPr="006A1EC7">
        <w:rPr>
          <w:sz w:val="20"/>
          <w:szCs w:val="20"/>
        </w:rPr>
        <w:t xml:space="preserve">You are a geneticist and a 12-year-old boy has come to your clinic: Fineen Furlough’s GP suspected a chromosomal abnormality and referred for genetic testing; the test results have come back: Wolf- </w:t>
      </w:r>
      <w:r w:rsidRPr="006A1EC7">
        <w:rPr>
          <w:sz w:val="20"/>
          <w:szCs w:val="20"/>
        </w:rPr>
        <w:lastRenderedPageBreak/>
        <w:t>Hirschhorn syndrome, a deletion of 0.5Mb at 4p16.3. You want to do a comprehensive health assessment. He is accompanied to the clinic by his mother, Julia. There are no severe dysmorphic features, possibly slightly wider spaced eyes and a raised forehead. He wears glasses; and is short-sighted. He weighs 37 kilos, and is 143 cm tall. His head circumference is below the 2</w:t>
      </w:r>
      <w:r w:rsidRPr="006A1EC7">
        <w:rPr>
          <w:sz w:val="20"/>
          <w:szCs w:val="20"/>
          <w:vertAlign w:val="superscript"/>
        </w:rPr>
        <w:t>nd</w:t>
      </w:r>
      <w:r w:rsidRPr="006A1EC7">
        <w:rPr>
          <w:sz w:val="20"/>
          <w:szCs w:val="20"/>
        </w:rPr>
        <w:t xml:space="preserve"> centile.</w:t>
      </w:r>
    </w:p>
    <w:p w14:paraId="018BB620" w14:textId="77777777" w:rsidR="0087601C" w:rsidRPr="006A1EC7" w:rsidRDefault="0087601C" w:rsidP="0087601C">
      <w:pPr>
        <w:spacing w:line="360" w:lineRule="auto"/>
        <w:rPr>
          <w:sz w:val="20"/>
          <w:szCs w:val="20"/>
        </w:rPr>
      </w:pPr>
      <w:r w:rsidRPr="006A1EC7">
        <w:rPr>
          <w:sz w:val="20"/>
          <w:szCs w:val="20"/>
        </w:rPr>
        <w:t xml:space="preserve">You ask about Fineen’s general health, the mother responds “Well, he is usually quite well but for the past year we have been having issues with recurrent ear infections. He’s never had more than one cold a year… We tried a lot of antibiotics, but it just keeps coming back. The puss is awful, and he’s in a lot of pain from it. We’re just near the end of a cycle of antibiotics again… Other than that, he has always been well. His whole life, no hospital admissions for any infections.” </w:t>
      </w:r>
    </w:p>
    <w:p w14:paraId="67D6A2DE" w14:textId="77777777" w:rsidR="0087601C" w:rsidRPr="006A1EC7" w:rsidRDefault="0087601C" w:rsidP="0087601C">
      <w:pPr>
        <w:spacing w:line="360" w:lineRule="auto"/>
        <w:rPr>
          <w:sz w:val="20"/>
          <w:szCs w:val="20"/>
        </w:rPr>
      </w:pPr>
      <w:r w:rsidRPr="006A1EC7">
        <w:rPr>
          <w:sz w:val="20"/>
          <w:szCs w:val="20"/>
        </w:rPr>
        <w:t>She continues “there is the learning disability, which means he can only speak a handful, few words and doesn’t really understand a lot. But practically, he’s quite good, you know, he can help set the table or if you tell him to go get his bottle or his toy, then he’ll do that. We’re working on him making his bed every morning; he can definitely do it but just forgets sometimes or wants to forget… like they all do”. She continues “Fineen wears nappies at night. During the day, he uses the toilet for number one and number two. At night, he does require pads as he sometimes forgets to go to the toilet when he wakes up.” The mother reports no issues with constipation or diarrhoea. Fineen has hypospadias, but it does not require treatment.</w:t>
      </w:r>
    </w:p>
    <w:p w14:paraId="30331629" w14:textId="77777777" w:rsidR="0087601C" w:rsidRPr="006A1EC7" w:rsidRDefault="0087601C" w:rsidP="0087601C">
      <w:pPr>
        <w:spacing w:line="360" w:lineRule="auto"/>
        <w:rPr>
          <w:sz w:val="20"/>
          <w:szCs w:val="20"/>
        </w:rPr>
      </w:pPr>
      <w:r w:rsidRPr="006A1EC7">
        <w:rPr>
          <w:sz w:val="20"/>
          <w:szCs w:val="20"/>
        </w:rPr>
        <w:t>You ask about sleep. Julia says that, while it has been a serious issue in the past, now it is fairly well managed – despite him having disturbed nights most nights – as he can now play on his Ipad at night, so not to disturb the family.</w:t>
      </w:r>
    </w:p>
    <w:p w14:paraId="32E5FD56" w14:textId="77777777" w:rsidR="0087601C" w:rsidRPr="006A1EC7" w:rsidRDefault="0087601C" w:rsidP="0087601C">
      <w:pPr>
        <w:spacing w:line="360" w:lineRule="auto"/>
        <w:rPr>
          <w:sz w:val="20"/>
          <w:szCs w:val="20"/>
        </w:rPr>
      </w:pPr>
      <w:r w:rsidRPr="006A1EC7">
        <w:rPr>
          <w:sz w:val="20"/>
          <w:szCs w:val="20"/>
        </w:rPr>
        <w:t xml:space="preserve">Fineen can walk by himself, but that he can’t walk very far as he gets very breathless very quickly. The mother tells you that he had ventricular septal defect when he was born. “They gave us the option of an operation or to see and wait if it’ll close by itself, so we decided to having the operation”. He has no swelling of the ankles, chest pains, fatigue or fainting. </w:t>
      </w:r>
    </w:p>
    <w:p w14:paraId="3C3488EF" w14:textId="77777777" w:rsidR="0087601C" w:rsidRPr="006A1EC7" w:rsidRDefault="0087601C" w:rsidP="0087601C">
      <w:pPr>
        <w:spacing w:line="360" w:lineRule="auto"/>
        <w:rPr>
          <w:sz w:val="20"/>
          <w:szCs w:val="20"/>
        </w:rPr>
      </w:pPr>
      <w:r w:rsidRPr="006A1EC7">
        <w:rPr>
          <w:sz w:val="20"/>
          <w:szCs w:val="20"/>
        </w:rPr>
        <w:t xml:space="preserve">Next you ask about eating and drinking. The mother tells you that “he can eat, as long as the food is mashed or sometimes blended as he does not chew things.” He is able to feed himself, using a fork or spoon. </w:t>
      </w:r>
    </w:p>
    <w:p w14:paraId="4676179C" w14:textId="77777777" w:rsidR="0087601C" w:rsidRPr="006A1EC7" w:rsidRDefault="0087601C" w:rsidP="0087601C">
      <w:pPr>
        <w:spacing w:line="360" w:lineRule="auto"/>
        <w:rPr>
          <w:sz w:val="20"/>
          <w:szCs w:val="20"/>
        </w:rPr>
      </w:pPr>
      <w:r w:rsidRPr="006A1EC7">
        <w:rPr>
          <w:sz w:val="20"/>
          <w:szCs w:val="20"/>
        </w:rPr>
        <w:t>Fineen attends a special education unit at a mainstream, secondary school; he does not attend any mainstream classes just SEN classes. He does not have a 1:1 teaching assistant but shares one with 5 other children. According to his mother, he can play simple card games where you match patterns/colours unaided.</w:t>
      </w:r>
    </w:p>
    <w:p w14:paraId="3B748CE5" w14:textId="77777777" w:rsidR="0087601C" w:rsidRPr="006A1EC7" w:rsidRDefault="0087601C" w:rsidP="0087601C">
      <w:pPr>
        <w:spacing w:line="360" w:lineRule="auto"/>
        <w:rPr>
          <w:sz w:val="20"/>
          <w:szCs w:val="20"/>
        </w:rPr>
      </w:pPr>
      <w:r w:rsidRPr="006A1EC7">
        <w:rPr>
          <w:sz w:val="20"/>
          <w:szCs w:val="20"/>
        </w:rPr>
        <w:t>When asked how Fineen’s care is managed, Julia replies that she is the main carergiver. She works while Fineen is at school, and when she picks him up in the afternoon, her shift as his mother/carer resumes.  She sometimes gets help from his father, who she divorced couple of years ago, and from her mother. However, she worries that they do not understand him as well as she does. Tobias has started helping too, however she does not want to over-burden her son.</w:t>
      </w:r>
      <w:r w:rsidRPr="006A1EC7">
        <w:rPr>
          <w:sz w:val="20"/>
          <w:szCs w:val="20"/>
        </w:rPr>
        <w:br/>
      </w:r>
    </w:p>
    <w:p w14:paraId="28DB164E" w14:textId="7AC618E0" w:rsidR="0087601C" w:rsidRPr="006A1EC7" w:rsidRDefault="0087601C" w:rsidP="0087601C">
      <w:pPr>
        <w:pStyle w:val="Heading4"/>
        <w:rPr>
          <w:rFonts w:ascii="Times New Roman" w:hAnsi="Times New Roman" w:cs="Times New Roman"/>
        </w:rPr>
      </w:pPr>
      <w:bookmarkStart w:id="317" w:name="_Toc17977990"/>
      <w:r w:rsidRPr="006A1EC7">
        <w:rPr>
          <w:rFonts w:ascii="Times New Roman" w:hAnsi="Times New Roman" w:cs="Times New Roman"/>
        </w:rPr>
        <w:t>Appendix 7.2E:</w:t>
      </w:r>
      <w:bookmarkEnd w:id="317"/>
      <w:r w:rsidRPr="006A1EC7">
        <w:rPr>
          <w:rFonts w:ascii="Times New Roman" w:hAnsi="Times New Roman" w:cs="Times New Roman"/>
        </w:rPr>
        <w:t xml:space="preserve"> Alessandro Pasta</w:t>
      </w:r>
    </w:p>
    <w:p w14:paraId="77F377D7" w14:textId="77777777" w:rsidR="0087601C" w:rsidRPr="006A1EC7" w:rsidRDefault="0087601C" w:rsidP="0087601C"/>
    <w:p w14:paraId="52495FB7" w14:textId="77777777" w:rsidR="0087601C" w:rsidRPr="006A1EC7" w:rsidRDefault="0087601C" w:rsidP="0087601C">
      <w:pPr>
        <w:spacing w:line="360" w:lineRule="auto"/>
        <w:rPr>
          <w:sz w:val="20"/>
          <w:szCs w:val="20"/>
        </w:rPr>
      </w:pPr>
      <w:r w:rsidRPr="006A1EC7">
        <w:rPr>
          <w:sz w:val="20"/>
          <w:szCs w:val="20"/>
        </w:rPr>
        <w:lastRenderedPageBreak/>
        <w:t>You are working as GP and are the designated GP for children with additional needs. A new patient with Wolf-Hirschhorn syndrome has been registered at the surgery by his parents, after having just moved to the UK from Italy. The boy is 3-year old Alessandro Pasta, accompanies by his adoptive parents (Luigi, Mario ). They don’t know anything about his birth family. He was born at 39 weeks. His deletion size/site is 0.75Mb at 4p16.3. By the time you meet Alessandro and his parents; the nurse informs you that Alessandro is below the 5</w:t>
      </w:r>
      <w:r w:rsidRPr="006A1EC7">
        <w:rPr>
          <w:sz w:val="20"/>
          <w:szCs w:val="20"/>
          <w:vertAlign w:val="superscript"/>
        </w:rPr>
        <w:t>th</w:t>
      </w:r>
      <w:r w:rsidRPr="006A1EC7">
        <w:rPr>
          <w:sz w:val="20"/>
          <w:szCs w:val="20"/>
        </w:rPr>
        <w:t xml:space="preserve"> centile for weight, height and head circumference. </w:t>
      </w:r>
    </w:p>
    <w:p w14:paraId="63E9C13A" w14:textId="77777777" w:rsidR="0087601C" w:rsidRPr="006A1EC7" w:rsidRDefault="0087601C" w:rsidP="0087601C">
      <w:pPr>
        <w:spacing w:line="360" w:lineRule="auto"/>
        <w:rPr>
          <w:sz w:val="20"/>
          <w:szCs w:val="20"/>
        </w:rPr>
      </w:pPr>
      <w:r w:rsidRPr="006A1EC7">
        <w:rPr>
          <w:sz w:val="20"/>
          <w:szCs w:val="20"/>
        </w:rPr>
        <w:t>You start with a physical assessment: you can see that he had a cleft lip, that has been operated; a very high forehead, widely spaced eyes, poorly differentiated ears and observable strabismus. You record bilateral talipes; he wears boots with a strap bar at night. Alessandro is very hypotonic, can’t sit up by himself, or stand up – even with help. You ask his parents about speech/noises; they confirm no signs of speech. Luigi says “he cries very little but smiles always.”</w:t>
      </w:r>
    </w:p>
    <w:p w14:paraId="19A6AE6E" w14:textId="77777777" w:rsidR="0087601C" w:rsidRPr="006A1EC7" w:rsidRDefault="0087601C" w:rsidP="0087601C">
      <w:pPr>
        <w:spacing w:line="360" w:lineRule="auto"/>
        <w:rPr>
          <w:sz w:val="20"/>
          <w:szCs w:val="20"/>
        </w:rPr>
      </w:pPr>
      <w:r w:rsidRPr="006A1EC7">
        <w:rPr>
          <w:sz w:val="20"/>
          <w:szCs w:val="20"/>
        </w:rPr>
        <w:t>Alessandro has a PEG and is nil by mouth due to aspiration. Luigi tells you that his son has recurrent infections at the PEG site, he gets a red rash there about once a month. Next you ask about reflux, and the parents tell you that he is medicated with Omeprazole. You ask which symptoms of reflux he experiences. Luigi tells you that “he will often vomit shortly after feeds, it helps if you hold him in an upright position after feeding… but that is not always possible.” You ask whether their son experiences recurrent episodes of vomiting which are not to do with his reflux. Mario says that “It is unusual for Alessandro to be vomiting other than his reflux.”</w:t>
      </w:r>
    </w:p>
    <w:p w14:paraId="2A7E7C11" w14:textId="77777777" w:rsidR="0087601C" w:rsidRPr="006A1EC7" w:rsidRDefault="0087601C" w:rsidP="0087601C">
      <w:pPr>
        <w:spacing w:line="360" w:lineRule="auto"/>
        <w:rPr>
          <w:sz w:val="20"/>
          <w:szCs w:val="20"/>
        </w:rPr>
      </w:pPr>
      <w:r w:rsidRPr="006A1EC7">
        <w:rPr>
          <w:sz w:val="20"/>
          <w:szCs w:val="20"/>
        </w:rPr>
        <w:t xml:space="preserve">Next you ask about epilepsy, and the parents say there have been no suspicions of any epileptic activity. The parents are worried he might develop epilepsy later as many of the children they know with WHS have seizures. Luigi tells you that doctors in Italy found a small cyst, on a brain scan, but were not concerned about this. You ask about his hearing, and Alessandro is registered as deaf. it. </w:t>
      </w:r>
    </w:p>
    <w:p w14:paraId="516A644D" w14:textId="77777777" w:rsidR="0087601C" w:rsidRPr="006A1EC7" w:rsidRDefault="0087601C" w:rsidP="0087601C">
      <w:pPr>
        <w:spacing w:line="360" w:lineRule="auto"/>
        <w:rPr>
          <w:sz w:val="20"/>
          <w:szCs w:val="20"/>
        </w:rPr>
      </w:pPr>
      <w:r w:rsidRPr="006A1EC7">
        <w:rPr>
          <w:sz w:val="20"/>
          <w:szCs w:val="20"/>
        </w:rPr>
        <w:t>Alessandro is double incontinent. You ask about bowel movements, his father explains “he has diarrhoea whenever he goes”. According to his parents, Alessandro never has normal stools. Mario says he is worried about the liquid form, and wonders whether it is healthy.</w:t>
      </w:r>
    </w:p>
    <w:p w14:paraId="7996CCCA" w14:textId="77777777" w:rsidR="0087601C" w:rsidRPr="006A1EC7" w:rsidRDefault="0087601C" w:rsidP="0087601C">
      <w:pPr>
        <w:spacing w:line="360" w:lineRule="auto"/>
        <w:rPr>
          <w:sz w:val="20"/>
          <w:szCs w:val="20"/>
        </w:rPr>
      </w:pPr>
      <w:r w:rsidRPr="006A1EC7">
        <w:rPr>
          <w:sz w:val="20"/>
          <w:szCs w:val="20"/>
        </w:rPr>
        <w:t>Next you ask about heart defects. Luigi says his son was born with a small hole in his heart, however the doctors in Italy were not concerned. You ask whether they think Alessandro experiences any symptoms, Mario suggests that “maybe that is why he isn’t growing very fast”. Next you ask about sleep, Luigi laughs and says “Well, he does not sleep at night, and neither do we now. But it’s okay we have gotten used to it.”</w:t>
      </w:r>
    </w:p>
    <w:p w14:paraId="293B5406" w14:textId="77777777" w:rsidR="0087601C" w:rsidRPr="006A1EC7" w:rsidRDefault="0087601C" w:rsidP="0087601C">
      <w:pPr>
        <w:spacing w:line="360" w:lineRule="auto"/>
        <w:rPr>
          <w:sz w:val="20"/>
          <w:szCs w:val="20"/>
        </w:rPr>
      </w:pPr>
      <w:r w:rsidRPr="006A1EC7">
        <w:rPr>
          <w:sz w:val="20"/>
          <w:szCs w:val="20"/>
        </w:rPr>
        <w:t>You ask whether Alessandra has ever suffered any recurrent lower respiratory tract infections. Mario says that yes this is a big issue as their son gets recurrent chest infections. Alessandro had to be admitted to hospital twice in the last six months due to chest infections and needed a 2-weeks inpatient stay twice. The parents are very vigilant of any signs of chest infections. You ask whether current infections in general are of concern to them, Luigi says that Alessandro has around seven infections a year, some more serious than others. In the last year they have had four hospital admissions, two because of chest infections and two because of infections around the PEG site.</w:t>
      </w:r>
    </w:p>
    <w:p w14:paraId="641340B8" w14:textId="77777777" w:rsidR="0087601C" w:rsidRPr="006A1EC7" w:rsidRDefault="0087601C" w:rsidP="0087601C">
      <w:pPr>
        <w:spacing w:line="360" w:lineRule="auto"/>
        <w:rPr>
          <w:sz w:val="20"/>
          <w:szCs w:val="20"/>
        </w:rPr>
      </w:pPr>
      <w:r w:rsidRPr="006A1EC7">
        <w:rPr>
          <w:sz w:val="20"/>
          <w:szCs w:val="20"/>
        </w:rPr>
        <w:t xml:space="preserve">Due to them having just moved to the UK, you ask Luigi and Mario whether they are going to enrol their son in a nursery. The parents tell you that they have not yet looked into special-needs nurseries, as he is still so young but that they are going to do that soon. You ask whether the parents get any help looking </w:t>
      </w:r>
      <w:r w:rsidRPr="006A1EC7">
        <w:rPr>
          <w:sz w:val="20"/>
          <w:szCs w:val="20"/>
        </w:rPr>
        <w:lastRenderedPageBreak/>
        <w:t xml:space="preserve">after their son, Luigi says that his mother has come over to the UK with them to help but they do not require extra nursing help.  </w:t>
      </w:r>
      <w:r w:rsidRPr="006A1EC7">
        <w:rPr>
          <w:sz w:val="20"/>
          <w:szCs w:val="20"/>
        </w:rPr>
        <w:br/>
      </w:r>
    </w:p>
    <w:p w14:paraId="51A6CB2E" w14:textId="151710A5" w:rsidR="0087601C" w:rsidRPr="006A1EC7" w:rsidRDefault="0087601C" w:rsidP="00744A8E">
      <w:pPr>
        <w:pStyle w:val="Heading4"/>
        <w:rPr>
          <w:rFonts w:ascii="Times New Roman" w:hAnsi="Times New Roman" w:cs="Times New Roman"/>
        </w:rPr>
      </w:pPr>
      <w:r w:rsidRPr="006A1EC7">
        <w:rPr>
          <w:rFonts w:ascii="Times New Roman" w:hAnsi="Times New Roman" w:cs="Times New Roman"/>
        </w:rPr>
        <w:t>Appendix 7: Hypotheses testing</w:t>
      </w:r>
      <w:r w:rsidRPr="006A1EC7">
        <w:rPr>
          <w:rFonts w:ascii="Times New Roman" w:hAnsi="Times New Roman" w:cs="Times New Roman"/>
        </w:rPr>
        <w:br/>
      </w:r>
    </w:p>
    <w:p w14:paraId="06CD729D" w14:textId="30E645B1" w:rsidR="0087601C" w:rsidRPr="006A1EC7" w:rsidRDefault="0087601C" w:rsidP="00744A8E">
      <w:pPr>
        <w:pStyle w:val="Heading4"/>
        <w:rPr>
          <w:rFonts w:ascii="Times New Roman" w:hAnsi="Times New Roman" w:cs="Times New Roman"/>
          <w:color w:val="1F3763" w:themeColor="accent1" w:themeShade="7F"/>
        </w:rPr>
      </w:pPr>
      <w:r w:rsidRPr="006A1EC7">
        <w:rPr>
          <w:rFonts w:ascii="Times New Roman" w:hAnsi="Times New Roman" w:cs="Times New Roman"/>
          <w:color w:val="1F3763" w:themeColor="accent1" w:themeShade="7F"/>
        </w:rPr>
        <w:t>Appendix 7.3A: A priori hypothesis regarding scores given by different groups of rathers</w:t>
      </w:r>
    </w:p>
    <w:p w14:paraId="12B2AEC7" w14:textId="77777777" w:rsidR="0087601C" w:rsidRPr="006A1EC7" w:rsidRDefault="0087601C" w:rsidP="0087601C">
      <w:pPr>
        <w:spacing w:line="360" w:lineRule="auto"/>
        <w:rPr>
          <w:sz w:val="20"/>
          <w:szCs w:val="20"/>
        </w:rPr>
      </w:pPr>
    </w:p>
    <w:p w14:paraId="6BE7D58B" w14:textId="77777777" w:rsidR="0087601C" w:rsidRPr="006A1EC7" w:rsidRDefault="0087601C" w:rsidP="00744A8E">
      <w:pPr>
        <w:spacing w:line="360" w:lineRule="auto"/>
        <w:rPr>
          <w:sz w:val="20"/>
          <w:szCs w:val="20"/>
        </w:rPr>
      </w:pPr>
      <w:r w:rsidRPr="006A1EC7">
        <w:rPr>
          <w:sz w:val="20"/>
          <w:szCs w:val="20"/>
        </w:rPr>
        <w:t>Hypothesis I:</w:t>
      </w:r>
      <w:r w:rsidRPr="006A1EC7">
        <w:t xml:space="preserve"> There will be no differences in scores on the vignettes given by more experienced medical professionals compared (Registrars and Consultants) to less experienced medical professionals (all other participants). </w:t>
      </w:r>
    </w:p>
    <w:p w14:paraId="37F819C0" w14:textId="77777777" w:rsidR="0087601C" w:rsidRPr="006A1EC7" w:rsidRDefault="0087601C" w:rsidP="0087601C">
      <w:pPr>
        <w:spacing w:line="360" w:lineRule="auto"/>
        <w:rPr>
          <w:i/>
        </w:rPr>
      </w:pPr>
    </w:p>
    <w:p w14:paraId="4400B616" w14:textId="77777777" w:rsidR="0087601C" w:rsidRPr="006A1EC7" w:rsidRDefault="0087601C" w:rsidP="0087601C">
      <w:pPr>
        <w:spacing w:line="360" w:lineRule="auto"/>
        <w:rPr>
          <w:i/>
        </w:rPr>
      </w:pPr>
      <w:r w:rsidRPr="006A1EC7">
        <w:rPr>
          <w:i/>
        </w:rPr>
        <w:t xml:space="preserve">Hypothesis II: </w:t>
      </w:r>
      <w:r w:rsidRPr="006A1EC7">
        <w:t>There will be no differences in scores given by those who have previously heard of WHS and those who have not.</w:t>
      </w:r>
    </w:p>
    <w:p w14:paraId="6A5653F0" w14:textId="77777777" w:rsidR="0087601C" w:rsidRPr="006A1EC7" w:rsidRDefault="0087601C" w:rsidP="0087601C">
      <w:pPr>
        <w:spacing w:line="360" w:lineRule="auto"/>
        <w:rPr>
          <w:sz w:val="20"/>
          <w:szCs w:val="20"/>
        </w:rPr>
      </w:pPr>
    </w:p>
    <w:p w14:paraId="0CDF1840" w14:textId="77777777" w:rsidR="0087601C" w:rsidRPr="006A1EC7" w:rsidRDefault="0087601C" w:rsidP="0087601C">
      <w:pPr>
        <w:spacing w:line="360" w:lineRule="auto"/>
        <w:rPr>
          <w:sz w:val="20"/>
          <w:szCs w:val="20"/>
        </w:rPr>
      </w:pPr>
    </w:p>
    <w:p w14:paraId="65B1FE9A" w14:textId="1921EFF8" w:rsidR="0087601C" w:rsidRPr="006A1EC7" w:rsidRDefault="0087601C" w:rsidP="0087601C">
      <w:pPr>
        <w:pStyle w:val="Heading3"/>
        <w:rPr>
          <w:rFonts w:ascii="Times New Roman" w:hAnsi="Times New Roman" w:cs="Times New Roman"/>
        </w:rPr>
      </w:pPr>
      <w:r w:rsidRPr="006A1EC7">
        <w:rPr>
          <w:rFonts w:ascii="Times New Roman" w:hAnsi="Times New Roman" w:cs="Times New Roman"/>
        </w:rPr>
        <w:t>A</w:t>
      </w:r>
      <w:bookmarkStart w:id="318" w:name="_Toc38821490"/>
      <w:bookmarkStart w:id="319" w:name="_Toc17977991"/>
      <w:r w:rsidRPr="006A1EC7">
        <w:rPr>
          <w:rFonts w:ascii="Times New Roman" w:hAnsi="Times New Roman" w:cs="Times New Roman"/>
        </w:rPr>
        <w:t>ppendix 7.3B: A priori hypotheses (n = 32) for Vignettes</w:t>
      </w:r>
    </w:p>
    <w:p w14:paraId="7881525A" w14:textId="77777777" w:rsidR="0087601C" w:rsidRPr="006A1EC7" w:rsidRDefault="0087601C" w:rsidP="0087601C"/>
    <w:p w14:paraId="144142EE" w14:textId="77777777" w:rsidR="0087601C" w:rsidRPr="006A1EC7" w:rsidRDefault="0087601C" w:rsidP="0087601C">
      <w:pPr>
        <w:ind w:left="93"/>
      </w:pPr>
      <w:r w:rsidRPr="006A1EC7">
        <w:rPr>
          <w:highlight w:val="yellow"/>
          <w:u w:val="single"/>
        </w:rPr>
        <w:t xml:space="preserve">Hypotheses regarding Total Score </w:t>
      </w:r>
    </w:p>
    <w:p w14:paraId="26B15E3C" w14:textId="77777777" w:rsidR="0087601C" w:rsidRPr="006A1EC7" w:rsidRDefault="0087601C" w:rsidP="0087601C">
      <w:pPr>
        <w:jc w:val="center"/>
      </w:pPr>
    </w:p>
    <w:p w14:paraId="7D78D8FE" w14:textId="77777777" w:rsidR="0087601C" w:rsidRPr="006A1EC7" w:rsidRDefault="0087601C" w:rsidP="0087601C">
      <w:pPr>
        <w:spacing w:line="360" w:lineRule="auto"/>
        <w:ind w:left="93"/>
      </w:pPr>
      <w:r w:rsidRPr="006A1EC7">
        <w:rPr>
          <w:b/>
          <w:bCs/>
        </w:rPr>
        <w:t>Hypothesis 1:</w:t>
      </w:r>
      <w:r w:rsidRPr="006A1EC7">
        <w:t xml:space="preserve"> Alessandro Total (T1, T2) &gt; Fineen Total (T1, T2)</w:t>
      </w:r>
      <w:r w:rsidRPr="006A1EC7">
        <w:br/>
      </w:r>
      <w:r w:rsidRPr="006A1EC7">
        <w:rPr>
          <w:b/>
          <w:bCs/>
        </w:rPr>
        <w:t>Hypothesis 2:</w:t>
      </w:r>
      <w:r w:rsidRPr="006A1EC7">
        <w:t xml:space="preserve"> Alessandro Total (T1, T2) &gt; Bronagh Total (T1, T2)</w:t>
      </w:r>
      <w:r w:rsidRPr="006A1EC7">
        <w:br/>
      </w:r>
      <w:r w:rsidRPr="006A1EC7">
        <w:rPr>
          <w:b/>
          <w:bCs/>
        </w:rPr>
        <w:t>Hypothesis 3</w:t>
      </w:r>
      <w:r w:rsidRPr="006A1EC7">
        <w:t>: Fineen Total (T1, T2) &lt; Joshua Total (T1, T2)</w:t>
      </w:r>
    </w:p>
    <w:p w14:paraId="20298721" w14:textId="77777777" w:rsidR="0087601C" w:rsidRPr="006A1EC7" w:rsidRDefault="0087601C" w:rsidP="0087601C">
      <w:pPr>
        <w:rPr>
          <w:highlight w:val="yellow"/>
          <w:u w:val="single"/>
        </w:rPr>
      </w:pPr>
      <w:r w:rsidRPr="006A1EC7">
        <w:rPr>
          <w:b/>
          <w:bCs/>
        </w:rPr>
        <w:t>Hypothesis 4:</w:t>
      </w:r>
      <w:r w:rsidRPr="006A1EC7">
        <w:t xml:space="preserve"> Emma Total (T1, T2) &lt; Joshua Total (T1, T2)</w:t>
      </w:r>
    </w:p>
    <w:p w14:paraId="7431C464" w14:textId="77777777" w:rsidR="0087601C" w:rsidRPr="006A1EC7" w:rsidRDefault="0087601C" w:rsidP="0087601C">
      <w:pPr>
        <w:spacing w:line="360" w:lineRule="auto"/>
        <w:rPr>
          <w:highlight w:val="yellow"/>
          <w:u w:val="single"/>
        </w:rPr>
      </w:pPr>
    </w:p>
    <w:p w14:paraId="34483481" w14:textId="77777777" w:rsidR="0087601C" w:rsidRPr="006A1EC7" w:rsidRDefault="0087601C" w:rsidP="0087601C">
      <w:pPr>
        <w:spacing w:line="360" w:lineRule="auto"/>
        <w:rPr>
          <w:u w:val="single"/>
        </w:rPr>
      </w:pPr>
      <w:r w:rsidRPr="006A1EC7">
        <w:rPr>
          <w:highlight w:val="yellow"/>
          <w:u w:val="single"/>
        </w:rPr>
        <w:t xml:space="preserve">Hypotheses regarding Facial Score </w:t>
      </w:r>
    </w:p>
    <w:p w14:paraId="5112FC39" w14:textId="77777777" w:rsidR="0087601C" w:rsidRPr="006A1EC7" w:rsidRDefault="0087601C" w:rsidP="0087601C">
      <w:pPr>
        <w:rPr>
          <w:b/>
          <w:bCs/>
        </w:rPr>
      </w:pPr>
      <w:r w:rsidRPr="006A1EC7">
        <w:rPr>
          <w:b/>
          <w:bCs/>
        </w:rPr>
        <w:t>Hypothesis 5:</w:t>
      </w:r>
      <w:r w:rsidRPr="006A1EC7">
        <w:t xml:space="preserve"> Emma Face (T1, T2) &lt; Joshua Face (T1, T2)</w:t>
      </w:r>
      <w:r w:rsidRPr="006A1EC7">
        <w:rPr>
          <w:b/>
          <w:bCs/>
        </w:rPr>
        <w:t xml:space="preserve"> </w:t>
      </w:r>
    </w:p>
    <w:p w14:paraId="6062FBDC" w14:textId="77777777" w:rsidR="0087601C" w:rsidRPr="006A1EC7" w:rsidRDefault="0087601C" w:rsidP="0087601C">
      <w:pPr>
        <w:rPr>
          <w:highlight w:val="yellow"/>
          <w:u w:val="single"/>
        </w:rPr>
      </w:pPr>
      <w:r w:rsidRPr="006A1EC7">
        <w:rPr>
          <w:b/>
          <w:bCs/>
        </w:rPr>
        <w:t>Hypothesis 6:</w:t>
      </w:r>
      <w:r w:rsidRPr="006A1EC7">
        <w:t xml:space="preserve"> Bronagh Face (T1, T2) &lt; Alessandro Face (T1, T2)</w:t>
      </w:r>
    </w:p>
    <w:p w14:paraId="50650901" w14:textId="77777777" w:rsidR="0087601C" w:rsidRPr="006A1EC7" w:rsidRDefault="0087601C" w:rsidP="0087601C">
      <w:pPr>
        <w:rPr>
          <w:highlight w:val="yellow"/>
          <w:u w:val="single"/>
        </w:rPr>
      </w:pPr>
    </w:p>
    <w:p w14:paraId="4F173C49" w14:textId="77777777" w:rsidR="0087601C" w:rsidRPr="006A1EC7" w:rsidRDefault="0087601C" w:rsidP="0087601C">
      <w:r w:rsidRPr="006A1EC7">
        <w:rPr>
          <w:highlight w:val="yellow"/>
          <w:u w:val="single"/>
        </w:rPr>
        <w:t xml:space="preserve">Hypotheses regarding Epilepsy Score </w:t>
      </w:r>
    </w:p>
    <w:p w14:paraId="49709CF4" w14:textId="77777777" w:rsidR="0087601C" w:rsidRPr="006A1EC7" w:rsidRDefault="0087601C" w:rsidP="0087601C">
      <w:pPr>
        <w:spacing w:line="360" w:lineRule="auto"/>
      </w:pPr>
      <w:r w:rsidRPr="006A1EC7">
        <w:rPr>
          <w:b/>
          <w:bCs/>
        </w:rPr>
        <w:t>Hypothesis 7</w:t>
      </w:r>
      <w:r w:rsidRPr="006A1EC7">
        <w:t>: Bronagh Epilepsy (T1, T2) &gt; Fineen Epilepsy (T1, T2)</w:t>
      </w:r>
    </w:p>
    <w:p w14:paraId="00420DB8" w14:textId="77777777" w:rsidR="0087601C" w:rsidRPr="006A1EC7" w:rsidRDefault="0087601C" w:rsidP="0087601C">
      <w:pPr>
        <w:spacing w:line="360" w:lineRule="auto"/>
      </w:pPr>
      <w:r w:rsidRPr="006A1EC7">
        <w:rPr>
          <w:b/>
          <w:bCs/>
        </w:rPr>
        <w:t>Hypothesis 8</w:t>
      </w:r>
      <w:r w:rsidRPr="006A1EC7">
        <w:t>: Emma Epilepsy (T1, T2) &gt; Bronagh Epilepsy (T1, T2)</w:t>
      </w:r>
    </w:p>
    <w:p w14:paraId="0114ED7E" w14:textId="77777777" w:rsidR="0087601C" w:rsidRPr="006A1EC7" w:rsidRDefault="0087601C" w:rsidP="0087601C">
      <w:pPr>
        <w:spacing w:line="360" w:lineRule="auto"/>
      </w:pPr>
      <w:r w:rsidRPr="006A1EC7">
        <w:rPr>
          <w:b/>
          <w:bCs/>
        </w:rPr>
        <w:t>Hypothesis 9</w:t>
      </w:r>
      <w:r w:rsidRPr="006A1EC7">
        <w:t>: Joshua Epilepsy (T1, T2) &gt; Bronagh Epilepsy (T1, T2)</w:t>
      </w:r>
    </w:p>
    <w:p w14:paraId="1AE79D3F" w14:textId="77777777" w:rsidR="0087601C" w:rsidRPr="006A1EC7" w:rsidRDefault="0087601C" w:rsidP="0087601C">
      <w:pPr>
        <w:spacing w:line="360" w:lineRule="auto"/>
      </w:pPr>
      <w:r w:rsidRPr="006A1EC7">
        <w:rPr>
          <w:b/>
          <w:bCs/>
        </w:rPr>
        <w:t>Hypothesis 10</w:t>
      </w:r>
      <w:r w:rsidRPr="006A1EC7">
        <w:t>: Joshua Epilepsy (T1, T2) &gt; Alessandro Epilepsy (T1, T2)</w:t>
      </w:r>
    </w:p>
    <w:p w14:paraId="42882AA7" w14:textId="77777777" w:rsidR="0087601C" w:rsidRPr="006A1EC7" w:rsidRDefault="0087601C" w:rsidP="0087601C">
      <w:pPr>
        <w:rPr>
          <w:highlight w:val="yellow"/>
          <w:u w:val="single"/>
        </w:rPr>
      </w:pPr>
    </w:p>
    <w:p w14:paraId="7CD920A1" w14:textId="77777777" w:rsidR="0087601C" w:rsidRPr="006A1EC7" w:rsidRDefault="0087601C" w:rsidP="0087601C">
      <w:r w:rsidRPr="006A1EC7">
        <w:rPr>
          <w:highlight w:val="yellow"/>
          <w:u w:val="single"/>
        </w:rPr>
        <w:t xml:space="preserve">Hypotheses regarding Gastro Score </w:t>
      </w:r>
    </w:p>
    <w:p w14:paraId="30C5CA22" w14:textId="77777777" w:rsidR="0087601C" w:rsidRPr="006A1EC7" w:rsidRDefault="0087601C" w:rsidP="0087601C">
      <w:pPr>
        <w:spacing w:line="360" w:lineRule="auto"/>
      </w:pPr>
      <w:r w:rsidRPr="006A1EC7">
        <w:rPr>
          <w:b/>
          <w:bCs/>
        </w:rPr>
        <w:t>Hypothesis 11</w:t>
      </w:r>
      <w:r w:rsidRPr="006A1EC7">
        <w:t>: Alessandro Gastro (T1, T2) &gt; Fineen Gastro (T1, T2)</w:t>
      </w:r>
    </w:p>
    <w:p w14:paraId="2EE847C1" w14:textId="77777777" w:rsidR="0087601C" w:rsidRPr="006A1EC7" w:rsidRDefault="0087601C" w:rsidP="0087601C">
      <w:pPr>
        <w:spacing w:line="360" w:lineRule="auto"/>
      </w:pPr>
      <w:r w:rsidRPr="006A1EC7">
        <w:rPr>
          <w:b/>
          <w:bCs/>
        </w:rPr>
        <w:t>Hypothesis 12:</w:t>
      </w:r>
      <w:r w:rsidRPr="006A1EC7">
        <w:t xml:space="preserve"> Alessandro Gastro (T1, T2) &gt; Bronagh Gastro (T1, T2)</w:t>
      </w:r>
      <w:r w:rsidRPr="006A1EC7">
        <w:br/>
      </w:r>
      <w:r w:rsidRPr="006A1EC7">
        <w:rPr>
          <w:b/>
          <w:bCs/>
        </w:rPr>
        <w:t>Hypothesis 13:</w:t>
      </w:r>
      <w:r w:rsidRPr="006A1EC7">
        <w:t xml:space="preserve"> Joshua Gastro (T1, T2) &gt; Bronagh Gastro (T1, T2)</w:t>
      </w:r>
    </w:p>
    <w:p w14:paraId="201582F1" w14:textId="77777777" w:rsidR="0087601C" w:rsidRPr="006A1EC7" w:rsidRDefault="0087601C" w:rsidP="0087601C">
      <w:pPr>
        <w:spacing w:line="360" w:lineRule="auto"/>
        <w:rPr>
          <w:highlight w:val="yellow"/>
          <w:u w:val="single"/>
        </w:rPr>
      </w:pPr>
      <w:r w:rsidRPr="006A1EC7">
        <w:rPr>
          <w:b/>
          <w:bCs/>
        </w:rPr>
        <w:lastRenderedPageBreak/>
        <w:t>Hypothesis 14:</w:t>
      </w:r>
      <w:r w:rsidRPr="006A1EC7">
        <w:t xml:space="preserve"> Emma Gastro (T1, T2) &lt; Alessandro Gastro (T1, T2)</w:t>
      </w:r>
      <w:r w:rsidRPr="006A1EC7">
        <w:br/>
      </w:r>
    </w:p>
    <w:p w14:paraId="744D2A7E" w14:textId="77777777" w:rsidR="0087601C" w:rsidRPr="006A1EC7" w:rsidRDefault="0087601C" w:rsidP="0087601C">
      <w:pPr>
        <w:spacing w:line="360" w:lineRule="auto"/>
      </w:pPr>
      <w:r w:rsidRPr="006A1EC7">
        <w:rPr>
          <w:highlight w:val="yellow"/>
          <w:u w:val="single"/>
        </w:rPr>
        <w:t xml:space="preserve">Hypotheses regarding Cardio Score </w:t>
      </w:r>
    </w:p>
    <w:p w14:paraId="4F6426E6" w14:textId="77777777" w:rsidR="0087601C" w:rsidRPr="006A1EC7" w:rsidRDefault="0087601C" w:rsidP="0087601C">
      <w:pPr>
        <w:spacing w:line="360" w:lineRule="auto"/>
      </w:pPr>
      <w:r w:rsidRPr="006A1EC7">
        <w:rPr>
          <w:b/>
          <w:bCs/>
        </w:rPr>
        <w:t>Hypothesis 15:</w:t>
      </w:r>
      <w:r w:rsidRPr="006A1EC7">
        <w:t xml:space="preserve"> Joshua Cardio (T1, T2) &lt; Bronagh Cardio (T1, T2)</w:t>
      </w:r>
    </w:p>
    <w:p w14:paraId="50351A99" w14:textId="77777777" w:rsidR="0087601C" w:rsidRPr="006A1EC7" w:rsidRDefault="0087601C" w:rsidP="0087601C">
      <w:pPr>
        <w:spacing w:line="360" w:lineRule="auto"/>
      </w:pPr>
      <w:r w:rsidRPr="006A1EC7">
        <w:rPr>
          <w:b/>
          <w:bCs/>
        </w:rPr>
        <w:t xml:space="preserve">Hypothesis 16: </w:t>
      </w:r>
      <w:r w:rsidRPr="006A1EC7">
        <w:t>Fineen Cardio (T1, T2) &lt; Joshua Cardio (T1, T2)</w:t>
      </w:r>
    </w:p>
    <w:p w14:paraId="204A3FA4" w14:textId="77777777" w:rsidR="0087601C" w:rsidRPr="006A1EC7" w:rsidRDefault="0087601C" w:rsidP="0087601C">
      <w:pPr>
        <w:spacing w:line="360" w:lineRule="auto"/>
      </w:pPr>
      <w:r w:rsidRPr="006A1EC7">
        <w:rPr>
          <w:b/>
          <w:bCs/>
        </w:rPr>
        <w:t xml:space="preserve">Hypothesis 17: </w:t>
      </w:r>
      <w:r w:rsidRPr="006A1EC7">
        <w:t>Emma Cardio</w:t>
      </w:r>
      <w:r w:rsidRPr="006A1EC7">
        <w:rPr>
          <w:b/>
          <w:bCs/>
        </w:rPr>
        <w:t xml:space="preserve">  </w:t>
      </w:r>
      <w:r w:rsidRPr="006A1EC7">
        <w:t>(T1, T2) &lt; Alessandro Cardio (T1, T2)</w:t>
      </w:r>
    </w:p>
    <w:p w14:paraId="5B784B2C" w14:textId="77777777" w:rsidR="0087601C" w:rsidRPr="006A1EC7" w:rsidRDefault="0087601C" w:rsidP="0087601C">
      <w:pPr>
        <w:spacing w:line="360" w:lineRule="auto"/>
        <w:rPr>
          <w:highlight w:val="yellow"/>
          <w:u w:val="single"/>
        </w:rPr>
      </w:pPr>
    </w:p>
    <w:p w14:paraId="30E8B399" w14:textId="77777777" w:rsidR="0087601C" w:rsidRPr="006A1EC7" w:rsidRDefault="0087601C" w:rsidP="0087601C">
      <w:pPr>
        <w:spacing w:line="360" w:lineRule="auto"/>
        <w:rPr>
          <w:u w:val="single"/>
        </w:rPr>
      </w:pPr>
      <w:r w:rsidRPr="006A1EC7">
        <w:rPr>
          <w:highlight w:val="yellow"/>
          <w:u w:val="single"/>
        </w:rPr>
        <w:t>Hypotheses regarding CNS Score</w:t>
      </w:r>
    </w:p>
    <w:p w14:paraId="6A3EBB89" w14:textId="77777777" w:rsidR="0087601C" w:rsidRPr="006A1EC7" w:rsidRDefault="0087601C" w:rsidP="0087601C">
      <w:pPr>
        <w:spacing w:line="360" w:lineRule="auto"/>
      </w:pPr>
      <w:r w:rsidRPr="006A1EC7">
        <w:rPr>
          <w:b/>
          <w:bCs/>
        </w:rPr>
        <w:t>Hypothesis 18</w:t>
      </w:r>
      <w:r w:rsidRPr="006A1EC7">
        <w:t>: Alessandro CNS (T1, T2) &gt; Bronagh CNS (T1, T2)</w:t>
      </w:r>
    </w:p>
    <w:p w14:paraId="03AD7780" w14:textId="77777777" w:rsidR="0087601C" w:rsidRPr="006A1EC7" w:rsidRDefault="0087601C" w:rsidP="0087601C">
      <w:pPr>
        <w:spacing w:line="360" w:lineRule="auto"/>
      </w:pPr>
      <w:r w:rsidRPr="006A1EC7">
        <w:rPr>
          <w:b/>
          <w:bCs/>
        </w:rPr>
        <w:t>Hypothesis 19:</w:t>
      </w:r>
      <w:r w:rsidRPr="006A1EC7">
        <w:t xml:space="preserve"> Joshua CNS (T1, T2) &gt; Fineen CNS (T1, T2)</w:t>
      </w:r>
    </w:p>
    <w:p w14:paraId="30CE1F3A" w14:textId="77777777" w:rsidR="0087601C" w:rsidRPr="006A1EC7" w:rsidRDefault="0087601C" w:rsidP="0087601C">
      <w:pPr>
        <w:spacing w:line="360" w:lineRule="auto"/>
      </w:pPr>
      <w:r w:rsidRPr="006A1EC7">
        <w:rPr>
          <w:b/>
          <w:bCs/>
        </w:rPr>
        <w:t>Hypothesis 20</w:t>
      </w:r>
      <w:r w:rsidRPr="006A1EC7">
        <w:t>: Emma CNS (T1, T2) &lt; Alessandro CNS (T1, T2)</w:t>
      </w:r>
    </w:p>
    <w:p w14:paraId="6E90B09C" w14:textId="77777777" w:rsidR="0087601C" w:rsidRPr="006A1EC7" w:rsidRDefault="0087601C" w:rsidP="0087601C">
      <w:pPr>
        <w:spacing w:line="360" w:lineRule="auto"/>
        <w:rPr>
          <w:u w:val="single"/>
        </w:rPr>
      </w:pPr>
      <w:r w:rsidRPr="006A1EC7">
        <w:rPr>
          <w:highlight w:val="yellow"/>
          <w:u w:val="single"/>
        </w:rPr>
        <w:t xml:space="preserve">Hypotheses regarding Immunity Score </w:t>
      </w:r>
    </w:p>
    <w:p w14:paraId="3FD447E2" w14:textId="77777777" w:rsidR="0087601C" w:rsidRPr="006A1EC7" w:rsidRDefault="0087601C" w:rsidP="0087601C">
      <w:pPr>
        <w:spacing w:line="360" w:lineRule="auto"/>
      </w:pPr>
      <w:r w:rsidRPr="006A1EC7">
        <w:rPr>
          <w:b/>
          <w:bCs/>
        </w:rPr>
        <w:t>Hypothesis 21:</w:t>
      </w:r>
      <w:r w:rsidRPr="006A1EC7">
        <w:t xml:space="preserve"> Alessandro Immunity (T1, T2) &gt; Fineen Immunity (T1, T2)</w:t>
      </w:r>
    </w:p>
    <w:p w14:paraId="4DD682A4" w14:textId="77777777" w:rsidR="0087601C" w:rsidRPr="006A1EC7" w:rsidRDefault="0087601C" w:rsidP="0087601C">
      <w:pPr>
        <w:spacing w:line="360" w:lineRule="auto"/>
      </w:pPr>
      <w:r w:rsidRPr="006A1EC7">
        <w:rPr>
          <w:b/>
          <w:bCs/>
        </w:rPr>
        <w:t>Hypothesis 22:</w:t>
      </w:r>
      <w:r w:rsidRPr="006A1EC7">
        <w:t xml:space="preserve">  Bronagh Immunity (T1, T2) = Joshua Immunity (T1, T2)</w:t>
      </w:r>
    </w:p>
    <w:p w14:paraId="395EA9BE" w14:textId="77777777" w:rsidR="0087601C" w:rsidRPr="006A1EC7" w:rsidRDefault="0087601C" w:rsidP="0087601C">
      <w:pPr>
        <w:spacing w:line="360" w:lineRule="auto"/>
        <w:rPr>
          <w:highlight w:val="yellow"/>
          <w:u w:val="single"/>
        </w:rPr>
      </w:pPr>
      <w:r w:rsidRPr="006A1EC7">
        <w:rPr>
          <w:b/>
          <w:bCs/>
        </w:rPr>
        <w:t>Hypothesis 23:</w:t>
      </w:r>
      <w:r w:rsidRPr="006A1EC7">
        <w:t xml:space="preserve"> Emma Immunity (T1, T2) &lt; Alessandro Immunity (T1, T2)</w:t>
      </w:r>
      <w:r w:rsidRPr="006A1EC7">
        <w:br/>
      </w:r>
    </w:p>
    <w:p w14:paraId="7FA2A188" w14:textId="77777777" w:rsidR="0087601C" w:rsidRPr="006A1EC7" w:rsidRDefault="0087601C" w:rsidP="0087601C">
      <w:pPr>
        <w:spacing w:line="360" w:lineRule="auto"/>
      </w:pPr>
      <w:r w:rsidRPr="006A1EC7">
        <w:rPr>
          <w:highlight w:val="yellow"/>
          <w:u w:val="single"/>
        </w:rPr>
        <w:t xml:space="preserve">Hypotheses regarding Functioning Scores </w:t>
      </w:r>
    </w:p>
    <w:p w14:paraId="1D1BD180" w14:textId="77777777" w:rsidR="0087601C" w:rsidRPr="006A1EC7" w:rsidRDefault="0087601C" w:rsidP="0087601C">
      <w:pPr>
        <w:spacing w:line="360" w:lineRule="auto"/>
      </w:pPr>
      <w:r w:rsidRPr="006A1EC7">
        <w:rPr>
          <w:b/>
          <w:bCs/>
        </w:rPr>
        <w:t>Hypothesis 24:</w:t>
      </w:r>
      <w:r w:rsidRPr="006A1EC7">
        <w:t xml:space="preserve"> Bronagh Functioning (T1, T2) &gt; Alessandro Functioning (T1, T2)</w:t>
      </w:r>
    </w:p>
    <w:p w14:paraId="4F40CEFA" w14:textId="77777777" w:rsidR="0087601C" w:rsidRPr="006A1EC7" w:rsidRDefault="0087601C" w:rsidP="0087601C">
      <w:pPr>
        <w:spacing w:line="360" w:lineRule="auto"/>
      </w:pPr>
      <w:r w:rsidRPr="006A1EC7">
        <w:rPr>
          <w:b/>
          <w:bCs/>
        </w:rPr>
        <w:t xml:space="preserve">Hypothesis 25: </w:t>
      </w:r>
      <w:r w:rsidRPr="006A1EC7">
        <w:t>Joshua Functioning</w:t>
      </w:r>
      <w:r w:rsidRPr="006A1EC7">
        <w:rPr>
          <w:b/>
          <w:bCs/>
        </w:rPr>
        <w:t xml:space="preserve"> </w:t>
      </w:r>
      <w:r w:rsidRPr="006A1EC7">
        <w:t>(T1, T2) &gt; Emma Functioning (T1, T2)</w:t>
      </w:r>
      <w:r w:rsidRPr="006A1EC7">
        <w:rPr>
          <w:b/>
          <w:bCs/>
        </w:rPr>
        <w:br/>
        <w:t>Hypothesis 26:</w:t>
      </w:r>
      <w:r w:rsidRPr="006A1EC7">
        <w:t xml:space="preserve"> Fineen Functioning (T1, T2) &lt; Emma Functioning (T1, T2)</w:t>
      </w:r>
    </w:p>
    <w:p w14:paraId="04511E7F" w14:textId="77777777" w:rsidR="0087601C" w:rsidRPr="006A1EC7" w:rsidRDefault="0087601C" w:rsidP="0087601C">
      <w:pPr>
        <w:spacing w:line="360" w:lineRule="auto"/>
        <w:rPr>
          <w:highlight w:val="yellow"/>
          <w:u w:val="single"/>
        </w:rPr>
      </w:pPr>
    </w:p>
    <w:p w14:paraId="370BA12A" w14:textId="77777777" w:rsidR="0087601C" w:rsidRPr="006A1EC7" w:rsidRDefault="0087601C" w:rsidP="0087601C">
      <w:pPr>
        <w:spacing w:line="360" w:lineRule="auto"/>
        <w:rPr>
          <w:u w:val="single"/>
        </w:rPr>
      </w:pPr>
      <w:r w:rsidRPr="006A1EC7">
        <w:rPr>
          <w:highlight w:val="yellow"/>
          <w:u w:val="single"/>
        </w:rPr>
        <w:t xml:space="preserve">Hypothesis regarding Sleep Scores </w:t>
      </w:r>
    </w:p>
    <w:p w14:paraId="5432967B" w14:textId="77777777" w:rsidR="0087601C" w:rsidRPr="006A1EC7" w:rsidRDefault="0087601C" w:rsidP="0087601C">
      <w:pPr>
        <w:spacing w:line="360" w:lineRule="auto"/>
      </w:pPr>
      <w:r w:rsidRPr="006A1EC7">
        <w:rPr>
          <w:b/>
          <w:bCs/>
        </w:rPr>
        <w:t>Hypothesis 27:</w:t>
      </w:r>
      <w:r w:rsidRPr="006A1EC7">
        <w:t xml:space="preserve"> Alessandro Sleep (T1, T2) &gt; Emma Sleep (T1, T2)</w:t>
      </w:r>
    </w:p>
    <w:p w14:paraId="33C3DECD" w14:textId="77777777" w:rsidR="0087601C" w:rsidRPr="006A1EC7" w:rsidRDefault="0087601C" w:rsidP="0087601C">
      <w:pPr>
        <w:spacing w:line="360" w:lineRule="auto"/>
      </w:pPr>
      <w:r w:rsidRPr="006A1EC7">
        <w:rPr>
          <w:b/>
          <w:bCs/>
        </w:rPr>
        <w:t xml:space="preserve">Hypothesis 28: </w:t>
      </w:r>
      <w:r w:rsidRPr="006A1EC7">
        <w:t>Fineen Sleep (T1, T2) &lt; Bronagh Sleep (T1, T2)</w:t>
      </w:r>
    </w:p>
    <w:p w14:paraId="7C472A72" w14:textId="77777777" w:rsidR="0087601C" w:rsidRPr="006A1EC7" w:rsidRDefault="0087601C" w:rsidP="0087601C">
      <w:pPr>
        <w:spacing w:line="360" w:lineRule="auto"/>
        <w:rPr>
          <w:b/>
          <w:bCs/>
        </w:rPr>
      </w:pPr>
      <w:r w:rsidRPr="006A1EC7">
        <w:rPr>
          <w:b/>
          <w:bCs/>
        </w:rPr>
        <w:t xml:space="preserve">Hypothesis 29: Emma </w:t>
      </w:r>
      <w:r w:rsidRPr="006A1EC7">
        <w:t>Sleep (T1, T2) &lt; Alessandro Sleep (T1, T2)</w:t>
      </w:r>
    </w:p>
    <w:p w14:paraId="51345EA9" w14:textId="77777777" w:rsidR="0087601C" w:rsidRPr="006A1EC7" w:rsidRDefault="0087601C" w:rsidP="0087601C">
      <w:pPr>
        <w:spacing w:line="360" w:lineRule="auto"/>
        <w:rPr>
          <w:highlight w:val="yellow"/>
          <w:u w:val="single"/>
        </w:rPr>
      </w:pPr>
    </w:p>
    <w:p w14:paraId="61204DFD" w14:textId="77777777" w:rsidR="0087601C" w:rsidRPr="006A1EC7" w:rsidRDefault="0087601C" w:rsidP="0087601C">
      <w:pPr>
        <w:spacing w:line="360" w:lineRule="auto"/>
        <w:rPr>
          <w:u w:val="single"/>
        </w:rPr>
      </w:pPr>
      <w:r w:rsidRPr="006A1EC7">
        <w:rPr>
          <w:highlight w:val="yellow"/>
          <w:u w:val="single"/>
        </w:rPr>
        <w:t xml:space="preserve">Hypotheses regarding Care Scores </w:t>
      </w:r>
    </w:p>
    <w:p w14:paraId="2F5CBF86" w14:textId="77777777" w:rsidR="0087601C" w:rsidRPr="006A1EC7" w:rsidRDefault="0087601C" w:rsidP="0087601C">
      <w:pPr>
        <w:spacing w:line="360" w:lineRule="auto"/>
        <w:rPr>
          <w:b/>
          <w:bCs/>
        </w:rPr>
      </w:pPr>
      <w:r w:rsidRPr="006A1EC7">
        <w:rPr>
          <w:b/>
          <w:bCs/>
        </w:rPr>
        <w:t xml:space="preserve">Hypothesis 30: </w:t>
      </w:r>
      <w:r w:rsidRPr="006A1EC7">
        <w:t>Alessandro Care (T1, T2)</w:t>
      </w:r>
      <w:r w:rsidRPr="006A1EC7">
        <w:rPr>
          <w:b/>
          <w:bCs/>
        </w:rPr>
        <w:t xml:space="preserve"> </w:t>
      </w:r>
      <w:r w:rsidRPr="006A1EC7">
        <w:t>&lt; Bronagh Care (T1, T2)</w:t>
      </w:r>
    </w:p>
    <w:p w14:paraId="142C3EA4" w14:textId="77777777" w:rsidR="0087601C" w:rsidRPr="006A1EC7" w:rsidRDefault="0087601C" w:rsidP="0087601C">
      <w:pPr>
        <w:spacing w:line="360" w:lineRule="auto"/>
      </w:pPr>
      <w:r w:rsidRPr="006A1EC7">
        <w:rPr>
          <w:b/>
          <w:bCs/>
        </w:rPr>
        <w:t xml:space="preserve">Hypothesis 31: </w:t>
      </w:r>
      <w:r w:rsidRPr="006A1EC7">
        <w:t>Joshua Care (T1, T2) = Fineen Care (T1, T2)</w:t>
      </w:r>
    </w:p>
    <w:p w14:paraId="006BCD95" w14:textId="77777777" w:rsidR="0087601C" w:rsidRPr="006A1EC7" w:rsidRDefault="0087601C" w:rsidP="0087601C">
      <w:pPr>
        <w:spacing w:line="360" w:lineRule="auto"/>
      </w:pPr>
      <w:r w:rsidRPr="006A1EC7">
        <w:rPr>
          <w:b/>
          <w:bCs/>
        </w:rPr>
        <w:t xml:space="preserve">Hypothesis 32: </w:t>
      </w:r>
      <w:r w:rsidRPr="006A1EC7">
        <w:t>Emma Care  (T1, T2) &gt; Bronagh Care (T1, T2)</w:t>
      </w:r>
    </w:p>
    <w:p w14:paraId="42BA82DA" w14:textId="77777777" w:rsidR="0087601C" w:rsidRPr="006A1EC7" w:rsidRDefault="0087601C" w:rsidP="0087601C">
      <w:pPr>
        <w:spacing w:line="360" w:lineRule="auto"/>
        <w:ind w:firstLine="720"/>
      </w:pPr>
    </w:p>
    <w:p w14:paraId="083AC81B" w14:textId="005341FC" w:rsidR="0087601C" w:rsidRPr="006A1EC7" w:rsidRDefault="0087601C" w:rsidP="0087601C">
      <w:pPr>
        <w:pStyle w:val="Heading4"/>
        <w:rPr>
          <w:rFonts w:ascii="Times New Roman" w:hAnsi="Times New Roman" w:cs="Times New Roman"/>
        </w:rPr>
      </w:pPr>
      <w:r w:rsidRPr="006A1EC7">
        <w:rPr>
          <w:rFonts w:ascii="Times New Roman" w:hAnsi="Times New Roman" w:cs="Times New Roman"/>
        </w:rPr>
        <w:t>Appendix 7.4: Information Sheet</w:t>
      </w:r>
      <w:bookmarkEnd w:id="318"/>
    </w:p>
    <w:p w14:paraId="521B69C2" w14:textId="77777777" w:rsidR="0087601C" w:rsidRPr="006A1EC7" w:rsidRDefault="0087601C" w:rsidP="0087601C"/>
    <w:p w14:paraId="00B508EE" w14:textId="77777777" w:rsidR="0087601C" w:rsidRPr="006A1EC7" w:rsidRDefault="0087601C" w:rsidP="0087601C">
      <w:pPr>
        <w:shd w:val="clear" w:color="auto" w:fill="FFFFFF"/>
        <w:spacing w:line="360" w:lineRule="auto"/>
        <w:jc w:val="center"/>
        <w:rPr>
          <w:b/>
          <w:bCs/>
          <w:color w:val="333333"/>
          <w:sz w:val="20"/>
          <w:szCs w:val="20"/>
          <w:lang w:eastAsia="en-GB"/>
        </w:rPr>
      </w:pPr>
      <w:r w:rsidRPr="006A1EC7">
        <w:rPr>
          <w:b/>
          <w:bCs/>
          <w:color w:val="333333"/>
          <w:sz w:val="20"/>
          <w:szCs w:val="20"/>
          <w:lang w:eastAsia="en-GB"/>
        </w:rPr>
        <w:t>Dear participant,</w:t>
      </w:r>
    </w:p>
    <w:p w14:paraId="3C243095" w14:textId="77777777" w:rsidR="0087601C" w:rsidRPr="006A1EC7" w:rsidRDefault="0087601C" w:rsidP="0087601C">
      <w:pPr>
        <w:shd w:val="clear" w:color="auto" w:fill="FFFFFF"/>
        <w:spacing w:line="360" w:lineRule="auto"/>
        <w:jc w:val="center"/>
        <w:rPr>
          <w:color w:val="333333"/>
          <w:sz w:val="20"/>
          <w:szCs w:val="20"/>
          <w:lang w:eastAsia="en-GB"/>
        </w:rPr>
      </w:pPr>
    </w:p>
    <w:p w14:paraId="53689EB8" w14:textId="77777777" w:rsidR="0087601C" w:rsidRPr="006A1EC7" w:rsidRDefault="0087601C" w:rsidP="0087601C">
      <w:pPr>
        <w:shd w:val="clear" w:color="auto" w:fill="FFFFFF"/>
        <w:spacing w:line="360" w:lineRule="auto"/>
        <w:jc w:val="center"/>
        <w:rPr>
          <w:bCs/>
          <w:color w:val="333333"/>
          <w:sz w:val="20"/>
          <w:szCs w:val="20"/>
          <w:lang w:eastAsia="en-GB"/>
        </w:rPr>
      </w:pPr>
      <w:r w:rsidRPr="006A1EC7">
        <w:rPr>
          <w:color w:val="333333"/>
          <w:sz w:val="20"/>
          <w:szCs w:val="20"/>
          <w:lang w:eastAsia="en-GB"/>
        </w:rPr>
        <w:t xml:space="preserve">You are invited to participate in our study seeking to assess whether our </w:t>
      </w:r>
      <w:r w:rsidRPr="006A1EC7">
        <w:rPr>
          <w:b/>
          <w:bCs/>
          <w:color w:val="333333"/>
          <w:sz w:val="20"/>
          <w:szCs w:val="20"/>
          <w:lang w:eastAsia="en-GB"/>
        </w:rPr>
        <w:t xml:space="preserve">Clinical Outcome Assessment (or clinical outcome assessment) for Wolf-Hirschhorn syndrome, </w:t>
      </w:r>
      <w:r w:rsidRPr="006A1EC7">
        <w:rPr>
          <w:bCs/>
          <w:color w:val="333333"/>
          <w:sz w:val="20"/>
          <w:szCs w:val="20"/>
          <w:lang w:eastAsia="en-GB"/>
        </w:rPr>
        <w:t>a rare genetic illness</w:t>
      </w:r>
      <w:r w:rsidRPr="006A1EC7">
        <w:rPr>
          <w:b/>
          <w:bCs/>
          <w:color w:val="333333"/>
          <w:sz w:val="20"/>
          <w:szCs w:val="20"/>
          <w:lang w:eastAsia="en-GB"/>
        </w:rPr>
        <w:t xml:space="preserve">, </w:t>
      </w:r>
      <w:r w:rsidRPr="006A1EC7">
        <w:rPr>
          <w:bCs/>
          <w:color w:val="333333"/>
          <w:sz w:val="20"/>
          <w:szCs w:val="20"/>
          <w:lang w:eastAsia="en-GB"/>
        </w:rPr>
        <w:t>is an effective and useful tool for clinical practice.</w:t>
      </w:r>
    </w:p>
    <w:p w14:paraId="6F9DCEEF" w14:textId="77777777" w:rsidR="0087601C" w:rsidRPr="006A1EC7" w:rsidRDefault="0087601C" w:rsidP="0087601C">
      <w:pPr>
        <w:shd w:val="clear" w:color="auto" w:fill="FFFFFF"/>
        <w:spacing w:line="360" w:lineRule="auto"/>
        <w:jc w:val="center"/>
        <w:rPr>
          <w:b/>
          <w:bCs/>
          <w:color w:val="333333"/>
          <w:sz w:val="20"/>
          <w:szCs w:val="20"/>
          <w:lang w:eastAsia="en-GB"/>
        </w:rPr>
      </w:pPr>
    </w:p>
    <w:p w14:paraId="14189BB7" w14:textId="77777777" w:rsidR="0087601C" w:rsidRPr="006A1EC7" w:rsidRDefault="0087601C" w:rsidP="0087601C">
      <w:pPr>
        <w:shd w:val="clear" w:color="auto" w:fill="FFFFFF"/>
        <w:spacing w:line="360" w:lineRule="auto"/>
        <w:ind w:firstLine="720"/>
        <w:jc w:val="center"/>
        <w:rPr>
          <w:color w:val="333333"/>
          <w:sz w:val="20"/>
          <w:szCs w:val="20"/>
          <w:lang w:eastAsia="en-GB"/>
        </w:rPr>
      </w:pPr>
      <w:r w:rsidRPr="006A1EC7">
        <w:rPr>
          <w:b/>
          <w:color w:val="333333"/>
          <w:sz w:val="20"/>
          <w:szCs w:val="20"/>
          <w:lang w:eastAsia="en-GB"/>
        </w:rPr>
        <w:t>What does it involve?</w:t>
      </w:r>
      <w:r w:rsidRPr="006A1EC7">
        <w:rPr>
          <w:color w:val="333333"/>
          <w:sz w:val="20"/>
          <w:szCs w:val="20"/>
          <w:lang w:eastAsia="en-GB"/>
        </w:rPr>
        <w:t xml:space="preserve"> You can be involved in a 1-stage or 2-stage participation of this study.</w:t>
      </w:r>
    </w:p>
    <w:p w14:paraId="0F1A7CBF" w14:textId="77777777" w:rsidR="0087601C" w:rsidRPr="006A1EC7" w:rsidRDefault="0087601C" w:rsidP="0087601C">
      <w:pPr>
        <w:shd w:val="clear" w:color="auto" w:fill="FFFFFF"/>
        <w:spacing w:line="360" w:lineRule="auto"/>
        <w:ind w:firstLine="720"/>
        <w:jc w:val="center"/>
        <w:rPr>
          <w:bCs/>
          <w:color w:val="333333"/>
          <w:sz w:val="20"/>
          <w:szCs w:val="20"/>
          <w:lang w:eastAsia="en-GB"/>
        </w:rPr>
      </w:pPr>
      <w:r w:rsidRPr="006A1EC7">
        <w:rPr>
          <w:bCs/>
          <w:color w:val="333333"/>
          <w:sz w:val="20"/>
          <w:szCs w:val="20"/>
          <w:lang w:eastAsia="en-GB"/>
        </w:rPr>
        <w:t>If you choose the 1-stage participation, you will be asked to read two case studies (also called vignettes) and then fill out two sets of our clinical outcome assessment; one for each case study. There are no right or wrong answers, all we ask is that your rating reflects your judgement about a particular health issue you are reading about. For the 2-stage participation, you will be asked to complete two further sets 2-weeks post completion of the first set of case studies/ratings.</w:t>
      </w:r>
    </w:p>
    <w:p w14:paraId="063066E2" w14:textId="77777777" w:rsidR="0087601C" w:rsidRPr="006A1EC7" w:rsidRDefault="0087601C" w:rsidP="0087601C">
      <w:pPr>
        <w:shd w:val="clear" w:color="auto" w:fill="FFFFFF"/>
        <w:spacing w:line="360" w:lineRule="auto"/>
        <w:ind w:firstLine="720"/>
        <w:jc w:val="center"/>
        <w:rPr>
          <w:bCs/>
          <w:color w:val="333333"/>
          <w:sz w:val="20"/>
          <w:szCs w:val="20"/>
          <w:lang w:eastAsia="en-GB"/>
        </w:rPr>
      </w:pPr>
    </w:p>
    <w:p w14:paraId="09E7A81F" w14:textId="77777777" w:rsidR="0087601C" w:rsidRPr="006A1EC7" w:rsidRDefault="0087601C" w:rsidP="0087601C">
      <w:pPr>
        <w:shd w:val="clear" w:color="auto" w:fill="FFFFFF"/>
        <w:spacing w:line="360" w:lineRule="auto"/>
        <w:jc w:val="center"/>
        <w:rPr>
          <w:color w:val="333333"/>
          <w:sz w:val="20"/>
          <w:szCs w:val="20"/>
          <w:lang w:eastAsia="en-GB"/>
        </w:rPr>
      </w:pPr>
      <w:r w:rsidRPr="006A1EC7">
        <w:rPr>
          <w:b/>
          <w:color w:val="333333"/>
          <w:sz w:val="20"/>
          <w:szCs w:val="20"/>
          <w:lang w:eastAsia="en-GB"/>
        </w:rPr>
        <w:t xml:space="preserve">Do I need to know anything about Wolf-Hirschhorn syndrome before I participate? </w:t>
      </w:r>
      <w:r w:rsidRPr="006A1EC7">
        <w:rPr>
          <w:color w:val="333333"/>
          <w:sz w:val="20"/>
          <w:szCs w:val="20"/>
          <w:lang w:eastAsia="en-GB"/>
        </w:rPr>
        <w:t>No previous knowledge of the illness is required, as the Clinical Outcome Assessment is designed in such a way that it should enable you to make ratings without previous knowledge.</w:t>
      </w:r>
    </w:p>
    <w:p w14:paraId="172973B2" w14:textId="77777777" w:rsidR="0087601C" w:rsidRPr="006A1EC7" w:rsidRDefault="0087601C" w:rsidP="0087601C">
      <w:pPr>
        <w:shd w:val="clear" w:color="auto" w:fill="FFFFFF"/>
        <w:spacing w:line="360" w:lineRule="auto"/>
        <w:jc w:val="center"/>
        <w:rPr>
          <w:color w:val="333333"/>
          <w:sz w:val="20"/>
          <w:szCs w:val="20"/>
          <w:lang w:eastAsia="en-GB"/>
        </w:rPr>
      </w:pPr>
    </w:p>
    <w:p w14:paraId="2C48439D" w14:textId="77777777" w:rsidR="0087601C" w:rsidRPr="006A1EC7" w:rsidRDefault="0087601C" w:rsidP="0087601C">
      <w:pPr>
        <w:shd w:val="clear" w:color="auto" w:fill="FFFFFF"/>
        <w:spacing w:line="360" w:lineRule="auto"/>
        <w:jc w:val="center"/>
        <w:rPr>
          <w:b/>
          <w:bCs/>
          <w:color w:val="333333"/>
          <w:sz w:val="20"/>
          <w:szCs w:val="20"/>
          <w:lang w:eastAsia="en-GB"/>
        </w:rPr>
      </w:pPr>
      <w:r w:rsidRPr="006A1EC7">
        <w:rPr>
          <w:b/>
          <w:bCs/>
          <w:color w:val="333333"/>
          <w:sz w:val="20"/>
          <w:szCs w:val="20"/>
          <w:lang w:eastAsia="en-GB"/>
        </w:rPr>
        <w:t>Who can participate?  You can participate if you are a final year medical student, junior doctor or more senior health care professional. This is not an exclusive list, so lease email us if you are interested in participating and your profession is not listed on this list.</w:t>
      </w:r>
    </w:p>
    <w:p w14:paraId="6B56B09B" w14:textId="77777777" w:rsidR="0087601C" w:rsidRPr="006A1EC7" w:rsidRDefault="0087601C" w:rsidP="0087601C">
      <w:pPr>
        <w:shd w:val="clear" w:color="auto" w:fill="FFFFFF"/>
        <w:spacing w:line="360" w:lineRule="auto"/>
        <w:jc w:val="center"/>
        <w:rPr>
          <w:b/>
          <w:bCs/>
          <w:color w:val="333333"/>
          <w:sz w:val="20"/>
          <w:szCs w:val="20"/>
          <w:lang w:eastAsia="en-GB"/>
        </w:rPr>
      </w:pPr>
    </w:p>
    <w:p w14:paraId="77C20A97" w14:textId="77777777" w:rsidR="0087601C" w:rsidRPr="006A1EC7" w:rsidRDefault="0087601C" w:rsidP="0087601C">
      <w:pPr>
        <w:shd w:val="clear" w:color="auto" w:fill="FFFFFF"/>
        <w:spacing w:line="360" w:lineRule="auto"/>
        <w:jc w:val="center"/>
        <w:rPr>
          <w:color w:val="333333"/>
          <w:sz w:val="20"/>
          <w:szCs w:val="20"/>
          <w:lang w:eastAsia="en-GB"/>
        </w:rPr>
      </w:pPr>
      <w:r w:rsidRPr="006A1EC7">
        <w:rPr>
          <w:b/>
          <w:bCs/>
          <w:color w:val="333333"/>
          <w:sz w:val="20"/>
          <w:szCs w:val="20"/>
          <w:lang w:eastAsia="en-GB"/>
        </w:rPr>
        <w:t>Completion should take thirty minutes.</w:t>
      </w:r>
    </w:p>
    <w:p w14:paraId="6A1D2C6D" w14:textId="77777777" w:rsidR="0087601C" w:rsidRPr="006A1EC7" w:rsidRDefault="0087601C" w:rsidP="0087601C">
      <w:pPr>
        <w:shd w:val="clear" w:color="auto" w:fill="FFFFFF"/>
        <w:spacing w:line="360" w:lineRule="auto"/>
        <w:rPr>
          <w:color w:val="333333"/>
          <w:sz w:val="20"/>
          <w:szCs w:val="20"/>
          <w:lang w:eastAsia="en-GB"/>
        </w:rPr>
      </w:pPr>
    </w:p>
    <w:p w14:paraId="7C3E4F40" w14:textId="77777777" w:rsidR="0087601C" w:rsidRPr="006A1EC7" w:rsidRDefault="0087601C" w:rsidP="0087601C">
      <w:pPr>
        <w:shd w:val="clear" w:color="auto" w:fill="FFFFFF"/>
        <w:spacing w:line="360" w:lineRule="auto"/>
        <w:jc w:val="center"/>
        <w:rPr>
          <w:bCs/>
          <w:color w:val="333333"/>
          <w:sz w:val="20"/>
          <w:szCs w:val="20"/>
          <w:lang w:eastAsia="en-GB"/>
        </w:rPr>
      </w:pPr>
      <w:r w:rsidRPr="006A1EC7">
        <w:rPr>
          <w:bCs/>
          <w:color w:val="333333"/>
          <w:sz w:val="20"/>
          <w:szCs w:val="20"/>
          <w:lang w:eastAsia="en-GB"/>
        </w:rPr>
        <w:t>Your participation is complete voluntary and confidential. We will ask some basic demographic data, such as your age, gender and occupation/level. No personally identifying data is collected. Unfortunately, as no identifying details are recorded, you cannot withdraw your data once you have submitted the survey.  Once the data collection has finished, the data will be stored on a password-protected computer at The University of Sheffield.</w:t>
      </w:r>
    </w:p>
    <w:p w14:paraId="7D733B8A" w14:textId="77777777" w:rsidR="0087601C" w:rsidRPr="006A1EC7" w:rsidRDefault="0087601C" w:rsidP="0087601C">
      <w:pPr>
        <w:shd w:val="clear" w:color="auto" w:fill="FFFFFF"/>
        <w:spacing w:line="360" w:lineRule="auto"/>
        <w:jc w:val="center"/>
        <w:rPr>
          <w:color w:val="333333"/>
          <w:sz w:val="20"/>
          <w:szCs w:val="20"/>
          <w:lang w:eastAsia="en-GB"/>
        </w:rPr>
      </w:pPr>
    </w:p>
    <w:p w14:paraId="48C00F8C" w14:textId="77777777" w:rsidR="0087601C" w:rsidRPr="006A1EC7" w:rsidRDefault="0087601C" w:rsidP="0087601C">
      <w:pPr>
        <w:shd w:val="clear" w:color="auto" w:fill="FFFFFF"/>
        <w:spacing w:line="360" w:lineRule="auto"/>
        <w:jc w:val="center"/>
        <w:rPr>
          <w:color w:val="333333"/>
          <w:sz w:val="20"/>
          <w:szCs w:val="20"/>
          <w:lang w:eastAsia="en-GB"/>
        </w:rPr>
      </w:pPr>
    </w:p>
    <w:p w14:paraId="0B2155CA" w14:textId="77777777" w:rsidR="0087601C" w:rsidRPr="006A1EC7" w:rsidRDefault="0087601C" w:rsidP="0087601C">
      <w:pPr>
        <w:shd w:val="clear" w:color="auto" w:fill="FFFFFF"/>
        <w:spacing w:line="360" w:lineRule="auto"/>
        <w:jc w:val="center"/>
        <w:rPr>
          <w:color w:val="333333"/>
          <w:sz w:val="20"/>
          <w:szCs w:val="20"/>
          <w:lang w:eastAsia="en-GB"/>
        </w:rPr>
      </w:pPr>
      <w:r w:rsidRPr="006A1EC7">
        <w:rPr>
          <w:color w:val="333333"/>
          <w:sz w:val="20"/>
          <w:szCs w:val="20"/>
          <w:lang w:eastAsia="en-GB"/>
        </w:rPr>
        <w:t xml:space="preserve">The current research is being conducted by Katharina Vogt at the University of Sheffield (UK); if you have any questions or concerns in relation to the project, please email the researcher directly at </w:t>
      </w:r>
      <w:hyperlink r:id="rId50" w:history="1">
        <w:r w:rsidRPr="006A1EC7">
          <w:rPr>
            <w:rStyle w:val="Hyperlink"/>
            <w:sz w:val="20"/>
            <w:szCs w:val="20"/>
            <w:lang w:eastAsia="en-GB"/>
          </w:rPr>
          <w:t>ksvogt1@sheffield.ac.uk</w:t>
        </w:r>
      </w:hyperlink>
      <w:r w:rsidRPr="006A1EC7">
        <w:rPr>
          <w:color w:val="333333"/>
          <w:sz w:val="20"/>
          <w:szCs w:val="20"/>
          <w:lang w:eastAsia="en-GB"/>
        </w:rPr>
        <w:t>.</w:t>
      </w:r>
    </w:p>
    <w:p w14:paraId="18E4D763" w14:textId="77777777" w:rsidR="0087601C" w:rsidRPr="006A1EC7" w:rsidRDefault="0087601C" w:rsidP="0087601C">
      <w:pPr>
        <w:shd w:val="clear" w:color="auto" w:fill="FFFFFF"/>
        <w:spacing w:line="360" w:lineRule="auto"/>
        <w:rPr>
          <w:color w:val="333333"/>
          <w:sz w:val="20"/>
          <w:szCs w:val="20"/>
          <w:lang w:eastAsia="en-GB"/>
        </w:rPr>
      </w:pPr>
    </w:p>
    <w:p w14:paraId="1E27C2DD" w14:textId="77777777" w:rsidR="0087601C" w:rsidRPr="006A1EC7" w:rsidRDefault="0087601C" w:rsidP="0087601C">
      <w:pPr>
        <w:shd w:val="clear" w:color="auto" w:fill="FFFFFF"/>
        <w:spacing w:line="360" w:lineRule="auto"/>
        <w:jc w:val="center"/>
        <w:rPr>
          <w:b/>
          <w:color w:val="333333"/>
          <w:sz w:val="20"/>
          <w:szCs w:val="20"/>
          <w:lang w:eastAsia="en-GB"/>
        </w:rPr>
      </w:pPr>
      <w:r w:rsidRPr="006A1EC7">
        <w:rPr>
          <w:b/>
          <w:color w:val="333333"/>
          <w:sz w:val="20"/>
          <w:szCs w:val="20"/>
          <w:lang w:eastAsia="en-GB"/>
        </w:rPr>
        <w:t>We thank you your interest in participating in this research study.</w:t>
      </w:r>
    </w:p>
    <w:p w14:paraId="766B6037" w14:textId="77777777" w:rsidR="0087601C" w:rsidRPr="006A1EC7" w:rsidRDefault="0087601C" w:rsidP="0087601C">
      <w:pPr>
        <w:shd w:val="clear" w:color="auto" w:fill="FFFFFF"/>
        <w:spacing w:line="360" w:lineRule="auto"/>
        <w:rPr>
          <w:color w:val="333333"/>
          <w:sz w:val="20"/>
          <w:szCs w:val="20"/>
          <w:lang w:eastAsia="en-GB"/>
        </w:rPr>
      </w:pPr>
    </w:p>
    <w:p w14:paraId="10570635" w14:textId="77777777" w:rsidR="0087601C" w:rsidRPr="006A1EC7" w:rsidRDefault="0087601C" w:rsidP="0087601C">
      <w:pPr>
        <w:jc w:val="center"/>
        <w:rPr>
          <w:i/>
          <w:iCs/>
          <w:color w:val="000000"/>
          <w:sz w:val="20"/>
          <w:szCs w:val="20"/>
        </w:rPr>
      </w:pPr>
      <w:r w:rsidRPr="006A1EC7">
        <w:rPr>
          <w:color w:val="333333"/>
          <w:sz w:val="20"/>
          <w:szCs w:val="20"/>
          <w:lang w:eastAsia="en-GB"/>
        </w:rPr>
        <w:br/>
      </w:r>
      <w:r w:rsidRPr="006A1EC7">
        <w:rPr>
          <w:i/>
          <w:color w:val="333333"/>
          <w:sz w:val="20"/>
          <w:szCs w:val="20"/>
          <w:lang w:eastAsia="en-GB"/>
        </w:rPr>
        <w:t xml:space="preserve">Please also note that: </w:t>
      </w:r>
      <w:r w:rsidRPr="006A1EC7">
        <w:rPr>
          <w:i/>
          <w:color w:val="333333"/>
          <w:sz w:val="20"/>
          <w:szCs w:val="20"/>
          <w:lang w:eastAsia="en-GB"/>
        </w:rPr>
        <w:br/>
      </w:r>
      <w:r w:rsidRPr="006A1EC7">
        <w:rPr>
          <w:i/>
          <w:iCs/>
          <w:color w:val="000000"/>
          <w:sz w:val="20"/>
          <w:szCs w:val="20"/>
        </w:rPr>
        <w:t>New data protection legislation came into effect across the EU, including the UK on 25 May 2018; this means that we need to provide you with some further information relating to how your personal information will be used and managed within this research project. This is in addition to the details provided within the information sheet that has already been given to you.</w:t>
      </w:r>
      <w:r w:rsidRPr="006A1EC7">
        <w:rPr>
          <w:color w:val="000000"/>
          <w:sz w:val="20"/>
          <w:szCs w:val="20"/>
        </w:rPr>
        <w:t xml:space="preserve"> </w:t>
      </w:r>
      <w:r w:rsidRPr="006A1EC7">
        <w:rPr>
          <w:i/>
          <w:iCs/>
          <w:color w:val="000000"/>
          <w:sz w:val="20"/>
          <w:szCs w:val="20"/>
        </w:rPr>
        <w:t>The University of Sheffield will act as the Data Controller for this study. This means the University is responsible for looking after your information and using it properly.</w:t>
      </w:r>
      <w:r w:rsidRPr="006A1EC7">
        <w:rPr>
          <w:color w:val="000000"/>
          <w:sz w:val="20"/>
          <w:szCs w:val="20"/>
        </w:rPr>
        <w:t xml:space="preserve"> </w:t>
      </w:r>
      <w:r w:rsidRPr="006A1EC7">
        <w:rPr>
          <w:i/>
          <w:iCs/>
          <w:color w:val="000000"/>
          <w:sz w:val="20"/>
          <w:szCs w:val="20"/>
        </w:rPr>
        <w:t xml:space="preserve">In order to collect and use your personal information as part of this </w:t>
      </w:r>
      <w:r w:rsidRPr="006A1EC7">
        <w:rPr>
          <w:i/>
          <w:iCs/>
          <w:color w:val="000000"/>
          <w:sz w:val="20"/>
          <w:szCs w:val="20"/>
        </w:rPr>
        <w:lastRenderedPageBreak/>
        <w:t>research project, we must have a basis in law to do so. The basis that we are using is that the research is ‘a task in the public interest’.</w:t>
      </w:r>
      <w:r w:rsidRPr="006A1EC7">
        <w:rPr>
          <w:color w:val="000000"/>
          <w:sz w:val="20"/>
          <w:szCs w:val="20"/>
        </w:rPr>
        <w:t xml:space="preserve"> </w:t>
      </w:r>
      <w:r w:rsidRPr="006A1EC7">
        <w:rPr>
          <w:i/>
          <w:iCs/>
          <w:color w:val="000000"/>
          <w:sz w:val="20"/>
          <w:szCs w:val="20"/>
        </w:rPr>
        <w:t>Further information, including details about how and why the University processes your personal information, how we keep your information secure, and your legal rights (including how to complain if you feel that your personal information has not been handled correctly), can be found in the University’s Privacy Notice</w:t>
      </w:r>
      <w:r w:rsidRPr="006A1EC7">
        <w:rPr>
          <w:rStyle w:val="apple-converted-space"/>
          <w:rFonts w:eastAsiaTheme="majorEastAsia"/>
          <w:i/>
          <w:iCs/>
          <w:color w:val="000000"/>
          <w:sz w:val="20"/>
          <w:szCs w:val="20"/>
        </w:rPr>
        <w:t> </w:t>
      </w:r>
      <w:hyperlink r:id="rId51" w:history="1">
        <w:r w:rsidRPr="006A1EC7">
          <w:rPr>
            <w:rStyle w:val="Hyperlink"/>
            <w:rFonts w:eastAsiaTheme="majorEastAsia"/>
            <w:i/>
            <w:iCs/>
            <w:sz w:val="20"/>
            <w:szCs w:val="20"/>
          </w:rPr>
          <w:t>https://www.sheffield.ac.uk/govern/data-protection/privacy/general</w:t>
        </w:r>
      </w:hyperlink>
      <w:r w:rsidRPr="006A1EC7">
        <w:rPr>
          <w:i/>
          <w:iCs/>
          <w:color w:val="000000"/>
          <w:sz w:val="20"/>
          <w:szCs w:val="20"/>
        </w:rPr>
        <w:t xml:space="preserve">. </w:t>
      </w:r>
    </w:p>
    <w:p w14:paraId="7595EC34" w14:textId="77777777" w:rsidR="0087601C" w:rsidRPr="006A1EC7" w:rsidRDefault="0087601C" w:rsidP="0087601C">
      <w:pPr>
        <w:jc w:val="center"/>
        <w:rPr>
          <w:color w:val="000000"/>
          <w:sz w:val="20"/>
          <w:szCs w:val="20"/>
        </w:rPr>
      </w:pPr>
    </w:p>
    <w:p w14:paraId="1B14B3AD" w14:textId="6FF30A22" w:rsidR="0087601C" w:rsidRPr="006A1EC7" w:rsidRDefault="0087601C" w:rsidP="0087601C">
      <w:pPr>
        <w:pStyle w:val="Heading4"/>
        <w:rPr>
          <w:rFonts w:ascii="Times New Roman" w:hAnsi="Times New Roman" w:cs="Times New Roman"/>
        </w:rPr>
      </w:pPr>
      <w:bookmarkStart w:id="320" w:name="_Toc38821491"/>
      <w:r w:rsidRPr="006A1EC7">
        <w:rPr>
          <w:rFonts w:ascii="Times New Roman" w:hAnsi="Times New Roman" w:cs="Times New Roman"/>
        </w:rPr>
        <w:t xml:space="preserve">Appendix 7.5: </w:t>
      </w:r>
      <w:bookmarkStart w:id="321" w:name="_Toc17977992"/>
      <w:bookmarkEnd w:id="319"/>
      <w:r w:rsidRPr="006A1EC7">
        <w:rPr>
          <w:rFonts w:ascii="Times New Roman" w:hAnsi="Times New Roman" w:cs="Times New Roman"/>
        </w:rPr>
        <w:t>Consent Form</w:t>
      </w:r>
      <w:bookmarkEnd w:id="320"/>
      <w:bookmarkEnd w:id="321"/>
    </w:p>
    <w:p w14:paraId="043DB5F0" w14:textId="77777777" w:rsidR="0087601C" w:rsidRPr="006A1EC7" w:rsidRDefault="0087601C" w:rsidP="0087601C">
      <w:pPr>
        <w:jc w:val="center"/>
        <w:rPr>
          <w:b/>
          <w:color w:val="000000" w:themeColor="text1"/>
          <w:sz w:val="28"/>
          <w:szCs w:val="28"/>
        </w:rPr>
      </w:pPr>
    </w:p>
    <w:p w14:paraId="4E79739B" w14:textId="77777777" w:rsidR="0087601C" w:rsidRPr="006A1EC7" w:rsidRDefault="0087601C" w:rsidP="0087601C">
      <w:pPr>
        <w:jc w:val="center"/>
        <w:rPr>
          <w:bCs/>
          <w:color w:val="000000" w:themeColor="text1"/>
          <w:sz w:val="21"/>
          <w:szCs w:val="21"/>
        </w:rPr>
      </w:pPr>
      <w:r w:rsidRPr="006A1EC7">
        <w:rPr>
          <w:b/>
          <w:color w:val="000000" w:themeColor="text1"/>
          <w:sz w:val="28"/>
          <w:szCs w:val="28"/>
        </w:rPr>
        <w:t>Developing a Clinician-Rated Clinical Outcome Assessment for Wolf-Hirschhorn syndrome</w:t>
      </w:r>
    </w:p>
    <w:p w14:paraId="2454DCB9" w14:textId="77777777" w:rsidR="0087601C" w:rsidRPr="006A1EC7" w:rsidRDefault="0087601C" w:rsidP="0087601C">
      <w:pPr>
        <w:jc w:val="center"/>
        <w:rPr>
          <w:color w:val="000000" w:themeColor="text1"/>
          <w:sz w:val="20"/>
          <w:szCs w:val="20"/>
        </w:rPr>
      </w:pP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gridCol w:w="630"/>
        <w:gridCol w:w="630"/>
      </w:tblGrid>
      <w:tr w:rsidR="0087601C" w:rsidRPr="006A1EC7" w14:paraId="00B92D79" w14:textId="77777777" w:rsidTr="00D56051">
        <w:trPr>
          <w:trHeight w:val="280"/>
        </w:trPr>
        <w:tc>
          <w:tcPr>
            <w:tcW w:w="9000" w:type="dxa"/>
          </w:tcPr>
          <w:p w14:paraId="66A46FC2" w14:textId="77777777" w:rsidR="0087601C" w:rsidRPr="006A1EC7" w:rsidRDefault="0087601C" w:rsidP="00D56051">
            <w:pPr>
              <w:spacing w:after="80"/>
              <w:rPr>
                <w:b/>
                <w:color w:val="000000" w:themeColor="text1"/>
              </w:rPr>
            </w:pPr>
            <w:r w:rsidRPr="006A1EC7">
              <w:rPr>
                <w:b/>
                <w:i/>
                <w:color w:val="000000" w:themeColor="text1"/>
              </w:rPr>
              <w:t>Please tick the appropriate boxes</w:t>
            </w:r>
          </w:p>
        </w:tc>
        <w:tc>
          <w:tcPr>
            <w:tcW w:w="630" w:type="dxa"/>
          </w:tcPr>
          <w:p w14:paraId="4D605B6A" w14:textId="77777777" w:rsidR="0087601C" w:rsidRPr="006A1EC7" w:rsidRDefault="0087601C" w:rsidP="00D56051">
            <w:pPr>
              <w:spacing w:after="80"/>
              <w:rPr>
                <w:b/>
                <w:color w:val="000000" w:themeColor="text1"/>
              </w:rPr>
            </w:pPr>
            <w:r w:rsidRPr="006A1EC7">
              <w:rPr>
                <w:b/>
                <w:color w:val="000000" w:themeColor="text1"/>
              </w:rPr>
              <w:t>Yes</w:t>
            </w:r>
          </w:p>
        </w:tc>
        <w:tc>
          <w:tcPr>
            <w:tcW w:w="630" w:type="dxa"/>
          </w:tcPr>
          <w:p w14:paraId="049FC79B" w14:textId="77777777" w:rsidR="0087601C" w:rsidRPr="006A1EC7" w:rsidRDefault="0087601C" w:rsidP="00D56051">
            <w:pPr>
              <w:spacing w:after="80"/>
              <w:rPr>
                <w:color w:val="000000" w:themeColor="text1"/>
              </w:rPr>
            </w:pPr>
            <w:r w:rsidRPr="006A1EC7">
              <w:rPr>
                <w:b/>
                <w:color w:val="000000" w:themeColor="text1"/>
              </w:rPr>
              <w:t>No</w:t>
            </w:r>
          </w:p>
        </w:tc>
      </w:tr>
      <w:tr w:rsidR="0087601C" w:rsidRPr="006A1EC7" w14:paraId="2BDD4D4B" w14:textId="77777777" w:rsidTr="00D56051">
        <w:trPr>
          <w:trHeight w:val="300"/>
        </w:trPr>
        <w:tc>
          <w:tcPr>
            <w:tcW w:w="9000" w:type="dxa"/>
          </w:tcPr>
          <w:p w14:paraId="5B123C38" w14:textId="77777777" w:rsidR="0087601C" w:rsidRPr="006A1EC7" w:rsidRDefault="0087601C" w:rsidP="00D56051">
            <w:pPr>
              <w:spacing w:after="120"/>
              <w:rPr>
                <w:b/>
                <w:color w:val="000000" w:themeColor="text1"/>
              </w:rPr>
            </w:pPr>
            <w:r w:rsidRPr="006A1EC7">
              <w:rPr>
                <w:b/>
                <w:color w:val="000000" w:themeColor="text1"/>
              </w:rPr>
              <w:t>Taking Part in the Project</w:t>
            </w:r>
          </w:p>
        </w:tc>
        <w:tc>
          <w:tcPr>
            <w:tcW w:w="630" w:type="dxa"/>
            <w:shd w:val="clear" w:color="auto" w:fill="FFC000" w:themeFill="accent4"/>
          </w:tcPr>
          <w:p w14:paraId="659D1233" w14:textId="77777777" w:rsidR="0087601C" w:rsidRPr="006A1EC7" w:rsidRDefault="0087601C" w:rsidP="00D56051">
            <w:pPr>
              <w:spacing w:after="120"/>
              <w:rPr>
                <w:color w:val="000000" w:themeColor="text1"/>
              </w:rPr>
            </w:pPr>
          </w:p>
        </w:tc>
        <w:tc>
          <w:tcPr>
            <w:tcW w:w="630" w:type="dxa"/>
            <w:shd w:val="clear" w:color="auto" w:fill="FFC000" w:themeFill="accent4"/>
          </w:tcPr>
          <w:p w14:paraId="55D01C5F" w14:textId="77777777" w:rsidR="0087601C" w:rsidRPr="006A1EC7" w:rsidRDefault="0087601C" w:rsidP="00D56051">
            <w:pPr>
              <w:spacing w:after="120"/>
              <w:rPr>
                <w:color w:val="000000" w:themeColor="text1"/>
              </w:rPr>
            </w:pPr>
          </w:p>
        </w:tc>
      </w:tr>
      <w:tr w:rsidR="0087601C" w:rsidRPr="006A1EC7" w14:paraId="25A4840D" w14:textId="77777777" w:rsidTr="00D56051">
        <w:trPr>
          <w:trHeight w:val="460"/>
        </w:trPr>
        <w:tc>
          <w:tcPr>
            <w:tcW w:w="9000" w:type="dxa"/>
          </w:tcPr>
          <w:p w14:paraId="63EAF57C" w14:textId="77777777" w:rsidR="0087601C" w:rsidRPr="006A1EC7" w:rsidRDefault="0087601C" w:rsidP="00D56051">
            <w:pPr>
              <w:rPr>
                <w:color w:val="000000" w:themeColor="text1"/>
                <w:sz w:val="20"/>
                <w:szCs w:val="20"/>
              </w:rPr>
            </w:pPr>
            <w:r w:rsidRPr="006A1EC7">
              <w:rPr>
                <w:color w:val="000000" w:themeColor="text1"/>
                <w:sz w:val="20"/>
                <w:szCs w:val="20"/>
              </w:rPr>
              <w:t xml:space="preserve">I have read and understood the project information sheet dated 19/11/2018 and the project has been fully explained to me. </w:t>
            </w:r>
          </w:p>
        </w:tc>
        <w:tc>
          <w:tcPr>
            <w:tcW w:w="630" w:type="dxa"/>
          </w:tcPr>
          <w:p w14:paraId="47D87B93" w14:textId="77777777" w:rsidR="0087601C" w:rsidRPr="006A1EC7" w:rsidRDefault="0087601C" w:rsidP="00D56051">
            <w:pPr>
              <w:jc w:val="center"/>
              <w:rPr>
                <w:color w:val="000000" w:themeColor="text1"/>
              </w:rPr>
            </w:pPr>
          </w:p>
        </w:tc>
        <w:tc>
          <w:tcPr>
            <w:tcW w:w="630" w:type="dxa"/>
          </w:tcPr>
          <w:p w14:paraId="570994F6" w14:textId="77777777" w:rsidR="0087601C" w:rsidRPr="006A1EC7" w:rsidRDefault="0087601C" w:rsidP="00D56051">
            <w:pPr>
              <w:jc w:val="center"/>
              <w:rPr>
                <w:color w:val="000000" w:themeColor="text1"/>
              </w:rPr>
            </w:pPr>
          </w:p>
        </w:tc>
      </w:tr>
      <w:tr w:rsidR="0087601C" w:rsidRPr="006A1EC7" w14:paraId="10727D83" w14:textId="77777777" w:rsidTr="00D56051">
        <w:tc>
          <w:tcPr>
            <w:tcW w:w="9000" w:type="dxa"/>
          </w:tcPr>
          <w:p w14:paraId="336AA2AB" w14:textId="77777777" w:rsidR="0087601C" w:rsidRPr="006A1EC7" w:rsidRDefault="0087601C" w:rsidP="00D56051">
            <w:pPr>
              <w:rPr>
                <w:color w:val="000000" w:themeColor="text1"/>
                <w:sz w:val="20"/>
                <w:szCs w:val="20"/>
              </w:rPr>
            </w:pPr>
            <w:r w:rsidRPr="006A1EC7">
              <w:rPr>
                <w:color w:val="000000" w:themeColor="text1"/>
                <w:sz w:val="20"/>
                <w:szCs w:val="20"/>
              </w:rPr>
              <w:t xml:space="preserve">I have been given the opportunity to ask questions about the project. </w:t>
            </w:r>
          </w:p>
        </w:tc>
        <w:tc>
          <w:tcPr>
            <w:tcW w:w="630" w:type="dxa"/>
          </w:tcPr>
          <w:p w14:paraId="1CEF3996" w14:textId="77777777" w:rsidR="0087601C" w:rsidRPr="006A1EC7" w:rsidRDefault="0087601C" w:rsidP="00D56051">
            <w:pPr>
              <w:jc w:val="center"/>
              <w:rPr>
                <w:color w:val="000000" w:themeColor="text1"/>
              </w:rPr>
            </w:pPr>
          </w:p>
        </w:tc>
        <w:tc>
          <w:tcPr>
            <w:tcW w:w="630" w:type="dxa"/>
          </w:tcPr>
          <w:p w14:paraId="20810390" w14:textId="77777777" w:rsidR="0087601C" w:rsidRPr="006A1EC7" w:rsidRDefault="0087601C" w:rsidP="00D56051">
            <w:pPr>
              <w:jc w:val="center"/>
              <w:rPr>
                <w:color w:val="000000" w:themeColor="text1"/>
              </w:rPr>
            </w:pPr>
          </w:p>
        </w:tc>
      </w:tr>
      <w:tr w:rsidR="0087601C" w:rsidRPr="006A1EC7" w14:paraId="5DAFE50C" w14:textId="77777777" w:rsidTr="00D56051">
        <w:trPr>
          <w:trHeight w:val="540"/>
        </w:trPr>
        <w:tc>
          <w:tcPr>
            <w:tcW w:w="9000" w:type="dxa"/>
          </w:tcPr>
          <w:p w14:paraId="1345C809" w14:textId="77777777" w:rsidR="0087601C" w:rsidRPr="006A1EC7" w:rsidRDefault="0087601C" w:rsidP="00D56051">
            <w:pPr>
              <w:rPr>
                <w:color w:val="000000" w:themeColor="text1"/>
                <w:sz w:val="20"/>
                <w:szCs w:val="20"/>
              </w:rPr>
            </w:pPr>
            <w:r w:rsidRPr="006A1EC7">
              <w:rPr>
                <w:color w:val="000000" w:themeColor="text1"/>
                <w:sz w:val="20"/>
                <w:szCs w:val="20"/>
              </w:rPr>
              <w:t xml:space="preserve">I agree to take part in the project. I understand that taking part in the project will include reading two sets of vignettes and filling out the corresponding Clinical Outcome Assessment. </w:t>
            </w:r>
          </w:p>
        </w:tc>
        <w:tc>
          <w:tcPr>
            <w:tcW w:w="630" w:type="dxa"/>
          </w:tcPr>
          <w:p w14:paraId="7717B2A5" w14:textId="77777777" w:rsidR="0087601C" w:rsidRPr="006A1EC7" w:rsidRDefault="0087601C" w:rsidP="00D56051">
            <w:pPr>
              <w:rPr>
                <w:color w:val="000000" w:themeColor="text1"/>
              </w:rPr>
            </w:pPr>
          </w:p>
        </w:tc>
        <w:tc>
          <w:tcPr>
            <w:tcW w:w="630" w:type="dxa"/>
          </w:tcPr>
          <w:p w14:paraId="632D58AE" w14:textId="77777777" w:rsidR="0087601C" w:rsidRPr="006A1EC7" w:rsidRDefault="0087601C" w:rsidP="00D56051">
            <w:pPr>
              <w:jc w:val="center"/>
              <w:rPr>
                <w:color w:val="000000" w:themeColor="text1"/>
              </w:rPr>
            </w:pPr>
          </w:p>
        </w:tc>
      </w:tr>
      <w:tr w:rsidR="0087601C" w:rsidRPr="006A1EC7" w14:paraId="42368950" w14:textId="77777777" w:rsidTr="00D56051">
        <w:trPr>
          <w:trHeight w:val="288"/>
        </w:trPr>
        <w:tc>
          <w:tcPr>
            <w:tcW w:w="9000" w:type="dxa"/>
            <w:tcBorders>
              <w:bottom w:val="single" w:sz="4" w:space="0" w:color="auto"/>
            </w:tcBorders>
          </w:tcPr>
          <w:p w14:paraId="3FF2F565" w14:textId="77777777" w:rsidR="0087601C" w:rsidRPr="006A1EC7" w:rsidRDefault="0087601C" w:rsidP="00D56051">
            <w:pPr>
              <w:rPr>
                <w:color w:val="000000" w:themeColor="text1"/>
                <w:sz w:val="20"/>
                <w:szCs w:val="20"/>
              </w:rPr>
            </w:pPr>
            <w:r w:rsidRPr="006A1EC7">
              <w:rPr>
                <w:color w:val="000000" w:themeColor="text1"/>
                <w:sz w:val="20"/>
                <w:szCs w:val="20"/>
              </w:rPr>
              <w:t>I understand that my taking part is voluntary.</w:t>
            </w:r>
          </w:p>
        </w:tc>
        <w:tc>
          <w:tcPr>
            <w:tcW w:w="630" w:type="dxa"/>
            <w:tcBorders>
              <w:bottom w:val="single" w:sz="4" w:space="0" w:color="auto"/>
            </w:tcBorders>
          </w:tcPr>
          <w:p w14:paraId="66BCFD14" w14:textId="77777777" w:rsidR="0087601C" w:rsidRPr="006A1EC7" w:rsidRDefault="0087601C" w:rsidP="00D56051">
            <w:pPr>
              <w:jc w:val="center"/>
              <w:rPr>
                <w:color w:val="000000" w:themeColor="text1"/>
              </w:rPr>
            </w:pPr>
          </w:p>
        </w:tc>
        <w:tc>
          <w:tcPr>
            <w:tcW w:w="630" w:type="dxa"/>
            <w:tcBorders>
              <w:bottom w:val="single" w:sz="4" w:space="0" w:color="auto"/>
            </w:tcBorders>
          </w:tcPr>
          <w:p w14:paraId="7B45DCDA" w14:textId="77777777" w:rsidR="0087601C" w:rsidRPr="006A1EC7" w:rsidRDefault="0087601C" w:rsidP="00D56051">
            <w:pPr>
              <w:jc w:val="center"/>
              <w:rPr>
                <w:color w:val="000000" w:themeColor="text1"/>
              </w:rPr>
            </w:pPr>
          </w:p>
        </w:tc>
      </w:tr>
      <w:tr w:rsidR="0087601C" w:rsidRPr="006A1EC7" w14:paraId="7ABE19CD" w14:textId="77777777" w:rsidTr="00D56051">
        <w:trPr>
          <w:trHeight w:val="580"/>
        </w:trPr>
        <w:tc>
          <w:tcPr>
            <w:tcW w:w="9000" w:type="dxa"/>
            <w:tcBorders>
              <w:top w:val="single" w:sz="4" w:space="0" w:color="auto"/>
              <w:bottom w:val="single" w:sz="4" w:space="0" w:color="auto"/>
            </w:tcBorders>
          </w:tcPr>
          <w:p w14:paraId="413E8E1D" w14:textId="77777777" w:rsidR="0087601C" w:rsidRPr="006A1EC7" w:rsidRDefault="0087601C" w:rsidP="00D56051">
            <w:pPr>
              <w:rPr>
                <w:color w:val="000000" w:themeColor="text1"/>
                <w:sz w:val="20"/>
                <w:szCs w:val="20"/>
              </w:rPr>
            </w:pPr>
            <w:r w:rsidRPr="006A1EC7">
              <w:rPr>
                <w:color w:val="000000" w:themeColor="text1"/>
                <w:sz w:val="20"/>
                <w:szCs w:val="20"/>
              </w:rPr>
              <w:t>I understand that I cannot withdraw my data from the project.</w:t>
            </w:r>
          </w:p>
        </w:tc>
        <w:tc>
          <w:tcPr>
            <w:tcW w:w="630" w:type="dxa"/>
            <w:tcBorders>
              <w:top w:val="single" w:sz="4" w:space="0" w:color="auto"/>
              <w:bottom w:val="single" w:sz="4" w:space="0" w:color="auto"/>
            </w:tcBorders>
          </w:tcPr>
          <w:p w14:paraId="17DED663" w14:textId="77777777" w:rsidR="0087601C" w:rsidRPr="006A1EC7" w:rsidRDefault="0087601C" w:rsidP="00D56051">
            <w:pPr>
              <w:jc w:val="center"/>
              <w:rPr>
                <w:noProof/>
                <w:color w:val="000000" w:themeColor="text1"/>
                <w:lang w:eastAsia="ja-JP"/>
              </w:rPr>
            </w:pPr>
          </w:p>
        </w:tc>
        <w:tc>
          <w:tcPr>
            <w:tcW w:w="630" w:type="dxa"/>
            <w:tcBorders>
              <w:top w:val="single" w:sz="4" w:space="0" w:color="auto"/>
              <w:bottom w:val="single" w:sz="4" w:space="0" w:color="auto"/>
            </w:tcBorders>
          </w:tcPr>
          <w:p w14:paraId="5AD3645D" w14:textId="77777777" w:rsidR="0087601C" w:rsidRPr="006A1EC7" w:rsidRDefault="0087601C" w:rsidP="00D56051">
            <w:pPr>
              <w:jc w:val="center"/>
              <w:rPr>
                <w:color w:val="000000" w:themeColor="text1"/>
              </w:rPr>
            </w:pPr>
          </w:p>
        </w:tc>
      </w:tr>
      <w:tr w:rsidR="0087601C" w:rsidRPr="006A1EC7" w14:paraId="73B16064" w14:textId="77777777" w:rsidTr="00D56051">
        <w:trPr>
          <w:trHeight w:val="530"/>
        </w:trPr>
        <w:tc>
          <w:tcPr>
            <w:tcW w:w="9000" w:type="dxa"/>
            <w:tcBorders>
              <w:top w:val="single" w:sz="4" w:space="0" w:color="auto"/>
            </w:tcBorders>
          </w:tcPr>
          <w:p w14:paraId="69F0BB64" w14:textId="77777777" w:rsidR="0087601C" w:rsidRPr="006A1EC7" w:rsidRDefault="0087601C" w:rsidP="00D56051">
            <w:pPr>
              <w:rPr>
                <w:color w:val="000000" w:themeColor="text1"/>
                <w:sz w:val="20"/>
                <w:szCs w:val="20"/>
              </w:rPr>
            </w:pPr>
            <w:r w:rsidRPr="006A1EC7">
              <w:rPr>
                <w:color w:val="000000" w:themeColor="text1"/>
                <w:sz w:val="20"/>
                <w:szCs w:val="20"/>
              </w:rPr>
              <w:t xml:space="preserve">I understand that I need to provide my email address as this will be used to contact me, but will be deleted post completion of the study. </w:t>
            </w:r>
          </w:p>
        </w:tc>
        <w:tc>
          <w:tcPr>
            <w:tcW w:w="630" w:type="dxa"/>
            <w:tcBorders>
              <w:top w:val="single" w:sz="4" w:space="0" w:color="auto"/>
            </w:tcBorders>
          </w:tcPr>
          <w:p w14:paraId="5351D726" w14:textId="77777777" w:rsidR="0087601C" w:rsidRPr="006A1EC7" w:rsidRDefault="0087601C" w:rsidP="00D56051">
            <w:pPr>
              <w:jc w:val="center"/>
              <w:rPr>
                <w:noProof/>
                <w:color w:val="000000" w:themeColor="text1"/>
                <w:lang w:eastAsia="ja-JP"/>
              </w:rPr>
            </w:pPr>
          </w:p>
        </w:tc>
        <w:tc>
          <w:tcPr>
            <w:tcW w:w="630" w:type="dxa"/>
            <w:tcBorders>
              <w:top w:val="single" w:sz="4" w:space="0" w:color="auto"/>
            </w:tcBorders>
          </w:tcPr>
          <w:p w14:paraId="05B7B542" w14:textId="77777777" w:rsidR="0087601C" w:rsidRPr="006A1EC7" w:rsidRDefault="0087601C" w:rsidP="00D56051">
            <w:pPr>
              <w:jc w:val="center"/>
              <w:rPr>
                <w:color w:val="000000" w:themeColor="text1"/>
              </w:rPr>
            </w:pPr>
          </w:p>
        </w:tc>
      </w:tr>
      <w:tr w:rsidR="0087601C" w:rsidRPr="006A1EC7" w14:paraId="55D03E62" w14:textId="77777777" w:rsidTr="00D56051">
        <w:tc>
          <w:tcPr>
            <w:tcW w:w="9000" w:type="dxa"/>
          </w:tcPr>
          <w:p w14:paraId="76CBDE1A" w14:textId="77777777" w:rsidR="0087601C" w:rsidRPr="006A1EC7" w:rsidRDefault="0087601C" w:rsidP="00D56051">
            <w:pPr>
              <w:spacing w:after="80"/>
              <w:rPr>
                <w:b/>
                <w:color w:val="000000" w:themeColor="text1"/>
              </w:rPr>
            </w:pPr>
            <w:r w:rsidRPr="006A1EC7">
              <w:rPr>
                <w:b/>
                <w:color w:val="000000" w:themeColor="text1"/>
              </w:rPr>
              <w:t>How my information will be used during and after the project</w:t>
            </w:r>
          </w:p>
        </w:tc>
        <w:tc>
          <w:tcPr>
            <w:tcW w:w="630" w:type="dxa"/>
            <w:shd w:val="clear" w:color="auto" w:fill="FFC000" w:themeFill="accent4"/>
          </w:tcPr>
          <w:p w14:paraId="06147C5E" w14:textId="77777777" w:rsidR="0087601C" w:rsidRPr="006A1EC7" w:rsidRDefault="0087601C" w:rsidP="00D56051">
            <w:pPr>
              <w:spacing w:after="80"/>
              <w:jc w:val="center"/>
              <w:rPr>
                <w:color w:val="000000" w:themeColor="text1"/>
              </w:rPr>
            </w:pPr>
          </w:p>
        </w:tc>
        <w:tc>
          <w:tcPr>
            <w:tcW w:w="630" w:type="dxa"/>
            <w:shd w:val="clear" w:color="auto" w:fill="FFC000" w:themeFill="accent4"/>
          </w:tcPr>
          <w:p w14:paraId="5AF3CB6F" w14:textId="77777777" w:rsidR="0087601C" w:rsidRPr="006A1EC7" w:rsidRDefault="0087601C" w:rsidP="00D56051">
            <w:pPr>
              <w:spacing w:after="80"/>
              <w:jc w:val="center"/>
              <w:rPr>
                <w:color w:val="000000" w:themeColor="text1"/>
              </w:rPr>
            </w:pPr>
          </w:p>
        </w:tc>
      </w:tr>
      <w:tr w:rsidR="0087601C" w:rsidRPr="006A1EC7" w14:paraId="7E66AEED" w14:textId="77777777" w:rsidTr="00D56051">
        <w:tc>
          <w:tcPr>
            <w:tcW w:w="9000" w:type="dxa"/>
          </w:tcPr>
          <w:p w14:paraId="30F6265F" w14:textId="77777777" w:rsidR="0087601C" w:rsidRPr="006A1EC7" w:rsidRDefault="0087601C" w:rsidP="00D56051">
            <w:pPr>
              <w:rPr>
                <w:color w:val="000000" w:themeColor="text1"/>
                <w:sz w:val="20"/>
                <w:szCs w:val="20"/>
              </w:rPr>
            </w:pPr>
            <w:r w:rsidRPr="006A1EC7">
              <w:rPr>
                <w:color w:val="000000" w:themeColor="text1"/>
                <w:sz w:val="20"/>
                <w:szCs w:val="20"/>
              </w:rPr>
              <w:t>I understand that no personal data will be stored (this includes email addresses).</w:t>
            </w:r>
          </w:p>
        </w:tc>
        <w:tc>
          <w:tcPr>
            <w:tcW w:w="630" w:type="dxa"/>
          </w:tcPr>
          <w:p w14:paraId="6E2ACC25" w14:textId="77777777" w:rsidR="0087601C" w:rsidRPr="006A1EC7" w:rsidRDefault="0087601C" w:rsidP="00D56051">
            <w:pPr>
              <w:jc w:val="center"/>
              <w:rPr>
                <w:color w:val="000000" w:themeColor="text1"/>
              </w:rPr>
            </w:pPr>
          </w:p>
        </w:tc>
        <w:tc>
          <w:tcPr>
            <w:tcW w:w="630" w:type="dxa"/>
          </w:tcPr>
          <w:p w14:paraId="7AE6AC23" w14:textId="77777777" w:rsidR="0087601C" w:rsidRPr="006A1EC7" w:rsidRDefault="0087601C" w:rsidP="00D56051">
            <w:pPr>
              <w:jc w:val="center"/>
              <w:rPr>
                <w:color w:val="000000" w:themeColor="text1"/>
              </w:rPr>
            </w:pPr>
          </w:p>
        </w:tc>
      </w:tr>
      <w:tr w:rsidR="0087601C" w:rsidRPr="006A1EC7" w14:paraId="4F53949B" w14:textId="77777777" w:rsidTr="00D56051">
        <w:tc>
          <w:tcPr>
            <w:tcW w:w="9000" w:type="dxa"/>
          </w:tcPr>
          <w:p w14:paraId="4451AFCF" w14:textId="77777777" w:rsidR="0087601C" w:rsidRPr="006A1EC7" w:rsidRDefault="0087601C" w:rsidP="00D56051">
            <w:pPr>
              <w:rPr>
                <w:color w:val="000000" w:themeColor="text1"/>
                <w:sz w:val="20"/>
                <w:szCs w:val="20"/>
              </w:rPr>
            </w:pPr>
            <w:r w:rsidRPr="006A1EC7">
              <w:rPr>
                <w:color w:val="000000" w:themeColor="text1"/>
                <w:sz w:val="20"/>
                <w:szCs w:val="20"/>
              </w:rPr>
              <w:t>I understand and agree that my ratings and comments may be quoted in publications, reports and other research outputs. I understand that I will not be named in these outputs.</w:t>
            </w:r>
          </w:p>
        </w:tc>
        <w:tc>
          <w:tcPr>
            <w:tcW w:w="630" w:type="dxa"/>
          </w:tcPr>
          <w:p w14:paraId="0CD27FD4" w14:textId="77777777" w:rsidR="0087601C" w:rsidRPr="006A1EC7" w:rsidRDefault="0087601C" w:rsidP="00D56051">
            <w:pPr>
              <w:jc w:val="center"/>
              <w:rPr>
                <w:color w:val="000000" w:themeColor="text1"/>
              </w:rPr>
            </w:pPr>
          </w:p>
        </w:tc>
        <w:tc>
          <w:tcPr>
            <w:tcW w:w="630" w:type="dxa"/>
          </w:tcPr>
          <w:p w14:paraId="027EA383" w14:textId="77777777" w:rsidR="0087601C" w:rsidRPr="006A1EC7" w:rsidRDefault="0087601C" w:rsidP="00D56051">
            <w:pPr>
              <w:jc w:val="center"/>
              <w:rPr>
                <w:color w:val="000000" w:themeColor="text1"/>
              </w:rPr>
            </w:pPr>
          </w:p>
        </w:tc>
      </w:tr>
      <w:tr w:rsidR="0087601C" w:rsidRPr="006A1EC7" w14:paraId="55956413" w14:textId="77777777" w:rsidTr="00D56051">
        <w:tc>
          <w:tcPr>
            <w:tcW w:w="9000" w:type="dxa"/>
          </w:tcPr>
          <w:p w14:paraId="5478EB1B" w14:textId="77777777" w:rsidR="0087601C" w:rsidRPr="006A1EC7" w:rsidRDefault="0087601C" w:rsidP="00D56051">
            <w:pPr>
              <w:rPr>
                <w:color w:val="000000" w:themeColor="text1"/>
                <w:sz w:val="20"/>
                <w:szCs w:val="20"/>
              </w:rPr>
            </w:pPr>
            <w:r w:rsidRPr="006A1EC7">
              <w:rPr>
                <w:color w:val="000000" w:themeColor="text1"/>
                <w:sz w:val="20"/>
                <w:szCs w:val="20"/>
              </w:rPr>
              <w:t xml:space="preserve">I understand and agree that other authorised researchers will have access to this data only if they agree to preserve the confidentiality of the information as requested in this form. </w:t>
            </w:r>
          </w:p>
        </w:tc>
        <w:tc>
          <w:tcPr>
            <w:tcW w:w="630" w:type="dxa"/>
          </w:tcPr>
          <w:p w14:paraId="3DE051C3" w14:textId="77777777" w:rsidR="0087601C" w:rsidRPr="006A1EC7" w:rsidRDefault="0087601C" w:rsidP="00D56051">
            <w:pPr>
              <w:rPr>
                <w:color w:val="000000" w:themeColor="text1"/>
              </w:rPr>
            </w:pPr>
          </w:p>
        </w:tc>
        <w:tc>
          <w:tcPr>
            <w:tcW w:w="630" w:type="dxa"/>
          </w:tcPr>
          <w:p w14:paraId="61AD6F58" w14:textId="77777777" w:rsidR="0087601C" w:rsidRPr="006A1EC7" w:rsidRDefault="0087601C" w:rsidP="00D56051">
            <w:pPr>
              <w:jc w:val="center"/>
              <w:rPr>
                <w:color w:val="000000" w:themeColor="text1"/>
              </w:rPr>
            </w:pPr>
          </w:p>
        </w:tc>
      </w:tr>
      <w:tr w:rsidR="0087601C" w:rsidRPr="006A1EC7" w14:paraId="03EDF77E" w14:textId="77777777" w:rsidTr="00D56051">
        <w:tc>
          <w:tcPr>
            <w:tcW w:w="9000" w:type="dxa"/>
          </w:tcPr>
          <w:p w14:paraId="5F2D1653" w14:textId="77777777" w:rsidR="0087601C" w:rsidRPr="006A1EC7" w:rsidRDefault="0087601C" w:rsidP="00D56051">
            <w:pPr>
              <w:spacing w:after="80"/>
              <w:rPr>
                <w:b/>
                <w:color w:val="000000" w:themeColor="text1"/>
              </w:rPr>
            </w:pPr>
            <w:r w:rsidRPr="006A1EC7">
              <w:rPr>
                <w:b/>
                <w:color w:val="000000" w:themeColor="text1"/>
              </w:rPr>
              <w:t>So that the information you provide can be used legally by the researchers</w:t>
            </w:r>
          </w:p>
        </w:tc>
        <w:tc>
          <w:tcPr>
            <w:tcW w:w="630" w:type="dxa"/>
            <w:shd w:val="clear" w:color="auto" w:fill="FFC000" w:themeFill="accent4"/>
          </w:tcPr>
          <w:p w14:paraId="5FBE5DCB" w14:textId="77777777" w:rsidR="0087601C" w:rsidRPr="006A1EC7" w:rsidRDefault="0087601C" w:rsidP="00D56051">
            <w:pPr>
              <w:spacing w:after="80"/>
              <w:jc w:val="center"/>
              <w:rPr>
                <w:color w:val="000000" w:themeColor="text1"/>
              </w:rPr>
            </w:pPr>
          </w:p>
        </w:tc>
        <w:tc>
          <w:tcPr>
            <w:tcW w:w="630" w:type="dxa"/>
            <w:shd w:val="clear" w:color="auto" w:fill="FFC000" w:themeFill="accent4"/>
          </w:tcPr>
          <w:p w14:paraId="25212750" w14:textId="77777777" w:rsidR="0087601C" w:rsidRPr="006A1EC7" w:rsidRDefault="0087601C" w:rsidP="00D56051">
            <w:pPr>
              <w:spacing w:after="80"/>
              <w:jc w:val="center"/>
              <w:rPr>
                <w:color w:val="000000" w:themeColor="text1"/>
              </w:rPr>
            </w:pPr>
          </w:p>
        </w:tc>
      </w:tr>
      <w:tr w:rsidR="0087601C" w:rsidRPr="006A1EC7" w14:paraId="5772DCFF" w14:textId="77777777" w:rsidTr="00D56051">
        <w:tc>
          <w:tcPr>
            <w:tcW w:w="9000" w:type="dxa"/>
          </w:tcPr>
          <w:p w14:paraId="5B3C3E91" w14:textId="77777777" w:rsidR="0087601C" w:rsidRPr="006A1EC7" w:rsidRDefault="0087601C" w:rsidP="00D56051">
            <w:pPr>
              <w:rPr>
                <w:color w:val="000000" w:themeColor="text1"/>
                <w:sz w:val="20"/>
                <w:szCs w:val="20"/>
              </w:rPr>
            </w:pPr>
            <w:r w:rsidRPr="006A1EC7">
              <w:rPr>
                <w:color w:val="000000" w:themeColor="text1"/>
                <w:sz w:val="20"/>
                <w:szCs w:val="20"/>
              </w:rPr>
              <w:t>I agree to assign the copyright I hold in any materials generated as part of this project to The University of Sheffield.</w:t>
            </w:r>
          </w:p>
        </w:tc>
        <w:tc>
          <w:tcPr>
            <w:tcW w:w="630" w:type="dxa"/>
          </w:tcPr>
          <w:p w14:paraId="31391772" w14:textId="77777777" w:rsidR="0087601C" w:rsidRPr="006A1EC7" w:rsidRDefault="0087601C" w:rsidP="00D56051">
            <w:pPr>
              <w:jc w:val="center"/>
              <w:rPr>
                <w:color w:val="000000" w:themeColor="text1"/>
              </w:rPr>
            </w:pPr>
          </w:p>
        </w:tc>
        <w:tc>
          <w:tcPr>
            <w:tcW w:w="630" w:type="dxa"/>
          </w:tcPr>
          <w:p w14:paraId="764530ED" w14:textId="77777777" w:rsidR="0087601C" w:rsidRPr="006A1EC7" w:rsidRDefault="0087601C" w:rsidP="00D56051">
            <w:pPr>
              <w:jc w:val="center"/>
              <w:rPr>
                <w:color w:val="000000" w:themeColor="text1"/>
              </w:rPr>
            </w:pPr>
          </w:p>
        </w:tc>
      </w:tr>
    </w:tbl>
    <w:p w14:paraId="6C9507DD" w14:textId="77777777" w:rsidR="0087601C" w:rsidRPr="006A1EC7" w:rsidRDefault="0087601C" w:rsidP="0087601C">
      <w:pPr>
        <w:rPr>
          <w:color w:val="000000" w:themeColor="text1"/>
        </w:rPr>
        <w:sectPr w:rsidR="0087601C" w:rsidRPr="006A1EC7" w:rsidSect="00D56051">
          <w:headerReference w:type="default" r:id="rId52"/>
          <w:footerReference w:type="default" r:id="rId53"/>
          <w:type w:val="nextColumn"/>
          <w:pgSz w:w="11906" w:h="16838"/>
          <w:pgMar w:top="1440" w:right="1701" w:bottom="1440" w:left="1701" w:header="397" w:footer="510" w:gutter="0"/>
          <w:cols w:space="720"/>
        </w:sectPr>
      </w:pPr>
    </w:p>
    <w:tbl>
      <w:tblPr>
        <w:tblW w:w="10456" w:type="dxa"/>
        <w:tblBorders>
          <w:top w:val="nil"/>
          <w:left w:val="nil"/>
          <w:bottom w:val="nil"/>
          <w:right w:val="nil"/>
          <w:insideH w:val="nil"/>
          <w:insideV w:val="nil"/>
        </w:tblBorders>
        <w:tblLayout w:type="fixed"/>
        <w:tblLook w:val="0400" w:firstRow="0" w:lastRow="0" w:firstColumn="0" w:lastColumn="0" w:noHBand="0" w:noVBand="1"/>
      </w:tblPr>
      <w:tblGrid>
        <w:gridCol w:w="3969"/>
        <w:gridCol w:w="3001"/>
        <w:gridCol w:w="3486"/>
      </w:tblGrid>
      <w:tr w:rsidR="0087601C" w:rsidRPr="006A1EC7" w14:paraId="677B6592" w14:textId="77777777" w:rsidTr="00D56051">
        <w:trPr>
          <w:trHeight w:val="320"/>
        </w:trPr>
        <w:tc>
          <w:tcPr>
            <w:tcW w:w="3969" w:type="dxa"/>
          </w:tcPr>
          <w:p w14:paraId="2C5B9256" w14:textId="77777777" w:rsidR="0087601C" w:rsidRPr="006A1EC7" w:rsidRDefault="0087601C" w:rsidP="00D56051">
            <w:pPr>
              <w:rPr>
                <w:color w:val="000000" w:themeColor="text1"/>
              </w:rPr>
            </w:pPr>
          </w:p>
          <w:p w14:paraId="5009BA31" w14:textId="77777777" w:rsidR="0087601C" w:rsidRPr="006A1EC7" w:rsidRDefault="0087601C" w:rsidP="00D56051">
            <w:pPr>
              <w:rPr>
                <w:color w:val="000000" w:themeColor="text1"/>
                <w:u w:val="single"/>
              </w:rPr>
            </w:pPr>
            <w:r w:rsidRPr="006A1EC7">
              <w:rPr>
                <w:color w:val="000000" w:themeColor="text1"/>
                <w:u w:val="single"/>
              </w:rPr>
              <w:t>Please indicate which part of the study you would like to participate in:</w:t>
            </w:r>
          </w:p>
          <w:p w14:paraId="2038D88C" w14:textId="77777777" w:rsidR="0087601C" w:rsidRPr="006A1EC7" w:rsidRDefault="0087601C" w:rsidP="00D56051">
            <w:pPr>
              <w:rPr>
                <w:color w:val="000000" w:themeColor="text1"/>
              </w:rPr>
            </w:pPr>
          </w:p>
          <w:p w14:paraId="3FD8382B" w14:textId="77777777" w:rsidR="0087601C" w:rsidRPr="006A1EC7" w:rsidRDefault="0087601C" w:rsidP="00D56051">
            <w:pPr>
              <w:rPr>
                <w:color w:val="000000" w:themeColor="text1"/>
              </w:rPr>
            </w:pPr>
            <w:r w:rsidRPr="006A1EC7">
              <w:rPr>
                <w:color w:val="000000" w:themeColor="text1"/>
              </w:rPr>
              <w:t xml:space="preserve">I want to complete the vignettes/rating scales once. </w:t>
            </w:r>
          </w:p>
          <w:p w14:paraId="64EFA422" w14:textId="77777777" w:rsidR="0087601C" w:rsidRPr="006A1EC7" w:rsidRDefault="0087601C" w:rsidP="00D56051">
            <w:pPr>
              <w:rPr>
                <w:color w:val="000000" w:themeColor="text1"/>
              </w:rPr>
            </w:pPr>
          </w:p>
          <w:p w14:paraId="58789660" w14:textId="77777777" w:rsidR="0087601C" w:rsidRPr="006A1EC7" w:rsidRDefault="0087601C" w:rsidP="00D56051">
            <w:pPr>
              <w:rPr>
                <w:color w:val="000000" w:themeColor="text1"/>
              </w:rPr>
            </w:pPr>
            <w:r w:rsidRPr="006A1EC7">
              <w:rPr>
                <w:color w:val="000000" w:themeColor="text1"/>
              </w:rPr>
              <w:t>I want to complete the vignettes/rating scales twice.</w:t>
            </w:r>
          </w:p>
          <w:p w14:paraId="252DBB8A" w14:textId="77777777" w:rsidR="0087601C" w:rsidRPr="006A1EC7" w:rsidRDefault="0087601C" w:rsidP="00D56051">
            <w:pPr>
              <w:rPr>
                <w:color w:val="000000" w:themeColor="text1"/>
              </w:rPr>
            </w:pPr>
          </w:p>
          <w:p w14:paraId="66806EBA" w14:textId="77777777" w:rsidR="0087601C" w:rsidRPr="006A1EC7" w:rsidRDefault="0087601C" w:rsidP="00D56051">
            <w:pPr>
              <w:rPr>
                <w:color w:val="000000" w:themeColor="text1"/>
              </w:rPr>
            </w:pPr>
          </w:p>
          <w:p w14:paraId="6824CE5A" w14:textId="77777777" w:rsidR="0087601C" w:rsidRPr="006A1EC7" w:rsidRDefault="0087601C" w:rsidP="00D56051">
            <w:pPr>
              <w:rPr>
                <w:color w:val="000000" w:themeColor="text1"/>
              </w:rPr>
            </w:pPr>
          </w:p>
          <w:p w14:paraId="670D4B67" w14:textId="77777777" w:rsidR="0087601C" w:rsidRPr="006A1EC7" w:rsidRDefault="0087601C" w:rsidP="00D56051">
            <w:pPr>
              <w:rPr>
                <w:color w:val="000000" w:themeColor="text1"/>
              </w:rPr>
            </w:pPr>
            <w:r w:rsidRPr="006A1EC7">
              <w:rPr>
                <w:color w:val="000000" w:themeColor="text1"/>
              </w:rPr>
              <w:t xml:space="preserve">I would like to be entered into the price draw for an Amazon voucher (£25). </w:t>
            </w:r>
          </w:p>
          <w:p w14:paraId="0412A02A" w14:textId="77777777" w:rsidR="0087601C" w:rsidRPr="006A1EC7" w:rsidRDefault="0087601C" w:rsidP="00D56051">
            <w:pPr>
              <w:rPr>
                <w:color w:val="000000" w:themeColor="text1"/>
              </w:rPr>
            </w:pPr>
          </w:p>
        </w:tc>
        <w:tc>
          <w:tcPr>
            <w:tcW w:w="3001" w:type="dxa"/>
          </w:tcPr>
          <w:p w14:paraId="59971464" w14:textId="77777777" w:rsidR="0087601C" w:rsidRPr="006A1EC7" w:rsidRDefault="0087601C" w:rsidP="00D56051">
            <w:pPr>
              <w:rPr>
                <w:color w:val="000000" w:themeColor="text1"/>
              </w:rPr>
            </w:pPr>
            <w:r w:rsidRPr="006A1EC7">
              <w:rPr>
                <w:noProof/>
                <w:color w:val="000000" w:themeColor="text1"/>
                <w:lang w:eastAsia="en-GB"/>
              </w:rPr>
              <mc:AlternateContent>
                <mc:Choice Requires="wps">
                  <w:drawing>
                    <wp:anchor distT="0" distB="0" distL="114300" distR="114300" simplePos="0" relativeHeight="251703296" behindDoc="0" locked="0" layoutInCell="1" allowOverlap="1" wp14:anchorId="5B15BE32" wp14:editId="6C2E7D65">
                      <wp:simplePos x="0" y="0"/>
                      <wp:positionH relativeFrom="column">
                        <wp:posOffset>-31060</wp:posOffset>
                      </wp:positionH>
                      <wp:positionV relativeFrom="paragraph">
                        <wp:posOffset>2162865</wp:posOffset>
                      </wp:positionV>
                      <wp:extent cx="262393" cy="238539"/>
                      <wp:effectExtent l="50800" t="25400" r="67945" b="79375"/>
                      <wp:wrapNone/>
                      <wp:docPr id="15" name="Rectangle 15"/>
                      <wp:cNvGraphicFramePr/>
                      <a:graphic xmlns:a="http://schemas.openxmlformats.org/drawingml/2006/main">
                        <a:graphicData uri="http://schemas.microsoft.com/office/word/2010/wordprocessingShape">
                          <wps:wsp>
                            <wps:cNvSpPr/>
                            <wps:spPr>
                              <a:xfrm>
                                <a:off x="0" y="0"/>
                                <a:ext cx="262393" cy="238539"/>
                              </a:xfrm>
                              <a:prstGeom prst="rect">
                                <a:avLst/>
                              </a:prstGeom>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4E664" id="Rectangle 15" o:spid="_x0000_s1026" style="position:absolute;margin-left:-2.45pt;margin-top:170.3pt;width:20.65pt;height:18.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" fillcolor="#e2aa00 [2855]" strokecolor="#4472c4 [3204]" strokeweight=".5pt">
                      <v:fill color2="#b28600 [2247]" rotate="t" focusposition=".5,.5" focussize="" colors="0 #e3ab00;15073f #e3ab00;45220f #bf9000;63570f #b38600" focus="100%" type="gradientRadial"/>
                    </v:rect>
                  </w:pict>
                </mc:Fallback>
              </mc:AlternateContent>
            </w:r>
            <w:r w:rsidRPr="006A1EC7">
              <w:rPr>
                <w:noProof/>
                <w:color w:val="000000" w:themeColor="text1"/>
                <w:lang w:eastAsia="en-GB"/>
              </w:rPr>
              <mc:AlternateContent>
                <mc:Choice Requires="wps">
                  <w:drawing>
                    <wp:anchor distT="0" distB="0" distL="114300" distR="114300" simplePos="0" relativeHeight="251702272" behindDoc="0" locked="0" layoutInCell="1" allowOverlap="1" wp14:anchorId="4E8D87D9" wp14:editId="26A168EC">
                      <wp:simplePos x="0" y="0"/>
                      <wp:positionH relativeFrom="column">
                        <wp:posOffset>-63003</wp:posOffset>
                      </wp:positionH>
                      <wp:positionV relativeFrom="paragraph">
                        <wp:posOffset>1270331</wp:posOffset>
                      </wp:positionV>
                      <wp:extent cx="262393" cy="238539"/>
                      <wp:effectExtent l="50800" t="25400" r="67945" b="79375"/>
                      <wp:wrapNone/>
                      <wp:docPr id="34" name="Rectangle 34"/>
                      <wp:cNvGraphicFramePr/>
                      <a:graphic xmlns:a="http://schemas.openxmlformats.org/drawingml/2006/main">
                        <a:graphicData uri="http://schemas.microsoft.com/office/word/2010/wordprocessingShape">
                          <wps:wsp>
                            <wps:cNvSpPr/>
                            <wps:spPr>
                              <a:xfrm>
                                <a:off x="0" y="0"/>
                                <a:ext cx="262393" cy="238539"/>
                              </a:xfrm>
                              <a:prstGeom prst="rect">
                                <a:avLst/>
                              </a:prstGeom>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BFA854" id="Rectangle 34" o:spid="_x0000_s1026" style="position:absolute;margin-left:-4.95pt;margin-top:100.05pt;width:20.65pt;height:18.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" fillcolor="#e2aa00 [2855]" strokecolor="#4472c4 [3204]" strokeweight=".5pt">
                      <v:fill color2="#b28600 [2247]" rotate="t" focusposition=".5,.5" focussize="" colors="0 #e3ab00;15073f #e3ab00;45220f #bf9000;63570f #b38600" focus="100%" type="gradientRadial"/>
                    </v:rect>
                  </w:pict>
                </mc:Fallback>
              </mc:AlternateContent>
            </w:r>
            <w:r w:rsidRPr="006A1EC7">
              <w:rPr>
                <w:noProof/>
                <w:color w:val="000000" w:themeColor="text1"/>
                <w:lang w:eastAsia="en-GB"/>
              </w:rPr>
              <mc:AlternateContent>
                <mc:Choice Requires="wps">
                  <w:drawing>
                    <wp:anchor distT="0" distB="0" distL="114300" distR="114300" simplePos="0" relativeHeight="251701248" behindDoc="0" locked="0" layoutInCell="1" allowOverlap="1" wp14:anchorId="1942FE74" wp14:editId="3A285E04">
                      <wp:simplePos x="0" y="0"/>
                      <wp:positionH relativeFrom="column">
                        <wp:posOffset>-66426</wp:posOffset>
                      </wp:positionH>
                      <wp:positionV relativeFrom="paragraph">
                        <wp:posOffset>757224</wp:posOffset>
                      </wp:positionV>
                      <wp:extent cx="262393" cy="238539"/>
                      <wp:effectExtent l="50800" t="25400" r="67945" b="79375"/>
                      <wp:wrapNone/>
                      <wp:docPr id="44" name="Rectangle 44"/>
                      <wp:cNvGraphicFramePr/>
                      <a:graphic xmlns:a="http://schemas.openxmlformats.org/drawingml/2006/main">
                        <a:graphicData uri="http://schemas.microsoft.com/office/word/2010/wordprocessingShape">
                          <wps:wsp>
                            <wps:cNvSpPr/>
                            <wps:spPr>
                              <a:xfrm>
                                <a:off x="0" y="0"/>
                                <a:ext cx="262393" cy="238539"/>
                              </a:xfrm>
                              <a:prstGeom prst="rect">
                                <a:avLst/>
                              </a:prstGeom>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FD10E" id="Rectangle 44" o:spid="_x0000_s1026" style="position:absolute;margin-left:-5.25pt;margin-top:59.6pt;width:20.65pt;height:18.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" fillcolor="#e2aa00 [2855]" strokecolor="#4472c4 [3204]" strokeweight=".5pt">
                      <v:fill color2="#b28600 [2247]" rotate="t" focusposition=".5,.5" focussize="" colors="0 #e3ab00;15073f #e3ab00;45220f #bf9000;63570f #b38600" focus="100%" type="gradientRadial"/>
                    </v:rect>
                  </w:pict>
                </mc:Fallback>
              </mc:AlternateContent>
            </w:r>
          </w:p>
        </w:tc>
        <w:tc>
          <w:tcPr>
            <w:tcW w:w="3486" w:type="dxa"/>
          </w:tcPr>
          <w:p w14:paraId="13F635D2" w14:textId="77777777" w:rsidR="0087601C" w:rsidRPr="006A1EC7" w:rsidRDefault="0087601C" w:rsidP="00D56051">
            <w:pPr>
              <w:rPr>
                <w:color w:val="000000" w:themeColor="text1"/>
              </w:rPr>
            </w:pPr>
          </w:p>
        </w:tc>
      </w:tr>
    </w:tbl>
    <w:p w14:paraId="03F4794B" w14:textId="77777777" w:rsidR="0087601C" w:rsidRPr="006A1EC7" w:rsidRDefault="0087601C" w:rsidP="0087601C">
      <w:pPr>
        <w:rPr>
          <w:color w:val="000000" w:themeColor="text1"/>
          <w:sz w:val="20"/>
          <w:szCs w:val="20"/>
        </w:rPr>
        <w:sectPr w:rsidR="0087601C" w:rsidRPr="006A1EC7" w:rsidSect="00D56051">
          <w:type w:val="nextColumn"/>
          <w:pgSz w:w="11906" w:h="16838"/>
          <w:pgMar w:top="1440" w:right="1701" w:bottom="1440" w:left="1701" w:header="397" w:footer="510" w:gutter="0"/>
          <w:cols w:space="720"/>
        </w:sectPr>
      </w:pPr>
    </w:p>
    <w:tbl>
      <w:tblPr>
        <w:tblW w:w="10456" w:type="dxa"/>
        <w:tblBorders>
          <w:top w:val="nil"/>
          <w:left w:val="nil"/>
          <w:bottom w:val="nil"/>
          <w:right w:val="nil"/>
          <w:insideH w:val="nil"/>
          <w:insideV w:val="nil"/>
        </w:tblBorders>
        <w:tblLayout w:type="fixed"/>
        <w:tblLook w:val="0400" w:firstRow="0" w:lastRow="0" w:firstColumn="0" w:lastColumn="0" w:noHBand="0" w:noVBand="1"/>
      </w:tblPr>
      <w:tblGrid>
        <w:gridCol w:w="3969"/>
        <w:gridCol w:w="3001"/>
        <w:gridCol w:w="3486"/>
      </w:tblGrid>
      <w:tr w:rsidR="0087601C" w:rsidRPr="006A1EC7" w14:paraId="595E7F70" w14:textId="77777777" w:rsidTr="00D56051">
        <w:tc>
          <w:tcPr>
            <w:tcW w:w="3969" w:type="dxa"/>
          </w:tcPr>
          <w:p w14:paraId="54DDF143" w14:textId="77777777" w:rsidR="0087601C" w:rsidRPr="006A1EC7" w:rsidRDefault="0087601C" w:rsidP="00D56051">
            <w:pPr>
              <w:rPr>
                <w:color w:val="000000" w:themeColor="text1"/>
              </w:rPr>
            </w:pPr>
            <w:r w:rsidRPr="006A1EC7">
              <w:rPr>
                <w:color w:val="000000" w:themeColor="text1"/>
                <w:sz w:val="20"/>
                <w:szCs w:val="20"/>
              </w:rPr>
              <w:lastRenderedPageBreak/>
              <w:t>Name of participant [printed]:</w:t>
            </w:r>
          </w:p>
        </w:tc>
        <w:tc>
          <w:tcPr>
            <w:tcW w:w="3001" w:type="dxa"/>
          </w:tcPr>
          <w:p w14:paraId="617D67F6" w14:textId="77777777" w:rsidR="0087601C" w:rsidRPr="006A1EC7" w:rsidRDefault="0087601C" w:rsidP="00D56051">
            <w:pPr>
              <w:rPr>
                <w:color w:val="000000" w:themeColor="text1"/>
              </w:rPr>
            </w:pPr>
            <w:r w:rsidRPr="006A1EC7">
              <w:rPr>
                <w:color w:val="000000" w:themeColor="text1"/>
                <w:sz w:val="20"/>
                <w:szCs w:val="20"/>
              </w:rPr>
              <w:t>Signature:</w:t>
            </w:r>
          </w:p>
        </w:tc>
        <w:tc>
          <w:tcPr>
            <w:tcW w:w="3486" w:type="dxa"/>
          </w:tcPr>
          <w:p w14:paraId="230A334B" w14:textId="77777777" w:rsidR="0087601C" w:rsidRPr="006A1EC7" w:rsidRDefault="0087601C" w:rsidP="00D56051">
            <w:pPr>
              <w:rPr>
                <w:color w:val="000000" w:themeColor="text1"/>
              </w:rPr>
            </w:pPr>
            <w:r w:rsidRPr="006A1EC7">
              <w:rPr>
                <w:color w:val="000000" w:themeColor="text1"/>
                <w:sz w:val="20"/>
                <w:szCs w:val="20"/>
              </w:rPr>
              <w:t>Date:</w:t>
            </w:r>
          </w:p>
        </w:tc>
      </w:tr>
      <w:tr w:rsidR="0087601C" w:rsidRPr="006A1EC7" w14:paraId="739F92A2" w14:textId="77777777" w:rsidTr="00D56051">
        <w:trPr>
          <w:trHeight w:val="320"/>
        </w:trPr>
        <w:tc>
          <w:tcPr>
            <w:tcW w:w="3969" w:type="dxa"/>
          </w:tcPr>
          <w:p w14:paraId="194BD890" w14:textId="77777777" w:rsidR="0087601C" w:rsidRPr="006A1EC7" w:rsidRDefault="0087601C" w:rsidP="00D56051">
            <w:pPr>
              <w:rPr>
                <w:color w:val="000000" w:themeColor="text1"/>
              </w:rPr>
            </w:pPr>
          </w:p>
          <w:p w14:paraId="0DBFBCDF" w14:textId="77777777" w:rsidR="0087601C" w:rsidRPr="006A1EC7" w:rsidRDefault="0087601C" w:rsidP="00D56051">
            <w:pPr>
              <w:rPr>
                <w:color w:val="000000" w:themeColor="text1"/>
              </w:rPr>
            </w:pPr>
          </w:p>
        </w:tc>
        <w:tc>
          <w:tcPr>
            <w:tcW w:w="3001" w:type="dxa"/>
          </w:tcPr>
          <w:p w14:paraId="0FBD5F1A" w14:textId="77777777" w:rsidR="0087601C" w:rsidRPr="006A1EC7" w:rsidRDefault="0087601C" w:rsidP="00D56051">
            <w:pPr>
              <w:rPr>
                <w:color w:val="000000" w:themeColor="text1"/>
              </w:rPr>
            </w:pPr>
          </w:p>
        </w:tc>
        <w:tc>
          <w:tcPr>
            <w:tcW w:w="3486" w:type="dxa"/>
          </w:tcPr>
          <w:p w14:paraId="6EF622BD" w14:textId="77777777" w:rsidR="0087601C" w:rsidRPr="006A1EC7" w:rsidRDefault="0087601C" w:rsidP="00D56051">
            <w:pPr>
              <w:rPr>
                <w:color w:val="000000" w:themeColor="text1"/>
              </w:rPr>
            </w:pPr>
          </w:p>
        </w:tc>
      </w:tr>
      <w:tr w:rsidR="0087601C" w:rsidRPr="006A1EC7" w14:paraId="6809A111" w14:textId="77777777" w:rsidTr="00D56051">
        <w:tc>
          <w:tcPr>
            <w:tcW w:w="3969" w:type="dxa"/>
          </w:tcPr>
          <w:p w14:paraId="4BC9594C" w14:textId="77777777" w:rsidR="0087601C" w:rsidRPr="006A1EC7" w:rsidRDefault="0087601C" w:rsidP="00D56051">
            <w:pPr>
              <w:rPr>
                <w:color w:val="000000" w:themeColor="text1"/>
              </w:rPr>
            </w:pPr>
            <w:r w:rsidRPr="006A1EC7">
              <w:rPr>
                <w:color w:val="000000" w:themeColor="text1"/>
                <w:sz w:val="20"/>
                <w:szCs w:val="20"/>
              </w:rPr>
              <w:t>Name of Researcher [printed]:</w:t>
            </w:r>
          </w:p>
        </w:tc>
        <w:tc>
          <w:tcPr>
            <w:tcW w:w="3001" w:type="dxa"/>
          </w:tcPr>
          <w:p w14:paraId="0673899C" w14:textId="77777777" w:rsidR="0087601C" w:rsidRPr="006A1EC7" w:rsidRDefault="0087601C" w:rsidP="00D56051">
            <w:pPr>
              <w:rPr>
                <w:color w:val="000000" w:themeColor="text1"/>
              </w:rPr>
            </w:pPr>
            <w:r w:rsidRPr="006A1EC7">
              <w:rPr>
                <w:color w:val="000000" w:themeColor="text1"/>
                <w:sz w:val="20"/>
                <w:szCs w:val="20"/>
              </w:rPr>
              <w:t>Signature:</w:t>
            </w:r>
          </w:p>
        </w:tc>
        <w:tc>
          <w:tcPr>
            <w:tcW w:w="3486" w:type="dxa"/>
          </w:tcPr>
          <w:p w14:paraId="1972E6B6" w14:textId="77777777" w:rsidR="0087601C" w:rsidRPr="006A1EC7" w:rsidRDefault="0087601C" w:rsidP="00D56051">
            <w:pPr>
              <w:rPr>
                <w:color w:val="000000" w:themeColor="text1"/>
              </w:rPr>
            </w:pPr>
            <w:r w:rsidRPr="006A1EC7">
              <w:rPr>
                <w:color w:val="000000" w:themeColor="text1"/>
                <w:sz w:val="20"/>
                <w:szCs w:val="20"/>
              </w:rPr>
              <w:t>Date:</w:t>
            </w:r>
          </w:p>
        </w:tc>
      </w:tr>
      <w:tr w:rsidR="0087601C" w:rsidRPr="006A1EC7" w14:paraId="16E2F8EB" w14:textId="77777777" w:rsidTr="00D56051">
        <w:trPr>
          <w:trHeight w:val="624"/>
        </w:trPr>
        <w:tc>
          <w:tcPr>
            <w:tcW w:w="3969" w:type="dxa"/>
          </w:tcPr>
          <w:p w14:paraId="5474F7EB" w14:textId="77777777" w:rsidR="0087601C" w:rsidRPr="006A1EC7" w:rsidRDefault="0087601C" w:rsidP="00D56051">
            <w:pPr>
              <w:rPr>
                <w:color w:val="000000" w:themeColor="text1"/>
                <w:sz w:val="20"/>
                <w:szCs w:val="20"/>
              </w:rPr>
            </w:pPr>
          </w:p>
          <w:p w14:paraId="2657DE0C" w14:textId="77777777" w:rsidR="0087601C" w:rsidRPr="006A1EC7" w:rsidRDefault="0087601C" w:rsidP="00D56051">
            <w:pPr>
              <w:rPr>
                <w:color w:val="000000" w:themeColor="text1"/>
                <w:sz w:val="20"/>
                <w:szCs w:val="20"/>
              </w:rPr>
            </w:pPr>
          </w:p>
        </w:tc>
        <w:tc>
          <w:tcPr>
            <w:tcW w:w="3001" w:type="dxa"/>
          </w:tcPr>
          <w:p w14:paraId="13EE2683" w14:textId="77777777" w:rsidR="0087601C" w:rsidRPr="006A1EC7" w:rsidRDefault="0087601C" w:rsidP="00D56051">
            <w:pPr>
              <w:rPr>
                <w:color w:val="000000" w:themeColor="text1"/>
                <w:sz w:val="20"/>
                <w:szCs w:val="20"/>
              </w:rPr>
            </w:pPr>
          </w:p>
        </w:tc>
        <w:tc>
          <w:tcPr>
            <w:tcW w:w="3486" w:type="dxa"/>
          </w:tcPr>
          <w:p w14:paraId="32483340" w14:textId="77777777" w:rsidR="0087601C" w:rsidRPr="006A1EC7" w:rsidRDefault="0087601C" w:rsidP="00D56051">
            <w:pPr>
              <w:rPr>
                <w:color w:val="000000" w:themeColor="text1"/>
                <w:sz w:val="20"/>
                <w:szCs w:val="20"/>
              </w:rPr>
            </w:pPr>
          </w:p>
        </w:tc>
      </w:tr>
    </w:tbl>
    <w:p w14:paraId="1F15B457" w14:textId="77777777" w:rsidR="0087601C" w:rsidRPr="006A1EC7" w:rsidRDefault="0087601C" w:rsidP="0087601C">
      <w:pPr>
        <w:rPr>
          <w:sz w:val="20"/>
          <w:szCs w:val="20"/>
        </w:rPr>
      </w:pPr>
      <w:bookmarkStart w:id="322" w:name="_gjdgxs" w:colFirst="0" w:colLast="0"/>
      <w:bookmarkEnd w:id="322"/>
    </w:p>
    <w:p w14:paraId="1EB4322B" w14:textId="77777777" w:rsidR="0087601C" w:rsidRPr="006A1EC7" w:rsidRDefault="0087601C" w:rsidP="0087601C">
      <w:pPr>
        <w:tabs>
          <w:tab w:val="left" w:pos="6240"/>
        </w:tabs>
        <w:rPr>
          <w:sz w:val="20"/>
          <w:szCs w:val="20"/>
        </w:rPr>
      </w:pPr>
      <w:r w:rsidRPr="006A1EC7">
        <w:rPr>
          <w:sz w:val="20"/>
          <w:szCs w:val="20"/>
        </w:rPr>
        <w:tab/>
      </w:r>
    </w:p>
    <w:p w14:paraId="3F82CEBB" w14:textId="349C61FC" w:rsidR="0087601C" w:rsidRPr="006A1EC7" w:rsidRDefault="0087601C" w:rsidP="0087601C">
      <w:pPr>
        <w:pStyle w:val="Heading4"/>
        <w:rPr>
          <w:rFonts w:ascii="Times New Roman" w:hAnsi="Times New Roman" w:cs="Times New Roman"/>
        </w:rPr>
      </w:pPr>
      <w:bookmarkStart w:id="323" w:name="_Toc17977993"/>
      <w:bookmarkStart w:id="324" w:name="_Toc38821492"/>
      <w:r w:rsidRPr="006A1EC7">
        <w:rPr>
          <w:rFonts w:ascii="Times New Roman" w:hAnsi="Times New Roman" w:cs="Times New Roman"/>
        </w:rPr>
        <w:t>Appendix 7.6: Instructions to Participants</w:t>
      </w:r>
      <w:bookmarkEnd w:id="323"/>
      <w:bookmarkEnd w:id="324"/>
    </w:p>
    <w:p w14:paraId="1841B3AE" w14:textId="77777777" w:rsidR="0087601C" w:rsidRPr="006A1EC7" w:rsidRDefault="0087601C" w:rsidP="0087601C"/>
    <w:p w14:paraId="2B96D93A" w14:textId="77777777" w:rsidR="0087601C" w:rsidRPr="006A1EC7" w:rsidRDefault="0087601C" w:rsidP="0087601C">
      <w:pPr>
        <w:rPr>
          <w:b/>
          <w:u w:val="single"/>
        </w:rPr>
      </w:pPr>
      <w:r w:rsidRPr="006A1EC7">
        <w:rPr>
          <w:b/>
          <w:u w:val="single"/>
        </w:rPr>
        <w:t>Instructions to participants</w:t>
      </w:r>
    </w:p>
    <w:p w14:paraId="551856B1" w14:textId="77777777" w:rsidR="0087601C" w:rsidRPr="006A1EC7" w:rsidRDefault="0087601C" w:rsidP="0087601C"/>
    <w:p w14:paraId="21C2AF3A" w14:textId="77777777" w:rsidR="0087601C" w:rsidRPr="006A1EC7" w:rsidRDefault="0087601C" w:rsidP="0087601C">
      <w:r w:rsidRPr="006A1EC7">
        <w:t>Thank you for your participation in this research; your participation and contribution are appreciated and valued.</w:t>
      </w:r>
    </w:p>
    <w:p w14:paraId="44C8FF44" w14:textId="77777777" w:rsidR="0087601C" w:rsidRPr="006A1EC7" w:rsidRDefault="0087601C" w:rsidP="0087601C">
      <w:r w:rsidRPr="006A1EC7">
        <w:t>You have been given two scenarios about two patients with Wolf-Hirschhorn syndrome and two copies of the Clinical outcome assessment (one copy of the rating scale for each patient case study).  All of the patients described have a diagnosis of Wolf-Hirschhorn syndrome confirmed by chromosome microarray. Please complete one Clinical Outcome Assessment for each patient scenario. If something is not mentioned, then you can assume it is negative (Examples: If no issues with hearing is mentioned, you can assume it is normal. Or, it may brain abnormalities are mentioned, you can assume it is normal).</w:t>
      </w:r>
    </w:p>
    <w:p w14:paraId="6DF59A35" w14:textId="77777777" w:rsidR="0087601C" w:rsidRPr="006A1EC7" w:rsidRDefault="0087601C" w:rsidP="0087601C">
      <w:r w:rsidRPr="006A1EC7">
        <w:t>There are no right or wrong answers; answers are based entirely on your clinical judgement. You can read the scenarios and fill out the rating scale simultaneously or read the scenario and then complete the questionnaire. It is entirely your preference!</w:t>
      </w:r>
    </w:p>
    <w:p w14:paraId="0229E08A" w14:textId="77777777" w:rsidR="0087601C" w:rsidRPr="006A1EC7" w:rsidRDefault="0087601C" w:rsidP="0087601C">
      <w:r w:rsidRPr="006A1EC7">
        <w:t xml:space="preserve">Again, many thanks for your time and participation. </w:t>
      </w:r>
    </w:p>
    <w:p w14:paraId="1B97B639" w14:textId="77777777" w:rsidR="0087601C" w:rsidRPr="006A1EC7" w:rsidRDefault="0087601C" w:rsidP="0087601C"/>
    <w:p w14:paraId="26366301" w14:textId="77777777" w:rsidR="0087601C" w:rsidRPr="006A1EC7" w:rsidRDefault="0087601C" w:rsidP="0087601C"/>
    <w:p w14:paraId="0F80F3FC" w14:textId="77777777" w:rsidR="0087601C" w:rsidRPr="006A1EC7" w:rsidRDefault="0087601C" w:rsidP="0087601C"/>
    <w:p w14:paraId="611CBD1F" w14:textId="77777777" w:rsidR="0087601C" w:rsidRPr="006A1EC7" w:rsidRDefault="0087601C" w:rsidP="0087601C">
      <w:pPr>
        <w:sectPr w:rsidR="0087601C" w:rsidRPr="006A1EC7" w:rsidSect="00D56051">
          <w:type w:val="nextColumn"/>
          <w:pgSz w:w="12240" w:h="15840"/>
          <w:pgMar w:top="1440" w:right="1701" w:bottom="1440" w:left="1701" w:header="708" w:footer="708" w:gutter="0"/>
          <w:cols w:space="708"/>
          <w:docGrid w:linePitch="360"/>
        </w:sectPr>
      </w:pPr>
    </w:p>
    <w:p w14:paraId="26903F68" w14:textId="2B694EA4" w:rsidR="0087601C" w:rsidRPr="006A1EC7" w:rsidRDefault="0087601C" w:rsidP="0087601C">
      <w:pPr>
        <w:pStyle w:val="Heading4"/>
        <w:rPr>
          <w:rFonts w:ascii="Times New Roman" w:eastAsiaTheme="minorHAnsi" w:hAnsi="Times New Roman" w:cs="Times New Roman"/>
        </w:rPr>
      </w:pPr>
      <w:bookmarkStart w:id="325" w:name="_Toc17977997"/>
      <w:bookmarkStart w:id="326" w:name="_Toc38821494"/>
      <w:r w:rsidRPr="006A1EC7">
        <w:rPr>
          <w:rFonts w:ascii="Times New Roman" w:hAnsi="Times New Roman" w:cs="Times New Roman"/>
        </w:rPr>
        <w:lastRenderedPageBreak/>
        <w:t>Appendix 7.7: Descriptive Statistics for Case Studies</w:t>
      </w:r>
      <w:bookmarkEnd w:id="325"/>
      <w:bookmarkEnd w:id="326"/>
      <w:r w:rsidRPr="006A1EC7">
        <w:rPr>
          <w:rFonts w:ascii="Times New Roman" w:hAnsi="Times New Roman" w:cs="Times New Roman"/>
        </w:rPr>
        <w:t xml:space="preserve"> </w:t>
      </w:r>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1"/>
        <w:gridCol w:w="1030"/>
        <w:gridCol w:w="1092"/>
        <w:gridCol w:w="1153"/>
        <w:gridCol w:w="1030"/>
        <w:gridCol w:w="1476"/>
      </w:tblGrid>
      <w:tr w:rsidR="0087601C" w:rsidRPr="006A1EC7" w14:paraId="6F8FDF48" w14:textId="77777777" w:rsidTr="00D56051">
        <w:trPr>
          <w:cantSplit/>
        </w:trPr>
        <w:tc>
          <w:tcPr>
            <w:tcW w:w="8127" w:type="dxa"/>
            <w:gridSpan w:val="6"/>
            <w:tcBorders>
              <w:top w:val="nil"/>
              <w:left w:val="nil"/>
              <w:bottom w:val="nil"/>
              <w:right w:val="nil"/>
            </w:tcBorders>
            <w:shd w:val="clear" w:color="auto" w:fill="FFFFFF"/>
            <w:vAlign w:val="center"/>
          </w:tcPr>
          <w:p w14:paraId="06DD36E7" w14:textId="77777777" w:rsidR="0087601C" w:rsidRPr="006A1EC7" w:rsidRDefault="0087601C" w:rsidP="00D56051">
            <w:pPr>
              <w:autoSpaceDE w:val="0"/>
              <w:autoSpaceDN w:val="0"/>
              <w:adjustRightInd w:val="0"/>
              <w:spacing w:line="320" w:lineRule="atLeast"/>
              <w:ind w:left="60" w:right="60"/>
              <w:jc w:val="center"/>
              <w:rPr>
                <w:rFonts w:eastAsiaTheme="minorHAnsi"/>
                <w:color w:val="010205"/>
                <w:sz w:val="30"/>
                <w:szCs w:val="30"/>
              </w:rPr>
            </w:pPr>
            <w:r w:rsidRPr="006A1EC7">
              <w:rPr>
                <w:rFonts w:eastAsiaTheme="minorHAnsi"/>
                <w:b/>
                <w:bCs/>
                <w:color w:val="010205"/>
                <w:sz w:val="30"/>
                <w:szCs w:val="30"/>
              </w:rPr>
              <w:t>Descriptive Statistics</w:t>
            </w:r>
          </w:p>
        </w:tc>
      </w:tr>
      <w:tr w:rsidR="0087601C" w:rsidRPr="006A1EC7" w14:paraId="0FFBDB81" w14:textId="77777777" w:rsidTr="00D56051">
        <w:trPr>
          <w:cantSplit/>
        </w:trPr>
        <w:tc>
          <w:tcPr>
            <w:tcW w:w="2351" w:type="dxa"/>
            <w:tcBorders>
              <w:top w:val="nil"/>
              <w:left w:val="nil"/>
              <w:bottom w:val="single" w:sz="8" w:space="0" w:color="152935"/>
              <w:right w:val="nil"/>
            </w:tcBorders>
            <w:shd w:val="clear" w:color="auto" w:fill="FFFFFF"/>
            <w:vAlign w:val="bottom"/>
          </w:tcPr>
          <w:p w14:paraId="7D75C32A" w14:textId="77777777" w:rsidR="0087601C" w:rsidRPr="006A1EC7" w:rsidRDefault="0087601C" w:rsidP="00D56051">
            <w:pPr>
              <w:autoSpaceDE w:val="0"/>
              <w:autoSpaceDN w:val="0"/>
              <w:adjustRightInd w:val="0"/>
              <w:rPr>
                <w:rFonts w:eastAsiaTheme="minorHAnsi"/>
              </w:rPr>
            </w:pPr>
          </w:p>
        </w:tc>
        <w:tc>
          <w:tcPr>
            <w:tcW w:w="1029" w:type="dxa"/>
            <w:tcBorders>
              <w:top w:val="nil"/>
              <w:left w:val="nil"/>
              <w:bottom w:val="single" w:sz="8" w:space="0" w:color="152935"/>
              <w:right w:val="single" w:sz="8" w:space="0" w:color="E0E0E0"/>
            </w:tcBorders>
            <w:shd w:val="clear" w:color="auto" w:fill="FFFFFF"/>
            <w:vAlign w:val="bottom"/>
          </w:tcPr>
          <w:p w14:paraId="29CD25C2"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N</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3E2E54ED"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Minimum</w:t>
            </w:r>
          </w:p>
        </w:tc>
        <w:tc>
          <w:tcPr>
            <w:tcW w:w="1152" w:type="dxa"/>
            <w:tcBorders>
              <w:top w:val="nil"/>
              <w:left w:val="single" w:sz="8" w:space="0" w:color="E0E0E0"/>
              <w:bottom w:val="single" w:sz="8" w:space="0" w:color="152935"/>
              <w:right w:val="single" w:sz="8" w:space="0" w:color="E0E0E0"/>
            </w:tcBorders>
            <w:shd w:val="clear" w:color="auto" w:fill="FFFFFF"/>
            <w:vAlign w:val="bottom"/>
          </w:tcPr>
          <w:p w14:paraId="127CCC96"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8C14AB7"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Mean</w:t>
            </w:r>
          </w:p>
        </w:tc>
        <w:tc>
          <w:tcPr>
            <w:tcW w:w="1475" w:type="dxa"/>
            <w:tcBorders>
              <w:top w:val="nil"/>
              <w:left w:val="single" w:sz="8" w:space="0" w:color="E0E0E0"/>
              <w:bottom w:val="single" w:sz="8" w:space="0" w:color="152935"/>
              <w:right w:val="nil"/>
            </w:tcBorders>
            <w:shd w:val="clear" w:color="auto" w:fill="FFFFFF"/>
            <w:vAlign w:val="bottom"/>
          </w:tcPr>
          <w:p w14:paraId="0A5C3F7A"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Std. Deviation</w:t>
            </w:r>
          </w:p>
        </w:tc>
      </w:tr>
      <w:tr w:rsidR="0087601C" w:rsidRPr="006A1EC7" w14:paraId="0EA8AF87" w14:textId="77777777" w:rsidTr="00D56051">
        <w:trPr>
          <w:cantSplit/>
        </w:trPr>
        <w:tc>
          <w:tcPr>
            <w:tcW w:w="2351" w:type="dxa"/>
            <w:tcBorders>
              <w:top w:val="single" w:sz="8" w:space="0" w:color="152935"/>
              <w:left w:val="nil"/>
              <w:bottom w:val="single" w:sz="8" w:space="0" w:color="AEAEAE"/>
              <w:right w:val="nil"/>
            </w:tcBorders>
            <w:shd w:val="clear" w:color="auto" w:fill="E0E0E0"/>
          </w:tcPr>
          <w:p w14:paraId="4C208F79"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T2Alessandro_Total</w:t>
            </w:r>
          </w:p>
        </w:tc>
        <w:tc>
          <w:tcPr>
            <w:tcW w:w="1029" w:type="dxa"/>
            <w:tcBorders>
              <w:top w:val="single" w:sz="8" w:space="0" w:color="152935"/>
              <w:left w:val="nil"/>
              <w:bottom w:val="single" w:sz="8" w:space="0" w:color="AEAEAE"/>
              <w:right w:val="single" w:sz="8" w:space="0" w:color="E0E0E0"/>
            </w:tcBorders>
            <w:shd w:val="clear" w:color="auto" w:fill="FFFFFF"/>
          </w:tcPr>
          <w:p w14:paraId="182CE3D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0D2E2CA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66</w:t>
            </w:r>
          </w:p>
        </w:tc>
        <w:tc>
          <w:tcPr>
            <w:tcW w:w="1152" w:type="dxa"/>
            <w:tcBorders>
              <w:top w:val="single" w:sz="8" w:space="0" w:color="152935"/>
              <w:left w:val="single" w:sz="8" w:space="0" w:color="E0E0E0"/>
              <w:bottom w:val="single" w:sz="8" w:space="0" w:color="AEAEAE"/>
              <w:right w:val="single" w:sz="8" w:space="0" w:color="E0E0E0"/>
            </w:tcBorders>
            <w:shd w:val="clear" w:color="auto" w:fill="FFFFFF"/>
          </w:tcPr>
          <w:p w14:paraId="3F74430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A3B87F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67.25</w:t>
            </w:r>
          </w:p>
        </w:tc>
        <w:tc>
          <w:tcPr>
            <w:tcW w:w="1475" w:type="dxa"/>
            <w:tcBorders>
              <w:top w:val="single" w:sz="8" w:space="0" w:color="152935"/>
              <w:left w:val="single" w:sz="8" w:space="0" w:color="E0E0E0"/>
              <w:bottom w:val="single" w:sz="8" w:space="0" w:color="AEAEAE"/>
              <w:right w:val="nil"/>
            </w:tcBorders>
            <w:shd w:val="clear" w:color="auto" w:fill="FFFFFF"/>
          </w:tcPr>
          <w:p w14:paraId="08DC836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.957</w:t>
            </w:r>
          </w:p>
        </w:tc>
      </w:tr>
      <w:tr w:rsidR="0087601C" w:rsidRPr="006A1EC7" w14:paraId="439F813E"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862839D"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w:t>
            </w:r>
          </w:p>
        </w:tc>
        <w:tc>
          <w:tcPr>
            <w:tcW w:w="1029" w:type="dxa"/>
            <w:tcBorders>
              <w:top w:val="single" w:sz="8" w:space="0" w:color="AEAEAE"/>
              <w:left w:val="nil"/>
              <w:bottom w:val="single" w:sz="8" w:space="0" w:color="AEAEAE"/>
              <w:right w:val="single" w:sz="8" w:space="0" w:color="E0E0E0"/>
            </w:tcBorders>
            <w:shd w:val="clear" w:color="auto" w:fill="FFFFFF"/>
          </w:tcPr>
          <w:p w14:paraId="7660195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FBA046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7E4730B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23D14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551FE4F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3A571CFB"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92DF320"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w:t>
            </w:r>
          </w:p>
        </w:tc>
        <w:tc>
          <w:tcPr>
            <w:tcW w:w="1029" w:type="dxa"/>
            <w:tcBorders>
              <w:top w:val="single" w:sz="8" w:space="0" w:color="AEAEAE"/>
              <w:left w:val="nil"/>
              <w:bottom w:val="single" w:sz="8" w:space="0" w:color="AEAEAE"/>
              <w:right w:val="single" w:sz="8" w:space="0" w:color="E0E0E0"/>
            </w:tcBorders>
            <w:shd w:val="clear" w:color="auto" w:fill="FFFFFF"/>
          </w:tcPr>
          <w:p w14:paraId="52D4F70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F15B0A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E2763E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82FFE8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1.78</w:t>
            </w:r>
          </w:p>
        </w:tc>
        <w:tc>
          <w:tcPr>
            <w:tcW w:w="1475" w:type="dxa"/>
            <w:tcBorders>
              <w:top w:val="single" w:sz="8" w:space="0" w:color="AEAEAE"/>
              <w:left w:val="single" w:sz="8" w:space="0" w:color="E0E0E0"/>
              <w:bottom w:val="single" w:sz="8" w:space="0" w:color="AEAEAE"/>
              <w:right w:val="nil"/>
            </w:tcBorders>
            <w:shd w:val="clear" w:color="auto" w:fill="FFFFFF"/>
          </w:tcPr>
          <w:p w14:paraId="0443DBE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.441</w:t>
            </w:r>
          </w:p>
        </w:tc>
      </w:tr>
      <w:tr w:rsidR="0087601C" w:rsidRPr="006A1EC7" w14:paraId="7133193C"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3AFFA5A5"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T1Alessandro_Face</w:t>
            </w:r>
          </w:p>
        </w:tc>
        <w:tc>
          <w:tcPr>
            <w:tcW w:w="1029" w:type="dxa"/>
            <w:tcBorders>
              <w:top w:val="single" w:sz="8" w:space="0" w:color="AEAEAE"/>
              <w:left w:val="nil"/>
              <w:bottom w:val="single" w:sz="8" w:space="0" w:color="AEAEAE"/>
              <w:right w:val="single" w:sz="8" w:space="0" w:color="E0E0E0"/>
            </w:tcBorders>
            <w:shd w:val="clear" w:color="auto" w:fill="FFFFFF"/>
          </w:tcPr>
          <w:p w14:paraId="7C828A5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70174C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DE911D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15D428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3.53</w:t>
            </w:r>
          </w:p>
        </w:tc>
        <w:tc>
          <w:tcPr>
            <w:tcW w:w="1475" w:type="dxa"/>
            <w:tcBorders>
              <w:top w:val="single" w:sz="8" w:space="0" w:color="AEAEAE"/>
              <w:left w:val="single" w:sz="8" w:space="0" w:color="E0E0E0"/>
              <w:bottom w:val="single" w:sz="8" w:space="0" w:color="AEAEAE"/>
              <w:right w:val="nil"/>
            </w:tcBorders>
            <w:shd w:val="clear" w:color="auto" w:fill="FFFFFF"/>
          </w:tcPr>
          <w:p w14:paraId="71CD6F4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.797</w:t>
            </w:r>
          </w:p>
        </w:tc>
      </w:tr>
      <w:tr w:rsidR="0087601C" w:rsidRPr="006A1EC7" w14:paraId="05B4ADF4"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05C16B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T1Alessandro_Epilepsy</w:t>
            </w:r>
          </w:p>
        </w:tc>
        <w:tc>
          <w:tcPr>
            <w:tcW w:w="1029" w:type="dxa"/>
            <w:tcBorders>
              <w:top w:val="single" w:sz="8" w:space="0" w:color="AEAEAE"/>
              <w:left w:val="nil"/>
              <w:bottom w:val="single" w:sz="8" w:space="0" w:color="AEAEAE"/>
              <w:right w:val="single" w:sz="8" w:space="0" w:color="E0E0E0"/>
            </w:tcBorders>
            <w:shd w:val="clear" w:color="auto" w:fill="FFFFFF"/>
          </w:tcPr>
          <w:p w14:paraId="77E1724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1EEA064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2FFAEA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5DB325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w:t>
            </w:r>
          </w:p>
        </w:tc>
        <w:tc>
          <w:tcPr>
            <w:tcW w:w="1475" w:type="dxa"/>
            <w:tcBorders>
              <w:top w:val="single" w:sz="8" w:space="0" w:color="AEAEAE"/>
              <w:left w:val="single" w:sz="8" w:space="0" w:color="E0E0E0"/>
              <w:bottom w:val="single" w:sz="8" w:space="0" w:color="AEAEAE"/>
              <w:right w:val="nil"/>
            </w:tcBorders>
            <w:shd w:val="clear" w:color="auto" w:fill="FFFFFF"/>
          </w:tcPr>
          <w:p w14:paraId="752774B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.801</w:t>
            </w:r>
          </w:p>
        </w:tc>
      </w:tr>
      <w:tr w:rsidR="0087601C" w:rsidRPr="006A1EC7" w14:paraId="73C5CB9A"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F8222A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T1Alessandro_Gastroin</w:t>
            </w:r>
          </w:p>
        </w:tc>
        <w:tc>
          <w:tcPr>
            <w:tcW w:w="1029" w:type="dxa"/>
            <w:tcBorders>
              <w:top w:val="single" w:sz="8" w:space="0" w:color="AEAEAE"/>
              <w:left w:val="nil"/>
              <w:bottom w:val="single" w:sz="8" w:space="0" w:color="AEAEAE"/>
              <w:right w:val="single" w:sz="8" w:space="0" w:color="E0E0E0"/>
            </w:tcBorders>
            <w:shd w:val="clear" w:color="auto" w:fill="FFFFFF"/>
          </w:tcPr>
          <w:p w14:paraId="3E78900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2392B5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6406C3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083678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20.95</w:t>
            </w:r>
          </w:p>
        </w:tc>
        <w:tc>
          <w:tcPr>
            <w:tcW w:w="1475" w:type="dxa"/>
            <w:tcBorders>
              <w:top w:val="single" w:sz="8" w:space="0" w:color="AEAEAE"/>
              <w:left w:val="single" w:sz="8" w:space="0" w:color="E0E0E0"/>
              <w:bottom w:val="single" w:sz="8" w:space="0" w:color="AEAEAE"/>
              <w:right w:val="nil"/>
            </w:tcBorders>
            <w:shd w:val="clear" w:color="auto" w:fill="FFFFFF"/>
          </w:tcPr>
          <w:p w14:paraId="4C2648D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2.185</w:t>
            </w:r>
          </w:p>
        </w:tc>
      </w:tr>
      <w:tr w:rsidR="0087601C" w:rsidRPr="006A1EC7" w14:paraId="47D5D962"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620DAA5"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T1Alessandro_Cardio</w:t>
            </w:r>
          </w:p>
        </w:tc>
        <w:tc>
          <w:tcPr>
            <w:tcW w:w="1029" w:type="dxa"/>
            <w:tcBorders>
              <w:top w:val="single" w:sz="8" w:space="0" w:color="AEAEAE"/>
              <w:left w:val="nil"/>
              <w:bottom w:val="single" w:sz="8" w:space="0" w:color="AEAEAE"/>
              <w:right w:val="single" w:sz="8" w:space="0" w:color="E0E0E0"/>
            </w:tcBorders>
            <w:shd w:val="clear" w:color="auto" w:fill="FFFFFF"/>
          </w:tcPr>
          <w:p w14:paraId="35709D9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C5BA0A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22EC98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F56BD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5.00</w:t>
            </w:r>
          </w:p>
        </w:tc>
        <w:tc>
          <w:tcPr>
            <w:tcW w:w="1475" w:type="dxa"/>
            <w:tcBorders>
              <w:top w:val="single" w:sz="8" w:space="0" w:color="AEAEAE"/>
              <w:left w:val="single" w:sz="8" w:space="0" w:color="E0E0E0"/>
              <w:bottom w:val="single" w:sz="8" w:space="0" w:color="AEAEAE"/>
              <w:right w:val="nil"/>
            </w:tcBorders>
            <w:shd w:val="clear" w:color="auto" w:fill="FFFFFF"/>
          </w:tcPr>
          <w:p w14:paraId="1D36513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.232</w:t>
            </w:r>
          </w:p>
        </w:tc>
      </w:tr>
      <w:tr w:rsidR="0087601C" w:rsidRPr="006A1EC7" w14:paraId="270D37F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20165D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T1Alessandro_CNS</w:t>
            </w:r>
          </w:p>
        </w:tc>
        <w:tc>
          <w:tcPr>
            <w:tcW w:w="1029" w:type="dxa"/>
            <w:tcBorders>
              <w:top w:val="single" w:sz="8" w:space="0" w:color="AEAEAE"/>
              <w:left w:val="nil"/>
              <w:bottom w:val="single" w:sz="8" w:space="0" w:color="AEAEAE"/>
              <w:right w:val="single" w:sz="8" w:space="0" w:color="E0E0E0"/>
            </w:tcBorders>
            <w:shd w:val="clear" w:color="auto" w:fill="FFFFFF"/>
          </w:tcPr>
          <w:p w14:paraId="3AAD79E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C2B13D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BA53FC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8B935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14.97</w:t>
            </w:r>
          </w:p>
        </w:tc>
        <w:tc>
          <w:tcPr>
            <w:tcW w:w="1475" w:type="dxa"/>
            <w:tcBorders>
              <w:top w:val="single" w:sz="8" w:space="0" w:color="AEAEAE"/>
              <w:left w:val="single" w:sz="8" w:space="0" w:color="E0E0E0"/>
              <w:bottom w:val="single" w:sz="8" w:space="0" w:color="AEAEAE"/>
              <w:right w:val="nil"/>
            </w:tcBorders>
            <w:shd w:val="clear" w:color="auto" w:fill="FFFFFF"/>
          </w:tcPr>
          <w:p w14:paraId="4EA18F8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1.585</w:t>
            </w:r>
          </w:p>
        </w:tc>
      </w:tr>
      <w:tr w:rsidR="0087601C" w:rsidRPr="006A1EC7" w14:paraId="3DD6AAE6"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127EDF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T1Alessandro_Immun</w:t>
            </w:r>
          </w:p>
        </w:tc>
        <w:tc>
          <w:tcPr>
            <w:tcW w:w="1029" w:type="dxa"/>
            <w:tcBorders>
              <w:top w:val="single" w:sz="8" w:space="0" w:color="AEAEAE"/>
              <w:left w:val="nil"/>
              <w:bottom w:val="single" w:sz="8" w:space="0" w:color="AEAEAE"/>
              <w:right w:val="single" w:sz="8" w:space="0" w:color="E0E0E0"/>
            </w:tcBorders>
            <w:shd w:val="clear" w:color="auto" w:fill="FFFFFF"/>
          </w:tcPr>
          <w:p w14:paraId="33E11FA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E8749D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7289B9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BE5CB9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8.70</w:t>
            </w:r>
          </w:p>
        </w:tc>
        <w:tc>
          <w:tcPr>
            <w:tcW w:w="1475" w:type="dxa"/>
            <w:tcBorders>
              <w:top w:val="single" w:sz="8" w:space="0" w:color="AEAEAE"/>
              <w:left w:val="single" w:sz="8" w:space="0" w:color="E0E0E0"/>
              <w:bottom w:val="single" w:sz="8" w:space="0" w:color="AEAEAE"/>
              <w:right w:val="nil"/>
            </w:tcBorders>
            <w:shd w:val="clear" w:color="auto" w:fill="FFFFFF"/>
          </w:tcPr>
          <w:p w14:paraId="79BF601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.996</w:t>
            </w:r>
          </w:p>
        </w:tc>
      </w:tr>
      <w:tr w:rsidR="0087601C" w:rsidRPr="006A1EC7" w14:paraId="731BA785"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6F67114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T1Alessandro_Func</w:t>
            </w:r>
          </w:p>
        </w:tc>
        <w:tc>
          <w:tcPr>
            <w:tcW w:w="1029" w:type="dxa"/>
            <w:tcBorders>
              <w:top w:val="single" w:sz="8" w:space="0" w:color="AEAEAE"/>
              <w:left w:val="nil"/>
              <w:bottom w:val="single" w:sz="8" w:space="0" w:color="AEAEAE"/>
              <w:right w:val="single" w:sz="8" w:space="0" w:color="E0E0E0"/>
            </w:tcBorders>
            <w:shd w:val="clear" w:color="auto" w:fill="FFFFFF"/>
          </w:tcPr>
          <w:p w14:paraId="600F5EF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26</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8BBC36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6437EA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5E0C9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10.27</w:t>
            </w:r>
          </w:p>
        </w:tc>
        <w:tc>
          <w:tcPr>
            <w:tcW w:w="1475" w:type="dxa"/>
            <w:tcBorders>
              <w:top w:val="single" w:sz="8" w:space="0" w:color="AEAEAE"/>
              <w:left w:val="single" w:sz="8" w:space="0" w:color="E0E0E0"/>
              <w:bottom w:val="single" w:sz="8" w:space="0" w:color="AEAEAE"/>
              <w:right w:val="nil"/>
            </w:tcBorders>
            <w:shd w:val="clear" w:color="auto" w:fill="FFFFFF"/>
          </w:tcPr>
          <w:p w14:paraId="2116648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1.079</w:t>
            </w:r>
          </w:p>
        </w:tc>
      </w:tr>
      <w:tr w:rsidR="0087601C" w:rsidRPr="006A1EC7" w14:paraId="138ABF7A"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6F68BA9"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T2Alessandro_Face</w:t>
            </w:r>
          </w:p>
        </w:tc>
        <w:tc>
          <w:tcPr>
            <w:tcW w:w="1029" w:type="dxa"/>
            <w:tcBorders>
              <w:top w:val="single" w:sz="8" w:space="0" w:color="AEAEAE"/>
              <w:left w:val="nil"/>
              <w:bottom w:val="single" w:sz="8" w:space="0" w:color="AEAEAE"/>
              <w:right w:val="single" w:sz="8" w:space="0" w:color="E0E0E0"/>
            </w:tcBorders>
            <w:shd w:val="clear" w:color="auto" w:fill="FFFFFF"/>
          </w:tcPr>
          <w:p w14:paraId="3B588D1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F28814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FF4017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EE9246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3.14</w:t>
            </w:r>
          </w:p>
        </w:tc>
        <w:tc>
          <w:tcPr>
            <w:tcW w:w="1475" w:type="dxa"/>
            <w:tcBorders>
              <w:top w:val="single" w:sz="8" w:space="0" w:color="AEAEAE"/>
              <w:left w:val="single" w:sz="8" w:space="0" w:color="E0E0E0"/>
              <w:bottom w:val="single" w:sz="8" w:space="0" w:color="AEAEAE"/>
              <w:right w:val="nil"/>
            </w:tcBorders>
            <w:shd w:val="clear" w:color="auto" w:fill="FFFFFF"/>
          </w:tcPr>
          <w:p w14:paraId="4127162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.690</w:t>
            </w:r>
          </w:p>
        </w:tc>
      </w:tr>
      <w:tr w:rsidR="0087601C" w:rsidRPr="006A1EC7" w14:paraId="0F675FD9"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CE059DA"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T2Alessandro_Epilepsy</w:t>
            </w:r>
          </w:p>
        </w:tc>
        <w:tc>
          <w:tcPr>
            <w:tcW w:w="1029" w:type="dxa"/>
            <w:tcBorders>
              <w:top w:val="single" w:sz="8" w:space="0" w:color="AEAEAE"/>
              <w:left w:val="nil"/>
              <w:bottom w:val="single" w:sz="8" w:space="0" w:color="AEAEAE"/>
              <w:right w:val="single" w:sz="8" w:space="0" w:color="E0E0E0"/>
            </w:tcBorders>
            <w:shd w:val="clear" w:color="auto" w:fill="FFFFFF"/>
          </w:tcPr>
          <w:p w14:paraId="55E3D25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0084A4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7915C83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3AE40E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5EFC481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7D12D6F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BD4BD1C"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T2Alessandro_Gastroin</w:t>
            </w:r>
          </w:p>
        </w:tc>
        <w:tc>
          <w:tcPr>
            <w:tcW w:w="1029" w:type="dxa"/>
            <w:tcBorders>
              <w:top w:val="single" w:sz="8" w:space="0" w:color="AEAEAE"/>
              <w:left w:val="nil"/>
              <w:bottom w:val="single" w:sz="8" w:space="0" w:color="AEAEAE"/>
              <w:right w:val="single" w:sz="8" w:space="0" w:color="E0E0E0"/>
            </w:tcBorders>
            <w:shd w:val="clear" w:color="auto" w:fill="FFFFFF"/>
          </w:tcPr>
          <w:p w14:paraId="7B67944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FAFDE4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8EF211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8D513E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20.57</w:t>
            </w:r>
          </w:p>
        </w:tc>
        <w:tc>
          <w:tcPr>
            <w:tcW w:w="1475" w:type="dxa"/>
            <w:tcBorders>
              <w:top w:val="single" w:sz="8" w:space="0" w:color="AEAEAE"/>
              <w:left w:val="single" w:sz="8" w:space="0" w:color="E0E0E0"/>
              <w:bottom w:val="single" w:sz="8" w:space="0" w:color="AEAEAE"/>
              <w:right w:val="nil"/>
            </w:tcBorders>
            <w:shd w:val="clear" w:color="auto" w:fill="FFFFFF"/>
          </w:tcPr>
          <w:p w14:paraId="216A10C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1.134</w:t>
            </w:r>
          </w:p>
        </w:tc>
      </w:tr>
      <w:tr w:rsidR="0087601C" w:rsidRPr="006A1EC7" w14:paraId="42C60EC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6CCD94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T2Alessandro_Cardio</w:t>
            </w:r>
          </w:p>
        </w:tc>
        <w:tc>
          <w:tcPr>
            <w:tcW w:w="1029" w:type="dxa"/>
            <w:tcBorders>
              <w:top w:val="single" w:sz="8" w:space="0" w:color="AEAEAE"/>
              <w:left w:val="nil"/>
              <w:bottom w:val="single" w:sz="8" w:space="0" w:color="AEAEAE"/>
              <w:right w:val="single" w:sz="8" w:space="0" w:color="E0E0E0"/>
            </w:tcBorders>
            <w:shd w:val="clear" w:color="auto" w:fill="FFFFFF"/>
          </w:tcPr>
          <w:p w14:paraId="0BB8713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DDBADC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FA5CB7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7B3B7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5.14</w:t>
            </w:r>
          </w:p>
        </w:tc>
        <w:tc>
          <w:tcPr>
            <w:tcW w:w="1475" w:type="dxa"/>
            <w:tcBorders>
              <w:top w:val="single" w:sz="8" w:space="0" w:color="AEAEAE"/>
              <w:left w:val="single" w:sz="8" w:space="0" w:color="E0E0E0"/>
              <w:bottom w:val="single" w:sz="8" w:space="0" w:color="AEAEAE"/>
              <w:right w:val="nil"/>
            </w:tcBorders>
            <w:shd w:val="clear" w:color="auto" w:fill="FFFFFF"/>
          </w:tcPr>
          <w:p w14:paraId="40A6318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.378</w:t>
            </w:r>
          </w:p>
        </w:tc>
      </w:tr>
      <w:tr w:rsidR="0087601C" w:rsidRPr="006A1EC7" w14:paraId="3C04727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332F916"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T2Alessandro_CNS</w:t>
            </w:r>
          </w:p>
        </w:tc>
        <w:tc>
          <w:tcPr>
            <w:tcW w:w="1029" w:type="dxa"/>
            <w:tcBorders>
              <w:top w:val="single" w:sz="8" w:space="0" w:color="AEAEAE"/>
              <w:left w:val="nil"/>
              <w:bottom w:val="single" w:sz="8" w:space="0" w:color="AEAEAE"/>
              <w:right w:val="single" w:sz="8" w:space="0" w:color="E0E0E0"/>
            </w:tcBorders>
            <w:shd w:val="clear" w:color="auto" w:fill="FFFFFF"/>
          </w:tcPr>
          <w:p w14:paraId="158A8B5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F0FA9D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6F2BFB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9B2CFE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14.71</w:t>
            </w:r>
          </w:p>
        </w:tc>
        <w:tc>
          <w:tcPr>
            <w:tcW w:w="1475" w:type="dxa"/>
            <w:tcBorders>
              <w:top w:val="single" w:sz="8" w:space="0" w:color="AEAEAE"/>
              <w:left w:val="single" w:sz="8" w:space="0" w:color="E0E0E0"/>
              <w:bottom w:val="single" w:sz="8" w:space="0" w:color="AEAEAE"/>
              <w:right w:val="nil"/>
            </w:tcBorders>
            <w:shd w:val="clear" w:color="auto" w:fill="FFFFFF"/>
          </w:tcPr>
          <w:p w14:paraId="5BE003F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.488</w:t>
            </w:r>
          </w:p>
        </w:tc>
      </w:tr>
      <w:tr w:rsidR="0087601C" w:rsidRPr="006A1EC7" w14:paraId="64CB12C4"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11A93739"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T2Alessandro_Immun</w:t>
            </w:r>
          </w:p>
        </w:tc>
        <w:tc>
          <w:tcPr>
            <w:tcW w:w="1029" w:type="dxa"/>
            <w:tcBorders>
              <w:top w:val="single" w:sz="8" w:space="0" w:color="AEAEAE"/>
              <w:left w:val="nil"/>
              <w:bottom w:val="single" w:sz="8" w:space="0" w:color="AEAEAE"/>
              <w:right w:val="single" w:sz="8" w:space="0" w:color="E0E0E0"/>
            </w:tcBorders>
            <w:shd w:val="clear" w:color="auto" w:fill="FFFFFF"/>
          </w:tcPr>
          <w:p w14:paraId="23B84B5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02E327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7523F5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953E2A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8.57</w:t>
            </w:r>
          </w:p>
        </w:tc>
        <w:tc>
          <w:tcPr>
            <w:tcW w:w="1475" w:type="dxa"/>
            <w:tcBorders>
              <w:top w:val="single" w:sz="8" w:space="0" w:color="AEAEAE"/>
              <w:left w:val="single" w:sz="8" w:space="0" w:color="E0E0E0"/>
              <w:bottom w:val="single" w:sz="8" w:space="0" w:color="AEAEAE"/>
              <w:right w:val="nil"/>
            </w:tcBorders>
            <w:shd w:val="clear" w:color="auto" w:fill="FFFFFF"/>
          </w:tcPr>
          <w:p w14:paraId="522B5E3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1.134</w:t>
            </w:r>
          </w:p>
        </w:tc>
      </w:tr>
      <w:tr w:rsidR="0087601C" w:rsidRPr="006A1EC7" w14:paraId="5EA0C517"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D9BC36A"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T1Bronagh_Face</w:t>
            </w:r>
          </w:p>
        </w:tc>
        <w:tc>
          <w:tcPr>
            <w:tcW w:w="1029" w:type="dxa"/>
            <w:tcBorders>
              <w:top w:val="single" w:sz="8" w:space="0" w:color="AEAEAE"/>
              <w:left w:val="nil"/>
              <w:bottom w:val="single" w:sz="8" w:space="0" w:color="AEAEAE"/>
              <w:right w:val="single" w:sz="8" w:space="0" w:color="E0E0E0"/>
            </w:tcBorders>
            <w:shd w:val="clear" w:color="auto" w:fill="FFFFFF"/>
          </w:tcPr>
          <w:p w14:paraId="3BA4AE0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7B4E0F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12733D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7FC2C8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1.00</w:t>
            </w:r>
          </w:p>
        </w:tc>
        <w:tc>
          <w:tcPr>
            <w:tcW w:w="1475" w:type="dxa"/>
            <w:tcBorders>
              <w:top w:val="single" w:sz="8" w:space="0" w:color="AEAEAE"/>
              <w:left w:val="single" w:sz="8" w:space="0" w:color="E0E0E0"/>
              <w:bottom w:val="single" w:sz="8" w:space="0" w:color="AEAEAE"/>
              <w:right w:val="nil"/>
            </w:tcBorders>
            <w:shd w:val="clear" w:color="auto" w:fill="FFFFFF"/>
          </w:tcPr>
          <w:p w14:paraId="3044E8B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.471</w:t>
            </w:r>
          </w:p>
        </w:tc>
      </w:tr>
      <w:tr w:rsidR="0087601C" w:rsidRPr="006A1EC7" w14:paraId="49C9EEEC"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8B5F2EC"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T1Bronagh_Epilepsy</w:t>
            </w:r>
          </w:p>
        </w:tc>
        <w:tc>
          <w:tcPr>
            <w:tcW w:w="1029" w:type="dxa"/>
            <w:tcBorders>
              <w:top w:val="single" w:sz="8" w:space="0" w:color="AEAEAE"/>
              <w:left w:val="nil"/>
              <w:bottom w:val="single" w:sz="8" w:space="0" w:color="AEAEAE"/>
              <w:right w:val="single" w:sz="8" w:space="0" w:color="E0E0E0"/>
            </w:tcBorders>
            <w:shd w:val="clear" w:color="auto" w:fill="FFFFFF"/>
          </w:tcPr>
          <w:p w14:paraId="5735335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EFF176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B32786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40FB8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1.65</w:t>
            </w:r>
          </w:p>
        </w:tc>
        <w:tc>
          <w:tcPr>
            <w:tcW w:w="1475" w:type="dxa"/>
            <w:tcBorders>
              <w:top w:val="single" w:sz="8" w:space="0" w:color="AEAEAE"/>
              <w:left w:val="single" w:sz="8" w:space="0" w:color="E0E0E0"/>
              <w:bottom w:val="single" w:sz="8" w:space="0" w:color="AEAEAE"/>
              <w:right w:val="nil"/>
            </w:tcBorders>
            <w:shd w:val="clear" w:color="auto" w:fill="FFFFFF"/>
          </w:tcPr>
          <w:p w14:paraId="19FE3F2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1.136</w:t>
            </w:r>
          </w:p>
        </w:tc>
      </w:tr>
      <w:tr w:rsidR="0087601C" w:rsidRPr="006A1EC7" w14:paraId="48EF984B"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62DFA435"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T1Bronagh_Gastroin</w:t>
            </w:r>
          </w:p>
        </w:tc>
        <w:tc>
          <w:tcPr>
            <w:tcW w:w="1029" w:type="dxa"/>
            <w:tcBorders>
              <w:top w:val="single" w:sz="8" w:space="0" w:color="AEAEAE"/>
              <w:left w:val="nil"/>
              <w:bottom w:val="single" w:sz="8" w:space="0" w:color="AEAEAE"/>
              <w:right w:val="single" w:sz="8" w:space="0" w:color="E0E0E0"/>
            </w:tcBorders>
            <w:shd w:val="clear" w:color="auto" w:fill="FFFFFF"/>
          </w:tcPr>
          <w:p w14:paraId="38AB623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36</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1E4A7F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C0C4E2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F1DFF9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9.28</w:t>
            </w:r>
          </w:p>
        </w:tc>
        <w:tc>
          <w:tcPr>
            <w:tcW w:w="1475" w:type="dxa"/>
            <w:tcBorders>
              <w:top w:val="single" w:sz="8" w:space="0" w:color="AEAEAE"/>
              <w:left w:val="single" w:sz="8" w:space="0" w:color="E0E0E0"/>
              <w:bottom w:val="single" w:sz="8" w:space="0" w:color="AEAEAE"/>
              <w:right w:val="nil"/>
            </w:tcBorders>
            <w:shd w:val="clear" w:color="auto" w:fill="FFFFFF"/>
          </w:tcPr>
          <w:p w14:paraId="1CE2EEC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1.579</w:t>
            </w:r>
          </w:p>
        </w:tc>
      </w:tr>
      <w:tr w:rsidR="0087601C" w:rsidRPr="006A1EC7" w14:paraId="07A6B3E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AB25814"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lastRenderedPageBreak/>
              <w:t>T1Bronagh_Cardio</w:t>
            </w:r>
          </w:p>
        </w:tc>
        <w:tc>
          <w:tcPr>
            <w:tcW w:w="1029" w:type="dxa"/>
            <w:tcBorders>
              <w:top w:val="single" w:sz="8" w:space="0" w:color="AEAEAE"/>
              <w:left w:val="nil"/>
              <w:bottom w:val="single" w:sz="8" w:space="0" w:color="AEAEAE"/>
              <w:right w:val="single" w:sz="8" w:space="0" w:color="E0E0E0"/>
            </w:tcBorders>
            <w:shd w:val="clear" w:color="auto" w:fill="FFFFFF"/>
          </w:tcPr>
          <w:p w14:paraId="16E9C12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0A3860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C598F5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2DDADF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3.16</w:t>
            </w:r>
          </w:p>
        </w:tc>
        <w:tc>
          <w:tcPr>
            <w:tcW w:w="1475" w:type="dxa"/>
            <w:tcBorders>
              <w:top w:val="single" w:sz="8" w:space="0" w:color="AEAEAE"/>
              <w:left w:val="single" w:sz="8" w:space="0" w:color="E0E0E0"/>
              <w:bottom w:val="single" w:sz="8" w:space="0" w:color="AEAEAE"/>
              <w:right w:val="nil"/>
            </w:tcBorders>
            <w:shd w:val="clear" w:color="auto" w:fill="FFFFFF"/>
          </w:tcPr>
          <w:p w14:paraId="1D66B12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.727</w:t>
            </w:r>
          </w:p>
        </w:tc>
      </w:tr>
      <w:tr w:rsidR="0087601C" w:rsidRPr="006A1EC7" w14:paraId="0AF9E1A0"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15182FC"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T1Bronagh_CNS</w:t>
            </w:r>
          </w:p>
        </w:tc>
        <w:tc>
          <w:tcPr>
            <w:tcW w:w="1029" w:type="dxa"/>
            <w:tcBorders>
              <w:top w:val="single" w:sz="8" w:space="0" w:color="AEAEAE"/>
              <w:left w:val="nil"/>
              <w:bottom w:val="single" w:sz="8" w:space="0" w:color="AEAEAE"/>
              <w:right w:val="single" w:sz="8" w:space="0" w:color="E0E0E0"/>
            </w:tcBorders>
            <w:shd w:val="clear" w:color="auto" w:fill="FFFFFF"/>
          </w:tcPr>
          <w:p w14:paraId="4F1AC90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19DDB7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FF9559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B55A19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.78</w:t>
            </w:r>
          </w:p>
        </w:tc>
        <w:tc>
          <w:tcPr>
            <w:tcW w:w="1475" w:type="dxa"/>
            <w:tcBorders>
              <w:top w:val="single" w:sz="8" w:space="0" w:color="AEAEAE"/>
              <w:left w:val="single" w:sz="8" w:space="0" w:color="E0E0E0"/>
              <w:bottom w:val="single" w:sz="8" w:space="0" w:color="AEAEAE"/>
              <w:right w:val="nil"/>
            </w:tcBorders>
            <w:shd w:val="clear" w:color="auto" w:fill="FFFFFF"/>
          </w:tcPr>
          <w:p w14:paraId="6F2574A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.821</w:t>
            </w:r>
          </w:p>
        </w:tc>
      </w:tr>
      <w:tr w:rsidR="0087601C" w:rsidRPr="006A1EC7" w14:paraId="639D8274"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F516369"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T1Bronagh_Immun</w:t>
            </w:r>
          </w:p>
        </w:tc>
        <w:tc>
          <w:tcPr>
            <w:tcW w:w="1029" w:type="dxa"/>
            <w:tcBorders>
              <w:top w:val="single" w:sz="8" w:space="0" w:color="AEAEAE"/>
              <w:left w:val="nil"/>
              <w:bottom w:val="single" w:sz="8" w:space="0" w:color="AEAEAE"/>
              <w:right w:val="single" w:sz="8" w:space="0" w:color="E0E0E0"/>
            </w:tcBorders>
            <w:shd w:val="clear" w:color="auto" w:fill="FFFFFF"/>
          </w:tcPr>
          <w:p w14:paraId="605F740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8F33C4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65C8D2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79F890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w:t>
            </w:r>
          </w:p>
        </w:tc>
        <w:tc>
          <w:tcPr>
            <w:tcW w:w="1475" w:type="dxa"/>
            <w:tcBorders>
              <w:top w:val="single" w:sz="8" w:space="0" w:color="AEAEAE"/>
              <w:left w:val="single" w:sz="8" w:space="0" w:color="E0E0E0"/>
              <w:bottom w:val="single" w:sz="8" w:space="0" w:color="AEAEAE"/>
              <w:right w:val="nil"/>
            </w:tcBorders>
            <w:shd w:val="clear" w:color="auto" w:fill="FFFFFF"/>
          </w:tcPr>
          <w:p w14:paraId="5E57A68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.688</w:t>
            </w:r>
          </w:p>
        </w:tc>
      </w:tr>
      <w:tr w:rsidR="0087601C" w:rsidRPr="006A1EC7" w14:paraId="35299143"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CA2996C"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T1Bronagh_Func</w:t>
            </w:r>
          </w:p>
        </w:tc>
        <w:tc>
          <w:tcPr>
            <w:tcW w:w="1029" w:type="dxa"/>
            <w:tcBorders>
              <w:top w:val="single" w:sz="8" w:space="0" w:color="AEAEAE"/>
              <w:left w:val="nil"/>
              <w:bottom w:val="single" w:sz="8" w:space="0" w:color="AEAEAE"/>
              <w:right w:val="single" w:sz="8" w:space="0" w:color="E0E0E0"/>
            </w:tcBorders>
            <w:shd w:val="clear" w:color="auto" w:fill="FFFFFF"/>
          </w:tcPr>
          <w:p w14:paraId="74E492A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FDC243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B66D19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2824AF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3.41</w:t>
            </w:r>
          </w:p>
        </w:tc>
        <w:tc>
          <w:tcPr>
            <w:tcW w:w="1475" w:type="dxa"/>
            <w:tcBorders>
              <w:top w:val="single" w:sz="8" w:space="0" w:color="AEAEAE"/>
              <w:left w:val="single" w:sz="8" w:space="0" w:color="E0E0E0"/>
              <w:bottom w:val="single" w:sz="8" w:space="0" w:color="AEAEAE"/>
              <w:right w:val="nil"/>
            </w:tcBorders>
            <w:shd w:val="clear" w:color="auto" w:fill="FFFFFF"/>
          </w:tcPr>
          <w:p w14:paraId="0B82D4C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1.279</w:t>
            </w:r>
          </w:p>
        </w:tc>
      </w:tr>
      <w:tr w:rsidR="0087601C" w:rsidRPr="006A1EC7" w14:paraId="497BD1E0"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16B68F4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T2Bronagh_Face</w:t>
            </w:r>
          </w:p>
        </w:tc>
        <w:tc>
          <w:tcPr>
            <w:tcW w:w="1029" w:type="dxa"/>
            <w:tcBorders>
              <w:top w:val="single" w:sz="8" w:space="0" w:color="AEAEAE"/>
              <w:left w:val="nil"/>
              <w:bottom w:val="single" w:sz="8" w:space="0" w:color="AEAEAE"/>
              <w:right w:val="single" w:sz="8" w:space="0" w:color="E0E0E0"/>
            </w:tcBorders>
            <w:shd w:val="clear" w:color="auto" w:fill="FFFFFF"/>
          </w:tcPr>
          <w:p w14:paraId="74A4869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66CD28B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7A02C6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D54F0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1.00</w:t>
            </w:r>
          </w:p>
        </w:tc>
        <w:tc>
          <w:tcPr>
            <w:tcW w:w="1475" w:type="dxa"/>
            <w:tcBorders>
              <w:top w:val="single" w:sz="8" w:space="0" w:color="AEAEAE"/>
              <w:left w:val="single" w:sz="8" w:space="0" w:color="E0E0E0"/>
              <w:bottom w:val="single" w:sz="8" w:space="0" w:color="AEAEAE"/>
              <w:right w:val="nil"/>
            </w:tcBorders>
            <w:shd w:val="clear" w:color="auto" w:fill="FFFFFF"/>
          </w:tcPr>
          <w:p w14:paraId="40459BE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03EFC064"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E2F651A"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T2Bronagh_Epilepsy</w:t>
            </w:r>
          </w:p>
        </w:tc>
        <w:tc>
          <w:tcPr>
            <w:tcW w:w="1029" w:type="dxa"/>
            <w:tcBorders>
              <w:top w:val="single" w:sz="8" w:space="0" w:color="AEAEAE"/>
              <w:left w:val="nil"/>
              <w:bottom w:val="single" w:sz="8" w:space="0" w:color="AEAEAE"/>
              <w:right w:val="single" w:sz="8" w:space="0" w:color="E0E0E0"/>
            </w:tcBorders>
            <w:shd w:val="clear" w:color="auto" w:fill="FFFFFF"/>
          </w:tcPr>
          <w:p w14:paraId="6B46716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879904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A9FCFA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ED07F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1.60</w:t>
            </w:r>
          </w:p>
        </w:tc>
        <w:tc>
          <w:tcPr>
            <w:tcW w:w="1475" w:type="dxa"/>
            <w:tcBorders>
              <w:top w:val="single" w:sz="8" w:space="0" w:color="AEAEAE"/>
              <w:left w:val="single" w:sz="8" w:space="0" w:color="E0E0E0"/>
              <w:bottom w:val="single" w:sz="8" w:space="0" w:color="AEAEAE"/>
              <w:right w:val="nil"/>
            </w:tcBorders>
            <w:shd w:val="clear" w:color="auto" w:fill="FFFFFF"/>
          </w:tcPr>
          <w:p w14:paraId="635661B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1.265</w:t>
            </w:r>
          </w:p>
        </w:tc>
      </w:tr>
      <w:tr w:rsidR="0087601C" w:rsidRPr="006A1EC7" w14:paraId="5803C576"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1FB46910"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T2Bronagh_Gastroin</w:t>
            </w:r>
          </w:p>
        </w:tc>
        <w:tc>
          <w:tcPr>
            <w:tcW w:w="1029" w:type="dxa"/>
            <w:tcBorders>
              <w:top w:val="single" w:sz="8" w:space="0" w:color="AEAEAE"/>
              <w:left w:val="nil"/>
              <w:bottom w:val="single" w:sz="8" w:space="0" w:color="AEAEAE"/>
              <w:right w:val="single" w:sz="8" w:space="0" w:color="E0E0E0"/>
            </w:tcBorders>
            <w:shd w:val="clear" w:color="auto" w:fill="FFFFFF"/>
          </w:tcPr>
          <w:p w14:paraId="672F4F2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1CFC317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202286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D3C0A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7.80</w:t>
            </w:r>
          </w:p>
        </w:tc>
        <w:tc>
          <w:tcPr>
            <w:tcW w:w="1475" w:type="dxa"/>
            <w:tcBorders>
              <w:top w:val="single" w:sz="8" w:space="0" w:color="AEAEAE"/>
              <w:left w:val="single" w:sz="8" w:space="0" w:color="E0E0E0"/>
              <w:bottom w:val="single" w:sz="8" w:space="0" w:color="AEAEAE"/>
              <w:right w:val="nil"/>
            </w:tcBorders>
            <w:shd w:val="clear" w:color="auto" w:fill="FFFFFF"/>
          </w:tcPr>
          <w:p w14:paraId="1193392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1.619</w:t>
            </w:r>
          </w:p>
        </w:tc>
      </w:tr>
      <w:tr w:rsidR="0087601C" w:rsidRPr="006A1EC7" w14:paraId="1911F600"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3BB203A"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T2Bronagh_Cardio</w:t>
            </w:r>
          </w:p>
        </w:tc>
        <w:tc>
          <w:tcPr>
            <w:tcW w:w="1029" w:type="dxa"/>
            <w:tcBorders>
              <w:top w:val="single" w:sz="8" w:space="0" w:color="AEAEAE"/>
              <w:left w:val="nil"/>
              <w:bottom w:val="single" w:sz="8" w:space="0" w:color="AEAEAE"/>
              <w:right w:val="single" w:sz="8" w:space="0" w:color="E0E0E0"/>
            </w:tcBorders>
            <w:shd w:val="clear" w:color="auto" w:fill="FFFFFF"/>
          </w:tcPr>
          <w:p w14:paraId="5CD01B2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6AF597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00865C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354F9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3.20</w:t>
            </w:r>
          </w:p>
        </w:tc>
        <w:tc>
          <w:tcPr>
            <w:tcW w:w="1475" w:type="dxa"/>
            <w:tcBorders>
              <w:top w:val="single" w:sz="8" w:space="0" w:color="AEAEAE"/>
              <w:left w:val="single" w:sz="8" w:space="0" w:color="E0E0E0"/>
              <w:bottom w:val="single" w:sz="8" w:space="0" w:color="AEAEAE"/>
              <w:right w:val="nil"/>
            </w:tcBorders>
            <w:shd w:val="clear" w:color="auto" w:fill="FFFFFF"/>
          </w:tcPr>
          <w:p w14:paraId="613A6A6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.422</w:t>
            </w:r>
          </w:p>
        </w:tc>
      </w:tr>
      <w:tr w:rsidR="0087601C" w:rsidRPr="006A1EC7" w14:paraId="2BB93004"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61171106"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T2Bronagh_CNS</w:t>
            </w:r>
          </w:p>
        </w:tc>
        <w:tc>
          <w:tcPr>
            <w:tcW w:w="1029" w:type="dxa"/>
            <w:tcBorders>
              <w:top w:val="single" w:sz="8" w:space="0" w:color="AEAEAE"/>
              <w:left w:val="nil"/>
              <w:bottom w:val="single" w:sz="8" w:space="0" w:color="AEAEAE"/>
              <w:right w:val="single" w:sz="8" w:space="0" w:color="E0E0E0"/>
            </w:tcBorders>
            <w:shd w:val="clear" w:color="auto" w:fill="FFFFFF"/>
          </w:tcPr>
          <w:p w14:paraId="4CF507C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6F37DC5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D0C01C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0AC9D3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.40</w:t>
            </w:r>
          </w:p>
        </w:tc>
        <w:tc>
          <w:tcPr>
            <w:tcW w:w="1475" w:type="dxa"/>
            <w:tcBorders>
              <w:top w:val="single" w:sz="8" w:space="0" w:color="AEAEAE"/>
              <w:left w:val="single" w:sz="8" w:space="0" w:color="E0E0E0"/>
              <w:bottom w:val="single" w:sz="8" w:space="0" w:color="AEAEAE"/>
              <w:right w:val="nil"/>
            </w:tcBorders>
            <w:shd w:val="clear" w:color="auto" w:fill="FFFFFF"/>
          </w:tcPr>
          <w:p w14:paraId="5918E94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.516</w:t>
            </w:r>
          </w:p>
        </w:tc>
      </w:tr>
      <w:tr w:rsidR="0087601C" w:rsidRPr="006A1EC7" w14:paraId="4240A50E"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A73D547"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T2Bronagh_Immun</w:t>
            </w:r>
          </w:p>
        </w:tc>
        <w:tc>
          <w:tcPr>
            <w:tcW w:w="1029" w:type="dxa"/>
            <w:tcBorders>
              <w:top w:val="single" w:sz="8" w:space="0" w:color="AEAEAE"/>
              <w:left w:val="nil"/>
              <w:bottom w:val="single" w:sz="8" w:space="0" w:color="AEAEAE"/>
              <w:right w:val="single" w:sz="8" w:space="0" w:color="E0E0E0"/>
            </w:tcBorders>
            <w:shd w:val="clear" w:color="auto" w:fill="FFFFFF"/>
          </w:tcPr>
          <w:p w14:paraId="48C9FE1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826084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6188E0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0D23D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7E23E62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1DEFE32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508E9E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T2Bronagh_Func</w:t>
            </w:r>
          </w:p>
        </w:tc>
        <w:tc>
          <w:tcPr>
            <w:tcW w:w="1029" w:type="dxa"/>
            <w:tcBorders>
              <w:top w:val="single" w:sz="8" w:space="0" w:color="AEAEAE"/>
              <w:left w:val="nil"/>
              <w:bottom w:val="single" w:sz="8" w:space="0" w:color="AEAEAE"/>
              <w:right w:val="single" w:sz="8" w:space="0" w:color="E0E0E0"/>
            </w:tcBorders>
            <w:shd w:val="clear" w:color="auto" w:fill="FFFFFF"/>
          </w:tcPr>
          <w:p w14:paraId="0202C26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EE9923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19AE77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EAE22B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3.10</w:t>
            </w:r>
          </w:p>
        </w:tc>
        <w:tc>
          <w:tcPr>
            <w:tcW w:w="1475" w:type="dxa"/>
            <w:tcBorders>
              <w:top w:val="single" w:sz="8" w:space="0" w:color="AEAEAE"/>
              <w:left w:val="single" w:sz="8" w:space="0" w:color="E0E0E0"/>
              <w:bottom w:val="single" w:sz="8" w:space="0" w:color="AEAEAE"/>
              <w:right w:val="nil"/>
            </w:tcBorders>
            <w:shd w:val="clear" w:color="auto" w:fill="FFFFFF"/>
          </w:tcPr>
          <w:p w14:paraId="0976643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.738</w:t>
            </w:r>
          </w:p>
        </w:tc>
      </w:tr>
      <w:tr w:rsidR="0087601C" w:rsidRPr="006A1EC7" w14:paraId="5064DE23"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16EB3AF3"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T1Emma_Face</w:t>
            </w:r>
          </w:p>
        </w:tc>
        <w:tc>
          <w:tcPr>
            <w:tcW w:w="1029" w:type="dxa"/>
            <w:tcBorders>
              <w:top w:val="single" w:sz="8" w:space="0" w:color="AEAEAE"/>
              <w:left w:val="nil"/>
              <w:bottom w:val="single" w:sz="8" w:space="0" w:color="AEAEAE"/>
              <w:right w:val="single" w:sz="8" w:space="0" w:color="E0E0E0"/>
            </w:tcBorders>
            <w:shd w:val="clear" w:color="auto" w:fill="FFFFFF"/>
          </w:tcPr>
          <w:p w14:paraId="59412A9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40B79B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748FDF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43546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.03</w:t>
            </w:r>
          </w:p>
        </w:tc>
        <w:tc>
          <w:tcPr>
            <w:tcW w:w="1475" w:type="dxa"/>
            <w:tcBorders>
              <w:top w:val="single" w:sz="8" w:space="0" w:color="AEAEAE"/>
              <w:left w:val="single" w:sz="8" w:space="0" w:color="E0E0E0"/>
              <w:bottom w:val="single" w:sz="8" w:space="0" w:color="AEAEAE"/>
              <w:right w:val="nil"/>
            </w:tcBorders>
            <w:shd w:val="clear" w:color="auto" w:fill="FFFFFF"/>
          </w:tcPr>
          <w:p w14:paraId="6008E5C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.180</w:t>
            </w:r>
          </w:p>
        </w:tc>
      </w:tr>
      <w:tr w:rsidR="0087601C" w:rsidRPr="006A1EC7" w14:paraId="68AC1F54"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8AAB76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T1Emma_Epilepsy</w:t>
            </w:r>
          </w:p>
        </w:tc>
        <w:tc>
          <w:tcPr>
            <w:tcW w:w="1029" w:type="dxa"/>
            <w:tcBorders>
              <w:top w:val="single" w:sz="8" w:space="0" w:color="AEAEAE"/>
              <w:left w:val="nil"/>
              <w:bottom w:val="single" w:sz="8" w:space="0" w:color="AEAEAE"/>
              <w:right w:val="single" w:sz="8" w:space="0" w:color="E0E0E0"/>
            </w:tcBorders>
            <w:shd w:val="clear" w:color="auto" w:fill="FFFFFF"/>
          </w:tcPr>
          <w:p w14:paraId="584C0B8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863B4C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41A211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97516A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11.00</w:t>
            </w:r>
          </w:p>
        </w:tc>
        <w:tc>
          <w:tcPr>
            <w:tcW w:w="1475" w:type="dxa"/>
            <w:tcBorders>
              <w:top w:val="single" w:sz="8" w:space="0" w:color="AEAEAE"/>
              <w:left w:val="single" w:sz="8" w:space="0" w:color="E0E0E0"/>
              <w:bottom w:val="single" w:sz="8" w:space="0" w:color="AEAEAE"/>
              <w:right w:val="nil"/>
            </w:tcBorders>
            <w:shd w:val="clear" w:color="auto" w:fill="FFFFFF"/>
          </w:tcPr>
          <w:p w14:paraId="3BF2B23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2.117</w:t>
            </w:r>
          </w:p>
        </w:tc>
      </w:tr>
      <w:tr w:rsidR="0087601C" w:rsidRPr="006A1EC7" w14:paraId="6841E1AA"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E3AC590"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T1Emma_Gastroin</w:t>
            </w:r>
          </w:p>
        </w:tc>
        <w:tc>
          <w:tcPr>
            <w:tcW w:w="1029" w:type="dxa"/>
            <w:tcBorders>
              <w:top w:val="single" w:sz="8" w:space="0" w:color="AEAEAE"/>
              <w:left w:val="nil"/>
              <w:bottom w:val="single" w:sz="8" w:space="0" w:color="AEAEAE"/>
              <w:right w:val="single" w:sz="8" w:space="0" w:color="E0E0E0"/>
            </w:tcBorders>
            <w:shd w:val="clear" w:color="auto" w:fill="FFFFFF"/>
          </w:tcPr>
          <w:p w14:paraId="1FB9FC4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D1111C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15</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2E2F5A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F6C7A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18.43</w:t>
            </w:r>
          </w:p>
        </w:tc>
        <w:tc>
          <w:tcPr>
            <w:tcW w:w="1475" w:type="dxa"/>
            <w:tcBorders>
              <w:top w:val="single" w:sz="8" w:space="0" w:color="AEAEAE"/>
              <w:left w:val="single" w:sz="8" w:space="0" w:color="E0E0E0"/>
              <w:bottom w:val="single" w:sz="8" w:space="0" w:color="AEAEAE"/>
              <w:right w:val="nil"/>
            </w:tcBorders>
            <w:shd w:val="clear" w:color="auto" w:fill="FFFFFF"/>
          </w:tcPr>
          <w:p w14:paraId="0156568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1.854</w:t>
            </w:r>
          </w:p>
        </w:tc>
      </w:tr>
      <w:tr w:rsidR="0087601C" w:rsidRPr="006A1EC7" w14:paraId="3D8D0DE6"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27B1D30"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T1Emma_Cardio</w:t>
            </w:r>
          </w:p>
        </w:tc>
        <w:tc>
          <w:tcPr>
            <w:tcW w:w="1029" w:type="dxa"/>
            <w:tcBorders>
              <w:top w:val="single" w:sz="8" w:space="0" w:color="AEAEAE"/>
              <w:left w:val="nil"/>
              <w:bottom w:val="single" w:sz="8" w:space="0" w:color="AEAEAE"/>
              <w:right w:val="single" w:sz="8" w:space="0" w:color="E0E0E0"/>
            </w:tcBorders>
            <w:shd w:val="clear" w:color="auto" w:fill="FFFFFF"/>
          </w:tcPr>
          <w:p w14:paraId="081B84F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2C9D3D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3D101E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443AF9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3.77</w:t>
            </w:r>
          </w:p>
        </w:tc>
        <w:tc>
          <w:tcPr>
            <w:tcW w:w="1475" w:type="dxa"/>
            <w:tcBorders>
              <w:top w:val="single" w:sz="8" w:space="0" w:color="AEAEAE"/>
              <w:left w:val="single" w:sz="8" w:space="0" w:color="E0E0E0"/>
              <w:bottom w:val="single" w:sz="8" w:space="0" w:color="AEAEAE"/>
              <w:right w:val="nil"/>
            </w:tcBorders>
            <w:shd w:val="clear" w:color="auto" w:fill="FFFFFF"/>
          </w:tcPr>
          <w:p w14:paraId="63B54E6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.805</w:t>
            </w:r>
          </w:p>
        </w:tc>
      </w:tr>
      <w:tr w:rsidR="0087601C" w:rsidRPr="006A1EC7" w14:paraId="7AE92CF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675AF38A"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T1Emma_CNS</w:t>
            </w:r>
          </w:p>
        </w:tc>
        <w:tc>
          <w:tcPr>
            <w:tcW w:w="1029" w:type="dxa"/>
            <w:tcBorders>
              <w:top w:val="single" w:sz="8" w:space="0" w:color="AEAEAE"/>
              <w:left w:val="nil"/>
              <w:bottom w:val="single" w:sz="8" w:space="0" w:color="AEAEAE"/>
              <w:right w:val="single" w:sz="8" w:space="0" w:color="E0E0E0"/>
            </w:tcBorders>
            <w:shd w:val="clear" w:color="auto" w:fill="FFFFFF"/>
          </w:tcPr>
          <w:p w14:paraId="273DDDC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B731E8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A66C9B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455D69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2.50</w:t>
            </w:r>
          </w:p>
        </w:tc>
        <w:tc>
          <w:tcPr>
            <w:tcW w:w="1475" w:type="dxa"/>
            <w:tcBorders>
              <w:top w:val="single" w:sz="8" w:space="0" w:color="AEAEAE"/>
              <w:left w:val="single" w:sz="8" w:space="0" w:color="E0E0E0"/>
              <w:bottom w:val="single" w:sz="8" w:space="0" w:color="AEAEAE"/>
              <w:right w:val="nil"/>
            </w:tcBorders>
            <w:shd w:val="clear" w:color="auto" w:fill="FFFFFF"/>
          </w:tcPr>
          <w:p w14:paraId="5C170A0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2.596</w:t>
            </w:r>
          </w:p>
        </w:tc>
      </w:tr>
      <w:tr w:rsidR="0087601C" w:rsidRPr="006A1EC7" w14:paraId="0A06E66A"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E702D25"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T1Emma_Immun</w:t>
            </w:r>
          </w:p>
        </w:tc>
        <w:tc>
          <w:tcPr>
            <w:tcW w:w="1029" w:type="dxa"/>
            <w:tcBorders>
              <w:top w:val="single" w:sz="8" w:space="0" w:color="AEAEAE"/>
              <w:left w:val="nil"/>
              <w:bottom w:val="single" w:sz="8" w:space="0" w:color="AEAEAE"/>
              <w:right w:val="single" w:sz="8" w:space="0" w:color="E0E0E0"/>
            </w:tcBorders>
            <w:shd w:val="clear" w:color="auto" w:fill="FFFFFF"/>
          </w:tcPr>
          <w:p w14:paraId="1080BDA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5F9A2D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4E9CC4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84EB16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3.23</w:t>
            </w:r>
          </w:p>
        </w:tc>
        <w:tc>
          <w:tcPr>
            <w:tcW w:w="1475" w:type="dxa"/>
            <w:tcBorders>
              <w:top w:val="single" w:sz="8" w:space="0" w:color="AEAEAE"/>
              <w:left w:val="single" w:sz="8" w:space="0" w:color="E0E0E0"/>
              <w:bottom w:val="single" w:sz="8" w:space="0" w:color="AEAEAE"/>
              <w:right w:val="nil"/>
            </w:tcBorders>
            <w:shd w:val="clear" w:color="auto" w:fill="FFFFFF"/>
          </w:tcPr>
          <w:p w14:paraId="5DF7E48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2.171</w:t>
            </w:r>
          </w:p>
        </w:tc>
      </w:tr>
      <w:tr w:rsidR="0087601C" w:rsidRPr="006A1EC7" w14:paraId="445C9B5A"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5C21C0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T1Emma_Func</w:t>
            </w:r>
          </w:p>
        </w:tc>
        <w:tc>
          <w:tcPr>
            <w:tcW w:w="1029" w:type="dxa"/>
            <w:tcBorders>
              <w:top w:val="single" w:sz="8" w:space="0" w:color="AEAEAE"/>
              <w:left w:val="nil"/>
              <w:bottom w:val="single" w:sz="8" w:space="0" w:color="AEAEAE"/>
              <w:right w:val="single" w:sz="8" w:space="0" w:color="E0E0E0"/>
            </w:tcBorders>
            <w:shd w:val="clear" w:color="auto" w:fill="FFFFFF"/>
          </w:tcPr>
          <w:p w14:paraId="42BA99E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BB0015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7A2F9A0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F34E65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8.81</w:t>
            </w:r>
          </w:p>
        </w:tc>
        <w:tc>
          <w:tcPr>
            <w:tcW w:w="1475" w:type="dxa"/>
            <w:tcBorders>
              <w:top w:val="single" w:sz="8" w:space="0" w:color="AEAEAE"/>
              <w:left w:val="single" w:sz="8" w:space="0" w:color="E0E0E0"/>
              <w:bottom w:val="single" w:sz="8" w:space="0" w:color="AEAEAE"/>
              <w:right w:val="nil"/>
            </w:tcBorders>
            <w:shd w:val="clear" w:color="auto" w:fill="FFFFFF"/>
          </w:tcPr>
          <w:p w14:paraId="7B74A14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2.639</w:t>
            </w:r>
          </w:p>
        </w:tc>
      </w:tr>
      <w:tr w:rsidR="0087601C" w:rsidRPr="006A1EC7" w14:paraId="092BA2C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FC0B51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T2Emma_Face</w:t>
            </w:r>
          </w:p>
        </w:tc>
        <w:tc>
          <w:tcPr>
            <w:tcW w:w="1029" w:type="dxa"/>
            <w:tcBorders>
              <w:top w:val="single" w:sz="8" w:space="0" w:color="AEAEAE"/>
              <w:left w:val="nil"/>
              <w:bottom w:val="single" w:sz="8" w:space="0" w:color="AEAEAE"/>
              <w:right w:val="single" w:sz="8" w:space="0" w:color="E0E0E0"/>
            </w:tcBorders>
            <w:shd w:val="clear" w:color="auto" w:fill="FFFFFF"/>
          </w:tcPr>
          <w:p w14:paraId="0EF12F8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5B9B3B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02FA97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848F4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2B7A2D6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4377177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6A0F88A6"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T2Emma_Epilepsy</w:t>
            </w:r>
          </w:p>
        </w:tc>
        <w:tc>
          <w:tcPr>
            <w:tcW w:w="1029" w:type="dxa"/>
            <w:tcBorders>
              <w:top w:val="single" w:sz="8" w:space="0" w:color="AEAEAE"/>
              <w:left w:val="nil"/>
              <w:bottom w:val="single" w:sz="8" w:space="0" w:color="AEAEAE"/>
              <w:right w:val="single" w:sz="8" w:space="0" w:color="E0E0E0"/>
            </w:tcBorders>
            <w:shd w:val="clear" w:color="auto" w:fill="FFFFFF"/>
          </w:tcPr>
          <w:p w14:paraId="70FA2D8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8B1A37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1D88C7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B912CE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10.60</w:t>
            </w:r>
          </w:p>
        </w:tc>
        <w:tc>
          <w:tcPr>
            <w:tcW w:w="1475" w:type="dxa"/>
            <w:tcBorders>
              <w:top w:val="single" w:sz="8" w:space="0" w:color="AEAEAE"/>
              <w:left w:val="single" w:sz="8" w:space="0" w:color="E0E0E0"/>
              <w:bottom w:val="single" w:sz="8" w:space="0" w:color="AEAEAE"/>
              <w:right w:val="nil"/>
            </w:tcBorders>
            <w:shd w:val="clear" w:color="auto" w:fill="FFFFFF"/>
          </w:tcPr>
          <w:p w14:paraId="1B73C5C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1.140</w:t>
            </w:r>
          </w:p>
        </w:tc>
      </w:tr>
      <w:tr w:rsidR="0087601C" w:rsidRPr="006A1EC7" w14:paraId="39153B14"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ACB3413"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T2Emma_Gastroin</w:t>
            </w:r>
          </w:p>
        </w:tc>
        <w:tc>
          <w:tcPr>
            <w:tcW w:w="1029" w:type="dxa"/>
            <w:tcBorders>
              <w:top w:val="single" w:sz="8" w:space="0" w:color="AEAEAE"/>
              <w:left w:val="nil"/>
              <w:bottom w:val="single" w:sz="8" w:space="0" w:color="AEAEAE"/>
              <w:right w:val="single" w:sz="8" w:space="0" w:color="E0E0E0"/>
            </w:tcBorders>
            <w:shd w:val="clear" w:color="auto" w:fill="FFFFFF"/>
          </w:tcPr>
          <w:p w14:paraId="7099979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F58674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D7EBAE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1D5EF6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16.40</w:t>
            </w:r>
          </w:p>
        </w:tc>
        <w:tc>
          <w:tcPr>
            <w:tcW w:w="1475" w:type="dxa"/>
            <w:tcBorders>
              <w:top w:val="single" w:sz="8" w:space="0" w:color="AEAEAE"/>
              <w:left w:val="single" w:sz="8" w:space="0" w:color="E0E0E0"/>
              <w:bottom w:val="single" w:sz="8" w:space="0" w:color="AEAEAE"/>
              <w:right w:val="nil"/>
            </w:tcBorders>
            <w:shd w:val="clear" w:color="auto" w:fill="FFFFFF"/>
          </w:tcPr>
          <w:p w14:paraId="174E7CC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4.393</w:t>
            </w:r>
          </w:p>
        </w:tc>
      </w:tr>
      <w:tr w:rsidR="0087601C" w:rsidRPr="006A1EC7" w14:paraId="62586589"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E8839DD"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T2Emma_Cardio</w:t>
            </w:r>
          </w:p>
        </w:tc>
        <w:tc>
          <w:tcPr>
            <w:tcW w:w="1029" w:type="dxa"/>
            <w:tcBorders>
              <w:top w:val="single" w:sz="8" w:space="0" w:color="AEAEAE"/>
              <w:left w:val="nil"/>
              <w:bottom w:val="single" w:sz="8" w:space="0" w:color="AEAEAE"/>
              <w:right w:val="single" w:sz="8" w:space="0" w:color="E0E0E0"/>
            </w:tcBorders>
            <w:shd w:val="clear" w:color="auto" w:fill="FFFFFF"/>
          </w:tcPr>
          <w:p w14:paraId="4B20DE0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6F381D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6C9359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1A31A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3.40</w:t>
            </w:r>
          </w:p>
        </w:tc>
        <w:tc>
          <w:tcPr>
            <w:tcW w:w="1475" w:type="dxa"/>
            <w:tcBorders>
              <w:top w:val="single" w:sz="8" w:space="0" w:color="AEAEAE"/>
              <w:left w:val="single" w:sz="8" w:space="0" w:color="E0E0E0"/>
              <w:bottom w:val="single" w:sz="8" w:space="0" w:color="AEAEAE"/>
              <w:right w:val="nil"/>
            </w:tcBorders>
            <w:shd w:val="clear" w:color="auto" w:fill="FFFFFF"/>
          </w:tcPr>
          <w:p w14:paraId="37EEE1C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1.342</w:t>
            </w:r>
          </w:p>
        </w:tc>
      </w:tr>
      <w:tr w:rsidR="0087601C" w:rsidRPr="006A1EC7" w14:paraId="2A52B642"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43C153A"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T2Emma_CNS</w:t>
            </w:r>
          </w:p>
        </w:tc>
        <w:tc>
          <w:tcPr>
            <w:tcW w:w="1029" w:type="dxa"/>
            <w:tcBorders>
              <w:top w:val="single" w:sz="8" w:space="0" w:color="AEAEAE"/>
              <w:left w:val="nil"/>
              <w:bottom w:val="single" w:sz="8" w:space="0" w:color="AEAEAE"/>
              <w:right w:val="single" w:sz="8" w:space="0" w:color="E0E0E0"/>
            </w:tcBorders>
            <w:shd w:val="clear" w:color="auto" w:fill="FFFFFF"/>
          </w:tcPr>
          <w:p w14:paraId="400757D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4C0CF9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3E94F9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8A01FD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1.40</w:t>
            </w:r>
          </w:p>
        </w:tc>
        <w:tc>
          <w:tcPr>
            <w:tcW w:w="1475" w:type="dxa"/>
            <w:tcBorders>
              <w:top w:val="single" w:sz="8" w:space="0" w:color="AEAEAE"/>
              <w:left w:val="single" w:sz="8" w:space="0" w:color="E0E0E0"/>
              <w:bottom w:val="single" w:sz="8" w:space="0" w:color="AEAEAE"/>
              <w:right w:val="nil"/>
            </w:tcBorders>
            <w:shd w:val="clear" w:color="auto" w:fill="FFFFFF"/>
          </w:tcPr>
          <w:p w14:paraId="41F3355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.548</w:t>
            </w:r>
          </w:p>
        </w:tc>
      </w:tr>
      <w:tr w:rsidR="0087601C" w:rsidRPr="006A1EC7" w14:paraId="3C14D53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226BF6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T2Emma_Immun</w:t>
            </w:r>
          </w:p>
        </w:tc>
        <w:tc>
          <w:tcPr>
            <w:tcW w:w="1029" w:type="dxa"/>
            <w:tcBorders>
              <w:top w:val="single" w:sz="8" w:space="0" w:color="AEAEAE"/>
              <w:left w:val="nil"/>
              <w:bottom w:val="single" w:sz="8" w:space="0" w:color="AEAEAE"/>
              <w:right w:val="single" w:sz="8" w:space="0" w:color="E0E0E0"/>
            </w:tcBorders>
            <w:shd w:val="clear" w:color="auto" w:fill="FFFFFF"/>
          </w:tcPr>
          <w:p w14:paraId="638A439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A50AC6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3F311D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F00027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2.00</w:t>
            </w:r>
          </w:p>
        </w:tc>
        <w:tc>
          <w:tcPr>
            <w:tcW w:w="1475" w:type="dxa"/>
            <w:tcBorders>
              <w:top w:val="single" w:sz="8" w:space="0" w:color="AEAEAE"/>
              <w:left w:val="single" w:sz="8" w:space="0" w:color="E0E0E0"/>
              <w:bottom w:val="single" w:sz="8" w:space="0" w:color="AEAEAE"/>
              <w:right w:val="nil"/>
            </w:tcBorders>
            <w:shd w:val="clear" w:color="auto" w:fill="FFFFFF"/>
          </w:tcPr>
          <w:p w14:paraId="6E6BE3F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2.739</w:t>
            </w:r>
          </w:p>
        </w:tc>
      </w:tr>
      <w:tr w:rsidR="0087601C" w:rsidRPr="006A1EC7" w14:paraId="0EC59A6A"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64392A5"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T2Emma_Func</w:t>
            </w:r>
          </w:p>
        </w:tc>
        <w:tc>
          <w:tcPr>
            <w:tcW w:w="1029" w:type="dxa"/>
            <w:tcBorders>
              <w:top w:val="single" w:sz="8" w:space="0" w:color="AEAEAE"/>
              <w:left w:val="nil"/>
              <w:bottom w:val="single" w:sz="8" w:space="0" w:color="AEAEAE"/>
              <w:right w:val="single" w:sz="8" w:space="0" w:color="E0E0E0"/>
            </w:tcBorders>
            <w:shd w:val="clear" w:color="auto" w:fill="FFFFFF"/>
          </w:tcPr>
          <w:p w14:paraId="695D6F3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081C3A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D3B38C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3FF029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7.50</w:t>
            </w:r>
          </w:p>
        </w:tc>
        <w:tc>
          <w:tcPr>
            <w:tcW w:w="1475" w:type="dxa"/>
            <w:tcBorders>
              <w:top w:val="single" w:sz="8" w:space="0" w:color="AEAEAE"/>
              <w:left w:val="single" w:sz="8" w:space="0" w:color="E0E0E0"/>
              <w:bottom w:val="single" w:sz="8" w:space="0" w:color="AEAEAE"/>
              <w:right w:val="nil"/>
            </w:tcBorders>
            <w:shd w:val="clear" w:color="auto" w:fill="FFFFFF"/>
          </w:tcPr>
          <w:p w14:paraId="191326D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5.196</w:t>
            </w:r>
          </w:p>
        </w:tc>
      </w:tr>
      <w:tr w:rsidR="0087601C" w:rsidRPr="006A1EC7" w14:paraId="427A215C"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DC1909A"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T1Fineen_Face</w:t>
            </w:r>
          </w:p>
        </w:tc>
        <w:tc>
          <w:tcPr>
            <w:tcW w:w="1029" w:type="dxa"/>
            <w:tcBorders>
              <w:top w:val="single" w:sz="8" w:space="0" w:color="AEAEAE"/>
              <w:left w:val="nil"/>
              <w:bottom w:val="single" w:sz="8" w:space="0" w:color="AEAEAE"/>
              <w:right w:val="single" w:sz="8" w:space="0" w:color="E0E0E0"/>
            </w:tcBorders>
            <w:shd w:val="clear" w:color="auto" w:fill="FFFFFF"/>
          </w:tcPr>
          <w:p w14:paraId="15D5315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36</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ED2EF2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D2DCAD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0CB76D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2.31</w:t>
            </w:r>
          </w:p>
        </w:tc>
        <w:tc>
          <w:tcPr>
            <w:tcW w:w="1475" w:type="dxa"/>
            <w:tcBorders>
              <w:top w:val="single" w:sz="8" w:space="0" w:color="AEAEAE"/>
              <w:left w:val="single" w:sz="8" w:space="0" w:color="E0E0E0"/>
              <w:bottom w:val="single" w:sz="8" w:space="0" w:color="AEAEAE"/>
              <w:right w:val="nil"/>
            </w:tcBorders>
            <w:shd w:val="clear" w:color="auto" w:fill="FFFFFF"/>
          </w:tcPr>
          <w:p w14:paraId="689BF7B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.822</w:t>
            </w:r>
          </w:p>
        </w:tc>
      </w:tr>
      <w:tr w:rsidR="0087601C" w:rsidRPr="006A1EC7" w14:paraId="286993FA"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625E9B04"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T1Fineen_Epilepsy</w:t>
            </w:r>
          </w:p>
        </w:tc>
        <w:tc>
          <w:tcPr>
            <w:tcW w:w="1029" w:type="dxa"/>
            <w:tcBorders>
              <w:top w:val="single" w:sz="8" w:space="0" w:color="AEAEAE"/>
              <w:left w:val="nil"/>
              <w:bottom w:val="single" w:sz="8" w:space="0" w:color="AEAEAE"/>
              <w:right w:val="single" w:sz="8" w:space="0" w:color="E0E0E0"/>
            </w:tcBorders>
            <w:shd w:val="clear" w:color="auto" w:fill="FFFFFF"/>
          </w:tcPr>
          <w:p w14:paraId="626DC51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82DE42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395C6B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F5369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113B3B9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4D525E7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55EB74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lastRenderedPageBreak/>
              <w:t>T1Fineen_Gastroin</w:t>
            </w:r>
          </w:p>
        </w:tc>
        <w:tc>
          <w:tcPr>
            <w:tcW w:w="1029" w:type="dxa"/>
            <w:tcBorders>
              <w:top w:val="single" w:sz="8" w:space="0" w:color="AEAEAE"/>
              <w:left w:val="nil"/>
              <w:bottom w:val="single" w:sz="8" w:space="0" w:color="AEAEAE"/>
              <w:right w:val="single" w:sz="8" w:space="0" w:color="E0E0E0"/>
            </w:tcBorders>
            <w:shd w:val="clear" w:color="auto" w:fill="FFFFFF"/>
          </w:tcPr>
          <w:p w14:paraId="4DAA40B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1781743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C5328C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D4F73B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4.32</w:t>
            </w:r>
          </w:p>
        </w:tc>
        <w:tc>
          <w:tcPr>
            <w:tcW w:w="1475" w:type="dxa"/>
            <w:tcBorders>
              <w:top w:val="single" w:sz="8" w:space="0" w:color="AEAEAE"/>
              <w:left w:val="single" w:sz="8" w:space="0" w:color="E0E0E0"/>
              <w:bottom w:val="single" w:sz="8" w:space="0" w:color="AEAEAE"/>
              <w:right w:val="nil"/>
            </w:tcBorders>
            <w:shd w:val="clear" w:color="auto" w:fill="FFFFFF"/>
          </w:tcPr>
          <w:p w14:paraId="6C171A2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1.582</w:t>
            </w:r>
          </w:p>
        </w:tc>
      </w:tr>
      <w:tr w:rsidR="0087601C" w:rsidRPr="006A1EC7" w14:paraId="4FCC9D29"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6C000760"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T1Fineen_Cardio</w:t>
            </w:r>
          </w:p>
        </w:tc>
        <w:tc>
          <w:tcPr>
            <w:tcW w:w="1029" w:type="dxa"/>
            <w:tcBorders>
              <w:top w:val="single" w:sz="8" w:space="0" w:color="AEAEAE"/>
              <w:left w:val="nil"/>
              <w:bottom w:val="single" w:sz="8" w:space="0" w:color="AEAEAE"/>
              <w:right w:val="single" w:sz="8" w:space="0" w:color="E0E0E0"/>
            </w:tcBorders>
            <w:shd w:val="clear" w:color="auto" w:fill="FFFFFF"/>
          </w:tcPr>
          <w:p w14:paraId="5827D48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B11133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919F19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35680A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4.46</w:t>
            </w:r>
          </w:p>
        </w:tc>
        <w:tc>
          <w:tcPr>
            <w:tcW w:w="1475" w:type="dxa"/>
            <w:tcBorders>
              <w:top w:val="single" w:sz="8" w:space="0" w:color="AEAEAE"/>
              <w:left w:val="single" w:sz="8" w:space="0" w:color="E0E0E0"/>
              <w:bottom w:val="single" w:sz="8" w:space="0" w:color="AEAEAE"/>
              <w:right w:val="nil"/>
            </w:tcBorders>
            <w:shd w:val="clear" w:color="auto" w:fill="FFFFFF"/>
          </w:tcPr>
          <w:p w14:paraId="0891789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.767</w:t>
            </w:r>
          </w:p>
        </w:tc>
      </w:tr>
      <w:tr w:rsidR="0087601C" w:rsidRPr="006A1EC7" w14:paraId="1A3BC546"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7B61957"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T1Fineen_CNS</w:t>
            </w:r>
          </w:p>
        </w:tc>
        <w:tc>
          <w:tcPr>
            <w:tcW w:w="1029" w:type="dxa"/>
            <w:tcBorders>
              <w:top w:val="single" w:sz="8" w:space="0" w:color="AEAEAE"/>
              <w:left w:val="nil"/>
              <w:bottom w:val="single" w:sz="8" w:space="0" w:color="AEAEAE"/>
              <w:right w:val="single" w:sz="8" w:space="0" w:color="E0E0E0"/>
            </w:tcBorders>
            <w:shd w:val="clear" w:color="auto" w:fill="FFFFFF"/>
          </w:tcPr>
          <w:p w14:paraId="1FF70A9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635D9FD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9CAC1C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27960C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4.46</w:t>
            </w:r>
          </w:p>
        </w:tc>
        <w:tc>
          <w:tcPr>
            <w:tcW w:w="1475" w:type="dxa"/>
            <w:tcBorders>
              <w:top w:val="single" w:sz="8" w:space="0" w:color="AEAEAE"/>
              <w:left w:val="single" w:sz="8" w:space="0" w:color="E0E0E0"/>
              <w:bottom w:val="single" w:sz="8" w:space="0" w:color="AEAEAE"/>
              <w:right w:val="nil"/>
            </w:tcBorders>
            <w:shd w:val="clear" w:color="auto" w:fill="FFFFFF"/>
          </w:tcPr>
          <w:p w14:paraId="5582E94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1.016</w:t>
            </w:r>
          </w:p>
        </w:tc>
      </w:tr>
      <w:tr w:rsidR="0087601C" w:rsidRPr="006A1EC7" w14:paraId="70C78AC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20BD3A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T1Fineen_Immun</w:t>
            </w:r>
          </w:p>
        </w:tc>
        <w:tc>
          <w:tcPr>
            <w:tcW w:w="1029" w:type="dxa"/>
            <w:tcBorders>
              <w:top w:val="single" w:sz="8" w:space="0" w:color="AEAEAE"/>
              <w:left w:val="nil"/>
              <w:bottom w:val="single" w:sz="8" w:space="0" w:color="AEAEAE"/>
              <w:right w:val="single" w:sz="8" w:space="0" w:color="E0E0E0"/>
            </w:tcBorders>
            <w:shd w:val="clear" w:color="auto" w:fill="FFFFFF"/>
          </w:tcPr>
          <w:p w14:paraId="1AC3F44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6A801C1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FC39C3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4BCFD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3.62</w:t>
            </w:r>
          </w:p>
        </w:tc>
        <w:tc>
          <w:tcPr>
            <w:tcW w:w="1475" w:type="dxa"/>
            <w:tcBorders>
              <w:top w:val="single" w:sz="8" w:space="0" w:color="AEAEAE"/>
              <w:left w:val="single" w:sz="8" w:space="0" w:color="E0E0E0"/>
              <w:bottom w:val="single" w:sz="8" w:space="0" w:color="AEAEAE"/>
              <w:right w:val="nil"/>
            </w:tcBorders>
            <w:shd w:val="clear" w:color="auto" w:fill="FFFFFF"/>
          </w:tcPr>
          <w:p w14:paraId="5D71C60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2.152</w:t>
            </w:r>
          </w:p>
        </w:tc>
      </w:tr>
      <w:tr w:rsidR="0087601C" w:rsidRPr="006A1EC7" w14:paraId="03D3F648"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32230A7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T1Fineen_Func</w:t>
            </w:r>
          </w:p>
        </w:tc>
        <w:tc>
          <w:tcPr>
            <w:tcW w:w="1029" w:type="dxa"/>
            <w:tcBorders>
              <w:top w:val="single" w:sz="8" w:space="0" w:color="AEAEAE"/>
              <w:left w:val="nil"/>
              <w:bottom w:val="single" w:sz="8" w:space="0" w:color="AEAEAE"/>
              <w:right w:val="single" w:sz="8" w:space="0" w:color="E0E0E0"/>
            </w:tcBorders>
            <w:shd w:val="clear" w:color="auto" w:fill="FFFFFF"/>
          </w:tcPr>
          <w:p w14:paraId="055671B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60547F0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49AD0D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24AAE0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3.84</w:t>
            </w:r>
          </w:p>
        </w:tc>
        <w:tc>
          <w:tcPr>
            <w:tcW w:w="1475" w:type="dxa"/>
            <w:tcBorders>
              <w:top w:val="single" w:sz="8" w:space="0" w:color="AEAEAE"/>
              <w:left w:val="single" w:sz="8" w:space="0" w:color="E0E0E0"/>
              <w:bottom w:val="single" w:sz="8" w:space="0" w:color="AEAEAE"/>
              <w:right w:val="nil"/>
            </w:tcBorders>
            <w:shd w:val="clear" w:color="auto" w:fill="FFFFFF"/>
          </w:tcPr>
          <w:p w14:paraId="66025DC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1.014</w:t>
            </w:r>
          </w:p>
        </w:tc>
      </w:tr>
      <w:tr w:rsidR="0087601C" w:rsidRPr="006A1EC7" w14:paraId="5A250095"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59BE5F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T2Fineen_Face</w:t>
            </w:r>
          </w:p>
        </w:tc>
        <w:tc>
          <w:tcPr>
            <w:tcW w:w="1029" w:type="dxa"/>
            <w:tcBorders>
              <w:top w:val="single" w:sz="8" w:space="0" w:color="AEAEAE"/>
              <w:left w:val="nil"/>
              <w:bottom w:val="single" w:sz="8" w:space="0" w:color="AEAEAE"/>
              <w:right w:val="single" w:sz="8" w:space="0" w:color="E0E0E0"/>
            </w:tcBorders>
            <w:shd w:val="clear" w:color="auto" w:fill="FFFFFF"/>
          </w:tcPr>
          <w:p w14:paraId="78D255A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82DADF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B7851D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E7C4B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2.00</w:t>
            </w:r>
          </w:p>
        </w:tc>
        <w:tc>
          <w:tcPr>
            <w:tcW w:w="1475" w:type="dxa"/>
            <w:tcBorders>
              <w:top w:val="single" w:sz="8" w:space="0" w:color="AEAEAE"/>
              <w:left w:val="single" w:sz="8" w:space="0" w:color="E0E0E0"/>
              <w:bottom w:val="single" w:sz="8" w:space="0" w:color="AEAEAE"/>
              <w:right w:val="nil"/>
            </w:tcBorders>
            <w:shd w:val="clear" w:color="auto" w:fill="FFFFFF"/>
          </w:tcPr>
          <w:p w14:paraId="1373BCF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.756</w:t>
            </w:r>
          </w:p>
        </w:tc>
      </w:tr>
      <w:tr w:rsidR="0087601C" w:rsidRPr="006A1EC7" w14:paraId="7F52277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8943E73"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T2Fineen_Epilepsy</w:t>
            </w:r>
          </w:p>
        </w:tc>
        <w:tc>
          <w:tcPr>
            <w:tcW w:w="1029" w:type="dxa"/>
            <w:tcBorders>
              <w:top w:val="single" w:sz="8" w:space="0" w:color="AEAEAE"/>
              <w:left w:val="nil"/>
              <w:bottom w:val="single" w:sz="8" w:space="0" w:color="AEAEAE"/>
              <w:right w:val="single" w:sz="8" w:space="0" w:color="E0E0E0"/>
            </w:tcBorders>
            <w:shd w:val="clear" w:color="auto" w:fill="FFFFFF"/>
          </w:tcPr>
          <w:p w14:paraId="4A2CB85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0A7BC8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DF8CE0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05B35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1EBE230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2AE71F7B"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DC015D6"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T2Fineen_Gastroin</w:t>
            </w:r>
          </w:p>
        </w:tc>
        <w:tc>
          <w:tcPr>
            <w:tcW w:w="1029" w:type="dxa"/>
            <w:tcBorders>
              <w:top w:val="single" w:sz="8" w:space="0" w:color="AEAEAE"/>
              <w:left w:val="nil"/>
              <w:bottom w:val="single" w:sz="8" w:space="0" w:color="AEAEAE"/>
              <w:right w:val="single" w:sz="8" w:space="0" w:color="E0E0E0"/>
            </w:tcBorders>
            <w:shd w:val="clear" w:color="auto" w:fill="FFFFFF"/>
          </w:tcPr>
          <w:p w14:paraId="1D1268E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664FBF5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C6D0AE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4841F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4.88</w:t>
            </w:r>
          </w:p>
        </w:tc>
        <w:tc>
          <w:tcPr>
            <w:tcW w:w="1475" w:type="dxa"/>
            <w:tcBorders>
              <w:top w:val="single" w:sz="8" w:space="0" w:color="AEAEAE"/>
              <w:left w:val="single" w:sz="8" w:space="0" w:color="E0E0E0"/>
              <w:bottom w:val="single" w:sz="8" w:space="0" w:color="AEAEAE"/>
              <w:right w:val="nil"/>
            </w:tcBorders>
            <w:shd w:val="clear" w:color="auto" w:fill="FFFFFF"/>
          </w:tcPr>
          <w:p w14:paraId="551893B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1.642</w:t>
            </w:r>
          </w:p>
        </w:tc>
      </w:tr>
      <w:tr w:rsidR="0087601C" w:rsidRPr="006A1EC7" w14:paraId="7A10D7A0"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FAF8945"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T2Fineen_Cardio</w:t>
            </w:r>
          </w:p>
        </w:tc>
        <w:tc>
          <w:tcPr>
            <w:tcW w:w="1029" w:type="dxa"/>
            <w:tcBorders>
              <w:top w:val="single" w:sz="8" w:space="0" w:color="AEAEAE"/>
              <w:left w:val="nil"/>
              <w:bottom w:val="single" w:sz="8" w:space="0" w:color="AEAEAE"/>
              <w:right w:val="single" w:sz="8" w:space="0" w:color="E0E0E0"/>
            </w:tcBorders>
            <w:shd w:val="clear" w:color="auto" w:fill="FFFFFF"/>
          </w:tcPr>
          <w:p w14:paraId="0C32293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B649E5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E1C3F2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CAEE42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4.50</w:t>
            </w:r>
          </w:p>
        </w:tc>
        <w:tc>
          <w:tcPr>
            <w:tcW w:w="1475" w:type="dxa"/>
            <w:tcBorders>
              <w:top w:val="single" w:sz="8" w:space="0" w:color="AEAEAE"/>
              <w:left w:val="single" w:sz="8" w:space="0" w:color="E0E0E0"/>
              <w:bottom w:val="single" w:sz="8" w:space="0" w:color="AEAEAE"/>
              <w:right w:val="nil"/>
            </w:tcBorders>
            <w:shd w:val="clear" w:color="auto" w:fill="FFFFFF"/>
          </w:tcPr>
          <w:p w14:paraId="5C74709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.926</w:t>
            </w:r>
          </w:p>
        </w:tc>
      </w:tr>
      <w:tr w:rsidR="0087601C" w:rsidRPr="006A1EC7" w14:paraId="0630FBB7"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32D15D9"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T2Fineen_CNS</w:t>
            </w:r>
          </w:p>
        </w:tc>
        <w:tc>
          <w:tcPr>
            <w:tcW w:w="1029" w:type="dxa"/>
            <w:tcBorders>
              <w:top w:val="single" w:sz="8" w:space="0" w:color="AEAEAE"/>
              <w:left w:val="nil"/>
              <w:bottom w:val="single" w:sz="8" w:space="0" w:color="AEAEAE"/>
              <w:right w:val="single" w:sz="8" w:space="0" w:color="E0E0E0"/>
            </w:tcBorders>
            <w:shd w:val="clear" w:color="auto" w:fill="FFFFFF"/>
          </w:tcPr>
          <w:p w14:paraId="23AC286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1E97F4E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69A2B5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7C722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4.13</w:t>
            </w:r>
          </w:p>
        </w:tc>
        <w:tc>
          <w:tcPr>
            <w:tcW w:w="1475" w:type="dxa"/>
            <w:tcBorders>
              <w:top w:val="single" w:sz="8" w:space="0" w:color="AEAEAE"/>
              <w:left w:val="single" w:sz="8" w:space="0" w:color="E0E0E0"/>
              <w:bottom w:val="single" w:sz="8" w:space="0" w:color="AEAEAE"/>
              <w:right w:val="nil"/>
            </w:tcBorders>
            <w:shd w:val="clear" w:color="auto" w:fill="FFFFFF"/>
          </w:tcPr>
          <w:p w14:paraId="7834370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1.458</w:t>
            </w:r>
          </w:p>
        </w:tc>
      </w:tr>
      <w:tr w:rsidR="0087601C" w:rsidRPr="006A1EC7" w14:paraId="4F38DF0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035570D"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T2Fineen_Immun</w:t>
            </w:r>
          </w:p>
        </w:tc>
        <w:tc>
          <w:tcPr>
            <w:tcW w:w="1029" w:type="dxa"/>
            <w:tcBorders>
              <w:top w:val="single" w:sz="8" w:space="0" w:color="AEAEAE"/>
              <w:left w:val="nil"/>
              <w:bottom w:val="single" w:sz="8" w:space="0" w:color="AEAEAE"/>
              <w:right w:val="single" w:sz="8" w:space="0" w:color="E0E0E0"/>
            </w:tcBorders>
            <w:shd w:val="clear" w:color="auto" w:fill="FFFFFF"/>
          </w:tcPr>
          <w:p w14:paraId="395950B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27A186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108044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B99339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2.88</w:t>
            </w:r>
          </w:p>
        </w:tc>
        <w:tc>
          <w:tcPr>
            <w:tcW w:w="1475" w:type="dxa"/>
            <w:tcBorders>
              <w:top w:val="single" w:sz="8" w:space="0" w:color="AEAEAE"/>
              <w:left w:val="single" w:sz="8" w:space="0" w:color="E0E0E0"/>
              <w:bottom w:val="single" w:sz="8" w:space="0" w:color="AEAEAE"/>
              <w:right w:val="nil"/>
            </w:tcBorders>
            <w:shd w:val="clear" w:color="auto" w:fill="FFFFFF"/>
          </w:tcPr>
          <w:p w14:paraId="3F5C33B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2.475</w:t>
            </w:r>
          </w:p>
        </w:tc>
      </w:tr>
      <w:tr w:rsidR="0087601C" w:rsidRPr="006A1EC7" w14:paraId="5E68BCFC"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3CFF5F0"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T2Fineen_Func</w:t>
            </w:r>
          </w:p>
        </w:tc>
        <w:tc>
          <w:tcPr>
            <w:tcW w:w="1029" w:type="dxa"/>
            <w:tcBorders>
              <w:top w:val="single" w:sz="8" w:space="0" w:color="AEAEAE"/>
              <w:left w:val="nil"/>
              <w:bottom w:val="single" w:sz="8" w:space="0" w:color="AEAEAE"/>
              <w:right w:val="single" w:sz="8" w:space="0" w:color="E0E0E0"/>
            </w:tcBorders>
            <w:shd w:val="clear" w:color="auto" w:fill="FFFFFF"/>
          </w:tcPr>
          <w:p w14:paraId="6C1AEA7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FA13E0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7D677B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9BBEFD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3.38</w:t>
            </w:r>
          </w:p>
        </w:tc>
        <w:tc>
          <w:tcPr>
            <w:tcW w:w="1475" w:type="dxa"/>
            <w:tcBorders>
              <w:top w:val="single" w:sz="8" w:space="0" w:color="AEAEAE"/>
              <w:left w:val="single" w:sz="8" w:space="0" w:color="E0E0E0"/>
              <w:bottom w:val="single" w:sz="8" w:space="0" w:color="AEAEAE"/>
              <w:right w:val="nil"/>
            </w:tcBorders>
            <w:shd w:val="clear" w:color="auto" w:fill="FFFFFF"/>
          </w:tcPr>
          <w:p w14:paraId="09ECD9B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1.923</w:t>
            </w:r>
          </w:p>
        </w:tc>
      </w:tr>
      <w:tr w:rsidR="0087601C" w:rsidRPr="006A1EC7" w14:paraId="16B4CD78"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326ED4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T1Joshua_Face</w:t>
            </w:r>
          </w:p>
        </w:tc>
        <w:tc>
          <w:tcPr>
            <w:tcW w:w="1029" w:type="dxa"/>
            <w:tcBorders>
              <w:top w:val="single" w:sz="8" w:space="0" w:color="AEAEAE"/>
              <w:left w:val="nil"/>
              <w:bottom w:val="single" w:sz="8" w:space="0" w:color="AEAEAE"/>
              <w:right w:val="single" w:sz="8" w:space="0" w:color="E0E0E0"/>
            </w:tcBorders>
            <w:shd w:val="clear" w:color="auto" w:fill="FFFFFF"/>
          </w:tcPr>
          <w:p w14:paraId="3769C5E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6FDA651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8642CD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61840A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3.32</w:t>
            </w:r>
          </w:p>
        </w:tc>
        <w:tc>
          <w:tcPr>
            <w:tcW w:w="1475" w:type="dxa"/>
            <w:tcBorders>
              <w:top w:val="single" w:sz="8" w:space="0" w:color="AEAEAE"/>
              <w:left w:val="single" w:sz="8" w:space="0" w:color="E0E0E0"/>
              <w:bottom w:val="single" w:sz="8" w:space="0" w:color="AEAEAE"/>
              <w:right w:val="nil"/>
            </w:tcBorders>
            <w:shd w:val="clear" w:color="auto" w:fill="FFFFFF"/>
          </w:tcPr>
          <w:p w14:paraId="0B74B0F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.768</w:t>
            </w:r>
          </w:p>
        </w:tc>
      </w:tr>
      <w:tr w:rsidR="0087601C" w:rsidRPr="006A1EC7" w14:paraId="4CFF4D37"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313B25B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T1Joshua_Epilepsy</w:t>
            </w:r>
          </w:p>
        </w:tc>
        <w:tc>
          <w:tcPr>
            <w:tcW w:w="1029" w:type="dxa"/>
            <w:tcBorders>
              <w:top w:val="single" w:sz="8" w:space="0" w:color="AEAEAE"/>
              <w:left w:val="nil"/>
              <w:bottom w:val="single" w:sz="8" w:space="0" w:color="AEAEAE"/>
              <w:right w:val="single" w:sz="8" w:space="0" w:color="E0E0E0"/>
            </w:tcBorders>
            <w:shd w:val="clear" w:color="auto" w:fill="FFFFFF"/>
          </w:tcPr>
          <w:p w14:paraId="4523F03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EC37A6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7C3B5DA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852EF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12.59</w:t>
            </w:r>
          </w:p>
        </w:tc>
        <w:tc>
          <w:tcPr>
            <w:tcW w:w="1475" w:type="dxa"/>
            <w:tcBorders>
              <w:top w:val="single" w:sz="8" w:space="0" w:color="AEAEAE"/>
              <w:left w:val="single" w:sz="8" w:space="0" w:color="E0E0E0"/>
              <w:bottom w:val="single" w:sz="8" w:space="0" w:color="AEAEAE"/>
              <w:right w:val="nil"/>
            </w:tcBorders>
            <w:shd w:val="clear" w:color="auto" w:fill="FFFFFF"/>
          </w:tcPr>
          <w:p w14:paraId="6C672B9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.701</w:t>
            </w:r>
          </w:p>
        </w:tc>
      </w:tr>
      <w:tr w:rsidR="0087601C" w:rsidRPr="006A1EC7" w14:paraId="6A7D531C"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942146A"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T1Joshua_Gastroin</w:t>
            </w:r>
          </w:p>
        </w:tc>
        <w:tc>
          <w:tcPr>
            <w:tcW w:w="1029" w:type="dxa"/>
            <w:tcBorders>
              <w:top w:val="single" w:sz="8" w:space="0" w:color="AEAEAE"/>
              <w:left w:val="nil"/>
              <w:bottom w:val="single" w:sz="8" w:space="0" w:color="AEAEAE"/>
              <w:right w:val="single" w:sz="8" w:space="0" w:color="E0E0E0"/>
            </w:tcBorders>
            <w:shd w:val="clear" w:color="auto" w:fill="FFFFFF"/>
          </w:tcPr>
          <w:p w14:paraId="771613C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32</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500A6A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13</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506694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009D8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17.53</w:t>
            </w:r>
          </w:p>
        </w:tc>
        <w:tc>
          <w:tcPr>
            <w:tcW w:w="1475" w:type="dxa"/>
            <w:tcBorders>
              <w:top w:val="single" w:sz="8" w:space="0" w:color="AEAEAE"/>
              <w:left w:val="single" w:sz="8" w:space="0" w:color="E0E0E0"/>
              <w:bottom w:val="single" w:sz="8" w:space="0" w:color="AEAEAE"/>
              <w:right w:val="nil"/>
            </w:tcBorders>
            <w:shd w:val="clear" w:color="auto" w:fill="FFFFFF"/>
          </w:tcPr>
          <w:p w14:paraId="6CA7553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1.319</w:t>
            </w:r>
          </w:p>
        </w:tc>
      </w:tr>
      <w:tr w:rsidR="0087601C" w:rsidRPr="006A1EC7" w14:paraId="17B988B3"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64EA3D33"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T1Joshua_Cardio</w:t>
            </w:r>
          </w:p>
        </w:tc>
        <w:tc>
          <w:tcPr>
            <w:tcW w:w="1029" w:type="dxa"/>
            <w:tcBorders>
              <w:top w:val="single" w:sz="8" w:space="0" w:color="AEAEAE"/>
              <w:left w:val="nil"/>
              <w:bottom w:val="single" w:sz="8" w:space="0" w:color="AEAEAE"/>
              <w:right w:val="single" w:sz="8" w:space="0" w:color="E0E0E0"/>
            </w:tcBorders>
            <w:shd w:val="clear" w:color="auto" w:fill="FFFFFF"/>
          </w:tcPr>
          <w:p w14:paraId="093ABA2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33</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D05125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69E2E3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D60935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.61</w:t>
            </w:r>
          </w:p>
        </w:tc>
        <w:tc>
          <w:tcPr>
            <w:tcW w:w="1475" w:type="dxa"/>
            <w:tcBorders>
              <w:top w:val="single" w:sz="8" w:space="0" w:color="AEAEAE"/>
              <w:left w:val="single" w:sz="8" w:space="0" w:color="E0E0E0"/>
              <w:bottom w:val="single" w:sz="8" w:space="0" w:color="AEAEAE"/>
              <w:right w:val="nil"/>
            </w:tcBorders>
            <w:shd w:val="clear" w:color="auto" w:fill="FFFFFF"/>
          </w:tcPr>
          <w:p w14:paraId="2D00EE0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.747</w:t>
            </w:r>
          </w:p>
        </w:tc>
      </w:tr>
      <w:tr w:rsidR="0087601C" w:rsidRPr="006A1EC7" w14:paraId="40FD533E"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3BDE6E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T1Joshua_CNS</w:t>
            </w:r>
          </w:p>
        </w:tc>
        <w:tc>
          <w:tcPr>
            <w:tcW w:w="1029" w:type="dxa"/>
            <w:tcBorders>
              <w:top w:val="single" w:sz="8" w:space="0" w:color="AEAEAE"/>
              <w:left w:val="nil"/>
              <w:bottom w:val="single" w:sz="8" w:space="0" w:color="AEAEAE"/>
              <w:right w:val="single" w:sz="8" w:space="0" w:color="E0E0E0"/>
            </w:tcBorders>
            <w:shd w:val="clear" w:color="auto" w:fill="FFFFFF"/>
          </w:tcPr>
          <w:p w14:paraId="6751499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481463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E6F07A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484F4B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11.68</w:t>
            </w:r>
          </w:p>
        </w:tc>
        <w:tc>
          <w:tcPr>
            <w:tcW w:w="1475" w:type="dxa"/>
            <w:tcBorders>
              <w:top w:val="single" w:sz="8" w:space="0" w:color="AEAEAE"/>
              <w:left w:val="single" w:sz="8" w:space="0" w:color="E0E0E0"/>
              <w:bottom w:val="single" w:sz="8" w:space="0" w:color="AEAEAE"/>
              <w:right w:val="nil"/>
            </w:tcBorders>
            <w:shd w:val="clear" w:color="auto" w:fill="FFFFFF"/>
          </w:tcPr>
          <w:p w14:paraId="5BAE18E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1.319</w:t>
            </w:r>
          </w:p>
        </w:tc>
      </w:tr>
      <w:tr w:rsidR="0087601C" w:rsidRPr="006A1EC7" w14:paraId="295205A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16F53C1"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T1Joshua_Immun</w:t>
            </w:r>
          </w:p>
        </w:tc>
        <w:tc>
          <w:tcPr>
            <w:tcW w:w="1029" w:type="dxa"/>
            <w:tcBorders>
              <w:top w:val="single" w:sz="8" w:space="0" w:color="AEAEAE"/>
              <w:left w:val="nil"/>
              <w:bottom w:val="single" w:sz="8" w:space="0" w:color="AEAEAE"/>
              <w:right w:val="single" w:sz="8" w:space="0" w:color="E0E0E0"/>
            </w:tcBorders>
            <w:shd w:val="clear" w:color="auto" w:fill="FFFFFF"/>
          </w:tcPr>
          <w:p w14:paraId="36ECF1F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B0BB5A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B44732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C0179F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.09</w:t>
            </w:r>
          </w:p>
        </w:tc>
        <w:tc>
          <w:tcPr>
            <w:tcW w:w="1475" w:type="dxa"/>
            <w:tcBorders>
              <w:top w:val="single" w:sz="8" w:space="0" w:color="AEAEAE"/>
              <w:left w:val="single" w:sz="8" w:space="0" w:color="E0E0E0"/>
              <w:bottom w:val="single" w:sz="8" w:space="0" w:color="AEAEAE"/>
              <w:right w:val="nil"/>
            </w:tcBorders>
            <w:shd w:val="clear" w:color="auto" w:fill="FFFFFF"/>
          </w:tcPr>
          <w:p w14:paraId="7FB04B9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.514</w:t>
            </w:r>
          </w:p>
        </w:tc>
      </w:tr>
      <w:tr w:rsidR="0087601C" w:rsidRPr="006A1EC7" w14:paraId="66347882"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AAEB67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T1Joshua_Func</w:t>
            </w:r>
          </w:p>
        </w:tc>
        <w:tc>
          <w:tcPr>
            <w:tcW w:w="1029" w:type="dxa"/>
            <w:tcBorders>
              <w:top w:val="single" w:sz="8" w:space="0" w:color="AEAEAE"/>
              <w:left w:val="nil"/>
              <w:bottom w:val="single" w:sz="8" w:space="0" w:color="AEAEAE"/>
              <w:right w:val="single" w:sz="8" w:space="0" w:color="E0E0E0"/>
            </w:tcBorders>
            <w:shd w:val="clear" w:color="auto" w:fill="FFFFFF"/>
          </w:tcPr>
          <w:p w14:paraId="2B9C0B2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1C64383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BCDBBD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EAD39B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10.79</w:t>
            </w:r>
          </w:p>
        </w:tc>
        <w:tc>
          <w:tcPr>
            <w:tcW w:w="1475" w:type="dxa"/>
            <w:tcBorders>
              <w:top w:val="single" w:sz="8" w:space="0" w:color="AEAEAE"/>
              <w:left w:val="single" w:sz="8" w:space="0" w:color="E0E0E0"/>
              <w:bottom w:val="single" w:sz="8" w:space="0" w:color="AEAEAE"/>
              <w:right w:val="nil"/>
            </w:tcBorders>
            <w:shd w:val="clear" w:color="auto" w:fill="FFFFFF"/>
          </w:tcPr>
          <w:p w14:paraId="468B39C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1.200</w:t>
            </w:r>
          </w:p>
        </w:tc>
      </w:tr>
      <w:tr w:rsidR="0087601C" w:rsidRPr="006A1EC7" w14:paraId="5296CD18"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5FFFEAD"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T2Joshua_Face</w:t>
            </w:r>
          </w:p>
        </w:tc>
        <w:tc>
          <w:tcPr>
            <w:tcW w:w="1029" w:type="dxa"/>
            <w:tcBorders>
              <w:top w:val="single" w:sz="8" w:space="0" w:color="AEAEAE"/>
              <w:left w:val="nil"/>
              <w:bottom w:val="single" w:sz="8" w:space="0" w:color="AEAEAE"/>
              <w:right w:val="single" w:sz="8" w:space="0" w:color="E0E0E0"/>
            </w:tcBorders>
            <w:shd w:val="clear" w:color="auto" w:fill="FFFFFF"/>
          </w:tcPr>
          <w:p w14:paraId="48D9F87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6D1D708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D72C49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EC645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3.33</w:t>
            </w:r>
          </w:p>
        </w:tc>
        <w:tc>
          <w:tcPr>
            <w:tcW w:w="1475" w:type="dxa"/>
            <w:tcBorders>
              <w:top w:val="single" w:sz="8" w:space="0" w:color="AEAEAE"/>
              <w:left w:val="single" w:sz="8" w:space="0" w:color="E0E0E0"/>
              <w:bottom w:val="single" w:sz="8" w:space="0" w:color="AEAEAE"/>
              <w:right w:val="nil"/>
            </w:tcBorders>
            <w:shd w:val="clear" w:color="auto" w:fill="FFFFFF"/>
          </w:tcPr>
          <w:p w14:paraId="45D334A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.500</w:t>
            </w:r>
          </w:p>
        </w:tc>
      </w:tr>
      <w:tr w:rsidR="0087601C" w:rsidRPr="006A1EC7" w14:paraId="14205C93"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E46EBEE"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T2Joshua_Epilepsy</w:t>
            </w:r>
          </w:p>
        </w:tc>
        <w:tc>
          <w:tcPr>
            <w:tcW w:w="1029" w:type="dxa"/>
            <w:tcBorders>
              <w:top w:val="single" w:sz="8" w:space="0" w:color="AEAEAE"/>
              <w:left w:val="nil"/>
              <w:bottom w:val="single" w:sz="8" w:space="0" w:color="AEAEAE"/>
              <w:right w:val="single" w:sz="8" w:space="0" w:color="E0E0E0"/>
            </w:tcBorders>
            <w:shd w:val="clear" w:color="auto" w:fill="FFFFFF"/>
          </w:tcPr>
          <w:p w14:paraId="01D5FDF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97D24A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0F4FE4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1CBDD2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12.63</w:t>
            </w:r>
          </w:p>
        </w:tc>
        <w:tc>
          <w:tcPr>
            <w:tcW w:w="1475" w:type="dxa"/>
            <w:tcBorders>
              <w:top w:val="single" w:sz="8" w:space="0" w:color="AEAEAE"/>
              <w:left w:val="single" w:sz="8" w:space="0" w:color="E0E0E0"/>
              <w:bottom w:val="single" w:sz="8" w:space="0" w:color="AEAEAE"/>
              <w:right w:val="nil"/>
            </w:tcBorders>
            <w:shd w:val="clear" w:color="auto" w:fill="FFFFFF"/>
          </w:tcPr>
          <w:p w14:paraId="34F0C77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.518</w:t>
            </w:r>
          </w:p>
        </w:tc>
      </w:tr>
      <w:tr w:rsidR="0087601C" w:rsidRPr="006A1EC7" w14:paraId="4CB302ED"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388C260E"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T2Joshua_Gastroin</w:t>
            </w:r>
          </w:p>
        </w:tc>
        <w:tc>
          <w:tcPr>
            <w:tcW w:w="1029" w:type="dxa"/>
            <w:tcBorders>
              <w:top w:val="single" w:sz="8" w:space="0" w:color="AEAEAE"/>
              <w:left w:val="nil"/>
              <w:bottom w:val="single" w:sz="8" w:space="0" w:color="AEAEAE"/>
              <w:right w:val="single" w:sz="8" w:space="0" w:color="E0E0E0"/>
            </w:tcBorders>
            <w:shd w:val="clear" w:color="auto" w:fill="FFFFFF"/>
          </w:tcPr>
          <w:p w14:paraId="739CB8D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E6BA3B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27553E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A21121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17.11</w:t>
            </w:r>
          </w:p>
        </w:tc>
        <w:tc>
          <w:tcPr>
            <w:tcW w:w="1475" w:type="dxa"/>
            <w:tcBorders>
              <w:top w:val="single" w:sz="8" w:space="0" w:color="AEAEAE"/>
              <w:left w:val="single" w:sz="8" w:space="0" w:color="E0E0E0"/>
              <w:bottom w:val="single" w:sz="8" w:space="0" w:color="AEAEAE"/>
              <w:right w:val="nil"/>
            </w:tcBorders>
            <w:shd w:val="clear" w:color="auto" w:fill="FFFFFF"/>
          </w:tcPr>
          <w:p w14:paraId="71BF231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1.364</w:t>
            </w:r>
          </w:p>
        </w:tc>
      </w:tr>
      <w:tr w:rsidR="0087601C" w:rsidRPr="006A1EC7" w14:paraId="6683490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A840D73"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T2Joshua_Cardio</w:t>
            </w:r>
          </w:p>
        </w:tc>
        <w:tc>
          <w:tcPr>
            <w:tcW w:w="1029" w:type="dxa"/>
            <w:tcBorders>
              <w:top w:val="single" w:sz="8" w:space="0" w:color="AEAEAE"/>
              <w:left w:val="nil"/>
              <w:bottom w:val="single" w:sz="8" w:space="0" w:color="AEAEAE"/>
              <w:right w:val="single" w:sz="8" w:space="0" w:color="E0E0E0"/>
            </w:tcBorders>
            <w:shd w:val="clear" w:color="auto" w:fill="FFFFFF"/>
          </w:tcPr>
          <w:p w14:paraId="0704B5F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AC59F9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A8956E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D7A1F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.33</w:t>
            </w:r>
          </w:p>
        </w:tc>
        <w:tc>
          <w:tcPr>
            <w:tcW w:w="1475" w:type="dxa"/>
            <w:tcBorders>
              <w:top w:val="single" w:sz="8" w:space="0" w:color="AEAEAE"/>
              <w:left w:val="single" w:sz="8" w:space="0" w:color="E0E0E0"/>
              <w:bottom w:val="single" w:sz="8" w:space="0" w:color="AEAEAE"/>
              <w:right w:val="nil"/>
            </w:tcBorders>
            <w:shd w:val="clear" w:color="auto" w:fill="FFFFFF"/>
          </w:tcPr>
          <w:p w14:paraId="386DC74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.500</w:t>
            </w:r>
          </w:p>
        </w:tc>
      </w:tr>
      <w:tr w:rsidR="0087601C" w:rsidRPr="006A1EC7" w14:paraId="708866E4"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596A2DC"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T2Joshua_CNS</w:t>
            </w:r>
          </w:p>
        </w:tc>
        <w:tc>
          <w:tcPr>
            <w:tcW w:w="1029" w:type="dxa"/>
            <w:tcBorders>
              <w:top w:val="single" w:sz="8" w:space="0" w:color="AEAEAE"/>
              <w:left w:val="nil"/>
              <w:bottom w:val="single" w:sz="8" w:space="0" w:color="AEAEAE"/>
              <w:right w:val="single" w:sz="8" w:space="0" w:color="E0E0E0"/>
            </w:tcBorders>
            <w:shd w:val="clear" w:color="auto" w:fill="FFFFFF"/>
          </w:tcPr>
          <w:p w14:paraId="0EF2A6A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DF0B24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5F53F6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8EA0A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12.11</w:t>
            </w:r>
          </w:p>
        </w:tc>
        <w:tc>
          <w:tcPr>
            <w:tcW w:w="1475" w:type="dxa"/>
            <w:tcBorders>
              <w:top w:val="single" w:sz="8" w:space="0" w:color="AEAEAE"/>
              <w:left w:val="single" w:sz="8" w:space="0" w:color="E0E0E0"/>
              <w:bottom w:val="single" w:sz="8" w:space="0" w:color="AEAEAE"/>
              <w:right w:val="nil"/>
            </w:tcBorders>
            <w:shd w:val="clear" w:color="auto" w:fill="FFFFFF"/>
          </w:tcPr>
          <w:p w14:paraId="56B4C8C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1.167</w:t>
            </w:r>
          </w:p>
        </w:tc>
      </w:tr>
      <w:tr w:rsidR="0087601C" w:rsidRPr="006A1EC7" w14:paraId="43373C03"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3BE033C9"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T2Joshua_Immun</w:t>
            </w:r>
          </w:p>
        </w:tc>
        <w:tc>
          <w:tcPr>
            <w:tcW w:w="1029" w:type="dxa"/>
            <w:tcBorders>
              <w:top w:val="single" w:sz="8" w:space="0" w:color="AEAEAE"/>
              <w:left w:val="nil"/>
              <w:bottom w:val="single" w:sz="8" w:space="0" w:color="AEAEAE"/>
              <w:right w:val="single" w:sz="8" w:space="0" w:color="E0E0E0"/>
            </w:tcBorders>
            <w:shd w:val="clear" w:color="auto" w:fill="FFFFFF"/>
          </w:tcPr>
          <w:p w14:paraId="232F82B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0B627A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71D147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1A682A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7BF00D3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4D6E5B8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39061AE1"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T2Joshua_Func</w:t>
            </w:r>
          </w:p>
        </w:tc>
        <w:tc>
          <w:tcPr>
            <w:tcW w:w="1029" w:type="dxa"/>
            <w:tcBorders>
              <w:top w:val="single" w:sz="8" w:space="0" w:color="AEAEAE"/>
              <w:left w:val="nil"/>
              <w:bottom w:val="single" w:sz="8" w:space="0" w:color="AEAEAE"/>
              <w:right w:val="single" w:sz="8" w:space="0" w:color="E0E0E0"/>
            </w:tcBorders>
            <w:shd w:val="clear" w:color="auto" w:fill="FFFFFF"/>
          </w:tcPr>
          <w:p w14:paraId="3A41F0C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EBE96E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0AFCD8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36C4A9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11.00</w:t>
            </w:r>
          </w:p>
        </w:tc>
        <w:tc>
          <w:tcPr>
            <w:tcW w:w="1475" w:type="dxa"/>
            <w:tcBorders>
              <w:top w:val="single" w:sz="8" w:space="0" w:color="AEAEAE"/>
              <w:left w:val="single" w:sz="8" w:space="0" w:color="E0E0E0"/>
              <w:bottom w:val="single" w:sz="8" w:space="0" w:color="AEAEAE"/>
              <w:right w:val="nil"/>
            </w:tcBorders>
            <w:shd w:val="clear" w:color="auto" w:fill="FFFFFF"/>
          </w:tcPr>
          <w:p w14:paraId="5C769CE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499648DA"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1DB93AE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T1Alessandro_Total</w:t>
            </w:r>
          </w:p>
        </w:tc>
        <w:tc>
          <w:tcPr>
            <w:tcW w:w="1029" w:type="dxa"/>
            <w:tcBorders>
              <w:top w:val="single" w:sz="8" w:space="0" w:color="AEAEAE"/>
              <w:left w:val="nil"/>
              <w:bottom w:val="single" w:sz="8" w:space="0" w:color="AEAEAE"/>
              <w:right w:val="single" w:sz="8" w:space="0" w:color="E0E0E0"/>
            </w:tcBorders>
            <w:shd w:val="clear" w:color="auto" w:fill="FFFFFF"/>
          </w:tcPr>
          <w:p w14:paraId="661698D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BF2954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7454789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A3F9F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69.58</w:t>
            </w:r>
          </w:p>
        </w:tc>
        <w:tc>
          <w:tcPr>
            <w:tcW w:w="1475" w:type="dxa"/>
            <w:tcBorders>
              <w:top w:val="single" w:sz="8" w:space="0" w:color="AEAEAE"/>
              <w:left w:val="single" w:sz="8" w:space="0" w:color="E0E0E0"/>
              <w:bottom w:val="single" w:sz="8" w:space="0" w:color="AEAEAE"/>
              <w:right w:val="nil"/>
            </w:tcBorders>
            <w:shd w:val="clear" w:color="auto" w:fill="FFFFFF"/>
          </w:tcPr>
          <w:p w14:paraId="18BA994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3.438</w:t>
            </w:r>
          </w:p>
        </w:tc>
      </w:tr>
      <w:tr w:rsidR="0087601C" w:rsidRPr="006A1EC7" w14:paraId="292EA0C8"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5759ECD"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lastRenderedPageBreak/>
              <w:t>T2Bronagh_Total</w:t>
            </w:r>
          </w:p>
        </w:tc>
        <w:tc>
          <w:tcPr>
            <w:tcW w:w="1029" w:type="dxa"/>
            <w:tcBorders>
              <w:top w:val="single" w:sz="8" w:space="0" w:color="AEAEAE"/>
              <w:left w:val="nil"/>
              <w:bottom w:val="single" w:sz="8" w:space="0" w:color="AEAEAE"/>
              <w:right w:val="single" w:sz="8" w:space="0" w:color="E0E0E0"/>
            </w:tcBorders>
            <w:shd w:val="clear" w:color="auto" w:fill="FFFFFF"/>
          </w:tcPr>
          <w:p w14:paraId="2C59DC8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E6D76B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15</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18701E4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04559F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18.90</w:t>
            </w:r>
          </w:p>
        </w:tc>
        <w:tc>
          <w:tcPr>
            <w:tcW w:w="1475" w:type="dxa"/>
            <w:tcBorders>
              <w:top w:val="single" w:sz="8" w:space="0" w:color="AEAEAE"/>
              <w:left w:val="single" w:sz="8" w:space="0" w:color="E0E0E0"/>
              <w:bottom w:val="single" w:sz="8" w:space="0" w:color="AEAEAE"/>
              <w:right w:val="nil"/>
            </w:tcBorders>
            <w:shd w:val="clear" w:color="auto" w:fill="FFFFFF"/>
          </w:tcPr>
          <w:p w14:paraId="1F981A1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2.183</w:t>
            </w:r>
          </w:p>
        </w:tc>
      </w:tr>
      <w:tr w:rsidR="0087601C" w:rsidRPr="006A1EC7" w14:paraId="14C079F0"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CDACEC0"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T1Emma_Total</w:t>
            </w:r>
          </w:p>
        </w:tc>
        <w:tc>
          <w:tcPr>
            <w:tcW w:w="1029" w:type="dxa"/>
            <w:tcBorders>
              <w:top w:val="single" w:sz="8" w:space="0" w:color="AEAEAE"/>
              <w:left w:val="nil"/>
              <w:bottom w:val="single" w:sz="8" w:space="0" w:color="AEAEAE"/>
              <w:right w:val="single" w:sz="8" w:space="0" w:color="E0E0E0"/>
            </w:tcBorders>
            <w:shd w:val="clear" w:color="auto" w:fill="FFFFFF"/>
          </w:tcPr>
          <w:p w14:paraId="713AA17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12</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15267D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43</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1659F5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29D603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51.08</w:t>
            </w:r>
          </w:p>
        </w:tc>
        <w:tc>
          <w:tcPr>
            <w:tcW w:w="1475" w:type="dxa"/>
            <w:tcBorders>
              <w:top w:val="single" w:sz="8" w:space="0" w:color="AEAEAE"/>
              <w:left w:val="single" w:sz="8" w:space="0" w:color="E0E0E0"/>
              <w:bottom w:val="single" w:sz="8" w:space="0" w:color="AEAEAE"/>
              <w:right w:val="nil"/>
            </w:tcBorders>
            <w:shd w:val="clear" w:color="auto" w:fill="FFFFFF"/>
          </w:tcPr>
          <w:p w14:paraId="5A80A82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5.977</w:t>
            </w:r>
          </w:p>
        </w:tc>
      </w:tr>
      <w:tr w:rsidR="0087601C" w:rsidRPr="006A1EC7" w14:paraId="15F42C2E"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3712B52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T2Emma_Total</w:t>
            </w:r>
          </w:p>
        </w:tc>
        <w:tc>
          <w:tcPr>
            <w:tcW w:w="1029" w:type="dxa"/>
            <w:tcBorders>
              <w:top w:val="single" w:sz="8" w:space="0" w:color="AEAEAE"/>
              <w:left w:val="nil"/>
              <w:bottom w:val="single" w:sz="8" w:space="0" w:color="AEAEAE"/>
              <w:right w:val="single" w:sz="8" w:space="0" w:color="E0E0E0"/>
            </w:tcBorders>
            <w:shd w:val="clear" w:color="auto" w:fill="FFFFFF"/>
          </w:tcPr>
          <w:p w14:paraId="63BD095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661B21F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9F3141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57816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41.75</w:t>
            </w:r>
          </w:p>
        </w:tc>
        <w:tc>
          <w:tcPr>
            <w:tcW w:w="1475" w:type="dxa"/>
            <w:tcBorders>
              <w:top w:val="single" w:sz="8" w:space="0" w:color="AEAEAE"/>
              <w:left w:val="single" w:sz="8" w:space="0" w:color="E0E0E0"/>
              <w:bottom w:val="single" w:sz="8" w:space="0" w:color="AEAEAE"/>
              <w:right w:val="nil"/>
            </w:tcBorders>
            <w:shd w:val="clear" w:color="auto" w:fill="FFFFFF"/>
          </w:tcPr>
          <w:p w14:paraId="610B9F8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11.644</w:t>
            </w:r>
          </w:p>
        </w:tc>
      </w:tr>
      <w:tr w:rsidR="0087601C" w:rsidRPr="006A1EC7" w14:paraId="65728B6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534F994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T2Fineen_Total</w:t>
            </w:r>
          </w:p>
        </w:tc>
        <w:tc>
          <w:tcPr>
            <w:tcW w:w="1029" w:type="dxa"/>
            <w:tcBorders>
              <w:top w:val="single" w:sz="8" w:space="0" w:color="AEAEAE"/>
              <w:left w:val="nil"/>
              <w:bottom w:val="single" w:sz="8" w:space="0" w:color="AEAEAE"/>
              <w:right w:val="single" w:sz="8" w:space="0" w:color="E0E0E0"/>
            </w:tcBorders>
            <w:shd w:val="clear" w:color="auto" w:fill="FFFFFF"/>
          </w:tcPr>
          <w:p w14:paraId="2FB83E5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A3B772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19</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655EE5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9A4CEF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24.63</w:t>
            </w:r>
          </w:p>
        </w:tc>
        <w:tc>
          <w:tcPr>
            <w:tcW w:w="1475" w:type="dxa"/>
            <w:tcBorders>
              <w:top w:val="single" w:sz="8" w:space="0" w:color="AEAEAE"/>
              <w:left w:val="single" w:sz="8" w:space="0" w:color="E0E0E0"/>
              <w:bottom w:val="single" w:sz="8" w:space="0" w:color="AEAEAE"/>
              <w:right w:val="nil"/>
            </w:tcBorders>
            <w:shd w:val="clear" w:color="auto" w:fill="FFFFFF"/>
          </w:tcPr>
          <w:p w14:paraId="12A52B1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3.852</w:t>
            </w:r>
          </w:p>
        </w:tc>
      </w:tr>
      <w:tr w:rsidR="0087601C" w:rsidRPr="006A1EC7" w14:paraId="0C517A27"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65C141D"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T1Fineen_Total</w:t>
            </w:r>
          </w:p>
        </w:tc>
        <w:tc>
          <w:tcPr>
            <w:tcW w:w="1029" w:type="dxa"/>
            <w:tcBorders>
              <w:top w:val="single" w:sz="8" w:space="0" w:color="AEAEAE"/>
              <w:left w:val="nil"/>
              <w:bottom w:val="single" w:sz="8" w:space="0" w:color="AEAEAE"/>
              <w:right w:val="single" w:sz="8" w:space="0" w:color="E0E0E0"/>
            </w:tcBorders>
            <w:shd w:val="clear" w:color="auto" w:fill="FFFFFF"/>
          </w:tcPr>
          <w:p w14:paraId="457C80D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36</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468808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81726D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B38D1C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26.31</w:t>
            </w:r>
          </w:p>
        </w:tc>
        <w:tc>
          <w:tcPr>
            <w:tcW w:w="1475" w:type="dxa"/>
            <w:tcBorders>
              <w:top w:val="single" w:sz="8" w:space="0" w:color="AEAEAE"/>
              <w:left w:val="single" w:sz="8" w:space="0" w:color="E0E0E0"/>
              <w:bottom w:val="single" w:sz="8" w:space="0" w:color="AEAEAE"/>
              <w:right w:val="nil"/>
            </w:tcBorders>
            <w:shd w:val="clear" w:color="auto" w:fill="FFFFFF"/>
          </w:tcPr>
          <w:p w14:paraId="0DD3AAF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3.568</w:t>
            </w:r>
          </w:p>
        </w:tc>
      </w:tr>
      <w:tr w:rsidR="0087601C" w:rsidRPr="006A1EC7" w14:paraId="5331E353"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CC7F027"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T1Joshua_Total</w:t>
            </w:r>
          </w:p>
        </w:tc>
        <w:tc>
          <w:tcPr>
            <w:tcW w:w="1029" w:type="dxa"/>
            <w:tcBorders>
              <w:top w:val="single" w:sz="8" w:space="0" w:color="AEAEAE"/>
              <w:left w:val="nil"/>
              <w:bottom w:val="single" w:sz="8" w:space="0" w:color="AEAEAE"/>
              <w:right w:val="single" w:sz="8" w:space="0" w:color="E0E0E0"/>
            </w:tcBorders>
            <w:shd w:val="clear" w:color="auto" w:fill="FFFFFF"/>
          </w:tcPr>
          <w:p w14:paraId="0D54D4A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A6F8F6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43</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74DDD9E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DFD718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58.45</w:t>
            </w:r>
          </w:p>
        </w:tc>
        <w:tc>
          <w:tcPr>
            <w:tcW w:w="1475" w:type="dxa"/>
            <w:tcBorders>
              <w:top w:val="single" w:sz="8" w:space="0" w:color="AEAEAE"/>
              <w:left w:val="single" w:sz="8" w:space="0" w:color="E0E0E0"/>
              <w:bottom w:val="single" w:sz="8" w:space="0" w:color="AEAEAE"/>
              <w:right w:val="nil"/>
            </w:tcBorders>
            <w:shd w:val="clear" w:color="auto" w:fill="FFFFFF"/>
          </w:tcPr>
          <w:p w14:paraId="7EF9E0C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3.880</w:t>
            </w:r>
          </w:p>
        </w:tc>
      </w:tr>
      <w:tr w:rsidR="0087601C" w:rsidRPr="006A1EC7" w14:paraId="65A8455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3BEAD2AD"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T2Joshua_Total</w:t>
            </w:r>
          </w:p>
        </w:tc>
        <w:tc>
          <w:tcPr>
            <w:tcW w:w="1029" w:type="dxa"/>
            <w:tcBorders>
              <w:top w:val="single" w:sz="8" w:space="0" w:color="AEAEAE"/>
              <w:left w:val="nil"/>
              <w:bottom w:val="single" w:sz="8" w:space="0" w:color="AEAEAE"/>
              <w:right w:val="single" w:sz="8" w:space="0" w:color="E0E0E0"/>
            </w:tcBorders>
            <w:shd w:val="clear" w:color="auto" w:fill="FFFFFF"/>
          </w:tcPr>
          <w:p w14:paraId="3AA1036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E0D388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56</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C3D606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9A89B2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58.63</w:t>
            </w:r>
          </w:p>
        </w:tc>
        <w:tc>
          <w:tcPr>
            <w:tcW w:w="1475" w:type="dxa"/>
            <w:tcBorders>
              <w:top w:val="single" w:sz="8" w:space="0" w:color="AEAEAE"/>
              <w:left w:val="single" w:sz="8" w:space="0" w:color="E0E0E0"/>
              <w:bottom w:val="single" w:sz="8" w:space="0" w:color="AEAEAE"/>
              <w:right w:val="nil"/>
            </w:tcBorders>
            <w:shd w:val="clear" w:color="auto" w:fill="FFFFFF"/>
          </w:tcPr>
          <w:p w14:paraId="2454D62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1.768</w:t>
            </w:r>
          </w:p>
        </w:tc>
      </w:tr>
      <w:tr w:rsidR="0087601C" w:rsidRPr="006A1EC7" w14:paraId="553208A6"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37A37FD"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T1Bronagh_Total</w:t>
            </w:r>
          </w:p>
        </w:tc>
        <w:tc>
          <w:tcPr>
            <w:tcW w:w="1029" w:type="dxa"/>
            <w:tcBorders>
              <w:top w:val="single" w:sz="8" w:space="0" w:color="AEAEAE"/>
              <w:left w:val="nil"/>
              <w:bottom w:val="single" w:sz="8" w:space="0" w:color="AEAEAE"/>
              <w:right w:val="single" w:sz="8" w:space="0" w:color="E0E0E0"/>
            </w:tcBorders>
            <w:shd w:val="clear" w:color="auto" w:fill="FFFFFF"/>
          </w:tcPr>
          <w:p w14:paraId="02C29CA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36</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F00B84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9A9DD6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49E802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21.82</w:t>
            </w:r>
          </w:p>
        </w:tc>
        <w:tc>
          <w:tcPr>
            <w:tcW w:w="1475" w:type="dxa"/>
            <w:tcBorders>
              <w:top w:val="single" w:sz="8" w:space="0" w:color="AEAEAE"/>
              <w:left w:val="single" w:sz="8" w:space="0" w:color="E0E0E0"/>
              <w:bottom w:val="single" w:sz="8" w:space="0" w:color="AEAEAE"/>
              <w:right w:val="nil"/>
            </w:tcBorders>
            <w:shd w:val="clear" w:color="auto" w:fill="FFFFFF"/>
          </w:tcPr>
          <w:p w14:paraId="2FA7D8B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3.071</w:t>
            </w:r>
          </w:p>
        </w:tc>
      </w:tr>
      <w:tr w:rsidR="0087601C" w:rsidRPr="006A1EC7" w14:paraId="5F1F035E"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B82A12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T2Alessandro_Func</w:t>
            </w:r>
          </w:p>
        </w:tc>
        <w:tc>
          <w:tcPr>
            <w:tcW w:w="1029" w:type="dxa"/>
            <w:tcBorders>
              <w:top w:val="single" w:sz="8" w:space="0" w:color="AEAEAE"/>
              <w:left w:val="nil"/>
              <w:bottom w:val="single" w:sz="8" w:space="0" w:color="AEAEAE"/>
              <w:right w:val="single" w:sz="8" w:space="0" w:color="E0E0E0"/>
            </w:tcBorders>
            <w:shd w:val="clear" w:color="auto" w:fill="FFFFFF"/>
          </w:tcPr>
          <w:p w14:paraId="5D6DD8C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A22CC6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4091B9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C730BF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11.00</w:t>
            </w:r>
          </w:p>
        </w:tc>
        <w:tc>
          <w:tcPr>
            <w:tcW w:w="1475" w:type="dxa"/>
            <w:tcBorders>
              <w:top w:val="single" w:sz="8" w:space="0" w:color="AEAEAE"/>
              <w:left w:val="single" w:sz="8" w:space="0" w:color="E0E0E0"/>
              <w:bottom w:val="single" w:sz="8" w:space="0" w:color="AEAEAE"/>
              <w:right w:val="nil"/>
            </w:tcBorders>
            <w:shd w:val="clear" w:color="auto" w:fill="FFFFFF"/>
          </w:tcPr>
          <w:p w14:paraId="14A027A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6E82BAB1"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3D12017"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w:t>
            </w:r>
          </w:p>
        </w:tc>
        <w:tc>
          <w:tcPr>
            <w:tcW w:w="1029" w:type="dxa"/>
            <w:tcBorders>
              <w:top w:val="single" w:sz="8" w:space="0" w:color="AEAEAE"/>
              <w:left w:val="nil"/>
              <w:bottom w:val="single" w:sz="8" w:space="0" w:color="AEAEAE"/>
              <w:right w:val="single" w:sz="8" w:space="0" w:color="E0E0E0"/>
            </w:tcBorders>
            <w:shd w:val="clear" w:color="auto" w:fill="FFFFFF"/>
          </w:tcPr>
          <w:p w14:paraId="48C8DE4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D0363E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61BFA7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A64A2D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61C8C6E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4DB987DB"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8411C67"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w:t>
            </w:r>
          </w:p>
        </w:tc>
        <w:tc>
          <w:tcPr>
            <w:tcW w:w="1029" w:type="dxa"/>
            <w:tcBorders>
              <w:top w:val="single" w:sz="8" w:space="0" w:color="AEAEAE"/>
              <w:left w:val="nil"/>
              <w:bottom w:val="single" w:sz="8" w:space="0" w:color="AEAEAE"/>
              <w:right w:val="single" w:sz="8" w:space="0" w:color="E0E0E0"/>
            </w:tcBorders>
            <w:shd w:val="clear" w:color="auto" w:fill="FFFFFF"/>
          </w:tcPr>
          <w:p w14:paraId="64EB57E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397695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2B1328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2ED466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1.68</w:t>
            </w:r>
          </w:p>
        </w:tc>
        <w:tc>
          <w:tcPr>
            <w:tcW w:w="1475" w:type="dxa"/>
            <w:tcBorders>
              <w:top w:val="single" w:sz="8" w:space="0" w:color="AEAEAE"/>
              <w:left w:val="single" w:sz="8" w:space="0" w:color="E0E0E0"/>
              <w:bottom w:val="single" w:sz="8" w:space="0" w:color="AEAEAE"/>
              <w:right w:val="nil"/>
            </w:tcBorders>
            <w:shd w:val="clear" w:color="auto" w:fill="FFFFFF"/>
          </w:tcPr>
          <w:p w14:paraId="13B2CEF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.535</w:t>
            </w:r>
          </w:p>
        </w:tc>
      </w:tr>
      <w:tr w:rsidR="0087601C" w:rsidRPr="006A1EC7" w14:paraId="2DBD09F8"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619DBF03"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w:t>
            </w:r>
          </w:p>
        </w:tc>
        <w:tc>
          <w:tcPr>
            <w:tcW w:w="1029" w:type="dxa"/>
            <w:tcBorders>
              <w:top w:val="single" w:sz="8" w:space="0" w:color="AEAEAE"/>
              <w:left w:val="nil"/>
              <w:bottom w:val="single" w:sz="8" w:space="0" w:color="AEAEAE"/>
              <w:right w:val="single" w:sz="8" w:space="0" w:color="E0E0E0"/>
            </w:tcBorders>
            <w:shd w:val="clear" w:color="auto" w:fill="FFFFFF"/>
          </w:tcPr>
          <w:p w14:paraId="7BB5C9D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80DA26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E1B82E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07A016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1.88</w:t>
            </w:r>
          </w:p>
        </w:tc>
        <w:tc>
          <w:tcPr>
            <w:tcW w:w="1475" w:type="dxa"/>
            <w:tcBorders>
              <w:top w:val="single" w:sz="8" w:space="0" w:color="AEAEAE"/>
              <w:left w:val="single" w:sz="8" w:space="0" w:color="E0E0E0"/>
              <w:bottom w:val="single" w:sz="8" w:space="0" w:color="AEAEAE"/>
              <w:right w:val="nil"/>
            </w:tcBorders>
            <w:shd w:val="clear" w:color="auto" w:fill="FFFFFF"/>
          </w:tcPr>
          <w:p w14:paraId="7394C7A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.835</w:t>
            </w:r>
          </w:p>
        </w:tc>
      </w:tr>
      <w:tr w:rsidR="0087601C" w:rsidRPr="006A1EC7" w14:paraId="479C3DA2"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8344BEE"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w:t>
            </w:r>
          </w:p>
        </w:tc>
        <w:tc>
          <w:tcPr>
            <w:tcW w:w="1029" w:type="dxa"/>
            <w:tcBorders>
              <w:top w:val="single" w:sz="8" w:space="0" w:color="AEAEAE"/>
              <w:left w:val="nil"/>
              <w:bottom w:val="single" w:sz="8" w:space="0" w:color="AEAEAE"/>
              <w:right w:val="single" w:sz="8" w:space="0" w:color="E0E0E0"/>
            </w:tcBorders>
            <w:shd w:val="clear" w:color="auto" w:fill="FFFFFF"/>
          </w:tcPr>
          <w:p w14:paraId="1951C55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10BCF2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D16E86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2DDA99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2.27</w:t>
            </w:r>
          </w:p>
        </w:tc>
        <w:tc>
          <w:tcPr>
            <w:tcW w:w="1475" w:type="dxa"/>
            <w:tcBorders>
              <w:top w:val="single" w:sz="8" w:space="0" w:color="AEAEAE"/>
              <w:left w:val="single" w:sz="8" w:space="0" w:color="E0E0E0"/>
              <w:bottom w:val="single" w:sz="8" w:space="0" w:color="AEAEAE"/>
              <w:right w:val="nil"/>
            </w:tcBorders>
            <w:shd w:val="clear" w:color="auto" w:fill="FFFFFF"/>
          </w:tcPr>
          <w:p w14:paraId="2CBF729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.871</w:t>
            </w:r>
          </w:p>
        </w:tc>
      </w:tr>
      <w:tr w:rsidR="0087601C" w:rsidRPr="006A1EC7" w14:paraId="39FBA9BB"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FF558D3"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w:t>
            </w:r>
          </w:p>
        </w:tc>
        <w:tc>
          <w:tcPr>
            <w:tcW w:w="1029" w:type="dxa"/>
            <w:tcBorders>
              <w:top w:val="single" w:sz="8" w:space="0" w:color="AEAEAE"/>
              <w:left w:val="nil"/>
              <w:bottom w:val="single" w:sz="8" w:space="0" w:color="AEAEAE"/>
              <w:right w:val="single" w:sz="8" w:space="0" w:color="E0E0E0"/>
            </w:tcBorders>
            <w:shd w:val="clear" w:color="auto" w:fill="FFFFFF"/>
          </w:tcPr>
          <w:p w14:paraId="125D82D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871A3C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AA43D0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9C59FB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1.00</w:t>
            </w:r>
          </w:p>
        </w:tc>
        <w:tc>
          <w:tcPr>
            <w:tcW w:w="1475" w:type="dxa"/>
            <w:tcBorders>
              <w:top w:val="single" w:sz="8" w:space="0" w:color="AEAEAE"/>
              <w:left w:val="single" w:sz="8" w:space="0" w:color="E0E0E0"/>
              <w:bottom w:val="single" w:sz="8" w:space="0" w:color="AEAEAE"/>
              <w:right w:val="nil"/>
            </w:tcBorders>
            <w:shd w:val="clear" w:color="auto" w:fill="FFFFFF"/>
          </w:tcPr>
          <w:p w14:paraId="2D8DF4F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0E19276E"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6AB4A65"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w:t>
            </w:r>
          </w:p>
        </w:tc>
        <w:tc>
          <w:tcPr>
            <w:tcW w:w="1029" w:type="dxa"/>
            <w:tcBorders>
              <w:top w:val="single" w:sz="8" w:space="0" w:color="AEAEAE"/>
              <w:left w:val="nil"/>
              <w:bottom w:val="single" w:sz="8" w:space="0" w:color="AEAEAE"/>
              <w:right w:val="single" w:sz="8" w:space="0" w:color="E0E0E0"/>
            </w:tcBorders>
            <w:shd w:val="clear" w:color="auto" w:fill="FFFFFF"/>
          </w:tcPr>
          <w:p w14:paraId="7451C7E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06EC02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3CDC2A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B2370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.45</w:t>
            </w:r>
          </w:p>
        </w:tc>
        <w:tc>
          <w:tcPr>
            <w:tcW w:w="1475" w:type="dxa"/>
            <w:tcBorders>
              <w:top w:val="single" w:sz="8" w:space="0" w:color="AEAEAE"/>
              <w:left w:val="single" w:sz="8" w:space="0" w:color="E0E0E0"/>
              <w:bottom w:val="single" w:sz="8" w:space="0" w:color="AEAEAE"/>
              <w:right w:val="nil"/>
            </w:tcBorders>
            <w:shd w:val="clear" w:color="auto" w:fill="FFFFFF"/>
          </w:tcPr>
          <w:p w14:paraId="0AF5ADC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1.060</w:t>
            </w:r>
          </w:p>
        </w:tc>
      </w:tr>
      <w:tr w:rsidR="0087601C" w:rsidRPr="006A1EC7" w14:paraId="0FDA39A9"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760A62E7"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w:t>
            </w:r>
          </w:p>
        </w:tc>
        <w:tc>
          <w:tcPr>
            <w:tcW w:w="1029" w:type="dxa"/>
            <w:tcBorders>
              <w:top w:val="single" w:sz="8" w:space="0" w:color="AEAEAE"/>
              <w:left w:val="nil"/>
              <w:bottom w:val="single" w:sz="8" w:space="0" w:color="AEAEAE"/>
              <w:right w:val="single" w:sz="8" w:space="0" w:color="E0E0E0"/>
            </w:tcBorders>
            <w:shd w:val="clear" w:color="auto" w:fill="FFFFFF"/>
          </w:tcPr>
          <w:p w14:paraId="07811DC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F5EFC8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7A0AC69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A70AEE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1.90</w:t>
            </w:r>
          </w:p>
        </w:tc>
        <w:tc>
          <w:tcPr>
            <w:tcW w:w="1475" w:type="dxa"/>
            <w:tcBorders>
              <w:top w:val="single" w:sz="8" w:space="0" w:color="AEAEAE"/>
              <w:left w:val="single" w:sz="8" w:space="0" w:color="E0E0E0"/>
              <w:bottom w:val="single" w:sz="8" w:space="0" w:color="AEAEAE"/>
              <w:right w:val="nil"/>
            </w:tcBorders>
            <w:shd w:val="clear" w:color="auto" w:fill="FFFFFF"/>
          </w:tcPr>
          <w:p w14:paraId="1FF1872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.310</w:t>
            </w:r>
          </w:p>
        </w:tc>
      </w:tr>
      <w:tr w:rsidR="0087601C" w:rsidRPr="006A1EC7" w14:paraId="7BDE455F"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1E2CA1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w:t>
            </w:r>
          </w:p>
        </w:tc>
        <w:tc>
          <w:tcPr>
            <w:tcW w:w="1029" w:type="dxa"/>
            <w:tcBorders>
              <w:top w:val="single" w:sz="8" w:space="0" w:color="AEAEAE"/>
              <w:left w:val="nil"/>
              <w:bottom w:val="single" w:sz="8" w:space="0" w:color="AEAEAE"/>
              <w:right w:val="single" w:sz="8" w:space="0" w:color="E0E0E0"/>
            </w:tcBorders>
            <w:shd w:val="clear" w:color="auto" w:fill="FFFFFF"/>
          </w:tcPr>
          <w:p w14:paraId="3470531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431493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1D1A57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2C640D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6AB34EA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14A8E413"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19183763"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w:t>
            </w:r>
          </w:p>
        </w:tc>
        <w:tc>
          <w:tcPr>
            <w:tcW w:w="1029" w:type="dxa"/>
            <w:tcBorders>
              <w:top w:val="single" w:sz="8" w:space="0" w:color="AEAEAE"/>
              <w:left w:val="nil"/>
              <w:bottom w:val="single" w:sz="8" w:space="0" w:color="AEAEAE"/>
              <w:right w:val="single" w:sz="8" w:space="0" w:color="E0E0E0"/>
            </w:tcBorders>
            <w:shd w:val="clear" w:color="auto" w:fill="FFFFFF"/>
          </w:tcPr>
          <w:p w14:paraId="51119DC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BDE490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09A3C5A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AE1FE5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2.00</w:t>
            </w:r>
          </w:p>
        </w:tc>
        <w:tc>
          <w:tcPr>
            <w:tcW w:w="1475" w:type="dxa"/>
            <w:tcBorders>
              <w:top w:val="single" w:sz="8" w:space="0" w:color="AEAEAE"/>
              <w:left w:val="single" w:sz="8" w:space="0" w:color="E0E0E0"/>
              <w:bottom w:val="single" w:sz="8" w:space="0" w:color="AEAEAE"/>
              <w:right w:val="nil"/>
            </w:tcBorders>
            <w:shd w:val="clear" w:color="auto" w:fill="FFFFFF"/>
          </w:tcPr>
          <w:p w14:paraId="7AE740A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41A8B786"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2E425B6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w:t>
            </w:r>
          </w:p>
        </w:tc>
        <w:tc>
          <w:tcPr>
            <w:tcW w:w="1029" w:type="dxa"/>
            <w:tcBorders>
              <w:top w:val="single" w:sz="8" w:space="0" w:color="AEAEAE"/>
              <w:left w:val="nil"/>
              <w:bottom w:val="single" w:sz="8" w:space="0" w:color="AEAEAE"/>
              <w:right w:val="single" w:sz="8" w:space="0" w:color="E0E0E0"/>
            </w:tcBorders>
            <w:shd w:val="clear" w:color="auto" w:fill="FFFFFF"/>
          </w:tcPr>
          <w:p w14:paraId="42BA837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0851894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B0B381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8747E8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1.00</w:t>
            </w:r>
          </w:p>
        </w:tc>
        <w:tc>
          <w:tcPr>
            <w:tcW w:w="1475" w:type="dxa"/>
            <w:tcBorders>
              <w:top w:val="single" w:sz="8" w:space="0" w:color="AEAEAE"/>
              <w:left w:val="single" w:sz="8" w:space="0" w:color="E0E0E0"/>
              <w:bottom w:val="single" w:sz="8" w:space="0" w:color="AEAEAE"/>
              <w:right w:val="nil"/>
            </w:tcBorders>
            <w:shd w:val="clear" w:color="auto" w:fill="FFFFFF"/>
          </w:tcPr>
          <w:p w14:paraId="68272AF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.816</w:t>
            </w:r>
          </w:p>
        </w:tc>
      </w:tr>
      <w:tr w:rsidR="0087601C" w:rsidRPr="006A1EC7" w14:paraId="53D55B8D"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00956F71"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w:t>
            </w:r>
          </w:p>
        </w:tc>
        <w:tc>
          <w:tcPr>
            <w:tcW w:w="1029" w:type="dxa"/>
            <w:tcBorders>
              <w:top w:val="single" w:sz="8" w:space="0" w:color="AEAEAE"/>
              <w:left w:val="nil"/>
              <w:bottom w:val="single" w:sz="8" w:space="0" w:color="AEAEAE"/>
              <w:right w:val="single" w:sz="8" w:space="0" w:color="E0E0E0"/>
            </w:tcBorders>
            <w:shd w:val="clear" w:color="auto" w:fill="FFFFFF"/>
          </w:tcPr>
          <w:p w14:paraId="7FE0FAC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50144A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CB3FEC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41199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.80</w:t>
            </w:r>
          </w:p>
        </w:tc>
        <w:tc>
          <w:tcPr>
            <w:tcW w:w="1475" w:type="dxa"/>
            <w:tcBorders>
              <w:top w:val="single" w:sz="8" w:space="0" w:color="AEAEAE"/>
              <w:left w:val="single" w:sz="8" w:space="0" w:color="E0E0E0"/>
              <w:bottom w:val="single" w:sz="8" w:space="0" w:color="AEAEAE"/>
              <w:right w:val="nil"/>
            </w:tcBorders>
            <w:shd w:val="clear" w:color="auto" w:fill="FFFFFF"/>
          </w:tcPr>
          <w:p w14:paraId="4C7F89C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.422</w:t>
            </w:r>
          </w:p>
        </w:tc>
      </w:tr>
      <w:tr w:rsidR="0087601C" w:rsidRPr="006A1EC7" w14:paraId="29B96958"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3B261C45"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w:t>
            </w:r>
          </w:p>
        </w:tc>
        <w:tc>
          <w:tcPr>
            <w:tcW w:w="1029" w:type="dxa"/>
            <w:tcBorders>
              <w:top w:val="single" w:sz="8" w:space="0" w:color="AEAEAE"/>
              <w:left w:val="nil"/>
              <w:bottom w:val="single" w:sz="8" w:space="0" w:color="AEAEAE"/>
              <w:right w:val="single" w:sz="8" w:space="0" w:color="E0E0E0"/>
            </w:tcBorders>
            <w:shd w:val="clear" w:color="auto" w:fill="FFFFFF"/>
          </w:tcPr>
          <w:p w14:paraId="40175A0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AE6C6D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2680F2F"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D1B646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1.47</w:t>
            </w:r>
          </w:p>
        </w:tc>
        <w:tc>
          <w:tcPr>
            <w:tcW w:w="1475" w:type="dxa"/>
            <w:tcBorders>
              <w:top w:val="single" w:sz="8" w:space="0" w:color="AEAEAE"/>
              <w:left w:val="single" w:sz="8" w:space="0" w:color="E0E0E0"/>
              <w:bottom w:val="single" w:sz="8" w:space="0" w:color="AEAEAE"/>
              <w:right w:val="nil"/>
            </w:tcBorders>
            <w:shd w:val="clear" w:color="auto" w:fill="FFFFFF"/>
          </w:tcPr>
          <w:p w14:paraId="2EE8881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.687</w:t>
            </w:r>
          </w:p>
        </w:tc>
      </w:tr>
      <w:tr w:rsidR="0087601C" w:rsidRPr="006A1EC7" w14:paraId="459B9554" w14:textId="77777777" w:rsidTr="00D56051">
        <w:trPr>
          <w:cantSplit/>
        </w:trPr>
        <w:tc>
          <w:tcPr>
            <w:tcW w:w="2351" w:type="dxa"/>
            <w:tcBorders>
              <w:top w:val="single" w:sz="8" w:space="0" w:color="AEAEAE"/>
              <w:left w:val="nil"/>
              <w:bottom w:val="single" w:sz="8" w:space="0" w:color="AEAEAE"/>
              <w:right w:val="nil"/>
            </w:tcBorders>
            <w:shd w:val="clear" w:color="auto" w:fill="E0E0E0"/>
          </w:tcPr>
          <w:p w14:paraId="490B150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w:t>
            </w:r>
          </w:p>
        </w:tc>
        <w:tc>
          <w:tcPr>
            <w:tcW w:w="1029" w:type="dxa"/>
            <w:tcBorders>
              <w:top w:val="single" w:sz="8" w:space="0" w:color="AEAEAE"/>
              <w:left w:val="nil"/>
              <w:bottom w:val="single" w:sz="8" w:space="0" w:color="AEAEAE"/>
              <w:right w:val="single" w:sz="8" w:space="0" w:color="E0E0E0"/>
            </w:tcBorders>
            <w:shd w:val="clear" w:color="auto" w:fill="FFFFFF"/>
          </w:tcPr>
          <w:p w14:paraId="4932B95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9FDD60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A0817E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38967C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.92</w:t>
            </w:r>
          </w:p>
        </w:tc>
        <w:tc>
          <w:tcPr>
            <w:tcW w:w="1475" w:type="dxa"/>
            <w:tcBorders>
              <w:top w:val="single" w:sz="8" w:space="0" w:color="AEAEAE"/>
              <w:left w:val="single" w:sz="8" w:space="0" w:color="E0E0E0"/>
              <w:bottom w:val="single" w:sz="8" w:space="0" w:color="AEAEAE"/>
              <w:right w:val="nil"/>
            </w:tcBorders>
            <w:shd w:val="clear" w:color="auto" w:fill="FFFFFF"/>
          </w:tcPr>
          <w:p w14:paraId="495E66D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.277</w:t>
            </w:r>
          </w:p>
        </w:tc>
      </w:tr>
      <w:tr w:rsidR="0087601C" w:rsidRPr="006A1EC7" w14:paraId="1365CA2C" w14:textId="77777777" w:rsidTr="00D56051">
        <w:trPr>
          <w:cantSplit/>
        </w:trPr>
        <w:tc>
          <w:tcPr>
            <w:tcW w:w="2351" w:type="dxa"/>
            <w:tcBorders>
              <w:top w:val="single" w:sz="8" w:space="0" w:color="AEAEAE"/>
              <w:left w:val="nil"/>
              <w:bottom w:val="single" w:sz="8" w:space="0" w:color="152935"/>
              <w:right w:val="nil"/>
            </w:tcBorders>
            <w:shd w:val="clear" w:color="auto" w:fill="E0E0E0"/>
          </w:tcPr>
          <w:p w14:paraId="7CBC87D6"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67B4122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29544A" w14:textId="77777777" w:rsidR="0087601C" w:rsidRPr="006A1EC7" w:rsidRDefault="0087601C" w:rsidP="00D56051">
            <w:pPr>
              <w:autoSpaceDE w:val="0"/>
              <w:autoSpaceDN w:val="0"/>
              <w:adjustRightInd w:val="0"/>
              <w:rPr>
                <w:rFonts w:eastAsiaTheme="minorHAnsi"/>
              </w:rPr>
            </w:pPr>
          </w:p>
        </w:tc>
        <w:tc>
          <w:tcPr>
            <w:tcW w:w="11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6934080" w14:textId="77777777" w:rsidR="0087601C" w:rsidRPr="006A1EC7" w:rsidRDefault="0087601C" w:rsidP="00D56051">
            <w:pPr>
              <w:autoSpaceDE w:val="0"/>
              <w:autoSpaceDN w:val="0"/>
              <w:adjustRightInd w:val="0"/>
              <w:rPr>
                <w:rFonts w:eastAsiaTheme="minorHAnsi"/>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A1E2905" w14:textId="77777777" w:rsidR="0087601C" w:rsidRPr="006A1EC7" w:rsidRDefault="0087601C" w:rsidP="00D56051">
            <w:pPr>
              <w:autoSpaceDE w:val="0"/>
              <w:autoSpaceDN w:val="0"/>
              <w:adjustRightInd w:val="0"/>
              <w:rPr>
                <w:rFonts w:eastAsiaTheme="minorHAnsi"/>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2189054" w14:textId="77777777" w:rsidR="0087601C" w:rsidRPr="006A1EC7" w:rsidRDefault="0087601C" w:rsidP="00D56051">
            <w:pPr>
              <w:autoSpaceDE w:val="0"/>
              <w:autoSpaceDN w:val="0"/>
              <w:adjustRightInd w:val="0"/>
              <w:rPr>
                <w:rFonts w:eastAsiaTheme="minorHAnsi"/>
              </w:rPr>
            </w:pPr>
          </w:p>
        </w:tc>
      </w:tr>
    </w:tbl>
    <w:p w14:paraId="4309C3CA" w14:textId="77777777" w:rsidR="0087601C" w:rsidRPr="006A1EC7" w:rsidRDefault="0087601C" w:rsidP="0087601C">
      <w:pPr>
        <w:autoSpaceDE w:val="0"/>
        <w:autoSpaceDN w:val="0"/>
        <w:adjustRightInd w:val="0"/>
        <w:spacing w:line="400" w:lineRule="atLeast"/>
        <w:rPr>
          <w:rFonts w:eastAsiaTheme="minorHAnsi"/>
        </w:rPr>
      </w:pPr>
    </w:p>
    <w:p w14:paraId="68A8F2FF" w14:textId="77777777" w:rsidR="0087601C" w:rsidRPr="006A1EC7" w:rsidRDefault="0087601C" w:rsidP="0087601C">
      <w:pPr>
        <w:autoSpaceDE w:val="0"/>
        <w:autoSpaceDN w:val="0"/>
        <w:adjustRightInd w:val="0"/>
        <w:rPr>
          <w:rFonts w:eastAsiaTheme="minorHAnsi"/>
        </w:rPr>
      </w:pPr>
    </w:p>
    <w:tbl>
      <w:tblPr>
        <w:tblW w:w="7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2"/>
        <w:gridCol w:w="1029"/>
        <w:gridCol w:w="1092"/>
        <w:gridCol w:w="1153"/>
        <w:gridCol w:w="1030"/>
        <w:gridCol w:w="1476"/>
      </w:tblGrid>
      <w:tr w:rsidR="0087601C" w:rsidRPr="006A1EC7" w14:paraId="0BF92B55" w14:textId="77777777" w:rsidTr="00D56051">
        <w:trPr>
          <w:cantSplit/>
        </w:trPr>
        <w:tc>
          <w:tcPr>
            <w:tcW w:w="7532" w:type="dxa"/>
            <w:gridSpan w:val="6"/>
            <w:tcBorders>
              <w:top w:val="nil"/>
              <w:left w:val="nil"/>
              <w:bottom w:val="nil"/>
              <w:right w:val="nil"/>
            </w:tcBorders>
            <w:shd w:val="clear" w:color="auto" w:fill="FFFFFF"/>
            <w:vAlign w:val="center"/>
          </w:tcPr>
          <w:p w14:paraId="347F1FF1" w14:textId="77777777" w:rsidR="0087601C" w:rsidRPr="006A1EC7" w:rsidRDefault="0087601C" w:rsidP="00D56051">
            <w:pPr>
              <w:autoSpaceDE w:val="0"/>
              <w:autoSpaceDN w:val="0"/>
              <w:adjustRightInd w:val="0"/>
              <w:spacing w:line="320" w:lineRule="atLeast"/>
              <w:ind w:left="60" w:right="60"/>
              <w:jc w:val="center"/>
              <w:rPr>
                <w:rFonts w:eastAsiaTheme="minorHAnsi"/>
                <w:color w:val="010205"/>
                <w:sz w:val="30"/>
                <w:szCs w:val="30"/>
              </w:rPr>
            </w:pPr>
            <w:r w:rsidRPr="006A1EC7">
              <w:rPr>
                <w:rFonts w:eastAsiaTheme="minorHAnsi"/>
                <w:b/>
                <w:bCs/>
                <w:color w:val="010205"/>
                <w:sz w:val="30"/>
                <w:szCs w:val="30"/>
              </w:rPr>
              <w:t>Descriptive Statistics</w:t>
            </w:r>
          </w:p>
        </w:tc>
      </w:tr>
      <w:tr w:rsidR="0087601C" w:rsidRPr="006A1EC7" w14:paraId="06CFDA48" w14:textId="77777777" w:rsidTr="00D56051">
        <w:trPr>
          <w:cantSplit/>
        </w:trPr>
        <w:tc>
          <w:tcPr>
            <w:tcW w:w="1752" w:type="dxa"/>
            <w:tcBorders>
              <w:top w:val="nil"/>
              <w:left w:val="nil"/>
              <w:bottom w:val="single" w:sz="8" w:space="0" w:color="152935"/>
              <w:right w:val="nil"/>
            </w:tcBorders>
            <w:shd w:val="clear" w:color="auto" w:fill="FFFFFF"/>
            <w:vAlign w:val="bottom"/>
          </w:tcPr>
          <w:p w14:paraId="710019FE" w14:textId="77777777" w:rsidR="0087601C" w:rsidRPr="006A1EC7" w:rsidRDefault="0087601C" w:rsidP="00D56051">
            <w:pPr>
              <w:autoSpaceDE w:val="0"/>
              <w:autoSpaceDN w:val="0"/>
              <w:adjustRightInd w:val="0"/>
              <w:rPr>
                <w:rFonts w:eastAsiaTheme="minorHAnsi"/>
              </w:rPr>
            </w:pPr>
          </w:p>
        </w:tc>
        <w:tc>
          <w:tcPr>
            <w:tcW w:w="1029" w:type="dxa"/>
            <w:tcBorders>
              <w:top w:val="nil"/>
              <w:left w:val="nil"/>
              <w:bottom w:val="single" w:sz="8" w:space="0" w:color="152935"/>
              <w:right w:val="single" w:sz="8" w:space="0" w:color="E0E0E0"/>
            </w:tcBorders>
            <w:shd w:val="clear" w:color="auto" w:fill="FFFFFF"/>
            <w:vAlign w:val="bottom"/>
          </w:tcPr>
          <w:p w14:paraId="2BF2155E"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N</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012A86CD"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Minimum</w:t>
            </w:r>
          </w:p>
        </w:tc>
        <w:tc>
          <w:tcPr>
            <w:tcW w:w="1153" w:type="dxa"/>
            <w:tcBorders>
              <w:top w:val="nil"/>
              <w:left w:val="single" w:sz="8" w:space="0" w:color="E0E0E0"/>
              <w:bottom w:val="single" w:sz="8" w:space="0" w:color="152935"/>
              <w:right w:val="single" w:sz="8" w:space="0" w:color="E0E0E0"/>
            </w:tcBorders>
            <w:shd w:val="clear" w:color="auto" w:fill="FFFFFF"/>
            <w:vAlign w:val="bottom"/>
          </w:tcPr>
          <w:p w14:paraId="57821D2B"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5A5EB64"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Mean</w:t>
            </w:r>
          </w:p>
        </w:tc>
        <w:tc>
          <w:tcPr>
            <w:tcW w:w="1476" w:type="dxa"/>
            <w:tcBorders>
              <w:top w:val="nil"/>
              <w:left w:val="single" w:sz="8" w:space="0" w:color="E0E0E0"/>
              <w:bottom w:val="single" w:sz="8" w:space="0" w:color="152935"/>
              <w:right w:val="nil"/>
            </w:tcBorders>
            <w:shd w:val="clear" w:color="auto" w:fill="FFFFFF"/>
            <w:vAlign w:val="bottom"/>
          </w:tcPr>
          <w:p w14:paraId="3944286E"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Std. Deviation</w:t>
            </w:r>
          </w:p>
        </w:tc>
      </w:tr>
      <w:tr w:rsidR="0087601C" w:rsidRPr="006A1EC7" w14:paraId="0F537173" w14:textId="77777777" w:rsidTr="00D56051">
        <w:trPr>
          <w:cantSplit/>
        </w:trPr>
        <w:tc>
          <w:tcPr>
            <w:tcW w:w="1752" w:type="dxa"/>
            <w:tcBorders>
              <w:top w:val="single" w:sz="8" w:space="0" w:color="152935"/>
              <w:left w:val="nil"/>
              <w:bottom w:val="single" w:sz="8" w:space="0" w:color="AEAEAE"/>
              <w:right w:val="nil"/>
            </w:tcBorders>
            <w:shd w:val="clear" w:color="auto" w:fill="E0E0E0"/>
          </w:tcPr>
          <w:p w14:paraId="6EF5B93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 A1</w:t>
            </w:r>
          </w:p>
        </w:tc>
        <w:tc>
          <w:tcPr>
            <w:tcW w:w="1029" w:type="dxa"/>
            <w:tcBorders>
              <w:top w:val="single" w:sz="8" w:space="0" w:color="152935"/>
              <w:left w:val="nil"/>
              <w:bottom w:val="single" w:sz="8" w:space="0" w:color="AEAEAE"/>
              <w:right w:val="single" w:sz="8" w:space="0" w:color="E0E0E0"/>
            </w:tcBorders>
            <w:shd w:val="clear" w:color="auto" w:fill="FFFFFF"/>
          </w:tcPr>
          <w:p w14:paraId="63CF9AF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38</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14:paraId="2E78FF3A"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153" w:type="dxa"/>
            <w:tcBorders>
              <w:top w:val="single" w:sz="8" w:space="0" w:color="152935"/>
              <w:left w:val="single" w:sz="8" w:space="0" w:color="E0E0E0"/>
              <w:bottom w:val="single" w:sz="8" w:space="0" w:color="AEAEAE"/>
              <w:right w:val="single" w:sz="8" w:space="0" w:color="E0E0E0"/>
            </w:tcBorders>
            <w:shd w:val="clear" w:color="auto" w:fill="FFFFFF"/>
          </w:tcPr>
          <w:p w14:paraId="72E4137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2CB62F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3.00</w:t>
            </w:r>
          </w:p>
        </w:tc>
        <w:tc>
          <w:tcPr>
            <w:tcW w:w="1476" w:type="dxa"/>
            <w:tcBorders>
              <w:top w:val="single" w:sz="8" w:space="0" w:color="152935"/>
              <w:left w:val="single" w:sz="8" w:space="0" w:color="E0E0E0"/>
              <w:bottom w:val="single" w:sz="8" w:space="0" w:color="AEAEAE"/>
              <w:right w:val="nil"/>
            </w:tcBorders>
            <w:shd w:val="clear" w:color="auto" w:fill="FFFFFF"/>
          </w:tcPr>
          <w:p w14:paraId="3FA09A7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6FB57508" w14:textId="77777777" w:rsidTr="00D56051">
        <w:trPr>
          <w:cantSplit/>
        </w:trPr>
        <w:tc>
          <w:tcPr>
            <w:tcW w:w="1752" w:type="dxa"/>
            <w:tcBorders>
              <w:top w:val="single" w:sz="8" w:space="0" w:color="AEAEAE"/>
              <w:left w:val="nil"/>
              <w:bottom w:val="single" w:sz="8" w:space="0" w:color="AEAEAE"/>
              <w:right w:val="nil"/>
            </w:tcBorders>
            <w:shd w:val="clear" w:color="auto" w:fill="E0E0E0"/>
          </w:tcPr>
          <w:p w14:paraId="0F33F98F"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 xml:space="preserve">Level of care A1 </w:t>
            </w:r>
          </w:p>
        </w:tc>
        <w:tc>
          <w:tcPr>
            <w:tcW w:w="1029" w:type="dxa"/>
            <w:tcBorders>
              <w:top w:val="single" w:sz="8" w:space="0" w:color="AEAEAE"/>
              <w:left w:val="nil"/>
              <w:bottom w:val="single" w:sz="8" w:space="0" w:color="AEAEAE"/>
              <w:right w:val="single" w:sz="8" w:space="0" w:color="E0E0E0"/>
            </w:tcBorders>
            <w:shd w:val="clear" w:color="auto" w:fill="FFFFFF"/>
          </w:tcPr>
          <w:p w14:paraId="57F99FF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1E79B4D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3" w:type="dxa"/>
            <w:tcBorders>
              <w:top w:val="single" w:sz="8" w:space="0" w:color="AEAEAE"/>
              <w:left w:val="single" w:sz="8" w:space="0" w:color="E0E0E0"/>
              <w:bottom w:val="single" w:sz="8" w:space="0" w:color="AEAEAE"/>
              <w:right w:val="single" w:sz="8" w:space="0" w:color="E0E0E0"/>
            </w:tcBorders>
            <w:shd w:val="clear" w:color="auto" w:fill="FFFFFF"/>
          </w:tcPr>
          <w:p w14:paraId="3E1BA99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451D7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1.14</w:t>
            </w:r>
          </w:p>
        </w:tc>
        <w:tc>
          <w:tcPr>
            <w:tcW w:w="1476" w:type="dxa"/>
            <w:tcBorders>
              <w:top w:val="single" w:sz="8" w:space="0" w:color="AEAEAE"/>
              <w:left w:val="single" w:sz="8" w:space="0" w:color="E0E0E0"/>
              <w:bottom w:val="single" w:sz="8" w:space="0" w:color="AEAEAE"/>
              <w:right w:val="nil"/>
            </w:tcBorders>
            <w:shd w:val="clear" w:color="auto" w:fill="FFFFFF"/>
          </w:tcPr>
          <w:p w14:paraId="6488D08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.347</w:t>
            </w:r>
          </w:p>
        </w:tc>
      </w:tr>
      <w:tr w:rsidR="0087601C" w:rsidRPr="006A1EC7" w14:paraId="629CF89F" w14:textId="77777777" w:rsidTr="00D56051">
        <w:trPr>
          <w:cantSplit/>
        </w:trPr>
        <w:tc>
          <w:tcPr>
            <w:tcW w:w="1752" w:type="dxa"/>
            <w:tcBorders>
              <w:top w:val="single" w:sz="8" w:space="0" w:color="AEAEAE"/>
              <w:left w:val="nil"/>
              <w:bottom w:val="single" w:sz="8" w:space="0" w:color="152935"/>
              <w:right w:val="nil"/>
            </w:tcBorders>
            <w:shd w:val="clear" w:color="auto" w:fill="E0E0E0"/>
          </w:tcPr>
          <w:p w14:paraId="1F579C82"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7F1BF09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DE9574C" w14:textId="77777777" w:rsidR="0087601C" w:rsidRPr="006A1EC7" w:rsidRDefault="0087601C" w:rsidP="00D56051">
            <w:pPr>
              <w:autoSpaceDE w:val="0"/>
              <w:autoSpaceDN w:val="0"/>
              <w:adjustRightInd w:val="0"/>
              <w:rPr>
                <w:rFonts w:eastAsiaTheme="minorHAnsi"/>
              </w:rPr>
            </w:pPr>
          </w:p>
        </w:tc>
        <w:tc>
          <w:tcPr>
            <w:tcW w:w="115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BC6F06D" w14:textId="77777777" w:rsidR="0087601C" w:rsidRPr="006A1EC7" w:rsidRDefault="0087601C" w:rsidP="00D56051">
            <w:pPr>
              <w:autoSpaceDE w:val="0"/>
              <w:autoSpaceDN w:val="0"/>
              <w:adjustRightInd w:val="0"/>
              <w:rPr>
                <w:rFonts w:eastAsiaTheme="minorHAnsi"/>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A025C25" w14:textId="77777777" w:rsidR="0087601C" w:rsidRPr="006A1EC7" w:rsidRDefault="0087601C" w:rsidP="00D56051">
            <w:pPr>
              <w:autoSpaceDE w:val="0"/>
              <w:autoSpaceDN w:val="0"/>
              <w:adjustRightInd w:val="0"/>
              <w:rPr>
                <w:rFonts w:eastAsiaTheme="minorHAnsi"/>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1795A30D" w14:textId="77777777" w:rsidR="0087601C" w:rsidRPr="006A1EC7" w:rsidRDefault="0087601C" w:rsidP="00D56051">
            <w:pPr>
              <w:autoSpaceDE w:val="0"/>
              <w:autoSpaceDN w:val="0"/>
              <w:adjustRightInd w:val="0"/>
              <w:rPr>
                <w:rFonts w:eastAsiaTheme="minorHAnsi"/>
              </w:rPr>
            </w:pPr>
          </w:p>
        </w:tc>
      </w:tr>
    </w:tbl>
    <w:p w14:paraId="3AFACFDE" w14:textId="77777777" w:rsidR="0087601C" w:rsidRPr="006A1EC7" w:rsidRDefault="0087601C" w:rsidP="0087601C">
      <w:pPr>
        <w:autoSpaceDE w:val="0"/>
        <w:autoSpaceDN w:val="0"/>
        <w:adjustRightInd w:val="0"/>
        <w:rPr>
          <w:rFonts w:eastAsiaTheme="minorHAnsi"/>
        </w:rPr>
      </w:pPr>
    </w:p>
    <w:tbl>
      <w:tblPr>
        <w:tblW w:w="7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2"/>
        <w:gridCol w:w="1029"/>
        <w:gridCol w:w="1092"/>
        <w:gridCol w:w="1153"/>
        <w:gridCol w:w="1030"/>
        <w:gridCol w:w="1476"/>
      </w:tblGrid>
      <w:tr w:rsidR="0087601C" w:rsidRPr="006A1EC7" w14:paraId="3C310FCF" w14:textId="77777777" w:rsidTr="00D56051">
        <w:trPr>
          <w:cantSplit/>
        </w:trPr>
        <w:tc>
          <w:tcPr>
            <w:tcW w:w="7528" w:type="dxa"/>
            <w:gridSpan w:val="6"/>
            <w:tcBorders>
              <w:top w:val="nil"/>
              <w:left w:val="nil"/>
              <w:bottom w:val="nil"/>
              <w:right w:val="nil"/>
            </w:tcBorders>
            <w:shd w:val="clear" w:color="auto" w:fill="FFFFFF"/>
            <w:vAlign w:val="center"/>
          </w:tcPr>
          <w:p w14:paraId="430544E6" w14:textId="77777777" w:rsidR="0087601C" w:rsidRPr="006A1EC7" w:rsidRDefault="0087601C" w:rsidP="00D56051">
            <w:pPr>
              <w:autoSpaceDE w:val="0"/>
              <w:autoSpaceDN w:val="0"/>
              <w:adjustRightInd w:val="0"/>
              <w:spacing w:line="320" w:lineRule="atLeast"/>
              <w:ind w:left="60" w:right="60"/>
              <w:jc w:val="center"/>
              <w:rPr>
                <w:rFonts w:eastAsiaTheme="minorHAnsi"/>
                <w:color w:val="010205"/>
                <w:sz w:val="30"/>
                <w:szCs w:val="30"/>
              </w:rPr>
            </w:pPr>
            <w:r w:rsidRPr="006A1EC7">
              <w:rPr>
                <w:rFonts w:eastAsiaTheme="minorHAnsi"/>
                <w:b/>
                <w:bCs/>
                <w:color w:val="010205"/>
                <w:sz w:val="30"/>
                <w:szCs w:val="30"/>
              </w:rPr>
              <w:t>Descriptive Statistics</w:t>
            </w:r>
          </w:p>
        </w:tc>
      </w:tr>
      <w:tr w:rsidR="0087601C" w:rsidRPr="006A1EC7" w14:paraId="0BA58DE0" w14:textId="77777777" w:rsidTr="00D56051">
        <w:trPr>
          <w:cantSplit/>
        </w:trPr>
        <w:tc>
          <w:tcPr>
            <w:tcW w:w="1752" w:type="dxa"/>
            <w:tcBorders>
              <w:top w:val="nil"/>
              <w:left w:val="nil"/>
              <w:bottom w:val="single" w:sz="8" w:space="0" w:color="152935"/>
              <w:right w:val="nil"/>
            </w:tcBorders>
            <w:shd w:val="clear" w:color="auto" w:fill="FFFFFF"/>
            <w:vAlign w:val="bottom"/>
          </w:tcPr>
          <w:p w14:paraId="41385363" w14:textId="77777777" w:rsidR="0087601C" w:rsidRPr="006A1EC7" w:rsidRDefault="0087601C" w:rsidP="00D56051">
            <w:pPr>
              <w:autoSpaceDE w:val="0"/>
              <w:autoSpaceDN w:val="0"/>
              <w:adjustRightInd w:val="0"/>
              <w:rPr>
                <w:rFonts w:eastAsiaTheme="minorHAnsi"/>
              </w:rPr>
            </w:pPr>
          </w:p>
        </w:tc>
        <w:tc>
          <w:tcPr>
            <w:tcW w:w="1029" w:type="dxa"/>
            <w:tcBorders>
              <w:top w:val="nil"/>
              <w:left w:val="nil"/>
              <w:bottom w:val="single" w:sz="8" w:space="0" w:color="152935"/>
              <w:right w:val="single" w:sz="8" w:space="0" w:color="E0E0E0"/>
            </w:tcBorders>
            <w:shd w:val="clear" w:color="auto" w:fill="FFFFFF"/>
            <w:vAlign w:val="bottom"/>
          </w:tcPr>
          <w:p w14:paraId="28E3D8FB"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N</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4807CAC2"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Minimum</w:t>
            </w:r>
          </w:p>
        </w:tc>
        <w:tc>
          <w:tcPr>
            <w:tcW w:w="1152" w:type="dxa"/>
            <w:tcBorders>
              <w:top w:val="nil"/>
              <w:left w:val="single" w:sz="8" w:space="0" w:color="E0E0E0"/>
              <w:bottom w:val="single" w:sz="8" w:space="0" w:color="152935"/>
              <w:right w:val="single" w:sz="8" w:space="0" w:color="E0E0E0"/>
            </w:tcBorders>
            <w:shd w:val="clear" w:color="auto" w:fill="FFFFFF"/>
            <w:vAlign w:val="bottom"/>
          </w:tcPr>
          <w:p w14:paraId="6DFA4971"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5E07381"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Mean</w:t>
            </w:r>
          </w:p>
        </w:tc>
        <w:tc>
          <w:tcPr>
            <w:tcW w:w="1475" w:type="dxa"/>
            <w:tcBorders>
              <w:top w:val="nil"/>
              <w:left w:val="single" w:sz="8" w:space="0" w:color="E0E0E0"/>
              <w:bottom w:val="single" w:sz="8" w:space="0" w:color="152935"/>
              <w:right w:val="nil"/>
            </w:tcBorders>
            <w:shd w:val="clear" w:color="auto" w:fill="FFFFFF"/>
            <w:vAlign w:val="bottom"/>
          </w:tcPr>
          <w:p w14:paraId="7EBBF4A6"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Std. Deviation</w:t>
            </w:r>
          </w:p>
        </w:tc>
      </w:tr>
      <w:tr w:rsidR="0087601C" w:rsidRPr="006A1EC7" w14:paraId="1F5BE9AA" w14:textId="77777777" w:rsidTr="00D56051">
        <w:trPr>
          <w:cantSplit/>
        </w:trPr>
        <w:tc>
          <w:tcPr>
            <w:tcW w:w="1752" w:type="dxa"/>
            <w:tcBorders>
              <w:top w:val="single" w:sz="8" w:space="0" w:color="152935"/>
              <w:left w:val="nil"/>
              <w:bottom w:val="single" w:sz="8" w:space="0" w:color="AEAEAE"/>
              <w:right w:val="nil"/>
            </w:tcBorders>
            <w:shd w:val="clear" w:color="auto" w:fill="E0E0E0"/>
          </w:tcPr>
          <w:p w14:paraId="694090B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 A2</w:t>
            </w:r>
          </w:p>
        </w:tc>
        <w:tc>
          <w:tcPr>
            <w:tcW w:w="1029" w:type="dxa"/>
            <w:tcBorders>
              <w:top w:val="single" w:sz="8" w:space="0" w:color="152935"/>
              <w:left w:val="nil"/>
              <w:bottom w:val="single" w:sz="8" w:space="0" w:color="AEAEAE"/>
              <w:right w:val="single" w:sz="8" w:space="0" w:color="E0E0E0"/>
            </w:tcBorders>
            <w:shd w:val="clear" w:color="auto" w:fill="FFFFFF"/>
          </w:tcPr>
          <w:p w14:paraId="6CFD454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4B578B7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152" w:type="dxa"/>
            <w:tcBorders>
              <w:top w:val="single" w:sz="8" w:space="0" w:color="152935"/>
              <w:left w:val="single" w:sz="8" w:space="0" w:color="E0E0E0"/>
              <w:bottom w:val="single" w:sz="8" w:space="0" w:color="AEAEAE"/>
              <w:right w:val="single" w:sz="8" w:space="0" w:color="E0E0E0"/>
            </w:tcBorders>
            <w:shd w:val="clear" w:color="auto" w:fill="FFFFFF"/>
          </w:tcPr>
          <w:p w14:paraId="788EF40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F34A48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3.00</w:t>
            </w:r>
          </w:p>
        </w:tc>
        <w:tc>
          <w:tcPr>
            <w:tcW w:w="1475" w:type="dxa"/>
            <w:tcBorders>
              <w:top w:val="single" w:sz="8" w:space="0" w:color="152935"/>
              <w:left w:val="single" w:sz="8" w:space="0" w:color="E0E0E0"/>
              <w:bottom w:val="single" w:sz="8" w:space="0" w:color="AEAEAE"/>
              <w:right w:val="nil"/>
            </w:tcBorders>
            <w:shd w:val="clear" w:color="auto" w:fill="FFFFFF"/>
          </w:tcPr>
          <w:p w14:paraId="4198D62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7EDE9289" w14:textId="77777777" w:rsidTr="00D56051">
        <w:trPr>
          <w:cantSplit/>
        </w:trPr>
        <w:tc>
          <w:tcPr>
            <w:tcW w:w="1752" w:type="dxa"/>
            <w:tcBorders>
              <w:top w:val="single" w:sz="8" w:space="0" w:color="AEAEAE"/>
              <w:left w:val="nil"/>
              <w:bottom w:val="single" w:sz="8" w:space="0" w:color="AEAEAE"/>
              <w:right w:val="nil"/>
            </w:tcBorders>
            <w:shd w:val="clear" w:color="auto" w:fill="E0E0E0"/>
          </w:tcPr>
          <w:p w14:paraId="241FD64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 A2</w:t>
            </w:r>
          </w:p>
        </w:tc>
        <w:tc>
          <w:tcPr>
            <w:tcW w:w="1029" w:type="dxa"/>
            <w:tcBorders>
              <w:top w:val="single" w:sz="8" w:space="0" w:color="AEAEAE"/>
              <w:left w:val="nil"/>
              <w:bottom w:val="single" w:sz="8" w:space="0" w:color="AEAEAE"/>
              <w:right w:val="single" w:sz="8" w:space="0" w:color="E0E0E0"/>
            </w:tcBorders>
            <w:shd w:val="clear" w:color="auto" w:fill="FFFFFF"/>
          </w:tcPr>
          <w:p w14:paraId="746C527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AA5401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09821C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55638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1.14</w:t>
            </w:r>
          </w:p>
        </w:tc>
        <w:tc>
          <w:tcPr>
            <w:tcW w:w="1475" w:type="dxa"/>
            <w:tcBorders>
              <w:top w:val="single" w:sz="8" w:space="0" w:color="AEAEAE"/>
              <w:left w:val="single" w:sz="8" w:space="0" w:color="E0E0E0"/>
              <w:bottom w:val="single" w:sz="8" w:space="0" w:color="AEAEAE"/>
              <w:right w:val="nil"/>
            </w:tcBorders>
            <w:shd w:val="clear" w:color="auto" w:fill="FFFFFF"/>
          </w:tcPr>
          <w:p w14:paraId="01D90D4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.378</w:t>
            </w:r>
          </w:p>
        </w:tc>
      </w:tr>
      <w:tr w:rsidR="0087601C" w:rsidRPr="006A1EC7" w14:paraId="620AD848" w14:textId="77777777" w:rsidTr="00D56051">
        <w:trPr>
          <w:cantSplit/>
        </w:trPr>
        <w:tc>
          <w:tcPr>
            <w:tcW w:w="1752" w:type="dxa"/>
            <w:tcBorders>
              <w:top w:val="single" w:sz="8" w:space="0" w:color="AEAEAE"/>
              <w:left w:val="nil"/>
              <w:bottom w:val="single" w:sz="8" w:space="0" w:color="AEAEAE"/>
              <w:right w:val="nil"/>
            </w:tcBorders>
            <w:shd w:val="clear" w:color="auto" w:fill="E0E0E0"/>
          </w:tcPr>
          <w:p w14:paraId="3BA891C0"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 B1</w:t>
            </w:r>
          </w:p>
        </w:tc>
        <w:tc>
          <w:tcPr>
            <w:tcW w:w="1029" w:type="dxa"/>
            <w:tcBorders>
              <w:top w:val="single" w:sz="8" w:space="0" w:color="AEAEAE"/>
              <w:left w:val="nil"/>
              <w:bottom w:val="single" w:sz="8" w:space="0" w:color="AEAEAE"/>
              <w:right w:val="single" w:sz="8" w:space="0" w:color="E0E0E0"/>
            </w:tcBorders>
            <w:shd w:val="clear" w:color="auto" w:fill="FFFFFF"/>
          </w:tcPr>
          <w:p w14:paraId="4CEC469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1F5D18E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5190132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3CA25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1.47</w:t>
            </w:r>
          </w:p>
        </w:tc>
        <w:tc>
          <w:tcPr>
            <w:tcW w:w="1475" w:type="dxa"/>
            <w:tcBorders>
              <w:top w:val="single" w:sz="8" w:space="0" w:color="AEAEAE"/>
              <w:left w:val="single" w:sz="8" w:space="0" w:color="E0E0E0"/>
              <w:bottom w:val="single" w:sz="8" w:space="0" w:color="AEAEAE"/>
              <w:right w:val="nil"/>
            </w:tcBorders>
            <w:shd w:val="clear" w:color="auto" w:fill="FFFFFF"/>
          </w:tcPr>
          <w:p w14:paraId="742C497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.687</w:t>
            </w:r>
          </w:p>
        </w:tc>
      </w:tr>
      <w:tr w:rsidR="0087601C" w:rsidRPr="006A1EC7" w14:paraId="0D140A8B" w14:textId="77777777" w:rsidTr="00D56051">
        <w:trPr>
          <w:cantSplit/>
        </w:trPr>
        <w:tc>
          <w:tcPr>
            <w:tcW w:w="1752" w:type="dxa"/>
            <w:tcBorders>
              <w:top w:val="single" w:sz="8" w:space="0" w:color="AEAEAE"/>
              <w:left w:val="nil"/>
              <w:bottom w:val="single" w:sz="8" w:space="0" w:color="AEAEAE"/>
              <w:right w:val="nil"/>
            </w:tcBorders>
            <w:shd w:val="clear" w:color="auto" w:fill="E0E0E0"/>
          </w:tcPr>
          <w:p w14:paraId="551826C9"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 B1</w:t>
            </w:r>
          </w:p>
        </w:tc>
        <w:tc>
          <w:tcPr>
            <w:tcW w:w="1029" w:type="dxa"/>
            <w:tcBorders>
              <w:top w:val="single" w:sz="8" w:space="0" w:color="AEAEAE"/>
              <w:left w:val="nil"/>
              <w:bottom w:val="single" w:sz="8" w:space="0" w:color="AEAEAE"/>
              <w:right w:val="single" w:sz="8" w:space="0" w:color="E0E0E0"/>
            </w:tcBorders>
            <w:shd w:val="clear" w:color="auto" w:fill="FFFFFF"/>
          </w:tcPr>
          <w:p w14:paraId="1A94C4B0"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84A5B5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379F1CC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E1FE80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.92</w:t>
            </w:r>
          </w:p>
        </w:tc>
        <w:tc>
          <w:tcPr>
            <w:tcW w:w="1475" w:type="dxa"/>
            <w:tcBorders>
              <w:top w:val="single" w:sz="8" w:space="0" w:color="AEAEAE"/>
              <w:left w:val="single" w:sz="8" w:space="0" w:color="E0E0E0"/>
              <w:bottom w:val="single" w:sz="8" w:space="0" w:color="AEAEAE"/>
              <w:right w:val="nil"/>
            </w:tcBorders>
            <w:shd w:val="clear" w:color="auto" w:fill="FFFFFF"/>
          </w:tcPr>
          <w:p w14:paraId="5914C69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.277</w:t>
            </w:r>
          </w:p>
        </w:tc>
      </w:tr>
      <w:tr w:rsidR="0087601C" w:rsidRPr="006A1EC7" w14:paraId="1919BBFD" w14:textId="77777777" w:rsidTr="00D56051">
        <w:trPr>
          <w:cantSplit/>
        </w:trPr>
        <w:tc>
          <w:tcPr>
            <w:tcW w:w="1752" w:type="dxa"/>
            <w:tcBorders>
              <w:top w:val="single" w:sz="8" w:space="0" w:color="AEAEAE"/>
              <w:left w:val="nil"/>
              <w:bottom w:val="single" w:sz="8" w:space="0" w:color="AEAEAE"/>
              <w:right w:val="nil"/>
            </w:tcBorders>
            <w:shd w:val="clear" w:color="auto" w:fill="E0E0E0"/>
          </w:tcPr>
          <w:p w14:paraId="54E52EFE"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 B2</w:t>
            </w:r>
          </w:p>
        </w:tc>
        <w:tc>
          <w:tcPr>
            <w:tcW w:w="1029" w:type="dxa"/>
            <w:tcBorders>
              <w:top w:val="single" w:sz="8" w:space="0" w:color="AEAEAE"/>
              <w:left w:val="nil"/>
              <w:bottom w:val="single" w:sz="8" w:space="0" w:color="AEAEAE"/>
              <w:right w:val="single" w:sz="8" w:space="0" w:color="E0E0E0"/>
            </w:tcBorders>
            <w:shd w:val="clear" w:color="auto" w:fill="FFFFFF"/>
          </w:tcPr>
          <w:p w14:paraId="77489E7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7F40D0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28A5930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3071FB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1.00</w:t>
            </w:r>
          </w:p>
        </w:tc>
        <w:tc>
          <w:tcPr>
            <w:tcW w:w="1475" w:type="dxa"/>
            <w:tcBorders>
              <w:top w:val="single" w:sz="8" w:space="0" w:color="AEAEAE"/>
              <w:left w:val="single" w:sz="8" w:space="0" w:color="E0E0E0"/>
              <w:bottom w:val="single" w:sz="8" w:space="0" w:color="AEAEAE"/>
              <w:right w:val="nil"/>
            </w:tcBorders>
            <w:shd w:val="clear" w:color="auto" w:fill="FFFFFF"/>
          </w:tcPr>
          <w:p w14:paraId="73582F4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.816</w:t>
            </w:r>
          </w:p>
        </w:tc>
      </w:tr>
      <w:tr w:rsidR="0087601C" w:rsidRPr="006A1EC7" w14:paraId="3A10A507" w14:textId="77777777" w:rsidTr="00D56051">
        <w:trPr>
          <w:cantSplit/>
        </w:trPr>
        <w:tc>
          <w:tcPr>
            <w:tcW w:w="1752" w:type="dxa"/>
            <w:tcBorders>
              <w:top w:val="single" w:sz="8" w:space="0" w:color="AEAEAE"/>
              <w:left w:val="nil"/>
              <w:bottom w:val="single" w:sz="8" w:space="0" w:color="AEAEAE"/>
              <w:right w:val="nil"/>
            </w:tcBorders>
            <w:shd w:val="clear" w:color="auto" w:fill="E0E0E0"/>
          </w:tcPr>
          <w:p w14:paraId="0B4D97A1"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 B2</w:t>
            </w:r>
          </w:p>
        </w:tc>
        <w:tc>
          <w:tcPr>
            <w:tcW w:w="1029" w:type="dxa"/>
            <w:tcBorders>
              <w:top w:val="single" w:sz="8" w:space="0" w:color="AEAEAE"/>
              <w:left w:val="nil"/>
              <w:bottom w:val="single" w:sz="8" w:space="0" w:color="AEAEAE"/>
              <w:right w:val="single" w:sz="8" w:space="0" w:color="E0E0E0"/>
            </w:tcBorders>
            <w:shd w:val="clear" w:color="auto" w:fill="FFFFFF"/>
          </w:tcPr>
          <w:p w14:paraId="3ABEB03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407BE93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CAE4FF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63DF1D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.80</w:t>
            </w:r>
          </w:p>
        </w:tc>
        <w:tc>
          <w:tcPr>
            <w:tcW w:w="1475" w:type="dxa"/>
            <w:tcBorders>
              <w:top w:val="single" w:sz="8" w:space="0" w:color="AEAEAE"/>
              <w:left w:val="single" w:sz="8" w:space="0" w:color="E0E0E0"/>
              <w:bottom w:val="single" w:sz="8" w:space="0" w:color="AEAEAE"/>
              <w:right w:val="nil"/>
            </w:tcBorders>
            <w:shd w:val="clear" w:color="auto" w:fill="FFFFFF"/>
          </w:tcPr>
          <w:p w14:paraId="4174D4B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.422</w:t>
            </w:r>
          </w:p>
        </w:tc>
      </w:tr>
      <w:tr w:rsidR="0087601C" w:rsidRPr="006A1EC7" w14:paraId="73CF2F2C" w14:textId="77777777" w:rsidTr="00D56051">
        <w:trPr>
          <w:cantSplit/>
        </w:trPr>
        <w:tc>
          <w:tcPr>
            <w:tcW w:w="1752" w:type="dxa"/>
            <w:tcBorders>
              <w:top w:val="single" w:sz="8" w:space="0" w:color="AEAEAE"/>
              <w:left w:val="nil"/>
              <w:bottom w:val="single" w:sz="8" w:space="0" w:color="152935"/>
              <w:right w:val="nil"/>
            </w:tcBorders>
            <w:shd w:val="clear" w:color="auto" w:fill="E0E0E0"/>
          </w:tcPr>
          <w:p w14:paraId="2B97DAC1"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7BAFF67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w:t>
            </w:r>
          </w:p>
        </w:tc>
        <w:tc>
          <w:tcPr>
            <w:tcW w:w="10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88E9FE7" w14:textId="77777777" w:rsidR="0087601C" w:rsidRPr="006A1EC7" w:rsidRDefault="0087601C" w:rsidP="00D56051">
            <w:pPr>
              <w:autoSpaceDE w:val="0"/>
              <w:autoSpaceDN w:val="0"/>
              <w:adjustRightInd w:val="0"/>
              <w:rPr>
                <w:rFonts w:eastAsiaTheme="minorHAnsi"/>
              </w:rPr>
            </w:pPr>
          </w:p>
        </w:tc>
        <w:tc>
          <w:tcPr>
            <w:tcW w:w="11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9919CB" w14:textId="77777777" w:rsidR="0087601C" w:rsidRPr="006A1EC7" w:rsidRDefault="0087601C" w:rsidP="00D56051">
            <w:pPr>
              <w:autoSpaceDE w:val="0"/>
              <w:autoSpaceDN w:val="0"/>
              <w:adjustRightInd w:val="0"/>
              <w:rPr>
                <w:rFonts w:eastAsiaTheme="minorHAnsi"/>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67F2F0D" w14:textId="77777777" w:rsidR="0087601C" w:rsidRPr="006A1EC7" w:rsidRDefault="0087601C" w:rsidP="00D56051">
            <w:pPr>
              <w:autoSpaceDE w:val="0"/>
              <w:autoSpaceDN w:val="0"/>
              <w:adjustRightInd w:val="0"/>
              <w:rPr>
                <w:rFonts w:eastAsiaTheme="minorHAnsi"/>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83CE94F" w14:textId="77777777" w:rsidR="0087601C" w:rsidRPr="006A1EC7" w:rsidRDefault="0087601C" w:rsidP="00D56051">
            <w:pPr>
              <w:autoSpaceDE w:val="0"/>
              <w:autoSpaceDN w:val="0"/>
              <w:adjustRightInd w:val="0"/>
              <w:rPr>
                <w:rFonts w:eastAsiaTheme="minorHAnsi"/>
              </w:rPr>
            </w:pPr>
          </w:p>
        </w:tc>
      </w:tr>
    </w:tbl>
    <w:p w14:paraId="6E51A304" w14:textId="77777777" w:rsidR="0087601C" w:rsidRPr="006A1EC7" w:rsidRDefault="0087601C" w:rsidP="0087601C">
      <w:pPr>
        <w:autoSpaceDE w:val="0"/>
        <w:autoSpaceDN w:val="0"/>
        <w:adjustRightInd w:val="0"/>
        <w:spacing w:line="400" w:lineRule="atLeast"/>
        <w:rPr>
          <w:rFonts w:eastAsiaTheme="minorHAnsi"/>
        </w:rPr>
      </w:pPr>
    </w:p>
    <w:p w14:paraId="4CE7D05B" w14:textId="77777777" w:rsidR="0087601C" w:rsidRPr="006A1EC7" w:rsidRDefault="0087601C" w:rsidP="0087601C">
      <w:pPr>
        <w:autoSpaceDE w:val="0"/>
        <w:autoSpaceDN w:val="0"/>
        <w:adjustRightInd w:val="0"/>
        <w:rPr>
          <w:rFonts w:eastAsiaTheme="minorHAnsi"/>
        </w:rPr>
      </w:pPr>
    </w:p>
    <w:tbl>
      <w:tblPr>
        <w:tblW w:w="7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2"/>
        <w:gridCol w:w="1029"/>
        <w:gridCol w:w="1092"/>
        <w:gridCol w:w="1153"/>
        <w:gridCol w:w="1030"/>
        <w:gridCol w:w="1476"/>
      </w:tblGrid>
      <w:tr w:rsidR="0087601C" w:rsidRPr="006A1EC7" w14:paraId="1924A117" w14:textId="77777777" w:rsidTr="00D56051">
        <w:trPr>
          <w:cantSplit/>
        </w:trPr>
        <w:tc>
          <w:tcPr>
            <w:tcW w:w="7528" w:type="dxa"/>
            <w:gridSpan w:val="6"/>
            <w:tcBorders>
              <w:top w:val="nil"/>
              <w:left w:val="nil"/>
              <w:bottom w:val="nil"/>
              <w:right w:val="nil"/>
            </w:tcBorders>
            <w:shd w:val="clear" w:color="auto" w:fill="FFFFFF"/>
            <w:vAlign w:val="center"/>
          </w:tcPr>
          <w:p w14:paraId="74310F4B" w14:textId="77777777" w:rsidR="0087601C" w:rsidRPr="006A1EC7" w:rsidRDefault="0087601C" w:rsidP="00D56051">
            <w:pPr>
              <w:autoSpaceDE w:val="0"/>
              <w:autoSpaceDN w:val="0"/>
              <w:adjustRightInd w:val="0"/>
              <w:spacing w:line="320" w:lineRule="atLeast"/>
              <w:ind w:left="60" w:right="60"/>
              <w:jc w:val="center"/>
              <w:rPr>
                <w:rFonts w:eastAsiaTheme="minorHAnsi"/>
                <w:color w:val="010205"/>
                <w:sz w:val="30"/>
                <w:szCs w:val="30"/>
              </w:rPr>
            </w:pPr>
            <w:r w:rsidRPr="006A1EC7">
              <w:rPr>
                <w:rFonts w:eastAsiaTheme="minorHAnsi"/>
                <w:b/>
                <w:bCs/>
                <w:color w:val="010205"/>
                <w:sz w:val="30"/>
                <w:szCs w:val="30"/>
              </w:rPr>
              <w:t>Descriptive Statistics</w:t>
            </w:r>
          </w:p>
        </w:tc>
      </w:tr>
      <w:tr w:rsidR="0087601C" w:rsidRPr="006A1EC7" w14:paraId="3B822AEA" w14:textId="77777777" w:rsidTr="00D56051">
        <w:trPr>
          <w:cantSplit/>
        </w:trPr>
        <w:tc>
          <w:tcPr>
            <w:tcW w:w="1752" w:type="dxa"/>
            <w:tcBorders>
              <w:top w:val="nil"/>
              <w:left w:val="nil"/>
              <w:bottom w:val="single" w:sz="8" w:space="0" w:color="152935"/>
              <w:right w:val="nil"/>
            </w:tcBorders>
            <w:shd w:val="clear" w:color="auto" w:fill="FFFFFF"/>
            <w:vAlign w:val="bottom"/>
          </w:tcPr>
          <w:p w14:paraId="2D44B81D" w14:textId="77777777" w:rsidR="0087601C" w:rsidRPr="006A1EC7" w:rsidRDefault="0087601C" w:rsidP="00D56051">
            <w:pPr>
              <w:autoSpaceDE w:val="0"/>
              <w:autoSpaceDN w:val="0"/>
              <w:adjustRightInd w:val="0"/>
              <w:rPr>
                <w:rFonts w:eastAsiaTheme="minorHAnsi"/>
              </w:rPr>
            </w:pPr>
          </w:p>
        </w:tc>
        <w:tc>
          <w:tcPr>
            <w:tcW w:w="1029" w:type="dxa"/>
            <w:tcBorders>
              <w:top w:val="nil"/>
              <w:left w:val="nil"/>
              <w:bottom w:val="single" w:sz="8" w:space="0" w:color="152935"/>
              <w:right w:val="single" w:sz="8" w:space="0" w:color="E0E0E0"/>
            </w:tcBorders>
            <w:shd w:val="clear" w:color="auto" w:fill="FFFFFF"/>
            <w:vAlign w:val="bottom"/>
          </w:tcPr>
          <w:p w14:paraId="4057F253"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N</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08F82010"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Minimum</w:t>
            </w:r>
          </w:p>
        </w:tc>
        <w:tc>
          <w:tcPr>
            <w:tcW w:w="1152" w:type="dxa"/>
            <w:tcBorders>
              <w:top w:val="nil"/>
              <w:left w:val="single" w:sz="8" w:space="0" w:color="E0E0E0"/>
              <w:bottom w:val="single" w:sz="8" w:space="0" w:color="152935"/>
              <w:right w:val="single" w:sz="8" w:space="0" w:color="E0E0E0"/>
            </w:tcBorders>
            <w:shd w:val="clear" w:color="auto" w:fill="FFFFFF"/>
            <w:vAlign w:val="bottom"/>
          </w:tcPr>
          <w:p w14:paraId="31F2CB59"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A6FDE63"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Mean</w:t>
            </w:r>
          </w:p>
        </w:tc>
        <w:tc>
          <w:tcPr>
            <w:tcW w:w="1475" w:type="dxa"/>
            <w:tcBorders>
              <w:top w:val="nil"/>
              <w:left w:val="single" w:sz="8" w:space="0" w:color="E0E0E0"/>
              <w:bottom w:val="single" w:sz="8" w:space="0" w:color="152935"/>
              <w:right w:val="nil"/>
            </w:tcBorders>
            <w:shd w:val="clear" w:color="auto" w:fill="FFFFFF"/>
            <w:vAlign w:val="bottom"/>
          </w:tcPr>
          <w:p w14:paraId="40B359A0" w14:textId="77777777" w:rsidR="0087601C" w:rsidRPr="006A1EC7" w:rsidRDefault="0087601C" w:rsidP="00D56051">
            <w:pPr>
              <w:autoSpaceDE w:val="0"/>
              <w:autoSpaceDN w:val="0"/>
              <w:adjustRightInd w:val="0"/>
              <w:spacing w:line="320" w:lineRule="atLeast"/>
              <w:ind w:left="60" w:right="60"/>
              <w:jc w:val="center"/>
              <w:rPr>
                <w:rFonts w:eastAsiaTheme="minorHAnsi"/>
                <w:color w:val="264A60"/>
              </w:rPr>
            </w:pPr>
            <w:r w:rsidRPr="006A1EC7">
              <w:rPr>
                <w:rFonts w:eastAsiaTheme="minorHAnsi"/>
                <w:color w:val="264A60"/>
              </w:rPr>
              <w:t>Std. Deviation</w:t>
            </w:r>
          </w:p>
        </w:tc>
      </w:tr>
      <w:tr w:rsidR="0087601C" w:rsidRPr="006A1EC7" w14:paraId="105969AD" w14:textId="77777777" w:rsidTr="00D56051">
        <w:trPr>
          <w:cantSplit/>
        </w:trPr>
        <w:tc>
          <w:tcPr>
            <w:tcW w:w="1752" w:type="dxa"/>
            <w:tcBorders>
              <w:top w:val="single" w:sz="8" w:space="0" w:color="152935"/>
              <w:left w:val="nil"/>
              <w:bottom w:val="single" w:sz="8" w:space="0" w:color="AEAEAE"/>
              <w:right w:val="nil"/>
            </w:tcBorders>
            <w:shd w:val="clear" w:color="auto" w:fill="E0E0E0"/>
          </w:tcPr>
          <w:p w14:paraId="0BB51A0B"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 J2</w:t>
            </w:r>
          </w:p>
        </w:tc>
        <w:tc>
          <w:tcPr>
            <w:tcW w:w="1029" w:type="dxa"/>
            <w:tcBorders>
              <w:top w:val="single" w:sz="8" w:space="0" w:color="152935"/>
              <w:left w:val="nil"/>
              <w:bottom w:val="single" w:sz="8" w:space="0" w:color="AEAEAE"/>
              <w:right w:val="single" w:sz="8" w:space="0" w:color="E0E0E0"/>
            </w:tcBorders>
            <w:shd w:val="clear" w:color="auto" w:fill="FFFFFF"/>
          </w:tcPr>
          <w:p w14:paraId="3DB4D2F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5D0E25B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w:t>
            </w:r>
          </w:p>
        </w:tc>
        <w:tc>
          <w:tcPr>
            <w:tcW w:w="1152" w:type="dxa"/>
            <w:tcBorders>
              <w:top w:val="single" w:sz="8" w:space="0" w:color="152935"/>
              <w:left w:val="single" w:sz="8" w:space="0" w:color="E0E0E0"/>
              <w:bottom w:val="single" w:sz="8" w:space="0" w:color="AEAEAE"/>
              <w:right w:val="single" w:sz="8" w:space="0" w:color="E0E0E0"/>
            </w:tcBorders>
            <w:shd w:val="clear" w:color="auto" w:fill="FFFFFF"/>
          </w:tcPr>
          <w:p w14:paraId="02C900F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436113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1.78</w:t>
            </w:r>
          </w:p>
        </w:tc>
        <w:tc>
          <w:tcPr>
            <w:tcW w:w="1475" w:type="dxa"/>
            <w:tcBorders>
              <w:top w:val="single" w:sz="8" w:space="0" w:color="152935"/>
              <w:left w:val="single" w:sz="8" w:space="0" w:color="E0E0E0"/>
              <w:bottom w:val="single" w:sz="8" w:space="0" w:color="AEAEAE"/>
              <w:right w:val="nil"/>
            </w:tcBorders>
            <w:shd w:val="clear" w:color="auto" w:fill="FFFFFF"/>
          </w:tcPr>
          <w:p w14:paraId="59403C62"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.441</w:t>
            </w:r>
          </w:p>
        </w:tc>
      </w:tr>
      <w:tr w:rsidR="0087601C" w:rsidRPr="006A1EC7" w14:paraId="3EAA6FEA" w14:textId="77777777" w:rsidTr="00D56051">
        <w:trPr>
          <w:cantSplit/>
        </w:trPr>
        <w:tc>
          <w:tcPr>
            <w:tcW w:w="1752" w:type="dxa"/>
            <w:tcBorders>
              <w:top w:val="single" w:sz="8" w:space="0" w:color="AEAEAE"/>
              <w:left w:val="nil"/>
              <w:bottom w:val="single" w:sz="8" w:space="0" w:color="AEAEAE"/>
              <w:right w:val="nil"/>
            </w:tcBorders>
            <w:shd w:val="clear" w:color="auto" w:fill="E0E0E0"/>
          </w:tcPr>
          <w:p w14:paraId="5137BECE"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 J2</w:t>
            </w:r>
          </w:p>
        </w:tc>
        <w:tc>
          <w:tcPr>
            <w:tcW w:w="1029" w:type="dxa"/>
            <w:tcBorders>
              <w:top w:val="single" w:sz="8" w:space="0" w:color="AEAEAE"/>
              <w:left w:val="nil"/>
              <w:bottom w:val="single" w:sz="8" w:space="0" w:color="AEAEAE"/>
              <w:right w:val="single" w:sz="8" w:space="0" w:color="E0E0E0"/>
            </w:tcBorders>
            <w:shd w:val="clear" w:color="auto" w:fill="FFFFFF"/>
          </w:tcPr>
          <w:p w14:paraId="629FBE1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254BC58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66E6AC94"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779B5C"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198FD9FD"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79FF2244" w14:textId="77777777" w:rsidTr="00D56051">
        <w:trPr>
          <w:cantSplit/>
        </w:trPr>
        <w:tc>
          <w:tcPr>
            <w:tcW w:w="1752" w:type="dxa"/>
            <w:tcBorders>
              <w:top w:val="single" w:sz="8" w:space="0" w:color="AEAEAE"/>
              <w:left w:val="nil"/>
              <w:bottom w:val="single" w:sz="8" w:space="0" w:color="AEAEAE"/>
              <w:right w:val="nil"/>
            </w:tcBorders>
            <w:shd w:val="clear" w:color="auto" w:fill="E0E0E0"/>
          </w:tcPr>
          <w:p w14:paraId="2B9435E8"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Sleep J1</w:t>
            </w:r>
          </w:p>
        </w:tc>
        <w:tc>
          <w:tcPr>
            <w:tcW w:w="1029" w:type="dxa"/>
            <w:tcBorders>
              <w:top w:val="single" w:sz="8" w:space="0" w:color="AEAEAE"/>
              <w:left w:val="nil"/>
              <w:bottom w:val="single" w:sz="8" w:space="0" w:color="AEAEAE"/>
              <w:right w:val="single" w:sz="8" w:space="0" w:color="E0E0E0"/>
            </w:tcBorders>
            <w:shd w:val="clear" w:color="auto" w:fill="FFFFFF"/>
          </w:tcPr>
          <w:p w14:paraId="6FE4CD36"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7A178D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8A5C36B"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46CE9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w:t>
            </w:r>
          </w:p>
        </w:tc>
        <w:tc>
          <w:tcPr>
            <w:tcW w:w="1475" w:type="dxa"/>
            <w:tcBorders>
              <w:top w:val="single" w:sz="8" w:space="0" w:color="AEAEAE"/>
              <w:left w:val="single" w:sz="8" w:space="0" w:color="E0E0E0"/>
              <w:bottom w:val="single" w:sz="8" w:space="0" w:color="AEAEAE"/>
              <w:right w:val="nil"/>
            </w:tcBorders>
            <w:shd w:val="clear" w:color="auto" w:fill="FFFFFF"/>
          </w:tcPr>
          <w:p w14:paraId="297148B5"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.000</w:t>
            </w:r>
          </w:p>
        </w:tc>
      </w:tr>
      <w:tr w:rsidR="0087601C" w:rsidRPr="006A1EC7" w14:paraId="157597FC" w14:textId="77777777" w:rsidTr="00D56051">
        <w:trPr>
          <w:cantSplit/>
        </w:trPr>
        <w:tc>
          <w:tcPr>
            <w:tcW w:w="1752" w:type="dxa"/>
            <w:tcBorders>
              <w:top w:val="single" w:sz="8" w:space="0" w:color="AEAEAE"/>
              <w:left w:val="nil"/>
              <w:bottom w:val="single" w:sz="8" w:space="0" w:color="AEAEAE"/>
              <w:right w:val="nil"/>
            </w:tcBorders>
            <w:shd w:val="clear" w:color="auto" w:fill="E0E0E0"/>
          </w:tcPr>
          <w:p w14:paraId="4BD274BA"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t>Level of care J1</w:t>
            </w:r>
          </w:p>
        </w:tc>
        <w:tc>
          <w:tcPr>
            <w:tcW w:w="1029" w:type="dxa"/>
            <w:tcBorders>
              <w:top w:val="single" w:sz="8" w:space="0" w:color="AEAEAE"/>
              <w:left w:val="nil"/>
              <w:bottom w:val="single" w:sz="8" w:space="0" w:color="AEAEAE"/>
              <w:right w:val="single" w:sz="8" w:space="0" w:color="E0E0E0"/>
            </w:tcBorders>
            <w:shd w:val="clear" w:color="auto" w:fill="FFFFFF"/>
          </w:tcPr>
          <w:p w14:paraId="63D4DE4E"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34</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8615543"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0</w:t>
            </w:r>
          </w:p>
        </w:tc>
        <w:tc>
          <w:tcPr>
            <w:tcW w:w="1152" w:type="dxa"/>
            <w:tcBorders>
              <w:top w:val="single" w:sz="8" w:space="0" w:color="AEAEAE"/>
              <w:left w:val="single" w:sz="8" w:space="0" w:color="E0E0E0"/>
              <w:bottom w:val="single" w:sz="8" w:space="0" w:color="AEAEAE"/>
              <w:right w:val="single" w:sz="8" w:space="0" w:color="E0E0E0"/>
            </w:tcBorders>
            <w:shd w:val="clear" w:color="auto" w:fill="FFFFFF"/>
          </w:tcPr>
          <w:p w14:paraId="4910E001"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76E5929"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1.68</w:t>
            </w:r>
          </w:p>
        </w:tc>
        <w:tc>
          <w:tcPr>
            <w:tcW w:w="1475" w:type="dxa"/>
            <w:tcBorders>
              <w:top w:val="single" w:sz="8" w:space="0" w:color="AEAEAE"/>
              <w:left w:val="single" w:sz="8" w:space="0" w:color="E0E0E0"/>
              <w:bottom w:val="single" w:sz="8" w:space="0" w:color="AEAEAE"/>
              <w:right w:val="nil"/>
            </w:tcBorders>
            <w:shd w:val="clear" w:color="auto" w:fill="FFFFFF"/>
          </w:tcPr>
          <w:p w14:paraId="4F5F48B8"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.535</w:t>
            </w:r>
          </w:p>
        </w:tc>
      </w:tr>
      <w:tr w:rsidR="0087601C" w:rsidRPr="006A1EC7" w14:paraId="18F26324" w14:textId="77777777" w:rsidTr="00D56051">
        <w:trPr>
          <w:cantSplit/>
        </w:trPr>
        <w:tc>
          <w:tcPr>
            <w:tcW w:w="1752" w:type="dxa"/>
            <w:tcBorders>
              <w:top w:val="single" w:sz="8" w:space="0" w:color="AEAEAE"/>
              <w:left w:val="nil"/>
              <w:bottom w:val="single" w:sz="8" w:space="0" w:color="152935"/>
              <w:right w:val="nil"/>
            </w:tcBorders>
            <w:shd w:val="clear" w:color="auto" w:fill="E0E0E0"/>
          </w:tcPr>
          <w:p w14:paraId="5B54498E" w14:textId="77777777" w:rsidR="0087601C" w:rsidRPr="006A1EC7" w:rsidRDefault="0087601C" w:rsidP="00D56051">
            <w:pPr>
              <w:autoSpaceDE w:val="0"/>
              <w:autoSpaceDN w:val="0"/>
              <w:adjustRightInd w:val="0"/>
              <w:spacing w:line="320" w:lineRule="atLeast"/>
              <w:ind w:left="60" w:right="60"/>
              <w:rPr>
                <w:rFonts w:eastAsiaTheme="minorHAnsi"/>
                <w:color w:val="264A60"/>
              </w:rPr>
            </w:pPr>
            <w:r w:rsidRPr="006A1EC7">
              <w:rPr>
                <w:rFonts w:eastAsiaTheme="minorHAnsi"/>
                <w:color w:val="264A60"/>
              </w:rPr>
              <w:lastRenderedPageBreak/>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4B96B077" w14:textId="77777777" w:rsidR="0087601C" w:rsidRPr="006A1EC7" w:rsidRDefault="0087601C" w:rsidP="00D56051">
            <w:pPr>
              <w:autoSpaceDE w:val="0"/>
              <w:autoSpaceDN w:val="0"/>
              <w:adjustRightInd w:val="0"/>
              <w:spacing w:line="320" w:lineRule="atLeast"/>
              <w:ind w:left="60" w:right="60"/>
              <w:jc w:val="right"/>
              <w:rPr>
                <w:rFonts w:eastAsiaTheme="minorHAnsi"/>
                <w:color w:val="010205"/>
              </w:rPr>
            </w:pPr>
            <w:r w:rsidRPr="006A1EC7">
              <w:rPr>
                <w:rFonts w:eastAsiaTheme="minorHAnsi"/>
                <w:color w:val="010205"/>
              </w:rPr>
              <w:t>9</w:t>
            </w:r>
          </w:p>
        </w:tc>
        <w:tc>
          <w:tcPr>
            <w:tcW w:w="10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FCA3F0" w14:textId="77777777" w:rsidR="0087601C" w:rsidRPr="006A1EC7" w:rsidRDefault="0087601C" w:rsidP="00D56051">
            <w:pPr>
              <w:autoSpaceDE w:val="0"/>
              <w:autoSpaceDN w:val="0"/>
              <w:adjustRightInd w:val="0"/>
              <w:rPr>
                <w:rFonts w:eastAsiaTheme="minorHAnsi"/>
              </w:rPr>
            </w:pPr>
          </w:p>
        </w:tc>
        <w:tc>
          <w:tcPr>
            <w:tcW w:w="11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D2A1ECD" w14:textId="77777777" w:rsidR="0087601C" w:rsidRPr="006A1EC7" w:rsidRDefault="0087601C" w:rsidP="00D56051">
            <w:pPr>
              <w:autoSpaceDE w:val="0"/>
              <w:autoSpaceDN w:val="0"/>
              <w:adjustRightInd w:val="0"/>
              <w:rPr>
                <w:rFonts w:eastAsiaTheme="minorHAnsi"/>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3EC9EFB" w14:textId="77777777" w:rsidR="0087601C" w:rsidRPr="006A1EC7" w:rsidRDefault="0087601C" w:rsidP="00D56051">
            <w:pPr>
              <w:autoSpaceDE w:val="0"/>
              <w:autoSpaceDN w:val="0"/>
              <w:adjustRightInd w:val="0"/>
              <w:rPr>
                <w:rFonts w:eastAsiaTheme="minorHAnsi"/>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79BA414" w14:textId="77777777" w:rsidR="0087601C" w:rsidRPr="006A1EC7" w:rsidRDefault="0087601C" w:rsidP="00D56051">
            <w:pPr>
              <w:autoSpaceDE w:val="0"/>
              <w:autoSpaceDN w:val="0"/>
              <w:adjustRightInd w:val="0"/>
              <w:rPr>
                <w:rFonts w:eastAsiaTheme="minorHAnsi"/>
              </w:rPr>
            </w:pPr>
          </w:p>
        </w:tc>
      </w:tr>
    </w:tbl>
    <w:p w14:paraId="25D227AF" w14:textId="77777777" w:rsidR="0087601C" w:rsidRPr="006A1EC7" w:rsidRDefault="0087601C" w:rsidP="0087601C">
      <w:pPr>
        <w:autoSpaceDE w:val="0"/>
        <w:autoSpaceDN w:val="0"/>
        <w:adjustRightInd w:val="0"/>
        <w:spacing w:line="400" w:lineRule="atLeast"/>
        <w:rPr>
          <w:rFonts w:eastAsiaTheme="minorHAnsi"/>
        </w:rPr>
      </w:pPr>
    </w:p>
    <w:p w14:paraId="4F755AAA" w14:textId="77777777" w:rsidR="0087601C" w:rsidRPr="006A1EC7" w:rsidRDefault="0087601C" w:rsidP="0087601C"/>
    <w:p w14:paraId="76646301" w14:textId="3A3B65AD" w:rsidR="0087601C" w:rsidRPr="006A1EC7" w:rsidRDefault="0087601C" w:rsidP="0087601C">
      <w:pPr>
        <w:pStyle w:val="Heading4"/>
        <w:rPr>
          <w:rFonts w:ascii="Times New Roman" w:hAnsi="Times New Roman" w:cs="Times New Roman"/>
        </w:rPr>
      </w:pPr>
      <w:bookmarkStart w:id="327" w:name="_Toc17977998"/>
      <w:bookmarkStart w:id="328" w:name="_Toc38821497"/>
      <w:r w:rsidRPr="006A1EC7">
        <w:rPr>
          <w:rFonts w:ascii="Times New Roman" w:hAnsi="Times New Roman" w:cs="Times New Roman"/>
        </w:rPr>
        <w:t>Appendix 7.8: One-sample t-tests</w:t>
      </w:r>
      <w:bookmarkEnd w:id="328"/>
    </w:p>
    <w:p w14:paraId="04371D7F" w14:textId="77777777" w:rsidR="0087601C" w:rsidRPr="006A1EC7" w:rsidRDefault="0087601C" w:rsidP="0087601C">
      <w:pPr>
        <w:spacing w:line="400" w:lineRule="atLeast"/>
        <w:rPr>
          <w:sz w:val="18"/>
        </w:rPr>
      </w:pPr>
    </w:p>
    <w:tbl>
      <w:tblPr>
        <w:tblW w:w="8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2"/>
        <w:gridCol w:w="1277"/>
        <w:gridCol w:w="1277"/>
        <w:gridCol w:w="1830"/>
        <w:gridCol w:w="1830"/>
      </w:tblGrid>
      <w:tr w:rsidR="0087601C" w:rsidRPr="006A1EC7" w14:paraId="4BDD2692" w14:textId="77777777" w:rsidTr="00D56051">
        <w:trPr>
          <w:cantSplit/>
        </w:trPr>
        <w:tc>
          <w:tcPr>
            <w:tcW w:w="8215" w:type="dxa"/>
            <w:gridSpan w:val="5"/>
            <w:tcBorders>
              <w:top w:val="nil"/>
              <w:left w:val="nil"/>
              <w:bottom w:val="nil"/>
              <w:right w:val="nil"/>
            </w:tcBorders>
            <w:shd w:val="clear" w:color="auto" w:fill="FFFFFF"/>
            <w:vAlign w:val="center"/>
          </w:tcPr>
          <w:p w14:paraId="517335A0" w14:textId="77777777" w:rsidR="0087601C" w:rsidRPr="006A1EC7" w:rsidRDefault="0087601C" w:rsidP="00D56051">
            <w:pPr>
              <w:spacing w:line="320" w:lineRule="atLeast"/>
              <w:ind w:left="60" w:right="60"/>
              <w:jc w:val="center"/>
              <w:rPr>
                <w:color w:val="010205"/>
                <w:sz w:val="22"/>
                <w:szCs w:val="30"/>
              </w:rPr>
            </w:pPr>
            <w:r w:rsidRPr="006A1EC7">
              <w:rPr>
                <w:b/>
                <w:bCs/>
                <w:color w:val="010205"/>
                <w:sz w:val="22"/>
                <w:szCs w:val="30"/>
              </w:rPr>
              <w:t>One-Sample Statistics</w:t>
            </w:r>
          </w:p>
        </w:tc>
      </w:tr>
      <w:tr w:rsidR="0087601C" w:rsidRPr="006A1EC7" w14:paraId="69D7E867" w14:textId="77777777" w:rsidTr="00D56051">
        <w:trPr>
          <w:cantSplit/>
        </w:trPr>
        <w:tc>
          <w:tcPr>
            <w:tcW w:w="2001" w:type="dxa"/>
            <w:tcBorders>
              <w:top w:val="nil"/>
              <w:left w:val="nil"/>
              <w:bottom w:val="single" w:sz="8" w:space="0" w:color="152935"/>
              <w:right w:val="nil"/>
            </w:tcBorders>
            <w:shd w:val="clear" w:color="auto" w:fill="FFFFFF"/>
            <w:vAlign w:val="bottom"/>
          </w:tcPr>
          <w:p w14:paraId="7E1D9B02" w14:textId="77777777" w:rsidR="0087601C" w:rsidRPr="006A1EC7" w:rsidRDefault="0087601C" w:rsidP="00D56051">
            <w:pPr>
              <w:rPr>
                <w:sz w:val="18"/>
              </w:rPr>
            </w:pPr>
          </w:p>
        </w:tc>
        <w:tc>
          <w:tcPr>
            <w:tcW w:w="1277" w:type="dxa"/>
            <w:tcBorders>
              <w:top w:val="nil"/>
              <w:left w:val="nil"/>
              <w:bottom w:val="single" w:sz="8" w:space="0" w:color="152935"/>
              <w:right w:val="single" w:sz="8" w:space="0" w:color="E0E0E0"/>
            </w:tcBorders>
            <w:shd w:val="clear" w:color="auto" w:fill="FFFFFF"/>
            <w:vAlign w:val="bottom"/>
          </w:tcPr>
          <w:p w14:paraId="50D0921D"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6C823C12"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tcBorders>
              <w:top w:val="nil"/>
              <w:left w:val="single" w:sz="8" w:space="0" w:color="E0E0E0"/>
              <w:bottom w:val="single" w:sz="8" w:space="0" w:color="152935"/>
              <w:right w:val="single" w:sz="8" w:space="0" w:color="E0E0E0"/>
            </w:tcBorders>
            <w:shd w:val="clear" w:color="auto" w:fill="FFFFFF"/>
            <w:vAlign w:val="bottom"/>
          </w:tcPr>
          <w:p w14:paraId="5B478110"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tcBorders>
              <w:top w:val="nil"/>
              <w:left w:val="single" w:sz="8" w:space="0" w:color="E0E0E0"/>
              <w:bottom w:val="single" w:sz="8" w:space="0" w:color="152935"/>
              <w:right w:val="nil"/>
            </w:tcBorders>
            <w:shd w:val="clear" w:color="auto" w:fill="FFFFFF"/>
            <w:vAlign w:val="bottom"/>
          </w:tcPr>
          <w:p w14:paraId="612F2CD6"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445EF77F" w14:textId="77777777" w:rsidTr="00D56051">
        <w:trPr>
          <w:cantSplit/>
        </w:trPr>
        <w:tc>
          <w:tcPr>
            <w:tcW w:w="2001" w:type="dxa"/>
            <w:tcBorders>
              <w:top w:val="single" w:sz="8" w:space="0" w:color="152935"/>
              <w:left w:val="nil"/>
              <w:bottom w:val="single" w:sz="8" w:space="0" w:color="152935"/>
              <w:right w:val="nil"/>
            </w:tcBorders>
            <w:shd w:val="clear" w:color="auto" w:fill="E0E0E0"/>
          </w:tcPr>
          <w:p w14:paraId="1AFBAF61" w14:textId="77777777" w:rsidR="0087601C" w:rsidRPr="006A1EC7" w:rsidRDefault="0087601C" w:rsidP="00D56051">
            <w:pPr>
              <w:spacing w:line="320" w:lineRule="atLeast"/>
              <w:ind w:left="60" w:right="60"/>
              <w:rPr>
                <w:color w:val="264A60"/>
                <w:sz w:val="18"/>
              </w:rPr>
            </w:pPr>
            <w:r w:rsidRPr="006A1EC7">
              <w:rPr>
                <w:color w:val="264A60"/>
                <w:sz w:val="18"/>
              </w:rPr>
              <w:t>T1Joshua_Face</w:t>
            </w:r>
          </w:p>
        </w:tc>
        <w:tc>
          <w:tcPr>
            <w:tcW w:w="1277" w:type="dxa"/>
            <w:tcBorders>
              <w:top w:val="single" w:sz="8" w:space="0" w:color="152935"/>
              <w:left w:val="nil"/>
              <w:bottom w:val="single" w:sz="8" w:space="0" w:color="152935"/>
              <w:right w:val="single" w:sz="8" w:space="0" w:color="E0E0E0"/>
            </w:tcBorders>
            <w:shd w:val="clear" w:color="auto" w:fill="FFFFFF"/>
          </w:tcPr>
          <w:p w14:paraId="4483EEA9"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7" w:type="dxa"/>
            <w:tcBorders>
              <w:top w:val="single" w:sz="8" w:space="0" w:color="152935"/>
              <w:left w:val="single" w:sz="8" w:space="0" w:color="E0E0E0"/>
              <w:bottom w:val="single" w:sz="8" w:space="0" w:color="152935"/>
              <w:right w:val="single" w:sz="8" w:space="0" w:color="E0E0E0"/>
            </w:tcBorders>
            <w:shd w:val="clear" w:color="auto" w:fill="FFFFFF"/>
          </w:tcPr>
          <w:p w14:paraId="14679BBE" w14:textId="77777777" w:rsidR="0087601C" w:rsidRPr="006A1EC7" w:rsidRDefault="0087601C" w:rsidP="00D56051">
            <w:pPr>
              <w:spacing w:line="320" w:lineRule="atLeast"/>
              <w:ind w:left="60" w:right="60"/>
              <w:jc w:val="right"/>
              <w:rPr>
                <w:color w:val="010205"/>
                <w:sz w:val="18"/>
              </w:rPr>
            </w:pPr>
            <w:r w:rsidRPr="006A1EC7">
              <w:rPr>
                <w:color w:val="010205"/>
                <w:sz w:val="18"/>
              </w:rPr>
              <w:t>3.32</w:t>
            </w:r>
          </w:p>
        </w:tc>
        <w:tc>
          <w:tcPr>
            <w:tcW w:w="1830" w:type="dxa"/>
            <w:tcBorders>
              <w:top w:val="single" w:sz="8" w:space="0" w:color="152935"/>
              <w:left w:val="single" w:sz="8" w:space="0" w:color="E0E0E0"/>
              <w:bottom w:val="single" w:sz="8" w:space="0" w:color="152935"/>
              <w:right w:val="single" w:sz="8" w:space="0" w:color="E0E0E0"/>
            </w:tcBorders>
            <w:shd w:val="clear" w:color="auto" w:fill="FFFFFF"/>
          </w:tcPr>
          <w:p w14:paraId="65CE9366" w14:textId="77777777" w:rsidR="0087601C" w:rsidRPr="006A1EC7" w:rsidRDefault="0087601C" w:rsidP="00D56051">
            <w:pPr>
              <w:spacing w:line="320" w:lineRule="atLeast"/>
              <w:ind w:left="60" w:right="60"/>
              <w:jc w:val="right"/>
              <w:rPr>
                <w:color w:val="010205"/>
                <w:sz w:val="18"/>
              </w:rPr>
            </w:pPr>
            <w:r w:rsidRPr="006A1EC7">
              <w:rPr>
                <w:color w:val="010205"/>
                <w:sz w:val="18"/>
              </w:rPr>
              <w:t>.768</w:t>
            </w:r>
          </w:p>
        </w:tc>
        <w:tc>
          <w:tcPr>
            <w:tcW w:w="1830" w:type="dxa"/>
            <w:tcBorders>
              <w:top w:val="single" w:sz="8" w:space="0" w:color="152935"/>
              <w:left w:val="single" w:sz="8" w:space="0" w:color="E0E0E0"/>
              <w:bottom w:val="single" w:sz="8" w:space="0" w:color="152935"/>
              <w:right w:val="nil"/>
            </w:tcBorders>
            <w:shd w:val="clear" w:color="auto" w:fill="FFFFFF"/>
          </w:tcPr>
          <w:p w14:paraId="40F9A5EB" w14:textId="77777777" w:rsidR="0087601C" w:rsidRPr="006A1EC7" w:rsidRDefault="0087601C" w:rsidP="00D56051">
            <w:pPr>
              <w:spacing w:line="320" w:lineRule="atLeast"/>
              <w:ind w:left="60" w:right="60"/>
              <w:jc w:val="right"/>
              <w:rPr>
                <w:color w:val="010205"/>
                <w:sz w:val="18"/>
              </w:rPr>
            </w:pPr>
            <w:r w:rsidRPr="006A1EC7">
              <w:rPr>
                <w:color w:val="010205"/>
                <w:sz w:val="18"/>
              </w:rPr>
              <w:t>.132</w:t>
            </w:r>
          </w:p>
        </w:tc>
      </w:tr>
    </w:tbl>
    <w:p w14:paraId="0A4995C9"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5"/>
        <w:gridCol w:w="1203"/>
        <w:gridCol w:w="1203"/>
        <w:gridCol w:w="1724"/>
        <w:gridCol w:w="1724"/>
        <w:gridCol w:w="1724"/>
        <w:gridCol w:w="1724"/>
      </w:tblGrid>
      <w:tr w:rsidR="0087601C" w:rsidRPr="006A1EC7" w14:paraId="68A3A9A8" w14:textId="77777777" w:rsidTr="00D56051">
        <w:trPr>
          <w:cantSplit/>
        </w:trPr>
        <w:tc>
          <w:tcPr>
            <w:tcW w:w="11183" w:type="dxa"/>
            <w:gridSpan w:val="7"/>
            <w:tcBorders>
              <w:top w:val="nil"/>
              <w:left w:val="nil"/>
              <w:bottom w:val="nil"/>
              <w:right w:val="nil"/>
            </w:tcBorders>
            <w:shd w:val="clear" w:color="auto" w:fill="FFFFFF"/>
            <w:vAlign w:val="center"/>
          </w:tcPr>
          <w:p w14:paraId="440400E8" w14:textId="77777777" w:rsidR="0087601C" w:rsidRPr="006A1EC7" w:rsidRDefault="0087601C" w:rsidP="00D56051">
            <w:pPr>
              <w:spacing w:line="320" w:lineRule="atLeast"/>
              <w:ind w:left="60" w:right="60"/>
              <w:jc w:val="center"/>
              <w:rPr>
                <w:color w:val="010205"/>
                <w:sz w:val="22"/>
                <w:szCs w:val="30"/>
              </w:rPr>
            </w:pPr>
            <w:r w:rsidRPr="006A1EC7">
              <w:rPr>
                <w:b/>
                <w:bCs/>
                <w:color w:val="010205"/>
                <w:sz w:val="22"/>
                <w:szCs w:val="30"/>
              </w:rPr>
              <w:t>One-Sample Test</w:t>
            </w:r>
          </w:p>
        </w:tc>
      </w:tr>
      <w:tr w:rsidR="0087601C" w:rsidRPr="006A1EC7" w14:paraId="785CC96E" w14:textId="77777777" w:rsidTr="00D56051">
        <w:trPr>
          <w:cantSplit/>
        </w:trPr>
        <w:tc>
          <w:tcPr>
            <w:tcW w:w="1885" w:type="dxa"/>
            <w:vMerge w:val="restart"/>
            <w:tcBorders>
              <w:top w:val="nil"/>
              <w:left w:val="nil"/>
              <w:bottom w:val="nil"/>
              <w:right w:val="nil"/>
            </w:tcBorders>
            <w:shd w:val="clear" w:color="auto" w:fill="FFFFFF"/>
            <w:vAlign w:val="bottom"/>
          </w:tcPr>
          <w:p w14:paraId="69B08904" w14:textId="77777777" w:rsidR="0087601C" w:rsidRPr="006A1EC7" w:rsidRDefault="0087601C" w:rsidP="00D56051">
            <w:pPr>
              <w:rPr>
                <w:sz w:val="18"/>
              </w:rPr>
            </w:pPr>
          </w:p>
        </w:tc>
        <w:tc>
          <w:tcPr>
            <w:tcW w:w="9298" w:type="dxa"/>
            <w:gridSpan w:val="6"/>
            <w:tcBorders>
              <w:top w:val="nil"/>
              <w:left w:val="nil"/>
              <w:bottom w:val="nil"/>
              <w:right w:val="nil"/>
            </w:tcBorders>
            <w:shd w:val="clear" w:color="auto" w:fill="FFFFFF"/>
            <w:vAlign w:val="bottom"/>
          </w:tcPr>
          <w:p w14:paraId="34854960"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4</w:t>
            </w:r>
          </w:p>
        </w:tc>
      </w:tr>
      <w:tr w:rsidR="0087601C" w:rsidRPr="006A1EC7" w14:paraId="7F886066" w14:textId="77777777" w:rsidTr="00D56051">
        <w:trPr>
          <w:cantSplit/>
        </w:trPr>
        <w:tc>
          <w:tcPr>
            <w:tcW w:w="1885" w:type="dxa"/>
            <w:vMerge/>
            <w:tcBorders>
              <w:top w:val="nil"/>
              <w:left w:val="nil"/>
              <w:bottom w:val="nil"/>
              <w:right w:val="nil"/>
            </w:tcBorders>
            <w:shd w:val="clear" w:color="auto" w:fill="FFFFFF"/>
            <w:vAlign w:val="bottom"/>
          </w:tcPr>
          <w:p w14:paraId="1AA86DD6" w14:textId="77777777" w:rsidR="0087601C" w:rsidRPr="006A1EC7" w:rsidRDefault="0087601C" w:rsidP="00D56051">
            <w:pPr>
              <w:rPr>
                <w:color w:val="264A60"/>
                <w:sz w:val="18"/>
              </w:rPr>
            </w:pPr>
          </w:p>
        </w:tc>
        <w:tc>
          <w:tcPr>
            <w:tcW w:w="1203" w:type="dxa"/>
            <w:vMerge w:val="restart"/>
            <w:tcBorders>
              <w:top w:val="nil"/>
              <w:left w:val="nil"/>
              <w:bottom w:val="nil"/>
              <w:right w:val="single" w:sz="8" w:space="0" w:color="E0E0E0"/>
            </w:tcBorders>
            <w:shd w:val="clear" w:color="auto" w:fill="FFFFFF"/>
            <w:vAlign w:val="bottom"/>
          </w:tcPr>
          <w:p w14:paraId="4A8A5B5F"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03" w:type="dxa"/>
            <w:vMerge w:val="restart"/>
            <w:tcBorders>
              <w:top w:val="nil"/>
              <w:left w:val="single" w:sz="8" w:space="0" w:color="E0E0E0"/>
              <w:bottom w:val="nil"/>
              <w:right w:val="single" w:sz="8" w:space="0" w:color="E0E0E0"/>
            </w:tcBorders>
            <w:shd w:val="clear" w:color="auto" w:fill="FFFFFF"/>
            <w:vAlign w:val="bottom"/>
          </w:tcPr>
          <w:p w14:paraId="38E020EE"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23" w:type="dxa"/>
            <w:vMerge w:val="restart"/>
            <w:tcBorders>
              <w:top w:val="nil"/>
              <w:left w:val="single" w:sz="8" w:space="0" w:color="E0E0E0"/>
              <w:bottom w:val="nil"/>
              <w:right w:val="single" w:sz="8" w:space="0" w:color="E0E0E0"/>
            </w:tcBorders>
            <w:shd w:val="clear" w:color="auto" w:fill="FFFFFF"/>
            <w:vAlign w:val="bottom"/>
          </w:tcPr>
          <w:p w14:paraId="095C2700"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23" w:type="dxa"/>
            <w:vMerge w:val="restart"/>
            <w:tcBorders>
              <w:top w:val="nil"/>
              <w:left w:val="single" w:sz="8" w:space="0" w:color="E0E0E0"/>
              <w:bottom w:val="nil"/>
              <w:right w:val="single" w:sz="8" w:space="0" w:color="E0E0E0"/>
            </w:tcBorders>
            <w:shd w:val="clear" w:color="auto" w:fill="FFFFFF"/>
            <w:vAlign w:val="bottom"/>
          </w:tcPr>
          <w:p w14:paraId="2F50EAFD"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46" w:type="dxa"/>
            <w:gridSpan w:val="2"/>
            <w:tcBorders>
              <w:top w:val="nil"/>
              <w:left w:val="single" w:sz="8" w:space="0" w:color="E0E0E0"/>
              <w:bottom w:val="nil"/>
              <w:right w:val="nil"/>
            </w:tcBorders>
            <w:shd w:val="clear" w:color="auto" w:fill="FFFFFF"/>
            <w:vAlign w:val="bottom"/>
          </w:tcPr>
          <w:p w14:paraId="4E53CA65"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674C7955" w14:textId="77777777" w:rsidTr="00D56051">
        <w:trPr>
          <w:cantSplit/>
        </w:trPr>
        <w:tc>
          <w:tcPr>
            <w:tcW w:w="1885" w:type="dxa"/>
            <w:vMerge/>
            <w:tcBorders>
              <w:top w:val="nil"/>
              <w:left w:val="nil"/>
              <w:bottom w:val="nil"/>
              <w:right w:val="nil"/>
            </w:tcBorders>
            <w:shd w:val="clear" w:color="auto" w:fill="FFFFFF"/>
            <w:vAlign w:val="bottom"/>
          </w:tcPr>
          <w:p w14:paraId="2DE735D9" w14:textId="77777777" w:rsidR="0087601C" w:rsidRPr="006A1EC7" w:rsidRDefault="0087601C" w:rsidP="00D56051">
            <w:pPr>
              <w:rPr>
                <w:color w:val="264A60"/>
                <w:sz w:val="18"/>
              </w:rPr>
            </w:pPr>
          </w:p>
        </w:tc>
        <w:tc>
          <w:tcPr>
            <w:tcW w:w="1203" w:type="dxa"/>
            <w:vMerge/>
            <w:tcBorders>
              <w:top w:val="nil"/>
              <w:left w:val="nil"/>
              <w:bottom w:val="nil"/>
              <w:right w:val="single" w:sz="8" w:space="0" w:color="E0E0E0"/>
            </w:tcBorders>
            <w:shd w:val="clear" w:color="auto" w:fill="FFFFFF"/>
            <w:vAlign w:val="bottom"/>
          </w:tcPr>
          <w:p w14:paraId="1A098500" w14:textId="77777777" w:rsidR="0087601C" w:rsidRPr="006A1EC7" w:rsidRDefault="0087601C" w:rsidP="00D56051">
            <w:pPr>
              <w:rPr>
                <w:color w:val="264A60"/>
                <w:sz w:val="18"/>
              </w:rPr>
            </w:pPr>
          </w:p>
        </w:tc>
        <w:tc>
          <w:tcPr>
            <w:tcW w:w="1203" w:type="dxa"/>
            <w:vMerge/>
            <w:tcBorders>
              <w:top w:val="nil"/>
              <w:left w:val="single" w:sz="8" w:space="0" w:color="E0E0E0"/>
              <w:bottom w:val="nil"/>
              <w:right w:val="single" w:sz="8" w:space="0" w:color="E0E0E0"/>
            </w:tcBorders>
            <w:shd w:val="clear" w:color="auto" w:fill="FFFFFF"/>
            <w:vAlign w:val="bottom"/>
          </w:tcPr>
          <w:p w14:paraId="7A400931" w14:textId="77777777" w:rsidR="0087601C" w:rsidRPr="006A1EC7" w:rsidRDefault="0087601C" w:rsidP="00D56051">
            <w:pPr>
              <w:rPr>
                <w:color w:val="264A60"/>
                <w:sz w:val="18"/>
              </w:rPr>
            </w:pPr>
          </w:p>
        </w:tc>
        <w:tc>
          <w:tcPr>
            <w:tcW w:w="1723" w:type="dxa"/>
            <w:vMerge/>
            <w:tcBorders>
              <w:top w:val="nil"/>
              <w:left w:val="single" w:sz="8" w:space="0" w:color="E0E0E0"/>
              <w:bottom w:val="nil"/>
              <w:right w:val="single" w:sz="8" w:space="0" w:color="E0E0E0"/>
            </w:tcBorders>
            <w:shd w:val="clear" w:color="auto" w:fill="FFFFFF"/>
            <w:vAlign w:val="bottom"/>
          </w:tcPr>
          <w:p w14:paraId="05ADA5D9" w14:textId="77777777" w:rsidR="0087601C" w:rsidRPr="006A1EC7" w:rsidRDefault="0087601C" w:rsidP="00D56051">
            <w:pPr>
              <w:rPr>
                <w:color w:val="264A60"/>
                <w:sz w:val="18"/>
              </w:rPr>
            </w:pPr>
          </w:p>
        </w:tc>
        <w:tc>
          <w:tcPr>
            <w:tcW w:w="1723" w:type="dxa"/>
            <w:vMerge/>
            <w:tcBorders>
              <w:top w:val="nil"/>
              <w:left w:val="single" w:sz="8" w:space="0" w:color="E0E0E0"/>
              <w:bottom w:val="nil"/>
              <w:right w:val="single" w:sz="8" w:space="0" w:color="E0E0E0"/>
            </w:tcBorders>
            <w:shd w:val="clear" w:color="auto" w:fill="FFFFFF"/>
            <w:vAlign w:val="bottom"/>
          </w:tcPr>
          <w:p w14:paraId="71C031D9" w14:textId="77777777" w:rsidR="0087601C" w:rsidRPr="006A1EC7" w:rsidRDefault="0087601C" w:rsidP="00D56051">
            <w:pPr>
              <w:rPr>
                <w:color w:val="264A60"/>
                <w:sz w:val="18"/>
              </w:rPr>
            </w:pPr>
          </w:p>
        </w:tc>
        <w:tc>
          <w:tcPr>
            <w:tcW w:w="1723" w:type="dxa"/>
            <w:tcBorders>
              <w:top w:val="nil"/>
              <w:left w:val="single" w:sz="8" w:space="0" w:color="E0E0E0"/>
              <w:bottom w:val="single" w:sz="8" w:space="0" w:color="152935"/>
              <w:right w:val="single" w:sz="8" w:space="0" w:color="E0E0E0"/>
            </w:tcBorders>
            <w:shd w:val="clear" w:color="auto" w:fill="FFFFFF"/>
            <w:vAlign w:val="bottom"/>
          </w:tcPr>
          <w:p w14:paraId="75453EA0"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23" w:type="dxa"/>
            <w:tcBorders>
              <w:top w:val="nil"/>
              <w:left w:val="single" w:sz="8" w:space="0" w:color="E0E0E0"/>
              <w:bottom w:val="single" w:sz="8" w:space="0" w:color="152935"/>
              <w:right w:val="nil"/>
            </w:tcBorders>
            <w:shd w:val="clear" w:color="auto" w:fill="FFFFFF"/>
            <w:vAlign w:val="bottom"/>
          </w:tcPr>
          <w:p w14:paraId="7C80766F"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328E878C" w14:textId="77777777" w:rsidTr="00D56051">
        <w:trPr>
          <w:cantSplit/>
        </w:trPr>
        <w:tc>
          <w:tcPr>
            <w:tcW w:w="1885" w:type="dxa"/>
            <w:tcBorders>
              <w:top w:val="single" w:sz="8" w:space="0" w:color="152935"/>
              <w:left w:val="nil"/>
              <w:bottom w:val="single" w:sz="8" w:space="0" w:color="152935"/>
              <w:right w:val="nil"/>
            </w:tcBorders>
            <w:shd w:val="clear" w:color="auto" w:fill="E0E0E0"/>
          </w:tcPr>
          <w:p w14:paraId="7BD79934" w14:textId="77777777" w:rsidR="0087601C" w:rsidRPr="006A1EC7" w:rsidRDefault="0087601C" w:rsidP="00D56051">
            <w:pPr>
              <w:spacing w:line="320" w:lineRule="atLeast"/>
              <w:ind w:left="60" w:right="60"/>
              <w:rPr>
                <w:color w:val="264A60"/>
                <w:sz w:val="18"/>
              </w:rPr>
            </w:pPr>
            <w:r w:rsidRPr="006A1EC7">
              <w:rPr>
                <w:color w:val="264A60"/>
                <w:sz w:val="18"/>
              </w:rPr>
              <w:t>T1Joshua_Face</w:t>
            </w:r>
          </w:p>
        </w:tc>
        <w:tc>
          <w:tcPr>
            <w:tcW w:w="1203" w:type="dxa"/>
            <w:tcBorders>
              <w:top w:val="single" w:sz="8" w:space="0" w:color="152935"/>
              <w:left w:val="nil"/>
              <w:bottom w:val="single" w:sz="8" w:space="0" w:color="152935"/>
              <w:right w:val="single" w:sz="8" w:space="0" w:color="E0E0E0"/>
            </w:tcBorders>
            <w:shd w:val="clear" w:color="auto" w:fill="FFFFFF"/>
          </w:tcPr>
          <w:p w14:paraId="191D4C3D" w14:textId="77777777" w:rsidR="0087601C" w:rsidRPr="006A1EC7" w:rsidRDefault="0087601C" w:rsidP="00D56051">
            <w:pPr>
              <w:spacing w:line="320" w:lineRule="atLeast"/>
              <w:ind w:left="60" w:right="60"/>
              <w:jc w:val="right"/>
              <w:rPr>
                <w:color w:val="010205"/>
                <w:sz w:val="18"/>
              </w:rPr>
            </w:pPr>
            <w:r w:rsidRPr="006A1EC7">
              <w:rPr>
                <w:color w:val="010205"/>
                <w:sz w:val="18"/>
              </w:rPr>
              <w:t>-5.139</w:t>
            </w:r>
          </w:p>
        </w:tc>
        <w:tc>
          <w:tcPr>
            <w:tcW w:w="1203" w:type="dxa"/>
            <w:tcBorders>
              <w:top w:val="single" w:sz="8" w:space="0" w:color="152935"/>
              <w:left w:val="single" w:sz="8" w:space="0" w:color="E0E0E0"/>
              <w:bottom w:val="single" w:sz="8" w:space="0" w:color="152935"/>
              <w:right w:val="single" w:sz="8" w:space="0" w:color="E0E0E0"/>
            </w:tcBorders>
            <w:shd w:val="clear" w:color="auto" w:fill="FFFFFF"/>
          </w:tcPr>
          <w:p w14:paraId="14028CD1"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723" w:type="dxa"/>
            <w:tcBorders>
              <w:top w:val="single" w:sz="8" w:space="0" w:color="152935"/>
              <w:left w:val="single" w:sz="8" w:space="0" w:color="E0E0E0"/>
              <w:bottom w:val="single" w:sz="8" w:space="0" w:color="152935"/>
              <w:right w:val="single" w:sz="8" w:space="0" w:color="E0E0E0"/>
            </w:tcBorders>
            <w:shd w:val="clear" w:color="auto" w:fill="FFFFFF"/>
          </w:tcPr>
          <w:p w14:paraId="40E0DA6F"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723" w:type="dxa"/>
            <w:tcBorders>
              <w:top w:val="single" w:sz="8" w:space="0" w:color="152935"/>
              <w:left w:val="single" w:sz="8" w:space="0" w:color="E0E0E0"/>
              <w:bottom w:val="single" w:sz="8" w:space="0" w:color="152935"/>
              <w:right w:val="single" w:sz="8" w:space="0" w:color="E0E0E0"/>
            </w:tcBorders>
            <w:shd w:val="clear" w:color="auto" w:fill="FFFFFF"/>
          </w:tcPr>
          <w:p w14:paraId="0D28AA1F" w14:textId="77777777" w:rsidR="0087601C" w:rsidRPr="006A1EC7" w:rsidRDefault="0087601C" w:rsidP="00D56051">
            <w:pPr>
              <w:spacing w:line="320" w:lineRule="atLeast"/>
              <w:ind w:left="60" w:right="60"/>
              <w:jc w:val="right"/>
              <w:rPr>
                <w:color w:val="010205"/>
                <w:sz w:val="18"/>
              </w:rPr>
            </w:pPr>
            <w:r w:rsidRPr="006A1EC7">
              <w:rPr>
                <w:color w:val="010205"/>
                <w:sz w:val="18"/>
              </w:rPr>
              <w:t>-.676</w:t>
            </w:r>
          </w:p>
        </w:tc>
        <w:tc>
          <w:tcPr>
            <w:tcW w:w="1723" w:type="dxa"/>
            <w:tcBorders>
              <w:top w:val="single" w:sz="8" w:space="0" w:color="152935"/>
              <w:left w:val="single" w:sz="8" w:space="0" w:color="E0E0E0"/>
              <w:bottom w:val="single" w:sz="8" w:space="0" w:color="152935"/>
              <w:right w:val="single" w:sz="8" w:space="0" w:color="E0E0E0"/>
            </w:tcBorders>
            <w:shd w:val="clear" w:color="auto" w:fill="FFFFFF"/>
          </w:tcPr>
          <w:p w14:paraId="6C1319E9" w14:textId="77777777" w:rsidR="0087601C" w:rsidRPr="006A1EC7" w:rsidRDefault="0087601C" w:rsidP="00D56051">
            <w:pPr>
              <w:spacing w:line="320" w:lineRule="atLeast"/>
              <w:ind w:left="60" w:right="60"/>
              <w:jc w:val="right"/>
              <w:rPr>
                <w:color w:val="010205"/>
                <w:sz w:val="18"/>
              </w:rPr>
            </w:pPr>
            <w:r w:rsidRPr="006A1EC7">
              <w:rPr>
                <w:color w:val="010205"/>
                <w:sz w:val="18"/>
              </w:rPr>
              <w:t>-.94</w:t>
            </w:r>
          </w:p>
        </w:tc>
        <w:tc>
          <w:tcPr>
            <w:tcW w:w="1723" w:type="dxa"/>
            <w:tcBorders>
              <w:top w:val="single" w:sz="8" w:space="0" w:color="152935"/>
              <w:left w:val="single" w:sz="8" w:space="0" w:color="E0E0E0"/>
              <w:bottom w:val="single" w:sz="8" w:space="0" w:color="152935"/>
              <w:right w:val="nil"/>
            </w:tcBorders>
            <w:shd w:val="clear" w:color="auto" w:fill="FFFFFF"/>
          </w:tcPr>
          <w:p w14:paraId="33D5F7C1" w14:textId="77777777" w:rsidR="0087601C" w:rsidRPr="006A1EC7" w:rsidRDefault="0087601C" w:rsidP="00D56051">
            <w:pPr>
              <w:spacing w:line="320" w:lineRule="atLeast"/>
              <w:ind w:left="60" w:right="60"/>
              <w:jc w:val="right"/>
              <w:rPr>
                <w:color w:val="010205"/>
                <w:sz w:val="18"/>
              </w:rPr>
            </w:pPr>
            <w:r w:rsidRPr="006A1EC7">
              <w:rPr>
                <w:color w:val="010205"/>
                <w:sz w:val="18"/>
              </w:rPr>
              <w:t>-.41</w:t>
            </w:r>
          </w:p>
        </w:tc>
      </w:tr>
    </w:tbl>
    <w:p w14:paraId="20F2D6EF" w14:textId="77777777" w:rsidR="0087601C" w:rsidRPr="006A1EC7" w:rsidRDefault="0087601C" w:rsidP="0087601C">
      <w:pPr>
        <w:spacing w:line="400" w:lineRule="atLeast"/>
        <w:rPr>
          <w:sz w:val="18"/>
        </w:rPr>
      </w:pPr>
    </w:p>
    <w:tbl>
      <w:tblPr>
        <w:tblW w:w="8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1"/>
        <w:gridCol w:w="1276"/>
        <w:gridCol w:w="1276"/>
        <w:gridCol w:w="1828"/>
        <w:gridCol w:w="1828"/>
      </w:tblGrid>
      <w:tr w:rsidR="0087601C" w:rsidRPr="006A1EC7" w14:paraId="030BF237" w14:textId="77777777" w:rsidTr="00D56051">
        <w:trPr>
          <w:cantSplit/>
        </w:trPr>
        <w:tc>
          <w:tcPr>
            <w:tcW w:w="8627" w:type="dxa"/>
            <w:gridSpan w:val="5"/>
            <w:tcBorders>
              <w:top w:val="nil"/>
              <w:left w:val="nil"/>
              <w:bottom w:val="nil"/>
              <w:right w:val="nil"/>
            </w:tcBorders>
            <w:shd w:val="clear" w:color="auto" w:fill="FFFFFF"/>
            <w:vAlign w:val="center"/>
          </w:tcPr>
          <w:p w14:paraId="1F2C56D5" w14:textId="77777777" w:rsidR="0087601C" w:rsidRPr="006A1EC7" w:rsidRDefault="0087601C" w:rsidP="00D56051">
            <w:pPr>
              <w:spacing w:line="320" w:lineRule="atLeast"/>
              <w:ind w:left="60" w:right="60"/>
              <w:jc w:val="center"/>
              <w:rPr>
                <w:color w:val="010205"/>
                <w:sz w:val="22"/>
                <w:szCs w:val="30"/>
              </w:rPr>
            </w:pPr>
            <w:r w:rsidRPr="006A1EC7">
              <w:rPr>
                <w:b/>
                <w:bCs/>
                <w:color w:val="010205"/>
                <w:sz w:val="22"/>
                <w:szCs w:val="30"/>
              </w:rPr>
              <w:t>One-Sample Statistics</w:t>
            </w:r>
          </w:p>
        </w:tc>
      </w:tr>
      <w:tr w:rsidR="0087601C" w:rsidRPr="006A1EC7" w14:paraId="5B1EF41A" w14:textId="77777777" w:rsidTr="00D56051">
        <w:trPr>
          <w:cantSplit/>
        </w:trPr>
        <w:tc>
          <w:tcPr>
            <w:tcW w:w="2419" w:type="dxa"/>
            <w:tcBorders>
              <w:top w:val="nil"/>
              <w:left w:val="nil"/>
              <w:bottom w:val="single" w:sz="8" w:space="0" w:color="152935"/>
              <w:right w:val="nil"/>
            </w:tcBorders>
            <w:shd w:val="clear" w:color="auto" w:fill="FFFFFF"/>
            <w:vAlign w:val="bottom"/>
          </w:tcPr>
          <w:p w14:paraId="7C57CA5F"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4EFB86AA"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226A04BF"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tcBorders>
              <w:top w:val="nil"/>
              <w:left w:val="single" w:sz="8" w:space="0" w:color="E0E0E0"/>
              <w:bottom w:val="single" w:sz="8" w:space="0" w:color="152935"/>
              <w:right w:val="single" w:sz="8" w:space="0" w:color="E0E0E0"/>
            </w:tcBorders>
            <w:shd w:val="clear" w:color="auto" w:fill="FFFFFF"/>
            <w:vAlign w:val="bottom"/>
          </w:tcPr>
          <w:p w14:paraId="5844D6D2"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tcBorders>
              <w:top w:val="nil"/>
              <w:left w:val="single" w:sz="8" w:space="0" w:color="E0E0E0"/>
              <w:bottom w:val="single" w:sz="8" w:space="0" w:color="152935"/>
              <w:right w:val="nil"/>
            </w:tcBorders>
            <w:shd w:val="clear" w:color="auto" w:fill="FFFFFF"/>
            <w:vAlign w:val="bottom"/>
          </w:tcPr>
          <w:p w14:paraId="63F22269"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2436805A" w14:textId="77777777" w:rsidTr="00D56051">
        <w:trPr>
          <w:cantSplit/>
        </w:trPr>
        <w:tc>
          <w:tcPr>
            <w:tcW w:w="2419" w:type="dxa"/>
            <w:tcBorders>
              <w:top w:val="single" w:sz="8" w:space="0" w:color="152935"/>
              <w:left w:val="nil"/>
              <w:bottom w:val="single" w:sz="8" w:space="0" w:color="AEAEAE"/>
              <w:right w:val="nil"/>
            </w:tcBorders>
            <w:shd w:val="clear" w:color="auto" w:fill="E0E0E0"/>
          </w:tcPr>
          <w:p w14:paraId="4D87811B" w14:textId="77777777" w:rsidR="0087601C" w:rsidRPr="006A1EC7" w:rsidRDefault="0087601C" w:rsidP="00D56051">
            <w:pPr>
              <w:spacing w:line="320" w:lineRule="atLeast"/>
              <w:ind w:left="60" w:right="60"/>
              <w:rPr>
                <w:color w:val="264A60"/>
                <w:sz w:val="18"/>
              </w:rPr>
            </w:pPr>
            <w:r w:rsidRPr="006A1EC7">
              <w:rPr>
                <w:color w:val="264A60"/>
                <w:sz w:val="18"/>
              </w:rPr>
              <w:t>T1Joshua_Face</w:t>
            </w:r>
          </w:p>
        </w:tc>
        <w:tc>
          <w:tcPr>
            <w:tcW w:w="1276" w:type="dxa"/>
            <w:tcBorders>
              <w:top w:val="single" w:sz="8" w:space="0" w:color="152935"/>
              <w:left w:val="nil"/>
              <w:bottom w:val="single" w:sz="8" w:space="0" w:color="AEAEAE"/>
              <w:right w:val="single" w:sz="8" w:space="0" w:color="E0E0E0"/>
            </w:tcBorders>
            <w:shd w:val="clear" w:color="auto" w:fill="FFFFFF"/>
          </w:tcPr>
          <w:p w14:paraId="6270C5B8"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1B5E06AD" w14:textId="77777777" w:rsidR="0087601C" w:rsidRPr="006A1EC7" w:rsidRDefault="0087601C" w:rsidP="00D56051">
            <w:pPr>
              <w:spacing w:line="320" w:lineRule="atLeast"/>
              <w:ind w:left="60" w:right="60"/>
              <w:jc w:val="right"/>
              <w:rPr>
                <w:color w:val="010205"/>
                <w:sz w:val="18"/>
              </w:rPr>
            </w:pPr>
            <w:r w:rsidRPr="006A1EC7">
              <w:rPr>
                <w:color w:val="010205"/>
                <w:sz w:val="18"/>
              </w:rPr>
              <w:t>3.32</w:t>
            </w:r>
          </w:p>
        </w:tc>
        <w:tc>
          <w:tcPr>
            <w:tcW w:w="1828" w:type="dxa"/>
            <w:tcBorders>
              <w:top w:val="single" w:sz="8" w:space="0" w:color="152935"/>
              <w:left w:val="single" w:sz="8" w:space="0" w:color="E0E0E0"/>
              <w:bottom w:val="single" w:sz="8" w:space="0" w:color="AEAEAE"/>
              <w:right w:val="single" w:sz="8" w:space="0" w:color="E0E0E0"/>
            </w:tcBorders>
            <w:shd w:val="clear" w:color="auto" w:fill="FFFFFF"/>
          </w:tcPr>
          <w:p w14:paraId="0132E4BB" w14:textId="77777777" w:rsidR="0087601C" w:rsidRPr="006A1EC7" w:rsidRDefault="0087601C" w:rsidP="00D56051">
            <w:pPr>
              <w:spacing w:line="320" w:lineRule="atLeast"/>
              <w:ind w:left="60" w:right="60"/>
              <w:jc w:val="right"/>
              <w:rPr>
                <w:color w:val="010205"/>
                <w:sz w:val="18"/>
              </w:rPr>
            </w:pPr>
            <w:r w:rsidRPr="006A1EC7">
              <w:rPr>
                <w:color w:val="010205"/>
                <w:sz w:val="18"/>
              </w:rPr>
              <w:t>.768</w:t>
            </w:r>
          </w:p>
        </w:tc>
        <w:tc>
          <w:tcPr>
            <w:tcW w:w="1828" w:type="dxa"/>
            <w:tcBorders>
              <w:top w:val="single" w:sz="8" w:space="0" w:color="152935"/>
              <w:left w:val="single" w:sz="8" w:space="0" w:color="E0E0E0"/>
              <w:bottom w:val="single" w:sz="8" w:space="0" w:color="AEAEAE"/>
              <w:right w:val="nil"/>
            </w:tcBorders>
            <w:shd w:val="clear" w:color="auto" w:fill="FFFFFF"/>
          </w:tcPr>
          <w:p w14:paraId="187D9129" w14:textId="77777777" w:rsidR="0087601C" w:rsidRPr="006A1EC7" w:rsidRDefault="0087601C" w:rsidP="00D56051">
            <w:pPr>
              <w:spacing w:line="320" w:lineRule="atLeast"/>
              <w:ind w:left="60" w:right="60"/>
              <w:jc w:val="right"/>
              <w:rPr>
                <w:color w:val="010205"/>
                <w:sz w:val="18"/>
              </w:rPr>
            </w:pPr>
            <w:r w:rsidRPr="006A1EC7">
              <w:rPr>
                <w:color w:val="010205"/>
                <w:sz w:val="18"/>
              </w:rPr>
              <w:t>.132</w:t>
            </w:r>
          </w:p>
        </w:tc>
      </w:tr>
      <w:tr w:rsidR="0087601C" w:rsidRPr="006A1EC7" w14:paraId="711AEA35" w14:textId="77777777" w:rsidTr="00D56051">
        <w:trPr>
          <w:cantSplit/>
        </w:trPr>
        <w:tc>
          <w:tcPr>
            <w:tcW w:w="2419" w:type="dxa"/>
            <w:tcBorders>
              <w:top w:val="single" w:sz="8" w:space="0" w:color="AEAEAE"/>
              <w:left w:val="nil"/>
              <w:bottom w:val="single" w:sz="8" w:space="0" w:color="152935"/>
              <w:right w:val="nil"/>
            </w:tcBorders>
            <w:shd w:val="clear" w:color="auto" w:fill="E0E0E0"/>
          </w:tcPr>
          <w:p w14:paraId="59E6D359" w14:textId="77777777" w:rsidR="0087601C" w:rsidRPr="006A1EC7" w:rsidRDefault="0087601C" w:rsidP="00D56051">
            <w:pPr>
              <w:spacing w:line="320" w:lineRule="atLeast"/>
              <w:ind w:left="60" w:right="60"/>
              <w:rPr>
                <w:color w:val="264A60"/>
                <w:sz w:val="18"/>
              </w:rPr>
            </w:pPr>
            <w:r w:rsidRPr="006A1EC7">
              <w:rPr>
                <w:color w:val="264A60"/>
                <w:sz w:val="18"/>
              </w:rPr>
              <w:t>T1Joshua_Epilepsy</w:t>
            </w:r>
          </w:p>
        </w:tc>
        <w:tc>
          <w:tcPr>
            <w:tcW w:w="1276" w:type="dxa"/>
            <w:tcBorders>
              <w:top w:val="single" w:sz="8" w:space="0" w:color="AEAEAE"/>
              <w:left w:val="nil"/>
              <w:bottom w:val="single" w:sz="8" w:space="0" w:color="152935"/>
              <w:right w:val="single" w:sz="8" w:space="0" w:color="E0E0E0"/>
            </w:tcBorders>
            <w:shd w:val="clear" w:color="auto" w:fill="FFFFFF"/>
          </w:tcPr>
          <w:p w14:paraId="0746ECF1"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46FC8F0D" w14:textId="77777777" w:rsidR="0087601C" w:rsidRPr="006A1EC7" w:rsidRDefault="0087601C" w:rsidP="00D56051">
            <w:pPr>
              <w:spacing w:line="320" w:lineRule="atLeast"/>
              <w:ind w:left="60" w:right="60"/>
              <w:jc w:val="right"/>
              <w:rPr>
                <w:color w:val="010205"/>
                <w:sz w:val="18"/>
              </w:rPr>
            </w:pPr>
            <w:r w:rsidRPr="006A1EC7">
              <w:rPr>
                <w:color w:val="010205"/>
                <w:sz w:val="18"/>
              </w:rPr>
              <w:t>12.59</w:t>
            </w:r>
          </w:p>
        </w:tc>
        <w:tc>
          <w:tcPr>
            <w:tcW w:w="1828" w:type="dxa"/>
            <w:tcBorders>
              <w:top w:val="single" w:sz="8" w:space="0" w:color="AEAEAE"/>
              <w:left w:val="single" w:sz="8" w:space="0" w:color="E0E0E0"/>
              <w:bottom w:val="single" w:sz="8" w:space="0" w:color="152935"/>
              <w:right w:val="single" w:sz="8" w:space="0" w:color="E0E0E0"/>
            </w:tcBorders>
            <w:shd w:val="clear" w:color="auto" w:fill="FFFFFF"/>
          </w:tcPr>
          <w:p w14:paraId="6208B3B9" w14:textId="77777777" w:rsidR="0087601C" w:rsidRPr="006A1EC7" w:rsidRDefault="0087601C" w:rsidP="00D56051">
            <w:pPr>
              <w:spacing w:line="320" w:lineRule="atLeast"/>
              <w:ind w:left="60" w:right="60"/>
              <w:jc w:val="right"/>
              <w:rPr>
                <w:color w:val="010205"/>
                <w:sz w:val="18"/>
              </w:rPr>
            </w:pPr>
            <w:r w:rsidRPr="006A1EC7">
              <w:rPr>
                <w:color w:val="010205"/>
                <w:sz w:val="18"/>
              </w:rPr>
              <w:t>.701</w:t>
            </w:r>
          </w:p>
        </w:tc>
        <w:tc>
          <w:tcPr>
            <w:tcW w:w="1828" w:type="dxa"/>
            <w:tcBorders>
              <w:top w:val="single" w:sz="8" w:space="0" w:color="AEAEAE"/>
              <w:left w:val="single" w:sz="8" w:space="0" w:color="E0E0E0"/>
              <w:bottom w:val="single" w:sz="8" w:space="0" w:color="152935"/>
              <w:right w:val="nil"/>
            </w:tcBorders>
            <w:shd w:val="clear" w:color="auto" w:fill="FFFFFF"/>
          </w:tcPr>
          <w:p w14:paraId="02E39D6C" w14:textId="77777777" w:rsidR="0087601C" w:rsidRPr="006A1EC7" w:rsidRDefault="0087601C" w:rsidP="00D56051">
            <w:pPr>
              <w:spacing w:line="320" w:lineRule="atLeast"/>
              <w:ind w:left="60" w:right="60"/>
              <w:jc w:val="right"/>
              <w:rPr>
                <w:color w:val="010205"/>
                <w:sz w:val="18"/>
              </w:rPr>
            </w:pPr>
            <w:r w:rsidRPr="006A1EC7">
              <w:rPr>
                <w:color w:val="010205"/>
                <w:sz w:val="18"/>
              </w:rPr>
              <w:t>.120</w:t>
            </w:r>
          </w:p>
        </w:tc>
      </w:tr>
    </w:tbl>
    <w:p w14:paraId="3097F961"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4"/>
        <w:gridCol w:w="227"/>
        <w:gridCol w:w="982"/>
        <w:gridCol w:w="294"/>
        <w:gridCol w:w="862"/>
        <w:gridCol w:w="414"/>
        <w:gridCol w:w="1243"/>
        <w:gridCol w:w="585"/>
        <w:gridCol w:w="1072"/>
        <w:gridCol w:w="756"/>
        <w:gridCol w:w="901"/>
        <w:gridCol w:w="1657"/>
      </w:tblGrid>
      <w:tr w:rsidR="0087601C" w:rsidRPr="006A1EC7" w14:paraId="245B1A45" w14:textId="77777777" w:rsidTr="00D56051">
        <w:trPr>
          <w:cantSplit/>
        </w:trPr>
        <w:tc>
          <w:tcPr>
            <w:tcW w:w="11187" w:type="dxa"/>
            <w:gridSpan w:val="12"/>
            <w:tcBorders>
              <w:top w:val="nil"/>
              <w:left w:val="nil"/>
              <w:bottom w:val="nil"/>
              <w:right w:val="nil"/>
            </w:tcBorders>
            <w:shd w:val="clear" w:color="auto" w:fill="FFFFFF"/>
            <w:vAlign w:val="center"/>
          </w:tcPr>
          <w:p w14:paraId="5146CE09" w14:textId="77777777" w:rsidR="0087601C" w:rsidRPr="006A1EC7" w:rsidRDefault="0087601C" w:rsidP="00D56051">
            <w:pPr>
              <w:spacing w:line="320" w:lineRule="atLeast"/>
              <w:ind w:left="60" w:right="60"/>
              <w:jc w:val="center"/>
              <w:rPr>
                <w:color w:val="010205"/>
                <w:sz w:val="22"/>
                <w:szCs w:val="30"/>
              </w:rPr>
            </w:pPr>
            <w:r w:rsidRPr="006A1EC7">
              <w:rPr>
                <w:b/>
                <w:bCs/>
                <w:color w:val="010205"/>
                <w:sz w:val="22"/>
                <w:szCs w:val="30"/>
              </w:rPr>
              <w:t>One-Sample Test</w:t>
            </w:r>
          </w:p>
        </w:tc>
      </w:tr>
      <w:tr w:rsidR="0087601C" w:rsidRPr="006A1EC7" w14:paraId="706A0794" w14:textId="77777777" w:rsidTr="00D56051">
        <w:trPr>
          <w:cantSplit/>
        </w:trPr>
        <w:tc>
          <w:tcPr>
            <w:tcW w:w="2194" w:type="dxa"/>
            <w:vMerge w:val="restart"/>
            <w:tcBorders>
              <w:top w:val="nil"/>
              <w:left w:val="nil"/>
              <w:bottom w:val="nil"/>
              <w:right w:val="nil"/>
            </w:tcBorders>
            <w:shd w:val="clear" w:color="auto" w:fill="FFFFFF"/>
            <w:vAlign w:val="bottom"/>
          </w:tcPr>
          <w:p w14:paraId="560B8B3A" w14:textId="77777777" w:rsidR="0087601C" w:rsidRPr="006A1EC7" w:rsidRDefault="0087601C" w:rsidP="00D56051">
            <w:pPr>
              <w:rPr>
                <w:sz w:val="18"/>
              </w:rPr>
            </w:pPr>
          </w:p>
        </w:tc>
        <w:tc>
          <w:tcPr>
            <w:tcW w:w="8993" w:type="dxa"/>
            <w:gridSpan w:val="11"/>
            <w:tcBorders>
              <w:top w:val="nil"/>
              <w:left w:val="nil"/>
              <w:bottom w:val="nil"/>
              <w:right w:val="nil"/>
            </w:tcBorders>
            <w:shd w:val="clear" w:color="auto" w:fill="FFFFFF"/>
            <w:vAlign w:val="bottom"/>
          </w:tcPr>
          <w:p w14:paraId="13E918D3"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12.5</w:t>
            </w:r>
          </w:p>
        </w:tc>
      </w:tr>
      <w:tr w:rsidR="0087601C" w:rsidRPr="006A1EC7" w14:paraId="33C6DA35" w14:textId="77777777" w:rsidTr="00D56051">
        <w:trPr>
          <w:cantSplit/>
        </w:trPr>
        <w:tc>
          <w:tcPr>
            <w:tcW w:w="2194" w:type="dxa"/>
            <w:vMerge/>
            <w:tcBorders>
              <w:top w:val="nil"/>
              <w:left w:val="nil"/>
              <w:bottom w:val="nil"/>
              <w:right w:val="nil"/>
            </w:tcBorders>
            <w:shd w:val="clear" w:color="auto" w:fill="FFFFFF"/>
            <w:vAlign w:val="bottom"/>
          </w:tcPr>
          <w:p w14:paraId="2EB1AA0F" w14:textId="77777777" w:rsidR="0087601C" w:rsidRPr="006A1EC7" w:rsidRDefault="0087601C" w:rsidP="00D56051">
            <w:pPr>
              <w:rPr>
                <w:color w:val="264A60"/>
                <w:sz w:val="18"/>
              </w:rPr>
            </w:pPr>
          </w:p>
        </w:tc>
        <w:tc>
          <w:tcPr>
            <w:tcW w:w="1209" w:type="dxa"/>
            <w:gridSpan w:val="2"/>
            <w:vMerge w:val="restart"/>
            <w:tcBorders>
              <w:top w:val="nil"/>
              <w:left w:val="nil"/>
              <w:bottom w:val="nil"/>
              <w:right w:val="single" w:sz="8" w:space="0" w:color="E0E0E0"/>
            </w:tcBorders>
            <w:shd w:val="clear" w:color="auto" w:fill="FFFFFF"/>
            <w:vAlign w:val="bottom"/>
          </w:tcPr>
          <w:p w14:paraId="70D5CD80"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56" w:type="dxa"/>
            <w:gridSpan w:val="2"/>
            <w:vMerge w:val="restart"/>
            <w:tcBorders>
              <w:top w:val="nil"/>
              <w:left w:val="single" w:sz="8" w:space="0" w:color="E0E0E0"/>
              <w:bottom w:val="nil"/>
              <w:right w:val="single" w:sz="8" w:space="0" w:color="E0E0E0"/>
            </w:tcBorders>
            <w:shd w:val="clear" w:color="auto" w:fill="FFFFFF"/>
            <w:vAlign w:val="bottom"/>
          </w:tcPr>
          <w:p w14:paraId="55398F5A"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57" w:type="dxa"/>
            <w:gridSpan w:val="2"/>
            <w:vMerge w:val="restart"/>
            <w:tcBorders>
              <w:top w:val="nil"/>
              <w:left w:val="single" w:sz="8" w:space="0" w:color="E0E0E0"/>
              <w:bottom w:val="nil"/>
              <w:right w:val="single" w:sz="8" w:space="0" w:color="E0E0E0"/>
            </w:tcBorders>
            <w:shd w:val="clear" w:color="auto" w:fill="FFFFFF"/>
            <w:vAlign w:val="bottom"/>
          </w:tcPr>
          <w:p w14:paraId="1C3D403F"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57" w:type="dxa"/>
            <w:gridSpan w:val="2"/>
            <w:vMerge w:val="restart"/>
            <w:tcBorders>
              <w:top w:val="nil"/>
              <w:left w:val="single" w:sz="8" w:space="0" w:color="E0E0E0"/>
              <w:bottom w:val="nil"/>
              <w:right w:val="single" w:sz="8" w:space="0" w:color="E0E0E0"/>
            </w:tcBorders>
            <w:shd w:val="clear" w:color="auto" w:fill="FFFFFF"/>
            <w:vAlign w:val="bottom"/>
          </w:tcPr>
          <w:p w14:paraId="74D66E7A"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14" w:type="dxa"/>
            <w:gridSpan w:val="3"/>
            <w:tcBorders>
              <w:top w:val="nil"/>
              <w:left w:val="single" w:sz="8" w:space="0" w:color="E0E0E0"/>
              <w:bottom w:val="nil"/>
              <w:right w:val="nil"/>
            </w:tcBorders>
            <w:shd w:val="clear" w:color="auto" w:fill="FFFFFF"/>
            <w:vAlign w:val="bottom"/>
          </w:tcPr>
          <w:p w14:paraId="615923FF"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5DC7BEAE" w14:textId="77777777" w:rsidTr="00D56051">
        <w:trPr>
          <w:cantSplit/>
        </w:trPr>
        <w:tc>
          <w:tcPr>
            <w:tcW w:w="2194" w:type="dxa"/>
            <w:vMerge/>
            <w:tcBorders>
              <w:top w:val="nil"/>
              <w:left w:val="nil"/>
              <w:bottom w:val="nil"/>
              <w:right w:val="nil"/>
            </w:tcBorders>
            <w:shd w:val="clear" w:color="auto" w:fill="FFFFFF"/>
            <w:vAlign w:val="bottom"/>
          </w:tcPr>
          <w:p w14:paraId="6EAE04A8" w14:textId="77777777" w:rsidR="0087601C" w:rsidRPr="006A1EC7" w:rsidRDefault="0087601C" w:rsidP="00D56051">
            <w:pPr>
              <w:rPr>
                <w:color w:val="264A60"/>
                <w:sz w:val="18"/>
              </w:rPr>
            </w:pPr>
          </w:p>
        </w:tc>
        <w:tc>
          <w:tcPr>
            <w:tcW w:w="1209" w:type="dxa"/>
            <w:gridSpan w:val="2"/>
            <w:vMerge/>
            <w:tcBorders>
              <w:top w:val="nil"/>
              <w:left w:val="nil"/>
              <w:bottom w:val="nil"/>
              <w:right w:val="single" w:sz="8" w:space="0" w:color="E0E0E0"/>
            </w:tcBorders>
            <w:shd w:val="clear" w:color="auto" w:fill="FFFFFF"/>
            <w:vAlign w:val="bottom"/>
          </w:tcPr>
          <w:p w14:paraId="24F5A655" w14:textId="77777777" w:rsidR="0087601C" w:rsidRPr="006A1EC7" w:rsidRDefault="0087601C" w:rsidP="00D56051">
            <w:pPr>
              <w:rPr>
                <w:color w:val="264A60"/>
                <w:sz w:val="18"/>
              </w:rPr>
            </w:pPr>
          </w:p>
        </w:tc>
        <w:tc>
          <w:tcPr>
            <w:tcW w:w="1156" w:type="dxa"/>
            <w:gridSpan w:val="2"/>
            <w:vMerge/>
            <w:tcBorders>
              <w:top w:val="nil"/>
              <w:left w:val="single" w:sz="8" w:space="0" w:color="E0E0E0"/>
              <w:bottom w:val="nil"/>
              <w:right w:val="single" w:sz="8" w:space="0" w:color="E0E0E0"/>
            </w:tcBorders>
            <w:shd w:val="clear" w:color="auto" w:fill="FFFFFF"/>
            <w:vAlign w:val="bottom"/>
          </w:tcPr>
          <w:p w14:paraId="7EFAC3BF" w14:textId="77777777" w:rsidR="0087601C" w:rsidRPr="006A1EC7" w:rsidRDefault="0087601C" w:rsidP="00D56051">
            <w:pPr>
              <w:rPr>
                <w:color w:val="264A60"/>
                <w:sz w:val="18"/>
              </w:rPr>
            </w:pPr>
          </w:p>
        </w:tc>
        <w:tc>
          <w:tcPr>
            <w:tcW w:w="1657" w:type="dxa"/>
            <w:gridSpan w:val="2"/>
            <w:vMerge/>
            <w:tcBorders>
              <w:top w:val="nil"/>
              <w:left w:val="single" w:sz="8" w:space="0" w:color="E0E0E0"/>
              <w:bottom w:val="nil"/>
              <w:right w:val="single" w:sz="8" w:space="0" w:color="E0E0E0"/>
            </w:tcBorders>
            <w:shd w:val="clear" w:color="auto" w:fill="FFFFFF"/>
            <w:vAlign w:val="bottom"/>
          </w:tcPr>
          <w:p w14:paraId="7534716B" w14:textId="77777777" w:rsidR="0087601C" w:rsidRPr="006A1EC7" w:rsidRDefault="0087601C" w:rsidP="00D56051">
            <w:pPr>
              <w:rPr>
                <w:color w:val="264A60"/>
                <w:sz w:val="18"/>
              </w:rPr>
            </w:pPr>
          </w:p>
        </w:tc>
        <w:tc>
          <w:tcPr>
            <w:tcW w:w="1657" w:type="dxa"/>
            <w:gridSpan w:val="2"/>
            <w:vMerge/>
            <w:tcBorders>
              <w:top w:val="nil"/>
              <w:left w:val="single" w:sz="8" w:space="0" w:color="E0E0E0"/>
              <w:bottom w:val="nil"/>
              <w:right w:val="single" w:sz="8" w:space="0" w:color="E0E0E0"/>
            </w:tcBorders>
            <w:shd w:val="clear" w:color="auto" w:fill="FFFFFF"/>
            <w:vAlign w:val="bottom"/>
          </w:tcPr>
          <w:p w14:paraId="77EFF999" w14:textId="77777777" w:rsidR="0087601C" w:rsidRPr="006A1EC7" w:rsidRDefault="0087601C" w:rsidP="00D56051">
            <w:pPr>
              <w:rPr>
                <w:color w:val="264A60"/>
                <w:sz w:val="18"/>
              </w:rPr>
            </w:pPr>
          </w:p>
        </w:tc>
        <w:tc>
          <w:tcPr>
            <w:tcW w:w="1657" w:type="dxa"/>
            <w:gridSpan w:val="2"/>
            <w:tcBorders>
              <w:top w:val="nil"/>
              <w:left w:val="single" w:sz="8" w:space="0" w:color="E0E0E0"/>
              <w:bottom w:val="single" w:sz="8" w:space="0" w:color="152935"/>
              <w:right w:val="single" w:sz="8" w:space="0" w:color="E0E0E0"/>
            </w:tcBorders>
            <w:shd w:val="clear" w:color="auto" w:fill="FFFFFF"/>
            <w:vAlign w:val="bottom"/>
          </w:tcPr>
          <w:p w14:paraId="4C4759CB"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57" w:type="dxa"/>
            <w:tcBorders>
              <w:top w:val="nil"/>
              <w:left w:val="single" w:sz="8" w:space="0" w:color="E0E0E0"/>
              <w:bottom w:val="single" w:sz="8" w:space="0" w:color="152935"/>
              <w:right w:val="nil"/>
            </w:tcBorders>
            <w:shd w:val="clear" w:color="auto" w:fill="FFFFFF"/>
            <w:vAlign w:val="bottom"/>
          </w:tcPr>
          <w:p w14:paraId="684C9A49"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02D1AE05" w14:textId="77777777" w:rsidTr="00D56051">
        <w:trPr>
          <w:cantSplit/>
        </w:trPr>
        <w:tc>
          <w:tcPr>
            <w:tcW w:w="2194" w:type="dxa"/>
            <w:tcBorders>
              <w:top w:val="single" w:sz="8" w:space="0" w:color="152935"/>
              <w:left w:val="nil"/>
              <w:bottom w:val="single" w:sz="8" w:space="0" w:color="AEAEAE"/>
              <w:right w:val="nil"/>
            </w:tcBorders>
            <w:shd w:val="clear" w:color="auto" w:fill="E0E0E0"/>
          </w:tcPr>
          <w:p w14:paraId="52EB0315" w14:textId="77777777" w:rsidR="0087601C" w:rsidRPr="006A1EC7" w:rsidRDefault="0087601C" w:rsidP="00D56051">
            <w:pPr>
              <w:spacing w:line="320" w:lineRule="atLeast"/>
              <w:ind w:left="60" w:right="60"/>
              <w:rPr>
                <w:color w:val="264A60"/>
                <w:sz w:val="18"/>
              </w:rPr>
            </w:pPr>
            <w:r w:rsidRPr="006A1EC7">
              <w:rPr>
                <w:color w:val="264A60"/>
                <w:sz w:val="18"/>
              </w:rPr>
              <w:t>T1Joshua_Face</w:t>
            </w:r>
          </w:p>
        </w:tc>
        <w:tc>
          <w:tcPr>
            <w:tcW w:w="1209" w:type="dxa"/>
            <w:gridSpan w:val="2"/>
            <w:tcBorders>
              <w:top w:val="single" w:sz="8" w:space="0" w:color="152935"/>
              <w:left w:val="nil"/>
              <w:bottom w:val="single" w:sz="8" w:space="0" w:color="AEAEAE"/>
              <w:right w:val="single" w:sz="8" w:space="0" w:color="E0E0E0"/>
            </w:tcBorders>
            <w:shd w:val="clear" w:color="auto" w:fill="FFFFFF"/>
          </w:tcPr>
          <w:p w14:paraId="1CE22FB9" w14:textId="77777777" w:rsidR="0087601C" w:rsidRPr="006A1EC7" w:rsidRDefault="0087601C" w:rsidP="00D56051">
            <w:pPr>
              <w:spacing w:line="320" w:lineRule="atLeast"/>
              <w:ind w:left="60" w:right="60"/>
              <w:jc w:val="right"/>
              <w:rPr>
                <w:color w:val="010205"/>
                <w:sz w:val="18"/>
              </w:rPr>
            </w:pPr>
            <w:r w:rsidRPr="006A1EC7">
              <w:rPr>
                <w:color w:val="010205"/>
                <w:sz w:val="18"/>
              </w:rPr>
              <w:t>-69.713</w:t>
            </w:r>
          </w:p>
        </w:tc>
        <w:tc>
          <w:tcPr>
            <w:tcW w:w="1156" w:type="dxa"/>
            <w:gridSpan w:val="2"/>
            <w:tcBorders>
              <w:top w:val="single" w:sz="8" w:space="0" w:color="152935"/>
              <w:left w:val="single" w:sz="8" w:space="0" w:color="E0E0E0"/>
              <w:bottom w:val="single" w:sz="8" w:space="0" w:color="AEAEAE"/>
              <w:right w:val="single" w:sz="8" w:space="0" w:color="E0E0E0"/>
            </w:tcBorders>
            <w:shd w:val="clear" w:color="auto" w:fill="FFFFFF"/>
          </w:tcPr>
          <w:p w14:paraId="2C4D7FAF"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657" w:type="dxa"/>
            <w:gridSpan w:val="2"/>
            <w:tcBorders>
              <w:top w:val="single" w:sz="8" w:space="0" w:color="152935"/>
              <w:left w:val="single" w:sz="8" w:space="0" w:color="E0E0E0"/>
              <w:bottom w:val="single" w:sz="8" w:space="0" w:color="AEAEAE"/>
              <w:right w:val="single" w:sz="8" w:space="0" w:color="E0E0E0"/>
            </w:tcBorders>
            <w:shd w:val="clear" w:color="auto" w:fill="FFFFFF"/>
          </w:tcPr>
          <w:p w14:paraId="34282E3F"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57" w:type="dxa"/>
            <w:gridSpan w:val="2"/>
            <w:tcBorders>
              <w:top w:val="single" w:sz="8" w:space="0" w:color="152935"/>
              <w:left w:val="single" w:sz="8" w:space="0" w:color="E0E0E0"/>
              <w:bottom w:val="single" w:sz="8" w:space="0" w:color="AEAEAE"/>
              <w:right w:val="single" w:sz="8" w:space="0" w:color="E0E0E0"/>
            </w:tcBorders>
            <w:shd w:val="clear" w:color="auto" w:fill="FFFFFF"/>
          </w:tcPr>
          <w:p w14:paraId="04830048" w14:textId="77777777" w:rsidR="0087601C" w:rsidRPr="006A1EC7" w:rsidRDefault="0087601C" w:rsidP="00D56051">
            <w:pPr>
              <w:spacing w:line="320" w:lineRule="atLeast"/>
              <w:ind w:left="60" w:right="60"/>
              <w:jc w:val="right"/>
              <w:rPr>
                <w:color w:val="010205"/>
                <w:sz w:val="18"/>
              </w:rPr>
            </w:pPr>
            <w:r w:rsidRPr="006A1EC7">
              <w:rPr>
                <w:color w:val="010205"/>
                <w:sz w:val="18"/>
              </w:rPr>
              <w:t>-9.176</w:t>
            </w:r>
          </w:p>
        </w:tc>
        <w:tc>
          <w:tcPr>
            <w:tcW w:w="1657" w:type="dxa"/>
            <w:gridSpan w:val="2"/>
            <w:tcBorders>
              <w:top w:val="single" w:sz="8" w:space="0" w:color="152935"/>
              <w:left w:val="single" w:sz="8" w:space="0" w:color="E0E0E0"/>
              <w:bottom w:val="single" w:sz="8" w:space="0" w:color="AEAEAE"/>
              <w:right w:val="single" w:sz="8" w:space="0" w:color="E0E0E0"/>
            </w:tcBorders>
            <w:shd w:val="clear" w:color="auto" w:fill="FFFFFF"/>
          </w:tcPr>
          <w:p w14:paraId="30AE7205" w14:textId="77777777" w:rsidR="0087601C" w:rsidRPr="006A1EC7" w:rsidRDefault="0087601C" w:rsidP="00D56051">
            <w:pPr>
              <w:spacing w:line="320" w:lineRule="atLeast"/>
              <w:ind w:left="60" w:right="60"/>
              <w:jc w:val="right"/>
              <w:rPr>
                <w:color w:val="010205"/>
                <w:sz w:val="18"/>
              </w:rPr>
            </w:pPr>
            <w:r w:rsidRPr="006A1EC7">
              <w:rPr>
                <w:color w:val="010205"/>
                <w:sz w:val="18"/>
              </w:rPr>
              <w:t>-9.44</w:t>
            </w:r>
          </w:p>
        </w:tc>
        <w:tc>
          <w:tcPr>
            <w:tcW w:w="1657" w:type="dxa"/>
            <w:tcBorders>
              <w:top w:val="single" w:sz="8" w:space="0" w:color="152935"/>
              <w:left w:val="single" w:sz="8" w:space="0" w:color="E0E0E0"/>
              <w:bottom w:val="single" w:sz="8" w:space="0" w:color="AEAEAE"/>
              <w:right w:val="nil"/>
            </w:tcBorders>
            <w:shd w:val="clear" w:color="auto" w:fill="FFFFFF"/>
          </w:tcPr>
          <w:p w14:paraId="2F58F592" w14:textId="77777777" w:rsidR="0087601C" w:rsidRPr="006A1EC7" w:rsidRDefault="0087601C" w:rsidP="00D56051">
            <w:pPr>
              <w:spacing w:line="320" w:lineRule="atLeast"/>
              <w:ind w:left="60" w:right="60"/>
              <w:jc w:val="right"/>
              <w:rPr>
                <w:color w:val="010205"/>
                <w:sz w:val="18"/>
              </w:rPr>
            </w:pPr>
            <w:r w:rsidRPr="006A1EC7">
              <w:rPr>
                <w:color w:val="010205"/>
                <w:sz w:val="18"/>
              </w:rPr>
              <w:t>-8.91</w:t>
            </w:r>
          </w:p>
        </w:tc>
      </w:tr>
      <w:tr w:rsidR="0087601C" w:rsidRPr="006A1EC7" w14:paraId="7230F09B" w14:textId="77777777" w:rsidTr="00D56051">
        <w:trPr>
          <w:cantSplit/>
        </w:trPr>
        <w:tc>
          <w:tcPr>
            <w:tcW w:w="2194" w:type="dxa"/>
            <w:tcBorders>
              <w:top w:val="single" w:sz="8" w:space="0" w:color="AEAEAE"/>
              <w:left w:val="nil"/>
              <w:bottom w:val="single" w:sz="8" w:space="0" w:color="152935"/>
              <w:right w:val="nil"/>
            </w:tcBorders>
            <w:shd w:val="clear" w:color="auto" w:fill="E0E0E0"/>
          </w:tcPr>
          <w:p w14:paraId="410DB056" w14:textId="77777777" w:rsidR="0087601C" w:rsidRPr="006A1EC7" w:rsidRDefault="0087601C" w:rsidP="00D56051">
            <w:pPr>
              <w:spacing w:line="320" w:lineRule="atLeast"/>
              <w:ind w:left="60" w:right="60"/>
              <w:rPr>
                <w:color w:val="264A60"/>
                <w:sz w:val="18"/>
              </w:rPr>
            </w:pPr>
            <w:r w:rsidRPr="006A1EC7">
              <w:rPr>
                <w:color w:val="264A60"/>
                <w:sz w:val="18"/>
              </w:rPr>
              <w:t>T1Joshua_Epilepsy</w:t>
            </w:r>
          </w:p>
        </w:tc>
        <w:tc>
          <w:tcPr>
            <w:tcW w:w="1209" w:type="dxa"/>
            <w:gridSpan w:val="2"/>
            <w:tcBorders>
              <w:top w:val="single" w:sz="8" w:space="0" w:color="AEAEAE"/>
              <w:left w:val="nil"/>
              <w:bottom w:val="single" w:sz="8" w:space="0" w:color="152935"/>
              <w:right w:val="single" w:sz="8" w:space="0" w:color="E0E0E0"/>
            </w:tcBorders>
            <w:shd w:val="clear" w:color="auto" w:fill="FFFFFF"/>
          </w:tcPr>
          <w:p w14:paraId="4532A7C3" w14:textId="77777777" w:rsidR="0087601C" w:rsidRPr="006A1EC7" w:rsidRDefault="0087601C" w:rsidP="00D56051">
            <w:pPr>
              <w:spacing w:line="320" w:lineRule="atLeast"/>
              <w:ind w:left="60" w:right="60"/>
              <w:jc w:val="right"/>
              <w:rPr>
                <w:color w:val="010205"/>
                <w:sz w:val="18"/>
              </w:rPr>
            </w:pPr>
            <w:r w:rsidRPr="006A1EC7">
              <w:rPr>
                <w:color w:val="010205"/>
                <w:sz w:val="18"/>
              </w:rPr>
              <w:t>.734</w:t>
            </w:r>
          </w:p>
        </w:tc>
        <w:tc>
          <w:tcPr>
            <w:tcW w:w="1156" w:type="dxa"/>
            <w:gridSpan w:val="2"/>
            <w:tcBorders>
              <w:top w:val="single" w:sz="8" w:space="0" w:color="AEAEAE"/>
              <w:left w:val="single" w:sz="8" w:space="0" w:color="E0E0E0"/>
              <w:bottom w:val="single" w:sz="8" w:space="0" w:color="152935"/>
              <w:right w:val="single" w:sz="8" w:space="0" w:color="E0E0E0"/>
            </w:tcBorders>
            <w:shd w:val="clear" w:color="auto" w:fill="FFFFFF"/>
          </w:tcPr>
          <w:p w14:paraId="435AD07C"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657" w:type="dxa"/>
            <w:gridSpan w:val="2"/>
            <w:tcBorders>
              <w:top w:val="single" w:sz="8" w:space="0" w:color="AEAEAE"/>
              <w:left w:val="single" w:sz="8" w:space="0" w:color="E0E0E0"/>
              <w:bottom w:val="single" w:sz="8" w:space="0" w:color="152935"/>
              <w:right w:val="single" w:sz="8" w:space="0" w:color="E0E0E0"/>
            </w:tcBorders>
            <w:shd w:val="clear" w:color="auto" w:fill="FFFFFF"/>
          </w:tcPr>
          <w:p w14:paraId="0DFD0D6D" w14:textId="77777777" w:rsidR="0087601C" w:rsidRPr="006A1EC7" w:rsidRDefault="0087601C" w:rsidP="00D56051">
            <w:pPr>
              <w:spacing w:line="320" w:lineRule="atLeast"/>
              <w:ind w:left="60" w:right="60"/>
              <w:jc w:val="right"/>
              <w:rPr>
                <w:color w:val="010205"/>
                <w:sz w:val="18"/>
              </w:rPr>
            </w:pPr>
            <w:r w:rsidRPr="006A1EC7">
              <w:rPr>
                <w:color w:val="010205"/>
                <w:sz w:val="18"/>
              </w:rPr>
              <w:t>.468</w:t>
            </w:r>
          </w:p>
        </w:tc>
        <w:tc>
          <w:tcPr>
            <w:tcW w:w="1657" w:type="dxa"/>
            <w:gridSpan w:val="2"/>
            <w:tcBorders>
              <w:top w:val="single" w:sz="8" w:space="0" w:color="AEAEAE"/>
              <w:left w:val="single" w:sz="8" w:space="0" w:color="E0E0E0"/>
              <w:bottom w:val="single" w:sz="8" w:space="0" w:color="152935"/>
              <w:right w:val="single" w:sz="8" w:space="0" w:color="E0E0E0"/>
            </w:tcBorders>
            <w:shd w:val="clear" w:color="auto" w:fill="FFFFFF"/>
          </w:tcPr>
          <w:p w14:paraId="3FF8C30C" w14:textId="77777777" w:rsidR="0087601C" w:rsidRPr="006A1EC7" w:rsidRDefault="0087601C" w:rsidP="00D56051">
            <w:pPr>
              <w:spacing w:line="320" w:lineRule="atLeast"/>
              <w:ind w:left="60" w:right="60"/>
              <w:jc w:val="right"/>
              <w:rPr>
                <w:color w:val="010205"/>
                <w:sz w:val="18"/>
              </w:rPr>
            </w:pPr>
            <w:r w:rsidRPr="006A1EC7">
              <w:rPr>
                <w:color w:val="010205"/>
                <w:sz w:val="18"/>
              </w:rPr>
              <w:t>.088</w:t>
            </w:r>
          </w:p>
        </w:tc>
        <w:tc>
          <w:tcPr>
            <w:tcW w:w="1657" w:type="dxa"/>
            <w:gridSpan w:val="2"/>
            <w:tcBorders>
              <w:top w:val="single" w:sz="8" w:space="0" w:color="AEAEAE"/>
              <w:left w:val="single" w:sz="8" w:space="0" w:color="E0E0E0"/>
              <w:bottom w:val="single" w:sz="8" w:space="0" w:color="152935"/>
              <w:right w:val="single" w:sz="8" w:space="0" w:color="E0E0E0"/>
            </w:tcBorders>
            <w:shd w:val="clear" w:color="auto" w:fill="FFFFFF"/>
          </w:tcPr>
          <w:p w14:paraId="455F82E5" w14:textId="77777777" w:rsidR="0087601C" w:rsidRPr="006A1EC7" w:rsidRDefault="0087601C" w:rsidP="00D56051">
            <w:pPr>
              <w:spacing w:line="320" w:lineRule="atLeast"/>
              <w:ind w:left="60" w:right="60"/>
              <w:jc w:val="right"/>
              <w:rPr>
                <w:color w:val="010205"/>
                <w:sz w:val="18"/>
              </w:rPr>
            </w:pPr>
            <w:r w:rsidRPr="006A1EC7">
              <w:rPr>
                <w:color w:val="010205"/>
                <w:sz w:val="18"/>
              </w:rPr>
              <w:t>-.16</w:t>
            </w:r>
          </w:p>
        </w:tc>
        <w:tc>
          <w:tcPr>
            <w:tcW w:w="1657" w:type="dxa"/>
            <w:tcBorders>
              <w:top w:val="single" w:sz="8" w:space="0" w:color="AEAEAE"/>
              <w:left w:val="single" w:sz="8" w:space="0" w:color="E0E0E0"/>
              <w:bottom w:val="single" w:sz="8" w:space="0" w:color="152935"/>
              <w:right w:val="nil"/>
            </w:tcBorders>
            <w:shd w:val="clear" w:color="auto" w:fill="FFFFFF"/>
          </w:tcPr>
          <w:p w14:paraId="7C2D555E"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r>
      <w:tr w:rsidR="0087601C" w:rsidRPr="006A1EC7" w14:paraId="5F11DC68" w14:textId="77777777" w:rsidTr="00D56051">
        <w:trPr>
          <w:gridAfter w:val="2"/>
          <w:wAfter w:w="2558" w:type="dxa"/>
          <w:cantSplit/>
        </w:trPr>
        <w:tc>
          <w:tcPr>
            <w:tcW w:w="2421" w:type="dxa"/>
            <w:gridSpan w:val="2"/>
            <w:tcBorders>
              <w:top w:val="nil"/>
              <w:left w:val="nil"/>
              <w:bottom w:val="single" w:sz="8" w:space="0" w:color="152935"/>
              <w:right w:val="nil"/>
            </w:tcBorders>
            <w:shd w:val="clear" w:color="auto" w:fill="FFFFFF"/>
            <w:vAlign w:val="bottom"/>
          </w:tcPr>
          <w:p w14:paraId="5A8B5515" w14:textId="77777777" w:rsidR="0087601C" w:rsidRPr="006A1EC7" w:rsidRDefault="0087601C" w:rsidP="00D56051">
            <w:pPr>
              <w:rPr>
                <w:sz w:val="18"/>
              </w:rPr>
            </w:pPr>
          </w:p>
        </w:tc>
        <w:tc>
          <w:tcPr>
            <w:tcW w:w="1276" w:type="dxa"/>
            <w:gridSpan w:val="2"/>
            <w:tcBorders>
              <w:top w:val="nil"/>
              <w:left w:val="nil"/>
              <w:bottom w:val="single" w:sz="8" w:space="0" w:color="152935"/>
              <w:right w:val="single" w:sz="8" w:space="0" w:color="E0E0E0"/>
            </w:tcBorders>
            <w:shd w:val="clear" w:color="auto" w:fill="FFFFFF"/>
            <w:vAlign w:val="bottom"/>
          </w:tcPr>
          <w:p w14:paraId="2E4BDA53"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2"/>
            <w:tcBorders>
              <w:top w:val="nil"/>
              <w:left w:val="single" w:sz="8" w:space="0" w:color="E0E0E0"/>
              <w:bottom w:val="single" w:sz="8" w:space="0" w:color="152935"/>
              <w:right w:val="single" w:sz="8" w:space="0" w:color="E0E0E0"/>
            </w:tcBorders>
            <w:shd w:val="clear" w:color="auto" w:fill="FFFFFF"/>
            <w:vAlign w:val="bottom"/>
          </w:tcPr>
          <w:p w14:paraId="2F0377DF"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gridSpan w:val="2"/>
            <w:tcBorders>
              <w:top w:val="nil"/>
              <w:left w:val="single" w:sz="8" w:space="0" w:color="E0E0E0"/>
              <w:bottom w:val="single" w:sz="8" w:space="0" w:color="152935"/>
              <w:right w:val="single" w:sz="8" w:space="0" w:color="E0E0E0"/>
            </w:tcBorders>
            <w:shd w:val="clear" w:color="auto" w:fill="FFFFFF"/>
            <w:vAlign w:val="bottom"/>
          </w:tcPr>
          <w:p w14:paraId="331A780F"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gridSpan w:val="2"/>
            <w:tcBorders>
              <w:top w:val="nil"/>
              <w:left w:val="single" w:sz="8" w:space="0" w:color="E0E0E0"/>
              <w:bottom w:val="single" w:sz="8" w:space="0" w:color="152935"/>
              <w:right w:val="nil"/>
            </w:tcBorders>
            <w:shd w:val="clear" w:color="auto" w:fill="FFFFFF"/>
            <w:vAlign w:val="bottom"/>
          </w:tcPr>
          <w:p w14:paraId="197CAD52"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60A4A16C" w14:textId="77777777" w:rsidTr="00D56051">
        <w:trPr>
          <w:gridAfter w:val="2"/>
          <w:wAfter w:w="2558" w:type="dxa"/>
          <w:cantSplit/>
        </w:trPr>
        <w:tc>
          <w:tcPr>
            <w:tcW w:w="2421" w:type="dxa"/>
            <w:gridSpan w:val="2"/>
            <w:tcBorders>
              <w:top w:val="single" w:sz="8" w:space="0" w:color="152935"/>
              <w:left w:val="nil"/>
              <w:bottom w:val="single" w:sz="8" w:space="0" w:color="152935"/>
              <w:right w:val="nil"/>
            </w:tcBorders>
            <w:shd w:val="clear" w:color="auto" w:fill="E0E0E0"/>
          </w:tcPr>
          <w:p w14:paraId="4B4175C5" w14:textId="77777777" w:rsidR="0087601C" w:rsidRPr="006A1EC7" w:rsidRDefault="0087601C" w:rsidP="00D56051">
            <w:pPr>
              <w:spacing w:line="320" w:lineRule="atLeast"/>
              <w:ind w:left="60" w:right="60"/>
              <w:rPr>
                <w:color w:val="264A60"/>
                <w:sz w:val="18"/>
              </w:rPr>
            </w:pPr>
            <w:r w:rsidRPr="006A1EC7">
              <w:rPr>
                <w:color w:val="264A60"/>
                <w:sz w:val="18"/>
              </w:rPr>
              <w:t>T1Joshua_Epilepsy</w:t>
            </w:r>
          </w:p>
        </w:tc>
        <w:tc>
          <w:tcPr>
            <w:tcW w:w="1276" w:type="dxa"/>
            <w:gridSpan w:val="2"/>
            <w:tcBorders>
              <w:top w:val="single" w:sz="8" w:space="0" w:color="152935"/>
              <w:left w:val="nil"/>
              <w:bottom w:val="single" w:sz="8" w:space="0" w:color="152935"/>
              <w:right w:val="single" w:sz="8" w:space="0" w:color="E0E0E0"/>
            </w:tcBorders>
            <w:shd w:val="clear" w:color="auto" w:fill="FFFFFF"/>
          </w:tcPr>
          <w:p w14:paraId="294FE74D"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6" w:type="dxa"/>
            <w:gridSpan w:val="2"/>
            <w:tcBorders>
              <w:top w:val="single" w:sz="8" w:space="0" w:color="152935"/>
              <w:left w:val="single" w:sz="8" w:space="0" w:color="E0E0E0"/>
              <w:bottom w:val="single" w:sz="8" w:space="0" w:color="152935"/>
              <w:right w:val="single" w:sz="8" w:space="0" w:color="E0E0E0"/>
            </w:tcBorders>
            <w:shd w:val="clear" w:color="auto" w:fill="FFFFFF"/>
          </w:tcPr>
          <w:p w14:paraId="79693B8D" w14:textId="77777777" w:rsidR="0087601C" w:rsidRPr="006A1EC7" w:rsidRDefault="0087601C" w:rsidP="00D56051">
            <w:pPr>
              <w:spacing w:line="320" w:lineRule="atLeast"/>
              <w:ind w:left="60" w:right="60"/>
              <w:jc w:val="right"/>
              <w:rPr>
                <w:color w:val="010205"/>
                <w:sz w:val="18"/>
              </w:rPr>
            </w:pPr>
            <w:r w:rsidRPr="006A1EC7">
              <w:rPr>
                <w:color w:val="010205"/>
                <w:sz w:val="18"/>
              </w:rPr>
              <w:t>12.59</w:t>
            </w:r>
          </w:p>
        </w:tc>
        <w:tc>
          <w:tcPr>
            <w:tcW w:w="1828" w:type="dxa"/>
            <w:gridSpan w:val="2"/>
            <w:tcBorders>
              <w:top w:val="single" w:sz="8" w:space="0" w:color="152935"/>
              <w:left w:val="single" w:sz="8" w:space="0" w:color="E0E0E0"/>
              <w:bottom w:val="single" w:sz="8" w:space="0" w:color="152935"/>
              <w:right w:val="single" w:sz="8" w:space="0" w:color="E0E0E0"/>
            </w:tcBorders>
            <w:shd w:val="clear" w:color="auto" w:fill="FFFFFF"/>
          </w:tcPr>
          <w:p w14:paraId="551E9478" w14:textId="77777777" w:rsidR="0087601C" w:rsidRPr="006A1EC7" w:rsidRDefault="0087601C" w:rsidP="00D56051">
            <w:pPr>
              <w:spacing w:line="320" w:lineRule="atLeast"/>
              <w:ind w:left="60" w:right="60"/>
              <w:jc w:val="right"/>
              <w:rPr>
                <w:color w:val="010205"/>
                <w:sz w:val="18"/>
              </w:rPr>
            </w:pPr>
            <w:r w:rsidRPr="006A1EC7">
              <w:rPr>
                <w:color w:val="010205"/>
                <w:sz w:val="18"/>
              </w:rPr>
              <w:t>.701</w:t>
            </w:r>
          </w:p>
        </w:tc>
        <w:tc>
          <w:tcPr>
            <w:tcW w:w="1828" w:type="dxa"/>
            <w:gridSpan w:val="2"/>
            <w:tcBorders>
              <w:top w:val="single" w:sz="8" w:space="0" w:color="152935"/>
              <w:left w:val="single" w:sz="8" w:space="0" w:color="E0E0E0"/>
              <w:bottom w:val="single" w:sz="8" w:space="0" w:color="152935"/>
              <w:right w:val="nil"/>
            </w:tcBorders>
            <w:shd w:val="clear" w:color="auto" w:fill="FFFFFF"/>
          </w:tcPr>
          <w:p w14:paraId="1132B05D" w14:textId="77777777" w:rsidR="0087601C" w:rsidRPr="006A1EC7" w:rsidRDefault="0087601C" w:rsidP="00D56051">
            <w:pPr>
              <w:spacing w:line="320" w:lineRule="atLeast"/>
              <w:ind w:left="60" w:right="60"/>
              <w:jc w:val="right"/>
              <w:rPr>
                <w:color w:val="010205"/>
                <w:sz w:val="18"/>
              </w:rPr>
            </w:pPr>
            <w:r w:rsidRPr="006A1EC7">
              <w:rPr>
                <w:color w:val="010205"/>
                <w:sz w:val="18"/>
              </w:rPr>
              <w:t>.120</w:t>
            </w:r>
          </w:p>
        </w:tc>
      </w:tr>
    </w:tbl>
    <w:p w14:paraId="26D18A92"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3"/>
        <w:gridCol w:w="1162"/>
        <w:gridCol w:w="1162"/>
        <w:gridCol w:w="1665"/>
        <w:gridCol w:w="1665"/>
        <w:gridCol w:w="1665"/>
        <w:gridCol w:w="1665"/>
      </w:tblGrid>
      <w:tr w:rsidR="0087601C" w:rsidRPr="006A1EC7" w14:paraId="4000AA3B" w14:textId="77777777" w:rsidTr="00D56051">
        <w:trPr>
          <w:cantSplit/>
        </w:trPr>
        <w:tc>
          <w:tcPr>
            <w:tcW w:w="11186" w:type="dxa"/>
            <w:gridSpan w:val="7"/>
            <w:tcBorders>
              <w:top w:val="nil"/>
              <w:left w:val="nil"/>
              <w:bottom w:val="nil"/>
              <w:right w:val="nil"/>
            </w:tcBorders>
            <w:shd w:val="clear" w:color="auto" w:fill="FFFFFF"/>
            <w:vAlign w:val="center"/>
          </w:tcPr>
          <w:p w14:paraId="4FBDD0D0" w14:textId="77777777" w:rsidR="0087601C" w:rsidRPr="006A1EC7" w:rsidRDefault="0087601C" w:rsidP="00D56051">
            <w:pPr>
              <w:spacing w:line="320" w:lineRule="atLeast"/>
              <w:ind w:right="60"/>
              <w:rPr>
                <w:color w:val="010205"/>
                <w:sz w:val="22"/>
                <w:szCs w:val="30"/>
              </w:rPr>
            </w:pPr>
          </w:p>
        </w:tc>
      </w:tr>
      <w:tr w:rsidR="0087601C" w:rsidRPr="006A1EC7" w14:paraId="17ACB70F" w14:textId="77777777" w:rsidTr="00D56051">
        <w:trPr>
          <w:cantSplit/>
        </w:trPr>
        <w:tc>
          <w:tcPr>
            <w:tcW w:w="2202" w:type="dxa"/>
            <w:vMerge w:val="restart"/>
            <w:tcBorders>
              <w:top w:val="nil"/>
              <w:left w:val="nil"/>
              <w:bottom w:val="nil"/>
              <w:right w:val="nil"/>
            </w:tcBorders>
            <w:shd w:val="clear" w:color="auto" w:fill="FFFFFF"/>
            <w:vAlign w:val="bottom"/>
          </w:tcPr>
          <w:p w14:paraId="748F7E22" w14:textId="77777777" w:rsidR="0087601C" w:rsidRPr="006A1EC7" w:rsidRDefault="0087601C" w:rsidP="00D56051">
            <w:pPr>
              <w:rPr>
                <w:sz w:val="18"/>
              </w:rPr>
            </w:pPr>
          </w:p>
        </w:tc>
        <w:tc>
          <w:tcPr>
            <w:tcW w:w="8984" w:type="dxa"/>
            <w:gridSpan w:val="6"/>
            <w:tcBorders>
              <w:top w:val="nil"/>
              <w:left w:val="nil"/>
              <w:bottom w:val="nil"/>
              <w:right w:val="nil"/>
            </w:tcBorders>
            <w:shd w:val="clear" w:color="auto" w:fill="FFFFFF"/>
            <w:vAlign w:val="bottom"/>
          </w:tcPr>
          <w:p w14:paraId="3FE6E35A"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12.5</w:t>
            </w:r>
          </w:p>
        </w:tc>
      </w:tr>
      <w:tr w:rsidR="0087601C" w:rsidRPr="006A1EC7" w14:paraId="5DABABB6" w14:textId="77777777" w:rsidTr="00D56051">
        <w:trPr>
          <w:cantSplit/>
        </w:trPr>
        <w:tc>
          <w:tcPr>
            <w:tcW w:w="2202" w:type="dxa"/>
            <w:vMerge/>
            <w:tcBorders>
              <w:top w:val="nil"/>
              <w:left w:val="nil"/>
              <w:bottom w:val="nil"/>
              <w:right w:val="nil"/>
            </w:tcBorders>
            <w:shd w:val="clear" w:color="auto" w:fill="FFFFFF"/>
            <w:vAlign w:val="bottom"/>
          </w:tcPr>
          <w:p w14:paraId="57F7793D" w14:textId="77777777" w:rsidR="0087601C" w:rsidRPr="006A1EC7" w:rsidRDefault="0087601C" w:rsidP="00D56051">
            <w:pPr>
              <w:rPr>
                <w:color w:val="264A60"/>
                <w:sz w:val="18"/>
              </w:rPr>
            </w:pPr>
          </w:p>
        </w:tc>
        <w:tc>
          <w:tcPr>
            <w:tcW w:w="1162" w:type="dxa"/>
            <w:vMerge w:val="restart"/>
            <w:tcBorders>
              <w:top w:val="nil"/>
              <w:left w:val="nil"/>
              <w:bottom w:val="nil"/>
              <w:right w:val="single" w:sz="8" w:space="0" w:color="E0E0E0"/>
            </w:tcBorders>
            <w:shd w:val="clear" w:color="auto" w:fill="FFFFFF"/>
            <w:vAlign w:val="bottom"/>
          </w:tcPr>
          <w:p w14:paraId="4BF2FB3E"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62" w:type="dxa"/>
            <w:vMerge w:val="restart"/>
            <w:tcBorders>
              <w:top w:val="nil"/>
              <w:left w:val="single" w:sz="8" w:space="0" w:color="E0E0E0"/>
              <w:bottom w:val="nil"/>
              <w:right w:val="single" w:sz="8" w:space="0" w:color="E0E0E0"/>
            </w:tcBorders>
            <w:shd w:val="clear" w:color="auto" w:fill="FFFFFF"/>
            <w:vAlign w:val="bottom"/>
          </w:tcPr>
          <w:p w14:paraId="439D4A72"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65" w:type="dxa"/>
            <w:vMerge w:val="restart"/>
            <w:tcBorders>
              <w:top w:val="nil"/>
              <w:left w:val="single" w:sz="8" w:space="0" w:color="E0E0E0"/>
              <w:bottom w:val="nil"/>
              <w:right w:val="single" w:sz="8" w:space="0" w:color="E0E0E0"/>
            </w:tcBorders>
            <w:shd w:val="clear" w:color="auto" w:fill="FFFFFF"/>
            <w:vAlign w:val="bottom"/>
          </w:tcPr>
          <w:p w14:paraId="043DD7DA"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65" w:type="dxa"/>
            <w:vMerge w:val="restart"/>
            <w:tcBorders>
              <w:top w:val="nil"/>
              <w:left w:val="single" w:sz="8" w:space="0" w:color="E0E0E0"/>
              <w:bottom w:val="nil"/>
              <w:right w:val="single" w:sz="8" w:space="0" w:color="E0E0E0"/>
            </w:tcBorders>
            <w:shd w:val="clear" w:color="auto" w:fill="FFFFFF"/>
            <w:vAlign w:val="bottom"/>
          </w:tcPr>
          <w:p w14:paraId="538E70E7"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30" w:type="dxa"/>
            <w:gridSpan w:val="2"/>
            <w:tcBorders>
              <w:top w:val="nil"/>
              <w:left w:val="single" w:sz="8" w:space="0" w:color="E0E0E0"/>
              <w:bottom w:val="nil"/>
              <w:right w:val="nil"/>
            </w:tcBorders>
            <w:shd w:val="clear" w:color="auto" w:fill="FFFFFF"/>
            <w:vAlign w:val="bottom"/>
          </w:tcPr>
          <w:p w14:paraId="1A8E3C4A"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2739C8AB" w14:textId="77777777" w:rsidTr="00D56051">
        <w:trPr>
          <w:cantSplit/>
        </w:trPr>
        <w:tc>
          <w:tcPr>
            <w:tcW w:w="2202" w:type="dxa"/>
            <w:vMerge/>
            <w:tcBorders>
              <w:top w:val="nil"/>
              <w:left w:val="nil"/>
              <w:bottom w:val="nil"/>
              <w:right w:val="nil"/>
            </w:tcBorders>
            <w:shd w:val="clear" w:color="auto" w:fill="FFFFFF"/>
            <w:vAlign w:val="bottom"/>
          </w:tcPr>
          <w:p w14:paraId="1DE7543D" w14:textId="77777777" w:rsidR="0087601C" w:rsidRPr="006A1EC7" w:rsidRDefault="0087601C" w:rsidP="00D56051">
            <w:pPr>
              <w:rPr>
                <w:color w:val="264A60"/>
                <w:sz w:val="18"/>
              </w:rPr>
            </w:pPr>
          </w:p>
        </w:tc>
        <w:tc>
          <w:tcPr>
            <w:tcW w:w="1162" w:type="dxa"/>
            <w:vMerge/>
            <w:tcBorders>
              <w:top w:val="nil"/>
              <w:left w:val="nil"/>
              <w:bottom w:val="nil"/>
              <w:right w:val="single" w:sz="8" w:space="0" w:color="E0E0E0"/>
            </w:tcBorders>
            <w:shd w:val="clear" w:color="auto" w:fill="FFFFFF"/>
            <w:vAlign w:val="bottom"/>
          </w:tcPr>
          <w:p w14:paraId="4E9769F2" w14:textId="77777777" w:rsidR="0087601C" w:rsidRPr="006A1EC7" w:rsidRDefault="0087601C" w:rsidP="00D56051">
            <w:pPr>
              <w:rPr>
                <w:color w:val="264A60"/>
                <w:sz w:val="18"/>
              </w:rPr>
            </w:pPr>
          </w:p>
        </w:tc>
        <w:tc>
          <w:tcPr>
            <w:tcW w:w="1162" w:type="dxa"/>
            <w:vMerge/>
            <w:tcBorders>
              <w:top w:val="nil"/>
              <w:left w:val="single" w:sz="8" w:space="0" w:color="E0E0E0"/>
              <w:bottom w:val="nil"/>
              <w:right w:val="single" w:sz="8" w:space="0" w:color="E0E0E0"/>
            </w:tcBorders>
            <w:shd w:val="clear" w:color="auto" w:fill="FFFFFF"/>
            <w:vAlign w:val="bottom"/>
          </w:tcPr>
          <w:p w14:paraId="21C85530" w14:textId="77777777" w:rsidR="0087601C" w:rsidRPr="006A1EC7" w:rsidRDefault="0087601C" w:rsidP="00D56051">
            <w:pPr>
              <w:rPr>
                <w:color w:val="264A60"/>
                <w:sz w:val="18"/>
              </w:rPr>
            </w:pPr>
          </w:p>
        </w:tc>
        <w:tc>
          <w:tcPr>
            <w:tcW w:w="1665" w:type="dxa"/>
            <w:vMerge/>
            <w:tcBorders>
              <w:top w:val="nil"/>
              <w:left w:val="single" w:sz="8" w:space="0" w:color="E0E0E0"/>
              <w:bottom w:val="nil"/>
              <w:right w:val="single" w:sz="8" w:space="0" w:color="E0E0E0"/>
            </w:tcBorders>
            <w:shd w:val="clear" w:color="auto" w:fill="FFFFFF"/>
            <w:vAlign w:val="bottom"/>
          </w:tcPr>
          <w:p w14:paraId="1D78D7F9" w14:textId="77777777" w:rsidR="0087601C" w:rsidRPr="006A1EC7" w:rsidRDefault="0087601C" w:rsidP="00D56051">
            <w:pPr>
              <w:rPr>
                <w:color w:val="264A60"/>
                <w:sz w:val="18"/>
              </w:rPr>
            </w:pPr>
          </w:p>
        </w:tc>
        <w:tc>
          <w:tcPr>
            <w:tcW w:w="1665" w:type="dxa"/>
            <w:vMerge/>
            <w:tcBorders>
              <w:top w:val="nil"/>
              <w:left w:val="single" w:sz="8" w:space="0" w:color="E0E0E0"/>
              <w:bottom w:val="nil"/>
              <w:right w:val="single" w:sz="8" w:space="0" w:color="E0E0E0"/>
            </w:tcBorders>
            <w:shd w:val="clear" w:color="auto" w:fill="FFFFFF"/>
            <w:vAlign w:val="bottom"/>
          </w:tcPr>
          <w:p w14:paraId="40023483" w14:textId="77777777" w:rsidR="0087601C" w:rsidRPr="006A1EC7" w:rsidRDefault="0087601C" w:rsidP="00D56051">
            <w:pPr>
              <w:rPr>
                <w:color w:val="264A60"/>
                <w:sz w:val="18"/>
              </w:rPr>
            </w:pPr>
          </w:p>
        </w:tc>
        <w:tc>
          <w:tcPr>
            <w:tcW w:w="1665" w:type="dxa"/>
            <w:tcBorders>
              <w:top w:val="nil"/>
              <w:left w:val="single" w:sz="8" w:space="0" w:color="E0E0E0"/>
              <w:bottom w:val="single" w:sz="8" w:space="0" w:color="152935"/>
              <w:right w:val="single" w:sz="8" w:space="0" w:color="E0E0E0"/>
            </w:tcBorders>
            <w:shd w:val="clear" w:color="auto" w:fill="FFFFFF"/>
            <w:vAlign w:val="bottom"/>
          </w:tcPr>
          <w:p w14:paraId="2FA56340"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65" w:type="dxa"/>
            <w:tcBorders>
              <w:top w:val="nil"/>
              <w:left w:val="single" w:sz="8" w:space="0" w:color="E0E0E0"/>
              <w:bottom w:val="single" w:sz="8" w:space="0" w:color="152935"/>
              <w:right w:val="nil"/>
            </w:tcBorders>
            <w:shd w:val="clear" w:color="auto" w:fill="FFFFFF"/>
            <w:vAlign w:val="bottom"/>
          </w:tcPr>
          <w:p w14:paraId="76DD6A09"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7AAD63D7" w14:textId="77777777" w:rsidTr="00D56051">
        <w:trPr>
          <w:cantSplit/>
        </w:trPr>
        <w:tc>
          <w:tcPr>
            <w:tcW w:w="2202" w:type="dxa"/>
            <w:tcBorders>
              <w:top w:val="single" w:sz="8" w:space="0" w:color="152935"/>
              <w:left w:val="nil"/>
              <w:bottom w:val="single" w:sz="8" w:space="0" w:color="152935"/>
              <w:right w:val="nil"/>
            </w:tcBorders>
            <w:shd w:val="clear" w:color="auto" w:fill="E0E0E0"/>
          </w:tcPr>
          <w:p w14:paraId="6ED40316" w14:textId="77777777" w:rsidR="0087601C" w:rsidRPr="006A1EC7" w:rsidRDefault="0087601C" w:rsidP="00D56051">
            <w:pPr>
              <w:spacing w:line="320" w:lineRule="atLeast"/>
              <w:ind w:left="60" w:right="60"/>
              <w:rPr>
                <w:color w:val="264A60"/>
                <w:sz w:val="18"/>
              </w:rPr>
            </w:pPr>
            <w:r w:rsidRPr="006A1EC7">
              <w:rPr>
                <w:color w:val="264A60"/>
                <w:sz w:val="18"/>
              </w:rPr>
              <w:t>T1Joshua_Epilepsy</w:t>
            </w:r>
          </w:p>
        </w:tc>
        <w:tc>
          <w:tcPr>
            <w:tcW w:w="1162" w:type="dxa"/>
            <w:tcBorders>
              <w:top w:val="single" w:sz="8" w:space="0" w:color="152935"/>
              <w:left w:val="nil"/>
              <w:bottom w:val="single" w:sz="8" w:space="0" w:color="152935"/>
              <w:right w:val="single" w:sz="8" w:space="0" w:color="E0E0E0"/>
            </w:tcBorders>
            <w:shd w:val="clear" w:color="auto" w:fill="FFFFFF"/>
          </w:tcPr>
          <w:p w14:paraId="56876152" w14:textId="77777777" w:rsidR="0087601C" w:rsidRPr="006A1EC7" w:rsidRDefault="0087601C" w:rsidP="00D56051">
            <w:pPr>
              <w:spacing w:line="320" w:lineRule="atLeast"/>
              <w:ind w:left="60" w:right="60"/>
              <w:jc w:val="right"/>
              <w:rPr>
                <w:color w:val="010205"/>
                <w:sz w:val="18"/>
              </w:rPr>
            </w:pPr>
            <w:r w:rsidRPr="006A1EC7">
              <w:rPr>
                <w:color w:val="010205"/>
                <w:sz w:val="18"/>
              </w:rPr>
              <w:t>.734</w:t>
            </w:r>
          </w:p>
        </w:tc>
        <w:tc>
          <w:tcPr>
            <w:tcW w:w="1162" w:type="dxa"/>
            <w:tcBorders>
              <w:top w:val="single" w:sz="8" w:space="0" w:color="152935"/>
              <w:left w:val="single" w:sz="8" w:space="0" w:color="E0E0E0"/>
              <w:bottom w:val="single" w:sz="8" w:space="0" w:color="152935"/>
              <w:right w:val="single" w:sz="8" w:space="0" w:color="E0E0E0"/>
            </w:tcBorders>
            <w:shd w:val="clear" w:color="auto" w:fill="FFFFFF"/>
          </w:tcPr>
          <w:p w14:paraId="22AD6A39"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665" w:type="dxa"/>
            <w:tcBorders>
              <w:top w:val="single" w:sz="8" w:space="0" w:color="152935"/>
              <w:left w:val="single" w:sz="8" w:space="0" w:color="E0E0E0"/>
              <w:bottom w:val="single" w:sz="8" w:space="0" w:color="152935"/>
              <w:right w:val="single" w:sz="8" w:space="0" w:color="E0E0E0"/>
            </w:tcBorders>
            <w:shd w:val="clear" w:color="auto" w:fill="FFFFFF"/>
          </w:tcPr>
          <w:p w14:paraId="71D0C19B" w14:textId="77777777" w:rsidR="0087601C" w:rsidRPr="006A1EC7" w:rsidRDefault="0087601C" w:rsidP="00D56051">
            <w:pPr>
              <w:spacing w:line="320" w:lineRule="atLeast"/>
              <w:ind w:left="60" w:right="60"/>
              <w:jc w:val="right"/>
              <w:rPr>
                <w:color w:val="010205"/>
                <w:sz w:val="18"/>
              </w:rPr>
            </w:pPr>
            <w:r w:rsidRPr="006A1EC7">
              <w:rPr>
                <w:color w:val="010205"/>
                <w:sz w:val="18"/>
              </w:rPr>
              <w:t>.468</w:t>
            </w:r>
          </w:p>
        </w:tc>
        <w:tc>
          <w:tcPr>
            <w:tcW w:w="1665" w:type="dxa"/>
            <w:tcBorders>
              <w:top w:val="single" w:sz="8" w:space="0" w:color="152935"/>
              <w:left w:val="single" w:sz="8" w:space="0" w:color="E0E0E0"/>
              <w:bottom w:val="single" w:sz="8" w:space="0" w:color="152935"/>
              <w:right w:val="single" w:sz="8" w:space="0" w:color="E0E0E0"/>
            </w:tcBorders>
            <w:shd w:val="clear" w:color="auto" w:fill="FFFFFF"/>
          </w:tcPr>
          <w:p w14:paraId="70A03A49" w14:textId="77777777" w:rsidR="0087601C" w:rsidRPr="006A1EC7" w:rsidRDefault="0087601C" w:rsidP="00D56051">
            <w:pPr>
              <w:spacing w:line="320" w:lineRule="atLeast"/>
              <w:ind w:left="60" w:right="60"/>
              <w:jc w:val="right"/>
              <w:rPr>
                <w:color w:val="010205"/>
                <w:sz w:val="18"/>
              </w:rPr>
            </w:pPr>
            <w:r w:rsidRPr="006A1EC7">
              <w:rPr>
                <w:color w:val="010205"/>
                <w:sz w:val="18"/>
              </w:rPr>
              <w:t>.088</w:t>
            </w:r>
          </w:p>
        </w:tc>
        <w:tc>
          <w:tcPr>
            <w:tcW w:w="1665" w:type="dxa"/>
            <w:tcBorders>
              <w:top w:val="single" w:sz="8" w:space="0" w:color="152935"/>
              <w:left w:val="single" w:sz="8" w:space="0" w:color="E0E0E0"/>
              <w:bottom w:val="single" w:sz="8" w:space="0" w:color="152935"/>
              <w:right w:val="single" w:sz="8" w:space="0" w:color="E0E0E0"/>
            </w:tcBorders>
            <w:shd w:val="clear" w:color="auto" w:fill="FFFFFF"/>
          </w:tcPr>
          <w:p w14:paraId="4DE900C6" w14:textId="77777777" w:rsidR="0087601C" w:rsidRPr="006A1EC7" w:rsidRDefault="0087601C" w:rsidP="00D56051">
            <w:pPr>
              <w:spacing w:line="320" w:lineRule="atLeast"/>
              <w:ind w:left="60" w:right="60"/>
              <w:jc w:val="right"/>
              <w:rPr>
                <w:color w:val="010205"/>
                <w:sz w:val="18"/>
              </w:rPr>
            </w:pPr>
            <w:r w:rsidRPr="006A1EC7">
              <w:rPr>
                <w:color w:val="010205"/>
                <w:sz w:val="18"/>
              </w:rPr>
              <w:t>-.16</w:t>
            </w:r>
          </w:p>
        </w:tc>
        <w:tc>
          <w:tcPr>
            <w:tcW w:w="1665" w:type="dxa"/>
            <w:tcBorders>
              <w:top w:val="single" w:sz="8" w:space="0" w:color="152935"/>
              <w:left w:val="single" w:sz="8" w:space="0" w:color="E0E0E0"/>
              <w:bottom w:val="single" w:sz="8" w:space="0" w:color="152935"/>
              <w:right w:val="nil"/>
            </w:tcBorders>
            <w:shd w:val="clear" w:color="auto" w:fill="FFFFFF"/>
          </w:tcPr>
          <w:p w14:paraId="7ECF8850"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r>
    </w:tbl>
    <w:p w14:paraId="68DC15D4" w14:textId="77777777" w:rsidR="0087601C" w:rsidRPr="006A1EC7" w:rsidRDefault="0087601C" w:rsidP="0087601C">
      <w:pPr>
        <w:rPr>
          <w:sz w:val="20"/>
          <w:szCs w:val="26"/>
        </w:rPr>
      </w:pPr>
    </w:p>
    <w:tbl>
      <w:tblPr>
        <w:tblW w:w="8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1"/>
        <w:gridCol w:w="1276"/>
        <w:gridCol w:w="1276"/>
        <w:gridCol w:w="1828"/>
        <w:gridCol w:w="1828"/>
      </w:tblGrid>
      <w:tr w:rsidR="0087601C" w:rsidRPr="006A1EC7" w14:paraId="28A5E55B" w14:textId="77777777" w:rsidTr="00D56051">
        <w:trPr>
          <w:cantSplit/>
        </w:trPr>
        <w:tc>
          <w:tcPr>
            <w:tcW w:w="2421" w:type="dxa"/>
            <w:tcBorders>
              <w:top w:val="nil"/>
              <w:left w:val="nil"/>
              <w:bottom w:val="single" w:sz="8" w:space="0" w:color="152935"/>
              <w:right w:val="nil"/>
            </w:tcBorders>
            <w:shd w:val="clear" w:color="auto" w:fill="FFFFFF"/>
            <w:vAlign w:val="bottom"/>
          </w:tcPr>
          <w:p w14:paraId="5E3E676A"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1B1241F3"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2678C518"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tcBorders>
              <w:top w:val="nil"/>
              <w:left w:val="single" w:sz="8" w:space="0" w:color="E0E0E0"/>
              <w:bottom w:val="single" w:sz="8" w:space="0" w:color="152935"/>
              <w:right w:val="single" w:sz="8" w:space="0" w:color="E0E0E0"/>
            </w:tcBorders>
            <w:shd w:val="clear" w:color="auto" w:fill="FFFFFF"/>
            <w:vAlign w:val="bottom"/>
          </w:tcPr>
          <w:p w14:paraId="022DFDF1"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tcBorders>
              <w:top w:val="nil"/>
              <w:left w:val="single" w:sz="8" w:space="0" w:color="E0E0E0"/>
              <w:bottom w:val="single" w:sz="8" w:space="0" w:color="152935"/>
              <w:right w:val="nil"/>
            </w:tcBorders>
            <w:shd w:val="clear" w:color="auto" w:fill="FFFFFF"/>
            <w:vAlign w:val="bottom"/>
          </w:tcPr>
          <w:p w14:paraId="3973C052"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606FA2D1" w14:textId="77777777" w:rsidTr="00D56051">
        <w:trPr>
          <w:cantSplit/>
        </w:trPr>
        <w:tc>
          <w:tcPr>
            <w:tcW w:w="2421" w:type="dxa"/>
            <w:tcBorders>
              <w:top w:val="single" w:sz="8" w:space="0" w:color="152935"/>
              <w:left w:val="nil"/>
              <w:bottom w:val="single" w:sz="8" w:space="0" w:color="152935"/>
              <w:right w:val="nil"/>
            </w:tcBorders>
            <w:shd w:val="clear" w:color="auto" w:fill="E0E0E0"/>
          </w:tcPr>
          <w:p w14:paraId="7F5C9D2F" w14:textId="77777777" w:rsidR="0087601C" w:rsidRPr="006A1EC7" w:rsidRDefault="0087601C" w:rsidP="00D56051">
            <w:pPr>
              <w:spacing w:line="320" w:lineRule="atLeast"/>
              <w:ind w:left="60" w:right="60"/>
              <w:rPr>
                <w:color w:val="264A60"/>
                <w:sz w:val="18"/>
              </w:rPr>
            </w:pPr>
            <w:r w:rsidRPr="006A1EC7">
              <w:rPr>
                <w:color w:val="264A60"/>
                <w:sz w:val="18"/>
              </w:rPr>
              <w:t>T1Joshua_Gastroin</w:t>
            </w:r>
          </w:p>
        </w:tc>
        <w:tc>
          <w:tcPr>
            <w:tcW w:w="1276" w:type="dxa"/>
            <w:tcBorders>
              <w:top w:val="single" w:sz="8" w:space="0" w:color="152935"/>
              <w:left w:val="nil"/>
              <w:bottom w:val="single" w:sz="8" w:space="0" w:color="152935"/>
              <w:right w:val="single" w:sz="8" w:space="0" w:color="E0E0E0"/>
            </w:tcBorders>
            <w:shd w:val="clear" w:color="auto" w:fill="FFFFFF"/>
          </w:tcPr>
          <w:p w14:paraId="1F071F12" w14:textId="77777777" w:rsidR="0087601C" w:rsidRPr="006A1EC7" w:rsidRDefault="0087601C" w:rsidP="00D56051">
            <w:pPr>
              <w:spacing w:line="320" w:lineRule="atLeast"/>
              <w:ind w:left="60" w:right="60"/>
              <w:jc w:val="right"/>
              <w:rPr>
                <w:color w:val="010205"/>
                <w:sz w:val="18"/>
              </w:rPr>
            </w:pPr>
            <w:r w:rsidRPr="006A1EC7">
              <w:rPr>
                <w:color w:val="010205"/>
                <w:sz w:val="18"/>
              </w:rPr>
              <w:t>32</w:t>
            </w:r>
          </w:p>
        </w:tc>
        <w:tc>
          <w:tcPr>
            <w:tcW w:w="1276" w:type="dxa"/>
            <w:tcBorders>
              <w:top w:val="single" w:sz="8" w:space="0" w:color="152935"/>
              <w:left w:val="single" w:sz="8" w:space="0" w:color="E0E0E0"/>
              <w:bottom w:val="single" w:sz="8" w:space="0" w:color="152935"/>
              <w:right w:val="single" w:sz="8" w:space="0" w:color="E0E0E0"/>
            </w:tcBorders>
            <w:shd w:val="clear" w:color="auto" w:fill="FFFFFF"/>
          </w:tcPr>
          <w:p w14:paraId="6F3FA6EA" w14:textId="77777777" w:rsidR="0087601C" w:rsidRPr="006A1EC7" w:rsidRDefault="0087601C" w:rsidP="00D56051">
            <w:pPr>
              <w:spacing w:line="320" w:lineRule="atLeast"/>
              <w:ind w:left="60" w:right="60"/>
              <w:jc w:val="right"/>
              <w:rPr>
                <w:color w:val="010205"/>
                <w:sz w:val="18"/>
              </w:rPr>
            </w:pPr>
            <w:r w:rsidRPr="006A1EC7">
              <w:rPr>
                <w:color w:val="010205"/>
                <w:sz w:val="18"/>
              </w:rPr>
              <w:t>17.53</w:t>
            </w:r>
          </w:p>
        </w:tc>
        <w:tc>
          <w:tcPr>
            <w:tcW w:w="1828" w:type="dxa"/>
            <w:tcBorders>
              <w:top w:val="single" w:sz="8" w:space="0" w:color="152935"/>
              <w:left w:val="single" w:sz="8" w:space="0" w:color="E0E0E0"/>
              <w:bottom w:val="single" w:sz="8" w:space="0" w:color="152935"/>
              <w:right w:val="single" w:sz="8" w:space="0" w:color="E0E0E0"/>
            </w:tcBorders>
            <w:shd w:val="clear" w:color="auto" w:fill="FFFFFF"/>
          </w:tcPr>
          <w:p w14:paraId="77F353BE" w14:textId="77777777" w:rsidR="0087601C" w:rsidRPr="006A1EC7" w:rsidRDefault="0087601C" w:rsidP="00D56051">
            <w:pPr>
              <w:spacing w:line="320" w:lineRule="atLeast"/>
              <w:ind w:left="60" w:right="60"/>
              <w:jc w:val="right"/>
              <w:rPr>
                <w:color w:val="010205"/>
                <w:sz w:val="18"/>
              </w:rPr>
            </w:pPr>
            <w:r w:rsidRPr="006A1EC7">
              <w:rPr>
                <w:color w:val="010205"/>
                <w:sz w:val="18"/>
              </w:rPr>
              <w:t>1.319</w:t>
            </w:r>
          </w:p>
        </w:tc>
        <w:tc>
          <w:tcPr>
            <w:tcW w:w="1828" w:type="dxa"/>
            <w:tcBorders>
              <w:top w:val="single" w:sz="8" w:space="0" w:color="152935"/>
              <w:left w:val="single" w:sz="8" w:space="0" w:color="E0E0E0"/>
              <w:bottom w:val="single" w:sz="8" w:space="0" w:color="152935"/>
              <w:right w:val="nil"/>
            </w:tcBorders>
            <w:shd w:val="clear" w:color="auto" w:fill="FFFFFF"/>
          </w:tcPr>
          <w:p w14:paraId="4CE0A03A" w14:textId="77777777" w:rsidR="0087601C" w:rsidRPr="006A1EC7" w:rsidRDefault="0087601C" w:rsidP="00D56051">
            <w:pPr>
              <w:spacing w:line="320" w:lineRule="atLeast"/>
              <w:ind w:left="60" w:right="60"/>
              <w:jc w:val="right"/>
              <w:rPr>
                <w:color w:val="010205"/>
                <w:sz w:val="18"/>
              </w:rPr>
            </w:pPr>
            <w:r w:rsidRPr="006A1EC7">
              <w:rPr>
                <w:color w:val="010205"/>
                <w:sz w:val="18"/>
              </w:rPr>
              <w:t>.233</w:t>
            </w:r>
          </w:p>
        </w:tc>
      </w:tr>
    </w:tbl>
    <w:p w14:paraId="35C60C49"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3"/>
        <w:gridCol w:w="1162"/>
        <w:gridCol w:w="1162"/>
        <w:gridCol w:w="1665"/>
        <w:gridCol w:w="1665"/>
        <w:gridCol w:w="1665"/>
        <w:gridCol w:w="1665"/>
      </w:tblGrid>
      <w:tr w:rsidR="0087601C" w:rsidRPr="006A1EC7" w14:paraId="2707BA12" w14:textId="77777777" w:rsidTr="00D56051">
        <w:trPr>
          <w:cantSplit/>
        </w:trPr>
        <w:tc>
          <w:tcPr>
            <w:tcW w:w="2203" w:type="dxa"/>
            <w:vMerge w:val="restart"/>
            <w:tcBorders>
              <w:top w:val="nil"/>
              <w:left w:val="nil"/>
              <w:bottom w:val="nil"/>
              <w:right w:val="nil"/>
            </w:tcBorders>
            <w:shd w:val="clear" w:color="auto" w:fill="FFFFFF"/>
            <w:vAlign w:val="bottom"/>
          </w:tcPr>
          <w:p w14:paraId="09D216A1" w14:textId="77777777" w:rsidR="0087601C" w:rsidRPr="006A1EC7" w:rsidRDefault="0087601C" w:rsidP="00D56051">
            <w:pPr>
              <w:rPr>
                <w:sz w:val="18"/>
              </w:rPr>
            </w:pPr>
          </w:p>
        </w:tc>
        <w:tc>
          <w:tcPr>
            <w:tcW w:w="8984" w:type="dxa"/>
            <w:gridSpan w:val="6"/>
            <w:tcBorders>
              <w:top w:val="nil"/>
              <w:left w:val="nil"/>
              <w:bottom w:val="nil"/>
              <w:right w:val="nil"/>
            </w:tcBorders>
            <w:shd w:val="clear" w:color="auto" w:fill="FFFFFF"/>
            <w:vAlign w:val="bottom"/>
          </w:tcPr>
          <w:p w14:paraId="5BBAC440"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18</w:t>
            </w:r>
          </w:p>
        </w:tc>
      </w:tr>
      <w:tr w:rsidR="0087601C" w:rsidRPr="006A1EC7" w14:paraId="43C8CB21" w14:textId="77777777" w:rsidTr="00D56051">
        <w:trPr>
          <w:cantSplit/>
        </w:trPr>
        <w:tc>
          <w:tcPr>
            <w:tcW w:w="2203" w:type="dxa"/>
            <w:vMerge/>
            <w:tcBorders>
              <w:top w:val="nil"/>
              <w:left w:val="nil"/>
              <w:bottom w:val="nil"/>
              <w:right w:val="nil"/>
            </w:tcBorders>
            <w:shd w:val="clear" w:color="auto" w:fill="FFFFFF"/>
            <w:vAlign w:val="bottom"/>
          </w:tcPr>
          <w:p w14:paraId="6E7A10D0" w14:textId="77777777" w:rsidR="0087601C" w:rsidRPr="006A1EC7" w:rsidRDefault="0087601C" w:rsidP="00D56051">
            <w:pPr>
              <w:rPr>
                <w:color w:val="264A60"/>
                <w:sz w:val="18"/>
              </w:rPr>
            </w:pPr>
          </w:p>
        </w:tc>
        <w:tc>
          <w:tcPr>
            <w:tcW w:w="1162" w:type="dxa"/>
            <w:vMerge w:val="restart"/>
            <w:tcBorders>
              <w:top w:val="nil"/>
              <w:left w:val="nil"/>
              <w:bottom w:val="nil"/>
              <w:right w:val="single" w:sz="8" w:space="0" w:color="E0E0E0"/>
            </w:tcBorders>
            <w:shd w:val="clear" w:color="auto" w:fill="FFFFFF"/>
            <w:vAlign w:val="bottom"/>
          </w:tcPr>
          <w:p w14:paraId="5BE3F851"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62" w:type="dxa"/>
            <w:vMerge w:val="restart"/>
            <w:tcBorders>
              <w:top w:val="nil"/>
              <w:left w:val="single" w:sz="8" w:space="0" w:color="E0E0E0"/>
              <w:bottom w:val="nil"/>
              <w:right w:val="single" w:sz="8" w:space="0" w:color="E0E0E0"/>
            </w:tcBorders>
            <w:shd w:val="clear" w:color="auto" w:fill="FFFFFF"/>
            <w:vAlign w:val="bottom"/>
          </w:tcPr>
          <w:p w14:paraId="53BA25E6"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65" w:type="dxa"/>
            <w:vMerge w:val="restart"/>
            <w:tcBorders>
              <w:top w:val="nil"/>
              <w:left w:val="single" w:sz="8" w:space="0" w:color="E0E0E0"/>
              <w:bottom w:val="nil"/>
              <w:right w:val="single" w:sz="8" w:space="0" w:color="E0E0E0"/>
            </w:tcBorders>
            <w:shd w:val="clear" w:color="auto" w:fill="FFFFFF"/>
            <w:vAlign w:val="bottom"/>
          </w:tcPr>
          <w:p w14:paraId="274CC6AB"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65" w:type="dxa"/>
            <w:vMerge w:val="restart"/>
            <w:tcBorders>
              <w:top w:val="nil"/>
              <w:left w:val="single" w:sz="8" w:space="0" w:color="E0E0E0"/>
              <w:bottom w:val="nil"/>
              <w:right w:val="single" w:sz="8" w:space="0" w:color="E0E0E0"/>
            </w:tcBorders>
            <w:shd w:val="clear" w:color="auto" w:fill="FFFFFF"/>
            <w:vAlign w:val="bottom"/>
          </w:tcPr>
          <w:p w14:paraId="476E46FE"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30" w:type="dxa"/>
            <w:gridSpan w:val="2"/>
            <w:tcBorders>
              <w:top w:val="nil"/>
              <w:left w:val="single" w:sz="8" w:space="0" w:color="E0E0E0"/>
              <w:bottom w:val="nil"/>
              <w:right w:val="nil"/>
            </w:tcBorders>
            <w:shd w:val="clear" w:color="auto" w:fill="FFFFFF"/>
            <w:vAlign w:val="bottom"/>
          </w:tcPr>
          <w:p w14:paraId="6CA652F1"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68FD5134" w14:textId="77777777" w:rsidTr="00D56051">
        <w:trPr>
          <w:cantSplit/>
        </w:trPr>
        <w:tc>
          <w:tcPr>
            <w:tcW w:w="2203" w:type="dxa"/>
            <w:vMerge/>
            <w:tcBorders>
              <w:top w:val="nil"/>
              <w:left w:val="nil"/>
              <w:bottom w:val="nil"/>
              <w:right w:val="nil"/>
            </w:tcBorders>
            <w:shd w:val="clear" w:color="auto" w:fill="FFFFFF"/>
            <w:vAlign w:val="bottom"/>
          </w:tcPr>
          <w:p w14:paraId="09259A44" w14:textId="77777777" w:rsidR="0087601C" w:rsidRPr="006A1EC7" w:rsidRDefault="0087601C" w:rsidP="00D56051">
            <w:pPr>
              <w:rPr>
                <w:color w:val="264A60"/>
                <w:sz w:val="18"/>
              </w:rPr>
            </w:pPr>
          </w:p>
        </w:tc>
        <w:tc>
          <w:tcPr>
            <w:tcW w:w="1162" w:type="dxa"/>
            <w:vMerge/>
            <w:tcBorders>
              <w:top w:val="nil"/>
              <w:left w:val="nil"/>
              <w:bottom w:val="nil"/>
              <w:right w:val="single" w:sz="8" w:space="0" w:color="E0E0E0"/>
            </w:tcBorders>
            <w:shd w:val="clear" w:color="auto" w:fill="FFFFFF"/>
            <w:vAlign w:val="bottom"/>
          </w:tcPr>
          <w:p w14:paraId="029BDE0D" w14:textId="77777777" w:rsidR="0087601C" w:rsidRPr="006A1EC7" w:rsidRDefault="0087601C" w:rsidP="00D56051">
            <w:pPr>
              <w:rPr>
                <w:color w:val="264A60"/>
                <w:sz w:val="18"/>
              </w:rPr>
            </w:pPr>
          </w:p>
        </w:tc>
        <w:tc>
          <w:tcPr>
            <w:tcW w:w="1162" w:type="dxa"/>
            <w:vMerge/>
            <w:tcBorders>
              <w:top w:val="nil"/>
              <w:left w:val="single" w:sz="8" w:space="0" w:color="E0E0E0"/>
              <w:bottom w:val="nil"/>
              <w:right w:val="single" w:sz="8" w:space="0" w:color="E0E0E0"/>
            </w:tcBorders>
            <w:shd w:val="clear" w:color="auto" w:fill="FFFFFF"/>
            <w:vAlign w:val="bottom"/>
          </w:tcPr>
          <w:p w14:paraId="30A246CE" w14:textId="77777777" w:rsidR="0087601C" w:rsidRPr="006A1EC7" w:rsidRDefault="0087601C" w:rsidP="00D56051">
            <w:pPr>
              <w:rPr>
                <w:color w:val="264A60"/>
                <w:sz w:val="18"/>
              </w:rPr>
            </w:pPr>
          </w:p>
        </w:tc>
        <w:tc>
          <w:tcPr>
            <w:tcW w:w="1665" w:type="dxa"/>
            <w:vMerge/>
            <w:tcBorders>
              <w:top w:val="nil"/>
              <w:left w:val="single" w:sz="8" w:space="0" w:color="E0E0E0"/>
              <w:bottom w:val="nil"/>
              <w:right w:val="single" w:sz="8" w:space="0" w:color="E0E0E0"/>
            </w:tcBorders>
            <w:shd w:val="clear" w:color="auto" w:fill="FFFFFF"/>
            <w:vAlign w:val="bottom"/>
          </w:tcPr>
          <w:p w14:paraId="5C831B83" w14:textId="77777777" w:rsidR="0087601C" w:rsidRPr="006A1EC7" w:rsidRDefault="0087601C" w:rsidP="00D56051">
            <w:pPr>
              <w:rPr>
                <w:color w:val="264A60"/>
                <w:sz w:val="18"/>
              </w:rPr>
            </w:pPr>
          </w:p>
        </w:tc>
        <w:tc>
          <w:tcPr>
            <w:tcW w:w="1665" w:type="dxa"/>
            <w:vMerge/>
            <w:tcBorders>
              <w:top w:val="nil"/>
              <w:left w:val="single" w:sz="8" w:space="0" w:color="E0E0E0"/>
              <w:bottom w:val="nil"/>
              <w:right w:val="single" w:sz="8" w:space="0" w:color="E0E0E0"/>
            </w:tcBorders>
            <w:shd w:val="clear" w:color="auto" w:fill="FFFFFF"/>
            <w:vAlign w:val="bottom"/>
          </w:tcPr>
          <w:p w14:paraId="2CC356CB" w14:textId="77777777" w:rsidR="0087601C" w:rsidRPr="006A1EC7" w:rsidRDefault="0087601C" w:rsidP="00D56051">
            <w:pPr>
              <w:rPr>
                <w:color w:val="264A60"/>
                <w:sz w:val="18"/>
              </w:rPr>
            </w:pPr>
          </w:p>
        </w:tc>
        <w:tc>
          <w:tcPr>
            <w:tcW w:w="1665" w:type="dxa"/>
            <w:tcBorders>
              <w:top w:val="nil"/>
              <w:left w:val="single" w:sz="8" w:space="0" w:color="E0E0E0"/>
              <w:bottom w:val="single" w:sz="8" w:space="0" w:color="152935"/>
              <w:right w:val="single" w:sz="8" w:space="0" w:color="E0E0E0"/>
            </w:tcBorders>
            <w:shd w:val="clear" w:color="auto" w:fill="FFFFFF"/>
            <w:vAlign w:val="bottom"/>
          </w:tcPr>
          <w:p w14:paraId="5CE57A4B"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65" w:type="dxa"/>
            <w:tcBorders>
              <w:top w:val="nil"/>
              <w:left w:val="single" w:sz="8" w:space="0" w:color="E0E0E0"/>
              <w:bottom w:val="single" w:sz="8" w:space="0" w:color="152935"/>
              <w:right w:val="nil"/>
            </w:tcBorders>
            <w:shd w:val="clear" w:color="auto" w:fill="FFFFFF"/>
            <w:vAlign w:val="bottom"/>
          </w:tcPr>
          <w:p w14:paraId="6A917333"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32E9B110" w14:textId="77777777" w:rsidTr="00D56051">
        <w:trPr>
          <w:cantSplit/>
        </w:trPr>
        <w:tc>
          <w:tcPr>
            <w:tcW w:w="2203" w:type="dxa"/>
            <w:tcBorders>
              <w:top w:val="single" w:sz="8" w:space="0" w:color="152935"/>
              <w:left w:val="nil"/>
              <w:bottom w:val="single" w:sz="8" w:space="0" w:color="152935"/>
              <w:right w:val="nil"/>
            </w:tcBorders>
            <w:shd w:val="clear" w:color="auto" w:fill="E0E0E0"/>
          </w:tcPr>
          <w:p w14:paraId="59212463" w14:textId="77777777" w:rsidR="0087601C" w:rsidRPr="006A1EC7" w:rsidRDefault="0087601C" w:rsidP="00D56051">
            <w:pPr>
              <w:spacing w:line="320" w:lineRule="atLeast"/>
              <w:ind w:left="60" w:right="60"/>
              <w:rPr>
                <w:color w:val="264A60"/>
                <w:sz w:val="18"/>
              </w:rPr>
            </w:pPr>
            <w:r w:rsidRPr="006A1EC7">
              <w:rPr>
                <w:color w:val="264A60"/>
                <w:sz w:val="18"/>
              </w:rPr>
              <w:t>T1Joshua_Gastroin</w:t>
            </w:r>
          </w:p>
        </w:tc>
        <w:tc>
          <w:tcPr>
            <w:tcW w:w="1162" w:type="dxa"/>
            <w:tcBorders>
              <w:top w:val="single" w:sz="8" w:space="0" w:color="152935"/>
              <w:left w:val="nil"/>
              <w:bottom w:val="single" w:sz="8" w:space="0" w:color="152935"/>
              <w:right w:val="single" w:sz="8" w:space="0" w:color="E0E0E0"/>
            </w:tcBorders>
            <w:shd w:val="clear" w:color="auto" w:fill="FFFFFF"/>
          </w:tcPr>
          <w:p w14:paraId="677DC467" w14:textId="77777777" w:rsidR="0087601C" w:rsidRPr="006A1EC7" w:rsidRDefault="0087601C" w:rsidP="00D56051">
            <w:pPr>
              <w:spacing w:line="320" w:lineRule="atLeast"/>
              <w:ind w:left="60" w:right="60"/>
              <w:jc w:val="right"/>
              <w:rPr>
                <w:color w:val="010205"/>
                <w:sz w:val="18"/>
              </w:rPr>
            </w:pPr>
            <w:r w:rsidRPr="006A1EC7">
              <w:rPr>
                <w:color w:val="010205"/>
                <w:sz w:val="18"/>
              </w:rPr>
              <w:t>-2.010</w:t>
            </w:r>
          </w:p>
        </w:tc>
        <w:tc>
          <w:tcPr>
            <w:tcW w:w="1162" w:type="dxa"/>
            <w:tcBorders>
              <w:top w:val="single" w:sz="8" w:space="0" w:color="152935"/>
              <w:left w:val="single" w:sz="8" w:space="0" w:color="E0E0E0"/>
              <w:bottom w:val="single" w:sz="8" w:space="0" w:color="152935"/>
              <w:right w:val="single" w:sz="8" w:space="0" w:color="E0E0E0"/>
            </w:tcBorders>
            <w:shd w:val="clear" w:color="auto" w:fill="FFFFFF"/>
          </w:tcPr>
          <w:p w14:paraId="5EE48679" w14:textId="77777777" w:rsidR="0087601C" w:rsidRPr="006A1EC7" w:rsidRDefault="0087601C" w:rsidP="00D56051">
            <w:pPr>
              <w:spacing w:line="320" w:lineRule="atLeast"/>
              <w:ind w:left="60" w:right="60"/>
              <w:jc w:val="right"/>
              <w:rPr>
                <w:color w:val="010205"/>
                <w:sz w:val="18"/>
              </w:rPr>
            </w:pPr>
            <w:r w:rsidRPr="006A1EC7">
              <w:rPr>
                <w:color w:val="010205"/>
                <w:sz w:val="18"/>
              </w:rPr>
              <w:t>31</w:t>
            </w:r>
          </w:p>
        </w:tc>
        <w:tc>
          <w:tcPr>
            <w:tcW w:w="1665" w:type="dxa"/>
            <w:tcBorders>
              <w:top w:val="single" w:sz="8" w:space="0" w:color="152935"/>
              <w:left w:val="single" w:sz="8" w:space="0" w:color="E0E0E0"/>
              <w:bottom w:val="single" w:sz="8" w:space="0" w:color="152935"/>
              <w:right w:val="single" w:sz="8" w:space="0" w:color="E0E0E0"/>
            </w:tcBorders>
            <w:shd w:val="clear" w:color="auto" w:fill="FFFFFF"/>
          </w:tcPr>
          <w:p w14:paraId="0007AEBF" w14:textId="77777777" w:rsidR="0087601C" w:rsidRPr="006A1EC7" w:rsidRDefault="0087601C" w:rsidP="00D56051">
            <w:pPr>
              <w:spacing w:line="320" w:lineRule="atLeast"/>
              <w:ind w:left="60" w:right="60"/>
              <w:jc w:val="right"/>
              <w:rPr>
                <w:color w:val="010205"/>
                <w:sz w:val="18"/>
              </w:rPr>
            </w:pPr>
            <w:r w:rsidRPr="006A1EC7">
              <w:rPr>
                <w:color w:val="010205"/>
                <w:sz w:val="18"/>
              </w:rPr>
              <w:t>.053</w:t>
            </w:r>
          </w:p>
        </w:tc>
        <w:tc>
          <w:tcPr>
            <w:tcW w:w="1665" w:type="dxa"/>
            <w:tcBorders>
              <w:top w:val="single" w:sz="8" w:space="0" w:color="152935"/>
              <w:left w:val="single" w:sz="8" w:space="0" w:color="E0E0E0"/>
              <w:bottom w:val="single" w:sz="8" w:space="0" w:color="152935"/>
              <w:right w:val="single" w:sz="8" w:space="0" w:color="E0E0E0"/>
            </w:tcBorders>
            <w:shd w:val="clear" w:color="auto" w:fill="FFFFFF"/>
          </w:tcPr>
          <w:p w14:paraId="41C7803F" w14:textId="77777777" w:rsidR="0087601C" w:rsidRPr="006A1EC7" w:rsidRDefault="0087601C" w:rsidP="00D56051">
            <w:pPr>
              <w:spacing w:line="320" w:lineRule="atLeast"/>
              <w:ind w:left="60" w:right="60"/>
              <w:jc w:val="right"/>
              <w:rPr>
                <w:color w:val="010205"/>
                <w:sz w:val="18"/>
              </w:rPr>
            </w:pPr>
            <w:r w:rsidRPr="006A1EC7">
              <w:rPr>
                <w:color w:val="010205"/>
                <w:sz w:val="18"/>
              </w:rPr>
              <w:t>-.469</w:t>
            </w:r>
          </w:p>
        </w:tc>
        <w:tc>
          <w:tcPr>
            <w:tcW w:w="1665" w:type="dxa"/>
            <w:tcBorders>
              <w:top w:val="single" w:sz="8" w:space="0" w:color="152935"/>
              <w:left w:val="single" w:sz="8" w:space="0" w:color="E0E0E0"/>
              <w:bottom w:val="single" w:sz="8" w:space="0" w:color="152935"/>
              <w:right w:val="single" w:sz="8" w:space="0" w:color="E0E0E0"/>
            </w:tcBorders>
            <w:shd w:val="clear" w:color="auto" w:fill="FFFFFF"/>
          </w:tcPr>
          <w:p w14:paraId="1D8FC6D5" w14:textId="77777777" w:rsidR="0087601C" w:rsidRPr="006A1EC7" w:rsidRDefault="0087601C" w:rsidP="00D56051">
            <w:pPr>
              <w:spacing w:line="320" w:lineRule="atLeast"/>
              <w:ind w:left="60" w:right="60"/>
              <w:jc w:val="right"/>
              <w:rPr>
                <w:color w:val="010205"/>
                <w:sz w:val="18"/>
              </w:rPr>
            </w:pPr>
            <w:r w:rsidRPr="006A1EC7">
              <w:rPr>
                <w:color w:val="010205"/>
                <w:sz w:val="18"/>
              </w:rPr>
              <w:t>-.94</w:t>
            </w:r>
          </w:p>
        </w:tc>
        <w:tc>
          <w:tcPr>
            <w:tcW w:w="1665" w:type="dxa"/>
            <w:tcBorders>
              <w:top w:val="single" w:sz="8" w:space="0" w:color="152935"/>
              <w:left w:val="single" w:sz="8" w:space="0" w:color="E0E0E0"/>
              <w:bottom w:val="single" w:sz="8" w:space="0" w:color="152935"/>
              <w:right w:val="nil"/>
            </w:tcBorders>
            <w:shd w:val="clear" w:color="auto" w:fill="FFFFFF"/>
          </w:tcPr>
          <w:p w14:paraId="2FCBA79B" w14:textId="77777777" w:rsidR="0087601C" w:rsidRPr="006A1EC7" w:rsidRDefault="0087601C" w:rsidP="00D56051">
            <w:pPr>
              <w:spacing w:line="320" w:lineRule="atLeast"/>
              <w:ind w:left="60" w:right="60"/>
              <w:jc w:val="right"/>
              <w:rPr>
                <w:color w:val="010205"/>
                <w:sz w:val="18"/>
              </w:rPr>
            </w:pPr>
            <w:r w:rsidRPr="006A1EC7">
              <w:rPr>
                <w:color w:val="010205"/>
                <w:sz w:val="18"/>
              </w:rPr>
              <w:t>.01</w:t>
            </w:r>
          </w:p>
        </w:tc>
      </w:tr>
    </w:tbl>
    <w:p w14:paraId="4A3A7ECA" w14:textId="77777777" w:rsidR="0087601C" w:rsidRPr="006A1EC7" w:rsidRDefault="0087601C" w:rsidP="0087601C">
      <w:pPr>
        <w:spacing w:line="400" w:lineRule="atLeast"/>
        <w:rPr>
          <w:sz w:val="18"/>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0"/>
        <w:gridCol w:w="1276"/>
        <w:gridCol w:w="1276"/>
        <w:gridCol w:w="1829"/>
        <w:gridCol w:w="1829"/>
      </w:tblGrid>
      <w:tr w:rsidR="0087601C" w:rsidRPr="006A1EC7" w14:paraId="329697FB" w14:textId="77777777" w:rsidTr="00D56051">
        <w:trPr>
          <w:cantSplit/>
        </w:trPr>
        <w:tc>
          <w:tcPr>
            <w:tcW w:w="2250" w:type="dxa"/>
            <w:tcBorders>
              <w:top w:val="nil"/>
              <w:left w:val="nil"/>
              <w:bottom w:val="single" w:sz="8" w:space="0" w:color="152935"/>
              <w:right w:val="nil"/>
            </w:tcBorders>
            <w:shd w:val="clear" w:color="auto" w:fill="FFFFFF"/>
            <w:vAlign w:val="bottom"/>
          </w:tcPr>
          <w:p w14:paraId="411EEC44"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5A5AC139"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66B37D59"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tcBorders>
              <w:top w:val="nil"/>
              <w:left w:val="single" w:sz="8" w:space="0" w:color="E0E0E0"/>
              <w:bottom w:val="single" w:sz="8" w:space="0" w:color="152935"/>
              <w:right w:val="single" w:sz="8" w:space="0" w:color="E0E0E0"/>
            </w:tcBorders>
            <w:shd w:val="clear" w:color="auto" w:fill="FFFFFF"/>
            <w:vAlign w:val="bottom"/>
          </w:tcPr>
          <w:p w14:paraId="0EDCB0C7"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tcBorders>
              <w:top w:val="nil"/>
              <w:left w:val="single" w:sz="8" w:space="0" w:color="E0E0E0"/>
              <w:bottom w:val="single" w:sz="8" w:space="0" w:color="152935"/>
              <w:right w:val="nil"/>
            </w:tcBorders>
            <w:shd w:val="clear" w:color="auto" w:fill="FFFFFF"/>
            <w:vAlign w:val="bottom"/>
          </w:tcPr>
          <w:p w14:paraId="437675EB"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769EFB7C" w14:textId="77777777" w:rsidTr="00D56051">
        <w:trPr>
          <w:cantSplit/>
        </w:trPr>
        <w:tc>
          <w:tcPr>
            <w:tcW w:w="2250" w:type="dxa"/>
            <w:tcBorders>
              <w:top w:val="single" w:sz="8" w:space="0" w:color="152935"/>
              <w:left w:val="nil"/>
              <w:bottom w:val="single" w:sz="8" w:space="0" w:color="AEAEAE"/>
              <w:right w:val="nil"/>
            </w:tcBorders>
            <w:shd w:val="clear" w:color="auto" w:fill="E0E0E0"/>
          </w:tcPr>
          <w:p w14:paraId="56514954" w14:textId="77777777" w:rsidR="0087601C" w:rsidRPr="006A1EC7" w:rsidRDefault="0087601C" w:rsidP="00D56051">
            <w:pPr>
              <w:spacing w:line="320" w:lineRule="atLeast"/>
              <w:ind w:left="60" w:right="60"/>
              <w:rPr>
                <w:color w:val="264A60"/>
                <w:sz w:val="18"/>
              </w:rPr>
            </w:pPr>
            <w:r w:rsidRPr="006A1EC7">
              <w:rPr>
                <w:color w:val="264A60"/>
                <w:sz w:val="18"/>
              </w:rPr>
              <w:t>T1Joshua_CNS</w:t>
            </w:r>
          </w:p>
        </w:tc>
        <w:tc>
          <w:tcPr>
            <w:tcW w:w="1276" w:type="dxa"/>
            <w:tcBorders>
              <w:top w:val="single" w:sz="8" w:space="0" w:color="152935"/>
              <w:left w:val="nil"/>
              <w:bottom w:val="single" w:sz="8" w:space="0" w:color="AEAEAE"/>
              <w:right w:val="single" w:sz="8" w:space="0" w:color="E0E0E0"/>
            </w:tcBorders>
            <w:shd w:val="clear" w:color="auto" w:fill="FFFFFF"/>
          </w:tcPr>
          <w:p w14:paraId="077710DB"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7DCE6644" w14:textId="77777777" w:rsidR="0087601C" w:rsidRPr="006A1EC7" w:rsidRDefault="0087601C" w:rsidP="00D56051">
            <w:pPr>
              <w:spacing w:line="320" w:lineRule="atLeast"/>
              <w:ind w:left="60" w:right="60"/>
              <w:jc w:val="right"/>
              <w:rPr>
                <w:color w:val="010205"/>
                <w:sz w:val="18"/>
              </w:rPr>
            </w:pPr>
            <w:r w:rsidRPr="006A1EC7">
              <w:rPr>
                <w:color w:val="010205"/>
                <w:sz w:val="18"/>
              </w:rPr>
              <w:t>11.68</w:t>
            </w:r>
          </w:p>
        </w:tc>
        <w:tc>
          <w:tcPr>
            <w:tcW w:w="1829" w:type="dxa"/>
            <w:tcBorders>
              <w:top w:val="single" w:sz="8" w:space="0" w:color="152935"/>
              <w:left w:val="single" w:sz="8" w:space="0" w:color="E0E0E0"/>
              <w:bottom w:val="single" w:sz="8" w:space="0" w:color="AEAEAE"/>
              <w:right w:val="single" w:sz="8" w:space="0" w:color="E0E0E0"/>
            </w:tcBorders>
            <w:shd w:val="clear" w:color="auto" w:fill="FFFFFF"/>
          </w:tcPr>
          <w:p w14:paraId="72362E32" w14:textId="77777777" w:rsidR="0087601C" w:rsidRPr="006A1EC7" w:rsidRDefault="0087601C" w:rsidP="00D56051">
            <w:pPr>
              <w:spacing w:line="320" w:lineRule="atLeast"/>
              <w:ind w:left="60" w:right="60"/>
              <w:jc w:val="right"/>
              <w:rPr>
                <w:color w:val="010205"/>
                <w:sz w:val="18"/>
              </w:rPr>
            </w:pPr>
            <w:r w:rsidRPr="006A1EC7">
              <w:rPr>
                <w:color w:val="010205"/>
                <w:sz w:val="18"/>
              </w:rPr>
              <w:t>1.319</w:t>
            </w:r>
          </w:p>
        </w:tc>
        <w:tc>
          <w:tcPr>
            <w:tcW w:w="1829" w:type="dxa"/>
            <w:tcBorders>
              <w:top w:val="single" w:sz="8" w:space="0" w:color="152935"/>
              <w:left w:val="single" w:sz="8" w:space="0" w:color="E0E0E0"/>
              <w:bottom w:val="single" w:sz="8" w:space="0" w:color="AEAEAE"/>
              <w:right w:val="nil"/>
            </w:tcBorders>
            <w:shd w:val="clear" w:color="auto" w:fill="FFFFFF"/>
          </w:tcPr>
          <w:p w14:paraId="239718CB" w14:textId="77777777" w:rsidR="0087601C" w:rsidRPr="006A1EC7" w:rsidRDefault="0087601C" w:rsidP="00D56051">
            <w:pPr>
              <w:spacing w:line="320" w:lineRule="atLeast"/>
              <w:ind w:left="60" w:right="60"/>
              <w:jc w:val="right"/>
              <w:rPr>
                <w:color w:val="010205"/>
                <w:sz w:val="18"/>
              </w:rPr>
            </w:pPr>
            <w:r w:rsidRPr="006A1EC7">
              <w:rPr>
                <w:color w:val="010205"/>
                <w:sz w:val="18"/>
              </w:rPr>
              <w:t>.226</w:t>
            </w:r>
          </w:p>
        </w:tc>
      </w:tr>
      <w:tr w:rsidR="0087601C" w:rsidRPr="006A1EC7" w14:paraId="29DB2A17" w14:textId="77777777" w:rsidTr="00D56051">
        <w:trPr>
          <w:cantSplit/>
        </w:trPr>
        <w:tc>
          <w:tcPr>
            <w:tcW w:w="2250" w:type="dxa"/>
            <w:tcBorders>
              <w:top w:val="single" w:sz="8" w:space="0" w:color="AEAEAE"/>
              <w:left w:val="nil"/>
              <w:bottom w:val="single" w:sz="8" w:space="0" w:color="AEAEAE"/>
              <w:right w:val="nil"/>
            </w:tcBorders>
            <w:shd w:val="clear" w:color="auto" w:fill="E0E0E0"/>
          </w:tcPr>
          <w:p w14:paraId="4C22B8C9" w14:textId="77777777" w:rsidR="0087601C" w:rsidRPr="006A1EC7" w:rsidRDefault="0087601C" w:rsidP="00D56051">
            <w:pPr>
              <w:spacing w:line="320" w:lineRule="atLeast"/>
              <w:ind w:left="60" w:right="60"/>
              <w:rPr>
                <w:color w:val="264A60"/>
                <w:sz w:val="18"/>
              </w:rPr>
            </w:pPr>
            <w:r w:rsidRPr="006A1EC7">
              <w:rPr>
                <w:color w:val="264A60"/>
                <w:sz w:val="18"/>
              </w:rPr>
              <w:t>T1Joshua_Immun</w:t>
            </w:r>
          </w:p>
        </w:tc>
        <w:tc>
          <w:tcPr>
            <w:tcW w:w="1276" w:type="dxa"/>
            <w:tcBorders>
              <w:top w:val="single" w:sz="8" w:space="0" w:color="AEAEAE"/>
              <w:left w:val="nil"/>
              <w:bottom w:val="single" w:sz="8" w:space="0" w:color="AEAEAE"/>
              <w:right w:val="single" w:sz="8" w:space="0" w:color="E0E0E0"/>
            </w:tcBorders>
            <w:shd w:val="clear" w:color="auto" w:fill="FFFFFF"/>
          </w:tcPr>
          <w:p w14:paraId="6B17D0DB"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0BB45999" w14:textId="77777777" w:rsidR="0087601C" w:rsidRPr="006A1EC7" w:rsidRDefault="0087601C" w:rsidP="00D56051">
            <w:pPr>
              <w:spacing w:line="320" w:lineRule="atLeast"/>
              <w:ind w:left="60" w:right="60"/>
              <w:jc w:val="right"/>
              <w:rPr>
                <w:color w:val="010205"/>
                <w:sz w:val="18"/>
              </w:rPr>
            </w:pPr>
            <w:r w:rsidRPr="006A1EC7">
              <w:rPr>
                <w:color w:val="010205"/>
                <w:sz w:val="18"/>
              </w:rPr>
              <w:t>.09</w:t>
            </w:r>
          </w:p>
        </w:tc>
        <w:tc>
          <w:tcPr>
            <w:tcW w:w="1829" w:type="dxa"/>
            <w:tcBorders>
              <w:top w:val="single" w:sz="8" w:space="0" w:color="AEAEAE"/>
              <w:left w:val="single" w:sz="8" w:space="0" w:color="E0E0E0"/>
              <w:bottom w:val="single" w:sz="8" w:space="0" w:color="AEAEAE"/>
              <w:right w:val="single" w:sz="8" w:space="0" w:color="E0E0E0"/>
            </w:tcBorders>
            <w:shd w:val="clear" w:color="auto" w:fill="FFFFFF"/>
          </w:tcPr>
          <w:p w14:paraId="20DDF5C3" w14:textId="77777777" w:rsidR="0087601C" w:rsidRPr="006A1EC7" w:rsidRDefault="0087601C" w:rsidP="00D56051">
            <w:pPr>
              <w:spacing w:line="320" w:lineRule="atLeast"/>
              <w:ind w:left="60" w:right="60"/>
              <w:jc w:val="right"/>
              <w:rPr>
                <w:color w:val="010205"/>
                <w:sz w:val="18"/>
              </w:rPr>
            </w:pPr>
            <w:r w:rsidRPr="006A1EC7">
              <w:rPr>
                <w:color w:val="010205"/>
                <w:sz w:val="18"/>
              </w:rPr>
              <w:t>.514</w:t>
            </w:r>
          </w:p>
        </w:tc>
        <w:tc>
          <w:tcPr>
            <w:tcW w:w="1829" w:type="dxa"/>
            <w:tcBorders>
              <w:top w:val="single" w:sz="8" w:space="0" w:color="AEAEAE"/>
              <w:left w:val="single" w:sz="8" w:space="0" w:color="E0E0E0"/>
              <w:bottom w:val="single" w:sz="8" w:space="0" w:color="AEAEAE"/>
              <w:right w:val="nil"/>
            </w:tcBorders>
            <w:shd w:val="clear" w:color="auto" w:fill="FFFFFF"/>
          </w:tcPr>
          <w:p w14:paraId="7E29EFA3" w14:textId="77777777" w:rsidR="0087601C" w:rsidRPr="006A1EC7" w:rsidRDefault="0087601C" w:rsidP="00D56051">
            <w:pPr>
              <w:spacing w:line="320" w:lineRule="atLeast"/>
              <w:ind w:left="60" w:right="60"/>
              <w:jc w:val="right"/>
              <w:rPr>
                <w:color w:val="010205"/>
                <w:sz w:val="18"/>
              </w:rPr>
            </w:pPr>
            <w:r w:rsidRPr="006A1EC7">
              <w:rPr>
                <w:color w:val="010205"/>
                <w:sz w:val="18"/>
              </w:rPr>
              <w:t>.088</w:t>
            </w:r>
          </w:p>
        </w:tc>
      </w:tr>
      <w:tr w:rsidR="0087601C" w:rsidRPr="006A1EC7" w14:paraId="2468D793" w14:textId="77777777" w:rsidTr="00D56051">
        <w:trPr>
          <w:cantSplit/>
        </w:trPr>
        <w:tc>
          <w:tcPr>
            <w:tcW w:w="2250" w:type="dxa"/>
            <w:tcBorders>
              <w:top w:val="single" w:sz="8" w:space="0" w:color="AEAEAE"/>
              <w:left w:val="nil"/>
              <w:bottom w:val="single" w:sz="8" w:space="0" w:color="152935"/>
              <w:right w:val="nil"/>
            </w:tcBorders>
            <w:shd w:val="clear" w:color="auto" w:fill="E0E0E0"/>
          </w:tcPr>
          <w:p w14:paraId="57EA8128" w14:textId="77777777" w:rsidR="0087601C" w:rsidRPr="006A1EC7" w:rsidRDefault="0087601C" w:rsidP="00D56051">
            <w:pPr>
              <w:spacing w:line="320" w:lineRule="atLeast"/>
              <w:ind w:left="60" w:right="60"/>
              <w:rPr>
                <w:color w:val="264A60"/>
                <w:sz w:val="18"/>
              </w:rPr>
            </w:pPr>
            <w:r w:rsidRPr="006A1EC7">
              <w:rPr>
                <w:color w:val="264A60"/>
                <w:sz w:val="18"/>
              </w:rPr>
              <w:t>Sleep</w:t>
            </w:r>
          </w:p>
        </w:tc>
        <w:tc>
          <w:tcPr>
            <w:tcW w:w="1276" w:type="dxa"/>
            <w:tcBorders>
              <w:top w:val="single" w:sz="8" w:space="0" w:color="AEAEAE"/>
              <w:left w:val="nil"/>
              <w:bottom w:val="single" w:sz="8" w:space="0" w:color="152935"/>
              <w:right w:val="single" w:sz="8" w:space="0" w:color="E0E0E0"/>
            </w:tcBorders>
            <w:shd w:val="clear" w:color="auto" w:fill="FFFFFF"/>
          </w:tcPr>
          <w:p w14:paraId="5A69BC56"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256B2328" w14:textId="77777777" w:rsidR="0087601C" w:rsidRPr="006A1EC7" w:rsidRDefault="0087601C" w:rsidP="00D56051">
            <w:pPr>
              <w:spacing w:line="320" w:lineRule="atLeast"/>
              <w:ind w:left="60" w:right="60"/>
              <w:jc w:val="right"/>
              <w:rPr>
                <w:color w:val="010205"/>
                <w:sz w:val="18"/>
              </w:rPr>
            </w:pPr>
            <w:r w:rsidRPr="006A1EC7">
              <w:rPr>
                <w:color w:val="010205"/>
                <w:sz w:val="18"/>
              </w:rPr>
              <w:t>.00</w:t>
            </w:r>
          </w:p>
        </w:tc>
        <w:tc>
          <w:tcPr>
            <w:tcW w:w="1829" w:type="dxa"/>
            <w:tcBorders>
              <w:top w:val="single" w:sz="8" w:space="0" w:color="AEAEAE"/>
              <w:left w:val="single" w:sz="8" w:space="0" w:color="E0E0E0"/>
              <w:bottom w:val="single" w:sz="8" w:space="0" w:color="152935"/>
              <w:right w:val="single" w:sz="8" w:space="0" w:color="E0E0E0"/>
            </w:tcBorders>
            <w:shd w:val="clear" w:color="auto" w:fill="FFFFFF"/>
          </w:tcPr>
          <w:p w14:paraId="1A308F4C" w14:textId="77777777" w:rsidR="0087601C" w:rsidRPr="006A1EC7" w:rsidRDefault="0087601C" w:rsidP="00D56051">
            <w:pPr>
              <w:spacing w:line="320" w:lineRule="atLeast"/>
              <w:ind w:left="60" w:right="60"/>
              <w:jc w:val="right"/>
              <w:rPr>
                <w:color w:val="010205"/>
                <w:sz w:val="18"/>
              </w:rPr>
            </w:pPr>
            <w:r w:rsidRPr="006A1EC7">
              <w:rPr>
                <w:color w:val="010205"/>
                <w:sz w:val="18"/>
              </w:rPr>
              <w:t>.000</w:t>
            </w:r>
            <w:r w:rsidRPr="006A1EC7">
              <w:rPr>
                <w:color w:val="010205"/>
                <w:sz w:val="18"/>
                <w:vertAlign w:val="superscript"/>
              </w:rPr>
              <w:t>a</w:t>
            </w:r>
          </w:p>
        </w:tc>
        <w:tc>
          <w:tcPr>
            <w:tcW w:w="1829" w:type="dxa"/>
            <w:tcBorders>
              <w:top w:val="single" w:sz="8" w:space="0" w:color="AEAEAE"/>
              <w:left w:val="single" w:sz="8" w:space="0" w:color="E0E0E0"/>
              <w:bottom w:val="single" w:sz="8" w:space="0" w:color="152935"/>
              <w:right w:val="nil"/>
            </w:tcBorders>
            <w:shd w:val="clear" w:color="auto" w:fill="FFFFFF"/>
          </w:tcPr>
          <w:p w14:paraId="53F62150"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bl>
    <w:p w14:paraId="6522F040" w14:textId="77777777" w:rsidR="0087601C" w:rsidRPr="006A1EC7" w:rsidRDefault="0087601C" w:rsidP="0087601C">
      <w:pPr>
        <w:rPr>
          <w:color w:val="010205"/>
          <w:sz w:val="18"/>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60"/>
      </w:tblGrid>
      <w:tr w:rsidR="0087601C" w:rsidRPr="006A1EC7" w14:paraId="0EC6310D" w14:textId="77777777" w:rsidTr="00D56051">
        <w:trPr>
          <w:cantSplit/>
        </w:trPr>
        <w:tc>
          <w:tcPr>
            <w:tcW w:w="8458" w:type="dxa"/>
            <w:tcBorders>
              <w:top w:val="nil"/>
              <w:left w:val="nil"/>
              <w:bottom w:val="nil"/>
              <w:right w:val="nil"/>
            </w:tcBorders>
            <w:shd w:val="clear" w:color="auto" w:fill="FFFFFF"/>
          </w:tcPr>
          <w:p w14:paraId="0867BCE4" w14:textId="77777777" w:rsidR="0087601C" w:rsidRPr="006A1EC7" w:rsidRDefault="0087601C" w:rsidP="00D56051">
            <w:pPr>
              <w:spacing w:line="320" w:lineRule="atLeast"/>
              <w:ind w:left="60" w:right="60"/>
              <w:rPr>
                <w:color w:val="010205"/>
                <w:sz w:val="18"/>
              </w:rPr>
            </w:pPr>
            <w:r w:rsidRPr="006A1EC7">
              <w:rPr>
                <w:color w:val="010205"/>
                <w:sz w:val="18"/>
              </w:rPr>
              <w:t>a. t cannot be computed because the standard deviation is 0.</w:t>
            </w:r>
          </w:p>
        </w:tc>
      </w:tr>
    </w:tbl>
    <w:p w14:paraId="6454785E"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5"/>
        <w:gridCol w:w="1178"/>
        <w:gridCol w:w="1178"/>
        <w:gridCol w:w="1689"/>
        <w:gridCol w:w="1689"/>
        <w:gridCol w:w="1689"/>
        <w:gridCol w:w="1689"/>
      </w:tblGrid>
      <w:tr w:rsidR="0087601C" w:rsidRPr="006A1EC7" w14:paraId="20373160" w14:textId="77777777" w:rsidTr="00D56051">
        <w:trPr>
          <w:cantSplit/>
        </w:trPr>
        <w:tc>
          <w:tcPr>
            <w:tcW w:w="11183" w:type="dxa"/>
            <w:gridSpan w:val="7"/>
            <w:tcBorders>
              <w:top w:val="nil"/>
              <w:left w:val="nil"/>
              <w:bottom w:val="nil"/>
              <w:right w:val="nil"/>
            </w:tcBorders>
            <w:shd w:val="clear" w:color="auto" w:fill="FFFFFF"/>
            <w:vAlign w:val="center"/>
          </w:tcPr>
          <w:p w14:paraId="179A9447" w14:textId="77777777" w:rsidR="0087601C" w:rsidRPr="006A1EC7" w:rsidRDefault="0087601C" w:rsidP="00D56051">
            <w:pPr>
              <w:spacing w:line="320" w:lineRule="atLeast"/>
              <w:ind w:right="60"/>
              <w:rPr>
                <w:color w:val="010205"/>
                <w:sz w:val="22"/>
                <w:szCs w:val="30"/>
              </w:rPr>
            </w:pPr>
          </w:p>
        </w:tc>
      </w:tr>
      <w:tr w:rsidR="0087601C" w:rsidRPr="006A1EC7" w14:paraId="075E17C5" w14:textId="77777777" w:rsidTr="00D56051">
        <w:trPr>
          <w:cantSplit/>
        </w:trPr>
        <w:tc>
          <w:tcPr>
            <w:tcW w:w="2075" w:type="dxa"/>
            <w:vMerge w:val="restart"/>
            <w:tcBorders>
              <w:top w:val="nil"/>
              <w:left w:val="nil"/>
              <w:bottom w:val="nil"/>
              <w:right w:val="nil"/>
            </w:tcBorders>
            <w:shd w:val="clear" w:color="auto" w:fill="FFFFFF"/>
            <w:vAlign w:val="bottom"/>
          </w:tcPr>
          <w:p w14:paraId="006DF197" w14:textId="77777777" w:rsidR="0087601C" w:rsidRPr="006A1EC7" w:rsidRDefault="0087601C" w:rsidP="00D56051">
            <w:pPr>
              <w:rPr>
                <w:sz w:val="18"/>
              </w:rPr>
            </w:pPr>
          </w:p>
        </w:tc>
        <w:tc>
          <w:tcPr>
            <w:tcW w:w="9108" w:type="dxa"/>
            <w:gridSpan w:val="6"/>
            <w:tcBorders>
              <w:top w:val="nil"/>
              <w:left w:val="nil"/>
              <w:bottom w:val="nil"/>
              <w:right w:val="nil"/>
            </w:tcBorders>
            <w:shd w:val="clear" w:color="auto" w:fill="FFFFFF"/>
            <w:vAlign w:val="bottom"/>
          </w:tcPr>
          <w:p w14:paraId="14D9ECCC"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0</w:t>
            </w:r>
          </w:p>
        </w:tc>
      </w:tr>
      <w:tr w:rsidR="0087601C" w:rsidRPr="006A1EC7" w14:paraId="62852D57" w14:textId="77777777" w:rsidTr="00D56051">
        <w:trPr>
          <w:cantSplit/>
        </w:trPr>
        <w:tc>
          <w:tcPr>
            <w:tcW w:w="2075" w:type="dxa"/>
            <w:vMerge/>
            <w:tcBorders>
              <w:top w:val="nil"/>
              <w:left w:val="nil"/>
              <w:bottom w:val="nil"/>
              <w:right w:val="nil"/>
            </w:tcBorders>
            <w:shd w:val="clear" w:color="auto" w:fill="FFFFFF"/>
            <w:vAlign w:val="bottom"/>
          </w:tcPr>
          <w:p w14:paraId="3FC28E63" w14:textId="77777777" w:rsidR="0087601C" w:rsidRPr="006A1EC7" w:rsidRDefault="0087601C" w:rsidP="00D56051">
            <w:pPr>
              <w:rPr>
                <w:color w:val="264A60"/>
                <w:sz w:val="18"/>
              </w:rPr>
            </w:pPr>
          </w:p>
        </w:tc>
        <w:tc>
          <w:tcPr>
            <w:tcW w:w="1178" w:type="dxa"/>
            <w:vMerge w:val="restart"/>
            <w:tcBorders>
              <w:top w:val="nil"/>
              <w:left w:val="nil"/>
              <w:bottom w:val="nil"/>
              <w:right w:val="single" w:sz="8" w:space="0" w:color="E0E0E0"/>
            </w:tcBorders>
            <w:shd w:val="clear" w:color="auto" w:fill="FFFFFF"/>
            <w:vAlign w:val="bottom"/>
          </w:tcPr>
          <w:p w14:paraId="25DD356F"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78" w:type="dxa"/>
            <w:vMerge w:val="restart"/>
            <w:tcBorders>
              <w:top w:val="nil"/>
              <w:left w:val="single" w:sz="8" w:space="0" w:color="E0E0E0"/>
              <w:bottom w:val="nil"/>
              <w:right w:val="single" w:sz="8" w:space="0" w:color="E0E0E0"/>
            </w:tcBorders>
            <w:shd w:val="clear" w:color="auto" w:fill="FFFFFF"/>
            <w:vAlign w:val="bottom"/>
          </w:tcPr>
          <w:p w14:paraId="3257ADCE"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88" w:type="dxa"/>
            <w:vMerge w:val="restart"/>
            <w:tcBorders>
              <w:top w:val="nil"/>
              <w:left w:val="single" w:sz="8" w:space="0" w:color="E0E0E0"/>
              <w:bottom w:val="nil"/>
              <w:right w:val="single" w:sz="8" w:space="0" w:color="E0E0E0"/>
            </w:tcBorders>
            <w:shd w:val="clear" w:color="auto" w:fill="FFFFFF"/>
            <w:vAlign w:val="bottom"/>
          </w:tcPr>
          <w:p w14:paraId="68B38070"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88" w:type="dxa"/>
            <w:vMerge w:val="restart"/>
            <w:tcBorders>
              <w:top w:val="nil"/>
              <w:left w:val="single" w:sz="8" w:space="0" w:color="E0E0E0"/>
              <w:bottom w:val="nil"/>
              <w:right w:val="single" w:sz="8" w:space="0" w:color="E0E0E0"/>
            </w:tcBorders>
            <w:shd w:val="clear" w:color="auto" w:fill="FFFFFF"/>
            <w:vAlign w:val="bottom"/>
          </w:tcPr>
          <w:p w14:paraId="49534944"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76" w:type="dxa"/>
            <w:gridSpan w:val="2"/>
            <w:tcBorders>
              <w:top w:val="nil"/>
              <w:left w:val="single" w:sz="8" w:space="0" w:color="E0E0E0"/>
              <w:bottom w:val="nil"/>
              <w:right w:val="nil"/>
            </w:tcBorders>
            <w:shd w:val="clear" w:color="auto" w:fill="FFFFFF"/>
            <w:vAlign w:val="bottom"/>
          </w:tcPr>
          <w:p w14:paraId="1B2E83DB"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73A6A324" w14:textId="77777777" w:rsidTr="00D56051">
        <w:trPr>
          <w:cantSplit/>
        </w:trPr>
        <w:tc>
          <w:tcPr>
            <w:tcW w:w="2075" w:type="dxa"/>
            <w:vMerge/>
            <w:tcBorders>
              <w:top w:val="nil"/>
              <w:left w:val="nil"/>
              <w:bottom w:val="nil"/>
              <w:right w:val="nil"/>
            </w:tcBorders>
            <w:shd w:val="clear" w:color="auto" w:fill="FFFFFF"/>
            <w:vAlign w:val="bottom"/>
          </w:tcPr>
          <w:p w14:paraId="2A295912" w14:textId="77777777" w:rsidR="0087601C" w:rsidRPr="006A1EC7" w:rsidRDefault="0087601C" w:rsidP="00D56051">
            <w:pPr>
              <w:rPr>
                <w:color w:val="264A60"/>
                <w:sz w:val="18"/>
              </w:rPr>
            </w:pPr>
          </w:p>
        </w:tc>
        <w:tc>
          <w:tcPr>
            <w:tcW w:w="1178" w:type="dxa"/>
            <w:vMerge/>
            <w:tcBorders>
              <w:top w:val="nil"/>
              <w:left w:val="nil"/>
              <w:bottom w:val="nil"/>
              <w:right w:val="single" w:sz="8" w:space="0" w:color="E0E0E0"/>
            </w:tcBorders>
            <w:shd w:val="clear" w:color="auto" w:fill="FFFFFF"/>
            <w:vAlign w:val="bottom"/>
          </w:tcPr>
          <w:p w14:paraId="0F4AC1B0" w14:textId="77777777" w:rsidR="0087601C" w:rsidRPr="006A1EC7" w:rsidRDefault="0087601C" w:rsidP="00D56051">
            <w:pPr>
              <w:rPr>
                <w:color w:val="264A60"/>
                <w:sz w:val="18"/>
              </w:rPr>
            </w:pPr>
          </w:p>
        </w:tc>
        <w:tc>
          <w:tcPr>
            <w:tcW w:w="1178" w:type="dxa"/>
            <w:vMerge/>
            <w:tcBorders>
              <w:top w:val="nil"/>
              <w:left w:val="single" w:sz="8" w:space="0" w:color="E0E0E0"/>
              <w:bottom w:val="nil"/>
              <w:right w:val="single" w:sz="8" w:space="0" w:color="E0E0E0"/>
            </w:tcBorders>
            <w:shd w:val="clear" w:color="auto" w:fill="FFFFFF"/>
            <w:vAlign w:val="bottom"/>
          </w:tcPr>
          <w:p w14:paraId="41F52E9D" w14:textId="77777777" w:rsidR="0087601C" w:rsidRPr="006A1EC7" w:rsidRDefault="0087601C" w:rsidP="00D56051">
            <w:pPr>
              <w:rPr>
                <w:color w:val="264A60"/>
                <w:sz w:val="18"/>
              </w:rPr>
            </w:pPr>
          </w:p>
        </w:tc>
        <w:tc>
          <w:tcPr>
            <w:tcW w:w="1688" w:type="dxa"/>
            <w:vMerge/>
            <w:tcBorders>
              <w:top w:val="nil"/>
              <w:left w:val="single" w:sz="8" w:space="0" w:color="E0E0E0"/>
              <w:bottom w:val="nil"/>
              <w:right w:val="single" w:sz="8" w:space="0" w:color="E0E0E0"/>
            </w:tcBorders>
            <w:shd w:val="clear" w:color="auto" w:fill="FFFFFF"/>
            <w:vAlign w:val="bottom"/>
          </w:tcPr>
          <w:p w14:paraId="760A2748" w14:textId="77777777" w:rsidR="0087601C" w:rsidRPr="006A1EC7" w:rsidRDefault="0087601C" w:rsidP="00D56051">
            <w:pPr>
              <w:rPr>
                <w:color w:val="264A60"/>
                <w:sz w:val="18"/>
              </w:rPr>
            </w:pPr>
          </w:p>
        </w:tc>
        <w:tc>
          <w:tcPr>
            <w:tcW w:w="1688" w:type="dxa"/>
            <w:vMerge/>
            <w:tcBorders>
              <w:top w:val="nil"/>
              <w:left w:val="single" w:sz="8" w:space="0" w:color="E0E0E0"/>
              <w:bottom w:val="nil"/>
              <w:right w:val="single" w:sz="8" w:space="0" w:color="E0E0E0"/>
            </w:tcBorders>
            <w:shd w:val="clear" w:color="auto" w:fill="FFFFFF"/>
            <w:vAlign w:val="bottom"/>
          </w:tcPr>
          <w:p w14:paraId="7E91E4B9" w14:textId="77777777" w:rsidR="0087601C" w:rsidRPr="006A1EC7" w:rsidRDefault="0087601C" w:rsidP="00D56051">
            <w:pPr>
              <w:rPr>
                <w:color w:val="264A60"/>
                <w:sz w:val="18"/>
              </w:rPr>
            </w:pPr>
          </w:p>
        </w:tc>
        <w:tc>
          <w:tcPr>
            <w:tcW w:w="1688" w:type="dxa"/>
            <w:tcBorders>
              <w:top w:val="nil"/>
              <w:left w:val="single" w:sz="8" w:space="0" w:color="E0E0E0"/>
              <w:bottom w:val="single" w:sz="8" w:space="0" w:color="152935"/>
              <w:right w:val="single" w:sz="8" w:space="0" w:color="E0E0E0"/>
            </w:tcBorders>
            <w:shd w:val="clear" w:color="auto" w:fill="FFFFFF"/>
            <w:vAlign w:val="bottom"/>
          </w:tcPr>
          <w:p w14:paraId="3E0078E1"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88" w:type="dxa"/>
            <w:tcBorders>
              <w:top w:val="nil"/>
              <w:left w:val="single" w:sz="8" w:space="0" w:color="E0E0E0"/>
              <w:bottom w:val="single" w:sz="8" w:space="0" w:color="152935"/>
              <w:right w:val="nil"/>
            </w:tcBorders>
            <w:shd w:val="clear" w:color="auto" w:fill="FFFFFF"/>
            <w:vAlign w:val="bottom"/>
          </w:tcPr>
          <w:p w14:paraId="332A2A54"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03B78F0F" w14:textId="77777777" w:rsidTr="00D56051">
        <w:trPr>
          <w:cantSplit/>
        </w:trPr>
        <w:tc>
          <w:tcPr>
            <w:tcW w:w="2075" w:type="dxa"/>
            <w:tcBorders>
              <w:top w:val="single" w:sz="8" w:space="0" w:color="152935"/>
              <w:left w:val="nil"/>
              <w:bottom w:val="single" w:sz="8" w:space="0" w:color="AEAEAE"/>
              <w:right w:val="nil"/>
            </w:tcBorders>
            <w:shd w:val="clear" w:color="auto" w:fill="E0E0E0"/>
          </w:tcPr>
          <w:p w14:paraId="5ACD98FB" w14:textId="77777777" w:rsidR="0087601C" w:rsidRPr="006A1EC7" w:rsidRDefault="0087601C" w:rsidP="00D56051">
            <w:pPr>
              <w:spacing w:line="320" w:lineRule="atLeast"/>
              <w:ind w:left="60" w:right="60"/>
              <w:rPr>
                <w:color w:val="264A60"/>
                <w:sz w:val="18"/>
              </w:rPr>
            </w:pPr>
            <w:r w:rsidRPr="006A1EC7">
              <w:rPr>
                <w:color w:val="264A60"/>
                <w:sz w:val="18"/>
              </w:rPr>
              <w:lastRenderedPageBreak/>
              <w:t>T1Joshua_CNS</w:t>
            </w:r>
          </w:p>
        </w:tc>
        <w:tc>
          <w:tcPr>
            <w:tcW w:w="1178" w:type="dxa"/>
            <w:tcBorders>
              <w:top w:val="single" w:sz="8" w:space="0" w:color="152935"/>
              <w:left w:val="nil"/>
              <w:bottom w:val="single" w:sz="8" w:space="0" w:color="AEAEAE"/>
              <w:right w:val="single" w:sz="8" w:space="0" w:color="E0E0E0"/>
            </w:tcBorders>
            <w:shd w:val="clear" w:color="auto" w:fill="FFFFFF"/>
          </w:tcPr>
          <w:p w14:paraId="1C72CD99" w14:textId="77777777" w:rsidR="0087601C" w:rsidRPr="006A1EC7" w:rsidRDefault="0087601C" w:rsidP="00D56051">
            <w:pPr>
              <w:spacing w:line="320" w:lineRule="atLeast"/>
              <w:ind w:left="60" w:right="60"/>
              <w:jc w:val="right"/>
              <w:rPr>
                <w:color w:val="010205"/>
                <w:sz w:val="18"/>
              </w:rPr>
            </w:pPr>
            <w:r w:rsidRPr="006A1EC7">
              <w:rPr>
                <w:color w:val="010205"/>
                <w:sz w:val="18"/>
              </w:rPr>
              <w:t>51.606</w:t>
            </w:r>
          </w:p>
        </w:tc>
        <w:tc>
          <w:tcPr>
            <w:tcW w:w="1178" w:type="dxa"/>
            <w:tcBorders>
              <w:top w:val="single" w:sz="8" w:space="0" w:color="152935"/>
              <w:left w:val="single" w:sz="8" w:space="0" w:color="E0E0E0"/>
              <w:bottom w:val="single" w:sz="8" w:space="0" w:color="AEAEAE"/>
              <w:right w:val="single" w:sz="8" w:space="0" w:color="E0E0E0"/>
            </w:tcBorders>
            <w:shd w:val="clear" w:color="auto" w:fill="FFFFFF"/>
          </w:tcPr>
          <w:p w14:paraId="7B461615"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688" w:type="dxa"/>
            <w:tcBorders>
              <w:top w:val="single" w:sz="8" w:space="0" w:color="152935"/>
              <w:left w:val="single" w:sz="8" w:space="0" w:color="E0E0E0"/>
              <w:bottom w:val="single" w:sz="8" w:space="0" w:color="AEAEAE"/>
              <w:right w:val="single" w:sz="8" w:space="0" w:color="E0E0E0"/>
            </w:tcBorders>
            <w:shd w:val="clear" w:color="auto" w:fill="FFFFFF"/>
          </w:tcPr>
          <w:p w14:paraId="4ACA29FA"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88" w:type="dxa"/>
            <w:tcBorders>
              <w:top w:val="single" w:sz="8" w:space="0" w:color="152935"/>
              <w:left w:val="single" w:sz="8" w:space="0" w:color="E0E0E0"/>
              <w:bottom w:val="single" w:sz="8" w:space="0" w:color="AEAEAE"/>
              <w:right w:val="single" w:sz="8" w:space="0" w:color="E0E0E0"/>
            </w:tcBorders>
            <w:shd w:val="clear" w:color="auto" w:fill="FFFFFF"/>
          </w:tcPr>
          <w:p w14:paraId="48B92985" w14:textId="77777777" w:rsidR="0087601C" w:rsidRPr="006A1EC7" w:rsidRDefault="0087601C" w:rsidP="00D56051">
            <w:pPr>
              <w:spacing w:line="320" w:lineRule="atLeast"/>
              <w:ind w:left="60" w:right="60"/>
              <w:jc w:val="right"/>
              <w:rPr>
                <w:color w:val="010205"/>
                <w:sz w:val="18"/>
              </w:rPr>
            </w:pPr>
            <w:r w:rsidRPr="006A1EC7">
              <w:rPr>
                <w:color w:val="010205"/>
                <w:sz w:val="18"/>
              </w:rPr>
              <w:t>11.676</w:t>
            </w:r>
          </w:p>
        </w:tc>
        <w:tc>
          <w:tcPr>
            <w:tcW w:w="1688" w:type="dxa"/>
            <w:tcBorders>
              <w:top w:val="single" w:sz="8" w:space="0" w:color="152935"/>
              <w:left w:val="single" w:sz="8" w:space="0" w:color="E0E0E0"/>
              <w:bottom w:val="single" w:sz="8" w:space="0" w:color="AEAEAE"/>
              <w:right w:val="single" w:sz="8" w:space="0" w:color="E0E0E0"/>
            </w:tcBorders>
            <w:shd w:val="clear" w:color="auto" w:fill="FFFFFF"/>
          </w:tcPr>
          <w:p w14:paraId="027ABB05" w14:textId="77777777" w:rsidR="0087601C" w:rsidRPr="006A1EC7" w:rsidRDefault="0087601C" w:rsidP="00D56051">
            <w:pPr>
              <w:spacing w:line="320" w:lineRule="atLeast"/>
              <w:ind w:left="60" w:right="60"/>
              <w:jc w:val="right"/>
              <w:rPr>
                <w:color w:val="010205"/>
                <w:sz w:val="18"/>
              </w:rPr>
            </w:pPr>
            <w:r w:rsidRPr="006A1EC7">
              <w:rPr>
                <w:color w:val="010205"/>
                <w:sz w:val="18"/>
              </w:rPr>
              <w:t>11.22</w:t>
            </w:r>
          </w:p>
        </w:tc>
        <w:tc>
          <w:tcPr>
            <w:tcW w:w="1688" w:type="dxa"/>
            <w:tcBorders>
              <w:top w:val="single" w:sz="8" w:space="0" w:color="152935"/>
              <w:left w:val="single" w:sz="8" w:space="0" w:color="E0E0E0"/>
              <w:bottom w:val="single" w:sz="8" w:space="0" w:color="AEAEAE"/>
              <w:right w:val="nil"/>
            </w:tcBorders>
            <w:shd w:val="clear" w:color="auto" w:fill="FFFFFF"/>
          </w:tcPr>
          <w:p w14:paraId="39657147" w14:textId="77777777" w:rsidR="0087601C" w:rsidRPr="006A1EC7" w:rsidRDefault="0087601C" w:rsidP="00D56051">
            <w:pPr>
              <w:spacing w:line="320" w:lineRule="atLeast"/>
              <w:ind w:left="60" w:right="60"/>
              <w:jc w:val="right"/>
              <w:rPr>
                <w:color w:val="010205"/>
                <w:sz w:val="18"/>
              </w:rPr>
            </w:pPr>
            <w:r w:rsidRPr="006A1EC7">
              <w:rPr>
                <w:color w:val="010205"/>
                <w:sz w:val="18"/>
              </w:rPr>
              <w:t>12.14</w:t>
            </w:r>
          </w:p>
        </w:tc>
      </w:tr>
      <w:tr w:rsidR="0087601C" w:rsidRPr="006A1EC7" w14:paraId="12F8F9ED" w14:textId="77777777" w:rsidTr="00D56051">
        <w:trPr>
          <w:cantSplit/>
        </w:trPr>
        <w:tc>
          <w:tcPr>
            <w:tcW w:w="2075" w:type="dxa"/>
            <w:tcBorders>
              <w:top w:val="single" w:sz="8" w:space="0" w:color="AEAEAE"/>
              <w:left w:val="nil"/>
              <w:bottom w:val="single" w:sz="8" w:space="0" w:color="152935"/>
              <w:right w:val="nil"/>
            </w:tcBorders>
            <w:shd w:val="clear" w:color="auto" w:fill="E0E0E0"/>
          </w:tcPr>
          <w:p w14:paraId="33F7E9E6" w14:textId="77777777" w:rsidR="0087601C" w:rsidRPr="006A1EC7" w:rsidRDefault="0087601C" w:rsidP="00D56051">
            <w:pPr>
              <w:spacing w:line="320" w:lineRule="atLeast"/>
              <w:ind w:left="60" w:right="60"/>
              <w:rPr>
                <w:color w:val="264A60"/>
                <w:sz w:val="18"/>
              </w:rPr>
            </w:pPr>
            <w:r w:rsidRPr="006A1EC7">
              <w:rPr>
                <w:color w:val="264A60"/>
                <w:sz w:val="18"/>
              </w:rPr>
              <w:t>T1Joshua_Immun</w:t>
            </w:r>
          </w:p>
        </w:tc>
        <w:tc>
          <w:tcPr>
            <w:tcW w:w="1178" w:type="dxa"/>
            <w:tcBorders>
              <w:top w:val="single" w:sz="8" w:space="0" w:color="AEAEAE"/>
              <w:left w:val="nil"/>
              <w:bottom w:val="single" w:sz="8" w:space="0" w:color="152935"/>
              <w:right w:val="single" w:sz="8" w:space="0" w:color="E0E0E0"/>
            </w:tcBorders>
            <w:shd w:val="clear" w:color="auto" w:fill="FFFFFF"/>
          </w:tcPr>
          <w:p w14:paraId="48D4DFEA" w14:textId="77777777" w:rsidR="0087601C" w:rsidRPr="006A1EC7" w:rsidRDefault="0087601C" w:rsidP="00D56051">
            <w:pPr>
              <w:spacing w:line="320" w:lineRule="atLeast"/>
              <w:ind w:left="60" w:right="60"/>
              <w:jc w:val="right"/>
              <w:rPr>
                <w:color w:val="010205"/>
                <w:sz w:val="18"/>
              </w:rPr>
            </w:pPr>
            <w:r w:rsidRPr="006A1EC7">
              <w:rPr>
                <w:color w:val="010205"/>
                <w:sz w:val="18"/>
              </w:rPr>
              <w:t>1.000</w:t>
            </w:r>
          </w:p>
        </w:tc>
        <w:tc>
          <w:tcPr>
            <w:tcW w:w="1178" w:type="dxa"/>
            <w:tcBorders>
              <w:top w:val="single" w:sz="8" w:space="0" w:color="AEAEAE"/>
              <w:left w:val="single" w:sz="8" w:space="0" w:color="E0E0E0"/>
              <w:bottom w:val="single" w:sz="8" w:space="0" w:color="152935"/>
              <w:right w:val="single" w:sz="8" w:space="0" w:color="E0E0E0"/>
            </w:tcBorders>
            <w:shd w:val="clear" w:color="auto" w:fill="FFFFFF"/>
          </w:tcPr>
          <w:p w14:paraId="299EF92A"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688" w:type="dxa"/>
            <w:tcBorders>
              <w:top w:val="single" w:sz="8" w:space="0" w:color="AEAEAE"/>
              <w:left w:val="single" w:sz="8" w:space="0" w:color="E0E0E0"/>
              <w:bottom w:val="single" w:sz="8" w:space="0" w:color="152935"/>
              <w:right w:val="single" w:sz="8" w:space="0" w:color="E0E0E0"/>
            </w:tcBorders>
            <w:shd w:val="clear" w:color="auto" w:fill="FFFFFF"/>
          </w:tcPr>
          <w:p w14:paraId="52C97BFA" w14:textId="77777777" w:rsidR="0087601C" w:rsidRPr="006A1EC7" w:rsidRDefault="0087601C" w:rsidP="00D56051">
            <w:pPr>
              <w:spacing w:line="320" w:lineRule="atLeast"/>
              <w:ind w:left="60" w:right="60"/>
              <w:jc w:val="right"/>
              <w:rPr>
                <w:color w:val="010205"/>
                <w:sz w:val="18"/>
              </w:rPr>
            </w:pPr>
            <w:r w:rsidRPr="006A1EC7">
              <w:rPr>
                <w:color w:val="010205"/>
                <w:sz w:val="18"/>
              </w:rPr>
              <w:t>.325</w:t>
            </w:r>
          </w:p>
        </w:tc>
        <w:tc>
          <w:tcPr>
            <w:tcW w:w="1688" w:type="dxa"/>
            <w:tcBorders>
              <w:top w:val="single" w:sz="8" w:space="0" w:color="AEAEAE"/>
              <w:left w:val="single" w:sz="8" w:space="0" w:color="E0E0E0"/>
              <w:bottom w:val="single" w:sz="8" w:space="0" w:color="152935"/>
              <w:right w:val="single" w:sz="8" w:space="0" w:color="E0E0E0"/>
            </w:tcBorders>
            <w:shd w:val="clear" w:color="auto" w:fill="FFFFFF"/>
          </w:tcPr>
          <w:p w14:paraId="16A5F6BF" w14:textId="77777777" w:rsidR="0087601C" w:rsidRPr="006A1EC7" w:rsidRDefault="0087601C" w:rsidP="00D56051">
            <w:pPr>
              <w:spacing w:line="320" w:lineRule="atLeast"/>
              <w:ind w:left="60" w:right="60"/>
              <w:jc w:val="right"/>
              <w:rPr>
                <w:color w:val="010205"/>
                <w:sz w:val="18"/>
              </w:rPr>
            </w:pPr>
            <w:r w:rsidRPr="006A1EC7">
              <w:rPr>
                <w:color w:val="010205"/>
                <w:sz w:val="18"/>
              </w:rPr>
              <w:t>.088</w:t>
            </w:r>
          </w:p>
        </w:tc>
        <w:tc>
          <w:tcPr>
            <w:tcW w:w="1688" w:type="dxa"/>
            <w:tcBorders>
              <w:top w:val="single" w:sz="8" w:space="0" w:color="AEAEAE"/>
              <w:left w:val="single" w:sz="8" w:space="0" w:color="E0E0E0"/>
              <w:bottom w:val="single" w:sz="8" w:space="0" w:color="152935"/>
              <w:right w:val="single" w:sz="8" w:space="0" w:color="E0E0E0"/>
            </w:tcBorders>
            <w:shd w:val="clear" w:color="auto" w:fill="FFFFFF"/>
          </w:tcPr>
          <w:p w14:paraId="77F7B774" w14:textId="77777777" w:rsidR="0087601C" w:rsidRPr="006A1EC7" w:rsidRDefault="0087601C" w:rsidP="00D56051">
            <w:pPr>
              <w:spacing w:line="320" w:lineRule="atLeast"/>
              <w:ind w:left="60" w:right="60"/>
              <w:jc w:val="right"/>
              <w:rPr>
                <w:color w:val="010205"/>
                <w:sz w:val="18"/>
              </w:rPr>
            </w:pPr>
            <w:r w:rsidRPr="006A1EC7">
              <w:rPr>
                <w:color w:val="010205"/>
                <w:sz w:val="18"/>
              </w:rPr>
              <w:t>-.09</w:t>
            </w:r>
          </w:p>
        </w:tc>
        <w:tc>
          <w:tcPr>
            <w:tcW w:w="1688" w:type="dxa"/>
            <w:tcBorders>
              <w:top w:val="single" w:sz="8" w:space="0" w:color="AEAEAE"/>
              <w:left w:val="single" w:sz="8" w:space="0" w:color="E0E0E0"/>
              <w:bottom w:val="single" w:sz="8" w:space="0" w:color="152935"/>
              <w:right w:val="nil"/>
            </w:tcBorders>
            <w:shd w:val="clear" w:color="auto" w:fill="FFFFFF"/>
          </w:tcPr>
          <w:p w14:paraId="7545D493" w14:textId="77777777" w:rsidR="0087601C" w:rsidRPr="006A1EC7" w:rsidRDefault="0087601C" w:rsidP="00D56051">
            <w:pPr>
              <w:spacing w:line="320" w:lineRule="atLeast"/>
              <w:ind w:left="60" w:right="60"/>
              <w:jc w:val="right"/>
              <w:rPr>
                <w:color w:val="010205"/>
                <w:sz w:val="18"/>
              </w:rPr>
            </w:pPr>
            <w:r w:rsidRPr="006A1EC7">
              <w:rPr>
                <w:color w:val="010205"/>
                <w:sz w:val="18"/>
              </w:rPr>
              <w:t>.27</w:t>
            </w:r>
          </w:p>
        </w:tc>
      </w:tr>
    </w:tbl>
    <w:p w14:paraId="7498A993" w14:textId="77777777" w:rsidR="0087601C" w:rsidRPr="006A1EC7" w:rsidRDefault="0087601C" w:rsidP="0087601C">
      <w:pPr>
        <w:spacing w:line="400" w:lineRule="atLeast"/>
        <w:rPr>
          <w:sz w:val="18"/>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0"/>
        <w:gridCol w:w="1276"/>
        <w:gridCol w:w="1276"/>
        <w:gridCol w:w="1829"/>
        <w:gridCol w:w="1829"/>
      </w:tblGrid>
      <w:tr w:rsidR="0087601C" w:rsidRPr="006A1EC7" w14:paraId="15E2DA69" w14:textId="77777777" w:rsidTr="00D56051">
        <w:trPr>
          <w:cantSplit/>
        </w:trPr>
        <w:tc>
          <w:tcPr>
            <w:tcW w:w="2250" w:type="dxa"/>
            <w:tcBorders>
              <w:top w:val="nil"/>
              <w:left w:val="nil"/>
              <w:bottom w:val="single" w:sz="8" w:space="0" w:color="152935"/>
              <w:right w:val="nil"/>
            </w:tcBorders>
            <w:shd w:val="clear" w:color="auto" w:fill="FFFFFF"/>
            <w:vAlign w:val="bottom"/>
          </w:tcPr>
          <w:p w14:paraId="1FAE5A40"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7EC907D0"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013DAA1B"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tcBorders>
              <w:top w:val="nil"/>
              <w:left w:val="single" w:sz="8" w:space="0" w:color="E0E0E0"/>
              <w:bottom w:val="single" w:sz="8" w:space="0" w:color="152935"/>
              <w:right w:val="single" w:sz="8" w:space="0" w:color="E0E0E0"/>
            </w:tcBorders>
            <w:shd w:val="clear" w:color="auto" w:fill="FFFFFF"/>
            <w:vAlign w:val="bottom"/>
          </w:tcPr>
          <w:p w14:paraId="35B384E2"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tcBorders>
              <w:top w:val="nil"/>
              <w:left w:val="single" w:sz="8" w:space="0" w:color="E0E0E0"/>
              <w:bottom w:val="single" w:sz="8" w:space="0" w:color="152935"/>
              <w:right w:val="nil"/>
            </w:tcBorders>
            <w:shd w:val="clear" w:color="auto" w:fill="FFFFFF"/>
            <w:vAlign w:val="bottom"/>
          </w:tcPr>
          <w:p w14:paraId="42FD98FC"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017E0328" w14:textId="77777777" w:rsidTr="00D56051">
        <w:trPr>
          <w:cantSplit/>
        </w:trPr>
        <w:tc>
          <w:tcPr>
            <w:tcW w:w="2250" w:type="dxa"/>
            <w:tcBorders>
              <w:top w:val="single" w:sz="8" w:space="0" w:color="152935"/>
              <w:left w:val="nil"/>
              <w:bottom w:val="single" w:sz="8" w:space="0" w:color="AEAEAE"/>
              <w:right w:val="nil"/>
            </w:tcBorders>
            <w:shd w:val="clear" w:color="auto" w:fill="E0E0E0"/>
          </w:tcPr>
          <w:p w14:paraId="3AE19FF9" w14:textId="77777777" w:rsidR="0087601C" w:rsidRPr="006A1EC7" w:rsidRDefault="0087601C" w:rsidP="00D56051">
            <w:pPr>
              <w:spacing w:line="320" w:lineRule="atLeast"/>
              <w:ind w:left="60" w:right="60"/>
              <w:rPr>
                <w:color w:val="264A60"/>
                <w:sz w:val="18"/>
              </w:rPr>
            </w:pPr>
            <w:r w:rsidRPr="006A1EC7">
              <w:rPr>
                <w:color w:val="264A60"/>
                <w:sz w:val="18"/>
              </w:rPr>
              <w:t>T1Joshua_Immun</w:t>
            </w:r>
          </w:p>
        </w:tc>
        <w:tc>
          <w:tcPr>
            <w:tcW w:w="1276" w:type="dxa"/>
            <w:tcBorders>
              <w:top w:val="single" w:sz="8" w:space="0" w:color="152935"/>
              <w:left w:val="nil"/>
              <w:bottom w:val="single" w:sz="8" w:space="0" w:color="AEAEAE"/>
              <w:right w:val="single" w:sz="8" w:space="0" w:color="E0E0E0"/>
            </w:tcBorders>
            <w:shd w:val="clear" w:color="auto" w:fill="FFFFFF"/>
          </w:tcPr>
          <w:p w14:paraId="7CC2E546"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5BE2BC1E" w14:textId="77777777" w:rsidR="0087601C" w:rsidRPr="006A1EC7" w:rsidRDefault="0087601C" w:rsidP="00D56051">
            <w:pPr>
              <w:spacing w:line="320" w:lineRule="atLeast"/>
              <w:ind w:left="60" w:right="60"/>
              <w:jc w:val="right"/>
              <w:rPr>
                <w:color w:val="010205"/>
                <w:sz w:val="18"/>
              </w:rPr>
            </w:pPr>
            <w:r w:rsidRPr="006A1EC7">
              <w:rPr>
                <w:color w:val="010205"/>
                <w:sz w:val="18"/>
              </w:rPr>
              <w:t>.09</w:t>
            </w:r>
          </w:p>
        </w:tc>
        <w:tc>
          <w:tcPr>
            <w:tcW w:w="1829" w:type="dxa"/>
            <w:tcBorders>
              <w:top w:val="single" w:sz="8" w:space="0" w:color="152935"/>
              <w:left w:val="single" w:sz="8" w:space="0" w:color="E0E0E0"/>
              <w:bottom w:val="single" w:sz="8" w:space="0" w:color="AEAEAE"/>
              <w:right w:val="single" w:sz="8" w:space="0" w:color="E0E0E0"/>
            </w:tcBorders>
            <w:shd w:val="clear" w:color="auto" w:fill="FFFFFF"/>
          </w:tcPr>
          <w:p w14:paraId="2457B752" w14:textId="77777777" w:rsidR="0087601C" w:rsidRPr="006A1EC7" w:rsidRDefault="0087601C" w:rsidP="00D56051">
            <w:pPr>
              <w:spacing w:line="320" w:lineRule="atLeast"/>
              <w:ind w:left="60" w:right="60"/>
              <w:jc w:val="right"/>
              <w:rPr>
                <w:color w:val="010205"/>
                <w:sz w:val="18"/>
              </w:rPr>
            </w:pPr>
            <w:r w:rsidRPr="006A1EC7">
              <w:rPr>
                <w:color w:val="010205"/>
                <w:sz w:val="18"/>
              </w:rPr>
              <w:t>.514</w:t>
            </w:r>
          </w:p>
        </w:tc>
        <w:tc>
          <w:tcPr>
            <w:tcW w:w="1829" w:type="dxa"/>
            <w:tcBorders>
              <w:top w:val="single" w:sz="8" w:space="0" w:color="152935"/>
              <w:left w:val="single" w:sz="8" w:space="0" w:color="E0E0E0"/>
              <w:bottom w:val="single" w:sz="8" w:space="0" w:color="AEAEAE"/>
              <w:right w:val="nil"/>
            </w:tcBorders>
            <w:shd w:val="clear" w:color="auto" w:fill="FFFFFF"/>
          </w:tcPr>
          <w:p w14:paraId="54209842" w14:textId="77777777" w:rsidR="0087601C" w:rsidRPr="006A1EC7" w:rsidRDefault="0087601C" w:rsidP="00D56051">
            <w:pPr>
              <w:spacing w:line="320" w:lineRule="atLeast"/>
              <w:ind w:left="60" w:right="60"/>
              <w:jc w:val="right"/>
              <w:rPr>
                <w:color w:val="010205"/>
                <w:sz w:val="18"/>
              </w:rPr>
            </w:pPr>
            <w:r w:rsidRPr="006A1EC7">
              <w:rPr>
                <w:color w:val="010205"/>
                <w:sz w:val="18"/>
              </w:rPr>
              <w:t>.088</w:t>
            </w:r>
          </w:p>
        </w:tc>
      </w:tr>
      <w:tr w:rsidR="0087601C" w:rsidRPr="006A1EC7" w14:paraId="777E23E9" w14:textId="77777777" w:rsidTr="00D56051">
        <w:trPr>
          <w:cantSplit/>
        </w:trPr>
        <w:tc>
          <w:tcPr>
            <w:tcW w:w="2250" w:type="dxa"/>
            <w:tcBorders>
              <w:top w:val="single" w:sz="8" w:space="0" w:color="AEAEAE"/>
              <w:left w:val="nil"/>
              <w:bottom w:val="single" w:sz="8" w:space="0" w:color="AEAEAE"/>
              <w:right w:val="nil"/>
            </w:tcBorders>
            <w:shd w:val="clear" w:color="auto" w:fill="E0E0E0"/>
          </w:tcPr>
          <w:p w14:paraId="5A4BCD94" w14:textId="77777777" w:rsidR="0087601C" w:rsidRPr="006A1EC7" w:rsidRDefault="0087601C" w:rsidP="00D56051">
            <w:pPr>
              <w:spacing w:line="320" w:lineRule="atLeast"/>
              <w:ind w:left="60" w:right="60"/>
              <w:rPr>
                <w:color w:val="264A60"/>
                <w:sz w:val="18"/>
              </w:rPr>
            </w:pPr>
            <w:r w:rsidRPr="006A1EC7">
              <w:rPr>
                <w:color w:val="264A60"/>
                <w:sz w:val="18"/>
              </w:rPr>
              <w:t>Sleep</w:t>
            </w:r>
          </w:p>
        </w:tc>
        <w:tc>
          <w:tcPr>
            <w:tcW w:w="1276" w:type="dxa"/>
            <w:tcBorders>
              <w:top w:val="single" w:sz="8" w:space="0" w:color="AEAEAE"/>
              <w:left w:val="nil"/>
              <w:bottom w:val="single" w:sz="8" w:space="0" w:color="AEAEAE"/>
              <w:right w:val="single" w:sz="8" w:space="0" w:color="E0E0E0"/>
            </w:tcBorders>
            <w:shd w:val="clear" w:color="auto" w:fill="FFFFFF"/>
          </w:tcPr>
          <w:p w14:paraId="291A7B83"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7801203C" w14:textId="77777777" w:rsidR="0087601C" w:rsidRPr="006A1EC7" w:rsidRDefault="0087601C" w:rsidP="00D56051">
            <w:pPr>
              <w:spacing w:line="320" w:lineRule="atLeast"/>
              <w:ind w:left="60" w:right="60"/>
              <w:jc w:val="right"/>
              <w:rPr>
                <w:color w:val="010205"/>
                <w:sz w:val="18"/>
              </w:rPr>
            </w:pPr>
            <w:r w:rsidRPr="006A1EC7">
              <w:rPr>
                <w:color w:val="010205"/>
                <w:sz w:val="18"/>
              </w:rPr>
              <w:t>.00</w:t>
            </w:r>
          </w:p>
        </w:tc>
        <w:tc>
          <w:tcPr>
            <w:tcW w:w="1829" w:type="dxa"/>
            <w:tcBorders>
              <w:top w:val="single" w:sz="8" w:space="0" w:color="AEAEAE"/>
              <w:left w:val="single" w:sz="8" w:space="0" w:color="E0E0E0"/>
              <w:bottom w:val="single" w:sz="8" w:space="0" w:color="AEAEAE"/>
              <w:right w:val="single" w:sz="8" w:space="0" w:color="E0E0E0"/>
            </w:tcBorders>
            <w:shd w:val="clear" w:color="auto" w:fill="FFFFFF"/>
          </w:tcPr>
          <w:p w14:paraId="5E3EA138" w14:textId="77777777" w:rsidR="0087601C" w:rsidRPr="006A1EC7" w:rsidRDefault="0087601C" w:rsidP="00D56051">
            <w:pPr>
              <w:spacing w:line="320" w:lineRule="atLeast"/>
              <w:ind w:left="60" w:right="60"/>
              <w:jc w:val="right"/>
              <w:rPr>
                <w:color w:val="010205"/>
                <w:sz w:val="18"/>
              </w:rPr>
            </w:pPr>
            <w:r w:rsidRPr="006A1EC7">
              <w:rPr>
                <w:color w:val="010205"/>
                <w:sz w:val="18"/>
              </w:rPr>
              <w:t>.000</w:t>
            </w:r>
            <w:r w:rsidRPr="006A1EC7">
              <w:rPr>
                <w:color w:val="010205"/>
                <w:sz w:val="18"/>
                <w:vertAlign w:val="superscript"/>
              </w:rPr>
              <w:t>a</w:t>
            </w:r>
          </w:p>
        </w:tc>
        <w:tc>
          <w:tcPr>
            <w:tcW w:w="1829" w:type="dxa"/>
            <w:tcBorders>
              <w:top w:val="single" w:sz="8" w:space="0" w:color="AEAEAE"/>
              <w:left w:val="single" w:sz="8" w:space="0" w:color="E0E0E0"/>
              <w:bottom w:val="single" w:sz="8" w:space="0" w:color="AEAEAE"/>
              <w:right w:val="nil"/>
            </w:tcBorders>
            <w:shd w:val="clear" w:color="auto" w:fill="FFFFFF"/>
          </w:tcPr>
          <w:p w14:paraId="23BBD243"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2B16ECF3" w14:textId="77777777" w:rsidTr="00D56051">
        <w:trPr>
          <w:cantSplit/>
        </w:trPr>
        <w:tc>
          <w:tcPr>
            <w:tcW w:w="2250" w:type="dxa"/>
            <w:tcBorders>
              <w:top w:val="single" w:sz="8" w:space="0" w:color="AEAEAE"/>
              <w:left w:val="nil"/>
              <w:bottom w:val="single" w:sz="8" w:space="0" w:color="152935"/>
              <w:right w:val="nil"/>
            </w:tcBorders>
            <w:shd w:val="clear" w:color="auto" w:fill="E0E0E0"/>
          </w:tcPr>
          <w:p w14:paraId="3D349E1A" w14:textId="77777777" w:rsidR="0087601C" w:rsidRPr="006A1EC7" w:rsidRDefault="0087601C" w:rsidP="00D56051">
            <w:pPr>
              <w:spacing w:line="320" w:lineRule="atLeast"/>
              <w:ind w:left="60" w:right="60"/>
              <w:rPr>
                <w:color w:val="264A60"/>
                <w:sz w:val="18"/>
              </w:rPr>
            </w:pPr>
            <w:r w:rsidRPr="006A1EC7">
              <w:rPr>
                <w:color w:val="264A60"/>
                <w:sz w:val="18"/>
              </w:rPr>
              <w:t>T1Joshua_Cardio</w:t>
            </w:r>
          </w:p>
        </w:tc>
        <w:tc>
          <w:tcPr>
            <w:tcW w:w="1276" w:type="dxa"/>
            <w:tcBorders>
              <w:top w:val="single" w:sz="8" w:space="0" w:color="AEAEAE"/>
              <w:left w:val="nil"/>
              <w:bottom w:val="single" w:sz="8" w:space="0" w:color="152935"/>
              <w:right w:val="single" w:sz="8" w:space="0" w:color="E0E0E0"/>
            </w:tcBorders>
            <w:shd w:val="clear" w:color="auto" w:fill="FFFFFF"/>
          </w:tcPr>
          <w:p w14:paraId="26A21A0C"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33CE0697" w14:textId="77777777" w:rsidR="0087601C" w:rsidRPr="006A1EC7" w:rsidRDefault="0087601C" w:rsidP="00D56051">
            <w:pPr>
              <w:spacing w:line="320" w:lineRule="atLeast"/>
              <w:ind w:left="60" w:right="60"/>
              <w:jc w:val="right"/>
              <w:rPr>
                <w:color w:val="010205"/>
                <w:sz w:val="18"/>
              </w:rPr>
            </w:pPr>
            <w:r w:rsidRPr="006A1EC7">
              <w:rPr>
                <w:color w:val="010205"/>
                <w:sz w:val="18"/>
              </w:rPr>
              <w:t>.61</w:t>
            </w:r>
          </w:p>
        </w:tc>
        <w:tc>
          <w:tcPr>
            <w:tcW w:w="1829" w:type="dxa"/>
            <w:tcBorders>
              <w:top w:val="single" w:sz="8" w:space="0" w:color="AEAEAE"/>
              <w:left w:val="single" w:sz="8" w:space="0" w:color="E0E0E0"/>
              <w:bottom w:val="single" w:sz="8" w:space="0" w:color="152935"/>
              <w:right w:val="single" w:sz="8" w:space="0" w:color="E0E0E0"/>
            </w:tcBorders>
            <w:shd w:val="clear" w:color="auto" w:fill="FFFFFF"/>
          </w:tcPr>
          <w:p w14:paraId="01DFAC98" w14:textId="77777777" w:rsidR="0087601C" w:rsidRPr="006A1EC7" w:rsidRDefault="0087601C" w:rsidP="00D56051">
            <w:pPr>
              <w:spacing w:line="320" w:lineRule="atLeast"/>
              <w:ind w:left="60" w:right="60"/>
              <w:jc w:val="right"/>
              <w:rPr>
                <w:color w:val="010205"/>
                <w:sz w:val="18"/>
              </w:rPr>
            </w:pPr>
            <w:r w:rsidRPr="006A1EC7">
              <w:rPr>
                <w:color w:val="010205"/>
                <w:sz w:val="18"/>
              </w:rPr>
              <w:t>.747</w:t>
            </w:r>
          </w:p>
        </w:tc>
        <w:tc>
          <w:tcPr>
            <w:tcW w:w="1829" w:type="dxa"/>
            <w:tcBorders>
              <w:top w:val="single" w:sz="8" w:space="0" w:color="AEAEAE"/>
              <w:left w:val="single" w:sz="8" w:space="0" w:color="E0E0E0"/>
              <w:bottom w:val="single" w:sz="8" w:space="0" w:color="152935"/>
              <w:right w:val="nil"/>
            </w:tcBorders>
            <w:shd w:val="clear" w:color="auto" w:fill="FFFFFF"/>
          </w:tcPr>
          <w:p w14:paraId="7CECFF9C" w14:textId="77777777" w:rsidR="0087601C" w:rsidRPr="006A1EC7" w:rsidRDefault="0087601C" w:rsidP="00D56051">
            <w:pPr>
              <w:spacing w:line="320" w:lineRule="atLeast"/>
              <w:ind w:left="60" w:right="60"/>
              <w:jc w:val="right"/>
              <w:rPr>
                <w:color w:val="010205"/>
                <w:sz w:val="18"/>
              </w:rPr>
            </w:pPr>
            <w:r w:rsidRPr="006A1EC7">
              <w:rPr>
                <w:color w:val="010205"/>
                <w:sz w:val="18"/>
              </w:rPr>
              <w:t>.130</w:t>
            </w:r>
          </w:p>
        </w:tc>
      </w:tr>
    </w:tbl>
    <w:p w14:paraId="298CF8A0" w14:textId="77777777" w:rsidR="0087601C" w:rsidRPr="006A1EC7" w:rsidRDefault="0087601C" w:rsidP="0087601C">
      <w:pPr>
        <w:rPr>
          <w:color w:val="010205"/>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5"/>
        <w:gridCol w:w="1178"/>
        <w:gridCol w:w="1178"/>
        <w:gridCol w:w="1689"/>
        <w:gridCol w:w="1689"/>
        <w:gridCol w:w="651"/>
        <w:gridCol w:w="1038"/>
        <w:gridCol w:w="1689"/>
      </w:tblGrid>
      <w:tr w:rsidR="0087601C" w:rsidRPr="006A1EC7" w14:paraId="27806D5D" w14:textId="77777777" w:rsidTr="00D56051">
        <w:trPr>
          <w:gridAfter w:val="2"/>
          <w:wAfter w:w="2727" w:type="dxa"/>
          <w:cantSplit/>
        </w:trPr>
        <w:tc>
          <w:tcPr>
            <w:tcW w:w="8460" w:type="dxa"/>
            <w:gridSpan w:val="6"/>
            <w:tcBorders>
              <w:top w:val="nil"/>
              <w:left w:val="nil"/>
              <w:bottom w:val="nil"/>
              <w:right w:val="nil"/>
            </w:tcBorders>
            <w:shd w:val="clear" w:color="auto" w:fill="FFFFFF"/>
          </w:tcPr>
          <w:p w14:paraId="202ADD81" w14:textId="77777777" w:rsidR="0087601C" w:rsidRPr="006A1EC7" w:rsidRDefault="0087601C" w:rsidP="00D56051">
            <w:pPr>
              <w:spacing w:line="320" w:lineRule="atLeast"/>
              <w:ind w:left="60" w:right="60"/>
              <w:rPr>
                <w:color w:val="010205"/>
                <w:sz w:val="18"/>
              </w:rPr>
            </w:pPr>
            <w:r w:rsidRPr="006A1EC7">
              <w:rPr>
                <w:color w:val="010205"/>
                <w:sz w:val="18"/>
              </w:rPr>
              <w:t>a. t cannot be computed because the standard deviation is 0.</w:t>
            </w:r>
          </w:p>
        </w:tc>
      </w:tr>
      <w:tr w:rsidR="0087601C" w:rsidRPr="006A1EC7" w14:paraId="4B6CF622" w14:textId="77777777" w:rsidTr="00D56051">
        <w:trPr>
          <w:cantSplit/>
        </w:trPr>
        <w:tc>
          <w:tcPr>
            <w:tcW w:w="2075" w:type="dxa"/>
            <w:vMerge w:val="restart"/>
            <w:tcBorders>
              <w:top w:val="nil"/>
              <w:left w:val="nil"/>
              <w:bottom w:val="nil"/>
              <w:right w:val="nil"/>
            </w:tcBorders>
            <w:shd w:val="clear" w:color="auto" w:fill="FFFFFF"/>
            <w:vAlign w:val="bottom"/>
          </w:tcPr>
          <w:p w14:paraId="04F057EA" w14:textId="77777777" w:rsidR="0087601C" w:rsidRPr="006A1EC7" w:rsidRDefault="0087601C" w:rsidP="00D56051">
            <w:pPr>
              <w:rPr>
                <w:sz w:val="18"/>
              </w:rPr>
            </w:pPr>
          </w:p>
        </w:tc>
        <w:tc>
          <w:tcPr>
            <w:tcW w:w="9112" w:type="dxa"/>
            <w:gridSpan w:val="7"/>
            <w:tcBorders>
              <w:top w:val="nil"/>
              <w:left w:val="nil"/>
              <w:bottom w:val="nil"/>
              <w:right w:val="nil"/>
            </w:tcBorders>
            <w:shd w:val="clear" w:color="auto" w:fill="FFFFFF"/>
            <w:vAlign w:val="bottom"/>
          </w:tcPr>
          <w:p w14:paraId="1369584B"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0</w:t>
            </w:r>
          </w:p>
        </w:tc>
      </w:tr>
      <w:tr w:rsidR="0087601C" w:rsidRPr="006A1EC7" w14:paraId="1F2924C4" w14:textId="77777777" w:rsidTr="00D56051">
        <w:trPr>
          <w:cantSplit/>
        </w:trPr>
        <w:tc>
          <w:tcPr>
            <w:tcW w:w="2075" w:type="dxa"/>
            <w:vMerge/>
            <w:tcBorders>
              <w:top w:val="nil"/>
              <w:left w:val="nil"/>
              <w:bottom w:val="nil"/>
              <w:right w:val="nil"/>
            </w:tcBorders>
            <w:shd w:val="clear" w:color="auto" w:fill="FFFFFF"/>
            <w:vAlign w:val="bottom"/>
          </w:tcPr>
          <w:p w14:paraId="2E2B5BBB" w14:textId="77777777" w:rsidR="0087601C" w:rsidRPr="006A1EC7" w:rsidRDefault="0087601C" w:rsidP="00D56051">
            <w:pPr>
              <w:rPr>
                <w:color w:val="264A60"/>
                <w:sz w:val="18"/>
              </w:rPr>
            </w:pPr>
          </w:p>
        </w:tc>
        <w:tc>
          <w:tcPr>
            <w:tcW w:w="1178" w:type="dxa"/>
            <w:vMerge w:val="restart"/>
            <w:tcBorders>
              <w:top w:val="nil"/>
              <w:left w:val="nil"/>
              <w:bottom w:val="nil"/>
              <w:right w:val="single" w:sz="8" w:space="0" w:color="E0E0E0"/>
            </w:tcBorders>
            <w:shd w:val="clear" w:color="auto" w:fill="FFFFFF"/>
            <w:vAlign w:val="bottom"/>
          </w:tcPr>
          <w:p w14:paraId="506AE58E"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78" w:type="dxa"/>
            <w:vMerge w:val="restart"/>
            <w:tcBorders>
              <w:top w:val="nil"/>
              <w:left w:val="single" w:sz="8" w:space="0" w:color="E0E0E0"/>
              <w:bottom w:val="nil"/>
              <w:right w:val="single" w:sz="8" w:space="0" w:color="E0E0E0"/>
            </w:tcBorders>
            <w:shd w:val="clear" w:color="auto" w:fill="FFFFFF"/>
            <w:vAlign w:val="bottom"/>
          </w:tcPr>
          <w:p w14:paraId="2FF56383"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89" w:type="dxa"/>
            <w:vMerge w:val="restart"/>
            <w:tcBorders>
              <w:top w:val="nil"/>
              <w:left w:val="single" w:sz="8" w:space="0" w:color="E0E0E0"/>
              <w:bottom w:val="nil"/>
              <w:right w:val="single" w:sz="8" w:space="0" w:color="E0E0E0"/>
            </w:tcBorders>
            <w:shd w:val="clear" w:color="auto" w:fill="FFFFFF"/>
            <w:vAlign w:val="bottom"/>
          </w:tcPr>
          <w:p w14:paraId="73F753C8"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89" w:type="dxa"/>
            <w:vMerge w:val="restart"/>
            <w:tcBorders>
              <w:top w:val="nil"/>
              <w:left w:val="single" w:sz="8" w:space="0" w:color="E0E0E0"/>
              <w:bottom w:val="nil"/>
              <w:right w:val="single" w:sz="8" w:space="0" w:color="E0E0E0"/>
            </w:tcBorders>
            <w:shd w:val="clear" w:color="auto" w:fill="FFFFFF"/>
            <w:vAlign w:val="bottom"/>
          </w:tcPr>
          <w:p w14:paraId="72560C86"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78" w:type="dxa"/>
            <w:gridSpan w:val="3"/>
            <w:tcBorders>
              <w:top w:val="nil"/>
              <w:left w:val="single" w:sz="8" w:space="0" w:color="E0E0E0"/>
              <w:bottom w:val="nil"/>
              <w:right w:val="nil"/>
            </w:tcBorders>
            <w:shd w:val="clear" w:color="auto" w:fill="FFFFFF"/>
            <w:vAlign w:val="bottom"/>
          </w:tcPr>
          <w:p w14:paraId="6A2B6E08"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551BB147" w14:textId="77777777" w:rsidTr="00D56051">
        <w:trPr>
          <w:cantSplit/>
        </w:trPr>
        <w:tc>
          <w:tcPr>
            <w:tcW w:w="2075" w:type="dxa"/>
            <w:vMerge/>
            <w:tcBorders>
              <w:top w:val="nil"/>
              <w:left w:val="nil"/>
              <w:bottom w:val="nil"/>
              <w:right w:val="nil"/>
            </w:tcBorders>
            <w:shd w:val="clear" w:color="auto" w:fill="FFFFFF"/>
            <w:vAlign w:val="bottom"/>
          </w:tcPr>
          <w:p w14:paraId="08743059" w14:textId="77777777" w:rsidR="0087601C" w:rsidRPr="006A1EC7" w:rsidRDefault="0087601C" w:rsidP="00D56051">
            <w:pPr>
              <w:rPr>
                <w:color w:val="264A60"/>
                <w:sz w:val="18"/>
              </w:rPr>
            </w:pPr>
          </w:p>
        </w:tc>
        <w:tc>
          <w:tcPr>
            <w:tcW w:w="1178" w:type="dxa"/>
            <w:vMerge/>
            <w:tcBorders>
              <w:top w:val="nil"/>
              <w:left w:val="nil"/>
              <w:bottom w:val="nil"/>
              <w:right w:val="single" w:sz="8" w:space="0" w:color="E0E0E0"/>
            </w:tcBorders>
            <w:shd w:val="clear" w:color="auto" w:fill="FFFFFF"/>
            <w:vAlign w:val="bottom"/>
          </w:tcPr>
          <w:p w14:paraId="6C6F8233" w14:textId="77777777" w:rsidR="0087601C" w:rsidRPr="006A1EC7" w:rsidRDefault="0087601C" w:rsidP="00D56051">
            <w:pPr>
              <w:rPr>
                <w:color w:val="264A60"/>
                <w:sz w:val="18"/>
              </w:rPr>
            </w:pPr>
          </w:p>
        </w:tc>
        <w:tc>
          <w:tcPr>
            <w:tcW w:w="1178" w:type="dxa"/>
            <w:vMerge/>
            <w:tcBorders>
              <w:top w:val="nil"/>
              <w:left w:val="single" w:sz="8" w:space="0" w:color="E0E0E0"/>
              <w:bottom w:val="nil"/>
              <w:right w:val="single" w:sz="8" w:space="0" w:color="E0E0E0"/>
            </w:tcBorders>
            <w:shd w:val="clear" w:color="auto" w:fill="FFFFFF"/>
            <w:vAlign w:val="bottom"/>
          </w:tcPr>
          <w:p w14:paraId="0CE2BD64" w14:textId="77777777" w:rsidR="0087601C" w:rsidRPr="006A1EC7" w:rsidRDefault="0087601C" w:rsidP="00D56051">
            <w:pPr>
              <w:rPr>
                <w:color w:val="264A60"/>
                <w:sz w:val="18"/>
              </w:rPr>
            </w:pPr>
          </w:p>
        </w:tc>
        <w:tc>
          <w:tcPr>
            <w:tcW w:w="1689" w:type="dxa"/>
            <w:vMerge/>
            <w:tcBorders>
              <w:top w:val="nil"/>
              <w:left w:val="single" w:sz="8" w:space="0" w:color="E0E0E0"/>
              <w:bottom w:val="nil"/>
              <w:right w:val="single" w:sz="8" w:space="0" w:color="E0E0E0"/>
            </w:tcBorders>
            <w:shd w:val="clear" w:color="auto" w:fill="FFFFFF"/>
            <w:vAlign w:val="bottom"/>
          </w:tcPr>
          <w:p w14:paraId="7188574D" w14:textId="77777777" w:rsidR="0087601C" w:rsidRPr="006A1EC7" w:rsidRDefault="0087601C" w:rsidP="00D56051">
            <w:pPr>
              <w:rPr>
                <w:color w:val="264A60"/>
                <w:sz w:val="18"/>
              </w:rPr>
            </w:pPr>
          </w:p>
        </w:tc>
        <w:tc>
          <w:tcPr>
            <w:tcW w:w="1689" w:type="dxa"/>
            <w:vMerge/>
            <w:tcBorders>
              <w:top w:val="nil"/>
              <w:left w:val="single" w:sz="8" w:space="0" w:color="E0E0E0"/>
              <w:bottom w:val="nil"/>
              <w:right w:val="single" w:sz="8" w:space="0" w:color="E0E0E0"/>
            </w:tcBorders>
            <w:shd w:val="clear" w:color="auto" w:fill="FFFFFF"/>
            <w:vAlign w:val="bottom"/>
          </w:tcPr>
          <w:p w14:paraId="168A2B19" w14:textId="77777777" w:rsidR="0087601C" w:rsidRPr="006A1EC7" w:rsidRDefault="0087601C" w:rsidP="00D56051">
            <w:pPr>
              <w:rPr>
                <w:color w:val="264A60"/>
                <w:sz w:val="18"/>
              </w:rPr>
            </w:pPr>
          </w:p>
        </w:tc>
        <w:tc>
          <w:tcPr>
            <w:tcW w:w="1689" w:type="dxa"/>
            <w:gridSpan w:val="2"/>
            <w:tcBorders>
              <w:top w:val="nil"/>
              <w:left w:val="single" w:sz="8" w:space="0" w:color="E0E0E0"/>
              <w:bottom w:val="single" w:sz="8" w:space="0" w:color="152935"/>
              <w:right w:val="single" w:sz="8" w:space="0" w:color="E0E0E0"/>
            </w:tcBorders>
            <w:shd w:val="clear" w:color="auto" w:fill="FFFFFF"/>
            <w:vAlign w:val="bottom"/>
          </w:tcPr>
          <w:p w14:paraId="4DA416F4"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89" w:type="dxa"/>
            <w:tcBorders>
              <w:top w:val="nil"/>
              <w:left w:val="single" w:sz="8" w:space="0" w:color="E0E0E0"/>
              <w:bottom w:val="single" w:sz="8" w:space="0" w:color="152935"/>
              <w:right w:val="nil"/>
            </w:tcBorders>
            <w:shd w:val="clear" w:color="auto" w:fill="FFFFFF"/>
            <w:vAlign w:val="bottom"/>
          </w:tcPr>
          <w:p w14:paraId="2B116350"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1DF24415" w14:textId="77777777" w:rsidTr="00D56051">
        <w:trPr>
          <w:cantSplit/>
        </w:trPr>
        <w:tc>
          <w:tcPr>
            <w:tcW w:w="2075" w:type="dxa"/>
            <w:tcBorders>
              <w:top w:val="single" w:sz="8" w:space="0" w:color="152935"/>
              <w:left w:val="nil"/>
              <w:bottom w:val="single" w:sz="8" w:space="0" w:color="AEAEAE"/>
              <w:right w:val="nil"/>
            </w:tcBorders>
            <w:shd w:val="clear" w:color="auto" w:fill="E0E0E0"/>
          </w:tcPr>
          <w:p w14:paraId="226CD9FF" w14:textId="77777777" w:rsidR="0087601C" w:rsidRPr="006A1EC7" w:rsidRDefault="0087601C" w:rsidP="00D56051">
            <w:pPr>
              <w:spacing w:line="320" w:lineRule="atLeast"/>
              <w:ind w:left="60" w:right="60"/>
              <w:rPr>
                <w:color w:val="264A60"/>
                <w:sz w:val="18"/>
              </w:rPr>
            </w:pPr>
            <w:r w:rsidRPr="006A1EC7">
              <w:rPr>
                <w:color w:val="264A60"/>
                <w:sz w:val="18"/>
              </w:rPr>
              <w:t>T1Joshua_Immun</w:t>
            </w:r>
          </w:p>
        </w:tc>
        <w:tc>
          <w:tcPr>
            <w:tcW w:w="1178" w:type="dxa"/>
            <w:tcBorders>
              <w:top w:val="single" w:sz="8" w:space="0" w:color="152935"/>
              <w:left w:val="nil"/>
              <w:bottom w:val="single" w:sz="8" w:space="0" w:color="AEAEAE"/>
              <w:right w:val="single" w:sz="8" w:space="0" w:color="E0E0E0"/>
            </w:tcBorders>
            <w:shd w:val="clear" w:color="auto" w:fill="FFFFFF"/>
          </w:tcPr>
          <w:p w14:paraId="44F3C003" w14:textId="77777777" w:rsidR="0087601C" w:rsidRPr="006A1EC7" w:rsidRDefault="0087601C" w:rsidP="00D56051">
            <w:pPr>
              <w:spacing w:line="320" w:lineRule="atLeast"/>
              <w:ind w:left="60" w:right="60"/>
              <w:jc w:val="right"/>
              <w:rPr>
                <w:color w:val="010205"/>
                <w:sz w:val="18"/>
              </w:rPr>
            </w:pPr>
            <w:r w:rsidRPr="006A1EC7">
              <w:rPr>
                <w:color w:val="010205"/>
                <w:sz w:val="18"/>
              </w:rPr>
              <w:t>1.000</w:t>
            </w:r>
          </w:p>
        </w:tc>
        <w:tc>
          <w:tcPr>
            <w:tcW w:w="1178" w:type="dxa"/>
            <w:tcBorders>
              <w:top w:val="single" w:sz="8" w:space="0" w:color="152935"/>
              <w:left w:val="single" w:sz="8" w:space="0" w:color="E0E0E0"/>
              <w:bottom w:val="single" w:sz="8" w:space="0" w:color="AEAEAE"/>
              <w:right w:val="single" w:sz="8" w:space="0" w:color="E0E0E0"/>
            </w:tcBorders>
            <w:shd w:val="clear" w:color="auto" w:fill="FFFFFF"/>
          </w:tcPr>
          <w:p w14:paraId="561A0BA7"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689" w:type="dxa"/>
            <w:tcBorders>
              <w:top w:val="single" w:sz="8" w:space="0" w:color="152935"/>
              <w:left w:val="single" w:sz="8" w:space="0" w:color="E0E0E0"/>
              <w:bottom w:val="single" w:sz="8" w:space="0" w:color="AEAEAE"/>
              <w:right w:val="single" w:sz="8" w:space="0" w:color="E0E0E0"/>
            </w:tcBorders>
            <w:shd w:val="clear" w:color="auto" w:fill="FFFFFF"/>
          </w:tcPr>
          <w:p w14:paraId="403DFA55" w14:textId="77777777" w:rsidR="0087601C" w:rsidRPr="006A1EC7" w:rsidRDefault="0087601C" w:rsidP="00D56051">
            <w:pPr>
              <w:spacing w:line="320" w:lineRule="atLeast"/>
              <w:ind w:left="60" w:right="60"/>
              <w:jc w:val="right"/>
              <w:rPr>
                <w:color w:val="010205"/>
                <w:sz w:val="18"/>
              </w:rPr>
            </w:pPr>
            <w:r w:rsidRPr="006A1EC7">
              <w:rPr>
                <w:color w:val="010205"/>
                <w:sz w:val="18"/>
              </w:rPr>
              <w:t>.325</w:t>
            </w:r>
          </w:p>
        </w:tc>
        <w:tc>
          <w:tcPr>
            <w:tcW w:w="1689" w:type="dxa"/>
            <w:tcBorders>
              <w:top w:val="single" w:sz="8" w:space="0" w:color="152935"/>
              <w:left w:val="single" w:sz="8" w:space="0" w:color="E0E0E0"/>
              <w:bottom w:val="single" w:sz="8" w:space="0" w:color="AEAEAE"/>
              <w:right w:val="single" w:sz="8" w:space="0" w:color="E0E0E0"/>
            </w:tcBorders>
            <w:shd w:val="clear" w:color="auto" w:fill="FFFFFF"/>
          </w:tcPr>
          <w:p w14:paraId="24B9619A" w14:textId="77777777" w:rsidR="0087601C" w:rsidRPr="006A1EC7" w:rsidRDefault="0087601C" w:rsidP="00D56051">
            <w:pPr>
              <w:spacing w:line="320" w:lineRule="atLeast"/>
              <w:ind w:left="60" w:right="60"/>
              <w:jc w:val="right"/>
              <w:rPr>
                <w:color w:val="010205"/>
                <w:sz w:val="18"/>
              </w:rPr>
            </w:pPr>
            <w:r w:rsidRPr="006A1EC7">
              <w:rPr>
                <w:color w:val="010205"/>
                <w:sz w:val="18"/>
              </w:rPr>
              <w:t>.088</w:t>
            </w:r>
          </w:p>
        </w:tc>
        <w:tc>
          <w:tcPr>
            <w:tcW w:w="1689" w:type="dxa"/>
            <w:gridSpan w:val="2"/>
            <w:tcBorders>
              <w:top w:val="single" w:sz="8" w:space="0" w:color="152935"/>
              <w:left w:val="single" w:sz="8" w:space="0" w:color="E0E0E0"/>
              <w:bottom w:val="single" w:sz="8" w:space="0" w:color="AEAEAE"/>
              <w:right w:val="single" w:sz="8" w:space="0" w:color="E0E0E0"/>
            </w:tcBorders>
            <w:shd w:val="clear" w:color="auto" w:fill="FFFFFF"/>
          </w:tcPr>
          <w:p w14:paraId="76E218CC" w14:textId="77777777" w:rsidR="0087601C" w:rsidRPr="006A1EC7" w:rsidRDefault="0087601C" w:rsidP="00D56051">
            <w:pPr>
              <w:spacing w:line="320" w:lineRule="atLeast"/>
              <w:ind w:left="60" w:right="60"/>
              <w:jc w:val="right"/>
              <w:rPr>
                <w:color w:val="010205"/>
                <w:sz w:val="18"/>
              </w:rPr>
            </w:pPr>
            <w:r w:rsidRPr="006A1EC7">
              <w:rPr>
                <w:color w:val="010205"/>
                <w:sz w:val="18"/>
              </w:rPr>
              <w:t>-.09</w:t>
            </w:r>
          </w:p>
        </w:tc>
        <w:tc>
          <w:tcPr>
            <w:tcW w:w="1689" w:type="dxa"/>
            <w:tcBorders>
              <w:top w:val="single" w:sz="8" w:space="0" w:color="152935"/>
              <w:left w:val="single" w:sz="8" w:space="0" w:color="E0E0E0"/>
              <w:bottom w:val="single" w:sz="8" w:space="0" w:color="AEAEAE"/>
              <w:right w:val="nil"/>
            </w:tcBorders>
            <w:shd w:val="clear" w:color="auto" w:fill="FFFFFF"/>
          </w:tcPr>
          <w:p w14:paraId="5ADE51BA" w14:textId="77777777" w:rsidR="0087601C" w:rsidRPr="006A1EC7" w:rsidRDefault="0087601C" w:rsidP="00D56051">
            <w:pPr>
              <w:spacing w:line="320" w:lineRule="atLeast"/>
              <w:ind w:left="60" w:right="60"/>
              <w:jc w:val="right"/>
              <w:rPr>
                <w:color w:val="010205"/>
                <w:sz w:val="18"/>
              </w:rPr>
            </w:pPr>
            <w:r w:rsidRPr="006A1EC7">
              <w:rPr>
                <w:color w:val="010205"/>
                <w:sz w:val="18"/>
              </w:rPr>
              <w:t>.27</w:t>
            </w:r>
          </w:p>
        </w:tc>
      </w:tr>
      <w:tr w:rsidR="0087601C" w:rsidRPr="006A1EC7" w14:paraId="1D583F4F" w14:textId="77777777" w:rsidTr="00D56051">
        <w:trPr>
          <w:cantSplit/>
        </w:trPr>
        <w:tc>
          <w:tcPr>
            <w:tcW w:w="2075" w:type="dxa"/>
            <w:tcBorders>
              <w:top w:val="single" w:sz="8" w:space="0" w:color="AEAEAE"/>
              <w:left w:val="nil"/>
              <w:bottom w:val="single" w:sz="8" w:space="0" w:color="152935"/>
              <w:right w:val="nil"/>
            </w:tcBorders>
            <w:shd w:val="clear" w:color="auto" w:fill="E0E0E0"/>
          </w:tcPr>
          <w:p w14:paraId="722AA89A" w14:textId="77777777" w:rsidR="0087601C" w:rsidRPr="006A1EC7" w:rsidRDefault="0087601C" w:rsidP="00D56051">
            <w:pPr>
              <w:spacing w:line="320" w:lineRule="atLeast"/>
              <w:ind w:left="60" w:right="60"/>
              <w:rPr>
                <w:color w:val="264A60"/>
                <w:sz w:val="18"/>
              </w:rPr>
            </w:pPr>
            <w:r w:rsidRPr="006A1EC7">
              <w:rPr>
                <w:color w:val="264A60"/>
                <w:sz w:val="18"/>
              </w:rPr>
              <w:t>T1Joshua_Cardio</w:t>
            </w:r>
          </w:p>
        </w:tc>
        <w:tc>
          <w:tcPr>
            <w:tcW w:w="1178" w:type="dxa"/>
            <w:tcBorders>
              <w:top w:val="single" w:sz="8" w:space="0" w:color="AEAEAE"/>
              <w:left w:val="nil"/>
              <w:bottom w:val="single" w:sz="8" w:space="0" w:color="152935"/>
              <w:right w:val="single" w:sz="8" w:space="0" w:color="E0E0E0"/>
            </w:tcBorders>
            <w:shd w:val="clear" w:color="auto" w:fill="FFFFFF"/>
          </w:tcPr>
          <w:p w14:paraId="69930704" w14:textId="77777777" w:rsidR="0087601C" w:rsidRPr="006A1EC7" w:rsidRDefault="0087601C" w:rsidP="00D56051">
            <w:pPr>
              <w:spacing w:line="320" w:lineRule="atLeast"/>
              <w:ind w:left="60" w:right="60"/>
              <w:jc w:val="right"/>
              <w:rPr>
                <w:color w:val="010205"/>
                <w:sz w:val="18"/>
              </w:rPr>
            </w:pPr>
            <w:r w:rsidRPr="006A1EC7">
              <w:rPr>
                <w:color w:val="010205"/>
                <w:sz w:val="18"/>
              </w:rPr>
              <w:t>4.658</w:t>
            </w:r>
          </w:p>
        </w:tc>
        <w:tc>
          <w:tcPr>
            <w:tcW w:w="1178" w:type="dxa"/>
            <w:tcBorders>
              <w:top w:val="single" w:sz="8" w:space="0" w:color="AEAEAE"/>
              <w:left w:val="single" w:sz="8" w:space="0" w:color="E0E0E0"/>
              <w:bottom w:val="single" w:sz="8" w:space="0" w:color="152935"/>
              <w:right w:val="single" w:sz="8" w:space="0" w:color="E0E0E0"/>
            </w:tcBorders>
            <w:shd w:val="clear" w:color="auto" w:fill="FFFFFF"/>
          </w:tcPr>
          <w:p w14:paraId="48811405" w14:textId="77777777" w:rsidR="0087601C" w:rsidRPr="006A1EC7" w:rsidRDefault="0087601C" w:rsidP="00D56051">
            <w:pPr>
              <w:spacing w:line="320" w:lineRule="atLeast"/>
              <w:ind w:left="60" w:right="60"/>
              <w:jc w:val="right"/>
              <w:rPr>
                <w:color w:val="010205"/>
                <w:sz w:val="18"/>
              </w:rPr>
            </w:pPr>
            <w:r w:rsidRPr="006A1EC7">
              <w:rPr>
                <w:color w:val="010205"/>
                <w:sz w:val="18"/>
              </w:rPr>
              <w:t>32</w:t>
            </w:r>
          </w:p>
        </w:tc>
        <w:tc>
          <w:tcPr>
            <w:tcW w:w="1689" w:type="dxa"/>
            <w:tcBorders>
              <w:top w:val="single" w:sz="8" w:space="0" w:color="AEAEAE"/>
              <w:left w:val="single" w:sz="8" w:space="0" w:color="E0E0E0"/>
              <w:bottom w:val="single" w:sz="8" w:space="0" w:color="152935"/>
              <w:right w:val="single" w:sz="8" w:space="0" w:color="E0E0E0"/>
            </w:tcBorders>
            <w:shd w:val="clear" w:color="auto" w:fill="FFFFFF"/>
          </w:tcPr>
          <w:p w14:paraId="1AE9EF6B"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89" w:type="dxa"/>
            <w:tcBorders>
              <w:top w:val="single" w:sz="8" w:space="0" w:color="AEAEAE"/>
              <w:left w:val="single" w:sz="8" w:space="0" w:color="E0E0E0"/>
              <w:bottom w:val="single" w:sz="8" w:space="0" w:color="152935"/>
              <w:right w:val="single" w:sz="8" w:space="0" w:color="E0E0E0"/>
            </w:tcBorders>
            <w:shd w:val="clear" w:color="auto" w:fill="FFFFFF"/>
          </w:tcPr>
          <w:p w14:paraId="1B92890E" w14:textId="77777777" w:rsidR="0087601C" w:rsidRPr="006A1EC7" w:rsidRDefault="0087601C" w:rsidP="00D56051">
            <w:pPr>
              <w:spacing w:line="320" w:lineRule="atLeast"/>
              <w:ind w:left="60" w:right="60"/>
              <w:jc w:val="right"/>
              <w:rPr>
                <w:color w:val="010205"/>
                <w:sz w:val="18"/>
              </w:rPr>
            </w:pPr>
            <w:r w:rsidRPr="006A1EC7">
              <w:rPr>
                <w:color w:val="010205"/>
                <w:sz w:val="18"/>
              </w:rPr>
              <w:t>.606</w:t>
            </w:r>
          </w:p>
        </w:tc>
        <w:tc>
          <w:tcPr>
            <w:tcW w:w="1689" w:type="dxa"/>
            <w:gridSpan w:val="2"/>
            <w:tcBorders>
              <w:top w:val="single" w:sz="8" w:space="0" w:color="AEAEAE"/>
              <w:left w:val="single" w:sz="8" w:space="0" w:color="E0E0E0"/>
              <w:bottom w:val="single" w:sz="8" w:space="0" w:color="152935"/>
              <w:right w:val="single" w:sz="8" w:space="0" w:color="E0E0E0"/>
            </w:tcBorders>
            <w:shd w:val="clear" w:color="auto" w:fill="FFFFFF"/>
          </w:tcPr>
          <w:p w14:paraId="5FA0A5DE"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689" w:type="dxa"/>
            <w:tcBorders>
              <w:top w:val="single" w:sz="8" w:space="0" w:color="AEAEAE"/>
              <w:left w:val="single" w:sz="8" w:space="0" w:color="E0E0E0"/>
              <w:bottom w:val="single" w:sz="8" w:space="0" w:color="152935"/>
              <w:right w:val="nil"/>
            </w:tcBorders>
            <w:shd w:val="clear" w:color="auto" w:fill="FFFFFF"/>
          </w:tcPr>
          <w:p w14:paraId="31080FF0" w14:textId="77777777" w:rsidR="0087601C" w:rsidRPr="006A1EC7" w:rsidRDefault="0087601C" w:rsidP="00D56051">
            <w:pPr>
              <w:spacing w:line="320" w:lineRule="atLeast"/>
              <w:ind w:left="60" w:right="60"/>
              <w:jc w:val="right"/>
              <w:rPr>
                <w:color w:val="010205"/>
                <w:sz w:val="18"/>
              </w:rPr>
            </w:pPr>
            <w:r w:rsidRPr="006A1EC7">
              <w:rPr>
                <w:color w:val="010205"/>
                <w:sz w:val="18"/>
              </w:rPr>
              <w:t>.87</w:t>
            </w:r>
          </w:p>
        </w:tc>
      </w:tr>
    </w:tbl>
    <w:p w14:paraId="5D817A5C"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1"/>
        <w:gridCol w:w="104"/>
        <w:gridCol w:w="1105"/>
        <w:gridCol w:w="172"/>
        <w:gridCol w:w="1037"/>
        <w:gridCol w:w="240"/>
        <w:gridCol w:w="1492"/>
        <w:gridCol w:w="338"/>
        <w:gridCol w:w="1394"/>
        <w:gridCol w:w="436"/>
        <w:gridCol w:w="1296"/>
        <w:gridCol w:w="1732"/>
      </w:tblGrid>
      <w:tr w:rsidR="0087601C" w:rsidRPr="006A1EC7" w14:paraId="74094AF6" w14:textId="77777777" w:rsidTr="00D56051">
        <w:trPr>
          <w:gridAfter w:val="2"/>
          <w:wAfter w:w="3028" w:type="dxa"/>
          <w:cantSplit/>
        </w:trPr>
        <w:tc>
          <w:tcPr>
            <w:tcW w:w="8159" w:type="dxa"/>
            <w:gridSpan w:val="10"/>
            <w:tcBorders>
              <w:top w:val="nil"/>
              <w:left w:val="nil"/>
              <w:bottom w:val="nil"/>
              <w:right w:val="nil"/>
            </w:tcBorders>
            <w:shd w:val="clear" w:color="auto" w:fill="FFFFFF"/>
            <w:vAlign w:val="center"/>
          </w:tcPr>
          <w:p w14:paraId="4B401242" w14:textId="77777777" w:rsidR="0087601C" w:rsidRPr="006A1EC7" w:rsidRDefault="0087601C" w:rsidP="00D56051">
            <w:pPr>
              <w:spacing w:line="320" w:lineRule="atLeast"/>
              <w:ind w:right="60"/>
              <w:rPr>
                <w:color w:val="010205"/>
                <w:sz w:val="22"/>
                <w:szCs w:val="30"/>
              </w:rPr>
            </w:pPr>
          </w:p>
        </w:tc>
      </w:tr>
      <w:tr w:rsidR="0087601C" w:rsidRPr="006A1EC7" w14:paraId="18116225" w14:textId="77777777" w:rsidTr="00D56051">
        <w:trPr>
          <w:gridAfter w:val="2"/>
          <w:wAfter w:w="3028" w:type="dxa"/>
          <w:cantSplit/>
        </w:trPr>
        <w:tc>
          <w:tcPr>
            <w:tcW w:w="1945" w:type="dxa"/>
            <w:gridSpan w:val="2"/>
            <w:tcBorders>
              <w:top w:val="nil"/>
              <w:left w:val="nil"/>
              <w:bottom w:val="single" w:sz="8" w:space="0" w:color="152935"/>
              <w:right w:val="nil"/>
            </w:tcBorders>
            <w:shd w:val="clear" w:color="auto" w:fill="FFFFFF"/>
            <w:vAlign w:val="bottom"/>
          </w:tcPr>
          <w:p w14:paraId="238DA92B" w14:textId="77777777" w:rsidR="0087601C" w:rsidRPr="006A1EC7" w:rsidRDefault="0087601C" w:rsidP="00D56051">
            <w:pPr>
              <w:rPr>
                <w:sz w:val="18"/>
              </w:rPr>
            </w:pPr>
          </w:p>
        </w:tc>
        <w:tc>
          <w:tcPr>
            <w:tcW w:w="1277" w:type="dxa"/>
            <w:gridSpan w:val="2"/>
            <w:tcBorders>
              <w:top w:val="nil"/>
              <w:left w:val="nil"/>
              <w:bottom w:val="single" w:sz="8" w:space="0" w:color="152935"/>
              <w:right w:val="single" w:sz="8" w:space="0" w:color="E0E0E0"/>
            </w:tcBorders>
            <w:shd w:val="clear" w:color="auto" w:fill="FFFFFF"/>
            <w:vAlign w:val="bottom"/>
          </w:tcPr>
          <w:p w14:paraId="0C9F9C62"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gridSpan w:val="2"/>
            <w:tcBorders>
              <w:top w:val="nil"/>
              <w:left w:val="single" w:sz="8" w:space="0" w:color="E0E0E0"/>
              <w:bottom w:val="single" w:sz="8" w:space="0" w:color="152935"/>
              <w:right w:val="single" w:sz="8" w:space="0" w:color="E0E0E0"/>
            </w:tcBorders>
            <w:shd w:val="clear" w:color="auto" w:fill="FFFFFF"/>
            <w:vAlign w:val="bottom"/>
          </w:tcPr>
          <w:p w14:paraId="623F1332"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gridSpan w:val="2"/>
            <w:tcBorders>
              <w:top w:val="nil"/>
              <w:left w:val="single" w:sz="8" w:space="0" w:color="E0E0E0"/>
              <w:bottom w:val="single" w:sz="8" w:space="0" w:color="152935"/>
              <w:right w:val="single" w:sz="8" w:space="0" w:color="E0E0E0"/>
            </w:tcBorders>
            <w:shd w:val="clear" w:color="auto" w:fill="FFFFFF"/>
            <w:vAlign w:val="bottom"/>
          </w:tcPr>
          <w:p w14:paraId="28D05CD4"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gridSpan w:val="2"/>
            <w:tcBorders>
              <w:top w:val="nil"/>
              <w:left w:val="single" w:sz="8" w:space="0" w:color="E0E0E0"/>
              <w:bottom w:val="single" w:sz="8" w:space="0" w:color="152935"/>
              <w:right w:val="nil"/>
            </w:tcBorders>
            <w:shd w:val="clear" w:color="auto" w:fill="FFFFFF"/>
            <w:vAlign w:val="bottom"/>
          </w:tcPr>
          <w:p w14:paraId="5C85E790"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3BB04817" w14:textId="77777777" w:rsidTr="00D56051">
        <w:trPr>
          <w:gridAfter w:val="2"/>
          <w:wAfter w:w="3028" w:type="dxa"/>
          <w:cantSplit/>
        </w:trPr>
        <w:tc>
          <w:tcPr>
            <w:tcW w:w="1945" w:type="dxa"/>
            <w:gridSpan w:val="2"/>
            <w:tcBorders>
              <w:top w:val="single" w:sz="8" w:space="0" w:color="152935"/>
              <w:left w:val="nil"/>
              <w:bottom w:val="single" w:sz="8" w:space="0" w:color="152935"/>
              <w:right w:val="nil"/>
            </w:tcBorders>
            <w:shd w:val="clear" w:color="auto" w:fill="E0E0E0"/>
          </w:tcPr>
          <w:p w14:paraId="6DEEEF51" w14:textId="77777777" w:rsidR="0087601C" w:rsidRPr="006A1EC7" w:rsidRDefault="0087601C" w:rsidP="00D56051">
            <w:pPr>
              <w:spacing w:line="320" w:lineRule="atLeast"/>
              <w:ind w:left="60" w:right="60"/>
              <w:rPr>
                <w:color w:val="264A60"/>
                <w:sz w:val="18"/>
              </w:rPr>
            </w:pPr>
            <w:r w:rsidRPr="006A1EC7">
              <w:rPr>
                <w:color w:val="264A60"/>
                <w:sz w:val="18"/>
              </w:rPr>
              <w:t>T1Joshua_CNS</w:t>
            </w:r>
          </w:p>
        </w:tc>
        <w:tc>
          <w:tcPr>
            <w:tcW w:w="1277" w:type="dxa"/>
            <w:gridSpan w:val="2"/>
            <w:tcBorders>
              <w:top w:val="single" w:sz="8" w:space="0" w:color="152935"/>
              <w:left w:val="nil"/>
              <w:bottom w:val="single" w:sz="8" w:space="0" w:color="152935"/>
              <w:right w:val="single" w:sz="8" w:space="0" w:color="E0E0E0"/>
            </w:tcBorders>
            <w:shd w:val="clear" w:color="auto" w:fill="FFFFFF"/>
          </w:tcPr>
          <w:p w14:paraId="025FFA61"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7" w:type="dxa"/>
            <w:gridSpan w:val="2"/>
            <w:tcBorders>
              <w:top w:val="single" w:sz="8" w:space="0" w:color="152935"/>
              <w:left w:val="single" w:sz="8" w:space="0" w:color="E0E0E0"/>
              <w:bottom w:val="single" w:sz="8" w:space="0" w:color="152935"/>
              <w:right w:val="single" w:sz="8" w:space="0" w:color="E0E0E0"/>
            </w:tcBorders>
            <w:shd w:val="clear" w:color="auto" w:fill="FFFFFF"/>
          </w:tcPr>
          <w:p w14:paraId="371509C5" w14:textId="77777777" w:rsidR="0087601C" w:rsidRPr="006A1EC7" w:rsidRDefault="0087601C" w:rsidP="00D56051">
            <w:pPr>
              <w:spacing w:line="320" w:lineRule="atLeast"/>
              <w:ind w:left="60" w:right="60"/>
              <w:jc w:val="right"/>
              <w:rPr>
                <w:color w:val="010205"/>
                <w:sz w:val="18"/>
              </w:rPr>
            </w:pPr>
            <w:r w:rsidRPr="006A1EC7">
              <w:rPr>
                <w:color w:val="010205"/>
                <w:sz w:val="18"/>
              </w:rPr>
              <w:t>11.68</w:t>
            </w:r>
          </w:p>
        </w:tc>
        <w:tc>
          <w:tcPr>
            <w:tcW w:w="1830" w:type="dxa"/>
            <w:gridSpan w:val="2"/>
            <w:tcBorders>
              <w:top w:val="single" w:sz="8" w:space="0" w:color="152935"/>
              <w:left w:val="single" w:sz="8" w:space="0" w:color="E0E0E0"/>
              <w:bottom w:val="single" w:sz="8" w:space="0" w:color="152935"/>
              <w:right w:val="single" w:sz="8" w:space="0" w:color="E0E0E0"/>
            </w:tcBorders>
            <w:shd w:val="clear" w:color="auto" w:fill="FFFFFF"/>
          </w:tcPr>
          <w:p w14:paraId="3D249CB1" w14:textId="77777777" w:rsidR="0087601C" w:rsidRPr="006A1EC7" w:rsidRDefault="0087601C" w:rsidP="00D56051">
            <w:pPr>
              <w:spacing w:line="320" w:lineRule="atLeast"/>
              <w:ind w:left="60" w:right="60"/>
              <w:jc w:val="right"/>
              <w:rPr>
                <w:color w:val="010205"/>
                <w:sz w:val="18"/>
              </w:rPr>
            </w:pPr>
            <w:r w:rsidRPr="006A1EC7">
              <w:rPr>
                <w:color w:val="010205"/>
                <w:sz w:val="18"/>
              </w:rPr>
              <w:t>1.319</w:t>
            </w:r>
          </w:p>
        </w:tc>
        <w:tc>
          <w:tcPr>
            <w:tcW w:w="1830" w:type="dxa"/>
            <w:gridSpan w:val="2"/>
            <w:tcBorders>
              <w:top w:val="single" w:sz="8" w:space="0" w:color="152935"/>
              <w:left w:val="single" w:sz="8" w:space="0" w:color="E0E0E0"/>
              <w:bottom w:val="single" w:sz="8" w:space="0" w:color="152935"/>
              <w:right w:val="nil"/>
            </w:tcBorders>
            <w:shd w:val="clear" w:color="auto" w:fill="FFFFFF"/>
          </w:tcPr>
          <w:p w14:paraId="409BFFC7" w14:textId="77777777" w:rsidR="0087601C" w:rsidRPr="006A1EC7" w:rsidRDefault="0087601C" w:rsidP="00D56051">
            <w:pPr>
              <w:spacing w:line="320" w:lineRule="atLeast"/>
              <w:ind w:left="60" w:right="60"/>
              <w:jc w:val="right"/>
              <w:rPr>
                <w:color w:val="010205"/>
                <w:sz w:val="18"/>
              </w:rPr>
            </w:pPr>
            <w:r w:rsidRPr="006A1EC7">
              <w:rPr>
                <w:color w:val="010205"/>
                <w:sz w:val="18"/>
              </w:rPr>
              <w:t>.226</w:t>
            </w:r>
          </w:p>
        </w:tc>
      </w:tr>
      <w:tr w:rsidR="0087601C" w:rsidRPr="006A1EC7" w14:paraId="5971E447" w14:textId="77777777" w:rsidTr="00D56051">
        <w:trPr>
          <w:cantSplit/>
        </w:trPr>
        <w:tc>
          <w:tcPr>
            <w:tcW w:w="1841" w:type="dxa"/>
            <w:vMerge w:val="restart"/>
            <w:tcBorders>
              <w:top w:val="nil"/>
              <w:left w:val="nil"/>
              <w:bottom w:val="nil"/>
              <w:right w:val="nil"/>
            </w:tcBorders>
            <w:shd w:val="clear" w:color="auto" w:fill="FFFFFF"/>
            <w:vAlign w:val="bottom"/>
          </w:tcPr>
          <w:p w14:paraId="74CA692D" w14:textId="77777777" w:rsidR="0087601C" w:rsidRPr="006A1EC7" w:rsidRDefault="0087601C" w:rsidP="00D56051">
            <w:pPr>
              <w:rPr>
                <w:sz w:val="18"/>
              </w:rPr>
            </w:pPr>
          </w:p>
        </w:tc>
        <w:tc>
          <w:tcPr>
            <w:tcW w:w="9346" w:type="dxa"/>
            <w:gridSpan w:val="11"/>
            <w:tcBorders>
              <w:top w:val="nil"/>
              <w:left w:val="nil"/>
              <w:bottom w:val="nil"/>
              <w:right w:val="nil"/>
            </w:tcBorders>
            <w:shd w:val="clear" w:color="auto" w:fill="FFFFFF"/>
            <w:vAlign w:val="bottom"/>
          </w:tcPr>
          <w:p w14:paraId="1431E6DA"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11</w:t>
            </w:r>
          </w:p>
        </w:tc>
      </w:tr>
      <w:tr w:rsidR="0087601C" w:rsidRPr="006A1EC7" w14:paraId="5C11F326" w14:textId="77777777" w:rsidTr="00D56051">
        <w:trPr>
          <w:cantSplit/>
        </w:trPr>
        <w:tc>
          <w:tcPr>
            <w:tcW w:w="1841" w:type="dxa"/>
            <w:vMerge/>
            <w:tcBorders>
              <w:top w:val="nil"/>
              <w:left w:val="nil"/>
              <w:bottom w:val="nil"/>
              <w:right w:val="nil"/>
            </w:tcBorders>
            <w:shd w:val="clear" w:color="auto" w:fill="FFFFFF"/>
            <w:vAlign w:val="bottom"/>
          </w:tcPr>
          <w:p w14:paraId="014F62A5" w14:textId="77777777" w:rsidR="0087601C" w:rsidRPr="006A1EC7" w:rsidRDefault="0087601C" w:rsidP="00D56051">
            <w:pPr>
              <w:rPr>
                <w:color w:val="264A60"/>
                <w:sz w:val="18"/>
              </w:rPr>
            </w:pPr>
          </w:p>
        </w:tc>
        <w:tc>
          <w:tcPr>
            <w:tcW w:w="1209" w:type="dxa"/>
            <w:gridSpan w:val="2"/>
            <w:vMerge w:val="restart"/>
            <w:tcBorders>
              <w:top w:val="nil"/>
              <w:left w:val="nil"/>
              <w:bottom w:val="nil"/>
              <w:right w:val="single" w:sz="8" w:space="0" w:color="E0E0E0"/>
            </w:tcBorders>
            <w:shd w:val="clear" w:color="auto" w:fill="FFFFFF"/>
            <w:vAlign w:val="bottom"/>
          </w:tcPr>
          <w:p w14:paraId="5D88082A"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09" w:type="dxa"/>
            <w:gridSpan w:val="2"/>
            <w:vMerge w:val="restart"/>
            <w:tcBorders>
              <w:top w:val="nil"/>
              <w:left w:val="single" w:sz="8" w:space="0" w:color="E0E0E0"/>
              <w:bottom w:val="nil"/>
              <w:right w:val="single" w:sz="8" w:space="0" w:color="E0E0E0"/>
            </w:tcBorders>
            <w:shd w:val="clear" w:color="auto" w:fill="FFFFFF"/>
            <w:vAlign w:val="bottom"/>
          </w:tcPr>
          <w:p w14:paraId="46AE2440"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32" w:type="dxa"/>
            <w:gridSpan w:val="2"/>
            <w:vMerge w:val="restart"/>
            <w:tcBorders>
              <w:top w:val="nil"/>
              <w:left w:val="single" w:sz="8" w:space="0" w:color="E0E0E0"/>
              <w:bottom w:val="nil"/>
              <w:right w:val="single" w:sz="8" w:space="0" w:color="E0E0E0"/>
            </w:tcBorders>
            <w:shd w:val="clear" w:color="auto" w:fill="FFFFFF"/>
            <w:vAlign w:val="bottom"/>
          </w:tcPr>
          <w:p w14:paraId="21B18D42"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32" w:type="dxa"/>
            <w:gridSpan w:val="2"/>
            <w:vMerge w:val="restart"/>
            <w:tcBorders>
              <w:top w:val="nil"/>
              <w:left w:val="single" w:sz="8" w:space="0" w:color="E0E0E0"/>
              <w:bottom w:val="nil"/>
              <w:right w:val="single" w:sz="8" w:space="0" w:color="E0E0E0"/>
            </w:tcBorders>
            <w:shd w:val="clear" w:color="auto" w:fill="FFFFFF"/>
            <w:vAlign w:val="bottom"/>
          </w:tcPr>
          <w:p w14:paraId="3384E6EF"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64" w:type="dxa"/>
            <w:gridSpan w:val="3"/>
            <w:tcBorders>
              <w:top w:val="nil"/>
              <w:left w:val="single" w:sz="8" w:space="0" w:color="E0E0E0"/>
              <w:bottom w:val="nil"/>
              <w:right w:val="nil"/>
            </w:tcBorders>
            <w:shd w:val="clear" w:color="auto" w:fill="FFFFFF"/>
            <w:vAlign w:val="bottom"/>
          </w:tcPr>
          <w:p w14:paraId="0C9C1D05"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31073469" w14:textId="77777777" w:rsidTr="00D56051">
        <w:trPr>
          <w:cantSplit/>
        </w:trPr>
        <w:tc>
          <w:tcPr>
            <w:tcW w:w="1841" w:type="dxa"/>
            <w:vMerge/>
            <w:tcBorders>
              <w:top w:val="nil"/>
              <w:left w:val="nil"/>
              <w:bottom w:val="nil"/>
              <w:right w:val="nil"/>
            </w:tcBorders>
            <w:shd w:val="clear" w:color="auto" w:fill="FFFFFF"/>
            <w:vAlign w:val="bottom"/>
          </w:tcPr>
          <w:p w14:paraId="37A9EAB2" w14:textId="77777777" w:rsidR="0087601C" w:rsidRPr="006A1EC7" w:rsidRDefault="0087601C" w:rsidP="00D56051">
            <w:pPr>
              <w:rPr>
                <w:color w:val="264A60"/>
                <w:sz w:val="18"/>
              </w:rPr>
            </w:pPr>
          </w:p>
        </w:tc>
        <w:tc>
          <w:tcPr>
            <w:tcW w:w="1209" w:type="dxa"/>
            <w:gridSpan w:val="2"/>
            <w:vMerge/>
            <w:tcBorders>
              <w:top w:val="nil"/>
              <w:left w:val="nil"/>
              <w:bottom w:val="nil"/>
              <w:right w:val="single" w:sz="8" w:space="0" w:color="E0E0E0"/>
            </w:tcBorders>
            <w:shd w:val="clear" w:color="auto" w:fill="FFFFFF"/>
            <w:vAlign w:val="bottom"/>
          </w:tcPr>
          <w:p w14:paraId="0C9D8C1A" w14:textId="77777777" w:rsidR="0087601C" w:rsidRPr="006A1EC7" w:rsidRDefault="0087601C" w:rsidP="00D56051">
            <w:pPr>
              <w:rPr>
                <w:color w:val="264A60"/>
                <w:sz w:val="18"/>
              </w:rPr>
            </w:pPr>
          </w:p>
        </w:tc>
        <w:tc>
          <w:tcPr>
            <w:tcW w:w="1209" w:type="dxa"/>
            <w:gridSpan w:val="2"/>
            <w:vMerge/>
            <w:tcBorders>
              <w:top w:val="nil"/>
              <w:left w:val="single" w:sz="8" w:space="0" w:color="E0E0E0"/>
              <w:bottom w:val="nil"/>
              <w:right w:val="single" w:sz="8" w:space="0" w:color="E0E0E0"/>
            </w:tcBorders>
            <w:shd w:val="clear" w:color="auto" w:fill="FFFFFF"/>
            <w:vAlign w:val="bottom"/>
          </w:tcPr>
          <w:p w14:paraId="13148855" w14:textId="77777777" w:rsidR="0087601C" w:rsidRPr="006A1EC7" w:rsidRDefault="0087601C" w:rsidP="00D56051">
            <w:pPr>
              <w:rPr>
                <w:color w:val="264A60"/>
                <w:sz w:val="18"/>
              </w:rPr>
            </w:pPr>
          </w:p>
        </w:tc>
        <w:tc>
          <w:tcPr>
            <w:tcW w:w="1732" w:type="dxa"/>
            <w:gridSpan w:val="2"/>
            <w:vMerge/>
            <w:tcBorders>
              <w:top w:val="nil"/>
              <w:left w:val="single" w:sz="8" w:space="0" w:color="E0E0E0"/>
              <w:bottom w:val="nil"/>
              <w:right w:val="single" w:sz="8" w:space="0" w:color="E0E0E0"/>
            </w:tcBorders>
            <w:shd w:val="clear" w:color="auto" w:fill="FFFFFF"/>
            <w:vAlign w:val="bottom"/>
          </w:tcPr>
          <w:p w14:paraId="15BED1EA" w14:textId="77777777" w:rsidR="0087601C" w:rsidRPr="006A1EC7" w:rsidRDefault="0087601C" w:rsidP="00D56051">
            <w:pPr>
              <w:rPr>
                <w:color w:val="264A60"/>
                <w:sz w:val="18"/>
              </w:rPr>
            </w:pPr>
          </w:p>
        </w:tc>
        <w:tc>
          <w:tcPr>
            <w:tcW w:w="1732" w:type="dxa"/>
            <w:gridSpan w:val="2"/>
            <w:vMerge/>
            <w:tcBorders>
              <w:top w:val="nil"/>
              <w:left w:val="single" w:sz="8" w:space="0" w:color="E0E0E0"/>
              <w:bottom w:val="nil"/>
              <w:right w:val="single" w:sz="8" w:space="0" w:color="E0E0E0"/>
            </w:tcBorders>
            <w:shd w:val="clear" w:color="auto" w:fill="FFFFFF"/>
            <w:vAlign w:val="bottom"/>
          </w:tcPr>
          <w:p w14:paraId="5487B7DA" w14:textId="77777777" w:rsidR="0087601C" w:rsidRPr="006A1EC7" w:rsidRDefault="0087601C" w:rsidP="00D56051">
            <w:pPr>
              <w:rPr>
                <w:color w:val="264A60"/>
                <w:sz w:val="18"/>
              </w:rPr>
            </w:pPr>
          </w:p>
        </w:tc>
        <w:tc>
          <w:tcPr>
            <w:tcW w:w="1732" w:type="dxa"/>
            <w:gridSpan w:val="2"/>
            <w:tcBorders>
              <w:top w:val="nil"/>
              <w:left w:val="single" w:sz="8" w:space="0" w:color="E0E0E0"/>
              <w:bottom w:val="single" w:sz="8" w:space="0" w:color="152935"/>
              <w:right w:val="single" w:sz="8" w:space="0" w:color="E0E0E0"/>
            </w:tcBorders>
            <w:shd w:val="clear" w:color="auto" w:fill="FFFFFF"/>
            <w:vAlign w:val="bottom"/>
          </w:tcPr>
          <w:p w14:paraId="75A508B9"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32" w:type="dxa"/>
            <w:tcBorders>
              <w:top w:val="nil"/>
              <w:left w:val="single" w:sz="8" w:space="0" w:color="E0E0E0"/>
              <w:bottom w:val="single" w:sz="8" w:space="0" w:color="152935"/>
              <w:right w:val="nil"/>
            </w:tcBorders>
            <w:shd w:val="clear" w:color="auto" w:fill="FFFFFF"/>
            <w:vAlign w:val="bottom"/>
          </w:tcPr>
          <w:p w14:paraId="574C9BF0"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6D153CBD" w14:textId="77777777" w:rsidTr="00D56051">
        <w:trPr>
          <w:cantSplit/>
        </w:trPr>
        <w:tc>
          <w:tcPr>
            <w:tcW w:w="1841" w:type="dxa"/>
            <w:tcBorders>
              <w:top w:val="single" w:sz="8" w:space="0" w:color="152935"/>
              <w:left w:val="nil"/>
              <w:bottom w:val="single" w:sz="8" w:space="0" w:color="152935"/>
              <w:right w:val="nil"/>
            </w:tcBorders>
            <w:shd w:val="clear" w:color="auto" w:fill="E0E0E0"/>
          </w:tcPr>
          <w:p w14:paraId="7C725B09" w14:textId="77777777" w:rsidR="0087601C" w:rsidRPr="006A1EC7" w:rsidRDefault="0087601C" w:rsidP="00D56051">
            <w:pPr>
              <w:spacing w:line="320" w:lineRule="atLeast"/>
              <w:ind w:left="60" w:right="60"/>
              <w:rPr>
                <w:color w:val="264A60"/>
                <w:sz w:val="18"/>
              </w:rPr>
            </w:pPr>
            <w:r w:rsidRPr="006A1EC7">
              <w:rPr>
                <w:color w:val="264A60"/>
                <w:sz w:val="18"/>
              </w:rPr>
              <w:t>T1Joshua_CNS</w:t>
            </w:r>
          </w:p>
        </w:tc>
        <w:tc>
          <w:tcPr>
            <w:tcW w:w="1209" w:type="dxa"/>
            <w:gridSpan w:val="2"/>
            <w:tcBorders>
              <w:top w:val="single" w:sz="8" w:space="0" w:color="152935"/>
              <w:left w:val="nil"/>
              <w:bottom w:val="single" w:sz="8" w:space="0" w:color="152935"/>
              <w:right w:val="single" w:sz="8" w:space="0" w:color="E0E0E0"/>
            </w:tcBorders>
            <w:shd w:val="clear" w:color="auto" w:fill="FFFFFF"/>
          </w:tcPr>
          <w:p w14:paraId="4A1B5FA1" w14:textId="77777777" w:rsidR="0087601C" w:rsidRPr="006A1EC7" w:rsidRDefault="0087601C" w:rsidP="00D56051">
            <w:pPr>
              <w:spacing w:line="320" w:lineRule="atLeast"/>
              <w:ind w:left="60" w:right="60"/>
              <w:jc w:val="right"/>
              <w:rPr>
                <w:color w:val="010205"/>
                <w:sz w:val="18"/>
              </w:rPr>
            </w:pPr>
            <w:r w:rsidRPr="006A1EC7">
              <w:rPr>
                <w:color w:val="010205"/>
                <w:sz w:val="18"/>
              </w:rPr>
              <w:t>2.990</w:t>
            </w:r>
          </w:p>
        </w:tc>
        <w:tc>
          <w:tcPr>
            <w:tcW w:w="1209" w:type="dxa"/>
            <w:gridSpan w:val="2"/>
            <w:tcBorders>
              <w:top w:val="single" w:sz="8" w:space="0" w:color="152935"/>
              <w:left w:val="single" w:sz="8" w:space="0" w:color="E0E0E0"/>
              <w:bottom w:val="single" w:sz="8" w:space="0" w:color="152935"/>
              <w:right w:val="single" w:sz="8" w:space="0" w:color="E0E0E0"/>
            </w:tcBorders>
            <w:shd w:val="clear" w:color="auto" w:fill="FFFFFF"/>
          </w:tcPr>
          <w:p w14:paraId="17308AF8"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732" w:type="dxa"/>
            <w:gridSpan w:val="2"/>
            <w:tcBorders>
              <w:top w:val="single" w:sz="8" w:space="0" w:color="152935"/>
              <w:left w:val="single" w:sz="8" w:space="0" w:color="E0E0E0"/>
              <w:bottom w:val="single" w:sz="8" w:space="0" w:color="152935"/>
              <w:right w:val="single" w:sz="8" w:space="0" w:color="E0E0E0"/>
            </w:tcBorders>
            <w:shd w:val="clear" w:color="auto" w:fill="FFFFFF"/>
          </w:tcPr>
          <w:p w14:paraId="3C4FF9A7" w14:textId="77777777" w:rsidR="0087601C" w:rsidRPr="006A1EC7" w:rsidRDefault="0087601C" w:rsidP="00D56051">
            <w:pPr>
              <w:spacing w:line="320" w:lineRule="atLeast"/>
              <w:ind w:left="60" w:right="60"/>
              <w:jc w:val="right"/>
              <w:rPr>
                <w:color w:val="010205"/>
                <w:sz w:val="18"/>
              </w:rPr>
            </w:pPr>
            <w:r w:rsidRPr="006A1EC7">
              <w:rPr>
                <w:color w:val="010205"/>
                <w:sz w:val="18"/>
              </w:rPr>
              <w:t>.005</w:t>
            </w:r>
          </w:p>
        </w:tc>
        <w:tc>
          <w:tcPr>
            <w:tcW w:w="1732" w:type="dxa"/>
            <w:gridSpan w:val="2"/>
            <w:tcBorders>
              <w:top w:val="single" w:sz="8" w:space="0" w:color="152935"/>
              <w:left w:val="single" w:sz="8" w:space="0" w:color="E0E0E0"/>
              <w:bottom w:val="single" w:sz="8" w:space="0" w:color="152935"/>
              <w:right w:val="single" w:sz="8" w:space="0" w:color="E0E0E0"/>
            </w:tcBorders>
            <w:shd w:val="clear" w:color="auto" w:fill="FFFFFF"/>
          </w:tcPr>
          <w:p w14:paraId="63293FED" w14:textId="77777777" w:rsidR="0087601C" w:rsidRPr="006A1EC7" w:rsidRDefault="0087601C" w:rsidP="00D56051">
            <w:pPr>
              <w:spacing w:line="320" w:lineRule="atLeast"/>
              <w:ind w:left="60" w:right="60"/>
              <w:jc w:val="right"/>
              <w:rPr>
                <w:color w:val="010205"/>
                <w:sz w:val="18"/>
              </w:rPr>
            </w:pPr>
            <w:r w:rsidRPr="006A1EC7">
              <w:rPr>
                <w:color w:val="010205"/>
                <w:sz w:val="18"/>
              </w:rPr>
              <w:t>.676</w:t>
            </w:r>
          </w:p>
        </w:tc>
        <w:tc>
          <w:tcPr>
            <w:tcW w:w="1732" w:type="dxa"/>
            <w:gridSpan w:val="2"/>
            <w:tcBorders>
              <w:top w:val="single" w:sz="8" w:space="0" w:color="152935"/>
              <w:left w:val="single" w:sz="8" w:space="0" w:color="E0E0E0"/>
              <w:bottom w:val="single" w:sz="8" w:space="0" w:color="152935"/>
              <w:right w:val="single" w:sz="8" w:space="0" w:color="E0E0E0"/>
            </w:tcBorders>
            <w:shd w:val="clear" w:color="auto" w:fill="FFFFFF"/>
          </w:tcPr>
          <w:p w14:paraId="40865325" w14:textId="77777777" w:rsidR="0087601C" w:rsidRPr="006A1EC7" w:rsidRDefault="0087601C" w:rsidP="00D56051">
            <w:pPr>
              <w:spacing w:line="320" w:lineRule="atLeast"/>
              <w:ind w:left="60" w:right="60"/>
              <w:jc w:val="right"/>
              <w:rPr>
                <w:color w:val="010205"/>
                <w:sz w:val="18"/>
              </w:rPr>
            </w:pPr>
            <w:r w:rsidRPr="006A1EC7">
              <w:rPr>
                <w:color w:val="010205"/>
                <w:sz w:val="18"/>
              </w:rPr>
              <w:t>.22</w:t>
            </w:r>
          </w:p>
        </w:tc>
        <w:tc>
          <w:tcPr>
            <w:tcW w:w="1732" w:type="dxa"/>
            <w:tcBorders>
              <w:top w:val="single" w:sz="8" w:space="0" w:color="152935"/>
              <w:left w:val="single" w:sz="8" w:space="0" w:color="E0E0E0"/>
              <w:bottom w:val="single" w:sz="8" w:space="0" w:color="152935"/>
              <w:right w:val="nil"/>
            </w:tcBorders>
            <w:shd w:val="clear" w:color="auto" w:fill="FFFFFF"/>
          </w:tcPr>
          <w:p w14:paraId="7C30896E" w14:textId="77777777" w:rsidR="0087601C" w:rsidRPr="006A1EC7" w:rsidRDefault="0087601C" w:rsidP="00D56051">
            <w:pPr>
              <w:spacing w:line="320" w:lineRule="atLeast"/>
              <w:ind w:left="60" w:right="60"/>
              <w:jc w:val="right"/>
              <w:rPr>
                <w:color w:val="010205"/>
                <w:sz w:val="18"/>
              </w:rPr>
            </w:pPr>
            <w:r w:rsidRPr="006A1EC7">
              <w:rPr>
                <w:color w:val="010205"/>
                <w:sz w:val="18"/>
              </w:rPr>
              <w:t>1.14</w:t>
            </w:r>
          </w:p>
        </w:tc>
      </w:tr>
    </w:tbl>
    <w:p w14:paraId="62C8218F" w14:textId="77777777" w:rsidR="0087601C" w:rsidRPr="006A1EC7" w:rsidRDefault="0087601C" w:rsidP="0087601C">
      <w:pPr>
        <w:rPr>
          <w:sz w:val="18"/>
        </w:rPr>
      </w:pPr>
    </w:p>
    <w:tbl>
      <w:tblPr>
        <w:tblW w:w="8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2"/>
        <w:gridCol w:w="1277"/>
        <w:gridCol w:w="1277"/>
        <w:gridCol w:w="1830"/>
        <w:gridCol w:w="1830"/>
      </w:tblGrid>
      <w:tr w:rsidR="0087601C" w:rsidRPr="006A1EC7" w14:paraId="14DA4E30" w14:textId="77777777" w:rsidTr="00D56051">
        <w:trPr>
          <w:cantSplit/>
        </w:trPr>
        <w:tc>
          <w:tcPr>
            <w:tcW w:w="2002" w:type="dxa"/>
            <w:tcBorders>
              <w:top w:val="nil"/>
              <w:left w:val="nil"/>
              <w:bottom w:val="single" w:sz="8" w:space="0" w:color="152935"/>
              <w:right w:val="nil"/>
            </w:tcBorders>
            <w:shd w:val="clear" w:color="auto" w:fill="FFFFFF"/>
            <w:vAlign w:val="bottom"/>
          </w:tcPr>
          <w:p w14:paraId="32BC5161" w14:textId="77777777" w:rsidR="0087601C" w:rsidRPr="006A1EC7" w:rsidRDefault="0087601C" w:rsidP="00D56051">
            <w:pPr>
              <w:rPr>
                <w:sz w:val="18"/>
              </w:rPr>
            </w:pPr>
          </w:p>
        </w:tc>
        <w:tc>
          <w:tcPr>
            <w:tcW w:w="1277" w:type="dxa"/>
            <w:tcBorders>
              <w:top w:val="nil"/>
              <w:left w:val="nil"/>
              <w:bottom w:val="single" w:sz="8" w:space="0" w:color="152935"/>
              <w:right w:val="single" w:sz="8" w:space="0" w:color="E0E0E0"/>
            </w:tcBorders>
            <w:shd w:val="clear" w:color="auto" w:fill="FFFFFF"/>
            <w:vAlign w:val="bottom"/>
          </w:tcPr>
          <w:p w14:paraId="7D8AB553"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4D5B2F1B"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tcBorders>
              <w:top w:val="nil"/>
              <w:left w:val="single" w:sz="8" w:space="0" w:color="E0E0E0"/>
              <w:bottom w:val="single" w:sz="8" w:space="0" w:color="152935"/>
              <w:right w:val="single" w:sz="8" w:space="0" w:color="E0E0E0"/>
            </w:tcBorders>
            <w:shd w:val="clear" w:color="auto" w:fill="FFFFFF"/>
            <w:vAlign w:val="bottom"/>
          </w:tcPr>
          <w:p w14:paraId="3E2B05B0"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tcBorders>
              <w:top w:val="nil"/>
              <w:left w:val="single" w:sz="8" w:space="0" w:color="E0E0E0"/>
              <w:bottom w:val="single" w:sz="8" w:space="0" w:color="152935"/>
              <w:right w:val="nil"/>
            </w:tcBorders>
            <w:shd w:val="clear" w:color="auto" w:fill="FFFFFF"/>
            <w:vAlign w:val="bottom"/>
          </w:tcPr>
          <w:p w14:paraId="1385F37A"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63B765A5" w14:textId="77777777" w:rsidTr="00D56051">
        <w:trPr>
          <w:cantSplit/>
        </w:trPr>
        <w:tc>
          <w:tcPr>
            <w:tcW w:w="2002" w:type="dxa"/>
            <w:tcBorders>
              <w:top w:val="single" w:sz="8" w:space="0" w:color="152935"/>
              <w:left w:val="nil"/>
              <w:bottom w:val="single" w:sz="8" w:space="0" w:color="152935"/>
              <w:right w:val="nil"/>
            </w:tcBorders>
            <w:shd w:val="clear" w:color="auto" w:fill="E0E0E0"/>
          </w:tcPr>
          <w:p w14:paraId="15F64A20" w14:textId="77777777" w:rsidR="0087601C" w:rsidRPr="006A1EC7" w:rsidRDefault="0087601C" w:rsidP="00D56051">
            <w:pPr>
              <w:spacing w:line="320" w:lineRule="atLeast"/>
              <w:ind w:left="60" w:right="60"/>
              <w:rPr>
                <w:color w:val="264A60"/>
                <w:sz w:val="18"/>
              </w:rPr>
            </w:pPr>
            <w:r w:rsidRPr="006A1EC7">
              <w:rPr>
                <w:color w:val="264A60"/>
                <w:sz w:val="18"/>
              </w:rPr>
              <w:t>T1Joshua_Func</w:t>
            </w:r>
          </w:p>
        </w:tc>
        <w:tc>
          <w:tcPr>
            <w:tcW w:w="1277" w:type="dxa"/>
            <w:tcBorders>
              <w:top w:val="single" w:sz="8" w:space="0" w:color="152935"/>
              <w:left w:val="nil"/>
              <w:bottom w:val="single" w:sz="8" w:space="0" w:color="152935"/>
              <w:right w:val="single" w:sz="8" w:space="0" w:color="E0E0E0"/>
            </w:tcBorders>
            <w:shd w:val="clear" w:color="auto" w:fill="FFFFFF"/>
          </w:tcPr>
          <w:p w14:paraId="24867A6E"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7" w:type="dxa"/>
            <w:tcBorders>
              <w:top w:val="single" w:sz="8" w:space="0" w:color="152935"/>
              <w:left w:val="single" w:sz="8" w:space="0" w:color="E0E0E0"/>
              <w:bottom w:val="single" w:sz="8" w:space="0" w:color="152935"/>
              <w:right w:val="single" w:sz="8" w:space="0" w:color="E0E0E0"/>
            </w:tcBorders>
            <w:shd w:val="clear" w:color="auto" w:fill="FFFFFF"/>
          </w:tcPr>
          <w:p w14:paraId="56138867" w14:textId="77777777" w:rsidR="0087601C" w:rsidRPr="006A1EC7" w:rsidRDefault="0087601C" w:rsidP="00D56051">
            <w:pPr>
              <w:spacing w:line="320" w:lineRule="atLeast"/>
              <w:ind w:left="60" w:right="60"/>
              <w:jc w:val="right"/>
              <w:rPr>
                <w:color w:val="010205"/>
                <w:sz w:val="18"/>
              </w:rPr>
            </w:pPr>
            <w:r w:rsidRPr="006A1EC7">
              <w:rPr>
                <w:color w:val="010205"/>
                <w:sz w:val="18"/>
              </w:rPr>
              <w:t>10.79</w:t>
            </w:r>
          </w:p>
        </w:tc>
        <w:tc>
          <w:tcPr>
            <w:tcW w:w="1830" w:type="dxa"/>
            <w:tcBorders>
              <w:top w:val="single" w:sz="8" w:space="0" w:color="152935"/>
              <w:left w:val="single" w:sz="8" w:space="0" w:color="E0E0E0"/>
              <w:bottom w:val="single" w:sz="8" w:space="0" w:color="152935"/>
              <w:right w:val="single" w:sz="8" w:space="0" w:color="E0E0E0"/>
            </w:tcBorders>
            <w:shd w:val="clear" w:color="auto" w:fill="FFFFFF"/>
          </w:tcPr>
          <w:p w14:paraId="4664CB55" w14:textId="77777777" w:rsidR="0087601C" w:rsidRPr="006A1EC7" w:rsidRDefault="0087601C" w:rsidP="00D56051">
            <w:pPr>
              <w:spacing w:line="320" w:lineRule="atLeast"/>
              <w:ind w:left="60" w:right="60"/>
              <w:jc w:val="right"/>
              <w:rPr>
                <w:color w:val="010205"/>
                <w:sz w:val="18"/>
              </w:rPr>
            </w:pPr>
            <w:r w:rsidRPr="006A1EC7">
              <w:rPr>
                <w:color w:val="010205"/>
                <w:sz w:val="18"/>
              </w:rPr>
              <w:t>1.200</w:t>
            </w:r>
          </w:p>
        </w:tc>
        <w:tc>
          <w:tcPr>
            <w:tcW w:w="1830" w:type="dxa"/>
            <w:tcBorders>
              <w:top w:val="single" w:sz="8" w:space="0" w:color="152935"/>
              <w:left w:val="single" w:sz="8" w:space="0" w:color="E0E0E0"/>
              <w:bottom w:val="single" w:sz="8" w:space="0" w:color="152935"/>
              <w:right w:val="nil"/>
            </w:tcBorders>
            <w:shd w:val="clear" w:color="auto" w:fill="FFFFFF"/>
          </w:tcPr>
          <w:p w14:paraId="23D955A5" w14:textId="77777777" w:rsidR="0087601C" w:rsidRPr="006A1EC7" w:rsidRDefault="0087601C" w:rsidP="00D56051">
            <w:pPr>
              <w:spacing w:line="320" w:lineRule="atLeast"/>
              <w:ind w:left="60" w:right="60"/>
              <w:jc w:val="right"/>
              <w:rPr>
                <w:color w:val="010205"/>
                <w:sz w:val="18"/>
              </w:rPr>
            </w:pPr>
            <w:r w:rsidRPr="006A1EC7">
              <w:rPr>
                <w:color w:val="010205"/>
                <w:sz w:val="18"/>
              </w:rPr>
              <w:t>.206</w:t>
            </w:r>
          </w:p>
        </w:tc>
      </w:tr>
    </w:tbl>
    <w:p w14:paraId="0DC34875"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7"/>
        <w:gridCol w:w="68"/>
        <w:gridCol w:w="130"/>
        <w:gridCol w:w="1030"/>
        <w:gridCol w:w="117"/>
        <w:gridCol w:w="56"/>
        <w:gridCol w:w="1055"/>
        <w:gridCol w:w="148"/>
        <w:gridCol w:w="18"/>
        <w:gridCol w:w="1595"/>
        <w:gridCol w:w="111"/>
        <w:gridCol w:w="125"/>
        <w:gridCol w:w="1525"/>
        <w:gridCol w:w="74"/>
        <w:gridCol w:w="232"/>
        <w:gridCol w:w="1455"/>
        <w:gridCol w:w="37"/>
        <w:gridCol w:w="1724"/>
      </w:tblGrid>
      <w:tr w:rsidR="0087601C" w:rsidRPr="006A1EC7" w14:paraId="5B2D2D71" w14:textId="77777777" w:rsidTr="00D56051">
        <w:trPr>
          <w:cantSplit/>
        </w:trPr>
        <w:tc>
          <w:tcPr>
            <w:tcW w:w="1885" w:type="dxa"/>
            <w:gridSpan w:val="3"/>
            <w:vMerge w:val="restart"/>
            <w:tcBorders>
              <w:top w:val="nil"/>
              <w:left w:val="nil"/>
              <w:bottom w:val="nil"/>
              <w:right w:val="nil"/>
            </w:tcBorders>
            <w:shd w:val="clear" w:color="auto" w:fill="FFFFFF"/>
            <w:vAlign w:val="bottom"/>
          </w:tcPr>
          <w:p w14:paraId="17BF57FE" w14:textId="77777777" w:rsidR="0087601C" w:rsidRPr="006A1EC7" w:rsidRDefault="0087601C" w:rsidP="00D56051">
            <w:pPr>
              <w:rPr>
                <w:sz w:val="18"/>
              </w:rPr>
            </w:pPr>
          </w:p>
        </w:tc>
        <w:tc>
          <w:tcPr>
            <w:tcW w:w="9302" w:type="dxa"/>
            <w:gridSpan w:val="15"/>
            <w:tcBorders>
              <w:top w:val="nil"/>
              <w:left w:val="nil"/>
              <w:bottom w:val="nil"/>
              <w:right w:val="nil"/>
            </w:tcBorders>
            <w:shd w:val="clear" w:color="auto" w:fill="FFFFFF"/>
            <w:vAlign w:val="bottom"/>
          </w:tcPr>
          <w:p w14:paraId="229F7A8D"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11</w:t>
            </w:r>
          </w:p>
        </w:tc>
      </w:tr>
      <w:tr w:rsidR="0087601C" w:rsidRPr="006A1EC7" w14:paraId="3239398A" w14:textId="77777777" w:rsidTr="00D56051">
        <w:trPr>
          <w:cantSplit/>
        </w:trPr>
        <w:tc>
          <w:tcPr>
            <w:tcW w:w="1885" w:type="dxa"/>
            <w:gridSpan w:val="3"/>
            <w:vMerge/>
            <w:tcBorders>
              <w:top w:val="nil"/>
              <w:left w:val="nil"/>
              <w:bottom w:val="nil"/>
              <w:right w:val="nil"/>
            </w:tcBorders>
            <w:shd w:val="clear" w:color="auto" w:fill="FFFFFF"/>
            <w:vAlign w:val="bottom"/>
          </w:tcPr>
          <w:p w14:paraId="6F35270F" w14:textId="77777777" w:rsidR="0087601C" w:rsidRPr="006A1EC7" w:rsidRDefault="0087601C" w:rsidP="00D56051">
            <w:pPr>
              <w:rPr>
                <w:color w:val="264A60"/>
                <w:sz w:val="18"/>
              </w:rPr>
            </w:pPr>
          </w:p>
        </w:tc>
        <w:tc>
          <w:tcPr>
            <w:tcW w:w="1203" w:type="dxa"/>
            <w:gridSpan w:val="3"/>
            <w:vMerge w:val="restart"/>
            <w:tcBorders>
              <w:top w:val="nil"/>
              <w:left w:val="nil"/>
              <w:bottom w:val="nil"/>
              <w:right w:val="single" w:sz="8" w:space="0" w:color="E0E0E0"/>
            </w:tcBorders>
            <w:shd w:val="clear" w:color="auto" w:fill="FFFFFF"/>
            <w:vAlign w:val="bottom"/>
          </w:tcPr>
          <w:p w14:paraId="65285093"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03" w:type="dxa"/>
            <w:gridSpan w:val="2"/>
            <w:vMerge w:val="restart"/>
            <w:tcBorders>
              <w:top w:val="nil"/>
              <w:left w:val="single" w:sz="8" w:space="0" w:color="E0E0E0"/>
              <w:bottom w:val="nil"/>
              <w:right w:val="single" w:sz="8" w:space="0" w:color="E0E0E0"/>
            </w:tcBorders>
            <w:shd w:val="clear" w:color="auto" w:fill="FFFFFF"/>
            <w:vAlign w:val="bottom"/>
          </w:tcPr>
          <w:p w14:paraId="56A8076B"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24" w:type="dxa"/>
            <w:gridSpan w:val="3"/>
            <w:vMerge w:val="restart"/>
            <w:tcBorders>
              <w:top w:val="nil"/>
              <w:left w:val="single" w:sz="8" w:space="0" w:color="E0E0E0"/>
              <w:bottom w:val="nil"/>
              <w:right w:val="single" w:sz="8" w:space="0" w:color="E0E0E0"/>
            </w:tcBorders>
            <w:shd w:val="clear" w:color="auto" w:fill="FFFFFF"/>
            <w:vAlign w:val="bottom"/>
          </w:tcPr>
          <w:p w14:paraId="073182EB"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24" w:type="dxa"/>
            <w:gridSpan w:val="3"/>
            <w:vMerge w:val="restart"/>
            <w:tcBorders>
              <w:top w:val="nil"/>
              <w:left w:val="single" w:sz="8" w:space="0" w:color="E0E0E0"/>
              <w:bottom w:val="nil"/>
              <w:right w:val="single" w:sz="8" w:space="0" w:color="E0E0E0"/>
            </w:tcBorders>
            <w:shd w:val="clear" w:color="auto" w:fill="FFFFFF"/>
            <w:vAlign w:val="bottom"/>
          </w:tcPr>
          <w:p w14:paraId="11782C31"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48" w:type="dxa"/>
            <w:gridSpan w:val="4"/>
            <w:tcBorders>
              <w:top w:val="nil"/>
              <w:left w:val="single" w:sz="8" w:space="0" w:color="E0E0E0"/>
              <w:bottom w:val="nil"/>
              <w:right w:val="nil"/>
            </w:tcBorders>
            <w:shd w:val="clear" w:color="auto" w:fill="FFFFFF"/>
            <w:vAlign w:val="bottom"/>
          </w:tcPr>
          <w:p w14:paraId="4A441DD4"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13647572" w14:textId="77777777" w:rsidTr="00D56051">
        <w:trPr>
          <w:cantSplit/>
        </w:trPr>
        <w:tc>
          <w:tcPr>
            <w:tcW w:w="1885" w:type="dxa"/>
            <w:gridSpan w:val="3"/>
            <w:vMerge/>
            <w:tcBorders>
              <w:top w:val="nil"/>
              <w:left w:val="nil"/>
              <w:bottom w:val="nil"/>
              <w:right w:val="nil"/>
            </w:tcBorders>
            <w:shd w:val="clear" w:color="auto" w:fill="FFFFFF"/>
            <w:vAlign w:val="bottom"/>
          </w:tcPr>
          <w:p w14:paraId="58612FB5" w14:textId="77777777" w:rsidR="0087601C" w:rsidRPr="006A1EC7" w:rsidRDefault="0087601C" w:rsidP="00D56051">
            <w:pPr>
              <w:rPr>
                <w:color w:val="264A60"/>
                <w:sz w:val="18"/>
              </w:rPr>
            </w:pPr>
          </w:p>
        </w:tc>
        <w:tc>
          <w:tcPr>
            <w:tcW w:w="1203" w:type="dxa"/>
            <w:gridSpan w:val="3"/>
            <w:vMerge/>
            <w:tcBorders>
              <w:top w:val="nil"/>
              <w:left w:val="nil"/>
              <w:bottom w:val="nil"/>
              <w:right w:val="single" w:sz="8" w:space="0" w:color="E0E0E0"/>
            </w:tcBorders>
            <w:shd w:val="clear" w:color="auto" w:fill="FFFFFF"/>
            <w:vAlign w:val="bottom"/>
          </w:tcPr>
          <w:p w14:paraId="23702506" w14:textId="77777777" w:rsidR="0087601C" w:rsidRPr="006A1EC7" w:rsidRDefault="0087601C" w:rsidP="00D56051">
            <w:pPr>
              <w:rPr>
                <w:color w:val="264A60"/>
                <w:sz w:val="18"/>
              </w:rPr>
            </w:pPr>
          </w:p>
        </w:tc>
        <w:tc>
          <w:tcPr>
            <w:tcW w:w="1203" w:type="dxa"/>
            <w:gridSpan w:val="2"/>
            <w:vMerge/>
            <w:tcBorders>
              <w:top w:val="nil"/>
              <w:left w:val="single" w:sz="8" w:space="0" w:color="E0E0E0"/>
              <w:bottom w:val="nil"/>
              <w:right w:val="single" w:sz="8" w:space="0" w:color="E0E0E0"/>
            </w:tcBorders>
            <w:shd w:val="clear" w:color="auto" w:fill="FFFFFF"/>
            <w:vAlign w:val="bottom"/>
          </w:tcPr>
          <w:p w14:paraId="20490ABC" w14:textId="77777777" w:rsidR="0087601C" w:rsidRPr="006A1EC7" w:rsidRDefault="0087601C" w:rsidP="00D56051">
            <w:pPr>
              <w:rPr>
                <w:color w:val="264A60"/>
                <w:sz w:val="18"/>
              </w:rPr>
            </w:pPr>
          </w:p>
        </w:tc>
        <w:tc>
          <w:tcPr>
            <w:tcW w:w="1724" w:type="dxa"/>
            <w:gridSpan w:val="3"/>
            <w:vMerge/>
            <w:tcBorders>
              <w:top w:val="nil"/>
              <w:left w:val="single" w:sz="8" w:space="0" w:color="E0E0E0"/>
              <w:bottom w:val="nil"/>
              <w:right w:val="single" w:sz="8" w:space="0" w:color="E0E0E0"/>
            </w:tcBorders>
            <w:shd w:val="clear" w:color="auto" w:fill="FFFFFF"/>
            <w:vAlign w:val="bottom"/>
          </w:tcPr>
          <w:p w14:paraId="2D2D8093" w14:textId="77777777" w:rsidR="0087601C" w:rsidRPr="006A1EC7" w:rsidRDefault="0087601C" w:rsidP="00D56051">
            <w:pPr>
              <w:rPr>
                <w:color w:val="264A60"/>
                <w:sz w:val="18"/>
              </w:rPr>
            </w:pPr>
          </w:p>
        </w:tc>
        <w:tc>
          <w:tcPr>
            <w:tcW w:w="1724" w:type="dxa"/>
            <w:gridSpan w:val="3"/>
            <w:vMerge/>
            <w:tcBorders>
              <w:top w:val="nil"/>
              <w:left w:val="single" w:sz="8" w:space="0" w:color="E0E0E0"/>
              <w:bottom w:val="nil"/>
              <w:right w:val="single" w:sz="8" w:space="0" w:color="E0E0E0"/>
            </w:tcBorders>
            <w:shd w:val="clear" w:color="auto" w:fill="FFFFFF"/>
            <w:vAlign w:val="bottom"/>
          </w:tcPr>
          <w:p w14:paraId="45AA5CAC" w14:textId="77777777" w:rsidR="0087601C" w:rsidRPr="006A1EC7" w:rsidRDefault="0087601C" w:rsidP="00D56051">
            <w:pPr>
              <w:rPr>
                <w:color w:val="264A60"/>
                <w:sz w:val="18"/>
              </w:rPr>
            </w:pPr>
          </w:p>
        </w:tc>
        <w:tc>
          <w:tcPr>
            <w:tcW w:w="1724" w:type="dxa"/>
            <w:gridSpan w:val="3"/>
            <w:tcBorders>
              <w:top w:val="nil"/>
              <w:left w:val="single" w:sz="8" w:space="0" w:color="E0E0E0"/>
              <w:bottom w:val="single" w:sz="8" w:space="0" w:color="152935"/>
              <w:right w:val="single" w:sz="8" w:space="0" w:color="E0E0E0"/>
            </w:tcBorders>
            <w:shd w:val="clear" w:color="auto" w:fill="FFFFFF"/>
            <w:vAlign w:val="bottom"/>
          </w:tcPr>
          <w:p w14:paraId="33B20116"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24" w:type="dxa"/>
            <w:tcBorders>
              <w:top w:val="nil"/>
              <w:left w:val="single" w:sz="8" w:space="0" w:color="E0E0E0"/>
              <w:bottom w:val="single" w:sz="8" w:space="0" w:color="152935"/>
              <w:right w:val="nil"/>
            </w:tcBorders>
            <w:shd w:val="clear" w:color="auto" w:fill="FFFFFF"/>
            <w:vAlign w:val="bottom"/>
          </w:tcPr>
          <w:p w14:paraId="4EE07139"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7F000E64" w14:textId="77777777" w:rsidTr="00D56051">
        <w:trPr>
          <w:cantSplit/>
        </w:trPr>
        <w:tc>
          <w:tcPr>
            <w:tcW w:w="1885" w:type="dxa"/>
            <w:gridSpan w:val="3"/>
            <w:tcBorders>
              <w:top w:val="single" w:sz="8" w:space="0" w:color="152935"/>
              <w:left w:val="nil"/>
              <w:bottom w:val="single" w:sz="8" w:space="0" w:color="152935"/>
              <w:right w:val="nil"/>
            </w:tcBorders>
            <w:shd w:val="clear" w:color="auto" w:fill="E0E0E0"/>
          </w:tcPr>
          <w:p w14:paraId="0FFA52CF" w14:textId="77777777" w:rsidR="0087601C" w:rsidRPr="006A1EC7" w:rsidRDefault="0087601C" w:rsidP="00D56051">
            <w:pPr>
              <w:spacing w:line="320" w:lineRule="atLeast"/>
              <w:ind w:left="60" w:right="60"/>
              <w:rPr>
                <w:color w:val="264A60"/>
                <w:sz w:val="18"/>
              </w:rPr>
            </w:pPr>
            <w:r w:rsidRPr="006A1EC7">
              <w:rPr>
                <w:color w:val="264A60"/>
                <w:sz w:val="18"/>
              </w:rPr>
              <w:t>T1Joshua_Func</w:t>
            </w:r>
          </w:p>
        </w:tc>
        <w:tc>
          <w:tcPr>
            <w:tcW w:w="1203" w:type="dxa"/>
            <w:gridSpan w:val="3"/>
            <w:tcBorders>
              <w:top w:val="single" w:sz="8" w:space="0" w:color="152935"/>
              <w:left w:val="nil"/>
              <w:bottom w:val="single" w:sz="8" w:space="0" w:color="152935"/>
              <w:right w:val="single" w:sz="8" w:space="0" w:color="E0E0E0"/>
            </w:tcBorders>
            <w:shd w:val="clear" w:color="auto" w:fill="FFFFFF"/>
          </w:tcPr>
          <w:p w14:paraId="1147921D" w14:textId="77777777" w:rsidR="0087601C" w:rsidRPr="006A1EC7" w:rsidRDefault="0087601C" w:rsidP="00D56051">
            <w:pPr>
              <w:spacing w:line="320" w:lineRule="atLeast"/>
              <w:ind w:left="60" w:right="60"/>
              <w:jc w:val="right"/>
              <w:rPr>
                <w:color w:val="010205"/>
                <w:sz w:val="18"/>
              </w:rPr>
            </w:pPr>
            <w:r w:rsidRPr="006A1EC7">
              <w:rPr>
                <w:color w:val="010205"/>
                <w:sz w:val="18"/>
              </w:rPr>
              <w:t>-1.000</w:t>
            </w:r>
          </w:p>
        </w:tc>
        <w:tc>
          <w:tcPr>
            <w:tcW w:w="1203" w:type="dxa"/>
            <w:gridSpan w:val="2"/>
            <w:tcBorders>
              <w:top w:val="single" w:sz="8" w:space="0" w:color="152935"/>
              <w:left w:val="single" w:sz="8" w:space="0" w:color="E0E0E0"/>
              <w:bottom w:val="single" w:sz="8" w:space="0" w:color="152935"/>
              <w:right w:val="single" w:sz="8" w:space="0" w:color="E0E0E0"/>
            </w:tcBorders>
            <w:shd w:val="clear" w:color="auto" w:fill="FFFFFF"/>
          </w:tcPr>
          <w:p w14:paraId="01BD1DE2"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724" w:type="dxa"/>
            <w:gridSpan w:val="3"/>
            <w:tcBorders>
              <w:top w:val="single" w:sz="8" w:space="0" w:color="152935"/>
              <w:left w:val="single" w:sz="8" w:space="0" w:color="E0E0E0"/>
              <w:bottom w:val="single" w:sz="8" w:space="0" w:color="152935"/>
              <w:right w:val="single" w:sz="8" w:space="0" w:color="E0E0E0"/>
            </w:tcBorders>
            <w:shd w:val="clear" w:color="auto" w:fill="FFFFFF"/>
          </w:tcPr>
          <w:p w14:paraId="4F30152F" w14:textId="77777777" w:rsidR="0087601C" w:rsidRPr="006A1EC7" w:rsidRDefault="0087601C" w:rsidP="00D56051">
            <w:pPr>
              <w:spacing w:line="320" w:lineRule="atLeast"/>
              <w:ind w:left="60" w:right="60"/>
              <w:jc w:val="right"/>
              <w:rPr>
                <w:color w:val="010205"/>
                <w:sz w:val="18"/>
              </w:rPr>
            </w:pPr>
            <w:r w:rsidRPr="006A1EC7">
              <w:rPr>
                <w:color w:val="010205"/>
                <w:sz w:val="18"/>
              </w:rPr>
              <w:t>.325</w:t>
            </w:r>
          </w:p>
        </w:tc>
        <w:tc>
          <w:tcPr>
            <w:tcW w:w="1724" w:type="dxa"/>
            <w:gridSpan w:val="3"/>
            <w:tcBorders>
              <w:top w:val="single" w:sz="8" w:space="0" w:color="152935"/>
              <w:left w:val="single" w:sz="8" w:space="0" w:color="E0E0E0"/>
              <w:bottom w:val="single" w:sz="8" w:space="0" w:color="152935"/>
              <w:right w:val="single" w:sz="8" w:space="0" w:color="E0E0E0"/>
            </w:tcBorders>
            <w:shd w:val="clear" w:color="auto" w:fill="FFFFFF"/>
          </w:tcPr>
          <w:p w14:paraId="02A97AC1" w14:textId="77777777" w:rsidR="0087601C" w:rsidRPr="006A1EC7" w:rsidRDefault="0087601C" w:rsidP="00D56051">
            <w:pPr>
              <w:spacing w:line="320" w:lineRule="atLeast"/>
              <w:ind w:left="60" w:right="60"/>
              <w:jc w:val="right"/>
              <w:rPr>
                <w:color w:val="010205"/>
                <w:sz w:val="18"/>
              </w:rPr>
            </w:pPr>
            <w:r w:rsidRPr="006A1EC7">
              <w:rPr>
                <w:color w:val="010205"/>
                <w:sz w:val="18"/>
              </w:rPr>
              <w:t>-.206</w:t>
            </w:r>
          </w:p>
        </w:tc>
        <w:tc>
          <w:tcPr>
            <w:tcW w:w="1724" w:type="dxa"/>
            <w:gridSpan w:val="3"/>
            <w:tcBorders>
              <w:top w:val="single" w:sz="8" w:space="0" w:color="152935"/>
              <w:left w:val="single" w:sz="8" w:space="0" w:color="E0E0E0"/>
              <w:bottom w:val="single" w:sz="8" w:space="0" w:color="152935"/>
              <w:right w:val="single" w:sz="8" w:space="0" w:color="E0E0E0"/>
            </w:tcBorders>
            <w:shd w:val="clear" w:color="auto" w:fill="FFFFFF"/>
          </w:tcPr>
          <w:p w14:paraId="3AD6FDF4" w14:textId="77777777" w:rsidR="0087601C" w:rsidRPr="006A1EC7" w:rsidRDefault="0087601C" w:rsidP="00D56051">
            <w:pPr>
              <w:spacing w:line="320" w:lineRule="atLeast"/>
              <w:ind w:left="60" w:right="60"/>
              <w:jc w:val="right"/>
              <w:rPr>
                <w:color w:val="010205"/>
                <w:sz w:val="18"/>
              </w:rPr>
            </w:pPr>
            <w:r w:rsidRPr="006A1EC7">
              <w:rPr>
                <w:color w:val="010205"/>
                <w:sz w:val="18"/>
              </w:rPr>
              <w:t>-.62</w:t>
            </w:r>
          </w:p>
        </w:tc>
        <w:tc>
          <w:tcPr>
            <w:tcW w:w="1724" w:type="dxa"/>
            <w:tcBorders>
              <w:top w:val="single" w:sz="8" w:space="0" w:color="152935"/>
              <w:left w:val="single" w:sz="8" w:space="0" w:color="E0E0E0"/>
              <w:bottom w:val="single" w:sz="8" w:space="0" w:color="152935"/>
              <w:right w:val="nil"/>
            </w:tcBorders>
            <w:shd w:val="clear" w:color="auto" w:fill="FFFFFF"/>
          </w:tcPr>
          <w:p w14:paraId="64D94A30" w14:textId="77777777" w:rsidR="0087601C" w:rsidRPr="006A1EC7" w:rsidRDefault="0087601C" w:rsidP="00D56051">
            <w:pPr>
              <w:spacing w:line="320" w:lineRule="atLeast"/>
              <w:ind w:left="60" w:right="60"/>
              <w:jc w:val="right"/>
              <w:rPr>
                <w:color w:val="010205"/>
                <w:sz w:val="18"/>
              </w:rPr>
            </w:pPr>
            <w:r w:rsidRPr="006A1EC7">
              <w:rPr>
                <w:color w:val="010205"/>
                <w:sz w:val="18"/>
              </w:rPr>
              <w:t>.21</w:t>
            </w:r>
          </w:p>
        </w:tc>
      </w:tr>
      <w:tr w:rsidR="0087601C" w:rsidRPr="006A1EC7" w14:paraId="5F51A873" w14:textId="77777777" w:rsidTr="00D56051">
        <w:trPr>
          <w:gridAfter w:val="3"/>
          <w:wAfter w:w="3216" w:type="dxa"/>
          <w:cantSplit/>
        </w:trPr>
        <w:tc>
          <w:tcPr>
            <w:tcW w:w="1755" w:type="dxa"/>
            <w:gridSpan w:val="2"/>
            <w:tcBorders>
              <w:top w:val="nil"/>
              <w:left w:val="nil"/>
              <w:bottom w:val="single" w:sz="8" w:space="0" w:color="152935"/>
              <w:right w:val="nil"/>
            </w:tcBorders>
            <w:shd w:val="clear" w:color="auto" w:fill="FFFFFF"/>
            <w:vAlign w:val="bottom"/>
          </w:tcPr>
          <w:p w14:paraId="4035154E" w14:textId="77777777" w:rsidR="0087601C" w:rsidRPr="006A1EC7" w:rsidRDefault="0087601C" w:rsidP="00D56051">
            <w:pPr>
              <w:rPr>
                <w:sz w:val="18"/>
              </w:rPr>
            </w:pPr>
          </w:p>
        </w:tc>
        <w:tc>
          <w:tcPr>
            <w:tcW w:w="1277" w:type="dxa"/>
            <w:gridSpan w:val="3"/>
            <w:tcBorders>
              <w:top w:val="nil"/>
              <w:left w:val="nil"/>
              <w:bottom w:val="single" w:sz="8" w:space="0" w:color="152935"/>
              <w:right w:val="single" w:sz="8" w:space="0" w:color="E0E0E0"/>
            </w:tcBorders>
            <w:shd w:val="clear" w:color="auto" w:fill="FFFFFF"/>
            <w:vAlign w:val="bottom"/>
          </w:tcPr>
          <w:p w14:paraId="4F7F184B"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gridSpan w:val="4"/>
            <w:tcBorders>
              <w:top w:val="nil"/>
              <w:left w:val="single" w:sz="8" w:space="0" w:color="E0E0E0"/>
              <w:bottom w:val="single" w:sz="8" w:space="0" w:color="152935"/>
              <w:right w:val="single" w:sz="8" w:space="0" w:color="E0E0E0"/>
            </w:tcBorders>
            <w:shd w:val="clear" w:color="auto" w:fill="FFFFFF"/>
            <w:vAlign w:val="bottom"/>
          </w:tcPr>
          <w:p w14:paraId="59D3CF9C"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1" w:type="dxa"/>
            <w:gridSpan w:val="3"/>
            <w:tcBorders>
              <w:top w:val="nil"/>
              <w:left w:val="single" w:sz="8" w:space="0" w:color="E0E0E0"/>
              <w:bottom w:val="single" w:sz="8" w:space="0" w:color="152935"/>
              <w:right w:val="single" w:sz="8" w:space="0" w:color="E0E0E0"/>
            </w:tcBorders>
            <w:shd w:val="clear" w:color="auto" w:fill="FFFFFF"/>
            <w:vAlign w:val="bottom"/>
          </w:tcPr>
          <w:p w14:paraId="2DD06FC3"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1" w:type="dxa"/>
            <w:gridSpan w:val="3"/>
            <w:tcBorders>
              <w:top w:val="nil"/>
              <w:left w:val="single" w:sz="8" w:space="0" w:color="E0E0E0"/>
              <w:bottom w:val="single" w:sz="8" w:space="0" w:color="152935"/>
              <w:right w:val="nil"/>
            </w:tcBorders>
            <w:shd w:val="clear" w:color="auto" w:fill="FFFFFF"/>
            <w:vAlign w:val="bottom"/>
          </w:tcPr>
          <w:p w14:paraId="305C4862"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64F419BE" w14:textId="77777777" w:rsidTr="00D56051">
        <w:trPr>
          <w:gridAfter w:val="3"/>
          <w:wAfter w:w="3216" w:type="dxa"/>
          <w:cantSplit/>
        </w:trPr>
        <w:tc>
          <w:tcPr>
            <w:tcW w:w="1755" w:type="dxa"/>
            <w:gridSpan w:val="2"/>
            <w:tcBorders>
              <w:top w:val="single" w:sz="8" w:space="0" w:color="152935"/>
              <w:left w:val="nil"/>
              <w:bottom w:val="single" w:sz="8" w:space="0" w:color="152935"/>
              <w:right w:val="nil"/>
            </w:tcBorders>
            <w:shd w:val="clear" w:color="auto" w:fill="E0E0E0"/>
          </w:tcPr>
          <w:p w14:paraId="5AB81D3E" w14:textId="77777777" w:rsidR="0087601C" w:rsidRPr="006A1EC7" w:rsidRDefault="0087601C" w:rsidP="00D56051">
            <w:pPr>
              <w:spacing w:line="320" w:lineRule="atLeast"/>
              <w:ind w:left="60" w:right="60"/>
              <w:rPr>
                <w:color w:val="264A60"/>
                <w:sz w:val="18"/>
              </w:rPr>
            </w:pPr>
            <w:r w:rsidRPr="006A1EC7">
              <w:rPr>
                <w:color w:val="264A60"/>
                <w:sz w:val="18"/>
              </w:rPr>
              <w:t>Level of care</w:t>
            </w:r>
          </w:p>
        </w:tc>
        <w:tc>
          <w:tcPr>
            <w:tcW w:w="1277" w:type="dxa"/>
            <w:gridSpan w:val="3"/>
            <w:tcBorders>
              <w:top w:val="single" w:sz="8" w:space="0" w:color="152935"/>
              <w:left w:val="nil"/>
              <w:bottom w:val="single" w:sz="8" w:space="0" w:color="152935"/>
              <w:right w:val="single" w:sz="8" w:space="0" w:color="E0E0E0"/>
            </w:tcBorders>
            <w:shd w:val="clear" w:color="auto" w:fill="FFFFFF"/>
          </w:tcPr>
          <w:p w14:paraId="6446A8B7" w14:textId="77777777" w:rsidR="0087601C" w:rsidRPr="006A1EC7" w:rsidRDefault="0087601C" w:rsidP="00D56051">
            <w:pPr>
              <w:spacing w:line="320" w:lineRule="atLeast"/>
              <w:ind w:left="60" w:right="60"/>
              <w:jc w:val="right"/>
              <w:rPr>
                <w:color w:val="010205"/>
                <w:sz w:val="18"/>
              </w:rPr>
            </w:pPr>
            <w:r w:rsidRPr="006A1EC7">
              <w:rPr>
                <w:color w:val="010205"/>
                <w:sz w:val="18"/>
              </w:rPr>
              <w:t>34</w:t>
            </w:r>
          </w:p>
        </w:tc>
        <w:tc>
          <w:tcPr>
            <w:tcW w:w="1277" w:type="dxa"/>
            <w:gridSpan w:val="4"/>
            <w:tcBorders>
              <w:top w:val="single" w:sz="8" w:space="0" w:color="152935"/>
              <w:left w:val="single" w:sz="8" w:space="0" w:color="E0E0E0"/>
              <w:bottom w:val="single" w:sz="8" w:space="0" w:color="152935"/>
              <w:right w:val="single" w:sz="8" w:space="0" w:color="E0E0E0"/>
            </w:tcBorders>
            <w:shd w:val="clear" w:color="auto" w:fill="FFFFFF"/>
          </w:tcPr>
          <w:p w14:paraId="05C3627B" w14:textId="77777777" w:rsidR="0087601C" w:rsidRPr="006A1EC7" w:rsidRDefault="0087601C" w:rsidP="00D56051">
            <w:pPr>
              <w:spacing w:line="320" w:lineRule="atLeast"/>
              <w:ind w:left="60" w:right="60"/>
              <w:jc w:val="right"/>
              <w:rPr>
                <w:color w:val="010205"/>
                <w:sz w:val="18"/>
              </w:rPr>
            </w:pPr>
            <w:r w:rsidRPr="006A1EC7">
              <w:rPr>
                <w:color w:val="010205"/>
                <w:sz w:val="18"/>
              </w:rPr>
              <w:t>1.68</w:t>
            </w:r>
          </w:p>
        </w:tc>
        <w:tc>
          <w:tcPr>
            <w:tcW w:w="1831" w:type="dxa"/>
            <w:gridSpan w:val="3"/>
            <w:tcBorders>
              <w:top w:val="single" w:sz="8" w:space="0" w:color="152935"/>
              <w:left w:val="single" w:sz="8" w:space="0" w:color="E0E0E0"/>
              <w:bottom w:val="single" w:sz="8" w:space="0" w:color="152935"/>
              <w:right w:val="single" w:sz="8" w:space="0" w:color="E0E0E0"/>
            </w:tcBorders>
            <w:shd w:val="clear" w:color="auto" w:fill="FFFFFF"/>
          </w:tcPr>
          <w:p w14:paraId="33A5AEAC" w14:textId="77777777" w:rsidR="0087601C" w:rsidRPr="006A1EC7" w:rsidRDefault="0087601C" w:rsidP="00D56051">
            <w:pPr>
              <w:spacing w:line="320" w:lineRule="atLeast"/>
              <w:ind w:left="60" w:right="60"/>
              <w:jc w:val="right"/>
              <w:rPr>
                <w:color w:val="010205"/>
                <w:sz w:val="18"/>
              </w:rPr>
            </w:pPr>
            <w:r w:rsidRPr="006A1EC7">
              <w:rPr>
                <w:color w:val="010205"/>
                <w:sz w:val="18"/>
              </w:rPr>
              <w:t>.535</w:t>
            </w:r>
          </w:p>
        </w:tc>
        <w:tc>
          <w:tcPr>
            <w:tcW w:w="1831" w:type="dxa"/>
            <w:gridSpan w:val="3"/>
            <w:tcBorders>
              <w:top w:val="single" w:sz="8" w:space="0" w:color="152935"/>
              <w:left w:val="single" w:sz="8" w:space="0" w:color="E0E0E0"/>
              <w:bottom w:val="single" w:sz="8" w:space="0" w:color="152935"/>
              <w:right w:val="nil"/>
            </w:tcBorders>
            <w:shd w:val="clear" w:color="auto" w:fill="FFFFFF"/>
          </w:tcPr>
          <w:p w14:paraId="762AD9D8" w14:textId="77777777" w:rsidR="0087601C" w:rsidRPr="006A1EC7" w:rsidRDefault="0087601C" w:rsidP="00D56051">
            <w:pPr>
              <w:spacing w:line="320" w:lineRule="atLeast"/>
              <w:ind w:left="60" w:right="60"/>
              <w:jc w:val="right"/>
              <w:rPr>
                <w:color w:val="010205"/>
                <w:sz w:val="18"/>
              </w:rPr>
            </w:pPr>
            <w:r w:rsidRPr="006A1EC7">
              <w:rPr>
                <w:color w:val="010205"/>
                <w:sz w:val="18"/>
              </w:rPr>
              <w:t>.092</w:t>
            </w:r>
          </w:p>
        </w:tc>
      </w:tr>
      <w:tr w:rsidR="0087601C" w:rsidRPr="006A1EC7" w14:paraId="3736A1B2" w14:textId="77777777" w:rsidTr="00D56051">
        <w:trPr>
          <w:cantSplit/>
        </w:trPr>
        <w:tc>
          <w:tcPr>
            <w:tcW w:w="1687" w:type="dxa"/>
            <w:vMerge w:val="restart"/>
            <w:tcBorders>
              <w:top w:val="nil"/>
              <w:left w:val="nil"/>
              <w:bottom w:val="nil"/>
              <w:right w:val="nil"/>
            </w:tcBorders>
            <w:shd w:val="clear" w:color="auto" w:fill="FFFFFF"/>
            <w:vAlign w:val="bottom"/>
          </w:tcPr>
          <w:p w14:paraId="038C8BFB" w14:textId="77777777" w:rsidR="0087601C" w:rsidRPr="006A1EC7" w:rsidRDefault="0087601C" w:rsidP="00D56051">
            <w:pPr>
              <w:rPr>
                <w:sz w:val="18"/>
              </w:rPr>
            </w:pPr>
          </w:p>
        </w:tc>
        <w:tc>
          <w:tcPr>
            <w:tcW w:w="9500" w:type="dxa"/>
            <w:gridSpan w:val="17"/>
            <w:tcBorders>
              <w:top w:val="nil"/>
              <w:left w:val="nil"/>
              <w:bottom w:val="nil"/>
              <w:right w:val="nil"/>
            </w:tcBorders>
            <w:shd w:val="clear" w:color="auto" w:fill="FFFFFF"/>
            <w:vAlign w:val="bottom"/>
          </w:tcPr>
          <w:p w14:paraId="41E2DC9F"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1.5</w:t>
            </w:r>
          </w:p>
        </w:tc>
      </w:tr>
      <w:tr w:rsidR="0087601C" w:rsidRPr="006A1EC7" w14:paraId="5C6E40BB" w14:textId="77777777" w:rsidTr="00D56051">
        <w:trPr>
          <w:cantSplit/>
        </w:trPr>
        <w:tc>
          <w:tcPr>
            <w:tcW w:w="1687" w:type="dxa"/>
            <w:vMerge/>
            <w:tcBorders>
              <w:top w:val="nil"/>
              <w:left w:val="nil"/>
              <w:bottom w:val="nil"/>
              <w:right w:val="nil"/>
            </w:tcBorders>
            <w:shd w:val="clear" w:color="auto" w:fill="FFFFFF"/>
            <w:vAlign w:val="bottom"/>
          </w:tcPr>
          <w:p w14:paraId="45E5ECA6" w14:textId="77777777" w:rsidR="0087601C" w:rsidRPr="006A1EC7" w:rsidRDefault="0087601C" w:rsidP="00D56051">
            <w:pPr>
              <w:rPr>
                <w:color w:val="264A60"/>
                <w:sz w:val="18"/>
              </w:rPr>
            </w:pPr>
          </w:p>
        </w:tc>
        <w:tc>
          <w:tcPr>
            <w:tcW w:w="1228" w:type="dxa"/>
            <w:gridSpan w:val="3"/>
            <w:vMerge w:val="restart"/>
            <w:tcBorders>
              <w:top w:val="nil"/>
              <w:left w:val="nil"/>
              <w:bottom w:val="nil"/>
              <w:right w:val="single" w:sz="8" w:space="0" w:color="E0E0E0"/>
            </w:tcBorders>
            <w:shd w:val="clear" w:color="auto" w:fill="FFFFFF"/>
            <w:vAlign w:val="bottom"/>
          </w:tcPr>
          <w:p w14:paraId="20B484FB"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28" w:type="dxa"/>
            <w:gridSpan w:val="3"/>
            <w:vMerge w:val="restart"/>
            <w:tcBorders>
              <w:top w:val="nil"/>
              <w:left w:val="single" w:sz="8" w:space="0" w:color="E0E0E0"/>
              <w:bottom w:val="nil"/>
              <w:right w:val="single" w:sz="8" w:space="0" w:color="E0E0E0"/>
            </w:tcBorders>
            <w:shd w:val="clear" w:color="auto" w:fill="FFFFFF"/>
            <w:vAlign w:val="bottom"/>
          </w:tcPr>
          <w:p w14:paraId="485E6182"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61" w:type="dxa"/>
            <w:gridSpan w:val="3"/>
            <w:vMerge w:val="restart"/>
            <w:tcBorders>
              <w:top w:val="nil"/>
              <w:left w:val="single" w:sz="8" w:space="0" w:color="E0E0E0"/>
              <w:bottom w:val="nil"/>
              <w:right w:val="single" w:sz="8" w:space="0" w:color="E0E0E0"/>
            </w:tcBorders>
            <w:shd w:val="clear" w:color="auto" w:fill="FFFFFF"/>
            <w:vAlign w:val="bottom"/>
          </w:tcPr>
          <w:p w14:paraId="67CF8746"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61" w:type="dxa"/>
            <w:gridSpan w:val="3"/>
            <w:vMerge w:val="restart"/>
            <w:tcBorders>
              <w:top w:val="nil"/>
              <w:left w:val="single" w:sz="8" w:space="0" w:color="E0E0E0"/>
              <w:bottom w:val="nil"/>
              <w:right w:val="single" w:sz="8" w:space="0" w:color="E0E0E0"/>
            </w:tcBorders>
            <w:shd w:val="clear" w:color="auto" w:fill="FFFFFF"/>
            <w:vAlign w:val="bottom"/>
          </w:tcPr>
          <w:p w14:paraId="1F857A79"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522" w:type="dxa"/>
            <w:gridSpan w:val="5"/>
            <w:tcBorders>
              <w:top w:val="nil"/>
              <w:left w:val="single" w:sz="8" w:space="0" w:color="E0E0E0"/>
              <w:bottom w:val="nil"/>
              <w:right w:val="nil"/>
            </w:tcBorders>
            <w:shd w:val="clear" w:color="auto" w:fill="FFFFFF"/>
            <w:vAlign w:val="bottom"/>
          </w:tcPr>
          <w:p w14:paraId="5EB838F7"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76AAAEE1" w14:textId="77777777" w:rsidTr="00D56051">
        <w:trPr>
          <w:cantSplit/>
        </w:trPr>
        <w:tc>
          <w:tcPr>
            <w:tcW w:w="1687" w:type="dxa"/>
            <w:vMerge/>
            <w:tcBorders>
              <w:top w:val="nil"/>
              <w:left w:val="nil"/>
              <w:bottom w:val="nil"/>
              <w:right w:val="nil"/>
            </w:tcBorders>
            <w:shd w:val="clear" w:color="auto" w:fill="FFFFFF"/>
            <w:vAlign w:val="bottom"/>
          </w:tcPr>
          <w:p w14:paraId="0CB64072" w14:textId="77777777" w:rsidR="0087601C" w:rsidRPr="006A1EC7" w:rsidRDefault="0087601C" w:rsidP="00D56051">
            <w:pPr>
              <w:rPr>
                <w:color w:val="264A60"/>
                <w:sz w:val="18"/>
              </w:rPr>
            </w:pPr>
          </w:p>
        </w:tc>
        <w:tc>
          <w:tcPr>
            <w:tcW w:w="1228" w:type="dxa"/>
            <w:gridSpan w:val="3"/>
            <w:vMerge/>
            <w:tcBorders>
              <w:top w:val="nil"/>
              <w:left w:val="nil"/>
              <w:bottom w:val="nil"/>
              <w:right w:val="single" w:sz="8" w:space="0" w:color="E0E0E0"/>
            </w:tcBorders>
            <w:shd w:val="clear" w:color="auto" w:fill="FFFFFF"/>
            <w:vAlign w:val="bottom"/>
          </w:tcPr>
          <w:p w14:paraId="46D30837" w14:textId="77777777" w:rsidR="0087601C" w:rsidRPr="006A1EC7" w:rsidRDefault="0087601C" w:rsidP="00D56051">
            <w:pPr>
              <w:rPr>
                <w:color w:val="264A60"/>
                <w:sz w:val="18"/>
              </w:rPr>
            </w:pPr>
          </w:p>
        </w:tc>
        <w:tc>
          <w:tcPr>
            <w:tcW w:w="1228" w:type="dxa"/>
            <w:gridSpan w:val="3"/>
            <w:vMerge/>
            <w:tcBorders>
              <w:top w:val="nil"/>
              <w:left w:val="single" w:sz="8" w:space="0" w:color="E0E0E0"/>
              <w:bottom w:val="nil"/>
              <w:right w:val="single" w:sz="8" w:space="0" w:color="E0E0E0"/>
            </w:tcBorders>
            <w:shd w:val="clear" w:color="auto" w:fill="FFFFFF"/>
            <w:vAlign w:val="bottom"/>
          </w:tcPr>
          <w:p w14:paraId="28EF05AA" w14:textId="77777777" w:rsidR="0087601C" w:rsidRPr="006A1EC7" w:rsidRDefault="0087601C" w:rsidP="00D56051">
            <w:pPr>
              <w:rPr>
                <w:color w:val="264A60"/>
                <w:sz w:val="18"/>
              </w:rPr>
            </w:pPr>
          </w:p>
        </w:tc>
        <w:tc>
          <w:tcPr>
            <w:tcW w:w="1761" w:type="dxa"/>
            <w:gridSpan w:val="3"/>
            <w:vMerge/>
            <w:tcBorders>
              <w:top w:val="nil"/>
              <w:left w:val="single" w:sz="8" w:space="0" w:color="E0E0E0"/>
              <w:bottom w:val="nil"/>
              <w:right w:val="single" w:sz="8" w:space="0" w:color="E0E0E0"/>
            </w:tcBorders>
            <w:shd w:val="clear" w:color="auto" w:fill="FFFFFF"/>
            <w:vAlign w:val="bottom"/>
          </w:tcPr>
          <w:p w14:paraId="74B922DF" w14:textId="77777777" w:rsidR="0087601C" w:rsidRPr="006A1EC7" w:rsidRDefault="0087601C" w:rsidP="00D56051">
            <w:pPr>
              <w:rPr>
                <w:color w:val="264A60"/>
                <w:sz w:val="18"/>
              </w:rPr>
            </w:pPr>
          </w:p>
        </w:tc>
        <w:tc>
          <w:tcPr>
            <w:tcW w:w="1761" w:type="dxa"/>
            <w:gridSpan w:val="3"/>
            <w:vMerge/>
            <w:tcBorders>
              <w:top w:val="nil"/>
              <w:left w:val="single" w:sz="8" w:space="0" w:color="E0E0E0"/>
              <w:bottom w:val="nil"/>
              <w:right w:val="single" w:sz="8" w:space="0" w:color="E0E0E0"/>
            </w:tcBorders>
            <w:shd w:val="clear" w:color="auto" w:fill="FFFFFF"/>
            <w:vAlign w:val="bottom"/>
          </w:tcPr>
          <w:p w14:paraId="7D7BB63A" w14:textId="77777777" w:rsidR="0087601C" w:rsidRPr="006A1EC7" w:rsidRDefault="0087601C" w:rsidP="00D56051">
            <w:pPr>
              <w:rPr>
                <w:color w:val="264A60"/>
                <w:sz w:val="18"/>
              </w:rPr>
            </w:pPr>
          </w:p>
        </w:tc>
        <w:tc>
          <w:tcPr>
            <w:tcW w:w="1761" w:type="dxa"/>
            <w:gridSpan w:val="3"/>
            <w:tcBorders>
              <w:top w:val="nil"/>
              <w:left w:val="single" w:sz="8" w:space="0" w:color="E0E0E0"/>
              <w:bottom w:val="single" w:sz="8" w:space="0" w:color="152935"/>
              <w:right w:val="single" w:sz="8" w:space="0" w:color="E0E0E0"/>
            </w:tcBorders>
            <w:shd w:val="clear" w:color="auto" w:fill="FFFFFF"/>
            <w:vAlign w:val="bottom"/>
          </w:tcPr>
          <w:p w14:paraId="0E0ABA99"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61" w:type="dxa"/>
            <w:gridSpan w:val="2"/>
            <w:tcBorders>
              <w:top w:val="nil"/>
              <w:left w:val="single" w:sz="8" w:space="0" w:color="E0E0E0"/>
              <w:bottom w:val="single" w:sz="8" w:space="0" w:color="152935"/>
              <w:right w:val="nil"/>
            </w:tcBorders>
            <w:shd w:val="clear" w:color="auto" w:fill="FFFFFF"/>
            <w:vAlign w:val="bottom"/>
          </w:tcPr>
          <w:p w14:paraId="4CA525DF"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5C42A7C2" w14:textId="77777777" w:rsidTr="00D56051">
        <w:trPr>
          <w:cantSplit/>
        </w:trPr>
        <w:tc>
          <w:tcPr>
            <w:tcW w:w="1687" w:type="dxa"/>
            <w:tcBorders>
              <w:top w:val="single" w:sz="8" w:space="0" w:color="152935"/>
              <w:left w:val="nil"/>
              <w:bottom w:val="single" w:sz="8" w:space="0" w:color="152935"/>
              <w:right w:val="nil"/>
            </w:tcBorders>
            <w:shd w:val="clear" w:color="auto" w:fill="E0E0E0"/>
          </w:tcPr>
          <w:p w14:paraId="0D03E9E6" w14:textId="77777777" w:rsidR="0087601C" w:rsidRPr="006A1EC7" w:rsidRDefault="0087601C" w:rsidP="00D56051">
            <w:pPr>
              <w:spacing w:line="320" w:lineRule="atLeast"/>
              <w:ind w:left="60" w:right="60"/>
              <w:rPr>
                <w:color w:val="264A60"/>
                <w:sz w:val="18"/>
              </w:rPr>
            </w:pPr>
            <w:r w:rsidRPr="006A1EC7">
              <w:rPr>
                <w:color w:val="264A60"/>
                <w:sz w:val="18"/>
              </w:rPr>
              <w:t>Level of care</w:t>
            </w:r>
          </w:p>
        </w:tc>
        <w:tc>
          <w:tcPr>
            <w:tcW w:w="1228" w:type="dxa"/>
            <w:gridSpan w:val="3"/>
            <w:tcBorders>
              <w:top w:val="single" w:sz="8" w:space="0" w:color="152935"/>
              <w:left w:val="nil"/>
              <w:bottom w:val="single" w:sz="8" w:space="0" w:color="152935"/>
              <w:right w:val="single" w:sz="8" w:space="0" w:color="E0E0E0"/>
            </w:tcBorders>
            <w:shd w:val="clear" w:color="auto" w:fill="FFFFFF"/>
          </w:tcPr>
          <w:p w14:paraId="6A30CF47" w14:textId="77777777" w:rsidR="0087601C" w:rsidRPr="006A1EC7" w:rsidRDefault="0087601C" w:rsidP="00D56051">
            <w:pPr>
              <w:spacing w:line="320" w:lineRule="atLeast"/>
              <w:ind w:left="60" w:right="60"/>
              <w:jc w:val="right"/>
              <w:rPr>
                <w:color w:val="010205"/>
                <w:sz w:val="18"/>
              </w:rPr>
            </w:pPr>
            <w:r w:rsidRPr="006A1EC7">
              <w:rPr>
                <w:color w:val="010205"/>
                <w:sz w:val="18"/>
              </w:rPr>
              <w:t>1.924</w:t>
            </w:r>
          </w:p>
        </w:tc>
        <w:tc>
          <w:tcPr>
            <w:tcW w:w="1228" w:type="dxa"/>
            <w:gridSpan w:val="3"/>
            <w:tcBorders>
              <w:top w:val="single" w:sz="8" w:space="0" w:color="152935"/>
              <w:left w:val="single" w:sz="8" w:space="0" w:color="E0E0E0"/>
              <w:bottom w:val="single" w:sz="8" w:space="0" w:color="152935"/>
              <w:right w:val="single" w:sz="8" w:space="0" w:color="E0E0E0"/>
            </w:tcBorders>
            <w:shd w:val="clear" w:color="auto" w:fill="FFFFFF"/>
          </w:tcPr>
          <w:p w14:paraId="6D8CD5DE"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c>
          <w:tcPr>
            <w:tcW w:w="1761" w:type="dxa"/>
            <w:gridSpan w:val="3"/>
            <w:tcBorders>
              <w:top w:val="single" w:sz="8" w:space="0" w:color="152935"/>
              <w:left w:val="single" w:sz="8" w:space="0" w:color="E0E0E0"/>
              <w:bottom w:val="single" w:sz="8" w:space="0" w:color="152935"/>
              <w:right w:val="single" w:sz="8" w:space="0" w:color="E0E0E0"/>
            </w:tcBorders>
            <w:shd w:val="clear" w:color="auto" w:fill="FFFFFF"/>
          </w:tcPr>
          <w:p w14:paraId="4EF5A83F" w14:textId="77777777" w:rsidR="0087601C" w:rsidRPr="006A1EC7" w:rsidRDefault="0087601C" w:rsidP="00D56051">
            <w:pPr>
              <w:spacing w:line="320" w:lineRule="atLeast"/>
              <w:ind w:left="60" w:right="60"/>
              <w:jc w:val="right"/>
              <w:rPr>
                <w:color w:val="010205"/>
                <w:sz w:val="18"/>
              </w:rPr>
            </w:pPr>
            <w:r w:rsidRPr="006A1EC7">
              <w:rPr>
                <w:color w:val="010205"/>
                <w:sz w:val="18"/>
              </w:rPr>
              <w:t>.063</w:t>
            </w:r>
          </w:p>
        </w:tc>
        <w:tc>
          <w:tcPr>
            <w:tcW w:w="1761" w:type="dxa"/>
            <w:gridSpan w:val="3"/>
            <w:tcBorders>
              <w:top w:val="single" w:sz="8" w:space="0" w:color="152935"/>
              <w:left w:val="single" w:sz="8" w:space="0" w:color="E0E0E0"/>
              <w:bottom w:val="single" w:sz="8" w:space="0" w:color="152935"/>
              <w:right w:val="single" w:sz="8" w:space="0" w:color="E0E0E0"/>
            </w:tcBorders>
            <w:shd w:val="clear" w:color="auto" w:fill="FFFFFF"/>
          </w:tcPr>
          <w:p w14:paraId="414469CE" w14:textId="77777777" w:rsidR="0087601C" w:rsidRPr="006A1EC7" w:rsidRDefault="0087601C" w:rsidP="00D56051">
            <w:pPr>
              <w:spacing w:line="320" w:lineRule="atLeast"/>
              <w:ind w:left="60" w:right="60"/>
              <w:jc w:val="right"/>
              <w:rPr>
                <w:color w:val="010205"/>
                <w:sz w:val="18"/>
              </w:rPr>
            </w:pPr>
            <w:r w:rsidRPr="006A1EC7">
              <w:rPr>
                <w:color w:val="010205"/>
                <w:sz w:val="18"/>
              </w:rPr>
              <w:t>.176</w:t>
            </w:r>
          </w:p>
        </w:tc>
        <w:tc>
          <w:tcPr>
            <w:tcW w:w="1761" w:type="dxa"/>
            <w:gridSpan w:val="3"/>
            <w:tcBorders>
              <w:top w:val="single" w:sz="8" w:space="0" w:color="152935"/>
              <w:left w:val="single" w:sz="8" w:space="0" w:color="E0E0E0"/>
              <w:bottom w:val="single" w:sz="8" w:space="0" w:color="152935"/>
              <w:right w:val="single" w:sz="8" w:space="0" w:color="E0E0E0"/>
            </w:tcBorders>
            <w:shd w:val="clear" w:color="auto" w:fill="FFFFFF"/>
          </w:tcPr>
          <w:p w14:paraId="789BD368" w14:textId="77777777" w:rsidR="0087601C" w:rsidRPr="006A1EC7" w:rsidRDefault="0087601C" w:rsidP="00D56051">
            <w:pPr>
              <w:spacing w:line="320" w:lineRule="atLeast"/>
              <w:ind w:left="60" w:right="60"/>
              <w:jc w:val="right"/>
              <w:rPr>
                <w:color w:val="010205"/>
                <w:sz w:val="18"/>
              </w:rPr>
            </w:pPr>
            <w:r w:rsidRPr="006A1EC7">
              <w:rPr>
                <w:color w:val="010205"/>
                <w:sz w:val="18"/>
              </w:rPr>
              <w:t>-.01</w:t>
            </w:r>
          </w:p>
        </w:tc>
        <w:tc>
          <w:tcPr>
            <w:tcW w:w="1761" w:type="dxa"/>
            <w:gridSpan w:val="2"/>
            <w:tcBorders>
              <w:top w:val="single" w:sz="8" w:space="0" w:color="152935"/>
              <w:left w:val="single" w:sz="8" w:space="0" w:color="E0E0E0"/>
              <w:bottom w:val="single" w:sz="8" w:space="0" w:color="152935"/>
              <w:right w:val="nil"/>
            </w:tcBorders>
            <w:shd w:val="clear" w:color="auto" w:fill="FFFFFF"/>
          </w:tcPr>
          <w:p w14:paraId="0D0A393E"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r>
    </w:tbl>
    <w:p w14:paraId="042AAC13" w14:textId="77777777" w:rsidR="0087601C" w:rsidRPr="006A1EC7" w:rsidRDefault="0087601C" w:rsidP="0087601C">
      <w:pPr>
        <w:spacing w:line="400" w:lineRule="atLeast"/>
        <w:rPr>
          <w:sz w:val="18"/>
        </w:rPr>
      </w:pPr>
    </w:p>
    <w:tbl>
      <w:tblPr>
        <w:tblW w:w="8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9"/>
        <w:gridCol w:w="1278"/>
        <w:gridCol w:w="1277"/>
        <w:gridCol w:w="1829"/>
        <w:gridCol w:w="1829"/>
      </w:tblGrid>
      <w:tr w:rsidR="0087601C" w:rsidRPr="006A1EC7" w14:paraId="599BBC2F" w14:textId="77777777" w:rsidTr="00D56051">
        <w:trPr>
          <w:cantSplit/>
        </w:trPr>
        <w:tc>
          <w:tcPr>
            <w:tcW w:w="8270" w:type="dxa"/>
            <w:gridSpan w:val="5"/>
            <w:tcBorders>
              <w:top w:val="nil"/>
              <w:left w:val="nil"/>
              <w:bottom w:val="nil"/>
              <w:right w:val="nil"/>
            </w:tcBorders>
            <w:shd w:val="clear" w:color="auto" w:fill="FFFFFF"/>
            <w:vAlign w:val="center"/>
          </w:tcPr>
          <w:p w14:paraId="74180C46" w14:textId="77777777" w:rsidR="0087601C" w:rsidRPr="006A1EC7" w:rsidRDefault="0087601C" w:rsidP="00D56051">
            <w:pPr>
              <w:spacing w:line="320" w:lineRule="atLeast"/>
              <w:ind w:right="60"/>
              <w:rPr>
                <w:color w:val="010205"/>
                <w:sz w:val="22"/>
                <w:szCs w:val="30"/>
              </w:rPr>
            </w:pPr>
          </w:p>
        </w:tc>
      </w:tr>
      <w:tr w:rsidR="0087601C" w:rsidRPr="006A1EC7" w14:paraId="55B3AE53" w14:textId="77777777" w:rsidTr="00D56051">
        <w:trPr>
          <w:cantSplit/>
        </w:trPr>
        <w:tc>
          <w:tcPr>
            <w:tcW w:w="2058" w:type="dxa"/>
            <w:tcBorders>
              <w:top w:val="nil"/>
              <w:left w:val="nil"/>
              <w:bottom w:val="single" w:sz="8" w:space="0" w:color="152935"/>
              <w:right w:val="nil"/>
            </w:tcBorders>
            <w:shd w:val="clear" w:color="auto" w:fill="FFFFFF"/>
            <w:vAlign w:val="bottom"/>
          </w:tcPr>
          <w:p w14:paraId="468F4080" w14:textId="77777777" w:rsidR="0087601C" w:rsidRPr="006A1EC7" w:rsidRDefault="0087601C" w:rsidP="00D56051">
            <w:pPr>
              <w:rPr>
                <w:sz w:val="18"/>
              </w:rPr>
            </w:pPr>
          </w:p>
        </w:tc>
        <w:tc>
          <w:tcPr>
            <w:tcW w:w="1277" w:type="dxa"/>
            <w:tcBorders>
              <w:top w:val="nil"/>
              <w:left w:val="nil"/>
              <w:bottom w:val="single" w:sz="8" w:space="0" w:color="152935"/>
              <w:right w:val="single" w:sz="8" w:space="0" w:color="E0E0E0"/>
            </w:tcBorders>
            <w:shd w:val="clear" w:color="auto" w:fill="FFFFFF"/>
            <w:vAlign w:val="bottom"/>
          </w:tcPr>
          <w:p w14:paraId="00AA37C9"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1D2ABFDC"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tcBorders>
              <w:top w:val="nil"/>
              <w:left w:val="single" w:sz="8" w:space="0" w:color="E0E0E0"/>
              <w:bottom w:val="single" w:sz="8" w:space="0" w:color="152935"/>
              <w:right w:val="single" w:sz="8" w:space="0" w:color="E0E0E0"/>
            </w:tcBorders>
            <w:shd w:val="clear" w:color="auto" w:fill="FFFFFF"/>
            <w:vAlign w:val="bottom"/>
          </w:tcPr>
          <w:p w14:paraId="0C0F2A5A"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tcBorders>
              <w:top w:val="nil"/>
              <w:left w:val="single" w:sz="8" w:space="0" w:color="E0E0E0"/>
              <w:bottom w:val="single" w:sz="8" w:space="0" w:color="152935"/>
              <w:right w:val="nil"/>
            </w:tcBorders>
            <w:shd w:val="clear" w:color="auto" w:fill="FFFFFF"/>
            <w:vAlign w:val="bottom"/>
          </w:tcPr>
          <w:p w14:paraId="3CD86BFD"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302CC368" w14:textId="77777777" w:rsidTr="00D56051">
        <w:trPr>
          <w:cantSplit/>
        </w:trPr>
        <w:tc>
          <w:tcPr>
            <w:tcW w:w="2058" w:type="dxa"/>
            <w:tcBorders>
              <w:top w:val="single" w:sz="8" w:space="0" w:color="152935"/>
              <w:left w:val="nil"/>
              <w:bottom w:val="single" w:sz="8" w:space="0" w:color="152935"/>
              <w:right w:val="nil"/>
            </w:tcBorders>
            <w:shd w:val="clear" w:color="auto" w:fill="E0E0E0"/>
          </w:tcPr>
          <w:p w14:paraId="69338D67" w14:textId="77777777" w:rsidR="0087601C" w:rsidRPr="006A1EC7" w:rsidRDefault="0087601C" w:rsidP="00D56051">
            <w:pPr>
              <w:spacing w:line="320" w:lineRule="atLeast"/>
              <w:ind w:left="60" w:right="60"/>
              <w:rPr>
                <w:color w:val="264A60"/>
                <w:sz w:val="18"/>
              </w:rPr>
            </w:pPr>
            <w:r w:rsidRPr="006A1EC7">
              <w:rPr>
                <w:color w:val="264A60"/>
                <w:sz w:val="18"/>
              </w:rPr>
              <w:t>T1Joshua_Total</w:t>
            </w:r>
          </w:p>
        </w:tc>
        <w:tc>
          <w:tcPr>
            <w:tcW w:w="1277" w:type="dxa"/>
            <w:tcBorders>
              <w:top w:val="single" w:sz="8" w:space="0" w:color="152935"/>
              <w:left w:val="nil"/>
              <w:bottom w:val="single" w:sz="8" w:space="0" w:color="152935"/>
              <w:right w:val="single" w:sz="8" w:space="0" w:color="E0E0E0"/>
            </w:tcBorders>
            <w:shd w:val="clear" w:color="auto" w:fill="FFFFFF"/>
          </w:tcPr>
          <w:p w14:paraId="79C48DCB" w14:textId="77777777" w:rsidR="0087601C" w:rsidRPr="006A1EC7" w:rsidRDefault="0087601C" w:rsidP="00D56051">
            <w:pPr>
              <w:spacing w:line="320" w:lineRule="atLeast"/>
              <w:ind w:left="60" w:right="60"/>
              <w:jc w:val="right"/>
              <w:rPr>
                <w:color w:val="010205"/>
                <w:sz w:val="18"/>
              </w:rPr>
            </w:pPr>
            <w:r w:rsidRPr="006A1EC7">
              <w:rPr>
                <w:color w:val="010205"/>
                <w:sz w:val="18"/>
              </w:rPr>
              <w:t>31</w:t>
            </w:r>
          </w:p>
        </w:tc>
        <w:tc>
          <w:tcPr>
            <w:tcW w:w="1277" w:type="dxa"/>
            <w:tcBorders>
              <w:top w:val="single" w:sz="8" w:space="0" w:color="152935"/>
              <w:left w:val="single" w:sz="8" w:space="0" w:color="E0E0E0"/>
              <w:bottom w:val="single" w:sz="8" w:space="0" w:color="152935"/>
              <w:right w:val="single" w:sz="8" w:space="0" w:color="E0E0E0"/>
            </w:tcBorders>
            <w:shd w:val="clear" w:color="auto" w:fill="FFFFFF"/>
          </w:tcPr>
          <w:p w14:paraId="04809BBC" w14:textId="77777777" w:rsidR="0087601C" w:rsidRPr="006A1EC7" w:rsidRDefault="0087601C" w:rsidP="00D56051">
            <w:pPr>
              <w:spacing w:line="320" w:lineRule="atLeast"/>
              <w:ind w:left="60" w:right="60"/>
              <w:jc w:val="right"/>
              <w:rPr>
                <w:color w:val="010205"/>
                <w:sz w:val="18"/>
              </w:rPr>
            </w:pPr>
            <w:r w:rsidRPr="006A1EC7">
              <w:rPr>
                <w:color w:val="010205"/>
                <w:sz w:val="18"/>
              </w:rPr>
              <w:t>58.45</w:t>
            </w:r>
          </w:p>
        </w:tc>
        <w:tc>
          <w:tcPr>
            <w:tcW w:w="1829" w:type="dxa"/>
            <w:tcBorders>
              <w:top w:val="single" w:sz="8" w:space="0" w:color="152935"/>
              <w:left w:val="single" w:sz="8" w:space="0" w:color="E0E0E0"/>
              <w:bottom w:val="single" w:sz="8" w:space="0" w:color="152935"/>
              <w:right w:val="single" w:sz="8" w:space="0" w:color="E0E0E0"/>
            </w:tcBorders>
            <w:shd w:val="clear" w:color="auto" w:fill="FFFFFF"/>
          </w:tcPr>
          <w:p w14:paraId="54E33FDB" w14:textId="77777777" w:rsidR="0087601C" w:rsidRPr="006A1EC7" w:rsidRDefault="0087601C" w:rsidP="00D56051">
            <w:pPr>
              <w:spacing w:line="320" w:lineRule="atLeast"/>
              <w:ind w:left="60" w:right="60"/>
              <w:jc w:val="right"/>
              <w:rPr>
                <w:color w:val="010205"/>
                <w:sz w:val="18"/>
              </w:rPr>
            </w:pPr>
            <w:r w:rsidRPr="006A1EC7">
              <w:rPr>
                <w:color w:val="010205"/>
                <w:sz w:val="18"/>
              </w:rPr>
              <w:t>3.880</w:t>
            </w:r>
          </w:p>
        </w:tc>
        <w:tc>
          <w:tcPr>
            <w:tcW w:w="1829" w:type="dxa"/>
            <w:tcBorders>
              <w:top w:val="single" w:sz="8" w:space="0" w:color="152935"/>
              <w:left w:val="single" w:sz="8" w:space="0" w:color="E0E0E0"/>
              <w:bottom w:val="single" w:sz="8" w:space="0" w:color="152935"/>
              <w:right w:val="nil"/>
            </w:tcBorders>
            <w:shd w:val="clear" w:color="auto" w:fill="FFFFFF"/>
          </w:tcPr>
          <w:p w14:paraId="2D15961E" w14:textId="77777777" w:rsidR="0087601C" w:rsidRPr="006A1EC7" w:rsidRDefault="0087601C" w:rsidP="00D56051">
            <w:pPr>
              <w:spacing w:line="320" w:lineRule="atLeast"/>
              <w:ind w:left="60" w:right="60"/>
              <w:jc w:val="right"/>
              <w:rPr>
                <w:color w:val="010205"/>
                <w:sz w:val="18"/>
              </w:rPr>
            </w:pPr>
            <w:r w:rsidRPr="006A1EC7">
              <w:rPr>
                <w:color w:val="010205"/>
                <w:sz w:val="18"/>
              </w:rPr>
              <w:t>.697</w:t>
            </w:r>
          </w:p>
        </w:tc>
      </w:tr>
    </w:tbl>
    <w:p w14:paraId="405143B3" w14:textId="77777777" w:rsidR="0087601C" w:rsidRPr="006A1EC7" w:rsidRDefault="0087601C" w:rsidP="0087601C">
      <w:pPr>
        <w:spacing w:line="400" w:lineRule="atLeast"/>
        <w:rPr>
          <w:sz w:val="18"/>
        </w:rPr>
      </w:pPr>
    </w:p>
    <w:p w14:paraId="089EF87B"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32"/>
        <w:gridCol w:w="1198"/>
        <w:gridCol w:w="1197"/>
        <w:gridCol w:w="1715"/>
        <w:gridCol w:w="1715"/>
        <w:gridCol w:w="1715"/>
        <w:gridCol w:w="1715"/>
      </w:tblGrid>
      <w:tr w:rsidR="0087601C" w:rsidRPr="006A1EC7" w14:paraId="3F5C9CCC" w14:textId="77777777" w:rsidTr="00D56051">
        <w:trPr>
          <w:cantSplit/>
        </w:trPr>
        <w:tc>
          <w:tcPr>
            <w:tcW w:w="11184" w:type="dxa"/>
            <w:gridSpan w:val="7"/>
            <w:tcBorders>
              <w:top w:val="nil"/>
              <w:left w:val="nil"/>
              <w:bottom w:val="nil"/>
              <w:right w:val="nil"/>
            </w:tcBorders>
            <w:shd w:val="clear" w:color="auto" w:fill="FFFFFF"/>
            <w:vAlign w:val="center"/>
          </w:tcPr>
          <w:p w14:paraId="55AF40FA" w14:textId="77777777" w:rsidR="0087601C" w:rsidRPr="006A1EC7" w:rsidRDefault="0087601C" w:rsidP="00D56051">
            <w:pPr>
              <w:spacing w:line="320" w:lineRule="atLeast"/>
              <w:ind w:right="60"/>
              <w:rPr>
                <w:color w:val="010205"/>
                <w:sz w:val="22"/>
                <w:szCs w:val="30"/>
              </w:rPr>
            </w:pPr>
          </w:p>
        </w:tc>
      </w:tr>
      <w:tr w:rsidR="0087601C" w:rsidRPr="006A1EC7" w14:paraId="2195D7C0" w14:textId="77777777" w:rsidTr="00D56051">
        <w:trPr>
          <w:cantSplit/>
        </w:trPr>
        <w:tc>
          <w:tcPr>
            <w:tcW w:w="1930" w:type="dxa"/>
            <w:vMerge w:val="restart"/>
            <w:tcBorders>
              <w:top w:val="nil"/>
              <w:left w:val="nil"/>
              <w:bottom w:val="nil"/>
              <w:right w:val="nil"/>
            </w:tcBorders>
            <w:shd w:val="clear" w:color="auto" w:fill="FFFFFF"/>
            <w:vAlign w:val="bottom"/>
          </w:tcPr>
          <w:p w14:paraId="5EF8201D" w14:textId="77777777" w:rsidR="0087601C" w:rsidRPr="006A1EC7" w:rsidRDefault="0087601C" w:rsidP="00D56051">
            <w:pPr>
              <w:rPr>
                <w:sz w:val="18"/>
              </w:rPr>
            </w:pPr>
          </w:p>
        </w:tc>
        <w:tc>
          <w:tcPr>
            <w:tcW w:w="9254" w:type="dxa"/>
            <w:gridSpan w:val="6"/>
            <w:tcBorders>
              <w:top w:val="nil"/>
              <w:left w:val="nil"/>
              <w:bottom w:val="nil"/>
              <w:right w:val="nil"/>
            </w:tcBorders>
            <w:shd w:val="clear" w:color="auto" w:fill="FFFFFF"/>
            <w:vAlign w:val="bottom"/>
          </w:tcPr>
          <w:p w14:paraId="6FF4E8DA"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58.5</w:t>
            </w:r>
          </w:p>
        </w:tc>
      </w:tr>
      <w:tr w:rsidR="0087601C" w:rsidRPr="006A1EC7" w14:paraId="2EEADE75" w14:textId="77777777" w:rsidTr="00D56051">
        <w:trPr>
          <w:cantSplit/>
        </w:trPr>
        <w:tc>
          <w:tcPr>
            <w:tcW w:w="1930" w:type="dxa"/>
            <w:vMerge/>
            <w:tcBorders>
              <w:top w:val="nil"/>
              <w:left w:val="nil"/>
              <w:bottom w:val="nil"/>
              <w:right w:val="nil"/>
            </w:tcBorders>
            <w:shd w:val="clear" w:color="auto" w:fill="FFFFFF"/>
            <w:vAlign w:val="bottom"/>
          </w:tcPr>
          <w:p w14:paraId="0C82B19A" w14:textId="77777777" w:rsidR="0087601C" w:rsidRPr="006A1EC7" w:rsidRDefault="0087601C" w:rsidP="00D56051">
            <w:pPr>
              <w:rPr>
                <w:color w:val="264A60"/>
                <w:sz w:val="18"/>
              </w:rPr>
            </w:pPr>
          </w:p>
        </w:tc>
        <w:tc>
          <w:tcPr>
            <w:tcW w:w="1197" w:type="dxa"/>
            <w:vMerge w:val="restart"/>
            <w:tcBorders>
              <w:top w:val="nil"/>
              <w:left w:val="nil"/>
              <w:bottom w:val="nil"/>
              <w:right w:val="single" w:sz="8" w:space="0" w:color="E0E0E0"/>
            </w:tcBorders>
            <w:shd w:val="clear" w:color="auto" w:fill="FFFFFF"/>
            <w:vAlign w:val="bottom"/>
          </w:tcPr>
          <w:p w14:paraId="0CE4140D"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97" w:type="dxa"/>
            <w:vMerge w:val="restart"/>
            <w:tcBorders>
              <w:top w:val="nil"/>
              <w:left w:val="single" w:sz="8" w:space="0" w:color="E0E0E0"/>
              <w:bottom w:val="nil"/>
              <w:right w:val="single" w:sz="8" w:space="0" w:color="E0E0E0"/>
            </w:tcBorders>
            <w:shd w:val="clear" w:color="auto" w:fill="FFFFFF"/>
            <w:vAlign w:val="bottom"/>
          </w:tcPr>
          <w:p w14:paraId="24E1E58E"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15" w:type="dxa"/>
            <w:vMerge w:val="restart"/>
            <w:tcBorders>
              <w:top w:val="nil"/>
              <w:left w:val="single" w:sz="8" w:space="0" w:color="E0E0E0"/>
              <w:bottom w:val="nil"/>
              <w:right w:val="single" w:sz="8" w:space="0" w:color="E0E0E0"/>
            </w:tcBorders>
            <w:shd w:val="clear" w:color="auto" w:fill="FFFFFF"/>
            <w:vAlign w:val="bottom"/>
          </w:tcPr>
          <w:p w14:paraId="09304039"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15" w:type="dxa"/>
            <w:vMerge w:val="restart"/>
            <w:tcBorders>
              <w:top w:val="nil"/>
              <w:left w:val="single" w:sz="8" w:space="0" w:color="E0E0E0"/>
              <w:bottom w:val="nil"/>
              <w:right w:val="single" w:sz="8" w:space="0" w:color="E0E0E0"/>
            </w:tcBorders>
            <w:shd w:val="clear" w:color="auto" w:fill="FFFFFF"/>
            <w:vAlign w:val="bottom"/>
          </w:tcPr>
          <w:p w14:paraId="1B1C70B3"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30" w:type="dxa"/>
            <w:gridSpan w:val="2"/>
            <w:tcBorders>
              <w:top w:val="nil"/>
              <w:left w:val="single" w:sz="8" w:space="0" w:color="E0E0E0"/>
              <w:bottom w:val="nil"/>
              <w:right w:val="nil"/>
            </w:tcBorders>
            <w:shd w:val="clear" w:color="auto" w:fill="FFFFFF"/>
            <w:vAlign w:val="bottom"/>
          </w:tcPr>
          <w:p w14:paraId="2D1C3A07"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7BE71428" w14:textId="77777777" w:rsidTr="00D56051">
        <w:trPr>
          <w:cantSplit/>
        </w:trPr>
        <w:tc>
          <w:tcPr>
            <w:tcW w:w="1930" w:type="dxa"/>
            <w:vMerge/>
            <w:tcBorders>
              <w:top w:val="nil"/>
              <w:left w:val="nil"/>
              <w:bottom w:val="nil"/>
              <w:right w:val="nil"/>
            </w:tcBorders>
            <w:shd w:val="clear" w:color="auto" w:fill="FFFFFF"/>
            <w:vAlign w:val="bottom"/>
          </w:tcPr>
          <w:p w14:paraId="03650606" w14:textId="77777777" w:rsidR="0087601C" w:rsidRPr="006A1EC7" w:rsidRDefault="0087601C" w:rsidP="00D56051">
            <w:pPr>
              <w:rPr>
                <w:color w:val="264A60"/>
                <w:sz w:val="18"/>
              </w:rPr>
            </w:pPr>
          </w:p>
        </w:tc>
        <w:tc>
          <w:tcPr>
            <w:tcW w:w="1197" w:type="dxa"/>
            <w:vMerge/>
            <w:tcBorders>
              <w:top w:val="nil"/>
              <w:left w:val="nil"/>
              <w:bottom w:val="nil"/>
              <w:right w:val="single" w:sz="8" w:space="0" w:color="E0E0E0"/>
            </w:tcBorders>
            <w:shd w:val="clear" w:color="auto" w:fill="FFFFFF"/>
            <w:vAlign w:val="bottom"/>
          </w:tcPr>
          <w:p w14:paraId="55A4CDA6" w14:textId="77777777" w:rsidR="0087601C" w:rsidRPr="006A1EC7" w:rsidRDefault="0087601C" w:rsidP="00D56051">
            <w:pPr>
              <w:rPr>
                <w:color w:val="264A60"/>
                <w:sz w:val="18"/>
              </w:rPr>
            </w:pPr>
          </w:p>
        </w:tc>
        <w:tc>
          <w:tcPr>
            <w:tcW w:w="1197" w:type="dxa"/>
            <w:vMerge/>
            <w:tcBorders>
              <w:top w:val="nil"/>
              <w:left w:val="single" w:sz="8" w:space="0" w:color="E0E0E0"/>
              <w:bottom w:val="nil"/>
              <w:right w:val="single" w:sz="8" w:space="0" w:color="E0E0E0"/>
            </w:tcBorders>
            <w:shd w:val="clear" w:color="auto" w:fill="FFFFFF"/>
            <w:vAlign w:val="bottom"/>
          </w:tcPr>
          <w:p w14:paraId="2E723F5C" w14:textId="77777777" w:rsidR="0087601C" w:rsidRPr="006A1EC7" w:rsidRDefault="0087601C" w:rsidP="00D56051">
            <w:pPr>
              <w:rPr>
                <w:color w:val="264A60"/>
                <w:sz w:val="18"/>
              </w:rPr>
            </w:pPr>
          </w:p>
        </w:tc>
        <w:tc>
          <w:tcPr>
            <w:tcW w:w="1715" w:type="dxa"/>
            <w:vMerge/>
            <w:tcBorders>
              <w:top w:val="nil"/>
              <w:left w:val="single" w:sz="8" w:space="0" w:color="E0E0E0"/>
              <w:bottom w:val="nil"/>
              <w:right w:val="single" w:sz="8" w:space="0" w:color="E0E0E0"/>
            </w:tcBorders>
            <w:shd w:val="clear" w:color="auto" w:fill="FFFFFF"/>
            <w:vAlign w:val="bottom"/>
          </w:tcPr>
          <w:p w14:paraId="6FF56F08" w14:textId="77777777" w:rsidR="0087601C" w:rsidRPr="006A1EC7" w:rsidRDefault="0087601C" w:rsidP="00D56051">
            <w:pPr>
              <w:rPr>
                <w:color w:val="264A60"/>
                <w:sz w:val="18"/>
              </w:rPr>
            </w:pPr>
          </w:p>
        </w:tc>
        <w:tc>
          <w:tcPr>
            <w:tcW w:w="1715" w:type="dxa"/>
            <w:vMerge/>
            <w:tcBorders>
              <w:top w:val="nil"/>
              <w:left w:val="single" w:sz="8" w:space="0" w:color="E0E0E0"/>
              <w:bottom w:val="nil"/>
              <w:right w:val="single" w:sz="8" w:space="0" w:color="E0E0E0"/>
            </w:tcBorders>
            <w:shd w:val="clear" w:color="auto" w:fill="FFFFFF"/>
            <w:vAlign w:val="bottom"/>
          </w:tcPr>
          <w:p w14:paraId="35B1721B" w14:textId="77777777" w:rsidR="0087601C" w:rsidRPr="006A1EC7" w:rsidRDefault="0087601C" w:rsidP="00D56051">
            <w:pPr>
              <w:rPr>
                <w:color w:val="264A60"/>
                <w:sz w:val="18"/>
              </w:rPr>
            </w:pPr>
          </w:p>
        </w:tc>
        <w:tc>
          <w:tcPr>
            <w:tcW w:w="1715" w:type="dxa"/>
            <w:tcBorders>
              <w:top w:val="nil"/>
              <w:left w:val="single" w:sz="8" w:space="0" w:color="E0E0E0"/>
              <w:bottom w:val="single" w:sz="8" w:space="0" w:color="152935"/>
              <w:right w:val="single" w:sz="8" w:space="0" w:color="E0E0E0"/>
            </w:tcBorders>
            <w:shd w:val="clear" w:color="auto" w:fill="FFFFFF"/>
            <w:vAlign w:val="bottom"/>
          </w:tcPr>
          <w:p w14:paraId="7373345F"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15" w:type="dxa"/>
            <w:tcBorders>
              <w:top w:val="nil"/>
              <w:left w:val="single" w:sz="8" w:space="0" w:color="E0E0E0"/>
              <w:bottom w:val="single" w:sz="8" w:space="0" w:color="152935"/>
              <w:right w:val="nil"/>
            </w:tcBorders>
            <w:shd w:val="clear" w:color="auto" w:fill="FFFFFF"/>
            <w:vAlign w:val="bottom"/>
          </w:tcPr>
          <w:p w14:paraId="25AD140E"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52608880" w14:textId="77777777" w:rsidTr="00D56051">
        <w:trPr>
          <w:cantSplit/>
        </w:trPr>
        <w:tc>
          <w:tcPr>
            <w:tcW w:w="1930" w:type="dxa"/>
            <w:tcBorders>
              <w:top w:val="single" w:sz="8" w:space="0" w:color="152935"/>
              <w:left w:val="nil"/>
              <w:bottom w:val="single" w:sz="8" w:space="0" w:color="152935"/>
              <w:right w:val="nil"/>
            </w:tcBorders>
            <w:shd w:val="clear" w:color="auto" w:fill="E0E0E0"/>
          </w:tcPr>
          <w:p w14:paraId="6AFD2FC6" w14:textId="77777777" w:rsidR="0087601C" w:rsidRPr="006A1EC7" w:rsidRDefault="0087601C" w:rsidP="00D56051">
            <w:pPr>
              <w:spacing w:line="320" w:lineRule="atLeast"/>
              <w:ind w:left="60" w:right="60"/>
              <w:rPr>
                <w:color w:val="264A60"/>
                <w:sz w:val="18"/>
              </w:rPr>
            </w:pPr>
            <w:r w:rsidRPr="006A1EC7">
              <w:rPr>
                <w:color w:val="264A60"/>
                <w:sz w:val="18"/>
              </w:rPr>
              <w:t>T1Joshua_Total</w:t>
            </w:r>
          </w:p>
        </w:tc>
        <w:tc>
          <w:tcPr>
            <w:tcW w:w="1197" w:type="dxa"/>
            <w:tcBorders>
              <w:top w:val="single" w:sz="8" w:space="0" w:color="152935"/>
              <w:left w:val="nil"/>
              <w:bottom w:val="single" w:sz="8" w:space="0" w:color="152935"/>
              <w:right w:val="single" w:sz="8" w:space="0" w:color="E0E0E0"/>
            </w:tcBorders>
            <w:shd w:val="clear" w:color="auto" w:fill="FFFFFF"/>
          </w:tcPr>
          <w:p w14:paraId="0E1EB8D7" w14:textId="77777777" w:rsidR="0087601C" w:rsidRPr="006A1EC7" w:rsidRDefault="0087601C" w:rsidP="00D56051">
            <w:pPr>
              <w:spacing w:line="320" w:lineRule="atLeast"/>
              <w:ind w:left="60" w:right="60"/>
              <w:jc w:val="right"/>
              <w:rPr>
                <w:color w:val="010205"/>
                <w:sz w:val="18"/>
              </w:rPr>
            </w:pPr>
            <w:r w:rsidRPr="006A1EC7">
              <w:rPr>
                <w:color w:val="010205"/>
                <w:sz w:val="18"/>
              </w:rPr>
              <w:t>-.069</w:t>
            </w:r>
          </w:p>
        </w:tc>
        <w:tc>
          <w:tcPr>
            <w:tcW w:w="1197" w:type="dxa"/>
            <w:tcBorders>
              <w:top w:val="single" w:sz="8" w:space="0" w:color="152935"/>
              <w:left w:val="single" w:sz="8" w:space="0" w:color="E0E0E0"/>
              <w:bottom w:val="single" w:sz="8" w:space="0" w:color="152935"/>
              <w:right w:val="single" w:sz="8" w:space="0" w:color="E0E0E0"/>
            </w:tcBorders>
            <w:shd w:val="clear" w:color="auto" w:fill="FFFFFF"/>
          </w:tcPr>
          <w:p w14:paraId="4BA5D7F6" w14:textId="77777777" w:rsidR="0087601C" w:rsidRPr="006A1EC7" w:rsidRDefault="0087601C" w:rsidP="00D56051">
            <w:pPr>
              <w:spacing w:line="320" w:lineRule="atLeast"/>
              <w:ind w:left="60" w:right="60"/>
              <w:jc w:val="right"/>
              <w:rPr>
                <w:color w:val="010205"/>
                <w:sz w:val="18"/>
              </w:rPr>
            </w:pPr>
            <w:r w:rsidRPr="006A1EC7">
              <w:rPr>
                <w:color w:val="010205"/>
                <w:sz w:val="18"/>
              </w:rPr>
              <w:t>30</w:t>
            </w:r>
          </w:p>
        </w:tc>
        <w:tc>
          <w:tcPr>
            <w:tcW w:w="1715" w:type="dxa"/>
            <w:tcBorders>
              <w:top w:val="single" w:sz="8" w:space="0" w:color="152935"/>
              <w:left w:val="single" w:sz="8" w:space="0" w:color="E0E0E0"/>
              <w:bottom w:val="single" w:sz="8" w:space="0" w:color="152935"/>
              <w:right w:val="single" w:sz="8" w:space="0" w:color="E0E0E0"/>
            </w:tcBorders>
            <w:shd w:val="clear" w:color="auto" w:fill="FFFFFF"/>
          </w:tcPr>
          <w:p w14:paraId="345AD9A0" w14:textId="77777777" w:rsidR="0087601C" w:rsidRPr="006A1EC7" w:rsidRDefault="0087601C" w:rsidP="00D56051">
            <w:pPr>
              <w:spacing w:line="320" w:lineRule="atLeast"/>
              <w:ind w:left="60" w:right="60"/>
              <w:jc w:val="right"/>
              <w:rPr>
                <w:color w:val="010205"/>
                <w:sz w:val="18"/>
              </w:rPr>
            </w:pPr>
            <w:r w:rsidRPr="006A1EC7">
              <w:rPr>
                <w:color w:val="010205"/>
                <w:sz w:val="18"/>
              </w:rPr>
              <w:t>.945</w:t>
            </w:r>
          </w:p>
        </w:tc>
        <w:tc>
          <w:tcPr>
            <w:tcW w:w="1715" w:type="dxa"/>
            <w:tcBorders>
              <w:top w:val="single" w:sz="8" w:space="0" w:color="152935"/>
              <w:left w:val="single" w:sz="8" w:space="0" w:color="E0E0E0"/>
              <w:bottom w:val="single" w:sz="8" w:space="0" w:color="152935"/>
              <w:right w:val="single" w:sz="8" w:space="0" w:color="E0E0E0"/>
            </w:tcBorders>
            <w:shd w:val="clear" w:color="auto" w:fill="FFFFFF"/>
          </w:tcPr>
          <w:p w14:paraId="1C5BA020" w14:textId="77777777" w:rsidR="0087601C" w:rsidRPr="006A1EC7" w:rsidRDefault="0087601C" w:rsidP="00D56051">
            <w:pPr>
              <w:spacing w:line="320" w:lineRule="atLeast"/>
              <w:ind w:left="60" w:right="60"/>
              <w:jc w:val="right"/>
              <w:rPr>
                <w:color w:val="010205"/>
                <w:sz w:val="18"/>
              </w:rPr>
            </w:pPr>
            <w:r w:rsidRPr="006A1EC7">
              <w:rPr>
                <w:color w:val="010205"/>
                <w:sz w:val="18"/>
              </w:rPr>
              <w:t>-.048</w:t>
            </w:r>
          </w:p>
        </w:tc>
        <w:tc>
          <w:tcPr>
            <w:tcW w:w="1715" w:type="dxa"/>
            <w:tcBorders>
              <w:top w:val="single" w:sz="8" w:space="0" w:color="152935"/>
              <w:left w:val="single" w:sz="8" w:space="0" w:color="E0E0E0"/>
              <w:bottom w:val="single" w:sz="8" w:space="0" w:color="152935"/>
              <w:right w:val="single" w:sz="8" w:space="0" w:color="E0E0E0"/>
            </w:tcBorders>
            <w:shd w:val="clear" w:color="auto" w:fill="FFFFFF"/>
          </w:tcPr>
          <w:p w14:paraId="021AACAB" w14:textId="77777777" w:rsidR="0087601C" w:rsidRPr="006A1EC7" w:rsidRDefault="0087601C" w:rsidP="00D56051">
            <w:pPr>
              <w:spacing w:line="320" w:lineRule="atLeast"/>
              <w:ind w:left="60" w:right="60"/>
              <w:jc w:val="right"/>
              <w:rPr>
                <w:color w:val="010205"/>
                <w:sz w:val="18"/>
              </w:rPr>
            </w:pPr>
            <w:r w:rsidRPr="006A1EC7">
              <w:rPr>
                <w:color w:val="010205"/>
                <w:sz w:val="18"/>
              </w:rPr>
              <w:t>-1.47</w:t>
            </w:r>
          </w:p>
        </w:tc>
        <w:tc>
          <w:tcPr>
            <w:tcW w:w="1715" w:type="dxa"/>
            <w:tcBorders>
              <w:top w:val="single" w:sz="8" w:space="0" w:color="152935"/>
              <w:left w:val="single" w:sz="8" w:space="0" w:color="E0E0E0"/>
              <w:bottom w:val="single" w:sz="8" w:space="0" w:color="152935"/>
              <w:right w:val="nil"/>
            </w:tcBorders>
            <w:shd w:val="clear" w:color="auto" w:fill="FFFFFF"/>
          </w:tcPr>
          <w:p w14:paraId="545EC2B5" w14:textId="77777777" w:rsidR="0087601C" w:rsidRPr="006A1EC7" w:rsidRDefault="0087601C" w:rsidP="00D56051">
            <w:pPr>
              <w:spacing w:line="320" w:lineRule="atLeast"/>
              <w:ind w:left="60" w:right="60"/>
              <w:jc w:val="right"/>
              <w:rPr>
                <w:color w:val="010205"/>
                <w:sz w:val="18"/>
              </w:rPr>
            </w:pPr>
            <w:r w:rsidRPr="006A1EC7">
              <w:rPr>
                <w:color w:val="010205"/>
                <w:sz w:val="18"/>
              </w:rPr>
              <w:t>1.37</w:t>
            </w:r>
          </w:p>
        </w:tc>
      </w:tr>
    </w:tbl>
    <w:p w14:paraId="5C6172CF" w14:textId="77777777" w:rsidR="0087601C" w:rsidRPr="006A1EC7" w:rsidRDefault="0087601C" w:rsidP="0087601C">
      <w:pPr>
        <w:spacing w:line="400" w:lineRule="atLeast"/>
        <w:rPr>
          <w:sz w:val="18"/>
        </w:rPr>
      </w:pP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91"/>
        <w:gridCol w:w="1276"/>
        <w:gridCol w:w="1276"/>
        <w:gridCol w:w="1828"/>
        <w:gridCol w:w="1828"/>
      </w:tblGrid>
      <w:tr w:rsidR="0087601C" w:rsidRPr="006A1EC7" w14:paraId="6B7D75E9" w14:textId="77777777" w:rsidTr="00D56051">
        <w:trPr>
          <w:cantSplit/>
        </w:trPr>
        <w:tc>
          <w:tcPr>
            <w:tcW w:w="2591" w:type="dxa"/>
            <w:tcBorders>
              <w:top w:val="nil"/>
              <w:left w:val="nil"/>
              <w:bottom w:val="single" w:sz="8" w:space="0" w:color="152935"/>
              <w:right w:val="nil"/>
            </w:tcBorders>
            <w:shd w:val="clear" w:color="auto" w:fill="FFFFFF"/>
            <w:vAlign w:val="bottom"/>
          </w:tcPr>
          <w:p w14:paraId="217E6703" w14:textId="77777777" w:rsidR="0087601C" w:rsidRPr="006A1EC7" w:rsidRDefault="0087601C" w:rsidP="00D56051">
            <w:pPr>
              <w:spacing w:after="160" w:line="259" w:lineRule="auto"/>
              <w:rPr>
                <w:sz w:val="18"/>
              </w:rPr>
            </w:pPr>
          </w:p>
        </w:tc>
        <w:tc>
          <w:tcPr>
            <w:tcW w:w="1276" w:type="dxa"/>
            <w:tcBorders>
              <w:top w:val="nil"/>
              <w:left w:val="nil"/>
              <w:bottom w:val="single" w:sz="8" w:space="0" w:color="152935"/>
              <w:right w:val="single" w:sz="8" w:space="0" w:color="E0E0E0"/>
            </w:tcBorders>
            <w:shd w:val="clear" w:color="auto" w:fill="FFFFFF"/>
            <w:vAlign w:val="bottom"/>
          </w:tcPr>
          <w:p w14:paraId="0942A294"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5C63BBFD"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tcBorders>
              <w:top w:val="nil"/>
              <w:left w:val="single" w:sz="8" w:space="0" w:color="E0E0E0"/>
              <w:bottom w:val="single" w:sz="8" w:space="0" w:color="152935"/>
              <w:right w:val="single" w:sz="8" w:space="0" w:color="E0E0E0"/>
            </w:tcBorders>
            <w:shd w:val="clear" w:color="auto" w:fill="FFFFFF"/>
            <w:vAlign w:val="bottom"/>
          </w:tcPr>
          <w:p w14:paraId="792FC9E6"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tcBorders>
              <w:top w:val="nil"/>
              <w:left w:val="single" w:sz="8" w:space="0" w:color="E0E0E0"/>
              <w:bottom w:val="single" w:sz="8" w:space="0" w:color="152935"/>
              <w:right w:val="nil"/>
            </w:tcBorders>
            <w:shd w:val="clear" w:color="auto" w:fill="FFFFFF"/>
            <w:vAlign w:val="bottom"/>
          </w:tcPr>
          <w:p w14:paraId="39617976"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3913FD99" w14:textId="77777777" w:rsidTr="00D56051">
        <w:trPr>
          <w:cantSplit/>
        </w:trPr>
        <w:tc>
          <w:tcPr>
            <w:tcW w:w="2591" w:type="dxa"/>
            <w:tcBorders>
              <w:top w:val="single" w:sz="8" w:space="0" w:color="152935"/>
              <w:left w:val="nil"/>
              <w:bottom w:val="single" w:sz="8" w:space="0" w:color="AEAEAE"/>
              <w:right w:val="nil"/>
            </w:tcBorders>
            <w:shd w:val="clear" w:color="auto" w:fill="E0E0E0"/>
          </w:tcPr>
          <w:p w14:paraId="472167E0" w14:textId="77777777" w:rsidR="0087601C" w:rsidRPr="006A1EC7" w:rsidRDefault="0087601C" w:rsidP="00D56051">
            <w:pPr>
              <w:spacing w:line="320" w:lineRule="atLeast"/>
              <w:ind w:left="60" w:right="60"/>
              <w:rPr>
                <w:color w:val="264A60"/>
                <w:sz w:val="18"/>
              </w:rPr>
            </w:pPr>
            <w:r w:rsidRPr="006A1EC7">
              <w:rPr>
                <w:color w:val="264A60"/>
                <w:sz w:val="18"/>
              </w:rPr>
              <w:t>T1Bronagh_Face</w:t>
            </w:r>
          </w:p>
        </w:tc>
        <w:tc>
          <w:tcPr>
            <w:tcW w:w="1276" w:type="dxa"/>
            <w:tcBorders>
              <w:top w:val="single" w:sz="8" w:space="0" w:color="152935"/>
              <w:left w:val="nil"/>
              <w:bottom w:val="single" w:sz="8" w:space="0" w:color="AEAEAE"/>
              <w:right w:val="single" w:sz="8" w:space="0" w:color="E0E0E0"/>
            </w:tcBorders>
            <w:shd w:val="clear" w:color="auto" w:fill="FFFFFF"/>
          </w:tcPr>
          <w:p w14:paraId="679ADC82"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14:paraId="3B0A42CA" w14:textId="77777777" w:rsidR="0087601C" w:rsidRPr="006A1EC7" w:rsidRDefault="0087601C" w:rsidP="00D56051">
            <w:pPr>
              <w:spacing w:line="320" w:lineRule="atLeast"/>
              <w:ind w:left="60" w:right="60"/>
              <w:jc w:val="right"/>
              <w:rPr>
                <w:color w:val="010205"/>
                <w:sz w:val="18"/>
              </w:rPr>
            </w:pPr>
            <w:r w:rsidRPr="006A1EC7">
              <w:rPr>
                <w:color w:val="010205"/>
                <w:sz w:val="18"/>
              </w:rPr>
              <w:t>1.00</w:t>
            </w:r>
          </w:p>
        </w:tc>
        <w:tc>
          <w:tcPr>
            <w:tcW w:w="1828" w:type="dxa"/>
            <w:tcBorders>
              <w:top w:val="single" w:sz="8" w:space="0" w:color="152935"/>
              <w:left w:val="single" w:sz="8" w:space="0" w:color="E0E0E0"/>
              <w:bottom w:val="single" w:sz="8" w:space="0" w:color="AEAEAE"/>
              <w:right w:val="single" w:sz="8" w:space="0" w:color="E0E0E0"/>
            </w:tcBorders>
            <w:shd w:val="clear" w:color="auto" w:fill="FFFFFF"/>
          </w:tcPr>
          <w:p w14:paraId="13B117E0" w14:textId="77777777" w:rsidR="0087601C" w:rsidRPr="006A1EC7" w:rsidRDefault="0087601C" w:rsidP="00D56051">
            <w:pPr>
              <w:spacing w:line="320" w:lineRule="atLeast"/>
              <w:ind w:left="60" w:right="60"/>
              <w:jc w:val="right"/>
              <w:rPr>
                <w:color w:val="010205"/>
                <w:sz w:val="18"/>
              </w:rPr>
            </w:pPr>
            <w:r w:rsidRPr="006A1EC7">
              <w:rPr>
                <w:color w:val="010205"/>
                <w:sz w:val="18"/>
              </w:rPr>
              <w:t>.471</w:t>
            </w:r>
          </w:p>
        </w:tc>
        <w:tc>
          <w:tcPr>
            <w:tcW w:w="1828" w:type="dxa"/>
            <w:tcBorders>
              <w:top w:val="single" w:sz="8" w:space="0" w:color="152935"/>
              <w:left w:val="single" w:sz="8" w:space="0" w:color="E0E0E0"/>
              <w:bottom w:val="single" w:sz="8" w:space="0" w:color="AEAEAE"/>
              <w:right w:val="nil"/>
            </w:tcBorders>
            <w:shd w:val="clear" w:color="auto" w:fill="FFFFFF"/>
          </w:tcPr>
          <w:p w14:paraId="0BEDB3B6" w14:textId="77777777" w:rsidR="0087601C" w:rsidRPr="006A1EC7" w:rsidRDefault="0087601C" w:rsidP="00D56051">
            <w:pPr>
              <w:spacing w:line="320" w:lineRule="atLeast"/>
              <w:ind w:left="60" w:right="60"/>
              <w:jc w:val="right"/>
              <w:rPr>
                <w:color w:val="010205"/>
                <w:sz w:val="18"/>
              </w:rPr>
            </w:pPr>
            <w:r w:rsidRPr="006A1EC7">
              <w:rPr>
                <w:color w:val="010205"/>
                <w:sz w:val="18"/>
              </w:rPr>
              <w:t>.077</w:t>
            </w:r>
          </w:p>
        </w:tc>
      </w:tr>
      <w:tr w:rsidR="0087601C" w:rsidRPr="006A1EC7" w14:paraId="32FC90EA" w14:textId="77777777" w:rsidTr="00D56051">
        <w:trPr>
          <w:cantSplit/>
        </w:trPr>
        <w:tc>
          <w:tcPr>
            <w:tcW w:w="2591" w:type="dxa"/>
            <w:tcBorders>
              <w:top w:val="single" w:sz="8" w:space="0" w:color="AEAEAE"/>
              <w:left w:val="nil"/>
              <w:bottom w:val="single" w:sz="8" w:space="0" w:color="AEAEAE"/>
              <w:right w:val="nil"/>
            </w:tcBorders>
            <w:shd w:val="clear" w:color="auto" w:fill="E0E0E0"/>
          </w:tcPr>
          <w:p w14:paraId="4EF49E10" w14:textId="77777777" w:rsidR="0087601C" w:rsidRPr="006A1EC7" w:rsidRDefault="0087601C" w:rsidP="00D56051">
            <w:pPr>
              <w:spacing w:line="320" w:lineRule="atLeast"/>
              <w:ind w:left="60" w:right="60"/>
              <w:rPr>
                <w:color w:val="264A60"/>
                <w:sz w:val="18"/>
              </w:rPr>
            </w:pPr>
            <w:r w:rsidRPr="006A1EC7">
              <w:rPr>
                <w:color w:val="264A60"/>
                <w:sz w:val="18"/>
              </w:rPr>
              <w:t>T1Bronagh_Epilepsy</w:t>
            </w:r>
          </w:p>
        </w:tc>
        <w:tc>
          <w:tcPr>
            <w:tcW w:w="1276" w:type="dxa"/>
            <w:tcBorders>
              <w:top w:val="single" w:sz="8" w:space="0" w:color="AEAEAE"/>
              <w:left w:val="nil"/>
              <w:bottom w:val="single" w:sz="8" w:space="0" w:color="AEAEAE"/>
              <w:right w:val="single" w:sz="8" w:space="0" w:color="E0E0E0"/>
            </w:tcBorders>
            <w:shd w:val="clear" w:color="auto" w:fill="FFFFFF"/>
          </w:tcPr>
          <w:p w14:paraId="1960B098"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D637676" w14:textId="77777777" w:rsidR="0087601C" w:rsidRPr="006A1EC7" w:rsidRDefault="0087601C" w:rsidP="00D56051">
            <w:pPr>
              <w:spacing w:line="320" w:lineRule="atLeast"/>
              <w:ind w:left="60" w:right="60"/>
              <w:jc w:val="right"/>
              <w:rPr>
                <w:color w:val="010205"/>
                <w:sz w:val="18"/>
              </w:rPr>
            </w:pPr>
            <w:r w:rsidRPr="006A1EC7">
              <w:rPr>
                <w:color w:val="010205"/>
                <w:sz w:val="18"/>
              </w:rPr>
              <w:t>1.65</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5BC44C08" w14:textId="77777777" w:rsidR="0087601C" w:rsidRPr="006A1EC7" w:rsidRDefault="0087601C" w:rsidP="00D56051">
            <w:pPr>
              <w:spacing w:line="320" w:lineRule="atLeast"/>
              <w:ind w:left="60" w:right="60"/>
              <w:jc w:val="right"/>
              <w:rPr>
                <w:color w:val="010205"/>
                <w:sz w:val="18"/>
              </w:rPr>
            </w:pPr>
            <w:r w:rsidRPr="006A1EC7">
              <w:rPr>
                <w:color w:val="010205"/>
                <w:sz w:val="18"/>
              </w:rPr>
              <w:t>1.136</w:t>
            </w:r>
          </w:p>
        </w:tc>
        <w:tc>
          <w:tcPr>
            <w:tcW w:w="1828" w:type="dxa"/>
            <w:tcBorders>
              <w:top w:val="single" w:sz="8" w:space="0" w:color="AEAEAE"/>
              <w:left w:val="single" w:sz="8" w:space="0" w:color="E0E0E0"/>
              <w:bottom w:val="single" w:sz="8" w:space="0" w:color="AEAEAE"/>
              <w:right w:val="nil"/>
            </w:tcBorders>
            <w:shd w:val="clear" w:color="auto" w:fill="FFFFFF"/>
          </w:tcPr>
          <w:p w14:paraId="14A5AD78" w14:textId="77777777" w:rsidR="0087601C" w:rsidRPr="006A1EC7" w:rsidRDefault="0087601C" w:rsidP="00D56051">
            <w:pPr>
              <w:spacing w:line="320" w:lineRule="atLeast"/>
              <w:ind w:left="60" w:right="60"/>
              <w:jc w:val="right"/>
              <w:rPr>
                <w:color w:val="010205"/>
                <w:sz w:val="18"/>
              </w:rPr>
            </w:pPr>
            <w:r w:rsidRPr="006A1EC7">
              <w:rPr>
                <w:color w:val="010205"/>
                <w:sz w:val="18"/>
              </w:rPr>
              <w:t>.187</w:t>
            </w:r>
          </w:p>
        </w:tc>
      </w:tr>
      <w:tr w:rsidR="0087601C" w:rsidRPr="006A1EC7" w14:paraId="1D67FC87" w14:textId="77777777" w:rsidTr="00D56051">
        <w:trPr>
          <w:cantSplit/>
        </w:trPr>
        <w:tc>
          <w:tcPr>
            <w:tcW w:w="2591" w:type="dxa"/>
            <w:tcBorders>
              <w:top w:val="single" w:sz="8" w:space="0" w:color="AEAEAE"/>
              <w:left w:val="nil"/>
              <w:bottom w:val="single" w:sz="8" w:space="0" w:color="AEAEAE"/>
              <w:right w:val="nil"/>
            </w:tcBorders>
            <w:shd w:val="clear" w:color="auto" w:fill="E0E0E0"/>
          </w:tcPr>
          <w:p w14:paraId="1E501CF4" w14:textId="77777777" w:rsidR="0087601C" w:rsidRPr="006A1EC7" w:rsidRDefault="0087601C" w:rsidP="00D56051">
            <w:pPr>
              <w:spacing w:line="320" w:lineRule="atLeast"/>
              <w:ind w:left="60" w:right="60"/>
              <w:rPr>
                <w:color w:val="264A60"/>
                <w:sz w:val="18"/>
              </w:rPr>
            </w:pPr>
            <w:r w:rsidRPr="006A1EC7">
              <w:rPr>
                <w:color w:val="264A60"/>
                <w:sz w:val="18"/>
              </w:rPr>
              <w:t>T1Bronagh_CNS</w:t>
            </w:r>
          </w:p>
        </w:tc>
        <w:tc>
          <w:tcPr>
            <w:tcW w:w="1276" w:type="dxa"/>
            <w:tcBorders>
              <w:top w:val="single" w:sz="8" w:space="0" w:color="AEAEAE"/>
              <w:left w:val="nil"/>
              <w:bottom w:val="single" w:sz="8" w:space="0" w:color="AEAEAE"/>
              <w:right w:val="single" w:sz="8" w:space="0" w:color="E0E0E0"/>
            </w:tcBorders>
            <w:shd w:val="clear" w:color="auto" w:fill="FFFFFF"/>
          </w:tcPr>
          <w:p w14:paraId="02737C1C"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14:paraId="236CEBE1" w14:textId="77777777" w:rsidR="0087601C" w:rsidRPr="006A1EC7" w:rsidRDefault="0087601C" w:rsidP="00D56051">
            <w:pPr>
              <w:spacing w:line="320" w:lineRule="atLeast"/>
              <w:ind w:left="60" w:right="60"/>
              <w:jc w:val="right"/>
              <w:rPr>
                <w:color w:val="010205"/>
                <w:sz w:val="18"/>
              </w:rPr>
            </w:pPr>
            <w:r w:rsidRPr="006A1EC7">
              <w:rPr>
                <w:color w:val="010205"/>
                <w:sz w:val="18"/>
              </w:rPr>
              <w:t>.78</w:t>
            </w:r>
          </w:p>
        </w:tc>
        <w:tc>
          <w:tcPr>
            <w:tcW w:w="1828" w:type="dxa"/>
            <w:tcBorders>
              <w:top w:val="single" w:sz="8" w:space="0" w:color="AEAEAE"/>
              <w:left w:val="single" w:sz="8" w:space="0" w:color="E0E0E0"/>
              <w:bottom w:val="single" w:sz="8" w:space="0" w:color="AEAEAE"/>
              <w:right w:val="single" w:sz="8" w:space="0" w:color="E0E0E0"/>
            </w:tcBorders>
            <w:shd w:val="clear" w:color="auto" w:fill="FFFFFF"/>
          </w:tcPr>
          <w:p w14:paraId="24A1E8F0" w14:textId="77777777" w:rsidR="0087601C" w:rsidRPr="006A1EC7" w:rsidRDefault="0087601C" w:rsidP="00D56051">
            <w:pPr>
              <w:spacing w:line="320" w:lineRule="atLeast"/>
              <w:ind w:left="60" w:right="60"/>
              <w:jc w:val="right"/>
              <w:rPr>
                <w:color w:val="010205"/>
                <w:sz w:val="18"/>
              </w:rPr>
            </w:pPr>
            <w:r w:rsidRPr="006A1EC7">
              <w:rPr>
                <w:color w:val="010205"/>
                <w:sz w:val="18"/>
              </w:rPr>
              <w:t>.821</w:t>
            </w:r>
          </w:p>
        </w:tc>
        <w:tc>
          <w:tcPr>
            <w:tcW w:w="1828" w:type="dxa"/>
            <w:tcBorders>
              <w:top w:val="single" w:sz="8" w:space="0" w:color="AEAEAE"/>
              <w:left w:val="single" w:sz="8" w:space="0" w:color="E0E0E0"/>
              <w:bottom w:val="single" w:sz="8" w:space="0" w:color="AEAEAE"/>
              <w:right w:val="nil"/>
            </w:tcBorders>
            <w:shd w:val="clear" w:color="auto" w:fill="FFFFFF"/>
          </w:tcPr>
          <w:p w14:paraId="727213A1" w14:textId="77777777" w:rsidR="0087601C" w:rsidRPr="006A1EC7" w:rsidRDefault="0087601C" w:rsidP="00D56051">
            <w:pPr>
              <w:spacing w:line="320" w:lineRule="atLeast"/>
              <w:ind w:left="60" w:right="60"/>
              <w:jc w:val="right"/>
              <w:rPr>
                <w:color w:val="010205"/>
                <w:sz w:val="18"/>
              </w:rPr>
            </w:pPr>
            <w:r w:rsidRPr="006A1EC7">
              <w:rPr>
                <w:color w:val="010205"/>
                <w:sz w:val="18"/>
              </w:rPr>
              <w:t>.135</w:t>
            </w:r>
          </w:p>
        </w:tc>
      </w:tr>
      <w:tr w:rsidR="0087601C" w:rsidRPr="006A1EC7" w14:paraId="09E94755" w14:textId="77777777" w:rsidTr="00D56051">
        <w:trPr>
          <w:cantSplit/>
        </w:trPr>
        <w:tc>
          <w:tcPr>
            <w:tcW w:w="2591" w:type="dxa"/>
            <w:tcBorders>
              <w:top w:val="single" w:sz="8" w:space="0" w:color="AEAEAE"/>
              <w:left w:val="nil"/>
              <w:bottom w:val="single" w:sz="8" w:space="0" w:color="152935"/>
              <w:right w:val="nil"/>
            </w:tcBorders>
            <w:shd w:val="clear" w:color="auto" w:fill="E0E0E0"/>
          </w:tcPr>
          <w:p w14:paraId="394F9665" w14:textId="77777777" w:rsidR="0087601C" w:rsidRPr="006A1EC7" w:rsidRDefault="0087601C" w:rsidP="00D56051">
            <w:pPr>
              <w:spacing w:line="320" w:lineRule="atLeast"/>
              <w:ind w:left="60" w:right="60"/>
              <w:rPr>
                <w:color w:val="264A60"/>
                <w:sz w:val="18"/>
              </w:rPr>
            </w:pPr>
            <w:r w:rsidRPr="006A1EC7">
              <w:rPr>
                <w:color w:val="264A60"/>
                <w:sz w:val="18"/>
              </w:rPr>
              <w:t>Level of care</w:t>
            </w:r>
          </w:p>
        </w:tc>
        <w:tc>
          <w:tcPr>
            <w:tcW w:w="1276" w:type="dxa"/>
            <w:tcBorders>
              <w:top w:val="single" w:sz="8" w:space="0" w:color="AEAEAE"/>
              <w:left w:val="nil"/>
              <w:bottom w:val="single" w:sz="8" w:space="0" w:color="152935"/>
              <w:right w:val="single" w:sz="8" w:space="0" w:color="E0E0E0"/>
            </w:tcBorders>
            <w:shd w:val="clear" w:color="auto" w:fill="FFFFFF"/>
          </w:tcPr>
          <w:p w14:paraId="3D4961E1"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14:paraId="433CCFA0" w14:textId="77777777" w:rsidR="0087601C" w:rsidRPr="006A1EC7" w:rsidRDefault="0087601C" w:rsidP="00D56051">
            <w:pPr>
              <w:spacing w:line="320" w:lineRule="atLeast"/>
              <w:ind w:left="60" w:right="60"/>
              <w:jc w:val="right"/>
              <w:rPr>
                <w:color w:val="010205"/>
                <w:sz w:val="18"/>
              </w:rPr>
            </w:pPr>
            <w:r w:rsidRPr="006A1EC7">
              <w:rPr>
                <w:color w:val="010205"/>
                <w:sz w:val="18"/>
              </w:rPr>
              <w:t>.92</w:t>
            </w:r>
          </w:p>
        </w:tc>
        <w:tc>
          <w:tcPr>
            <w:tcW w:w="1828" w:type="dxa"/>
            <w:tcBorders>
              <w:top w:val="single" w:sz="8" w:space="0" w:color="AEAEAE"/>
              <w:left w:val="single" w:sz="8" w:space="0" w:color="E0E0E0"/>
              <w:bottom w:val="single" w:sz="8" w:space="0" w:color="152935"/>
              <w:right w:val="single" w:sz="8" w:space="0" w:color="E0E0E0"/>
            </w:tcBorders>
            <w:shd w:val="clear" w:color="auto" w:fill="FFFFFF"/>
          </w:tcPr>
          <w:p w14:paraId="0EF613A1" w14:textId="77777777" w:rsidR="0087601C" w:rsidRPr="006A1EC7" w:rsidRDefault="0087601C" w:rsidP="00D56051">
            <w:pPr>
              <w:spacing w:line="320" w:lineRule="atLeast"/>
              <w:ind w:left="60" w:right="60"/>
              <w:jc w:val="right"/>
              <w:rPr>
                <w:color w:val="010205"/>
                <w:sz w:val="18"/>
              </w:rPr>
            </w:pPr>
            <w:r w:rsidRPr="006A1EC7">
              <w:rPr>
                <w:color w:val="010205"/>
                <w:sz w:val="18"/>
              </w:rPr>
              <w:t>.277</w:t>
            </w:r>
          </w:p>
        </w:tc>
        <w:tc>
          <w:tcPr>
            <w:tcW w:w="1828" w:type="dxa"/>
            <w:tcBorders>
              <w:top w:val="single" w:sz="8" w:space="0" w:color="AEAEAE"/>
              <w:left w:val="single" w:sz="8" w:space="0" w:color="E0E0E0"/>
              <w:bottom w:val="single" w:sz="8" w:space="0" w:color="152935"/>
              <w:right w:val="nil"/>
            </w:tcBorders>
            <w:shd w:val="clear" w:color="auto" w:fill="FFFFFF"/>
          </w:tcPr>
          <w:p w14:paraId="115BCD8D" w14:textId="77777777" w:rsidR="0087601C" w:rsidRPr="006A1EC7" w:rsidRDefault="0087601C" w:rsidP="00D56051">
            <w:pPr>
              <w:spacing w:line="320" w:lineRule="atLeast"/>
              <w:ind w:left="60" w:right="60"/>
              <w:jc w:val="right"/>
              <w:rPr>
                <w:color w:val="010205"/>
                <w:sz w:val="18"/>
              </w:rPr>
            </w:pPr>
            <w:r w:rsidRPr="006A1EC7">
              <w:rPr>
                <w:color w:val="010205"/>
                <w:sz w:val="18"/>
              </w:rPr>
              <w:t>.045</w:t>
            </w:r>
          </w:p>
        </w:tc>
      </w:tr>
    </w:tbl>
    <w:p w14:paraId="556248B1"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7"/>
        <w:gridCol w:w="1146"/>
        <w:gridCol w:w="1146"/>
        <w:gridCol w:w="1642"/>
        <w:gridCol w:w="1642"/>
        <w:gridCol w:w="1642"/>
        <w:gridCol w:w="1642"/>
      </w:tblGrid>
      <w:tr w:rsidR="0087601C" w:rsidRPr="006A1EC7" w14:paraId="3A884078" w14:textId="77777777" w:rsidTr="00D56051">
        <w:trPr>
          <w:cantSplit/>
        </w:trPr>
        <w:tc>
          <w:tcPr>
            <w:tcW w:w="2327" w:type="dxa"/>
            <w:vMerge w:val="restart"/>
            <w:tcBorders>
              <w:top w:val="nil"/>
              <w:left w:val="nil"/>
              <w:bottom w:val="nil"/>
              <w:right w:val="nil"/>
            </w:tcBorders>
            <w:shd w:val="clear" w:color="auto" w:fill="FFFFFF"/>
            <w:vAlign w:val="bottom"/>
          </w:tcPr>
          <w:p w14:paraId="368B8CB6" w14:textId="77777777" w:rsidR="0087601C" w:rsidRPr="006A1EC7" w:rsidRDefault="0087601C" w:rsidP="00D56051">
            <w:pPr>
              <w:rPr>
                <w:sz w:val="18"/>
              </w:rPr>
            </w:pPr>
          </w:p>
        </w:tc>
        <w:tc>
          <w:tcPr>
            <w:tcW w:w="8860" w:type="dxa"/>
            <w:gridSpan w:val="6"/>
            <w:tcBorders>
              <w:top w:val="nil"/>
              <w:left w:val="nil"/>
              <w:bottom w:val="nil"/>
              <w:right w:val="nil"/>
            </w:tcBorders>
            <w:shd w:val="clear" w:color="auto" w:fill="FFFFFF"/>
            <w:vAlign w:val="bottom"/>
          </w:tcPr>
          <w:p w14:paraId="22A1F6DD"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w:t>
            </w:r>
          </w:p>
        </w:tc>
      </w:tr>
      <w:tr w:rsidR="0087601C" w:rsidRPr="006A1EC7" w14:paraId="2D00E741" w14:textId="77777777" w:rsidTr="00D56051">
        <w:trPr>
          <w:cantSplit/>
        </w:trPr>
        <w:tc>
          <w:tcPr>
            <w:tcW w:w="2327" w:type="dxa"/>
            <w:vMerge/>
            <w:tcBorders>
              <w:top w:val="nil"/>
              <w:left w:val="nil"/>
              <w:bottom w:val="nil"/>
              <w:right w:val="nil"/>
            </w:tcBorders>
            <w:shd w:val="clear" w:color="auto" w:fill="FFFFFF"/>
            <w:vAlign w:val="bottom"/>
          </w:tcPr>
          <w:p w14:paraId="181E20AD" w14:textId="77777777" w:rsidR="0087601C" w:rsidRPr="006A1EC7" w:rsidRDefault="0087601C" w:rsidP="00D56051">
            <w:pPr>
              <w:rPr>
                <w:color w:val="264A60"/>
                <w:sz w:val="18"/>
              </w:rPr>
            </w:pPr>
          </w:p>
        </w:tc>
        <w:tc>
          <w:tcPr>
            <w:tcW w:w="1146" w:type="dxa"/>
            <w:vMerge w:val="restart"/>
            <w:tcBorders>
              <w:top w:val="nil"/>
              <w:left w:val="nil"/>
              <w:bottom w:val="nil"/>
              <w:right w:val="single" w:sz="8" w:space="0" w:color="E0E0E0"/>
            </w:tcBorders>
            <w:shd w:val="clear" w:color="auto" w:fill="FFFFFF"/>
            <w:vAlign w:val="bottom"/>
          </w:tcPr>
          <w:p w14:paraId="56D84199"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46" w:type="dxa"/>
            <w:vMerge w:val="restart"/>
            <w:tcBorders>
              <w:top w:val="nil"/>
              <w:left w:val="single" w:sz="8" w:space="0" w:color="E0E0E0"/>
              <w:bottom w:val="nil"/>
              <w:right w:val="single" w:sz="8" w:space="0" w:color="E0E0E0"/>
            </w:tcBorders>
            <w:shd w:val="clear" w:color="auto" w:fill="FFFFFF"/>
            <w:vAlign w:val="bottom"/>
          </w:tcPr>
          <w:p w14:paraId="41595FA0"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42" w:type="dxa"/>
            <w:vMerge w:val="restart"/>
            <w:tcBorders>
              <w:top w:val="nil"/>
              <w:left w:val="single" w:sz="8" w:space="0" w:color="E0E0E0"/>
              <w:bottom w:val="nil"/>
              <w:right w:val="single" w:sz="8" w:space="0" w:color="E0E0E0"/>
            </w:tcBorders>
            <w:shd w:val="clear" w:color="auto" w:fill="FFFFFF"/>
            <w:vAlign w:val="bottom"/>
          </w:tcPr>
          <w:p w14:paraId="1CB65D30"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42" w:type="dxa"/>
            <w:vMerge w:val="restart"/>
            <w:tcBorders>
              <w:top w:val="nil"/>
              <w:left w:val="single" w:sz="8" w:space="0" w:color="E0E0E0"/>
              <w:bottom w:val="nil"/>
              <w:right w:val="single" w:sz="8" w:space="0" w:color="E0E0E0"/>
            </w:tcBorders>
            <w:shd w:val="clear" w:color="auto" w:fill="FFFFFF"/>
            <w:vAlign w:val="bottom"/>
          </w:tcPr>
          <w:p w14:paraId="1B21A8AC"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284" w:type="dxa"/>
            <w:gridSpan w:val="2"/>
            <w:tcBorders>
              <w:top w:val="nil"/>
              <w:left w:val="single" w:sz="8" w:space="0" w:color="E0E0E0"/>
              <w:bottom w:val="nil"/>
              <w:right w:val="nil"/>
            </w:tcBorders>
            <w:shd w:val="clear" w:color="auto" w:fill="FFFFFF"/>
            <w:vAlign w:val="bottom"/>
          </w:tcPr>
          <w:p w14:paraId="755084BB"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117E144F" w14:textId="77777777" w:rsidTr="00D56051">
        <w:trPr>
          <w:cantSplit/>
        </w:trPr>
        <w:tc>
          <w:tcPr>
            <w:tcW w:w="2327" w:type="dxa"/>
            <w:vMerge/>
            <w:tcBorders>
              <w:top w:val="nil"/>
              <w:left w:val="nil"/>
              <w:bottom w:val="nil"/>
              <w:right w:val="nil"/>
            </w:tcBorders>
            <w:shd w:val="clear" w:color="auto" w:fill="FFFFFF"/>
            <w:vAlign w:val="bottom"/>
          </w:tcPr>
          <w:p w14:paraId="16B4830E" w14:textId="77777777" w:rsidR="0087601C" w:rsidRPr="006A1EC7" w:rsidRDefault="0087601C" w:rsidP="00D56051">
            <w:pPr>
              <w:rPr>
                <w:color w:val="264A60"/>
                <w:sz w:val="18"/>
              </w:rPr>
            </w:pPr>
          </w:p>
        </w:tc>
        <w:tc>
          <w:tcPr>
            <w:tcW w:w="1146" w:type="dxa"/>
            <w:vMerge/>
            <w:tcBorders>
              <w:top w:val="nil"/>
              <w:left w:val="nil"/>
              <w:bottom w:val="nil"/>
              <w:right w:val="single" w:sz="8" w:space="0" w:color="E0E0E0"/>
            </w:tcBorders>
            <w:shd w:val="clear" w:color="auto" w:fill="FFFFFF"/>
            <w:vAlign w:val="bottom"/>
          </w:tcPr>
          <w:p w14:paraId="26146CC8" w14:textId="77777777" w:rsidR="0087601C" w:rsidRPr="006A1EC7" w:rsidRDefault="0087601C" w:rsidP="00D56051">
            <w:pPr>
              <w:rPr>
                <w:color w:val="264A60"/>
                <w:sz w:val="18"/>
              </w:rPr>
            </w:pPr>
          </w:p>
        </w:tc>
        <w:tc>
          <w:tcPr>
            <w:tcW w:w="1146" w:type="dxa"/>
            <w:vMerge/>
            <w:tcBorders>
              <w:top w:val="nil"/>
              <w:left w:val="single" w:sz="8" w:space="0" w:color="E0E0E0"/>
              <w:bottom w:val="nil"/>
              <w:right w:val="single" w:sz="8" w:space="0" w:color="E0E0E0"/>
            </w:tcBorders>
            <w:shd w:val="clear" w:color="auto" w:fill="FFFFFF"/>
            <w:vAlign w:val="bottom"/>
          </w:tcPr>
          <w:p w14:paraId="789DED13" w14:textId="77777777" w:rsidR="0087601C" w:rsidRPr="006A1EC7" w:rsidRDefault="0087601C" w:rsidP="00D56051">
            <w:pPr>
              <w:rPr>
                <w:color w:val="264A60"/>
                <w:sz w:val="18"/>
              </w:rPr>
            </w:pPr>
          </w:p>
        </w:tc>
        <w:tc>
          <w:tcPr>
            <w:tcW w:w="1642" w:type="dxa"/>
            <w:vMerge/>
            <w:tcBorders>
              <w:top w:val="nil"/>
              <w:left w:val="single" w:sz="8" w:space="0" w:color="E0E0E0"/>
              <w:bottom w:val="nil"/>
              <w:right w:val="single" w:sz="8" w:space="0" w:color="E0E0E0"/>
            </w:tcBorders>
            <w:shd w:val="clear" w:color="auto" w:fill="FFFFFF"/>
            <w:vAlign w:val="bottom"/>
          </w:tcPr>
          <w:p w14:paraId="5D9CE97D" w14:textId="77777777" w:rsidR="0087601C" w:rsidRPr="006A1EC7" w:rsidRDefault="0087601C" w:rsidP="00D56051">
            <w:pPr>
              <w:rPr>
                <w:color w:val="264A60"/>
                <w:sz w:val="18"/>
              </w:rPr>
            </w:pPr>
          </w:p>
        </w:tc>
        <w:tc>
          <w:tcPr>
            <w:tcW w:w="1642" w:type="dxa"/>
            <w:vMerge/>
            <w:tcBorders>
              <w:top w:val="nil"/>
              <w:left w:val="single" w:sz="8" w:space="0" w:color="E0E0E0"/>
              <w:bottom w:val="nil"/>
              <w:right w:val="single" w:sz="8" w:space="0" w:color="E0E0E0"/>
            </w:tcBorders>
            <w:shd w:val="clear" w:color="auto" w:fill="FFFFFF"/>
            <w:vAlign w:val="bottom"/>
          </w:tcPr>
          <w:p w14:paraId="67B6365A" w14:textId="77777777" w:rsidR="0087601C" w:rsidRPr="006A1EC7" w:rsidRDefault="0087601C" w:rsidP="00D56051">
            <w:pPr>
              <w:rPr>
                <w:color w:val="264A60"/>
                <w:sz w:val="18"/>
              </w:rPr>
            </w:pPr>
          </w:p>
        </w:tc>
        <w:tc>
          <w:tcPr>
            <w:tcW w:w="1642" w:type="dxa"/>
            <w:tcBorders>
              <w:top w:val="nil"/>
              <w:left w:val="single" w:sz="8" w:space="0" w:color="E0E0E0"/>
              <w:bottom w:val="single" w:sz="8" w:space="0" w:color="152935"/>
              <w:right w:val="single" w:sz="8" w:space="0" w:color="E0E0E0"/>
            </w:tcBorders>
            <w:shd w:val="clear" w:color="auto" w:fill="FFFFFF"/>
            <w:vAlign w:val="bottom"/>
          </w:tcPr>
          <w:p w14:paraId="545001A5"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42" w:type="dxa"/>
            <w:tcBorders>
              <w:top w:val="nil"/>
              <w:left w:val="single" w:sz="8" w:space="0" w:color="E0E0E0"/>
              <w:bottom w:val="single" w:sz="8" w:space="0" w:color="152935"/>
              <w:right w:val="nil"/>
            </w:tcBorders>
            <w:shd w:val="clear" w:color="auto" w:fill="FFFFFF"/>
            <w:vAlign w:val="bottom"/>
          </w:tcPr>
          <w:p w14:paraId="1C5C06D0"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430439D8" w14:textId="77777777" w:rsidTr="00D56051">
        <w:trPr>
          <w:cantSplit/>
        </w:trPr>
        <w:tc>
          <w:tcPr>
            <w:tcW w:w="2327" w:type="dxa"/>
            <w:tcBorders>
              <w:top w:val="single" w:sz="8" w:space="0" w:color="152935"/>
              <w:left w:val="nil"/>
              <w:bottom w:val="single" w:sz="8" w:space="0" w:color="AEAEAE"/>
              <w:right w:val="nil"/>
            </w:tcBorders>
            <w:shd w:val="clear" w:color="auto" w:fill="E0E0E0"/>
          </w:tcPr>
          <w:p w14:paraId="2CDDDDC3" w14:textId="77777777" w:rsidR="0087601C" w:rsidRPr="006A1EC7" w:rsidRDefault="0087601C" w:rsidP="00D56051">
            <w:pPr>
              <w:spacing w:line="320" w:lineRule="atLeast"/>
              <w:ind w:left="60" w:right="60"/>
              <w:rPr>
                <w:color w:val="264A60"/>
                <w:sz w:val="18"/>
              </w:rPr>
            </w:pPr>
            <w:r w:rsidRPr="006A1EC7">
              <w:rPr>
                <w:color w:val="264A60"/>
                <w:sz w:val="18"/>
              </w:rPr>
              <w:t>T1Bronagh_Face</w:t>
            </w:r>
          </w:p>
        </w:tc>
        <w:tc>
          <w:tcPr>
            <w:tcW w:w="1146" w:type="dxa"/>
            <w:tcBorders>
              <w:top w:val="single" w:sz="8" w:space="0" w:color="152935"/>
              <w:left w:val="nil"/>
              <w:bottom w:val="single" w:sz="8" w:space="0" w:color="AEAEAE"/>
              <w:right w:val="single" w:sz="8" w:space="0" w:color="E0E0E0"/>
            </w:tcBorders>
            <w:shd w:val="clear" w:color="auto" w:fill="FFFFFF"/>
          </w:tcPr>
          <w:p w14:paraId="56914B1E"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146" w:type="dxa"/>
            <w:tcBorders>
              <w:top w:val="single" w:sz="8" w:space="0" w:color="152935"/>
              <w:left w:val="single" w:sz="8" w:space="0" w:color="E0E0E0"/>
              <w:bottom w:val="single" w:sz="8" w:space="0" w:color="AEAEAE"/>
              <w:right w:val="single" w:sz="8" w:space="0" w:color="E0E0E0"/>
            </w:tcBorders>
            <w:shd w:val="clear" w:color="auto" w:fill="FFFFFF"/>
          </w:tcPr>
          <w:p w14:paraId="1EFBB077"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42" w:type="dxa"/>
            <w:tcBorders>
              <w:top w:val="single" w:sz="8" w:space="0" w:color="152935"/>
              <w:left w:val="single" w:sz="8" w:space="0" w:color="E0E0E0"/>
              <w:bottom w:val="single" w:sz="8" w:space="0" w:color="AEAEAE"/>
              <w:right w:val="single" w:sz="8" w:space="0" w:color="E0E0E0"/>
            </w:tcBorders>
            <w:shd w:val="clear" w:color="auto" w:fill="FFFFFF"/>
          </w:tcPr>
          <w:p w14:paraId="38AD94A8" w14:textId="77777777" w:rsidR="0087601C" w:rsidRPr="006A1EC7" w:rsidRDefault="0087601C" w:rsidP="00D56051">
            <w:pPr>
              <w:spacing w:line="320" w:lineRule="atLeast"/>
              <w:ind w:left="60" w:right="60"/>
              <w:jc w:val="right"/>
              <w:rPr>
                <w:color w:val="010205"/>
                <w:sz w:val="18"/>
              </w:rPr>
            </w:pPr>
            <w:r w:rsidRPr="006A1EC7">
              <w:rPr>
                <w:color w:val="010205"/>
                <w:sz w:val="18"/>
              </w:rPr>
              <w:t>1.000</w:t>
            </w:r>
          </w:p>
        </w:tc>
        <w:tc>
          <w:tcPr>
            <w:tcW w:w="1642" w:type="dxa"/>
            <w:tcBorders>
              <w:top w:val="single" w:sz="8" w:space="0" w:color="152935"/>
              <w:left w:val="single" w:sz="8" w:space="0" w:color="E0E0E0"/>
              <w:bottom w:val="single" w:sz="8" w:space="0" w:color="AEAEAE"/>
              <w:right w:val="single" w:sz="8" w:space="0" w:color="E0E0E0"/>
            </w:tcBorders>
            <w:shd w:val="clear" w:color="auto" w:fill="FFFFFF"/>
          </w:tcPr>
          <w:p w14:paraId="762CB92F"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42" w:type="dxa"/>
            <w:tcBorders>
              <w:top w:val="single" w:sz="8" w:space="0" w:color="152935"/>
              <w:left w:val="single" w:sz="8" w:space="0" w:color="E0E0E0"/>
              <w:bottom w:val="single" w:sz="8" w:space="0" w:color="AEAEAE"/>
              <w:right w:val="single" w:sz="8" w:space="0" w:color="E0E0E0"/>
            </w:tcBorders>
            <w:shd w:val="clear" w:color="auto" w:fill="FFFFFF"/>
          </w:tcPr>
          <w:p w14:paraId="2CC93D35" w14:textId="77777777" w:rsidR="0087601C" w:rsidRPr="006A1EC7" w:rsidRDefault="0087601C" w:rsidP="00D56051">
            <w:pPr>
              <w:spacing w:line="320" w:lineRule="atLeast"/>
              <w:ind w:left="60" w:right="60"/>
              <w:jc w:val="right"/>
              <w:rPr>
                <w:color w:val="010205"/>
                <w:sz w:val="18"/>
              </w:rPr>
            </w:pPr>
            <w:r w:rsidRPr="006A1EC7">
              <w:rPr>
                <w:color w:val="010205"/>
                <w:sz w:val="18"/>
              </w:rPr>
              <w:t>-.16</w:t>
            </w:r>
          </w:p>
        </w:tc>
        <w:tc>
          <w:tcPr>
            <w:tcW w:w="1642" w:type="dxa"/>
            <w:tcBorders>
              <w:top w:val="single" w:sz="8" w:space="0" w:color="152935"/>
              <w:left w:val="single" w:sz="8" w:space="0" w:color="E0E0E0"/>
              <w:bottom w:val="single" w:sz="8" w:space="0" w:color="AEAEAE"/>
              <w:right w:val="nil"/>
            </w:tcBorders>
            <w:shd w:val="clear" w:color="auto" w:fill="FFFFFF"/>
          </w:tcPr>
          <w:p w14:paraId="3F3DDAEB" w14:textId="77777777" w:rsidR="0087601C" w:rsidRPr="006A1EC7" w:rsidRDefault="0087601C" w:rsidP="00D56051">
            <w:pPr>
              <w:spacing w:line="320" w:lineRule="atLeast"/>
              <w:ind w:left="60" w:right="60"/>
              <w:jc w:val="right"/>
              <w:rPr>
                <w:color w:val="010205"/>
                <w:sz w:val="18"/>
              </w:rPr>
            </w:pPr>
            <w:r w:rsidRPr="006A1EC7">
              <w:rPr>
                <w:color w:val="010205"/>
                <w:sz w:val="18"/>
              </w:rPr>
              <w:t>.16</w:t>
            </w:r>
          </w:p>
        </w:tc>
      </w:tr>
      <w:tr w:rsidR="0087601C" w:rsidRPr="006A1EC7" w14:paraId="35793C07" w14:textId="77777777" w:rsidTr="00D56051">
        <w:trPr>
          <w:cantSplit/>
        </w:trPr>
        <w:tc>
          <w:tcPr>
            <w:tcW w:w="2327" w:type="dxa"/>
            <w:tcBorders>
              <w:top w:val="single" w:sz="8" w:space="0" w:color="AEAEAE"/>
              <w:left w:val="nil"/>
              <w:bottom w:val="single" w:sz="8" w:space="0" w:color="AEAEAE"/>
              <w:right w:val="nil"/>
            </w:tcBorders>
            <w:shd w:val="clear" w:color="auto" w:fill="E0E0E0"/>
          </w:tcPr>
          <w:p w14:paraId="142BF075" w14:textId="77777777" w:rsidR="0087601C" w:rsidRPr="006A1EC7" w:rsidRDefault="0087601C" w:rsidP="00D56051">
            <w:pPr>
              <w:spacing w:line="320" w:lineRule="atLeast"/>
              <w:ind w:left="60" w:right="60"/>
              <w:rPr>
                <w:color w:val="264A60"/>
                <w:sz w:val="18"/>
              </w:rPr>
            </w:pPr>
            <w:r w:rsidRPr="006A1EC7">
              <w:rPr>
                <w:color w:val="264A60"/>
                <w:sz w:val="18"/>
              </w:rPr>
              <w:t>T1Bronagh_Epilepsy</w:t>
            </w:r>
          </w:p>
        </w:tc>
        <w:tc>
          <w:tcPr>
            <w:tcW w:w="1146" w:type="dxa"/>
            <w:tcBorders>
              <w:top w:val="single" w:sz="8" w:space="0" w:color="AEAEAE"/>
              <w:left w:val="nil"/>
              <w:bottom w:val="single" w:sz="8" w:space="0" w:color="AEAEAE"/>
              <w:right w:val="single" w:sz="8" w:space="0" w:color="E0E0E0"/>
            </w:tcBorders>
            <w:shd w:val="clear" w:color="auto" w:fill="FFFFFF"/>
          </w:tcPr>
          <w:p w14:paraId="74B47BF0" w14:textId="77777777" w:rsidR="0087601C" w:rsidRPr="006A1EC7" w:rsidRDefault="0087601C" w:rsidP="00D56051">
            <w:pPr>
              <w:spacing w:line="320" w:lineRule="atLeast"/>
              <w:ind w:left="60" w:right="60"/>
              <w:jc w:val="right"/>
              <w:rPr>
                <w:color w:val="010205"/>
                <w:sz w:val="18"/>
              </w:rPr>
            </w:pPr>
            <w:r w:rsidRPr="006A1EC7">
              <w:rPr>
                <w:color w:val="010205"/>
                <w:sz w:val="18"/>
              </w:rPr>
              <w:t>3.474</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4B03924F"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42" w:type="dxa"/>
            <w:tcBorders>
              <w:top w:val="single" w:sz="8" w:space="0" w:color="AEAEAE"/>
              <w:left w:val="single" w:sz="8" w:space="0" w:color="E0E0E0"/>
              <w:bottom w:val="single" w:sz="8" w:space="0" w:color="AEAEAE"/>
              <w:right w:val="single" w:sz="8" w:space="0" w:color="E0E0E0"/>
            </w:tcBorders>
            <w:shd w:val="clear" w:color="auto" w:fill="FFFFFF"/>
          </w:tcPr>
          <w:p w14:paraId="6310BEBB" w14:textId="77777777" w:rsidR="0087601C" w:rsidRPr="006A1EC7" w:rsidRDefault="0087601C" w:rsidP="00D56051">
            <w:pPr>
              <w:spacing w:line="320" w:lineRule="atLeast"/>
              <w:ind w:left="60" w:right="60"/>
              <w:jc w:val="right"/>
              <w:rPr>
                <w:color w:val="010205"/>
                <w:sz w:val="18"/>
              </w:rPr>
            </w:pPr>
            <w:r w:rsidRPr="006A1EC7">
              <w:rPr>
                <w:color w:val="010205"/>
                <w:sz w:val="18"/>
              </w:rPr>
              <w:t>.001</w:t>
            </w:r>
          </w:p>
        </w:tc>
        <w:tc>
          <w:tcPr>
            <w:tcW w:w="1642" w:type="dxa"/>
            <w:tcBorders>
              <w:top w:val="single" w:sz="8" w:space="0" w:color="AEAEAE"/>
              <w:left w:val="single" w:sz="8" w:space="0" w:color="E0E0E0"/>
              <w:bottom w:val="single" w:sz="8" w:space="0" w:color="AEAEAE"/>
              <w:right w:val="single" w:sz="8" w:space="0" w:color="E0E0E0"/>
            </w:tcBorders>
            <w:shd w:val="clear" w:color="auto" w:fill="FFFFFF"/>
          </w:tcPr>
          <w:p w14:paraId="14720A91" w14:textId="77777777" w:rsidR="0087601C" w:rsidRPr="006A1EC7" w:rsidRDefault="0087601C" w:rsidP="00D56051">
            <w:pPr>
              <w:spacing w:line="320" w:lineRule="atLeast"/>
              <w:ind w:left="60" w:right="60"/>
              <w:jc w:val="right"/>
              <w:rPr>
                <w:color w:val="010205"/>
                <w:sz w:val="18"/>
              </w:rPr>
            </w:pPr>
            <w:r w:rsidRPr="006A1EC7">
              <w:rPr>
                <w:color w:val="010205"/>
                <w:sz w:val="18"/>
              </w:rPr>
              <w:t>.649</w:t>
            </w:r>
          </w:p>
        </w:tc>
        <w:tc>
          <w:tcPr>
            <w:tcW w:w="1642" w:type="dxa"/>
            <w:tcBorders>
              <w:top w:val="single" w:sz="8" w:space="0" w:color="AEAEAE"/>
              <w:left w:val="single" w:sz="8" w:space="0" w:color="E0E0E0"/>
              <w:bottom w:val="single" w:sz="8" w:space="0" w:color="AEAEAE"/>
              <w:right w:val="single" w:sz="8" w:space="0" w:color="E0E0E0"/>
            </w:tcBorders>
            <w:shd w:val="clear" w:color="auto" w:fill="FFFFFF"/>
          </w:tcPr>
          <w:p w14:paraId="760C0F19" w14:textId="77777777" w:rsidR="0087601C" w:rsidRPr="006A1EC7" w:rsidRDefault="0087601C" w:rsidP="00D56051">
            <w:pPr>
              <w:spacing w:line="320" w:lineRule="atLeast"/>
              <w:ind w:left="60" w:right="60"/>
              <w:jc w:val="right"/>
              <w:rPr>
                <w:color w:val="010205"/>
                <w:sz w:val="18"/>
              </w:rPr>
            </w:pPr>
            <w:r w:rsidRPr="006A1EC7">
              <w:rPr>
                <w:color w:val="010205"/>
                <w:sz w:val="18"/>
              </w:rPr>
              <w:t>.27</w:t>
            </w:r>
          </w:p>
        </w:tc>
        <w:tc>
          <w:tcPr>
            <w:tcW w:w="1642" w:type="dxa"/>
            <w:tcBorders>
              <w:top w:val="single" w:sz="8" w:space="0" w:color="AEAEAE"/>
              <w:left w:val="single" w:sz="8" w:space="0" w:color="E0E0E0"/>
              <w:bottom w:val="single" w:sz="8" w:space="0" w:color="AEAEAE"/>
              <w:right w:val="nil"/>
            </w:tcBorders>
            <w:shd w:val="clear" w:color="auto" w:fill="FFFFFF"/>
          </w:tcPr>
          <w:p w14:paraId="47AC3BA6" w14:textId="77777777" w:rsidR="0087601C" w:rsidRPr="006A1EC7" w:rsidRDefault="0087601C" w:rsidP="00D56051">
            <w:pPr>
              <w:spacing w:line="320" w:lineRule="atLeast"/>
              <w:ind w:left="60" w:right="60"/>
              <w:jc w:val="right"/>
              <w:rPr>
                <w:color w:val="010205"/>
                <w:sz w:val="18"/>
              </w:rPr>
            </w:pPr>
            <w:r w:rsidRPr="006A1EC7">
              <w:rPr>
                <w:color w:val="010205"/>
                <w:sz w:val="18"/>
              </w:rPr>
              <w:t>1.03</w:t>
            </w:r>
          </w:p>
        </w:tc>
      </w:tr>
      <w:tr w:rsidR="0087601C" w:rsidRPr="006A1EC7" w14:paraId="119621B2" w14:textId="77777777" w:rsidTr="00D56051">
        <w:trPr>
          <w:cantSplit/>
        </w:trPr>
        <w:tc>
          <w:tcPr>
            <w:tcW w:w="2327" w:type="dxa"/>
            <w:tcBorders>
              <w:top w:val="single" w:sz="8" w:space="0" w:color="AEAEAE"/>
              <w:left w:val="nil"/>
              <w:bottom w:val="single" w:sz="8" w:space="0" w:color="AEAEAE"/>
              <w:right w:val="nil"/>
            </w:tcBorders>
            <w:shd w:val="clear" w:color="auto" w:fill="E0E0E0"/>
          </w:tcPr>
          <w:p w14:paraId="0700A187" w14:textId="77777777" w:rsidR="0087601C" w:rsidRPr="006A1EC7" w:rsidRDefault="0087601C" w:rsidP="00D56051">
            <w:pPr>
              <w:spacing w:line="320" w:lineRule="atLeast"/>
              <w:ind w:left="60" w:right="60"/>
              <w:rPr>
                <w:color w:val="264A60"/>
                <w:sz w:val="18"/>
              </w:rPr>
            </w:pPr>
            <w:r w:rsidRPr="006A1EC7">
              <w:rPr>
                <w:color w:val="264A60"/>
                <w:sz w:val="18"/>
              </w:rPr>
              <w:t>T1Bronagh_CNS</w:t>
            </w:r>
          </w:p>
        </w:tc>
        <w:tc>
          <w:tcPr>
            <w:tcW w:w="1146" w:type="dxa"/>
            <w:tcBorders>
              <w:top w:val="single" w:sz="8" w:space="0" w:color="AEAEAE"/>
              <w:left w:val="nil"/>
              <w:bottom w:val="single" w:sz="8" w:space="0" w:color="AEAEAE"/>
              <w:right w:val="single" w:sz="8" w:space="0" w:color="E0E0E0"/>
            </w:tcBorders>
            <w:shd w:val="clear" w:color="auto" w:fill="FFFFFF"/>
          </w:tcPr>
          <w:p w14:paraId="3E41685F" w14:textId="77777777" w:rsidR="0087601C" w:rsidRPr="006A1EC7" w:rsidRDefault="0087601C" w:rsidP="00D56051">
            <w:pPr>
              <w:spacing w:line="320" w:lineRule="atLeast"/>
              <w:ind w:left="60" w:right="60"/>
              <w:jc w:val="right"/>
              <w:rPr>
                <w:color w:val="010205"/>
                <w:sz w:val="18"/>
              </w:rPr>
            </w:pPr>
            <w:r w:rsidRPr="006A1EC7">
              <w:rPr>
                <w:color w:val="010205"/>
                <w:sz w:val="18"/>
              </w:rPr>
              <w:t>-1.602</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6E4DE46B"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42" w:type="dxa"/>
            <w:tcBorders>
              <w:top w:val="single" w:sz="8" w:space="0" w:color="AEAEAE"/>
              <w:left w:val="single" w:sz="8" w:space="0" w:color="E0E0E0"/>
              <w:bottom w:val="single" w:sz="8" w:space="0" w:color="AEAEAE"/>
              <w:right w:val="single" w:sz="8" w:space="0" w:color="E0E0E0"/>
            </w:tcBorders>
            <w:shd w:val="clear" w:color="auto" w:fill="FFFFFF"/>
          </w:tcPr>
          <w:p w14:paraId="3D40C9E4" w14:textId="77777777" w:rsidR="0087601C" w:rsidRPr="006A1EC7" w:rsidRDefault="0087601C" w:rsidP="00D56051">
            <w:pPr>
              <w:spacing w:line="320" w:lineRule="atLeast"/>
              <w:ind w:left="60" w:right="60"/>
              <w:jc w:val="right"/>
              <w:rPr>
                <w:color w:val="010205"/>
                <w:sz w:val="18"/>
              </w:rPr>
            </w:pPr>
            <w:r w:rsidRPr="006A1EC7">
              <w:rPr>
                <w:color w:val="010205"/>
                <w:sz w:val="18"/>
              </w:rPr>
              <w:t>.118</w:t>
            </w:r>
          </w:p>
        </w:tc>
        <w:tc>
          <w:tcPr>
            <w:tcW w:w="1642" w:type="dxa"/>
            <w:tcBorders>
              <w:top w:val="single" w:sz="8" w:space="0" w:color="AEAEAE"/>
              <w:left w:val="single" w:sz="8" w:space="0" w:color="E0E0E0"/>
              <w:bottom w:val="single" w:sz="8" w:space="0" w:color="AEAEAE"/>
              <w:right w:val="single" w:sz="8" w:space="0" w:color="E0E0E0"/>
            </w:tcBorders>
            <w:shd w:val="clear" w:color="auto" w:fill="FFFFFF"/>
          </w:tcPr>
          <w:p w14:paraId="798E14C1" w14:textId="77777777" w:rsidR="0087601C" w:rsidRPr="006A1EC7" w:rsidRDefault="0087601C" w:rsidP="00D56051">
            <w:pPr>
              <w:spacing w:line="320" w:lineRule="atLeast"/>
              <w:ind w:left="60" w:right="60"/>
              <w:jc w:val="right"/>
              <w:rPr>
                <w:color w:val="010205"/>
                <w:sz w:val="18"/>
              </w:rPr>
            </w:pPr>
            <w:r w:rsidRPr="006A1EC7">
              <w:rPr>
                <w:color w:val="010205"/>
                <w:sz w:val="18"/>
              </w:rPr>
              <w:t>-.216</w:t>
            </w:r>
          </w:p>
        </w:tc>
        <w:tc>
          <w:tcPr>
            <w:tcW w:w="1642" w:type="dxa"/>
            <w:tcBorders>
              <w:top w:val="single" w:sz="8" w:space="0" w:color="AEAEAE"/>
              <w:left w:val="single" w:sz="8" w:space="0" w:color="E0E0E0"/>
              <w:bottom w:val="single" w:sz="8" w:space="0" w:color="AEAEAE"/>
              <w:right w:val="single" w:sz="8" w:space="0" w:color="E0E0E0"/>
            </w:tcBorders>
            <w:shd w:val="clear" w:color="auto" w:fill="FFFFFF"/>
          </w:tcPr>
          <w:p w14:paraId="5ABF23A7" w14:textId="77777777" w:rsidR="0087601C" w:rsidRPr="006A1EC7" w:rsidRDefault="0087601C" w:rsidP="00D56051">
            <w:pPr>
              <w:spacing w:line="320" w:lineRule="atLeast"/>
              <w:ind w:left="60" w:right="60"/>
              <w:jc w:val="right"/>
              <w:rPr>
                <w:color w:val="010205"/>
                <w:sz w:val="18"/>
              </w:rPr>
            </w:pPr>
            <w:r w:rsidRPr="006A1EC7">
              <w:rPr>
                <w:color w:val="010205"/>
                <w:sz w:val="18"/>
              </w:rPr>
              <w:t>-.49</w:t>
            </w:r>
          </w:p>
        </w:tc>
        <w:tc>
          <w:tcPr>
            <w:tcW w:w="1642" w:type="dxa"/>
            <w:tcBorders>
              <w:top w:val="single" w:sz="8" w:space="0" w:color="AEAEAE"/>
              <w:left w:val="single" w:sz="8" w:space="0" w:color="E0E0E0"/>
              <w:bottom w:val="single" w:sz="8" w:space="0" w:color="AEAEAE"/>
              <w:right w:val="nil"/>
            </w:tcBorders>
            <w:shd w:val="clear" w:color="auto" w:fill="FFFFFF"/>
          </w:tcPr>
          <w:p w14:paraId="71C79B1A" w14:textId="77777777" w:rsidR="0087601C" w:rsidRPr="006A1EC7" w:rsidRDefault="0087601C" w:rsidP="00D56051">
            <w:pPr>
              <w:spacing w:line="320" w:lineRule="atLeast"/>
              <w:ind w:left="60" w:right="60"/>
              <w:jc w:val="right"/>
              <w:rPr>
                <w:color w:val="010205"/>
                <w:sz w:val="18"/>
              </w:rPr>
            </w:pPr>
            <w:r w:rsidRPr="006A1EC7">
              <w:rPr>
                <w:color w:val="010205"/>
                <w:sz w:val="18"/>
              </w:rPr>
              <w:t>.06</w:t>
            </w:r>
          </w:p>
        </w:tc>
      </w:tr>
      <w:tr w:rsidR="0087601C" w:rsidRPr="006A1EC7" w14:paraId="23F42FE5" w14:textId="77777777" w:rsidTr="00D56051">
        <w:trPr>
          <w:cantSplit/>
        </w:trPr>
        <w:tc>
          <w:tcPr>
            <w:tcW w:w="2327" w:type="dxa"/>
            <w:tcBorders>
              <w:top w:val="single" w:sz="8" w:space="0" w:color="AEAEAE"/>
              <w:left w:val="nil"/>
              <w:bottom w:val="single" w:sz="8" w:space="0" w:color="152935"/>
              <w:right w:val="nil"/>
            </w:tcBorders>
            <w:shd w:val="clear" w:color="auto" w:fill="E0E0E0"/>
          </w:tcPr>
          <w:p w14:paraId="479756D8" w14:textId="77777777" w:rsidR="0087601C" w:rsidRPr="006A1EC7" w:rsidRDefault="0087601C" w:rsidP="00D56051">
            <w:pPr>
              <w:spacing w:line="320" w:lineRule="atLeast"/>
              <w:ind w:left="60" w:right="60"/>
              <w:rPr>
                <w:color w:val="264A60"/>
                <w:sz w:val="18"/>
              </w:rPr>
            </w:pPr>
            <w:r w:rsidRPr="006A1EC7">
              <w:rPr>
                <w:color w:val="264A60"/>
                <w:sz w:val="18"/>
              </w:rPr>
              <w:t>Level of care</w:t>
            </w:r>
          </w:p>
        </w:tc>
        <w:tc>
          <w:tcPr>
            <w:tcW w:w="1146" w:type="dxa"/>
            <w:tcBorders>
              <w:top w:val="single" w:sz="8" w:space="0" w:color="AEAEAE"/>
              <w:left w:val="nil"/>
              <w:bottom w:val="single" w:sz="8" w:space="0" w:color="152935"/>
              <w:right w:val="single" w:sz="8" w:space="0" w:color="E0E0E0"/>
            </w:tcBorders>
            <w:shd w:val="clear" w:color="auto" w:fill="FFFFFF"/>
          </w:tcPr>
          <w:p w14:paraId="13EB8A9E" w14:textId="77777777" w:rsidR="0087601C" w:rsidRPr="006A1EC7" w:rsidRDefault="0087601C" w:rsidP="00D56051">
            <w:pPr>
              <w:spacing w:line="320" w:lineRule="atLeast"/>
              <w:ind w:left="60" w:right="60"/>
              <w:jc w:val="right"/>
              <w:rPr>
                <w:color w:val="010205"/>
                <w:sz w:val="18"/>
              </w:rPr>
            </w:pPr>
            <w:r w:rsidRPr="006A1EC7">
              <w:rPr>
                <w:color w:val="010205"/>
                <w:sz w:val="18"/>
              </w:rPr>
              <w:t>-1.782</w:t>
            </w:r>
          </w:p>
        </w:tc>
        <w:tc>
          <w:tcPr>
            <w:tcW w:w="1146" w:type="dxa"/>
            <w:tcBorders>
              <w:top w:val="single" w:sz="8" w:space="0" w:color="AEAEAE"/>
              <w:left w:val="single" w:sz="8" w:space="0" w:color="E0E0E0"/>
              <w:bottom w:val="single" w:sz="8" w:space="0" w:color="152935"/>
              <w:right w:val="single" w:sz="8" w:space="0" w:color="E0E0E0"/>
            </w:tcBorders>
            <w:shd w:val="clear" w:color="auto" w:fill="FFFFFF"/>
          </w:tcPr>
          <w:p w14:paraId="4E318353"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42" w:type="dxa"/>
            <w:tcBorders>
              <w:top w:val="single" w:sz="8" w:space="0" w:color="AEAEAE"/>
              <w:left w:val="single" w:sz="8" w:space="0" w:color="E0E0E0"/>
              <w:bottom w:val="single" w:sz="8" w:space="0" w:color="152935"/>
              <w:right w:val="single" w:sz="8" w:space="0" w:color="E0E0E0"/>
            </w:tcBorders>
            <w:shd w:val="clear" w:color="auto" w:fill="FFFFFF"/>
          </w:tcPr>
          <w:p w14:paraId="5C87DC45" w14:textId="77777777" w:rsidR="0087601C" w:rsidRPr="006A1EC7" w:rsidRDefault="0087601C" w:rsidP="00D56051">
            <w:pPr>
              <w:spacing w:line="320" w:lineRule="atLeast"/>
              <w:ind w:left="60" w:right="60"/>
              <w:jc w:val="right"/>
              <w:rPr>
                <w:color w:val="010205"/>
                <w:sz w:val="18"/>
              </w:rPr>
            </w:pPr>
            <w:r w:rsidRPr="006A1EC7">
              <w:rPr>
                <w:color w:val="010205"/>
                <w:sz w:val="18"/>
              </w:rPr>
              <w:t>.083</w:t>
            </w:r>
          </w:p>
        </w:tc>
        <w:tc>
          <w:tcPr>
            <w:tcW w:w="1642" w:type="dxa"/>
            <w:tcBorders>
              <w:top w:val="single" w:sz="8" w:space="0" w:color="AEAEAE"/>
              <w:left w:val="single" w:sz="8" w:space="0" w:color="E0E0E0"/>
              <w:bottom w:val="single" w:sz="8" w:space="0" w:color="152935"/>
              <w:right w:val="single" w:sz="8" w:space="0" w:color="E0E0E0"/>
            </w:tcBorders>
            <w:shd w:val="clear" w:color="auto" w:fill="FFFFFF"/>
          </w:tcPr>
          <w:p w14:paraId="631A2A17" w14:textId="77777777" w:rsidR="0087601C" w:rsidRPr="006A1EC7" w:rsidRDefault="0087601C" w:rsidP="00D56051">
            <w:pPr>
              <w:spacing w:line="320" w:lineRule="atLeast"/>
              <w:ind w:left="60" w:right="60"/>
              <w:jc w:val="right"/>
              <w:rPr>
                <w:color w:val="010205"/>
                <w:sz w:val="18"/>
              </w:rPr>
            </w:pPr>
            <w:r w:rsidRPr="006A1EC7">
              <w:rPr>
                <w:color w:val="010205"/>
                <w:sz w:val="18"/>
              </w:rPr>
              <w:t>-.081</w:t>
            </w:r>
          </w:p>
        </w:tc>
        <w:tc>
          <w:tcPr>
            <w:tcW w:w="1642" w:type="dxa"/>
            <w:tcBorders>
              <w:top w:val="single" w:sz="8" w:space="0" w:color="AEAEAE"/>
              <w:left w:val="single" w:sz="8" w:space="0" w:color="E0E0E0"/>
              <w:bottom w:val="single" w:sz="8" w:space="0" w:color="152935"/>
              <w:right w:val="single" w:sz="8" w:space="0" w:color="E0E0E0"/>
            </w:tcBorders>
            <w:shd w:val="clear" w:color="auto" w:fill="FFFFFF"/>
          </w:tcPr>
          <w:p w14:paraId="7DCDAB30" w14:textId="77777777" w:rsidR="0087601C" w:rsidRPr="006A1EC7" w:rsidRDefault="0087601C" w:rsidP="00D56051">
            <w:pPr>
              <w:spacing w:line="320" w:lineRule="atLeast"/>
              <w:ind w:left="60" w:right="60"/>
              <w:jc w:val="right"/>
              <w:rPr>
                <w:color w:val="010205"/>
                <w:sz w:val="18"/>
              </w:rPr>
            </w:pPr>
            <w:r w:rsidRPr="006A1EC7">
              <w:rPr>
                <w:color w:val="010205"/>
                <w:sz w:val="18"/>
              </w:rPr>
              <w:t>-.17</w:t>
            </w:r>
          </w:p>
        </w:tc>
        <w:tc>
          <w:tcPr>
            <w:tcW w:w="1642" w:type="dxa"/>
            <w:tcBorders>
              <w:top w:val="single" w:sz="8" w:space="0" w:color="AEAEAE"/>
              <w:left w:val="single" w:sz="8" w:space="0" w:color="E0E0E0"/>
              <w:bottom w:val="single" w:sz="8" w:space="0" w:color="152935"/>
              <w:right w:val="nil"/>
            </w:tcBorders>
            <w:shd w:val="clear" w:color="auto" w:fill="FFFFFF"/>
          </w:tcPr>
          <w:p w14:paraId="562D53C9" w14:textId="77777777" w:rsidR="0087601C" w:rsidRPr="006A1EC7" w:rsidRDefault="0087601C" w:rsidP="00D56051">
            <w:pPr>
              <w:spacing w:line="320" w:lineRule="atLeast"/>
              <w:ind w:left="60" w:right="60"/>
              <w:jc w:val="right"/>
              <w:rPr>
                <w:color w:val="010205"/>
                <w:sz w:val="18"/>
              </w:rPr>
            </w:pPr>
            <w:r w:rsidRPr="006A1EC7">
              <w:rPr>
                <w:color w:val="010205"/>
                <w:sz w:val="18"/>
              </w:rPr>
              <w:t>.01</w:t>
            </w:r>
          </w:p>
        </w:tc>
      </w:tr>
    </w:tbl>
    <w:p w14:paraId="69DE30EA" w14:textId="77777777" w:rsidR="0087601C" w:rsidRPr="006A1EC7" w:rsidRDefault="0087601C" w:rsidP="0087601C">
      <w:pPr>
        <w:spacing w:line="400" w:lineRule="atLeast"/>
        <w:rPr>
          <w:sz w:val="18"/>
        </w:rPr>
      </w:pP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91"/>
        <w:gridCol w:w="1276"/>
        <w:gridCol w:w="1276"/>
        <w:gridCol w:w="1828"/>
        <w:gridCol w:w="1828"/>
      </w:tblGrid>
      <w:tr w:rsidR="0087601C" w:rsidRPr="006A1EC7" w14:paraId="0BE63C13" w14:textId="77777777" w:rsidTr="00D56051">
        <w:trPr>
          <w:cantSplit/>
        </w:trPr>
        <w:tc>
          <w:tcPr>
            <w:tcW w:w="2591" w:type="dxa"/>
            <w:tcBorders>
              <w:top w:val="nil"/>
              <w:left w:val="nil"/>
              <w:bottom w:val="single" w:sz="8" w:space="0" w:color="152935"/>
              <w:right w:val="nil"/>
            </w:tcBorders>
            <w:shd w:val="clear" w:color="auto" w:fill="FFFFFF"/>
            <w:vAlign w:val="bottom"/>
          </w:tcPr>
          <w:p w14:paraId="0C078137"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16F4C64B"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4767DE46"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tcBorders>
              <w:top w:val="nil"/>
              <w:left w:val="single" w:sz="8" w:space="0" w:color="E0E0E0"/>
              <w:bottom w:val="single" w:sz="8" w:space="0" w:color="152935"/>
              <w:right w:val="single" w:sz="8" w:space="0" w:color="E0E0E0"/>
            </w:tcBorders>
            <w:shd w:val="clear" w:color="auto" w:fill="FFFFFF"/>
            <w:vAlign w:val="bottom"/>
          </w:tcPr>
          <w:p w14:paraId="76C6F1A7"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tcBorders>
              <w:top w:val="nil"/>
              <w:left w:val="single" w:sz="8" w:space="0" w:color="E0E0E0"/>
              <w:bottom w:val="single" w:sz="8" w:space="0" w:color="152935"/>
              <w:right w:val="nil"/>
            </w:tcBorders>
            <w:shd w:val="clear" w:color="auto" w:fill="FFFFFF"/>
            <w:vAlign w:val="bottom"/>
          </w:tcPr>
          <w:p w14:paraId="493185C9"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29B4E250" w14:textId="77777777" w:rsidTr="00D56051">
        <w:trPr>
          <w:cantSplit/>
        </w:trPr>
        <w:tc>
          <w:tcPr>
            <w:tcW w:w="2591" w:type="dxa"/>
            <w:tcBorders>
              <w:top w:val="single" w:sz="8" w:space="0" w:color="152935"/>
              <w:left w:val="nil"/>
              <w:bottom w:val="single" w:sz="8" w:space="0" w:color="152935"/>
              <w:right w:val="nil"/>
            </w:tcBorders>
            <w:shd w:val="clear" w:color="auto" w:fill="E0E0E0"/>
          </w:tcPr>
          <w:p w14:paraId="1A9B6664" w14:textId="77777777" w:rsidR="0087601C" w:rsidRPr="006A1EC7" w:rsidRDefault="0087601C" w:rsidP="00D56051">
            <w:pPr>
              <w:spacing w:line="320" w:lineRule="atLeast"/>
              <w:ind w:left="60" w:right="60"/>
              <w:rPr>
                <w:color w:val="264A60"/>
                <w:sz w:val="18"/>
              </w:rPr>
            </w:pPr>
            <w:r w:rsidRPr="006A1EC7">
              <w:rPr>
                <w:color w:val="264A60"/>
                <w:sz w:val="18"/>
              </w:rPr>
              <w:t>T1Bronagh_Gastroin</w:t>
            </w:r>
          </w:p>
        </w:tc>
        <w:tc>
          <w:tcPr>
            <w:tcW w:w="1276" w:type="dxa"/>
            <w:tcBorders>
              <w:top w:val="single" w:sz="8" w:space="0" w:color="152935"/>
              <w:left w:val="nil"/>
              <w:bottom w:val="single" w:sz="8" w:space="0" w:color="152935"/>
              <w:right w:val="single" w:sz="8" w:space="0" w:color="E0E0E0"/>
            </w:tcBorders>
            <w:shd w:val="clear" w:color="auto" w:fill="FFFFFF"/>
          </w:tcPr>
          <w:p w14:paraId="56B3DABA"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276" w:type="dxa"/>
            <w:tcBorders>
              <w:top w:val="single" w:sz="8" w:space="0" w:color="152935"/>
              <w:left w:val="single" w:sz="8" w:space="0" w:color="E0E0E0"/>
              <w:bottom w:val="single" w:sz="8" w:space="0" w:color="152935"/>
              <w:right w:val="single" w:sz="8" w:space="0" w:color="E0E0E0"/>
            </w:tcBorders>
            <w:shd w:val="clear" w:color="auto" w:fill="FFFFFF"/>
          </w:tcPr>
          <w:p w14:paraId="4CDAE796" w14:textId="77777777" w:rsidR="0087601C" w:rsidRPr="006A1EC7" w:rsidRDefault="0087601C" w:rsidP="00D56051">
            <w:pPr>
              <w:spacing w:line="320" w:lineRule="atLeast"/>
              <w:ind w:left="60" w:right="60"/>
              <w:jc w:val="right"/>
              <w:rPr>
                <w:color w:val="010205"/>
                <w:sz w:val="18"/>
              </w:rPr>
            </w:pPr>
            <w:r w:rsidRPr="006A1EC7">
              <w:rPr>
                <w:color w:val="010205"/>
                <w:sz w:val="18"/>
              </w:rPr>
              <w:t>9.28</w:t>
            </w:r>
          </w:p>
        </w:tc>
        <w:tc>
          <w:tcPr>
            <w:tcW w:w="1828" w:type="dxa"/>
            <w:tcBorders>
              <w:top w:val="single" w:sz="8" w:space="0" w:color="152935"/>
              <w:left w:val="single" w:sz="8" w:space="0" w:color="E0E0E0"/>
              <w:bottom w:val="single" w:sz="8" w:space="0" w:color="152935"/>
              <w:right w:val="single" w:sz="8" w:space="0" w:color="E0E0E0"/>
            </w:tcBorders>
            <w:shd w:val="clear" w:color="auto" w:fill="FFFFFF"/>
          </w:tcPr>
          <w:p w14:paraId="04F3536A" w14:textId="77777777" w:rsidR="0087601C" w:rsidRPr="006A1EC7" w:rsidRDefault="0087601C" w:rsidP="00D56051">
            <w:pPr>
              <w:spacing w:line="320" w:lineRule="atLeast"/>
              <w:ind w:left="60" w:right="60"/>
              <w:jc w:val="right"/>
              <w:rPr>
                <w:color w:val="010205"/>
                <w:sz w:val="18"/>
              </w:rPr>
            </w:pPr>
            <w:r w:rsidRPr="006A1EC7">
              <w:rPr>
                <w:color w:val="010205"/>
                <w:sz w:val="18"/>
              </w:rPr>
              <w:t>1.579</w:t>
            </w:r>
          </w:p>
        </w:tc>
        <w:tc>
          <w:tcPr>
            <w:tcW w:w="1828" w:type="dxa"/>
            <w:tcBorders>
              <w:top w:val="single" w:sz="8" w:space="0" w:color="152935"/>
              <w:left w:val="single" w:sz="8" w:space="0" w:color="E0E0E0"/>
              <w:bottom w:val="single" w:sz="8" w:space="0" w:color="152935"/>
              <w:right w:val="nil"/>
            </w:tcBorders>
            <w:shd w:val="clear" w:color="auto" w:fill="FFFFFF"/>
          </w:tcPr>
          <w:p w14:paraId="05D3CEE5" w14:textId="77777777" w:rsidR="0087601C" w:rsidRPr="006A1EC7" w:rsidRDefault="0087601C" w:rsidP="00D56051">
            <w:pPr>
              <w:spacing w:line="320" w:lineRule="atLeast"/>
              <w:ind w:left="60" w:right="60"/>
              <w:jc w:val="right"/>
              <w:rPr>
                <w:color w:val="010205"/>
                <w:sz w:val="18"/>
              </w:rPr>
            </w:pPr>
            <w:r w:rsidRPr="006A1EC7">
              <w:rPr>
                <w:color w:val="010205"/>
                <w:sz w:val="18"/>
              </w:rPr>
              <w:t>.263</w:t>
            </w:r>
          </w:p>
        </w:tc>
      </w:tr>
    </w:tbl>
    <w:p w14:paraId="1B5AD69B"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7"/>
        <w:gridCol w:w="1146"/>
        <w:gridCol w:w="1146"/>
        <w:gridCol w:w="1642"/>
        <w:gridCol w:w="1642"/>
        <w:gridCol w:w="1642"/>
        <w:gridCol w:w="1642"/>
      </w:tblGrid>
      <w:tr w:rsidR="0087601C" w:rsidRPr="006A1EC7" w14:paraId="00E40DA0" w14:textId="77777777" w:rsidTr="00D56051">
        <w:trPr>
          <w:cantSplit/>
        </w:trPr>
        <w:tc>
          <w:tcPr>
            <w:tcW w:w="11186" w:type="dxa"/>
            <w:gridSpan w:val="7"/>
            <w:tcBorders>
              <w:top w:val="nil"/>
              <w:left w:val="nil"/>
              <w:bottom w:val="nil"/>
              <w:right w:val="nil"/>
            </w:tcBorders>
            <w:shd w:val="clear" w:color="auto" w:fill="FFFFFF"/>
            <w:vAlign w:val="center"/>
          </w:tcPr>
          <w:p w14:paraId="06E7ACFD" w14:textId="77777777" w:rsidR="0087601C" w:rsidRPr="006A1EC7" w:rsidRDefault="0087601C" w:rsidP="00D56051">
            <w:pPr>
              <w:spacing w:line="320" w:lineRule="atLeast"/>
              <w:ind w:right="60"/>
              <w:rPr>
                <w:color w:val="010205"/>
                <w:sz w:val="22"/>
                <w:szCs w:val="30"/>
              </w:rPr>
            </w:pPr>
          </w:p>
        </w:tc>
      </w:tr>
      <w:tr w:rsidR="0087601C" w:rsidRPr="006A1EC7" w14:paraId="1942EE2B" w14:textId="77777777" w:rsidTr="00D56051">
        <w:trPr>
          <w:cantSplit/>
        </w:trPr>
        <w:tc>
          <w:tcPr>
            <w:tcW w:w="2326" w:type="dxa"/>
            <w:vMerge w:val="restart"/>
            <w:tcBorders>
              <w:top w:val="nil"/>
              <w:left w:val="nil"/>
              <w:bottom w:val="nil"/>
              <w:right w:val="nil"/>
            </w:tcBorders>
            <w:shd w:val="clear" w:color="auto" w:fill="FFFFFF"/>
            <w:vAlign w:val="bottom"/>
          </w:tcPr>
          <w:p w14:paraId="47EB70F1" w14:textId="77777777" w:rsidR="0087601C" w:rsidRPr="006A1EC7" w:rsidRDefault="0087601C" w:rsidP="00D56051">
            <w:pPr>
              <w:rPr>
                <w:sz w:val="18"/>
              </w:rPr>
            </w:pPr>
          </w:p>
        </w:tc>
        <w:tc>
          <w:tcPr>
            <w:tcW w:w="8860" w:type="dxa"/>
            <w:gridSpan w:val="6"/>
            <w:tcBorders>
              <w:top w:val="nil"/>
              <w:left w:val="nil"/>
              <w:bottom w:val="nil"/>
              <w:right w:val="nil"/>
            </w:tcBorders>
            <w:shd w:val="clear" w:color="auto" w:fill="FFFFFF"/>
            <w:vAlign w:val="bottom"/>
          </w:tcPr>
          <w:p w14:paraId="2E58A1C6"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7</w:t>
            </w:r>
          </w:p>
        </w:tc>
      </w:tr>
      <w:tr w:rsidR="0087601C" w:rsidRPr="006A1EC7" w14:paraId="67F370B6" w14:textId="77777777" w:rsidTr="00D56051">
        <w:trPr>
          <w:cantSplit/>
        </w:trPr>
        <w:tc>
          <w:tcPr>
            <w:tcW w:w="2326" w:type="dxa"/>
            <w:vMerge/>
            <w:tcBorders>
              <w:top w:val="nil"/>
              <w:left w:val="nil"/>
              <w:bottom w:val="nil"/>
              <w:right w:val="nil"/>
            </w:tcBorders>
            <w:shd w:val="clear" w:color="auto" w:fill="FFFFFF"/>
            <w:vAlign w:val="bottom"/>
          </w:tcPr>
          <w:p w14:paraId="37B794CE" w14:textId="77777777" w:rsidR="0087601C" w:rsidRPr="006A1EC7" w:rsidRDefault="0087601C" w:rsidP="00D56051">
            <w:pPr>
              <w:rPr>
                <w:color w:val="264A60"/>
                <w:sz w:val="18"/>
              </w:rPr>
            </w:pPr>
          </w:p>
        </w:tc>
        <w:tc>
          <w:tcPr>
            <w:tcW w:w="1146" w:type="dxa"/>
            <w:vMerge w:val="restart"/>
            <w:tcBorders>
              <w:top w:val="nil"/>
              <w:left w:val="nil"/>
              <w:bottom w:val="nil"/>
              <w:right w:val="single" w:sz="8" w:space="0" w:color="E0E0E0"/>
            </w:tcBorders>
            <w:shd w:val="clear" w:color="auto" w:fill="FFFFFF"/>
            <w:vAlign w:val="bottom"/>
          </w:tcPr>
          <w:p w14:paraId="18D46A9F"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46" w:type="dxa"/>
            <w:vMerge w:val="restart"/>
            <w:tcBorders>
              <w:top w:val="nil"/>
              <w:left w:val="single" w:sz="8" w:space="0" w:color="E0E0E0"/>
              <w:bottom w:val="nil"/>
              <w:right w:val="single" w:sz="8" w:space="0" w:color="E0E0E0"/>
            </w:tcBorders>
            <w:shd w:val="clear" w:color="auto" w:fill="FFFFFF"/>
            <w:vAlign w:val="bottom"/>
          </w:tcPr>
          <w:p w14:paraId="280B09B0"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42" w:type="dxa"/>
            <w:vMerge w:val="restart"/>
            <w:tcBorders>
              <w:top w:val="nil"/>
              <w:left w:val="single" w:sz="8" w:space="0" w:color="E0E0E0"/>
              <w:bottom w:val="nil"/>
              <w:right w:val="single" w:sz="8" w:space="0" w:color="E0E0E0"/>
            </w:tcBorders>
            <w:shd w:val="clear" w:color="auto" w:fill="FFFFFF"/>
            <w:vAlign w:val="bottom"/>
          </w:tcPr>
          <w:p w14:paraId="4A7F7A0E"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42" w:type="dxa"/>
            <w:vMerge w:val="restart"/>
            <w:tcBorders>
              <w:top w:val="nil"/>
              <w:left w:val="single" w:sz="8" w:space="0" w:color="E0E0E0"/>
              <w:bottom w:val="nil"/>
              <w:right w:val="single" w:sz="8" w:space="0" w:color="E0E0E0"/>
            </w:tcBorders>
            <w:shd w:val="clear" w:color="auto" w:fill="FFFFFF"/>
            <w:vAlign w:val="bottom"/>
          </w:tcPr>
          <w:p w14:paraId="177A521D"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284" w:type="dxa"/>
            <w:gridSpan w:val="2"/>
            <w:tcBorders>
              <w:top w:val="nil"/>
              <w:left w:val="single" w:sz="8" w:space="0" w:color="E0E0E0"/>
              <w:bottom w:val="nil"/>
              <w:right w:val="nil"/>
            </w:tcBorders>
            <w:shd w:val="clear" w:color="auto" w:fill="FFFFFF"/>
            <w:vAlign w:val="bottom"/>
          </w:tcPr>
          <w:p w14:paraId="4AACF302"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4E5C6F95" w14:textId="77777777" w:rsidTr="00D56051">
        <w:trPr>
          <w:cantSplit/>
        </w:trPr>
        <w:tc>
          <w:tcPr>
            <w:tcW w:w="2326" w:type="dxa"/>
            <w:vMerge/>
            <w:tcBorders>
              <w:top w:val="nil"/>
              <w:left w:val="nil"/>
              <w:bottom w:val="nil"/>
              <w:right w:val="nil"/>
            </w:tcBorders>
            <w:shd w:val="clear" w:color="auto" w:fill="FFFFFF"/>
            <w:vAlign w:val="bottom"/>
          </w:tcPr>
          <w:p w14:paraId="0137DFEC" w14:textId="77777777" w:rsidR="0087601C" w:rsidRPr="006A1EC7" w:rsidRDefault="0087601C" w:rsidP="00D56051">
            <w:pPr>
              <w:rPr>
                <w:color w:val="264A60"/>
                <w:sz w:val="18"/>
              </w:rPr>
            </w:pPr>
          </w:p>
        </w:tc>
        <w:tc>
          <w:tcPr>
            <w:tcW w:w="1146" w:type="dxa"/>
            <w:vMerge/>
            <w:tcBorders>
              <w:top w:val="nil"/>
              <w:left w:val="nil"/>
              <w:bottom w:val="nil"/>
              <w:right w:val="single" w:sz="8" w:space="0" w:color="E0E0E0"/>
            </w:tcBorders>
            <w:shd w:val="clear" w:color="auto" w:fill="FFFFFF"/>
            <w:vAlign w:val="bottom"/>
          </w:tcPr>
          <w:p w14:paraId="57960021" w14:textId="77777777" w:rsidR="0087601C" w:rsidRPr="006A1EC7" w:rsidRDefault="0087601C" w:rsidP="00D56051">
            <w:pPr>
              <w:rPr>
                <w:color w:val="264A60"/>
                <w:sz w:val="18"/>
              </w:rPr>
            </w:pPr>
          </w:p>
        </w:tc>
        <w:tc>
          <w:tcPr>
            <w:tcW w:w="1146" w:type="dxa"/>
            <w:vMerge/>
            <w:tcBorders>
              <w:top w:val="nil"/>
              <w:left w:val="single" w:sz="8" w:space="0" w:color="E0E0E0"/>
              <w:bottom w:val="nil"/>
              <w:right w:val="single" w:sz="8" w:space="0" w:color="E0E0E0"/>
            </w:tcBorders>
            <w:shd w:val="clear" w:color="auto" w:fill="FFFFFF"/>
            <w:vAlign w:val="bottom"/>
          </w:tcPr>
          <w:p w14:paraId="308FCFF3" w14:textId="77777777" w:rsidR="0087601C" w:rsidRPr="006A1EC7" w:rsidRDefault="0087601C" w:rsidP="00D56051">
            <w:pPr>
              <w:rPr>
                <w:color w:val="264A60"/>
                <w:sz w:val="18"/>
              </w:rPr>
            </w:pPr>
          </w:p>
        </w:tc>
        <w:tc>
          <w:tcPr>
            <w:tcW w:w="1642" w:type="dxa"/>
            <w:vMerge/>
            <w:tcBorders>
              <w:top w:val="nil"/>
              <w:left w:val="single" w:sz="8" w:space="0" w:color="E0E0E0"/>
              <w:bottom w:val="nil"/>
              <w:right w:val="single" w:sz="8" w:space="0" w:color="E0E0E0"/>
            </w:tcBorders>
            <w:shd w:val="clear" w:color="auto" w:fill="FFFFFF"/>
            <w:vAlign w:val="bottom"/>
          </w:tcPr>
          <w:p w14:paraId="18297A0B" w14:textId="77777777" w:rsidR="0087601C" w:rsidRPr="006A1EC7" w:rsidRDefault="0087601C" w:rsidP="00D56051">
            <w:pPr>
              <w:rPr>
                <w:color w:val="264A60"/>
                <w:sz w:val="18"/>
              </w:rPr>
            </w:pPr>
          </w:p>
        </w:tc>
        <w:tc>
          <w:tcPr>
            <w:tcW w:w="1642" w:type="dxa"/>
            <w:vMerge/>
            <w:tcBorders>
              <w:top w:val="nil"/>
              <w:left w:val="single" w:sz="8" w:space="0" w:color="E0E0E0"/>
              <w:bottom w:val="nil"/>
              <w:right w:val="single" w:sz="8" w:space="0" w:color="E0E0E0"/>
            </w:tcBorders>
            <w:shd w:val="clear" w:color="auto" w:fill="FFFFFF"/>
            <w:vAlign w:val="bottom"/>
          </w:tcPr>
          <w:p w14:paraId="0A3BA688" w14:textId="77777777" w:rsidR="0087601C" w:rsidRPr="006A1EC7" w:rsidRDefault="0087601C" w:rsidP="00D56051">
            <w:pPr>
              <w:rPr>
                <w:color w:val="264A60"/>
                <w:sz w:val="18"/>
              </w:rPr>
            </w:pPr>
          </w:p>
        </w:tc>
        <w:tc>
          <w:tcPr>
            <w:tcW w:w="1642" w:type="dxa"/>
            <w:tcBorders>
              <w:top w:val="nil"/>
              <w:left w:val="single" w:sz="8" w:space="0" w:color="E0E0E0"/>
              <w:bottom w:val="single" w:sz="8" w:space="0" w:color="152935"/>
              <w:right w:val="single" w:sz="8" w:space="0" w:color="E0E0E0"/>
            </w:tcBorders>
            <w:shd w:val="clear" w:color="auto" w:fill="FFFFFF"/>
            <w:vAlign w:val="bottom"/>
          </w:tcPr>
          <w:p w14:paraId="2D705B2A"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42" w:type="dxa"/>
            <w:tcBorders>
              <w:top w:val="nil"/>
              <w:left w:val="single" w:sz="8" w:space="0" w:color="E0E0E0"/>
              <w:bottom w:val="single" w:sz="8" w:space="0" w:color="152935"/>
              <w:right w:val="nil"/>
            </w:tcBorders>
            <w:shd w:val="clear" w:color="auto" w:fill="FFFFFF"/>
            <w:vAlign w:val="bottom"/>
          </w:tcPr>
          <w:p w14:paraId="4A663718"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32B8304E" w14:textId="77777777" w:rsidTr="00D56051">
        <w:trPr>
          <w:cantSplit/>
        </w:trPr>
        <w:tc>
          <w:tcPr>
            <w:tcW w:w="2326" w:type="dxa"/>
            <w:tcBorders>
              <w:top w:val="single" w:sz="8" w:space="0" w:color="152935"/>
              <w:left w:val="nil"/>
              <w:bottom w:val="single" w:sz="8" w:space="0" w:color="152935"/>
              <w:right w:val="nil"/>
            </w:tcBorders>
            <w:shd w:val="clear" w:color="auto" w:fill="E0E0E0"/>
          </w:tcPr>
          <w:p w14:paraId="4B317521" w14:textId="77777777" w:rsidR="0087601C" w:rsidRPr="006A1EC7" w:rsidRDefault="0087601C" w:rsidP="00D56051">
            <w:pPr>
              <w:spacing w:line="320" w:lineRule="atLeast"/>
              <w:ind w:left="60" w:right="60"/>
              <w:rPr>
                <w:color w:val="264A60"/>
                <w:sz w:val="18"/>
              </w:rPr>
            </w:pPr>
            <w:r w:rsidRPr="006A1EC7">
              <w:rPr>
                <w:color w:val="264A60"/>
                <w:sz w:val="18"/>
              </w:rPr>
              <w:t>T1Bronagh_Gastroin</w:t>
            </w:r>
          </w:p>
        </w:tc>
        <w:tc>
          <w:tcPr>
            <w:tcW w:w="1146" w:type="dxa"/>
            <w:tcBorders>
              <w:top w:val="single" w:sz="8" w:space="0" w:color="152935"/>
              <w:left w:val="nil"/>
              <w:bottom w:val="single" w:sz="8" w:space="0" w:color="152935"/>
              <w:right w:val="single" w:sz="8" w:space="0" w:color="E0E0E0"/>
            </w:tcBorders>
            <w:shd w:val="clear" w:color="auto" w:fill="FFFFFF"/>
          </w:tcPr>
          <w:p w14:paraId="43675033" w14:textId="77777777" w:rsidR="0087601C" w:rsidRPr="006A1EC7" w:rsidRDefault="0087601C" w:rsidP="00D56051">
            <w:pPr>
              <w:spacing w:line="320" w:lineRule="atLeast"/>
              <w:ind w:left="60" w:right="60"/>
              <w:jc w:val="right"/>
              <w:rPr>
                <w:color w:val="010205"/>
                <w:sz w:val="18"/>
              </w:rPr>
            </w:pPr>
            <w:r w:rsidRPr="006A1EC7">
              <w:rPr>
                <w:color w:val="010205"/>
                <w:sz w:val="18"/>
              </w:rPr>
              <w:t>8.657</w:t>
            </w:r>
          </w:p>
        </w:tc>
        <w:tc>
          <w:tcPr>
            <w:tcW w:w="1146" w:type="dxa"/>
            <w:tcBorders>
              <w:top w:val="single" w:sz="8" w:space="0" w:color="152935"/>
              <w:left w:val="single" w:sz="8" w:space="0" w:color="E0E0E0"/>
              <w:bottom w:val="single" w:sz="8" w:space="0" w:color="152935"/>
              <w:right w:val="single" w:sz="8" w:space="0" w:color="E0E0E0"/>
            </w:tcBorders>
            <w:shd w:val="clear" w:color="auto" w:fill="FFFFFF"/>
          </w:tcPr>
          <w:p w14:paraId="6D7C8CDE" w14:textId="77777777" w:rsidR="0087601C" w:rsidRPr="006A1EC7" w:rsidRDefault="0087601C" w:rsidP="00D56051">
            <w:pPr>
              <w:spacing w:line="320" w:lineRule="atLeast"/>
              <w:ind w:left="60" w:right="60"/>
              <w:jc w:val="right"/>
              <w:rPr>
                <w:color w:val="010205"/>
                <w:sz w:val="18"/>
              </w:rPr>
            </w:pPr>
            <w:r w:rsidRPr="006A1EC7">
              <w:rPr>
                <w:color w:val="010205"/>
                <w:sz w:val="18"/>
              </w:rPr>
              <w:t>35</w:t>
            </w:r>
          </w:p>
        </w:tc>
        <w:tc>
          <w:tcPr>
            <w:tcW w:w="1642" w:type="dxa"/>
            <w:tcBorders>
              <w:top w:val="single" w:sz="8" w:space="0" w:color="152935"/>
              <w:left w:val="single" w:sz="8" w:space="0" w:color="E0E0E0"/>
              <w:bottom w:val="single" w:sz="8" w:space="0" w:color="152935"/>
              <w:right w:val="single" w:sz="8" w:space="0" w:color="E0E0E0"/>
            </w:tcBorders>
            <w:shd w:val="clear" w:color="auto" w:fill="FFFFFF"/>
          </w:tcPr>
          <w:p w14:paraId="5E350068"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42" w:type="dxa"/>
            <w:tcBorders>
              <w:top w:val="single" w:sz="8" w:space="0" w:color="152935"/>
              <w:left w:val="single" w:sz="8" w:space="0" w:color="E0E0E0"/>
              <w:bottom w:val="single" w:sz="8" w:space="0" w:color="152935"/>
              <w:right w:val="single" w:sz="8" w:space="0" w:color="E0E0E0"/>
            </w:tcBorders>
            <w:shd w:val="clear" w:color="auto" w:fill="FFFFFF"/>
          </w:tcPr>
          <w:p w14:paraId="325D7504" w14:textId="77777777" w:rsidR="0087601C" w:rsidRPr="006A1EC7" w:rsidRDefault="0087601C" w:rsidP="00D56051">
            <w:pPr>
              <w:spacing w:line="320" w:lineRule="atLeast"/>
              <w:ind w:left="60" w:right="60"/>
              <w:jc w:val="right"/>
              <w:rPr>
                <w:color w:val="010205"/>
                <w:sz w:val="18"/>
              </w:rPr>
            </w:pPr>
            <w:r w:rsidRPr="006A1EC7">
              <w:rPr>
                <w:color w:val="010205"/>
                <w:sz w:val="18"/>
              </w:rPr>
              <w:t>2.278</w:t>
            </w:r>
          </w:p>
        </w:tc>
        <w:tc>
          <w:tcPr>
            <w:tcW w:w="1642" w:type="dxa"/>
            <w:tcBorders>
              <w:top w:val="single" w:sz="8" w:space="0" w:color="152935"/>
              <w:left w:val="single" w:sz="8" w:space="0" w:color="E0E0E0"/>
              <w:bottom w:val="single" w:sz="8" w:space="0" w:color="152935"/>
              <w:right w:val="single" w:sz="8" w:space="0" w:color="E0E0E0"/>
            </w:tcBorders>
            <w:shd w:val="clear" w:color="auto" w:fill="FFFFFF"/>
          </w:tcPr>
          <w:p w14:paraId="465EEF1F" w14:textId="77777777" w:rsidR="0087601C" w:rsidRPr="006A1EC7" w:rsidRDefault="0087601C" w:rsidP="00D56051">
            <w:pPr>
              <w:spacing w:line="320" w:lineRule="atLeast"/>
              <w:ind w:left="60" w:right="60"/>
              <w:jc w:val="right"/>
              <w:rPr>
                <w:color w:val="010205"/>
                <w:sz w:val="18"/>
              </w:rPr>
            </w:pPr>
            <w:r w:rsidRPr="006A1EC7">
              <w:rPr>
                <w:color w:val="010205"/>
                <w:sz w:val="18"/>
              </w:rPr>
              <w:t>1.74</w:t>
            </w:r>
          </w:p>
        </w:tc>
        <w:tc>
          <w:tcPr>
            <w:tcW w:w="1642" w:type="dxa"/>
            <w:tcBorders>
              <w:top w:val="single" w:sz="8" w:space="0" w:color="152935"/>
              <w:left w:val="single" w:sz="8" w:space="0" w:color="E0E0E0"/>
              <w:bottom w:val="single" w:sz="8" w:space="0" w:color="152935"/>
              <w:right w:val="nil"/>
            </w:tcBorders>
            <w:shd w:val="clear" w:color="auto" w:fill="FFFFFF"/>
          </w:tcPr>
          <w:p w14:paraId="43085BD7" w14:textId="77777777" w:rsidR="0087601C" w:rsidRPr="006A1EC7" w:rsidRDefault="0087601C" w:rsidP="00D56051">
            <w:pPr>
              <w:spacing w:line="320" w:lineRule="atLeast"/>
              <w:ind w:left="60" w:right="60"/>
              <w:jc w:val="right"/>
              <w:rPr>
                <w:color w:val="010205"/>
                <w:sz w:val="18"/>
              </w:rPr>
            </w:pPr>
            <w:r w:rsidRPr="006A1EC7">
              <w:rPr>
                <w:color w:val="010205"/>
                <w:sz w:val="18"/>
              </w:rPr>
              <w:t>2.81</w:t>
            </w:r>
          </w:p>
        </w:tc>
      </w:tr>
    </w:tbl>
    <w:p w14:paraId="5F21FB13" w14:textId="77777777" w:rsidR="0087601C" w:rsidRPr="006A1EC7" w:rsidRDefault="0087601C" w:rsidP="0087601C">
      <w:pPr>
        <w:spacing w:line="400" w:lineRule="atLeast"/>
        <w:rPr>
          <w:sz w:val="18"/>
        </w:rPr>
      </w:pPr>
    </w:p>
    <w:tbl>
      <w:tblPr>
        <w:tblW w:w="8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1"/>
        <w:gridCol w:w="1276"/>
        <w:gridCol w:w="1276"/>
        <w:gridCol w:w="1829"/>
        <w:gridCol w:w="1829"/>
      </w:tblGrid>
      <w:tr w:rsidR="0087601C" w:rsidRPr="006A1EC7" w14:paraId="2BC3087F" w14:textId="77777777" w:rsidTr="00D56051">
        <w:trPr>
          <w:cantSplit/>
        </w:trPr>
        <w:tc>
          <w:tcPr>
            <w:tcW w:w="2401" w:type="dxa"/>
            <w:tcBorders>
              <w:top w:val="nil"/>
              <w:left w:val="nil"/>
              <w:bottom w:val="single" w:sz="8" w:space="0" w:color="152935"/>
              <w:right w:val="nil"/>
            </w:tcBorders>
            <w:shd w:val="clear" w:color="auto" w:fill="FFFFFF"/>
            <w:vAlign w:val="bottom"/>
          </w:tcPr>
          <w:p w14:paraId="35A9E078"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511529E5"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33F508EA"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tcBorders>
              <w:top w:val="nil"/>
              <w:left w:val="single" w:sz="8" w:space="0" w:color="E0E0E0"/>
              <w:bottom w:val="single" w:sz="8" w:space="0" w:color="152935"/>
              <w:right w:val="single" w:sz="8" w:space="0" w:color="E0E0E0"/>
            </w:tcBorders>
            <w:shd w:val="clear" w:color="auto" w:fill="FFFFFF"/>
            <w:vAlign w:val="bottom"/>
          </w:tcPr>
          <w:p w14:paraId="5A63C0DD"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tcBorders>
              <w:top w:val="nil"/>
              <w:left w:val="single" w:sz="8" w:space="0" w:color="E0E0E0"/>
              <w:bottom w:val="single" w:sz="8" w:space="0" w:color="152935"/>
              <w:right w:val="nil"/>
            </w:tcBorders>
            <w:shd w:val="clear" w:color="auto" w:fill="FFFFFF"/>
            <w:vAlign w:val="bottom"/>
          </w:tcPr>
          <w:p w14:paraId="3FEABF8B"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2FA5C183" w14:textId="77777777" w:rsidTr="00D56051">
        <w:trPr>
          <w:cantSplit/>
        </w:trPr>
        <w:tc>
          <w:tcPr>
            <w:tcW w:w="2401" w:type="dxa"/>
            <w:tcBorders>
              <w:top w:val="single" w:sz="8" w:space="0" w:color="152935"/>
              <w:left w:val="nil"/>
              <w:bottom w:val="single" w:sz="8" w:space="0" w:color="152935"/>
              <w:right w:val="nil"/>
            </w:tcBorders>
            <w:shd w:val="clear" w:color="auto" w:fill="E0E0E0"/>
          </w:tcPr>
          <w:p w14:paraId="7429B12C" w14:textId="77777777" w:rsidR="0087601C" w:rsidRPr="006A1EC7" w:rsidRDefault="0087601C" w:rsidP="00D56051">
            <w:pPr>
              <w:spacing w:line="320" w:lineRule="atLeast"/>
              <w:ind w:left="60" w:right="60"/>
              <w:rPr>
                <w:color w:val="264A60"/>
                <w:sz w:val="18"/>
              </w:rPr>
            </w:pPr>
            <w:r w:rsidRPr="006A1EC7">
              <w:rPr>
                <w:color w:val="264A60"/>
                <w:sz w:val="18"/>
              </w:rPr>
              <w:t>T1Bronagh_Cardio</w:t>
            </w:r>
          </w:p>
        </w:tc>
        <w:tc>
          <w:tcPr>
            <w:tcW w:w="1276" w:type="dxa"/>
            <w:tcBorders>
              <w:top w:val="single" w:sz="8" w:space="0" w:color="152935"/>
              <w:left w:val="nil"/>
              <w:bottom w:val="single" w:sz="8" w:space="0" w:color="152935"/>
              <w:right w:val="single" w:sz="8" w:space="0" w:color="E0E0E0"/>
            </w:tcBorders>
            <w:shd w:val="clear" w:color="auto" w:fill="FFFFFF"/>
          </w:tcPr>
          <w:p w14:paraId="7E7ED84C"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tcBorders>
              <w:top w:val="single" w:sz="8" w:space="0" w:color="152935"/>
              <w:left w:val="single" w:sz="8" w:space="0" w:color="E0E0E0"/>
              <w:bottom w:val="single" w:sz="8" w:space="0" w:color="152935"/>
              <w:right w:val="single" w:sz="8" w:space="0" w:color="E0E0E0"/>
            </w:tcBorders>
            <w:shd w:val="clear" w:color="auto" w:fill="FFFFFF"/>
          </w:tcPr>
          <w:p w14:paraId="633CCA6D" w14:textId="77777777" w:rsidR="0087601C" w:rsidRPr="006A1EC7" w:rsidRDefault="0087601C" w:rsidP="00D56051">
            <w:pPr>
              <w:spacing w:line="320" w:lineRule="atLeast"/>
              <w:ind w:left="60" w:right="60"/>
              <w:jc w:val="right"/>
              <w:rPr>
                <w:color w:val="010205"/>
                <w:sz w:val="18"/>
              </w:rPr>
            </w:pPr>
            <w:r w:rsidRPr="006A1EC7">
              <w:rPr>
                <w:color w:val="010205"/>
                <w:sz w:val="18"/>
              </w:rPr>
              <w:t>3.16</w:t>
            </w:r>
          </w:p>
        </w:tc>
        <w:tc>
          <w:tcPr>
            <w:tcW w:w="1829" w:type="dxa"/>
            <w:tcBorders>
              <w:top w:val="single" w:sz="8" w:space="0" w:color="152935"/>
              <w:left w:val="single" w:sz="8" w:space="0" w:color="E0E0E0"/>
              <w:bottom w:val="single" w:sz="8" w:space="0" w:color="152935"/>
              <w:right w:val="single" w:sz="8" w:space="0" w:color="E0E0E0"/>
            </w:tcBorders>
            <w:shd w:val="clear" w:color="auto" w:fill="FFFFFF"/>
          </w:tcPr>
          <w:p w14:paraId="2E2EAA50" w14:textId="77777777" w:rsidR="0087601C" w:rsidRPr="006A1EC7" w:rsidRDefault="0087601C" w:rsidP="00D56051">
            <w:pPr>
              <w:spacing w:line="320" w:lineRule="atLeast"/>
              <w:ind w:left="60" w:right="60"/>
              <w:jc w:val="right"/>
              <w:rPr>
                <w:color w:val="010205"/>
                <w:sz w:val="18"/>
              </w:rPr>
            </w:pPr>
            <w:r w:rsidRPr="006A1EC7">
              <w:rPr>
                <w:color w:val="010205"/>
                <w:sz w:val="18"/>
              </w:rPr>
              <w:t>.727</w:t>
            </w:r>
          </w:p>
        </w:tc>
        <w:tc>
          <w:tcPr>
            <w:tcW w:w="1829" w:type="dxa"/>
            <w:tcBorders>
              <w:top w:val="single" w:sz="8" w:space="0" w:color="152935"/>
              <w:left w:val="single" w:sz="8" w:space="0" w:color="E0E0E0"/>
              <w:bottom w:val="single" w:sz="8" w:space="0" w:color="152935"/>
              <w:right w:val="nil"/>
            </w:tcBorders>
            <w:shd w:val="clear" w:color="auto" w:fill="FFFFFF"/>
          </w:tcPr>
          <w:p w14:paraId="4F489C6C" w14:textId="77777777" w:rsidR="0087601C" w:rsidRPr="006A1EC7" w:rsidRDefault="0087601C" w:rsidP="00D56051">
            <w:pPr>
              <w:spacing w:line="320" w:lineRule="atLeast"/>
              <w:ind w:left="60" w:right="60"/>
              <w:jc w:val="right"/>
              <w:rPr>
                <w:color w:val="010205"/>
                <w:sz w:val="18"/>
              </w:rPr>
            </w:pPr>
            <w:r w:rsidRPr="006A1EC7">
              <w:rPr>
                <w:color w:val="010205"/>
                <w:sz w:val="18"/>
              </w:rPr>
              <w:t>.120</w:t>
            </w:r>
          </w:p>
        </w:tc>
      </w:tr>
    </w:tbl>
    <w:p w14:paraId="04FD961C"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3"/>
        <w:gridCol w:w="15"/>
        <w:gridCol w:w="1163"/>
        <w:gridCol w:w="98"/>
        <w:gridCol w:w="1066"/>
        <w:gridCol w:w="210"/>
        <w:gridCol w:w="1458"/>
        <w:gridCol w:w="372"/>
        <w:gridCol w:w="1296"/>
        <w:gridCol w:w="534"/>
        <w:gridCol w:w="1134"/>
        <w:gridCol w:w="1668"/>
      </w:tblGrid>
      <w:tr w:rsidR="0087601C" w:rsidRPr="006A1EC7" w14:paraId="00059EA2" w14:textId="77777777" w:rsidTr="00D56051">
        <w:trPr>
          <w:cantSplit/>
        </w:trPr>
        <w:tc>
          <w:tcPr>
            <w:tcW w:w="11187" w:type="dxa"/>
            <w:gridSpan w:val="12"/>
            <w:tcBorders>
              <w:top w:val="nil"/>
              <w:left w:val="nil"/>
              <w:bottom w:val="nil"/>
              <w:right w:val="nil"/>
            </w:tcBorders>
            <w:shd w:val="clear" w:color="auto" w:fill="FFFFFF"/>
            <w:vAlign w:val="center"/>
          </w:tcPr>
          <w:p w14:paraId="0F7469A5" w14:textId="77777777" w:rsidR="0087601C" w:rsidRPr="006A1EC7" w:rsidRDefault="0087601C" w:rsidP="00D56051">
            <w:pPr>
              <w:spacing w:line="320" w:lineRule="atLeast"/>
              <w:ind w:right="60"/>
              <w:rPr>
                <w:color w:val="010205"/>
                <w:sz w:val="22"/>
                <w:szCs w:val="30"/>
              </w:rPr>
            </w:pPr>
          </w:p>
        </w:tc>
      </w:tr>
      <w:tr w:rsidR="0087601C" w:rsidRPr="006A1EC7" w14:paraId="7C74CEAD" w14:textId="77777777" w:rsidTr="00D56051">
        <w:trPr>
          <w:cantSplit/>
        </w:trPr>
        <w:tc>
          <w:tcPr>
            <w:tcW w:w="2188" w:type="dxa"/>
            <w:gridSpan w:val="2"/>
            <w:vMerge w:val="restart"/>
            <w:tcBorders>
              <w:top w:val="nil"/>
              <w:left w:val="nil"/>
              <w:bottom w:val="nil"/>
              <w:right w:val="nil"/>
            </w:tcBorders>
            <w:shd w:val="clear" w:color="auto" w:fill="FFFFFF"/>
            <w:vAlign w:val="bottom"/>
          </w:tcPr>
          <w:p w14:paraId="72A36F76" w14:textId="77777777" w:rsidR="0087601C" w:rsidRPr="006A1EC7" w:rsidRDefault="0087601C" w:rsidP="00D56051">
            <w:pPr>
              <w:rPr>
                <w:sz w:val="18"/>
              </w:rPr>
            </w:pPr>
          </w:p>
        </w:tc>
        <w:tc>
          <w:tcPr>
            <w:tcW w:w="8999" w:type="dxa"/>
            <w:gridSpan w:val="10"/>
            <w:tcBorders>
              <w:top w:val="nil"/>
              <w:left w:val="nil"/>
              <w:bottom w:val="nil"/>
              <w:right w:val="nil"/>
            </w:tcBorders>
            <w:shd w:val="clear" w:color="auto" w:fill="FFFFFF"/>
            <w:vAlign w:val="bottom"/>
          </w:tcPr>
          <w:p w14:paraId="02F7EE12"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2</w:t>
            </w:r>
          </w:p>
        </w:tc>
      </w:tr>
      <w:tr w:rsidR="0087601C" w:rsidRPr="006A1EC7" w14:paraId="2F8DB89B" w14:textId="77777777" w:rsidTr="00D56051">
        <w:trPr>
          <w:cantSplit/>
        </w:trPr>
        <w:tc>
          <w:tcPr>
            <w:tcW w:w="2188" w:type="dxa"/>
            <w:gridSpan w:val="2"/>
            <w:vMerge/>
            <w:tcBorders>
              <w:top w:val="nil"/>
              <w:left w:val="nil"/>
              <w:bottom w:val="nil"/>
              <w:right w:val="nil"/>
            </w:tcBorders>
            <w:shd w:val="clear" w:color="auto" w:fill="FFFFFF"/>
            <w:vAlign w:val="bottom"/>
          </w:tcPr>
          <w:p w14:paraId="2829AE26" w14:textId="77777777" w:rsidR="0087601C" w:rsidRPr="006A1EC7" w:rsidRDefault="0087601C" w:rsidP="00D56051">
            <w:pPr>
              <w:rPr>
                <w:color w:val="264A60"/>
                <w:sz w:val="18"/>
              </w:rPr>
            </w:pPr>
          </w:p>
        </w:tc>
        <w:tc>
          <w:tcPr>
            <w:tcW w:w="1163" w:type="dxa"/>
            <w:vMerge w:val="restart"/>
            <w:tcBorders>
              <w:top w:val="nil"/>
              <w:left w:val="nil"/>
              <w:bottom w:val="nil"/>
              <w:right w:val="single" w:sz="8" w:space="0" w:color="E0E0E0"/>
            </w:tcBorders>
            <w:shd w:val="clear" w:color="auto" w:fill="FFFFFF"/>
            <w:vAlign w:val="bottom"/>
          </w:tcPr>
          <w:p w14:paraId="620AB68D"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64" w:type="dxa"/>
            <w:gridSpan w:val="2"/>
            <w:vMerge w:val="restart"/>
            <w:tcBorders>
              <w:top w:val="nil"/>
              <w:left w:val="single" w:sz="8" w:space="0" w:color="E0E0E0"/>
              <w:bottom w:val="nil"/>
              <w:right w:val="single" w:sz="8" w:space="0" w:color="E0E0E0"/>
            </w:tcBorders>
            <w:shd w:val="clear" w:color="auto" w:fill="FFFFFF"/>
            <w:vAlign w:val="bottom"/>
          </w:tcPr>
          <w:p w14:paraId="500A3BC1"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68" w:type="dxa"/>
            <w:gridSpan w:val="2"/>
            <w:vMerge w:val="restart"/>
            <w:tcBorders>
              <w:top w:val="nil"/>
              <w:left w:val="single" w:sz="8" w:space="0" w:color="E0E0E0"/>
              <w:bottom w:val="nil"/>
              <w:right w:val="single" w:sz="8" w:space="0" w:color="E0E0E0"/>
            </w:tcBorders>
            <w:shd w:val="clear" w:color="auto" w:fill="FFFFFF"/>
            <w:vAlign w:val="bottom"/>
          </w:tcPr>
          <w:p w14:paraId="33A3309C"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68" w:type="dxa"/>
            <w:gridSpan w:val="2"/>
            <w:vMerge w:val="restart"/>
            <w:tcBorders>
              <w:top w:val="nil"/>
              <w:left w:val="single" w:sz="8" w:space="0" w:color="E0E0E0"/>
              <w:bottom w:val="nil"/>
              <w:right w:val="single" w:sz="8" w:space="0" w:color="E0E0E0"/>
            </w:tcBorders>
            <w:shd w:val="clear" w:color="auto" w:fill="FFFFFF"/>
            <w:vAlign w:val="bottom"/>
          </w:tcPr>
          <w:p w14:paraId="168C8DD1"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36" w:type="dxa"/>
            <w:gridSpan w:val="3"/>
            <w:tcBorders>
              <w:top w:val="nil"/>
              <w:left w:val="single" w:sz="8" w:space="0" w:color="E0E0E0"/>
              <w:bottom w:val="nil"/>
              <w:right w:val="nil"/>
            </w:tcBorders>
            <w:shd w:val="clear" w:color="auto" w:fill="FFFFFF"/>
            <w:vAlign w:val="bottom"/>
          </w:tcPr>
          <w:p w14:paraId="292946CC"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614CF572" w14:textId="77777777" w:rsidTr="00D56051">
        <w:trPr>
          <w:cantSplit/>
        </w:trPr>
        <w:tc>
          <w:tcPr>
            <w:tcW w:w="2188" w:type="dxa"/>
            <w:gridSpan w:val="2"/>
            <w:vMerge/>
            <w:tcBorders>
              <w:top w:val="nil"/>
              <w:left w:val="nil"/>
              <w:bottom w:val="nil"/>
              <w:right w:val="nil"/>
            </w:tcBorders>
            <w:shd w:val="clear" w:color="auto" w:fill="FFFFFF"/>
            <w:vAlign w:val="bottom"/>
          </w:tcPr>
          <w:p w14:paraId="6AEFEA7F" w14:textId="77777777" w:rsidR="0087601C" w:rsidRPr="006A1EC7" w:rsidRDefault="0087601C" w:rsidP="00D56051">
            <w:pPr>
              <w:rPr>
                <w:color w:val="264A60"/>
                <w:sz w:val="18"/>
              </w:rPr>
            </w:pPr>
          </w:p>
        </w:tc>
        <w:tc>
          <w:tcPr>
            <w:tcW w:w="1163" w:type="dxa"/>
            <w:vMerge/>
            <w:tcBorders>
              <w:top w:val="nil"/>
              <w:left w:val="nil"/>
              <w:bottom w:val="nil"/>
              <w:right w:val="single" w:sz="8" w:space="0" w:color="E0E0E0"/>
            </w:tcBorders>
            <w:shd w:val="clear" w:color="auto" w:fill="FFFFFF"/>
            <w:vAlign w:val="bottom"/>
          </w:tcPr>
          <w:p w14:paraId="11040253" w14:textId="77777777" w:rsidR="0087601C" w:rsidRPr="006A1EC7" w:rsidRDefault="0087601C" w:rsidP="00D56051">
            <w:pPr>
              <w:rPr>
                <w:color w:val="264A60"/>
                <w:sz w:val="18"/>
              </w:rPr>
            </w:pPr>
          </w:p>
        </w:tc>
        <w:tc>
          <w:tcPr>
            <w:tcW w:w="1164" w:type="dxa"/>
            <w:gridSpan w:val="2"/>
            <w:vMerge/>
            <w:tcBorders>
              <w:top w:val="nil"/>
              <w:left w:val="single" w:sz="8" w:space="0" w:color="E0E0E0"/>
              <w:bottom w:val="nil"/>
              <w:right w:val="single" w:sz="8" w:space="0" w:color="E0E0E0"/>
            </w:tcBorders>
            <w:shd w:val="clear" w:color="auto" w:fill="FFFFFF"/>
            <w:vAlign w:val="bottom"/>
          </w:tcPr>
          <w:p w14:paraId="61D9EB1D" w14:textId="77777777" w:rsidR="0087601C" w:rsidRPr="006A1EC7" w:rsidRDefault="0087601C" w:rsidP="00D56051">
            <w:pPr>
              <w:rPr>
                <w:color w:val="264A60"/>
                <w:sz w:val="18"/>
              </w:rPr>
            </w:pPr>
          </w:p>
        </w:tc>
        <w:tc>
          <w:tcPr>
            <w:tcW w:w="1668" w:type="dxa"/>
            <w:gridSpan w:val="2"/>
            <w:vMerge/>
            <w:tcBorders>
              <w:top w:val="nil"/>
              <w:left w:val="single" w:sz="8" w:space="0" w:color="E0E0E0"/>
              <w:bottom w:val="nil"/>
              <w:right w:val="single" w:sz="8" w:space="0" w:color="E0E0E0"/>
            </w:tcBorders>
            <w:shd w:val="clear" w:color="auto" w:fill="FFFFFF"/>
            <w:vAlign w:val="bottom"/>
          </w:tcPr>
          <w:p w14:paraId="001DA3E3" w14:textId="77777777" w:rsidR="0087601C" w:rsidRPr="006A1EC7" w:rsidRDefault="0087601C" w:rsidP="00D56051">
            <w:pPr>
              <w:rPr>
                <w:color w:val="264A60"/>
                <w:sz w:val="18"/>
              </w:rPr>
            </w:pPr>
          </w:p>
        </w:tc>
        <w:tc>
          <w:tcPr>
            <w:tcW w:w="1668" w:type="dxa"/>
            <w:gridSpan w:val="2"/>
            <w:vMerge/>
            <w:tcBorders>
              <w:top w:val="nil"/>
              <w:left w:val="single" w:sz="8" w:space="0" w:color="E0E0E0"/>
              <w:bottom w:val="nil"/>
              <w:right w:val="single" w:sz="8" w:space="0" w:color="E0E0E0"/>
            </w:tcBorders>
            <w:shd w:val="clear" w:color="auto" w:fill="FFFFFF"/>
            <w:vAlign w:val="bottom"/>
          </w:tcPr>
          <w:p w14:paraId="0C24E19B" w14:textId="77777777" w:rsidR="0087601C" w:rsidRPr="006A1EC7" w:rsidRDefault="0087601C" w:rsidP="00D56051">
            <w:pPr>
              <w:rPr>
                <w:color w:val="264A60"/>
                <w:sz w:val="18"/>
              </w:rPr>
            </w:pPr>
          </w:p>
        </w:tc>
        <w:tc>
          <w:tcPr>
            <w:tcW w:w="1668" w:type="dxa"/>
            <w:gridSpan w:val="2"/>
            <w:tcBorders>
              <w:top w:val="nil"/>
              <w:left w:val="single" w:sz="8" w:space="0" w:color="E0E0E0"/>
              <w:bottom w:val="single" w:sz="8" w:space="0" w:color="152935"/>
              <w:right w:val="single" w:sz="8" w:space="0" w:color="E0E0E0"/>
            </w:tcBorders>
            <w:shd w:val="clear" w:color="auto" w:fill="FFFFFF"/>
            <w:vAlign w:val="bottom"/>
          </w:tcPr>
          <w:p w14:paraId="7DEFBC3E"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68" w:type="dxa"/>
            <w:tcBorders>
              <w:top w:val="nil"/>
              <w:left w:val="single" w:sz="8" w:space="0" w:color="E0E0E0"/>
              <w:bottom w:val="single" w:sz="8" w:space="0" w:color="152935"/>
              <w:right w:val="nil"/>
            </w:tcBorders>
            <w:shd w:val="clear" w:color="auto" w:fill="FFFFFF"/>
            <w:vAlign w:val="bottom"/>
          </w:tcPr>
          <w:p w14:paraId="711582EF"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31C8C2FA" w14:textId="77777777" w:rsidTr="00D56051">
        <w:trPr>
          <w:cantSplit/>
        </w:trPr>
        <w:tc>
          <w:tcPr>
            <w:tcW w:w="2188" w:type="dxa"/>
            <w:gridSpan w:val="2"/>
            <w:tcBorders>
              <w:top w:val="single" w:sz="8" w:space="0" w:color="152935"/>
              <w:left w:val="nil"/>
              <w:bottom w:val="single" w:sz="8" w:space="0" w:color="152935"/>
              <w:right w:val="nil"/>
            </w:tcBorders>
            <w:shd w:val="clear" w:color="auto" w:fill="E0E0E0"/>
          </w:tcPr>
          <w:p w14:paraId="60710289" w14:textId="77777777" w:rsidR="0087601C" w:rsidRPr="006A1EC7" w:rsidRDefault="0087601C" w:rsidP="00D56051">
            <w:pPr>
              <w:spacing w:line="320" w:lineRule="atLeast"/>
              <w:ind w:left="60" w:right="60"/>
              <w:rPr>
                <w:color w:val="264A60"/>
                <w:sz w:val="18"/>
              </w:rPr>
            </w:pPr>
            <w:r w:rsidRPr="006A1EC7">
              <w:rPr>
                <w:color w:val="264A60"/>
                <w:sz w:val="18"/>
              </w:rPr>
              <w:t>T1Bronagh_Cardio</w:t>
            </w:r>
          </w:p>
        </w:tc>
        <w:tc>
          <w:tcPr>
            <w:tcW w:w="1163" w:type="dxa"/>
            <w:tcBorders>
              <w:top w:val="single" w:sz="8" w:space="0" w:color="152935"/>
              <w:left w:val="nil"/>
              <w:bottom w:val="single" w:sz="8" w:space="0" w:color="152935"/>
              <w:right w:val="single" w:sz="8" w:space="0" w:color="E0E0E0"/>
            </w:tcBorders>
            <w:shd w:val="clear" w:color="auto" w:fill="FFFFFF"/>
          </w:tcPr>
          <w:p w14:paraId="6A7B1FBA" w14:textId="77777777" w:rsidR="0087601C" w:rsidRPr="006A1EC7" w:rsidRDefault="0087601C" w:rsidP="00D56051">
            <w:pPr>
              <w:spacing w:line="320" w:lineRule="atLeast"/>
              <w:ind w:left="60" w:right="60"/>
              <w:jc w:val="right"/>
              <w:rPr>
                <w:color w:val="010205"/>
                <w:sz w:val="18"/>
              </w:rPr>
            </w:pPr>
            <w:r w:rsidRPr="006A1EC7">
              <w:rPr>
                <w:color w:val="010205"/>
                <w:sz w:val="18"/>
              </w:rPr>
              <w:t>9.724</w:t>
            </w:r>
          </w:p>
        </w:tc>
        <w:tc>
          <w:tcPr>
            <w:tcW w:w="1164" w:type="dxa"/>
            <w:gridSpan w:val="2"/>
            <w:tcBorders>
              <w:top w:val="single" w:sz="8" w:space="0" w:color="152935"/>
              <w:left w:val="single" w:sz="8" w:space="0" w:color="E0E0E0"/>
              <w:bottom w:val="single" w:sz="8" w:space="0" w:color="152935"/>
              <w:right w:val="single" w:sz="8" w:space="0" w:color="E0E0E0"/>
            </w:tcBorders>
            <w:shd w:val="clear" w:color="auto" w:fill="FFFFFF"/>
          </w:tcPr>
          <w:p w14:paraId="107D1A3C"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68" w:type="dxa"/>
            <w:gridSpan w:val="2"/>
            <w:tcBorders>
              <w:top w:val="single" w:sz="8" w:space="0" w:color="152935"/>
              <w:left w:val="single" w:sz="8" w:space="0" w:color="E0E0E0"/>
              <w:bottom w:val="single" w:sz="8" w:space="0" w:color="152935"/>
              <w:right w:val="single" w:sz="8" w:space="0" w:color="E0E0E0"/>
            </w:tcBorders>
            <w:shd w:val="clear" w:color="auto" w:fill="FFFFFF"/>
          </w:tcPr>
          <w:p w14:paraId="2A642659"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68" w:type="dxa"/>
            <w:gridSpan w:val="2"/>
            <w:tcBorders>
              <w:top w:val="single" w:sz="8" w:space="0" w:color="152935"/>
              <w:left w:val="single" w:sz="8" w:space="0" w:color="E0E0E0"/>
              <w:bottom w:val="single" w:sz="8" w:space="0" w:color="152935"/>
              <w:right w:val="single" w:sz="8" w:space="0" w:color="E0E0E0"/>
            </w:tcBorders>
            <w:shd w:val="clear" w:color="auto" w:fill="FFFFFF"/>
          </w:tcPr>
          <w:p w14:paraId="5F1FE0CC" w14:textId="77777777" w:rsidR="0087601C" w:rsidRPr="006A1EC7" w:rsidRDefault="0087601C" w:rsidP="00D56051">
            <w:pPr>
              <w:spacing w:line="320" w:lineRule="atLeast"/>
              <w:ind w:left="60" w:right="60"/>
              <w:jc w:val="right"/>
              <w:rPr>
                <w:color w:val="010205"/>
                <w:sz w:val="18"/>
              </w:rPr>
            </w:pPr>
            <w:r w:rsidRPr="006A1EC7">
              <w:rPr>
                <w:color w:val="010205"/>
                <w:sz w:val="18"/>
              </w:rPr>
              <w:t>1.162</w:t>
            </w:r>
          </w:p>
        </w:tc>
        <w:tc>
          <w:tcPr>
            <w:tcW w:w="1668" w:type="dxa"/>
            <w:gridSpan w:val="2"/>
            <w:tcBorders>
              <w:top w:val="single" w:sz="8" w:space="0" w:color="152935"/>
              <w:left w:val="single" w:sz="8" w:space="0" w:color="E0E0E0"/>
              <w:bottom w:val="single" w:sz="8" w:space="0" w:color="152935"/>
              <w:right w:val="single" w:sz="8" w:space="0" w:color="E0E0E0"/>
            </w:tcBorders>
            <w:shd w:val="clear" w:color="auto" w:fill="FFFFFF"/>
          </w:tcPr>
          <w:p w14:paraId="64FFE25A" w14:textId="77777777" w:rsidR="0087601C" w:rsidRPr="006A1EC7" w:rsidRDefault="0087601C" w:rsidP="00D56051">
            <w:pPr>
              <w:spacing w:line="320" w:lineRule="atLeast"/>
              <w:ind w:left="60" w:right="60"/>
              <w:jc w:val="right"/>
              <w:rPr>
                <w:color w:val="010205"/>
                <w:sz w:val="18"/>
              </w:rPr>
            </w:pPr>
            <w:r w:rsidRPr="006A1EC7">
              <w:rPr>
                <w:color w:val="010205"/>
                <w:sz w:val="18"/>
              </w:rPr>
              <w:t>.92</w:t>
            </w:r>
          </w:p>
        </w:tc>
        <w:tc>
          <w:tcPr>
            <w:tcW w:w="1668" w:type="dxa"/>
            <w:tcBorders>
              <w:top w:val="single" w:sz="8" w:space="0" w:color="152935"/>
              <w:left w:val="single" w:sz="8" w:space="0" w:color="E0E0E0"/>
              <w:bottom w:val="single" w:sz="8" w:space="0" w:color="152935"/>
              <w:right w:val="nil"/>
            </w:tcBorders>
            <w:shd w:val="clear" w:color="auto" w:fill="FFFFFF"/>
          </w:tcPr>
          <w:p w14:paraId="479B7448" w14:textId="77777777" w:rsidR="0087601C" w:rsidRPr="006A1EC7" w:rsidRDefault="0087601C" w:rsidP="00D56051">
            <w:pPr>
              <w:spacing w:line="320" w:lineRule="atLeast"/>
              <w:ind w:left="60" w:right="60"/>
              <w:jc w:val="right"/>
              <w:rPr>
                <w:color w:val="010205"/>
                <w:sz w:val="18"/>
              </w:rPr>
            </w:pPr>
            <w:r w:rsidRPr="006A1EC7">
              <w:rPr>
                <w:color w:val="010205"/>
                <w:sz w:val="18"/>
              </w:rPr>
              <w:t>1.40</w:t>
            </w:r>
          </w:p>
        </w:tc>
      </w:tr>
      <w:tr w:rsidR="0087601C" w:rsidRPr="006A1EC7" w14:paraId="04D98019" w14:textId="77777777" w:rsidTr="00D56051">
        <w:trPr>
          <w:gridAfter w:val="2"/>
          <w:wAfter w:w="2802" w:type="dxa"/>
          <w:cantSplit/>
        </w:trPr>
        <w:tc>
          <w:tcPr>
            <w:tcW w:w="2173" w:type="dxa"/>
            <w:tcBorders>
              <w:top w:val="nil"/>
              <w:left w:val="nil"/>
              <w:bottom w:val="single" w:sz="8" w:space="0" w:color="152935"/>
              <w:right w:val="nil"/>
            </w:tcBorders>
            <w:shd w:val="clear" w:color="auto" w:fill="FFFFFF"/>
            <w:vAlign w:val="bottom"/>
          </w:tcPr>
          <w:p w14:paraId="7DECBBF8" w14:textId="77777777" w:rsidR="0087601C" w:rsidRPr="006A1EC7" w:rsidRDefault="0087601C" w:rsidP="00D56051">
            <w:pPr>
              <w:rPr>
                <w:sz w:val="18"/>
              </w:rPr>
            </w:pPr>
          </w:p>
        </w:tc>
        <w:tc>
          <w:tcPr>
            <w:tcW w:w="1276" w:type="dxa"/>
            <w:gridSpan w:val="3"/>
            <w:tcBorders>
              <w:top w:val="nil"/>
              <w:left w:val="nil"/>
              <w:bottom w:val="single" w:sz="8" w:space="0" w:color="152935"/>
              <w:right w:val="single" w:sz="8" w:space="0" w:color="E0E0E0"/>
            </w:tcBorders>
            <w:shd w:val="clear" w:color="auto" w:fill="FFFFFF"/>
            <w:vAlign w:val="bottom"/>
          </w:tcPr>
          <w:p w14:paraId="7DF42069"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2"/>
            <w:tcBorders>
              <w:top w:val="nil"/>
              <w:left w:val="single" w:sz="8" w:space="0" w:color="E0E0E0"/>
              <w:bottom w:val="single" w:sz="8" w:space="0" w:color="152935"/>
              <w:right w:val="single" w:sz="8" w:space="0" w:color="E0E0E0"/>
            </w:tcBorders>
            <w:shd w:val="clear" w:color="auto" w:fill="FFFFFF"/>
            <w:vAlign w:val="bottom"/>
          </w:tcPr>
          <w:p w14:paraId="198C5E26"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gridSpan w:val="2"/>
            <w:tcBorders>
              <w:top w:val="nil"/>
              <w:left w:val="single" w:sz="8" w:space="0" w:color="E0E0E0"/>
              <w:bottom w:val="single" w:sz="8" w:space="0" w:color="152935"/>
              <w:right w:val="single" w:sz="8" w:space="0" w:color="E0E0E0"/>
            </w:tcBorders>
            <w:shd w:val="clear" w:color="auto" w:fill="FFFFFF"/>
            <w:vAlign w:val="bottom"/>
          </w:tcPr>
          <w:p w14:paraId="390490FA"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gridSpan w:val="2"/>
            <w:tcBorders>
              <w:top w:val="nil"/>
              <w:left w:val="single" w:sz="8" w:space="0" w:color="E0E0E0"/>
              <w:bottom w:val="single" w:sz="8" w:space="0" w:color="152935"/>
              <w:right w:val="nil"/>
            </w:tcBorders>
            <w:shd w:val="clear" w:color="auto" w:fill="FFFFFF"/>
            <w:vAlign w:val="bottom"/>
          </w:tcPr>
          <w:p w14:paraId="7F3A90FF"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476D983F" w14:textId="77777777" w:rsidTr="00D56051">
        <w:trPr>
          <w:gridAfter w:val="2"/>
          <w:wAfter w:w="2802" w:type="dxa"/>
          <w:cantSplit/>
        </w:trPr>
        <w:tc>
          <w:tcPr>
            <w:tcW w:w="2173" w:type="dxa"/>
            <w:tcBorders>
              <w:top w:val="single" w:sz="8" w:space="0" w:color="152935"/>
              <w:left w:val="nil"/>
              <w:bottom w:val="single" w:sz="8" w:space="0" w:color="152935"/>
              <w:right w:val="nil"/>
            </w:tcBorders>
            <w:shd w:val="clear" w:color="auto" w:fill="E0E0E0"/>
          </w:tcPr>
          <w:p w14:paraId="2714037E" w14:textId="77777777" w:rsidR="0087601C" w:rsidRPr="006A1EC7" w:rsidRDefault="0087601C" w:rsidP="00D56051">
            <w:pPr>
              <w:spacing w:line="320" w:lineRule="atLeast"/>
              <w:ind w:left="60" w:right="60"/>
              <w:rPr>
                <w:color w:val="264A60"/>
                <w:sz w:val="18"/>
              </w:rPr>
            </w:pPr>
            <w:r w:rsidRPr="006A1EC7">
              <w:rPr>
                <w:color w:val="264A60"/>
                <w:sz w:val="18"/>
              </w:rPr>
              <w:t>T1Bronagh_Func</w:t>
            </w:r>
          </w:p>
        </w:tc>
        <w:tc>
          <w:tcPr>
            <w:tcW w:w="1276" w:type="dxa"/>
            <w:gridSpan w:val="3"/>
            <w:tcBorders>
              <w:top w:val="single" w:sz="8" w:space="0" w:color="152935"/>
              <w:left w:val="nil"/>
              <w:bottom w:val="single" w:sz="8" w:space="0" w:color="152935"/>
              <w:right w:val="single" w:sz="8" w:space="0" w:color="E0E0E0"/>
            </w:tcBorders>
            <w:shd w:val="clear" w:color="auto" w:fill="FFFFFF"/>
          </w:tcPr>
          <w:p w14:paraId="45D6CC65"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gridSpan w:val="2"/>
            <w:tcBorders>
              <w:top w:val="single" w:sz="8" w:space="0" w:color="152935"/>
              <w:left w:val="single" w:sz="8" w:space="0" w:color="E0E0E0"/>
              <w:bottom w:val="single" w:sz="8" w:space="0" w:color="152935"/>
              <w:right w:val="single" w:sz="8" w:space="0" w:color="E0E0E0"/>
            </w:tcBorders>
            <w:shd w:val="clear" w:color="auto" w:fill="FFFFFF"/>
          </w:tcPr>
          <w:p w14:paraId="5C6C0D71" w14:textId="77777777" w:rsidR="0087601C" w:rsidRPr="006A1EC7" w:rsidRDefault="0087601C" w:rsidP="00D56051">
            <w:pPr>
              <w:spacing w:line="320" w:lineRule="atLeast"/>
              <w:ind w:left="60" w:right="60"/>
              <w:jc w:val="right"/>
              <w:rPr>
                <w:color w:val="010205"/>
                <w:sz w:val="18"/>
              </w:rPr>
            </w:pPr>
            <w:r w:rsidRPr="006A1EC7">
              <w:rPr>
                <w:color w:val="010205"/>
                <w:sz w:val="18"/>
              </w:rPr>
              <w:t>3.41</w:t>
            </w:r>
          </w:p>
        </w:tc>
        <w:tc>
          <w:tcPr>
            <w:tcW w:w="1830" w:type="dxa"/>
            <w:gridSpan w:val="2"/>
            <w:tcBorders>
              <w:top w:val="single" w:sz="8" w:space="0" w:color="152935"/>
              <w:left w:val="single" w:sz="8" w:space="0" w:color="E0E0E0"/>
              <w:bottom w:val="single" w:sz="8" w:space="0" w:color="152935"/>
              <w:right w:val="single" w:sz="8" w:space="0" w:color="E0E0E0"/>
            </w:tcBorders>
            <w:shd w:val="clear" w:color="auto" w:fill="FFFFFF"/>
          </w:tcPr>
          <w:p w14:paraId="384C7E38" w14:textId="77777777" w:rsidR="0087601C" w:rsidRPr="006A1EC7" w:rsidRDefault="0087601C" w:rsidP="00D56051">
            <w:pPr>
              <w:spacing w:line="320" w:lineRule="atLeast"/>
              <w:ind w:left="60" w:right="60"/>
              <w:jc w:val="right"/>
              <w:rPr>
                <w:color w:val="010205"/>
                <w:sz w:val="18"/>
              </w:rPr>
            </w:pPr>
            <w:r w:rsidRPr="006A1EC7">
              <w:rPr>
                <w:color w:val="010205"/>
                <w:sz w:val="18"/>
              </w:rPr>
              <w:t>1.279</w:t>
            </w:r>
          </w:p>
        </w:tc>
        <w:tc>
          <w:tcPr>
            <w:tcW w:w="1830" w:type="dxa"/>
            <w:gridSpan w:val="2"/>
            <w:tcBorders>
              <w:top w:val="single" w:sz="8" w:space="0" w:color="152935"/>
              <w:left w:val="single" w:sz="8" w:space="0" w:color="E0E0E0"/>
              <w:bottom w:val="single" w:sz="8" w:space="0" w:color="152935"/>
              <w:right w:val="nil"/>
            </w:tcBorders>
            <w:shd w:val="clear" w:color="auto" w:fill="FFFFFF"/>
          </w:tcPr>
          <w:p w14:paraId="6992FFD6" w14:textId="77777777" w:rsidR="0087601C" w:rsidRPr="006A1EC7" w:rsidRDefault="0087601C" w:rsidP="00D56051">
            <w:pPr>
              <w:spacing w:line="320" w:lineRule="atLeast"/>
              <w:ind w:left="60" w:right="60"/>
              <w:jc w:val="right"/>
              <w:rPr>
                <w:color w:val="010205"/>
                <w:sz w:val="18"/>
              </w:rPr>
            </w:pPr>
            <w:r w:rsidRPr="006A1EC7">
              <w:rPr>
                <w:color w:val="010205"/>
                <w:sz w:val="18"/>
              </w:rPr>
              <w:t>.210</w:t>
            </w:r>
          </w:p>
        </w:tc>
      </w:tr>
    </w:tbl>
    <w:p w14:paraId="52768B1E"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4"/>
        <w:gridCol w:w="1063"/>
        <w:gridCol w:w="186"/>
        <w:gridCol w:w="31"/>
        <w:gridCol w:w="187"/>
        <w:gridCol w:w="781"/>
        <w:gridCol w:w="163"/>
        <w:gridCol w:w="149"/>
        <w:gridCol w:w="183"/>
        <w:gridCol w:w="690"/>
        <w:gridCol w:w="140"/>
        <w:gridCol w:w="446"/>
        <w:gridCol w:w="375"/>
        <w:gridCol w:w="739"/>
        <w:gridCol w:w="105"/>
        <w:gridCol w:w="609"/>
        <w:gridCol w:w="381"/>
        <w:gridCol w:w="605"/>
        <w:gridCol w:w="70"/>
        <w:gridCol w:w="772"/>
        <w:gridCol w:w="858"/>
        <w:gridCol w:w="35"/>
        <w:gridCol w:w="1665"/>
      </w:tblGrid>
      <w:tr w:rsidR="0087601C" w:rsidRPr="006A1EC7" w14:paraId="71502FF1" w14:textId="77777777" w:rsidTr="00D56051">
        <w:trPr>
          <w:cantSplit/>
        </w:trPr>
        <w:tc>
          <w:tcPr>
            <w:tcW w:w="2017" w:type="dxa"/>
            <w:gridSpan w:val="2"/>
            <w:vMerge w:val="restart"/>
            <w:tcBorders>
              <w:top w:val="nil"/>
              <w:left w:val="nil"/>
              <w:bottom w:val="nil"/>
              <w:right w:val="nil"/>
            </w:tcBorders>
            <w:shd w:val="clear" w:color="auto" w:fill="FFFFFF"/>
            <w:vAlign w:val="bottom"/>
          </w:tcPr>
          <w:p w14:paraId="28C3DCC2" w14:textId="77777777" w:rsidR="0087601C" w:rsidRPr="006A1EC7" w:rsidRDefault="0087601C" w:rsidP="00D56051">
            <w:pPr>
              <w:rPr>
                <w:sz w:val="18"/>
              </w:rPr>
            </w:pPr>
          </w:p>
        </w:tc>
        <w:tc>
          <w:tcPr>
            <w:tcW w:w="9170" w:type="dxa"/>
            <w:gridSpan w:val="21"/>
            <w:tcBorders>
              <w:top w:val="nil"/>
              <w:left w:val="nil"/>
              <w:bottom w:val="nil"/>
              <w:right w:val="nil"/>
            </w:tcBorders>
            <w:shd w:val="clear" w:color="auto" w:fill="FFFFFF"/>
            <w:vAlign w:val="bottom"/>
          </w:tcPr>
          <w:p w14:paraId="7CF8D6AA"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3.5</w:t>
            </w:r>
          </w:p>
        </w:tc>
      </w:tr>
      <w:tr w:rsidR="0087601C" w:rsidRPr="006A1EC7" w14:paraId="2581B52B" w14:textId="77777777" w:rsidTr="00D56051">
        <w:trPr>
          <w:cantSplit/>
        </w:trPr>
        <w:tc>
          <w:tcPr>
            <w:tcW w:w="2017" w:type="dxa"/>
            <w:gridSpan w:val="2"/>
            <w:vMerge/>
            <w:tcBorders>
              <w:top w:val="nil"/>
              <w:left w:val="nil"/>
              <w:bottom w:val="nil"/>
              <w:right w:val="nil"/>
            </w:tcBorders>
            <w:shd w:val="clear" w:color="auto" w:fill="FFFFFF"/>
            <w:vAlign w:val="bottom"/>
          </w:tcPr>
          <w:p w14:paraId="2C4C17E1" w14:textId="77777777" w:rsidR="0087601C" w:rsidRPr="006A1EC7" w:rsidRDefault="0087601C" w:rsidP="00D56051">
            <w:pPr>
              <w:rPr>
                <w:color w:val="264A60"/>
                <w:sz w:val="18"/>
              </w:rPr>
            </w:pPr>
          </w:p>
        </w:tc>
        <w:tc>
          <w:tcPr>
            <w:tcW w:w="1185" w:type="dxa"/>
            <w:gridSpan w:val="4"/>
            <w:vMerge w:val="restart"/>
            <w:tcBorders>
              <w:top w:val="nil"/>
              <w:left w:val="nil"/>
              <w:bottom w:val="nil"/>
              <w:right w:val="single" w:sz="8" w:space="0" w:color="E0E0E0"/>
            </w:tcBorders>
            <w:shd w:val="clear" w:color="auto" w:fill="FFFFFF"/>
            <w:vAlign w:val="bottom"/>
          </w:tcPr>
          <w:p w14:paraId="7E3CD8CB"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85" w:type="dxa"/>
            <w:gridSpan w:val="4"/>
            <w:vMerge w:val="restart"/>
            <w:tcBorders>
              <w:top w:val="nil"/>
              <w:left w:val="single" w:sz="8" w:space="0" w:color="E0E0E0"/>
              <w:bottom w:val="nil"/>
              <w:right w:val="single" w:sz="8" w:space="0" w:color="E0E0E0"/>
            </w:tcBorders>
            <w:shd w:val="clear" w:color="auto" w:fill="FFFFFF"/>
            <w:vAlign w:val="bottom"/>
          </w:tcPr>
          <w:p w14:paraId="7F55DD93"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00" w:type="dxa"/>
            <w:gridSpan w:val="4"/>
            <w:vMerge w:val="restart"/>
            <w:tcBorders>
              <w:top w:val="nil"/>
              <w:left w:val="single" w:sz="8" w:space="0" w:color="E0E0E0"/>
              <w:bottom w:val="nil"/>
              <w:right w:val="single" w:sz="8" w:space="0" w:color="E0E0E0"/>
            </w:tcBorders>
            <w:shd w:val="clear" w:color="auto" w:fill="FFFFFF"/>
            <w:vAlign w:val="bottom"/>
          </w:tcPr>
          <w:p w14:paraId="1C225E18"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00" w:type="dxa"/>
            <w:gridSpan w:val="4"/>
            <w:vMerge w:val="restart"/>
            <w:tcBorders>
              <w:top w:val="nil"/>
              <w:left w:val="single" w:sz="8" w:space="0" w:color="E0E0E0"/>
              <w:bottom w:val="nil"/>
              <w:right w:val="single" w:sz="8" w:space="0" w:color="E0E0E0"/>
            </w:tcBorders>
            <w:shd w:val="clear" w:color="auto" w:fill="FFFFFF"/>
            <w:vAlign w:val="bottom"/>
          </w:tcPr>
          <w:p w14:paraId="6D8084C6"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00" w:type="dxa"/>
            <w:gridSpan w:val="5"/>
            <w:tcBorders>
              <w:top w:val="nil"/>
              <w:left w:val="single" w:sz="8" w:space="0" w:color="E0E0E0"/>
              <w:bottom w:val="nil"/>
              <w:right w:val="nil"/>
            </w:tcBorders>
            <w:shd w:val="clear" w:color="auto" w:fill="FFFFFF"/>
            <w:vAlign w:val="bottom"/>
          </w:tcPr>
          <w:p w14:paraId="767299C3"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4B546F9B" w14:textId="77777777" w:rsidTr="00D56051">
        <w:trPr>
          <w:cantSplit/>
        </w:trPr>
        <w:tc>
          <w:tcPr>
            <w:tcW w:w="2017" w:type="dxa"/>
            <w:gridSpan w:val="2"/>
            <w:vMerge/>
            <w:tcBorders>
              <w:top w:val="nil"/>
              <w:left w:val="nil"/>
              <w:bottom w:val="nil"/>
              <w:right w:val="nil"/>
            </w:tcBorders>
            <w:shd w:val="clear" w:color="auto" w:fill="FFFFFF"/>
            <w:vAlign w:val="bottom"/>
          </w:tcPr>
          <w:p w14:paraId="7C0FF8AD" w14:textId="77777777" w:rsidR="0087601C" w:rsidRPr="006A1EC7" w:rsidRDefault="0087601C" w:rsidP="00D56051">
            <w:pPr>
              <w:rPr>
                <w:color w:val="264A60"/>
                <w:sz w:val="18"/>
              </w:rPr>
            </w:pPr>
          </w:p>
        </w:tc>
        <w:tc>
          <w:tcPr>
            <w:tcW w:w="1185" w:type="dxa"/>
            <w:gridSpan w:val="4"/>
            <w:vMerge/>
            <w:tcBorders>
              <w:top w:val="nil"/>
              <w:left w:val="nil"/>
              <w:bottom w:val="nil"/>
              <w:right w:val="single" w:sz="8" w:space="0" w:color="E0E0E0"/>
            </w:tcBorders>
            <w:shd w:val="clear" w:color="auto" w:fill="FFFFFF"/>
            <w:vAlign w:val="bottom"/>
          </w:tcPr>
          <w:p w14:paraId="0BC3FEAF" w14:textId="77777777" w:rsidR="0087601C" w:rsidRPr="006A1EC7" w:rsidRDefault="0087601C" w:rsidP="00D56051">
            <w:pPr>
              <w:rPr>
                <w:color w:val="264A60"/>
                <w:sz w:val="18"/>
              </w:rPr>
            </w:pPr>
          </w:p>
        </w:tc>
        <w:tc>
          <w:tcPr>
            <w:tcW w:w="1185" w:type="dxa"/>
            <w:gridSpan w:val="4"/>
            <w:vMerge/>
            <w:tcBorders>
              <w:top w:val="nil"/>
              <w:left w:val="single" w:sz="8" w:space="0" w:color="E0E0E0"/>
              <w:bottom w:val="nil"/>
              <w:right w:val="single" w:sz="8" w:space="0" w:color="E0E0E0"/>
            </w:tcBorders>
            <w:shd w:val="clear" w:color="auto" w:fill="FFFFFF"/>
            <w:vAlign w:val="bottom"/>
          </w:tcPr>
          <w:p w14:paraId="790E4089" w14:textId="77777777" w:rsidR="0087601C" w:rsidRPr="006A1EC7" w:rsidRDefault="0087601C" w:rsidP="00D56051">
            <w:pPr>
              <w:rPr>
                <w:color w:val="264A60"/>
                <w:sz w:val="18"/>
              </w:rPr>
            </w:pPr>
          </w:p>
        </w:tc>
        <w:tc>
          <w:tcPr>
            <w:tcW w:w="1700" w:type="dxa"/>
            <w:gridSpan w:val="4"/>
            <w:vMerge/>
            <w:tcBorders>
              <w:top w:val="nil"/>
              <w:left w:val="single" w:sz="8" w:space="0" w:color="E0E0E0"/>
              <w:bottom w:val="nil"/>
              <w:right w:val="single" w:sz="8" w:space="0" w:color="E0E0E0"/>
            </w:tcBorders>
            <w:shd w:val="clear" w:color="auto" w:fill="FFFFFF"/>
            <w:vAlign w:val="bottom"/>
          </w:tcPr>
          <w:p w14:paraId="32CEB41E" w14:textId="77777777" w:rsidR="0087601C" w:rsidRPr="006A1EC7" w:rsidRDefault="0087601C" w:rsidP="00D56051">
            <w:pPr>
              <w:rPr>
                <w:color w:val="264A60"/>
                <w:sz w:val="18"/>
              </w:rPr>
            </w:pPr>
          </w:p>
        </w:tc>
        <w:tc>
          <w:tcPr>
            <w:tcW w:w="1700" w:type="dxa"/>
            <w:gridSpan w:val="4"/>
            <w:vMerge/>
            <w:tcBorders>
              <w:top w:val="nil"/>
              <w:left w:val="single" w:sz="8" w:space="0" w:color="E0E0E0"/>
              <w:bottom w:val="nil"/>
              <w:right w:val="single" w:sz="8" w:space="0" w:color="E0E0E0"/>
            </w:tcBorders>
            <w:shd w:val="clear" w:color="auto" w:fill="FFFFFF"/>
            <w:vAlign w:val="bottom"/>
          </w:tcPr>
          <w:p w14:paraId="3EE0AF8D" w14:textId="77777777" w:rsidR="0087601C" w:rsidRPr="006A1EC7" w:rsidRDefault="0087601C" w:rsidP="00D56051">
            <w:pPr>
              <w:rPr>
                <w:color w:val="264A60"/>
                <w:sz w:val="18"/>
              </w:rPr>
            </w:pPr>
          </w:p>
        </w:tc>
        <w:tc>
          <w:tcPr>
            <w:tcW w:w="1700" w:type="dxa"/>
            <w:gridSpan w:val="3"/>
            <w:tcBorders>
              <w:top w:val="nil"/>
              <w:left w:val="single" w:sz="8" w:space="0" w:color="E0E0E0"/>
              <w:bottom w:val="single" w:sz="8" w:space="0" w:color="152935"/>
              <w:right w:val="single" w:sz="8" w:space="0" w:color="E0E0E0"/>
            </w:tcBorders>
            <w:shd w:val="clear" w:color="auto" w:fill="FFFFFF"/>
            <w:vAlign w:val="bottom"/>
          </w:tcPr>
          <w:p w14:paraId="4CBB8718"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00" w:type="dxa"/>
            <w:gridSpan w:val="2"/>
            <w:tcBorders>
              <w:top w:val="nil"/>
              <w:left w:val="single" w:sz="8" w:space="0" w:color="E0E0E0"/>
              <w:bottom w:val="single" w:sz="8" w:space="0" w:color="152935"/>
              <w:right w:val="nil"/>
            </w:tcBorders>
            <w:shd w:val="clear" w:color="auto" w:fill="FFFFFF"/>
            <w:vAlign w:val="bottom"/>
          </w:tcPr>
          <w:p w14:paraId="513A7983"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2459B512" w14:textId="77777777" w:rsidTr="00D56051">
        <w:trPr>
          <w:cantSplit/>
        </w:trPr>
        <w:tc>
          <w:tcPr>
            <w:tcW w:w="2017" w:type="dxa"/>
            <w:gridSpan w:val="2"/>
            <w:tcBorders>
              <w:top w:val="single" w:sz="8" w:space="0" w:color="152935"/>
              <w:left w:val="nil"/>
              <w:bottom w:val="single" w:sz="8" w:space="0" w:color="152935"/>
              <w:right w:val="nil"/>
            </w:tcBorders>
            <w:shd w:val="clear" w:color="auto" w:fill="E0E0E0"/>
          </w:tcPr>
          <w:p w14:paraId="014A5F0F" w14:textId="77777777" w:rsidR="0087601C" w:rsidRPr="006A1EC7" w:rsidRDefault="0087601C" w:rsidP="00D56051">
            <w:pPr>
              <w:spacing w:line="320" w:lineRule="atLeast"/>
              <w:ind w:left="60" w:right="60"/>
              <w:rPr>
                <w:color w:val="264A60"/>
                <w:sz w:val="18"/>
              </w:rPr>
            </w:pPr>
            <w:r w:rsidRPr="006A1EC7">
              <w:rPr>
                <w:color w:val="264A60"/>
                <w:sz w:val="18"/>
              </w:rPr>
              <w:t>T1Bronagh_Func</w:t>
            </w:r>
          </w:p>
        </w:tc>
        <w:tc>
          <w:tcPr>
            <w:tcW w:w="1185" w:type="dxa"/>
            <w:gridSpan w:val="4"/>
            <w:tcBorders>
              <w:top w:val="single" w:sz="8" w:space="0" w:color="152935"/>
              <w:left w:val="nil"/>
              <w:bottom w:val="single" w:sz="8" w:space="0" w:color="152935"/>
              <w:right w:val="single" w:sz="8" w:space="0" w:color="E0E0E0"/>
            </w:tcBorders>
            <w:shd w:val="clear" w:color="auto" w:fill="FFFFFF"/>
          </w:tcPr>
          <w:p w14:paraId="1D2D7C72" w14:textId="77777777" w:rsidR="0087601C" w:rsidRPr="006A1EC7" w:rsidRDefault="0087601C" w:rsidP="00D56051">
            <w:pPr>
              <w:spacing w:line="320" w:lineRule="atLeast"/>
              <w:ind w:left="60" w:right="60"/>
              <w:jc w:val="right"/>
              <w:rPr>
                <w:color w:val="010205"/>
                <w:sz w:val="18"/>
              </w:rPr>
            </w:pPr>
            <w:r w:rsidRPr="006A1EC7">
              <w:rPr>
                <w:color w:val="010205"/>
                <w:sz w:val="18"/>
              </w:rPr>
              <w:t>-.450</w:t>
            </w:r>
          </w:p>
        </w:tc>
        <w:tc>
          <w:tcPr>
            <w:tcW w:w="1185" w:type="dxa"/>
            <w:gridSpan w:val="4"/>
            <w:tcBorders>
              <w:top w:val="single" w:sz="8" w:space="0" w:color="152935"/>
              <w:left w:val="single" w:sz="8" w:space="0" w:color="E0E0E0"/>
              <w:bottom w:val="single" w:sz="8" w:space="0" w:color="152935"/>
              <w:right w:val="single" w:sz="8" w:space="0" w:color="E0E0E0"/>
            </w:tcBorders>
            <w:shd w:val="clear" w:color="auto" w:fill="FFFFFF"/>
          </w:tcPr>
          <w:p w14:paraId="750BEB84"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700" w:type="dxa"/>
            <w:gridSpan w:val="4"/>
            <w:tcBorders>
              <w:top w:val="single" w:sz="8" w:space="0" w:color="152935"/>
              <w:left w:val="single" w:sz="8" w:space="0" w:color="E0E0E0"/>
              <w:bottom w:val="single" w:sz="8" w:space="0" w:color="152935"/>
              <w:right w:val="single" w:sz="8" w:space="0" w:color="E0E0E0"/>
            </w:tcBorders>
            <w:shd w:val="clear" w:color="auto" w:fill="FFFFFF"/>
          </w:tcPr>
          <w:p w14:paraId="655724F1" w14:textId="77777777" w:rsidR="0087601C" w:rsidRPr="006A1EC7" w:rsidRDefault="0087601C" w:rsidP="00D56051">
            <w:pPr>
              <w:spacing w:line="320" w:lineRule="atLeast"/>
              <w:ind w:left="60" w:right="60"/>
              <w:jc w:val="right"/>
              <w:rPr>
                <w:color w:val="010205"/>
                <w:sz w:val="18"/>
              </w:rPr>
            </w:pPr>
            <w:r w:rsidRPr="006A1EC7">
              <w:rPr>
                <w:color w:val="010205"/>
                <w:sz w:val="18"/>
              </w:rPr>
              <w:t>.656</w:t>
            </w:r>
          </w:p>
        </w:tc>
        <w:tc>
          <w:tcPr>
            <w:tcW w:w="1700" w:type="dxa"/>
            <w:gridSpan w:val="4"/>
            <w:tcBorders>
              <w:top w:val="single" w:sz="8" w:space="0" w:color="152935"/>
              <w:left w:val="single" w:sz="8" w:space="0" w:color="E0E0E0"/>
              <w:bottom w:val="single" w:sz="8" w:space="0" w:color="152935"/>
              <w:right w:val="single" w:sz="8" w:space="0" w:color="E0E0E0"/>
            </w:tcBorders>
            <w:shd w:val="clear" w:color="auto" w:fill="FFFFFF"/>
          </w:tcPr>
          <w:p w14:paraId="5B312F0E" w14:textId="77777777" w:rsidR="0087601C" w:rsidRPr="006A1EC7" w:rsidRDefault="0087601C" w:rsidP="00D56051">
            <w:pPr>
              <w:spacing w:line="320" w:lineRule="atLeast"/>
              <w:ind w:left="60" w:right="60"/>
              <w:jc w:val="right"/>
              <w:rPr>
                <w:color w:val="010205"/>
                <w:sz w:val="18"/>
              </w:rPr>
            </w:pPr>
            <w:r w:rsidRPr="006A1EC7">
              <w:rPr>
                <w:color w:val="010205"/>
                <w:sz w:val="18"/>
              </w:rPr>
              <w:t>-.095</w:t>
            </w:r>
          </w:p>
        </w:tc>
        <w:tc>
          <w:tcPr>
            <w:tcW w:w="1700" w:type="dxa"/>
            <w:gridSpan w:val="3"/>
            <w:tcBorders>
              <w:top w:val="single" w:sz="8" w:space="0" w:color="152935"/>
              <w:left w:val="single" w:sz="8" w:space="0" w:color="E0E0E0"/>
              <w:bottom w:val="single" w:sz="8" w:space="0" w:color="152935"/>
              <w:right w:val="single" w:sz="8" w:space="0" w:color="E0E0E0"/>
            </w:tcBorders>
            <w:shd w:val="clear" w:color="auto" w:fill="FFFFFF"/>
          </w:tcPr>
          <w:p w14:paraId="08E70F72" w14:textId="77777777" w:rsidR="0087601C" w:rsidRPr="006A1EC7" w:rsidRDefault="0087601C" w:rsidP="00D56051">
            <w:pPr>
              <w:spacing w:line="320" w:lineRule="atLeast"/>
              <w:ind w:left="60" w:right="60"/>
              <w:jc w:val="right"/>
              <w:rPr>
                <w:color w:val="010205"/>
                <w:sz w:val="18"/>
              </w:rPr>
            </w:pPr>
            <w:r w:rsidRPr="006A1EC7">
              <w:rPr>
                <w:color w:val="010205"/>
                <w:sz w:val="18"/>
              </w:rPr>
              <w:t>-.52</w:t>
            </w:r>
          </w:p>
        </w:tc>
        <w:tc>
          <w:tcPr>
            <w:tcW w:w="1700" w:type="dxa"/>
            <w:gridSpan w:val="2"/>
            <w:tcBorders>
              <w:top w:val="single" w:sz="8" w:space="0" w:color="152935"/>
              <w:left w:val="single" w:sz="8" w:space="0" w:color="E0E0E0"/>
              <w:bottom w:val="single" w:sz="8" w:space="0" w:color="152935"/>
              <w:right w:val="nil"/>
            </w:tcBorders>
            <w:shd w:val="clear" w:color="auto" w:fill="FFFFFF"/>
          </w:tcPr>
          <w:p w14:paraId="23483659" w14:textId="77777777" w:rsidR="0087601C" w:rsidRPr="006A1EC7" w:rsidRDefault="0087601C" w:rsidP="00D56051">
            <w:pPr>
              <w:spacing w:line="320" w:lineRule="atLeast"/>
              <w:ind w:left="60" w:right="60"/>
              <w:jc w:val="right"/>
              <w:rPr>
                <w:color w:val="010205"/>
                <w:sz w:val="18"/>
              </w:rPr>
            </w:pPr>
            <w:r w:rsidRPr="006A1EC7">
              <w:rPr>
                <w:color w:val="010205"/>
                <w:sz w:val="18"/>
              </w:rPr>
              <w:t>.33</w:t>
            </w:r>
          </w:p>
        </w:tc>
      </w:tr>
      <w:tr w:rsidR="0087601C" w:rsidRPr="006A1EC7" w14:paraId="4CD076CD" w14:textId="77777777" w:rsidTr="00D56051">
        <w:trPr>
          <w:gridAfter w:val="3"/>
          <w:wAfter w:w="2558" w:type="dxa"/>
          <w:cantSplit/>
        </w:trPr>
        <w:tc>
          <w:tcPr>
            <w:tcW w:w="2421" w:type="dxa"/>
            <w:gridSpan w:val="5"/>
            <w:tcBorders>
              <w:top w:val="nil"/>
              <w:left w:val="nil"/>
              <w:bottom w:val="single" w:sz="8" w:space="0" w:color="152935"/>
              <w:right w:val="nil"/>
            </w:tcBorders>
            <w:shd w:val="clear" w:color="auto" w:fill="FFFFFF"/>
            <w:vAlign w:val="bottom"/>
          </w:tcPr>
          <w:p w14:paraId="20844AFC" w14:textId="77777777" w:rsidR="0087601C" w:rsidRPr="006A1EC7" w:rsidRDefault="0087601C" w:rsidP="00D56051">
            <w:pPr>
              <w:rPr>
                <w:sz w:val="18"/>
              </w:rPr>
            </w:pPr>
          </w:p>
        </w:tc>
        <w:tc>
          <w:tcPr>
            <w:tcW w:w="1276" w:type="dxa"/>
            <w:gridSpan w:val="4"/>
            <w:tcBorders>
              <w:top w:val="nil"/>
              <w:left w:val="nil"/>
              <w:bottom w:val="single" w:sz="8" w:space="0" w:color="152935"/>
              <w:right w:val="single" w:sz="8" w:space="0" w:color="E0E0E0"/>
            </w:tcBorders>
            <w:shd w:val="clear" w:color="auto" w:fill="FFFFFF"/>
            <w:vAlign w:val="bottom"/>
          </w:tcPr>
          <w:p w14:paraId="0E3D580D"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3"/>
            <w:tcBorders>
              <w:top w:val="nil"/>
              <w:left w:val="single" w:sz="8" w:space="0" w:color="E0E0E0"/>
              <w:bottom w:val="single" w:sz="8" w:space="0" w:color="152935"/>
              <w:right w:val="single" w:sz="8" w:space="0" w:color="E0E0E0"/>
            </w:tcBorders>
            <w:shd w:val="clear" w:color="auto" w:fill="FFFFFF"/>
            <w:vAlign w:val="bottom"/>
          </w:tcPr>
          <w:p w14:paraId="6267AE88"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gridSpan w:val="4"/>
            <w:tcBorders>
              <w:top w:val="nil"/>
              <w:left w:val="single" w:sz="8" w:space="0" w:color="E0E0E0"/>
              <w:bottom w:val="single" w:sz="8" w:space="0" w:color="152935"/>
              <w:right w:val="single" w:sz="8" w:space="0" w:color="E0E0E0"/>
            </w:tcBorders>
            <w:shd w:val="clear" w:color="auto" w:fill="FFFFFF"/>
            <w:vAlign w:val="bottom"/>
          </w:tcPr>
          <w:p w14:paraId="3E9F8002"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gridSpan w:val="4"/>
            <w:tcBorders>
              <w:top w:val="nil"/>
              <w:left w:val="single" w:sz="8" w:space="0" w:color="E0E0E0"/>
              <w:bottom w:val="single" w:sz="8" w:space="0" w:color="152935"/>
              <w:right w:val="nil"/>
            </w:tcBorders>
            <w:shd w:val="clear" w:color="auto" w:fill="FFFFFF"/>
            <w:vAlign w:val="bottom"/>
          </w:tcPr>
          <w:p w14:paraId="07FE9616"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1741FB38" w14:textId="77777777" w:rsidTr="00D56051">
        <w:trPr>
          <w:gridAfter w:val="3"/>
          <w:wAfter w:w="2558" w:type="dxa"/>
          <w:cantSplit/>
        </w:trPr>
        <w:tc>
          <w:tcPr>
            <w:tcW w:w="2421" w:type="dxa"/>
            <w:gridSpan w:val="5"/>
            <w:tcBorders>
              <w:top w:val="single" w:sz="8" w:space="0" w:color="152935"/>
              <w:left w:val="nil"/>
              <w:bottom w:val="single" w:sz="8" w:space="0" w:color="152935"/>
              <w:right w:val="nil"/>
            </w:tcBorders>
            <w:shd w:val="clear" w:color="auto" w:fill="E0E0E0"/>
          </w:tcPr>
          <w:p w14:paraId="746A61C6" w14:textId="77777777" w:rsidR="0087601C" w:rsidRPr="006A1EC7" w:rsidRDefault="0087601C" w:rsidP="00D56051">
            <w:pPr>
              <w:spacing w:line="320" w:lineRule="atLeast"/>
              <w:ind w:left="60" w:right="60"/>
              <w:rPr>
                <w:color w:val="264A60"/>
                <w:sz w:val="18"/>
              </w:rPr>
            </w:pPr>
            <w:r w:rsidRPr="006A1EC7">
              <w:rPr>
                <w:color w:val="264A60"/>
                <w:sz w:val="18"/>
              </w:rPr>
              <w:t>T1Bronagh_Immun</w:t>
            </w:r>
          </w:p>
        </w:tc>
        <w:tc>
          <w:tcPr>
            <w:tcW w:w="1276" w:type="dxa"/>
            <w:gridSpan w:val="4"/>
            <w:tcBorders>
              <w:top w:val="single" w:sz="8" w:space="0" w:color="152935"/>
              <w:left w:val="nil"/>
              <w:bottom w:val="single" w:sz="8" w:space="0" w:color="152935"/>
              <w:right w:val="single" w:sz="8" w:space="0" w:color="E0E0E0"/>
            </w:tcBorders>
            <w:shd w:val="clear" w:color="auto" w:fill="FFFFFF"/>
          </w:tcPr>
          <w:p w14:paraId="3035D7D3"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gridSpan w:val="3"/>
            <w:tcBorders>
              <w:top w:val="single" w:sz="8" w:space="0" w:color="152935"/>
              <w:left w:val="single" w:sz="8" w:space="0" w:color="E0E0E0"/>
              <w:bottom w:val="single" w:sz="8" w:space="0" w:color="152935"/>
              <w:right w:val="single" w:sz="8" w:space="0" w:color="E0E0E0"/>
            </w:tcBorders>
            <w:shd w:val="clear" w:color="auto" w:fill="FFFFFF"/>
          </w:tcPr>
          <w:p w14:paraId="1CA58CE6" w14:textId="77777777" w:rsidR="0087601C" w:rsidRPr="006A1EC7" w:rsidRDefault="0087601C" w:rsidP="00D56051">
            <w:pPr>
              <w:spacing w:line="320" w:lineRule="atLeast"/>
              <w:ind w:left="60" w:right="60"/>
              <w:jc w:val="right"/>
              <w:rPr>
                <w:color w:val="010205"/>
                <w:sz w:val="18"/>
              </w:rPr>
            </w:pPr>
            <w:r w:rsidRPr="006A1EC7">
              <w:rPr>
                <w:color w:val="010205"/>
                <w:sz w:val="18"/>
              </w:rPr>
              <w:t>.16</w:t>
            </w:r>
          </w:p>
        </w:tc>
        <w:tc>
          <w:tcPr>
            <w:tcW w:w="1828" w:type="dxa"/>
            <w:gridSpan w:val="4"/>
            <w:tcBorders>
              <w:top w:val="single" w:sz="8" w:space="0" w:color="152935"/>
              <w:left w:val="single" w:sz="8" w:space="0" w:color="E0E0E0"/>
              <w:bottom w:val="single" w:sz="8" w:space="0" w:color="152935"/>
              <w:right w:val="single" w:sz="8" w:space="0" w:color="E0E0E0"/>
            </w:tcBorders>
            <w:shd w:val="clear" w:color="auto" w:fill="FFFFFF"/>
          </w:tcPr>
          <w:p w14:paraId="161B25D4" w14:textId="77777777" w:rsidR="0087601C" w:rsidRPr="006A1EC7" w:rsidRDefault="0087601C" w:rsidP="00D56051">
            <w:pPr>
              <w:spacing w:line="320" w:lineRule="atLeast"/>
              <w:ind w:left="60" w:right="60"/>
              <w:jc w:val="right"/>
              <w:rPr>
                <w:color w:val="010205"/>
                <w:sz w:val="18"/>
              </w:rPr>
            </w:pPr>
            <w:r w:rsidRPr="006A1EC7">
              <w:rPr>
                <w:color w:val="010205"/>
                <w:sz w:val="18"/>
              </w:rPr>
              <w:t>.688</w:t>
            </w:r>
          </w:p>
        </w:tc>
        <w:tc>
          <w:tcPr>
            <w:tcW w:w="1828" w:type="dxa"/>
            <w:gridSpan w:val="4"/>
            <w:tcBorders>
              <w:top w:val="single" w:sz="8" w:space="0" w:color="152935"/>
              <w:left w:val="single" w:sz="8" w:space="0" w:color="E0E0E0"/>
              <w:bottom w:val="single" w:sz="8" w:space="0" w:color="152935"/>
              <w:right w:val="nil"/>
            </w:tcBorders>
            <w:shd w:val="clear" w:color="auto" w:fill="FFFFFF"/>
          </w:tcPr>
          <w:p w14:paraId="2A86FA6D" w14:textId="77777777" w:rsidR="0087601C" w:rsidRPr="006A1EC7" w:rsidRDefault="0087601C" w:rsidP="00D56051">
            <w:pPr>
              <w:spacing w:line="320" w:lineRule="atLeast"/>
              <w:ind w:left="60" w:right="60"/>
              <w:jc w:val="right"/>
              <w:rPr>
                <w:color w:val="010205"/>
                <w:sz w:val="18"/>
              </w:rPr>
            </w:pPr>
            <w:r w:rsidRPr="006A1EC7">
              <w:rPr>
                <w:color w:val="010205"/>
                <w:sz w:val="18"/>
              </w:rPr>
              <w:t>.113</w:t>
            </w:r>
          </w:p>
        </w:tc>
      </w:tr>
      <w:tr w:rsidR="0087601C" w:rsidRPr="006A1EC7" w14:paraId="3928C1F5" w14:textId="77777777" w:rsidTr="00D56051">
        <w:trPr>
          <w:cantSplit/>
        </w:trPr>
        <w:tc>
          <w:tcPr>
            <w:tcW w:w="2203" w:type="dxa"/>
            <w:gridSpan w:val="3"/>
            <w:vMerge w:val="restart"/>
            <w:tcBorders>
              <w:top w:val="nil"/>
              <w:left w:val="nil"/>
              <w:bottom w:val="nil"/>
              <w:right w:val="nil"/>
            </w:tcBorders>
            <w:shd w:val="clear" w:color="auto" w:fill="FFFFFF"/>
            <w:vAlign w:val="bottom"/>
          </w:tcPr>
          <w:p w14:paraId="594F6218" w14:textId="77777777" w:rsidR="0087601C" w:rsidRPr="006A1EC7" w:rsidRDefault="0087601C" w:rsidP="00D56051">
            <w:pPr>
              <w:rPr>
                <w:sz w:val="18"/>
              </w:rPr>
            </w:pPr>
          </w:p>
        </w:tc>
        <w:tc>
          <w:tcPr>
            <w:tcW w:w="8984" w:type="dxa"/>
            <w:gridSpan w:val="20"/>
            <w:tcBorders>
              <w:top w:val="nil"/>
              <w:left w:val="nil"/>
              <w:bottom w:val="nil"/>
              <w:right w:val="nil"/>
            </w:tcBorders>
            <w:shd w:val="clear" w:color="auto" w:fill="FFFFFF"/>
            <w:vAlign w:val="bottom"/>
          </w:tcPr>
          <w:p w14:paraId="557308E3"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0</w:t>
            </w:r>
          </w:p>
        </w:tc>
      </w:tr>
      <w:tr w:rsidR="0087601C" w:rsidRPr="006A1EC7" w14:paraId="49910D81" w14:textId="77777777" w:rsidTr="00D56051">
        <w:trPr>
          <w:cantSplit/>
        </w:trPr>
        <w:tc>
          <w:tcPr>
            <w:tcW w:w="2203" w:type="dxa"/>
            <w:gridSpan w:val="3"/>
            <w:vMerge/>
            <w:tcBorders>
              <w:top w:val="nil"/>
              <w:left w:val="nil"/>
              <w:bottom w:val="nil"/>
              <w:right w:val="nil"/>
            </w:tcBorders>
            <w:shd w:val="clear" w:color="auto" w:fill="FFFFFF"/>
            <w:vAlign w:val="bottom"/>
          </w:tcPr>
          <w:p w14:paraId="6BA5B782" w14:textId="77777777" w:rsidR="0087601C" w:rsidRPr="006A1EC7" w:rsidRDefault="0087601C" w:rsidP="00D56051">
            <w:pPr>
              <w:rPr>
                <w:color w:val="264A60"/>
                <w:sz w:val="18"/>
              </w:rPr>
            </w:pPr>
          </w:p>
        </w:tc>
        <w:tc>
          <w:tcPr>
            <w:tcW w:w="1162" w:type="dxa"/>
            <w:gridSpan w:val="4"/>
            <w:vMerge w:val="restart"/>
            <w:tcBorders>
              <w:top w:val="nil"/>
              <w:left w:val="nil"/>
              <w:bottom w:val="nil"/>
              <w:right w:val="single" w:sz="8" w:space="0" w:color="E0E0E0"/>
            </w:tcBorders>
            <w:shd w:val="clear" w:color="auto" w:fill="FFFFFF"/>
            <w:vAlign w:val="bottom"/>
          </w:tcPr>
          <w:p w14:paraId="4F7DD875"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62" w:type="dxa"/>
            <w:gridSpan w:val="4"/>
            <w:vMerge w:val="restart"/>
            <w:tcBorders>
              <w:top w:val="nil"/>
              <w:left w:val="single" w:sz="8" w:space="0" w:color="E0E0E0"/>
              <w:bottom w:val="nil"/>
              <w:right w:val="single" w:sz="8" w:space="0" w:color="E0E0E0"/>
            </w:tcBorders>
            <w:shd w:val="clear" w:color="auto" w:fill="FFFFFF"/>
            <w:vAlign w:val="bottom"/>
          </w:tcPr>
          <w:p w14:paraId="29E5DF71"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65" w:type="dxa"/>
            <w:gridSpan w:val="4"/>
            <w:vMerge w:val="restart"/>
            <w:tcBorders>
              <w:top w:val="nil"/>
              <w:left w:val="single" w:sz="8" w:space="0" w:color="E0E0E0"/>
              <w:bottom w:val="nil"/>
              <w:right w:val="single" w:sz="8" w:space="0" w:color="E0E0E0"/>
            </w:tcBorders>
            <w:shd w:val="clear" w:color="auto" w:fill="FFFFFF"/>
            <w:vAlign w:val="bottom"/>
          </w:tcPr>
          <w:p w14:paraId="72B9AAD8"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65" w:type="dxa"/>
            <w:gridSpan w:val="4"/>
            <w:vMerge w:val="restart"/>
            <w:tcBorders>
              <w:top w:val="nil"/>
              <w:left w:val="single" w:sz="8" w:space="0" w:color="E0E0E0"/>
              <w:bottom w:val="nil"/>
              <w:right w:val="single" w:sz="8" w:space="0" w:color="E0E0E0"/>
            </w:tcBorders>
            <w:shd w:val="clear" w:color="auto" w:fill="FFFFFF"/>
            <w:vAlign w:val="bottom"/>
          </w:tcPr>
          <w:p w14:paraId="57DC1488"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30" w:type="dxa"/>
            <w:gridSpan w:val="4"/>
            <w:tcBorders>
              <w:top w:val="nil"/>
              <w:left w:val="single" w:sz="8" w:space="0" w:color="E0E0E0"/>
              <w:bottom w:val="nil"/>
              <w:right w:val="nil"/>
            </w:tcBorders>
            <w:shd w:val="clear" w:color="auto" w:fill="FFFFFF"/>
            <w:vAlign w:val="bottom"/>
          </w:tcPr>
          <w:p w14:paraId="310C8D2F"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086D6EF1" w14:textId="77777777" w:rsidTr="00D56051">
        <w:trPr>
          <w:cantSplit/>
        </w:trPr>
        <w:tc>
          <w:tcPr>
            <w:tcW w:w="2203" w:type="dxa"/>
            <w:gridSpan w:val="3"/>
            <w:vMerge/>
            <w:tcBorders>
              <w:top w:val="nil"/>
              <w:left w:val="nil"/>
              <w:bottom w:val="nil"/>
              <w:right w:val="nil"/>
            </w:tcBorders>
            <w:shd w:val="clear" w:color="auto" w:fill="FFFFFF"/>
            <w:vAlign w:val="bottom"/>
          </w:tcPr>
          <w:p w14:paraId="5CBFE800" w14:textId="77777777" w:rsidR="0087601C" w:rsidRPr="006A1EC7" w:rsidRDefault="0087601C" w:rsidP="00D56051">
            <w:pPr>
              <w:rPr>
                <w:color w:val="264A60"/>
                <w:sz w:val="18"/>
              </w:rPr>
            </w:pPr>
          </w:p>
        </w:tc>
        <w:tc>
          <w:tcPr>
            <w:tcW w:w="1162" w:type="dxa"/>
            <w:gridSpan w:val="4"/>
            <w:vMerge/>
            <w:tcBorders>
              <w:top w:val="nil"/>
              <w:left w:val="nil"/>
              <w:bottom w:val="nil"/>
              <w:right w:val="single" w:sz="8" w:space="0" w:color="E0E0E0"/>
            </w:tcBorders>
            <w:shd w:val="clear" w:color="auto" w:fill="FFFFFF"/>
            <w:vAlign w:val="bottom"/>
          </w:tcPr>
          <w:p w14:paraId="4934358C" w14:textId="77777777" w:rsidR="0087601C" w:rsidRPr="006A1EC7" w:rsidRDefault="0087601C" w:rsidP="00D56051">
            <w:pPr>
              <w:rPr>
                <w:color w:val="264A60"/>
                <w:sz w:val="18"/>
              </w:rPr>
            </w:pPr>
          </w:p>
        </w:tc>
        <w:tc>
          <w:tcPr>
            <w:tcW w:w="1162" w:type="dxa"/>
            <w:gridSpan w:val="4"/>
            <w:vMerge/>
            <w:tcBorders>
              <w:top w:val="nil"/>
              <w:left w:val="single" w:sz="8" w:space="0" w:color="E0E0E0"/>
              <w:bottom w:val="nil"/>
              <w:right w:val="single" w:sz="8" w:space="0" w:color="E0E0E0"/>
            </w:tcBorders>
            <w:shd w:val="clear" w:color="auto" w:fill="FFFFFF"/>
            <w:vAlign w:val="bottom"/>
          </w:tcPr>
          <w:p w14:paraId="72F704C3" w14:textId="77777777" w:rsidR="0087601C" w:rsidRPr="006A1EC7" w:rsidRDefault="0087601C" w:rsidP="00D56051">
            <w:pPr>
              <w:rPr>
                <w:color w:val="264A60"/>
                <w:sz w:val="18"/>
              </w:rPr>
            </w:pPr>
          </w:p>
        </w:tc>
        <w:tc>
          <w:tcPr>
            <w:tcW w:w="1665" w:type="dxa"/>
            <w:gridSpan w:val="4"/>
            <w:vMerge/>
            <w:tcBorders>
              <w:top w:val="nil"/>
              <w:left w:val="single" w:sz="8" w:space="0" w:color="E0E0E0"/>
              <w:bottom w:val="nil"/>
              <w:right w:val="single" w:sz="8" w:space="0" w:color="E0E0E0"/>
            </w:tcBorders>
            <w:shd w:val="clear" w:color="auto" w:fill="FFFFFF"/>
            <w:vAlign w:val="bottom"/>
          </w:tcPr>
          <w:p w14:paraId="097EA2EE" w14:textId="77777777" w:rsidR="0087601C" w:rsidRPr="006A1EC7" w:rsidRDefault="0087601C" w:rsidP="00D56051">
            <w:pPr>
              <w:rPr>
                <w:color w:val="264A60"/>
                <w:sz w:val="18"/>
              </w:rPr>
            </w:pPr>
          </w:p>
        </w:tc>
        <w:tc>
          <w:tcPr>
            <w:tcW w:w="1665" w:type="dxa"/>
            <w:gridSpan w:val="4"/>
            <w:vMerge/>
            <w:tcBorders>
              <w:top w:val="nil"/>
              <w:left w:val="single" w:sz="8" w:space="0" w:color="E0E0E0"/>
              <w:bottom w:val="nil"/>
              <w:right w:val="single" w:sz="8" w:space="0" w:color="E0E0E0"/>
            </w:tcBorders>
            <w:shd w:val="clear" w:color="auto" w:fill="FFFFFF"/>
            <w:vAlign w:val="bottom"/>
          </w:tcPr>
          <w:p w14:paraId="5A3D4220" w14:textId="77777777" w:rsidR="0087601C" w:rsidRPr="006A1EC7" w:rsidRDefault="0087601C" w:rsidP="00D56051">
            <w:pPr>
              <w:rPr>
                <w:color w:val="264A60"/>
                <w:sz w:val="18"/>
              </w:rPr>
            </w:pPr>
          </w:p>
        </w:tc>
        <w:tc>
          <w:tcPr>
            <w:tcW w:w="1665" w:type="dxa"/>
            <w:gridSpan w:val="3"/>
            <w:tcBorders>
              <w:top w:val="nil"/>
              <w:left w:val="single" w:sz="8" w:space="0" w:color="E0E0E0"/>
              <w:bottom w:val="single" w:sz="8" w:space="0" w:color="152935"/>
              <w:right w:val="single" w:sz="8" w:space="0" w:color="E0E0E0"/>
            </w:tcBorders>
            <w:shd w:val="clear" w:color="auto" w:fill="FFFFFF"/>
            <w:vAlign w:val="bottom"/>
          </w:tcPr>
          <w:p w14:paraId="7B1EB245"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65" w:type="dxa"/>
            <w:tcBorders>
              <w:top w:val="nil"/>
              <w:left w:val="single" w:sz="8" w:space="0" w:color="E0E0E0"/>
              <w:bottom w:val="single" w:sz="8" w:space="0" w:color="152935"/>
              <w:right w:val="nil"/>
            </w:tcBorders>
            <w:shd w:val="clear" w:color="auto" w:fill="FFFFFF"/>
            <w:vAlign w:val="bottom"/>
          </w:tcPr>
          <w:p w14:paraId="63A9E971"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26808C14" w14:textId="77777777" w:rsidTr="00D56051">
        <w:trPr>
          <w:cantSplit/>
        </w:trPr>
        <w:tc>
          <w:tcPr>
            <w:tcW w:w="2203" w:type="dxa"/>
            <w:gridSpan w:val="3"/>
            <w:tcBorders>
              <w:top w:val="single" w:sz="8" w:space="0" w:color="152935"/>
              <w:left w:val="nil"/>
              <w:bottom w:val="single" w:sz="8" w:space="0" w:color="152935"/>
              <w:right w:val="nil"/>
            </w:tcBorders>
            <w:shd w:val="clear" w:color="auto" w:fill="E0E0E0"/>
          </w:tcPr>
          <w:p w14:paraId="6945D3B0" w14:textId="77777777" w:rsidR="0087601C" w:rsidRPr="006A1EC7" w:rsidRDefault="0087601C" w:rsidP="00D56051">
            <w:pPr>
              <w:spacing w:line="320" w:lineRule="atLeast"/>
              <w:ind w:left="60" w:right="60"/>
              <w:rPr>
                <w:color w:val="264A60"/>
                <w:sz w:val="18"/>
              </w:rPr>
            </w:pPr>
            <w:r w:rsidRPr="006A1EC7">
              <w:rPr>
                <w:color w:val="264A60"/>
                <w:sz w:val="18"/>
              </w:rPr>
              <w:t>T1Bronagh_Immun</w:t>
            </w:r>
          </w:p>
        </w:tc>
        <w:tc>
          <w:tcPr>
            <w:tcW w:w="1162" w:type="dxa"/>
            <w:gridSpan w:val="4"/>
            <w:tcBorders>
              <w:top w:val="single" w:sz="8" w:space="0" w:color="152935"/>
              <w:left w:val="nil"/>
              <w:bottom w:val="single" w:sz="8" w:space="0" w:color="152935"/>
              <w:right w:val="single" w:sz="8" w:space="0" w:color="E0E0E0"/>
            </w:tcBorders>
            <w:shd w:val="clear" w:color="auto" w:fill="FFFFFF"/>
          </w:tcPr>
          <w:p w14:paraId="36D6F35C" w14:textId="77777777" w:rsidR="0087601C" w:rsidRPr="006A1EC7" w:rsidRDefault="0087601C" w:rsidP="00D56051">
            <w:pPr>
              <w:spacing w:line="320" w:lineRule="atLeast"/>
              <w:ind w:left="60" w:right="60"/>
              <w:jc w:val="right"/>
              <w:rPr>
                <w:color w:val="010205"/>
                <w:sz w:val="18"/>
              </w:rPr>
            </w:pPr>
            <w:r w:rsidRPr="006A1EC7">
              <w:rPr>
                <w:color w:val="010205"/>
                <w:sz w:val="18"/>
              </w:rPr>
              <w:t>1.434</w:t>
            </w:r>
          </w:p>
        </w:tc>
        <w:tc>
          <w:tcPr>
            <w:tcW w:w="1162" w:type="dxa"/>
            <w:gridSpan w:val="4"/>
            <w:tcBorders>
              <w:top w:val="single" w:sz="8" w:space="0" w:color="152935"/>
              <w:left w:val="single" w:sz="8" w:space="0" w:color="E0E0E0"/>
              <w:bottom w:val="single" w:sz="8" w:space="0" w:color="152935"/>
              <w:right w:val="single" w:sz="8" w:space="0" w:color="E0E0E0"/>
            </w:tcBorders>
            <w:shd w:val="clear" w:color="auto" w:fill="FFFFFF"/>
          </w:tcPr>
          <w:p w14:paraId="6F42E3E4"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65" w:type="dxa"/>
            <w:gridSpan w:val="4"/>
            <w:tcBorders>
              <w:top w:val="single" w:sz="8" w:space="0" w:color="152935"/>
              <w:left w:val="single" w:sz="8" w:space="0" w:color="E0E0E0"/>
              <w:bottom w:val="single" w:sz="8" w:space="0" w:color="152935"/>
              <w:right w:val="single" w:sz="8" w:space="0" w:color="E0E0E0"/>
            </w:tcBorders>
            <w:shd w:val="clear" w:color="auto" w:fill="FFFFFF"/>
          </w:tcPr>
          <w:p w14:paraId="742D8900" w14:textId="77777777" w:rsidR="0087601C" w:rsidRPr="006A1EC7" w:rsidRDefault="0087601C" w:rsidP="00D56051">
            <w:pPr>
              <w:spacing w:line="320" w:lineRule="atLeast"/>
              <w:ind w:left="60" w:right="60"/>
              <w:jc w:val="right"/>
              <w:rPr>
                <w:color w:val="010205"/>
                <w:sz w:val="18"/>
              </w:rPr>
            </w:pPr>
            <w:r w:rsidRPr="006A1EC7">
              <w:rPr>
                <w:color w:val="010205"/>
                <w:sz w:val="18"/>
              </w:rPr>
              <w:t>.160</w:t>
            </w:r>
          </w:p>
        </w:tc>
        <w:tc>
          <w:tcPr>
            <w:tcW w:w="1665" w:type="dxa"/>
            <w:gridSpan w:val="4"/>
            <w:tcBorders>
              <w:top w:val="single" w:sz="8" w:space="0" w:color="152935"/>
              <w:left w:val="single" w:sz="8" w:space="0" w:color="E0E0E0"/>
              <w:bottom w:val="single" w:sz="8" w:space="0" w:color="152935"/>
              <w:right w:val="single" w:sz="8" w:space="0" w:color="E0E0E0"/>
            </w:tcBorders>
            <w:shd w:val="clear" w:color="auto" w:fill="FFFFFF"/>
          </w:tcPr>
          <w:p w14:paraId="11EDC9DA" w14:textId="77777777" w:rsidR="0087601C" w:rsidRPr="006A1EC7" w:rsidRDefault="0087601C" w:rsidP="00D56051">
            <w:pPr>
              <w:spacing w:line="320" w:lineRule="atLeast"/>
              <w:ind w:left="60" w:right="60"/>
              <w:jc w:val="right"/>
              <w:rPr>
                <w:color w:val="010205"/>
                <w:sz w:val="18"/>
              </w:rPr>
            </w:pPr>
            <w:r w:rsidRPr="006A1EC7">
              <w:rPr>
                <w:color w:val="010205"/>
                <w:sz w:val="18"/>
              </w:rPr>
              <w:t>.162</w:t>
            </w:r>
          </w:p>
        </w:tc>
        <w:tc>
          <w:tcPr>
            <w:tcW w:w="1665" w:type="dxa"/>
            <w:gridSpan w:val="3"/>
            <w:tcBorders>
              <w:top w:val="single" w:sz="8" w:space="0" w:color="152935"/>
              <w:left w:val="single" w:sz="8" w:space="0" w:color="E0E0E0"/>
              <w:bottom w:val="single" w:sz="8" w:space="0" w:color="152935"/>
              <w:right w:val="single" w:sz="8" w:space="0" w:color="E0E0E0"/>
            </w:tcBorders>
            <w:shd w:val="clear" w:color="auto" w:fill="FFFFFF"/>
          </w:tcPr>
          <w:p w14:paraId="6A65659E" w14:textId="77777777" w:rsidR="0087601C" w:rsidRPr="006A1EC7" w:rsidRDefault="0087601C" w:rsidP="00D56051">
            <w:pPr>
              <w:spacing w:line="320" w:lineRule="atLeast"/>
              <w:ind w:left="60" w:right="60"/>
              <w:jc w:val="right"/>
              <w:rPr>
                <w:color w:val="010205"/>
                <w:sz w:val="18"/>
              </w:rPr>
            </w:pPr>
            <w:r w:rsidRPr="006A1EC7">
              <w:rPr>
                <w:color w:val="010205"/>
                <w:sz w:val="18"/>
              </w:rPr>
              <w:t>-.07</w:t>
            </w:r>
          </w:p>
        </w:tc>
        <w:tc>
          <w:tcPr>
            <w:tcW w:w="1665" w:type="dxa"/>
            <w:tcBorders>
              <w:top w:val="single" w:sz="8" w:space="0" w:color="152935"/>
              <w:left w:val="single" w:sz="8" w:space="0" w:color="E0E0E0"/>
              <w:bottom w:val="single" w:sz="8" w:space="0" w:color="152935"/>
              <w:right w:val="nil"/>
            </w:tcBorders>
            <w:shd w:val="clear" w:color="auto" w:fill="FFFFFF"/>
          </w:tcPr>
          <w:p w14:paraId="4EF84BCB" w14:textId="77777777" w:rsidR="0087601C" w:rsidRPr="006A1EC7" w:rsidRDefault="0087601C" w:rsidP="00D56051">
            <w:pPr>
              <w:spacing w:line="320" w:lineRule="atLeast"/>
              <w:ind w:left="60" w:right="60"/>
              <w:jc w:val="right"/>
              <w:rPr>
                <w:color w:val="010205"/>
                <w:sz w:val="18"/>
              </w:rPr>
            </w:pPr>
            <w:r w:rsidRPr="006A1EC7">
              <w:rPr>
                <w:color w:val="010205"/>
                <w:sz w:val="18"/>
              </w:rPr>
              <w:t>.39</w:t>
            </w:r>
          </w:p>
        </w:tc>
      </w:tr>
      <w:tr w:rsidR="0087601C" w:rsidRPr="006A1EC7" w14:paraId="5822EA57" w14:textId="77777777" w:rsidTr="00D56051">
        <w:trPr>
          <w:gridAfter w:val="6"/>
          <w:wAfter w:w="4005" w:type="dxa"/>
          <w:cantSplit/>
        </w:trPr>
        <w:tc>
          <w:tcPr>
            <w:tcW w:w="954" w:type="dxa"/>
            <w:tcBorders>
              <w:top w:val="nil"/>
              <w:left w:val="nil"/>
              <w:bottom w:val="single" w:sz="8" w:space="0" w:color="152935"/>
              <w:right w:val="nil"/>
            </w:tcBorders>
            <w:shd w:val="clear" w:color="auto" w:fill="FFFFFF"/>
            <w:vAlign w:val="bottom"/>
          </w:tcPr>
          <w:p w14:paraId="2C8AB33C" w14:textId="77777777" w:rsidR="0087601C" w:rsidRPr="006A1EC7" w:rsidRDefault="0087601C" w:rsidP="00D56051">
            <w:pPr>
              <w:rPr>
                <w:sz w:val="18"/>
              </w:rPr>
            </w:pPr>
          </w:p>
        </w:tc>
        <w:tc>
          <w:tcPr>
            <w:tcW w:w="1280" w:type="dxa"/>
            <w:gridSpan w:val="3"/>
            <w:tcBorders>
              <w:top w:val="nil"/>
              <w:left w:val="nil"/>
              <w:bottom w:val="single" w:sz="8" w:space="0" w:color="152935"/>
              <w:right w:val="single" w:sz="8" w:space="0" w:color="E0E0E0"/>
            </w:tcBorders>
            <w:shd w:val="clear" w:color="auto" w:fill="FFFFFF"/>
            <w:vAlign w:val="bottom"/>
          </w:tcPr>
          <w:p w14:paraId="600AC1B6"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80" w:type="dxa"/>
            <w:gridSpan w:val="4"/>
            <w:tcBorders>
              <w:top w:val="nil"/>
              <w:left w:val="single" w:sz="8" w:space="0" w:color="E0E0E0"/>
              <w:bottom w:val="single" w:sz="8" w:space="0" w:color="152935"/>
              <w:right w:val="single" w:sz="8" w:space="0" w:color="E0E0E0"/>
            </w:tcBorders>
            <w:shd w:val="clear" w:color="auto" w:fill="FFFFFF"/>
            <w:vAlign w:val="bottom"/>
          </w:tcPr>
          <w:p w14:paraId="17B656CF"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4" w:type="dxa"/>
            <w:gridSpan w:val="5"/>
            <w:tcBorders>
              <w:top w:val="nil"/>
              <w:left w:val="single" w:sz="8" w:space="0" w:color="E0E0E0"/>
              <w:bottom w:val="single" w:sz="8" w:space="0" w:color="152935"/>
              <w:right w:val="single" w:sz="8" w:space="0" w:color="E0E0E0"/>
            </w:tcBorders>
            <w:shd w:val="clear" w:color="auto" w:fill="FFFFFF"/>
            <w:vAlign w:val="bottom"/>
          </w:tcPr>
          <w:p w14:paraId="492D080F"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4" w:type="dxa"/>
            <w:gridSpan w:val="4"/>
            <w:tcBorders>
              <w:top w:val="nil"/>
              <w:left w:val="single" w:sz="8" w:space="0" w:color="E0E0E0"/>
              <w:bottom w:val="single" w:sz="8" w:space="0" w:color="152935"/>
              <w:right w:val="nil"/>
            </w:tcBorders>
            <w:shd w:val="clear" w:color="auto" w:fill="FFFFFF"/>
            <w:vAlign w:val="bottom"/>
          </w:tcPr>
          <w:p w14:paraId="5F9AFE84"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2CC92053" w14:textId="77777777" w:rsidTr="00D56051">
        <w:trPr>
          <w:gridAfter w:val="6"/>
          <w:wAfter w:w="4005" w:type="dxa"/>
          <w:cantSplit/>
        </w:trPr>
        <w:tc>
          <w:tcPr>
            <w:tcW w:w="954" w:type="dxa"/>
            <w:tcBorders>
              <w:top w:val="single" w:sz="8" w:space="0" w:color="152935"/>
              <w:left w:val="nil"/>
              <w:bottom w:val="single" w:sz="8" w:space="0" w:color="152935"/>
              <w:right w:val="nil"/>
            </w:tcBorders>
            <w:shd w:val="clear" w:color="auto" w:fill="E0E0E0"/>
          </w:tcPr>
          <w:p w14:paraId="4E84E405" w14:textId="77777777" w:rsidR="0087601C" w:rsidRPr="006A1EC7" w:rsidRDefault="0087601C" w:rsidP="00D56051">
            <w:pPr>
              <w:spacing w:line="320" w:lineRule="atLeast"/>
              <w:ind w:left="60" w:right="60"/>
              <w:rPr>
                <w:color w:val="264A60"/>
                <w:sz w:val="18"/>
              </w:rPr>
            </w:pPr>
            <w:r w:rsidRPr="006A1EC7">
              <w:rPr>
                <w:color w:val="264A60"/>
                <w:sz w:val="18"/>
              </w:rPr>
              <w:t>Sleep</w:t>
            </w:r>
          </w:p>
        </w:tc>
        <w:tc>
          <w:tcPr>
            <w:tcW w:w="1280" w:type="dxa"/>
            <w:gridSpan w:val="3"/>
            <w:tcBorders>
              <w:top w:val="single" w:sz="8" w:space="0" w:color="152935"/>
              <w:left w:val="nil"/>
              <w:bottom w:val="single" w:sz="8" w:space="0" w:color="152935"/>
              <w:right w:val="single" w:sz="8" w:space="0" w:color="E0E0E0"/>
            </w:tcBorders>
            <w:shd w:val="clear" w:color="auto" w:fill="FFFFFF"/>
          </w:tcPr>
          <w:p w14:paraId="5B2C7A8B"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80" w:type="dxa"/>
            <w:gridSpan w:val="4"/>
            <w:tcBorders>
              <w:top w:val="single" w:sz="8" w:space="0" w:color="152935"/>
              <w:left w:val="single" w:sz="8" w:space="0" w:color="E0E0E0"/>
              <w:bottom w:val="single" w:sz="8" w:space="0" w:color="152935"/>
              <w:right w:val="single" w:sz="8" w:space="0" w:color="E0E0E0"/>
            </w:tcBorders>
            <w:shd w:val="clear" w:color="auto" w:fill="FFFFFF"/>
          </w:tcPr>
          <w:p w14:paraId="54660175" w14:textId="77777777" w:rsidR="0087601C" w:rsidRPr="006A1EC7" w:rsidRDefault="0087601C" w:rsidP="00D56051">
            <w:pPr>
              <w:spacing w:line="320" w:lineRule="atLeast"/>
              <w:ind w:left="60" w:right="60"/>
              <w:jc w:val="right"/>
              <w:rPr>
                <w:color w:val="010205"/>
                <w:sz w:val="18"/>
              </w:rPr>
            </w:pPr>
            <w:r w:rsidRPr="006A1EC7">
              <w:rPr>
                <w:color w:val="010205"/>
                <w:sz w:val="18"/>
              </w:rPr>
              <w:t>1.47</w:t>
            </w:r>
          </w:p>
        </w:tc>
        <w:tc>
          <w:tcPr>
            <w:tcW w:w="1834" w:type="dxa"/>
            <w:gridSpan w:val="5"/>
            <w:tcBorders>
              <w:top w:val="single" w:sz="8" w:space="0" w:color="152935"/>
              <w:left w:val="single" w:sz="8" w:space="0" w:color="E0E0E0"/>
              <w:bottom w:val="single" w:sz="8" w:space="0" w:color="152935"/>
              <w:right w:val="single" w:sz="8" w:space="0" w:color="E0E0E0"/>
            </w:tcBorders>
            <w:shd w:val="clear" w:color="auto" w:fill="FFFFFF"/>
          </w:tcPr>
          <w:p w14:paraId="6852D2F9" w14:textId="77777777" w:rsidR="0087601C" w:rsidRPr="006A1EC7" w:rsidRDefault="0087601C" w:rsidP="00D56051">
            <w:pPr>
              <w:spacing w:line="320" w:lineRule="atLeast"/>
              <w:ind w:left="60" w:right="60"/>
              <w:jc w:val="right"/>
              <w:rPr>
                <w:color w:val="010205"/>
                <w:sz w:val="18"/>
              </w:rPr>
            </w:pPr>
            <w:r w:rsidRPr="006A1EC7">
              <w:rPr>
                <w:color w:val="010205"/>
                <w:sz w:val="18"/>
              </w:rPr>
              <w:t>.687</w:t>
            </w:r>
          </w:p>
        </w:tc>
        <w:tc>
          <w:tcPr>
            <w:tcW w:w="1834" w:type="dxa"/>
            <w:gridSpan w:val="4"/>
            <w:tcBorders>
              <w:top w:val="single" w:sz="8" w:space="0" w:color="152935"/>
              <w:left w:val="single" w:sz="8" w:space="0" w:color="E0E0E0"/>
              <w:bottom w:val="single" w:sz="8" w:space="0" w:color="152935"/>
              <w:right w:val="nil"/>
            </w:tcBorders>
            <w:shd w:val="clear" w:color="auto" w:fill="FFFFFF"/>
          </w:tcPr>
          <w:p w14:paraId="4C7482C2" w14:textId="77777777" w:rsidR="0087601C" w:rsidRPr="006A1EC7" w:rsidRDefault="0087601C" w:rsidP="00D56051">
            <w:pPr>
              <w:spacing w:line="320" w:lineRule="atLeast"/>
              <w:ind w:left="60" w:right="60"/>
              <w:jc w:val="right"/>
              <w:rPr>
                <w:color w:val="010205"/>
                <w:sz w:val="18"/>
              </w:rPr>
            </w:pPr>
            <w:r w:rsidRPr="006A1EC7">
              <w:rPr>
                <w:color w:val="010205"/>
                <w:sz w:val="18"/>
              </w:rPr>
              <w:t>.113</w:t>
            </w:r>
          </w:p>
        </w:tc>
      </w:tr>
    </w:tbl>
    <w:p w14:paraId="3AE9CD72" w14:textId="77777777" w:rsidR="0087601C" w:rsidRPr="006A1EC7" w:rsidRDefault="0087601C" w:rsidP="0087601C">
      <w:pPr>
        <w:spacing w:line="400" w:lineRule="atLeast"/>
        <w:rPr>
          <w:sz w:val="18"/>
        </w:rPr>
      </w:pPr>
    </w:p>
    <w:tbl>
      <w:tblPr>
        <w:tblW w:w="10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1"/>
        <w:gridCol w:w="1273"/>
        <w:gridCol w:w="1273"/>
        <w:gridCol w:w="1824"/>
        <w:gridCol w:w="1824"/>
        <w:gridCol w:w="1824"/>
        <w:gridCol w:w="1823"/>
      </w:tblGrid>
      <w:tr w:rsidR="0087601C" w:rsidRPr="006A1EC7" w14:paraId="1753E04F" w14:textId="77777777" w:rsidTr="00D56051">
        <w:trPr>
          <w:cantSplit/>
        </w:trPr>
        <w:tc>
          <w:tcPr>
            <w:tcW w:w="951" w:type="dxa"/>
            <w:vMerge w:val="restart"/>
            <w:tcBorders>
              <w:top w:val="nil"/>
              <w:left w:val="nil"/>
              <w:bottom w:val="nil"/>
              <w:right w:val="nil"/>
            </w:tcBorders>
            <w:shd w:val="clear" w:color="auto" w:fill="FFFFFF"/>
            <w:vAlign w:val="bottom"/>
          </w:tcPr>
          <w:p w14:paraId="367B5838" w14:textId="77777777" w:rsidR="0087601C" w:rsidRPr="006A1EC7" w:rsidRDefault="0087601C" w:rsidP="00D56051">
            <w:pPr>
              <w:rPr>
                <w:sz w:val="18"/>
              </w:rPr>
            </w:pPr>
          </w:p>
        </w:tc>
        <w:tc>
          <w:tcPr>
            <w:tcW w:w="9841" w:type="dxa"/>
            <w:gridSpan w:val="6"/>
            <w:tcBorders>
              <w:top w:val="nil"/>
              <w:left w:val="nil"/>
              <w:bottom w:val="nil"/>
              <w:right w:val="nil"/>
            </w:tcBorders>
            <w:shd w:val="clear" w:color="auto" w:fill="FFFFFF"/>
            <w:vAlign w:val="bottom"/>
          </w:tcPr>
          <w:p w14:paraId="34F432F6"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1.5</w:t>
            </w:r>
          </w:p>
        </w:tc>
      </w:tr>
      <w:tr w:rsidR="0087601C" w:rsidRPr="006A1EC7" w14:paraId="3914E6AD" w14:textId="77777777" w:rsidTr="00D56051">
        <w:trPr>
          <w:cantSplit/>
        </w:trPr>
        <w:tc>
          <w:tcPr>
            <w:tcW w:w="951" w:type="dxa"/>
            <w:vMerge/>
            <w:tcBorders>
              <w:top w:val="nil"/>
              <w:left w:val="nil"/>
              <w:bottom w:val="nil"/>
              <w:right w:val="nil"/>
            </w:tcBorders>
            <w:shd w:val="clear" w:color="auto" w:fill="FFFFFF"/>
            <w:vAlign w:val="bottom"/>
          </w:tcPr>
          <w:p w14:paraId="07D1017B" w14:textId="77777777" w:rsidR="0087601C" w:rsidRPr="006A1EC7" w:rsidRDefault="0087601C" w:rsidP="00D56051">
            <w:pPr>
              <w:rPr>
                <w:color w:val="264A60"/>
                <w:sz w:val="18"/>
              </w:rPr>
            </w:pPr>
          </w:p>
        </w:tc>
        <w:tc>
          <w:tcPr>
            <w:tcW w:w="1273" w:type="dxa"/>
            <w:vMerge w:val="restart"/>
            <w:tcBorders>
              <w:top w:val="nil"/>
              <w:left w:val="nil"/>
              <w:bottom w:val="nil"/>
              <w:right w:val="single" w:sz="8" w:space="0" w:color="E0E0E0"/>
            </w:tcBorders>
            <w:shd w:val="clear" w:color="auto" w:fill="FFFFFF"/>
            <w:vAlign w:val="bottom"/>
          </w:tcPr>
          <w:p w14:paraId="783289CC"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73" w:type="dxa"/>
            <w:vMerge w:val="restart"/>
            <w:tcBorders>
              <w:top w:val="nil"/>
              <w:left w:val="single" w:sz="8" w:space="0" w:color="E0E0E0"/>
              <w:bottom w:val="nil"/>
              <w:right w:val="single" w:sz="8" w:space="0" w:color="E0E0E0"/>
            </w:tcBorders>
            <w:shd w:val="clear" w:color="auto" w:fill="FFFFFF"/>
            <w:vAlign w:val="bottom"/>
          </w:tcPr>
          <w:p w14:paraId="45DD4734"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824" w:type="dxa"/>
            <w:vMerge w:val="restart"/>
            <w:tcBorders>
              <w:top w:val="nil"/>
              <w:left w:val="single" w:sz="8" w:space="0" w:color="E0E0E0"/>
              <w:bottom w:val="nil"/>
              <w:right w:val="single" w:sz="8" w:space="0" w:color="E0E0E0"/>
            </w:tcBorders>
            <w:shd w:val="clear" w:color="auto" w:fill="FFFFFF"/>
            <w:vAlign w:val="bottom"/>
          </w:tcPr>
          <w:p w14:paraId="5501658A"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824" w:type="dxa"/>
            <w:vMerge w:val="restart"/>
            <w:tcBorders>
              <w:top w:val="nil"/>
              <w:left w:val="single" w:sz="8" w:space="0" w:color="E0E0E0"/>
              <w:bottom w:val="nil"/>
              <w:right w:val="single" w:sz="8" w:space="0" w:color="E0E0E0"/>
            </w:tcBorders>
            <w:shd w:val="clear" w:color="auto" w:fill="FFFFFF"/>
            <w:vAlign w:val="bottom"/>
          </w:tcPr>
          <w:p w14:paraId="31A13C32"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647" w:type="dxa"/>
            <w:gridSpan w:val="2"/>
            <w:tcBorders>
              <w:top w:val="nil"/>
              <w:left w:val="single" w:sz="8" w:space="0" w:color="E0E0E0"/>
              <w:bottom w:val="nil"/>
              <w:right w:val="nil"/>
            </w:tcBorders>
            <w:shd w:val="clear" w:color="auto" w:fill="FFFFFF"/>
            <w:vAlign w:val="bottom"/>
          </w:tcPr>
          <w:p w14:paraId="118F1492"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3A1C940C" w14:textId="77777777" w:rsidTr="00D56051">
        <w:trPr>
          <w:cantSplit/>
        </w:trPr>
        <w:tc>
          <w:tcPr>
            <w:tcW w:w="951" w:type="dxa"/>
            <w:vMerge/>
            <w:tcBorders>
              <w:top w:val="nil"/>
              <w:left w:val="nil"/>
              <w:bottom w:val="nil"/>
              <w:right w:val="nil"/>
            </w:tcBorders>
            <w:shd w:val="clear" w:color="auto" w:fill="FFFFFF"/>
            <w:vAlign w:val="bottom"/>
          </w:tcPr>
          <w:p w14:paraId="71E2592E" w14:textId="77777777" w:rsidR="0087601C" w:rsidRPr="006A1EC7" w:rsidRDefault="0087601C" w:rsidP="00D56051">
            <w:pPr>
              <w:rPr>
                <w:color w:val="264A60"/>
                <w:sz w:val="18"/>
              </w:rPr>
            </w:pPr>
          </w:p>
        </w:tc>
        <w:tc>
          <w:tcPr>
            <w:tcW w:w="1273" w:type="dxa"/>
            <w:vMerge/>
            <w:tcBorders>
              <w:top w:val="nil"/>
              <w:left w:val="nil"/>
              <w:bottom w:val="nil"/>
              <w:right w:val="single" w:sz="8" w:space="0" w:color="E0E0E0"/>
            </w:tcBorders>
            <w:shd w:val="clear" w:color="auto" w:fill="FFFFFF"/>
            <w:vAlign w:val="bottom"/>
          </w:tcPr>
          <w:p w14:paraId="13842DDA" w14:textId="77777777" w:rsidR="0087601C" w:rsidRPr="006A1EC7" w:rsidRDefault="0087601C" w:rsidP="00D56051">
            <w:pPr>
              <w:rPr>
                <w:color w:val="264A60"/>
                <w:sz w:val="18"/>
              </w:rPr>
            </w:pPr>
          </w:p>
        </w:tc>
        <w:tc>
          <w:tcPr>
            <w:tcW w:w="1273" w:type="dxa"/>
            <w:vMerge/>
            <w:tcBorders>
              <w:top w:val="nil"/>
              <w:left w:val="single" w:sz="8" w:space="0" w:color="E0E0E0"/>
              <w:bottom w:val="nil"/>
              <w:right w:val="single" w:sz="8" w:space="0" w:color="E0E0E0"/>
            </w:tcBorders>
            <w:shd w:val="clear" w:color="auto" w:fill="FFFFFF"/>
            <w:vAlign w:val="bottom"/>
          </w:tcPr>
          <w:p w14:paraId="50DFCCA6" w14:textId="77777777" w:rsidR="0087601C" w:rsidRPr="006A1EC7" w:rsidRDefault="0087601C" w:rsidP="00D56051">
            <w:pPr>
              <w:rPr>
                <w:color w:val="264A60"/>
                <w:sz w:val="18"/>
              </w:rPr>
            </w:pPr>
          </w:p>
        </w:tc>
        <w:tc>
          <w:tcPr>
            <w:tcW w:w="1824" w:type="dxa"/>
            <w:vMerge/>
            <w:tcBorders>
              <w:top w:val="nil"/>
              <w:left w:val="single" w:sz="8" w:space="0" w:color="E0E0E0"/>
              <w:bottom w:val="nil"/>
              <w:right w:val="single" w:sz="8" w:space="0" w:color="E0E0E0"/>
            </w:tcBorders>
            <w:shd w:val="clear" w:color="auto" w:fill="FFFFFF"/>
            <w:vAlign w:val="bottom"/>
          </w:tcPr>
          <w:p w14:paraId="34BAEEF2" w14:textId="77777777" w:rsidR="0087601C" w:rsidRPr="006A1EC7" w:rsidRDefault="0087601C" w:rsidP="00D56051">
            <w:pPr>
              <w:rPr>
                <w:color w:val="264A60"/>
                <w:sz w:val="18"/>
              </w:rPr>
            </w:pPr>
          </w:p>
        </w:tc>
        <w:tc>
          <w:tcPr>
            <w:tcW w:w="1824" w:type="dxa"/>
            <w:vMerge/>
            <w:tcBorders>
              <w:top w:val="nil"/>
              <w:left w:val="single" w:sz="8" w:space="0" w:color="E0E0E0"/>
              <w:bottom w:val="nil"/>
              <w:right w:val="single" w:sz="8" w:space="0" w:color="E0E0E0"/>
            </w:tcBorders>
            <w:shd w:val="clear" w:color="auto" w:fill="FFFFFF"/>
            <w:vAlign w:val="bottom"/>
          </w:tcPr>
          <w:p w14:paraId="026D904F" w14:textId="77777777" w:rsidR="0087601C" w:rsidRPr="006A1EC7" w:rsidRDefault="0087601C" w:rsidP="00D56051">
            <w:pPr>
              <w:rPr>
                <w:color w:val="264A60"/>
                <w:sz w:val="18"/>
              </w:rPr>
            </w:pPr>
          </w:p>
        </w:tc>
        <w:tc>
          <w:tcPr>
            <w:tcW w:w="1824" w:type="dxa"/>
            <w:tcBorders>
              <w:top w:val="nil"/>
              <w:left w:val="single" w:sz="8" w:space="0" w:color="E0E0E0"/>
              <w:bottom w:val="single" w:sz="8" w:space="0" w:color="152935"/>
              <w:right w:val="single" w:sz="8" w:space="0" w:color="E0E0E0"/>
            </w:tcBorders>
            <w:shd w:val="clear" w:color="auto" w:fill="FFFFFF"/>
            <w:vAlign w:val="bottom"/>
          </w:tcPr>
          <w:p w14:paraId="4045EABC"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823" w:type="dxa"/>
            <w:tcBorders>
              <w:top w:val="nil"/>
              <w:left w:val="single" w:sz="8" w:space="0" w:color="E0E0E0"/>
              <w:bottom w:val="single" w:sz="8" w:space="0" w:color="152935"/>
              <w:right w:val="nil"/>
            </w:tcBorders>
            <w:shd w:val="clear" w:color="auto" w:fill="FFFFFF"/>
            <w:vAlign w:val="bottom"/>
          </w:tcPr>
          <w:p w14:paraId="554B0571"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143C2B7E" w14:textId="77777777" w:rsidTr="00D56051">
        <w:trPr>
          <w:cantSplit/>
        </w:trPr>
        <w:tc>
          <w:tcPr>
            <w:tcW w:w="951" w:type="dxa"/>
            <w:tcBorders>
              <w:top w:val="single" w:sz="8" w:space="0" w:color="152935"/>
              <w:left w:val="nil"/>
              <w:bottom w:val="single" w:sz="8" w:space="0" w:color="152935"/>
              <w:right w:val="nil"/>
            </w:tcBorders>
            <w:shd w:val="clear" w:color="auto" w:fill="E0E0E0"/>
          </w:tcPr>
          <w:p w14:paraId="75685B96" w14:textId="77777777" w:rsidR="0087601C" w:rsidRPr="006A1EC7" w:rsidRDefault="0087601C" w:rsidP="00D56051">
            <w:pPr>
              <w:spacing w:line="320" w:lineRule="atLeast"/>
              <w:ind w:left="60" w:right="60"/>
              <w:rPr>
                <w:color w:val="264A60"/>
                <w:sz w:val="18"/>
              </w:rPr>
            </w:pPr>
            <w:r w:rsidRPr="006A1EC7">
              <w:rPr>
                <w:color w:val="264A60"/>
                <w:sz w:val="18"/>
              </w:rPr>
              <w:t>Sleep</w:t>
            </w:r>
          </w:p>
        </w:tc>
        <w:tc>
          <w:tcPr>
            <w:tcW w:w="1273" w:type="dxa"/>
            <w:tcBorders>
              <w:top w:val="single" w:sz="8" w:space="0" w:color="152935"/>
              <w:left w:val="nil"/>
              <w:bottom w:val="single" w:sz="8" w:space="0" w:color="152935"/>
              <w:right w:val="single" w:sz="8" w:space="0" w:color="E0E0E0"/>
            </w:tcBorders>
            <w:shd w:val="clear" w:color="auto" w:fill="FFFFFF"/>
          </w:tcPr>
          <w:p w14:paraId="3F8E716B" w14:textId="77777777" w:rsidR="0087601C" w:rsidRPr="006A1EC7" w:rsidRDefault="0087601C" w:rsidP="00D56051">
            <w:pPr>
              <w:spacing w:line="320" w:lineRule="atLeast"/>
              <w:ind w:left="60" w:right="60"/>
              <w:jc w:val="right"/>
              <w:rPr>
                <w:color w:val="010205"/>
                <w:sz w:val="18"/>
              </w:rPr>
            </w:pPr>
            <w:r w:rsidRPr="006A1EC7">
              <w:rPr>
                <w:color w:val="010205"/>
                <w:sz w:val="18"/>
              </w:rPr>
              <w:t>-.239</w:t>
            </w:r>
          </w:p>
        </w:tc>
        <w:tc>
          <w:tcPr>
            <w:tcW w:w="1273" w:type="dxa"/>
            <w:tcBorders>
              <w:top w:val="single" w:sz="8" w:space="0" w:color="152935"/>
              <w:left w:val="single" w:sz="8" w:space="0" w:color="E0E0E0"/>
              <w:bottom w:val="single" w:sz="8" w:space="0" w:color="152935"/>
              <w:right w:val="single" w:sz="8" w:space="0" w:color="E0E0E0"/>
            </w:tcBorders>
            <w:shd w:val="clear" w:color="auto" w:fill="FFFFFF"/>
          </w:tcPr>
          <w:p w14:paraId="56A1ED50"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824" w:type="dxa"/>
            <w:tcBorders>
              <w:top w:val="single" w:sz="8" w:space="0" w:color="152935"/>
              <w:left w:val="single" w:sz="8" w:space="0" w:color="E0E0E0"/>
              <w:bottom w:val="single" w:sz="8" w:space="0" w:color="152935"/>
              <w:right w:val="single" w:sz="8" w:space="0" w:color="E0E0E0"/>
            </w:tcBorders>
            <w:shd w:val="clear" w:color="auto" w:fill="FFFFFF"/>
          </w:tcPr>
          <w:p w14:paraId="1D19EEEE" w14:textId="77777777" w:rsidR="0087601C" w:rsidRPr="006A1EC7" w:rsidRDefault="0087601C" w:rsidP="00D56051">
            <w:pPr>
              <w:spacing w:line="320" w:lineRule="atLeast"/>
              <w:ind w:left="60" w:right="60"/>
              <w:jc w:val="right"/>
              <w:rPr>
                <w:color w:val="010205"/>
                <w:sz w:val="18"/>
              </w:rPr>
            </w:pPr>
            <w:r w:rsidRPr="006A1EC7">
              <w:rPr>
                <w:color w:val="010205"/>
                <w:sz w:val="18"/>
              </w:rPr>
              <w:t>.812</w:t>
            </w:r>
          </w:p>
        </w:tc>
        <w:tc>
          <w:tcPr>
            <w:tcW w:w="1824" w:type="dxa"/>
            <w:tcBorders>
              <w:top w:val="single" w:sz="8" w:space="0" w:color="152935"/>
              <w:left w:val="single" w:sz="8" w:space="0" w:color="E0E0E0"/>
              <w:bottom w:val="single" w:sz="8" w:space="0" w:color="152935"/>
              <w:right w:val="single" w:sz="8" w:space="0" w:color="E0E0E0"/>
            </w:tcBorders>
            <w:shd w:val="clear" w:color="auto" w:fill="FFFFFF"/>
          </w:tcPr>
          <w:p w14:paraId="06EFE446" w14:textId="77777777" w:rsidR="0087601C" w:rsidRPr="006A1EC7" w:rsidRDefault="0087601C" w:rsidP="00D56051">
            <w:pPr>
              <w:spacing w:line="320" w:lineRule="atLeast"/>
              <w:ind w:left="60" w:right="60"/>
              <w:jc w:val="right"/>
              <w:rPr>
                <w:color w:val="010205"/>
                <w:sz w:val="18"/>
              </w:rPr>
            </w:pPr>
            <w:r w:rsidRPr="006A1EC7">
              <w:rPr>
                <w:color w:val="010205"/>
                <w:sz w:val="18"/>
              </w:rPr>
              <w:t>-.027</w:t>
            </w:r>
          </w:p>
        </w:tc>
        <w:tc>
          <w:tcPr>
            <w:tcW w:w="1824" w:type="dxa"/>
            <w:tcBorders>
              <w:top w:val="single" w:sz="8" w:space="0" w:color="152935"/>
              <w:left w:val="single" w:sz="8" w:space="0" w:color="E0E0E0"/>
              <w:bottom w:val="single" w:sz="8" w:space="0" w:color="152935"/>
              <w:right w:val="single" w:sz="8" w:space="0" w:color="E0E0E0"/>
            </w:tcBorders>
            <w:shd w:val="clear" w:color="auto" w:fill="FFFFFF"/>
          </w:tcPr>
          <w:p w14:paraId="3C1513AB" w14:textId="77777777" w:rsidR="0087601C" w:rsidRPr="006A1EC7" w:rsidRDefault="0087601C" w:rsidP="00D56051">
            <w:pPr>
              <w:spacing w:line="320" w:lineRule="atLeast"/>
              <w:ind w:left="60" w:right="60"/>
              <w:jc w:val="right"/>
              <w:rPr>
                <w:color w:val="010205"/>
                <w:sz w:val="18"/>
              </w:rPr>
            </w:pPr>
            <w:r w:rsidRPr="006A1EC7">
              <w:rPr>
                <w:color w:val="010205"/>
                <w:sz w:val="18"/>
              </w:rPr>
              <w:t>-.26</w:t>
            </w:r>
          </w:p>
        </w:tc>
        <w:tc>
          <w:tcPr>
            <w:tcW w:w="1823" w:type="dxa"/>
            <w:tcBorders>
              <w:top w:val="single" w:sz="8" w:space="0" w:color="152935"/>
              <w:left w:val="single" w:sz="8" w:space="0" w:color="E0E0E0"/>
              <w:bottom w:val="single" w:sz="8" w:space="0" w:color="152935"/>
              <w:right w:val="nil"/>
            </w:tcBorders>
            <w:shd w:val="clear" w:color="auto" w:fill="FFFFFF"/>
          </w:tcPr>
          <w:p w14:paraId="0FA0507B" w14:textId="77777777" w:rsidR="0087601C" w:rsidRPr="006A1EC7" w:rsidRDefault="0087601C" w:rsidP="00D56051">
            <w:pPr>
              <w:spacing w:line="320" w:lineRule="atLeast"/>
              <w:ind w:left="60" w:right="60"/>
              <w:jc w:val="right"/>
              <w:rPr>
                <w:color w:val="010205"/>
                <w:sz w:val="18"/>
              </w:rPr>
            </w:pPr>
            <w:r w:rsidRPr="006A1EC7">
              <w:rPr>
                <w:color w:val="010205"/>
                <w:sz w:val="18"/>
              </w:rPr>
              <w:t>.20</w:t>
            </w:r>
          </w:p>
        </w:tc>
      </w:tr>
    </w:tbl>
    <w:p w14:paraId="635D4C13"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4"/>
        <w:gridCol w:w="15"/>
        <w:gridCol w:w="149"/>
        <w:gridCol w:w="20"/>
        <w:gridCol w:w="997"/>
        <w:gridCol w:w="15"/>
        <w:gridCol w:w="244"/>
        <w:gridCol w:w="20"/>
        <w:gridCol w:w="904"/>
        <w:gridCol w:w="12"/>
        <w:gridCol w:w="340"/>
        <w:gridCol w:w="20"/>
        <w:gridCol w:w="1322"/>
        <w:gridCol w:w="9"/>
        <w:gridCol w:w="479"/>
        <w:gridCol w:w="19"/>
        <w:gridCol w:w="1187"/>
        <w:gridCol w:w="6"/>
        <w:gridCol w:w="618"/>
        <w:gridCol w:w="18"/>
        <w:gridCol w:w="1055"/>
        <w:gridCol w:w="1694"/>
      </w:tblGrid>
      <w:tr w:rsidR="0087601C" w:rsidRPr="006A1EC7" w14:paraId="2367D39D" w14:textId="77777777" w:rsidTr="00D56051">
        <w:trPr>
          <w:gridAfter w:val="2"/>
          <w:wAfter w:w="2746" w:type="dxa"/>
          <w:cantSplit/>
        </w:trPr>
        <w:tc>
          <w:tcPr>
            <w:tcW w:w="2231" w:type="dxa"/>
            <w:gridSpan w:val="4"/>
            <w:tcBorders>
              <w:top w:val="nil"/>
              <w:left w:val="nil"/>
              <w:bottom w:val="single" w:sz="8" w:space="0" w:color="152935"/>
              <w:right w:val="nil"/>
            </w:tcBorders>
            <w:shd w:val="clear" w:color="auto" w:fill="FFFFFF"/>
            <w:vAlign w:val="bottom"/>
          </w:tcPr>
          <w:p w14:paraId="0D3C63CD" w14:textId="77777777" w:rsidR="0087601C" w:rsidRPr="006A1EC7" w:rsidRDefault="0087601C" w:rsidP="00D56051">
            <w:pPr>
              <w:rPr>
                <w:sz w:val="18"/>
              </w:rPr>
            </w:pPr>
          </w:p>
        </w:tc>
        <w:tc>
          <w:tcPr>
            <w:tcW w:w="1276" w:type="dxa"/>
            <w:gridSpan w:val="4"/>
            <w:tcBorders>
              <w:top w:val="nil"/>
              <w:left w:val="nil"/>
              <w:bottom w:val="single" w:sz="8" w:space="0" w:color="152935"/>
              <w:right w:val="single" w:sz="8" w:space="0" w:color="E0E0E0"/>
            </w:tcBorders>
            <w:shd w:val="clear" w:color="auto" w:fill="FFFFFF"/>
            <w:vAlign w:val="bottom"/>
          </w:tcPr>
          <w:p w14:paraId="60CD5C5A"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4"/>
            <w:tcBorders>
              <w:top w:val="nil"/>
              <w:left w:val="single" w:sz="8" w:space="0" w:color="E0E0E0"/>
              <w:bottom w:val="single" w:sz="8" w:space="0" w:color="152935"/>
              <w:right w:val="single" w:sz="8" w:space="0" w:color="E0E0E0"/>
            </w:tcBorders>
            <w:shd w:val="clear" w:color="auto" w:fill="FFFFFF"/>
            <w:vAlign w:val="bottom"/>
          </w:tcPr>
          <w:p w14:paraId="415CE155"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gridSpan w:val="4"/>
            <w:tcBorders>
              <w:top w:val="nil"/>
              <w:left w:val="single" w:sz="8" w:space="0" w:color="E0E0E0"/>
              <w:bottom w:val="single" w:sz="8" w:space="0" w:color="152935"/>
              <w:right w:val="single" w:sz="8" w:space="0" w:color="E0E0E0"/>
            </w:tcBorders>
            <w:shd w:val="clear" w:color="auto" w:fill="FFFFFF"/>
            <w:vAlign w:val="bottom"/>
          </w:tcPr>
          <w:p w14:paraId="233D3E4A"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gridSpan w:val="4"/>
            <w:tcBorders>
              <w:top w:val="nil"/>
              <w:left w:val="single" w:sz="8" w:space="0" w:color="E0E0E0"/>
              <w:bottom w:val="single" w:sz="8" w:space="0" w:color="152935"/>
              <w:right w:val="nil"/>
            </w:tcBorders>
            <w:shd w:val="clear" w:color="auto" w:fill="FFFFFF"/>
            <w:vAlign w:val="bottom"/>
          </w:tcPr>
          <w:p w14:paraId="7F8B7080"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49D533DF" w14:textId="77777777" w:rsidTr="00D56051">
        <w:trPr>
          <w:gridAfter w:val="2"/>
          <w:wAfter w:w="2746" w:type="dxa"/>
          <w:cantSplit/>
        </w:trPr>
        <w:tc>
          <w:tcPr>
            <w:tcW w:w="2231" w:type="dxa"/>
            <w:gridSpan w:val="4"/>
            <w:tcBorders>
              <w:top w:val="single" w:sz="8" w:space="0" w:color="152935"/>
              <w:left w:val="nil"/>
              <w:bottom w:val="single" w:sz="8" w:space="0" w:color="152935"/>
              <w:right w:val="nil"/>
            </w:tcBorders>
            <w:shd w:val="clear" w:color="auto" w:fill="E0E0E0"/>
          </w:tcPr>
          <w:p w14:paraId="612E0447" w14:textId="77777777" w:rsidR="0087601C" w:rsidRPr="006A1EC7" w:rsidRDefault="0087601C" w:rsidP="00D56051">
            <w:pPr>
              <w:spacing w:line="320" w:lineRule="atLeast"/>
              <w:ind w:left="60" w:right="60"/>
              <w:rPr>
                <w:color w:val="264A60"/>
                <w:sz w:val="18"/>
              </w:rPr>
            </w:pPr>
            <w:r w:rsidRPr="006A1EC7">
              <w:rPr>
                <w:color w:val="264A60"/>
                <w:sz w:val="18"/>
              </w:rPr>
              <w:t>T1Bronagh_Total</w:t>
            </w:r>
          </w:p>
        </w:tc>
        <w:tc>
          <w:tcPr>
            <w:tcW w:w="1276" w:type="dxa"/>
            <w:gridSpan w:val="4"/>
            <w:tcBorders>
              <w:top w:val="single" w:sz="8" w:space="0" w:color="152935"/>
              <w:left w:val="nil"/>
              <w:bottom w:val="single" w:sz="8" w:space="0" w:color="152935"/>
              <w:right w:val="single" w:sz="8" w:space="0" w:color="E0E0E0"/>
            </w:tcBorders>
            <w:shd w:val="clear" w:color="auto" w:fill="FFFFFF"/>
          </w:tcPr>
          <w:p w14:paraId="3D66F441"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276" w:type="dxa"/>
            <w:gridSpan w:val="4"/>
            <w:tcBorders>
              <w:top w:val="single" w:sz="8" w:space="0" w:color="152935"/>
              <w:left w:val="single" w:sz="8" w:space="0" w:color="E0E0E0"/>
              <w:bottom w:val="single" w:sz="8" w:space="0" w:color="152935"/>
              <w:right w:val="single" w:sz="8" w:space="0" w:color="E0E0E0"/>
            </w:tcBorders>
            <w:shd w:val="clear" w:color="auto" w:fill="FFFFFF"/>
          </w:tcPr>
          <w:p w14:paraId="31B54100" w14:textId="77777777" w:rsidR="0087601C" w:rsidRPr="006A1EC7" w:rsidRDefault="0087601C" w:rsidP="00D56051">
            <w:pPr>
              <w:spacing w:line="320" w:lineRule="atLeast"/>
              <w:ind w:left="60" w:right="60"/>
              <w:jc w:val="right"/>
              <w:rPr>
                <w:color w:val="010205"/>
                <w:sz w:val="18"/>
              </w:rPr>
            </w:pPr>
            <w:r w:rsidRPr="006A1EC7">
              <w:rPr>
                <w:color w:val="010205"/>
                <w:sz w:val="18"/>
              </w:rPr>
              <w:t>21.82</w:t>
            </w:r>
          </w:p>
        </w:tc>
        <w:tc>
          <w:tcPr>
            <w:tcW w:w="1829" w:type="dxa"/>
            <w:gridSpan w:val="4"/>
            <w:tcBorders>
              <w:top w:val="single" w:sz="8" w:space="0" w:color="152935"/>
              <w:left w:val="single" w:sz="8" w:space="0" w:color="E0E0E0"/>
              <w:bottom w:val="single" w:sz="8" w:space="0" w:color="152935"/>
              <w:right w:val="single" w:sz="8" w:space="0" w:color="E0E0E0"/>
            </w:tcBorders>
            <w:shd w:val="clear" w:color="auto" w:fill="FFFFFF"/>
          </w:tcPr>
          <w:p w14:paraId="118B593F" w14:textId="77777777" w:rsidR="0087601C" w:rsidRPr="006A1EC7" w:rsidRDefault="0087601C" w:rsidP="00D56051">
            <w:pPr>
              <w:spacing w:line="320" w:lineRule="atLeast"/>
              <w:ind w:left="60" w:right="60"/>
              <w:jc w:val="right"/>
              <w:rPr>
                <w:color w:val="010205"/>
                <w:sz w:val="18"/>
              </w:rPr>
            </w:pPr>
            <w:r w:rsidRPr="006A1EC7">
              <w:rPr>
                <w:color w:val="010205"/>
                <w:sz w:val="18"/>
              </w:rPr>
              <w:t>3.071</w:t>
            </w:r>
          </w:p>
        </w:tc>
        <w:tc>
          <w:tcPr>
            <w:tcW w:w="1829" w:type="dxa"/>
            <w:gridSpan w:val="4"/>
            <w:tcBorders>
              <w:top w:val="single" w:sz="8" w:space="0" w:color="152935"/>
              <w:left w:val="single" w:sz="8" w:space="0" w:color="E0E0E0"/>
              <w:bottom w:val="single" w:sz="8" w:space="0" w:color="152935"/>
              <w:right w:val="nil"/>
            </w:tcBorders>
            <w:shd w:val="clear" w:color="auto" w:fill="FFFFFF"/>
          </w:tcPr>
          <w:p w14:paraId="29EB7ADD" w14:textId="77777777" w:rsidR="0087601C" w:rsidRPr="006A1EC7" w:rsidRDefault="0087601C" w:rsidP="00D56051">
            <w:pPr>
              <w:spacing w:line="320" w:lineRule="atLeast"/>
              <w:ind w:left="60" w:right="60"/>
              <w:jc w:val="right"/>
              <w:rPr>
                <w:color w:val="010205"/>
                <w:sz w:val="18"/>
              </w:rPr>
            </w:pPr>
            <w:r w:rsidRPr="006A1EC7">
              <w:rPr>
                <w:color w:val="010205"/>
                <w:sz w:val="18"/>
              </w:rPr>
              <w:t>.512</w:t>
            </w:r>
          </w:p>
        </w:tc>
      </w:tr>
      <w:tr w:rsidR="0087601C" w:rsidRPr="006A1EC7" w14:paraId="2E17A201" w14:textId="77777777" w:rsidTr="00D56051">
        <w:trPr>
          <w:cantSplit/>
        </w:trPr>
        <w:tc>
          <w:tcPr>
            <w:tcW w:w="2062" w:type="dxa"/>
            <w:gridSpan w:val="2"/>
            <w:vMerge w:val="restart"/>
            <w:tcBorders>
              <w:top w:val="nil"/>
              <w:left w:val="nil"/>
              <w:bottom w:val="nil"/>
              <w:right w:val="nil"/>
            </w:tcBorders>
            <w:shd w:val="clear" w:color="auto" w:fill="FFFFFF"/>
            <w:vAlign w:val="bottom"/>
          </w:tcPr>
          <w:p w14:paraId="1333C5B6" w14:textId="77777777" w:rsidR="0087601C" w:rsidRPr="006A1EC7" w:rsidRDefault="0087601C" w:rsidP="00D56051">
            <w:pPr>
              <w:rPr>
                <w:sz w:val="18"/>
              </w:rPr>
            </w:pPr>
          </w:p>
        </w:tc>
        <w:tc>
          <w:tcPr>
            <w:tcW w:w="9125" w:type="dxa"/>
            <w:gridSpan w:val="20"/>
            <w:tcBorders>
              <w:top w:val="nil"/>
              <w:left w:val="nil"/>
              <w:bottom w:val="nil"/>
              <w:right w:val="nil"/>
            </w:tcBorders>
            <w:shd w:val="clear" w:color="auto" w:fill="FFFFFF"/>
            <w:vAlign w:val="bottom"/>
          </w:tcPr>
          <w:p w14:paraId="44348679"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17.5</w:t>
            </w:r>
          </w:p>
        </w:tc>
      </w:tr>
      <w:tr w:rsidR="0087601C" w:rsidRPr="006A1EC7" w14:paraId="02E8CF24" w14:textId="77777777" w:rsidTr="00D56051">
        <w:trPr>
          <w:cantSplit/>
        </w:trPr>
        <w:tc>
          <w:tcPr>
            <w:tcW w:w="2062" w:type="dxa"/>
            <w:gridSpan w:val="2"/>
            <w:vMerge/>
            <w:tcBorders>
              <w:top w:val="nil"/>
              <w:left w:val="nil"/>
              <w:bottom w:val="nil"/>
              <w:right w:val="nil"/>
            </w:tcBorders>
            <w:shd w:val="clear" w:color="auto" w:fill="FFFFFF"/>
            <w:vAlign w:val="bottom"/>
          </w:tcPr>
          <w:p w14:paraId="5BAED63B" w14:textId="77777777" w:rsidR="0087601C" w:rsidRPr="006A1EC7" w:rsidRDefault="0087601C" w:rsidP="00D56051">
            <w:pPr>
              <w:rPr>
                <w:color w:val="264A60"/>
                <w:sz w:val="18"/>
              </w:rPr>
            </w:pPr>
          </w:p>
        </w:tc>
        <w:tc>
          <w:tcPr>
            <w:tcW w:w="1181" w:type="dxa"/>
            <w:gridSpan w:val="4"/>
            <w:vMerge w:val="restart"/>
            <w:tcBorders>
              <w:top w:val="nil"/>
              <w:left w:val="nil"/>
              <w:bottom w:val="nil"/>
              <w:right w:val="single" w:sz="8" w:space="0" w:color="E0E0E0"/>
            </w:tcBorders>
            <w:shd w:val="clear" w:color="auto" w:fill="FFFFFF"/>
            <w:vAlign w:val="bottom"/>
          </w:tcPr>
          <w:p w14:paraId="5D5D756A"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80" w:type="dxa"/>
            <w:gridSpan w:val="4"/>
            <w:vMerge w:val="restart"/>
            <w:tcBorders>
              <w:top w:val="nil"/>
              <w:left w:val="single" w:sz="8" w:space="0" w:color="E0E0E0"/>
              <w:bottom w:val="nil"/>
              <w:right w:val="single" w:sz="8" w:space="0" w:color="E0E0E0"/>
            </w:tcBorders>
            <w:shd w:val="clear" w:color="auto" w:fill="FFFFFF"/>
            <w:vAlign w:val="bottom"/>
          </w:tcPr>
          <w:p w14:paraId="656E577F"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91" w:type="dxa"/>
            <w:gridSpan w:val="4"/>
            <w:vMerge w:val="restart"/>
            <w:tcBorders>
              <w:top w:val="nil"/>
              <w:left w:val="single" w:sz="8" w:space="0" w:color="E0E0E0"/>
              <w:bottom w:val="nil"/>
              <w:right w:val="single" w:sz="8" w:space="0" w:color="E0E0E0"/>
            </w:tcBorders>
            <w:shd w:val="clear" w:color="auto" w:fill="FFFFFF"/>
            <w:vAlign w:val="bottom"/>
          </w:tcPr>
          <w:p w14:paraId="551F83DE"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91" w:type="dxa"/>
            <w:gridSpan w:val="4"/>
            <w:vMerge w:val="restart"/>
            <w:tcBorders>
              <w:top w:val="nil"/>
              <w:left w:val="single" w:sz="8" w:space="0" w:color="E0E0E0"/>
              <w:bottom w:val="nil"/>
              <w:right w:val="single" w:sz="8" w:space="0" w:color="E0E0E0"/>
            </w:tcBorders>
            <w:shd w:val="clear" w:color="auto" w:fill="FFFFFF"/>
            <w:vAlign w:val="bottom"/>
          </w:tcPr>
          <w:p w14:paraId="3512C898"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82" w:type="dxa"/>
            <w:gridSpan w:val="4"/>
            <w:tcBorders>
              <w:top w:val="nil"/>
              <w:left w:val="single" w:sz="8" w:space="0" w:color="E0E0E0"/>
              <w:bottom w:val="nil"/>
              <w:right w:val="nil"/>
            </w:tcBorders>
            <w:shd w:val="clear" w:color="auto" w:fill="FFFFFF"/>
            <w:vAlign w:val="bottom"/>
          </w:tcPr>
          <w:p w14:paraId="2CA64D1B"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62E19727" w14:textId="77777777" w:rsidTr="00D56051">
        <w:trPr>
          <w:cantSplit/>
        </w:trPr>
        <w:tc>
          <w:tcPr>
            <w:tcW w:w="2062" w:type="dxa"/>
            <w:gridSpan w:val="2"/>
            <w:vMerge/>
            <w:tcBorders>
              <w:top w:val="nil"/>
              <w:left w:val="nil"/>
              <w:bottom w:val="nil"/>
              <w:right w:val="nil"/>
            </w:tcBorders>
            <w:shd w:val="clear" w:color="auto" w:fill="FFFFFF"/>
            <w:vAlign w:val="bottom"/>
          </w:tcPr>
          <w:p w14:paraId="385F52BF" w14:textId="77777777" w:rsidR="0087601C" w:rsidRPr="006A1EC7" w:rsidRDefault="0087601C" w:rsidP="00D56051">
            <w:pPr>
              <w:rPr>
                <w:color w:val="264A60"/>
                <w:sz w:val="18"/>
              </w:rPr>
            </w:pPr>
          </w:p>
        </w:tc>
        <w:tc>
          <w:tcPr>
            <w:tcW w:w="1181" w:type="dxa"/>
            <w:gridSpan w:val="4"/>
            <w:vMerge/>
            <w:tcBorders>
              <w:top w:val="nil"/>
              <w:left w:val="nil"/>
              <w:bottom w:val="nil"/>
              <w:right w:val="single" w:sz="8" w:space="0" w:color="E0E0E0"/>
            </w:tcBorders>
            <w:shd w:val="clear" w:color="auto" w:fill="FFFFFF"/>
            <w:vAlign w:val="bottom"/>
          </w:tcPr>
          <w:p w14:paraId="3BF64BD8" w14:textId="77777777" w:rsidR="0087601C" w:rsidRPr="006A1EC7" w:rsidRDefault="0087601C" w:rsidP="00D56051">
            <w:pPr>
              <w:rPr>
                <w:color w:val="264A60"/>
                <w:sz w:val="18"/>
              </w:rPr>
            </w:pPr>
          </w:p>
        </w:tc>
        <w:tc>
          <w:tcPr>
            <w:tcW w:w="1180" w:type="dxa"/>
            <w:gridSpan w:val="4"/>
            <w:vMerge/>
            <w:tcBorders>
              <w:top w:val="nil"/>
              <w:left w:val="single" w:sz="8" w:space="0" w:color="E0E0E0"/>
              <w:bottom w:val="nil"/>
              <w:right w:val="single" w:sz="8" w:space="0" w:color="E0E0E0"/>
            </w:tcBorders>
            <w:shd w:val="clear" w:color="auto" w:fill="FFFFFF"/>
            <w:vAlign w:val="bottom"/>
          </w:tcPr>
          <w:p w14:paraId="72C881DF" w14:textId="77777777" w:rsidR="0087601C" w:rsidRPr="006A1EC7" w:rsidRDefault="0087601C" w:rsidP="00D56051">
            <w:pPr>
              <w:rPr>
                <w:color w:val="264A60"/>
                <w:sz w:val="18"/>
              </w:rPr>
            </w:pPr>
          </w:p>
        </w:tc>
        <w:tc>
          <w:tcPr>
            <w:tcW w:w="1691" w:type="dxa"/>
            <w:gridSpan w:val="4"/>
            <w:vMerge/>
            <w:tcBorders>
              <w:top w:val="nil"/>
              <w:left w:val="single" w:sz="8" w:space="0" w:color="E0E0E0"/>
              <w:bottom w:val="nil"/>
              <w:right w:val="single" w:sz="8" w:space="0" w:color="E0E0E0"/>
            </w:tcBorders>
            <w:shd w:val="clear" w:color="auto" w:fill="FFFFFF"/>
            <w:vAlign w:val="bottom"/>
          </w:tcPr>
          <w:p w14:paraId="112B3124" w14:textId="77777777" w:rsidR="0087601C" w:rsidRPr="006A1EC7" w:rsidRDefault="0087601C" w:rsidP="00D56051">
            <w:pPr>
              <w:rPr>
                <w:color w:val="264A60"/>
                <w:sz w:val="18"/>
              </w:rPr>
            </w:pPr>
          </w:p>
        </w:tc>
        <w:tc>
          <w:tcPr>
            <w:tcW w:w="1691" w:type="dxa"/>
            <w:gridSpan w:val="4"/>
            <w:vMerge/>
            <w:tcBorders>
              <w:top w:val="nil"/>
              <w:left w:val="single" w:sz="8" w:space="0" w:color="E0E0E0"/>
              <w:bottom w:val="nil"/>
              <w:right w:val="single" w:sz="8" w:space="0" w:color="E0E0E0"/>
            </w:tcBorders>
            <w:shd w:val="clear" w:color="auto" w:fill="FFFFFF"/>
            <w:vAlign w:val="bottom"/>
          </w:tcPr>
          <w:p w14:paraId="4108DF8F" w14:textId="77777777" w:rsidR="0087601C" w:rsidRPr="006A1EC7" w:rsidRDefault="0087601C" w:rsidP="00D56051">
            <w:pPr>
              <w:rPr>
                <w:color w:val="264A60"/>
                <w:sz w:val="18"/>
              </w:rPr>
            </w:pPr>
          </w:p>
        </w:tc>
        <w:tc>
          <w:tcPr>
            <w:tcW w:w="1691" w:type="dxa"/>
            <w:gridSpan w:val="3"/>
            <w:tcBorders>
              <w:top w:val="nil"/>
              <w:left w:val="single" w:sz="8" w:space="0" w:color="E0E0E0"/>
              <w:bottom w:val="single" w:sz="8" w:space="0" w:color="152935"/>
              <w:right w:val="single" w:sz="8" w:space="0" w:color="E0E0E0"/>
            </w:tcBorders>
            <w:shd w:val="clear" w:color="auto" w:fill="FFFFFF"/>
            <w:vAlign w:val="bottom"/>
          </w:tcPr>
          <w:p w14:paraId="0C75549B"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91" w:type="dxa"/>
            <w:tcBorders>
              <w:top w:val="nil"/>
              <w:left w:val="single" w:sz="8" w:space="0" w:color="E0E0E0"/>
              <w:bottom w:val="single" w:sz="8" w:space="0" w:color="152935"/>
              <w:right w:val="nil"/>
            </w:tcBorders>
            <w:shd w:val="clear" w:color="auto" w:fill="FFFFFF"/>
            <w:vAlign w:val="bottom"/>
          </w:tcPr>
          <w:p w14:paraId="0C3B881E"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1A39AB63" w14:textId="77777777" w:rsidTr="00D56051">
        <w:trPr>
          <w:cantSplit/>
        </w:trPr>
        <w:tc>
          <w:tcPr>
            <w:tcW w:w="2062" w:type="dxa"/>
            <w:gridSpan w:val="2"/>
            <w:tcBorders>
              <w:top w:val="single" w:sz="8" w:space="0" w:color="152935"/>
              <w:left w:val="nil"/>
              <w:bottom w:val="single" w:sz="8" w:space="0" w:color="152935"/>
              <w:right w:val="nil"/>
            </w:tcBorders>
            <w:shd w:val="clear" w:color="auto" w:fill="E0E0E0"/>
          </w:tcPr>
          <w:p w14:paraId="03708C1D" w14:textId="77777777" w:rsidR="0087601C" w:rsidRPr="006A1EC7" w:rsidRDefault="0087601C" w:rsidP="00D56051">
            <w:pPr>
              <w:spacing w:line="320" w:lineRule="atLeast"/>
              <w:ind w:left="60" w:right="60"/>
              <w:rPr>
                <w:color w:val="264A60"/>
                <w:sz w:val="18"/>
              </w:rPr>
            </w:pPr>
            <w:r w:rsidRPr="006A1EC7">
              <w:rPr>
                <w:color w:val="264A60"/>
                <w:sz w:val="18"/>
              </w:rPr>
              <w:t>T1Bronagh_Total</w:t>
            </w:r>
          </w:p>
        </w:tc>
        <w:tc>
          <w:tcPr>
            <w:tcW w:w="1181" w:type="dxa"/>
            <w:gridSpan w:val="4"/>
            <w:tcBorders>
              <w:top w:val="single" w:sz="8" w:space="0" w:color="152935"/>
              <w:left w:val="nil"/>
              <w:bottom w:val="single" w:sz="8" w:space="0" w:color="152935"/>
              <w:right w:val="single" w:sz="8" w:space="0" w:color="E0E0E0"/>
            </w:tcBorders>
            <w:shd w:val="clear" w:color="auto" w:fill="FFFFFF"/>
          </w:tcPr>
          <w:p w14:paraId="0FBBD8F4" w14:textId="77777777" w:rsidR="0087601C" w:rsidRPr="006A1EC7" w:rsidRDefault="0087601C" w:rsidP="00D56051">
            <w:pPr>
              <w:spacing w:line="320" w:lineRule="atLeast"/>
              <w:ind w:left="60" w:right="60"/>
              <w:jc w:val="right"/>
              <w:rPr>
                <w:color w:val="010205"/>
                <w:sz w:val="18"/>
              </w:rPr>
            </w:pPr>
            <w:r w:rsidRPr="006A1EC7">
              <w:rPr>
                <w:color w:val="010205"/>
                <w:sz w:val="18"/>
              </w:rPr>
              <w:t>8.439</w:t>
            </w:r>
          </w:p>
        </w:tc>
        <w:tc>
          <w:tcPr>
            <w:tcW w:w="1180" w:type="dxa"/>
            <w:gridSpan w:val="4"/>
            <w:tcBorders>
              <w:top w:val="single" w:sz="8" w:space="0" w:color="152935"/>
              <w:left w:val="single" w:sz="8" w:space="0" w:color="E0E0E0"/>
              <w:bottom w:val="single" w:sz="8" w:space="0" w:color="152935"/>
              <w:right w:val="single" w:sz="8" w:space="0" w:color="E0E0E0"/>
            </w:tcBorders>
            <w:shd w:val="clear" w:color="auto" w:fill="FFFFFF"/>
          </w:tcPr>
          <w:p w14:paraId="347EC6C2" w14:textId="77777777" w:rsidR="0087601C" w:rsidRPr="006A1EC7" w:rsidRDefault="0087601C" w:rsidP="00D56051">
            <w:pPr>
              <w:spacing w:line="320" w:lineRule="atLeast"/>
              <w:ind w:left="60" w:right="60"/>
              <w:jc w:val="right"/>
              <w:rPr>
                <w:color w:val="010205"/>
                <w:sz w:val="18"/>
              </w:rPr>
            </w:pPr>
            <w:r w:rsidRPr="006A1EC7">
              <w:rPr>
                <w:color w:val="010205"/>
                <w:sz w:val="18"/>
              </w:rPr>
              <w:t>35</w:t>
            </w:r>
          </w:p>
        </w:tc>
        <w:tc>
          <w:tcPr>
            <w:tcW w:w="1691" w:type="dxa"/>
            <w:gridSpan w:val="4"/>
            <w:tcBorders>
              <w:top w:val="single" w:sz="8" w:space="0" w:color="152935"/>
              <w:left w:val="single" w:sz="8" w:space="0" w:color="E0E0E0"/>
              <w:bottom w:val="single" w:sz="8" w:space="0" w:color="152935"/>
              <w:right w:val="single" w:sz="8" w:space="0" w:color="E0E0E0"/>
            </w:tcBorders>
            <w:shd w:val="clear" w:color="auto" w:fill="FFFFFF"/>
          </w:tcPr>
          <w:p w14:paraId="7E9BCA34"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91" w:type="dxa"/>
            <w:gridSpan w:val="4"/>
            <w:tcBorders>
              <w:top w:val="single" w:sz="8" w:space="0" w:color="152935"/>
              <w:left w:val="single" w:sz="8" w:space="0" w:color="E0E0E0"/>
              <w:bottom w:val="single" w:sz="8" w:space="0" w:color="152935"/>
              <w:right w:val="single" w:sz="8" w:space="0" w:color="E0E0E0"/>
            </w:tcBorders>
            <w:shd w:val="clear" w:color="auto" w:fill="FFFFFF"/>
          </w:tcPr>
          <w:p w14:paraId="39A922E7" w14:textId="77777777" w:rsidR="0087601C" w:rsidRPr="006A1EC7" w:rsidRDefault="0087601C" w:rsidP="00D56051">
            <w:pPr>
              <w:spacing w:line="320" w:lineRule="atLeast"/>
              <w:ind w:left="60" w:right="60"/>
              <w:jc w:val="right"/>
              <w:rPr>
                <w:color w:val="010205"/>
                <w:sz w:val="18"/>
              </w:rPr>
            </w:pPr>
            <w:r w:rsidRPr="006A1EC7">
              <w:rPr>
                <w:color w:val="010205"/>
                <w:sz w:val="18"/>
              </w:rPr>
              <w:t>4.319</w:t>
            </w:r>
          </w:p>
        </w:tc>
        <w:tc>
          <w:tcPr>
            <w:tcW w:w="1691" w:type="dxa"/>
            <w:gridSpan w:val="3"/>
            <w:tcBorders>
              <w:top w:val="single" w:sz="8" w:space="0" w:color="152935"/>
              <w:left w:val="single" w:sz="8" w:space="0" w:color="E0E0E0"/>
              <w:bottom w:val="single" w:sz="8" w:space="0" w:color="152935"/>
              <w:right w:val="single" w:sz="8" w:space="0" w:color="E0E0E0"/>
            </w:tcBorders>
            <w:shd w:val="clear" w:color="auto" w:fill="FFFFFF"/>
          </w:tcPr>
          <w:p w14:paraId="28ACD50E" w14:textId="77777777" w:rsidR="0087601C" w:rsidRPr="006A1EC7" w:rsidRDefault="0087601C" w:rsidP="00D56051">
            <w:pPr>
              <w:spacing w:line="320" w:lineRule="atLeast"/>
              <w:ind w:left="60" w:right="60"/>
              <w:jc w:val="right"/>
              <w:rPr>
                <w:color w:val="010205"/>
                <w:sz w:val="18"/>
              </w:rPr>
            </w:pPr>
            <w:r w:rsidRPr="006A1EC7">
              <w:rPr>
                <w:color w:val="010205"/>
                <w:sz w:val="18"/>
              </w:rPr>
              <w:t>3.28</w:t>
            </w:r>
          </w:p>
        </w:tc>
        <w:tc>
          <w:tcPr>
            <w:tcW w:w="1691" w:type="dxa"/>
            <w:tcBorders>
              <w:top w:val="single" w:sz="8" w:space="0" w:color="152935"/>
              <w:left w:val="single" w:sz="8" w:space="0" w:color="E0E0E0"/>
              <w:bottom w:val="single" w:sz="8" w:space="0" w:color="152935"/>
              <w:right w:val="nil"/>
            </w:tcBorders>
            <w:shd w:val="clear" w:color="auto" w:fill="FFFFFF"/>
          </w:tcPr>
          <w:p w14:paraId="09764B76" w14:textId="77777777" w:rsidR="0087601C" w:rsidRPr="006A1EC7" w:rsidRDefault="0087601C" w:rsidP="00D56051">
            <w:pPr>
              <w:spacing w:line="320" w:lineRule="atLeast"/>
              <w:ind w:left="60" w:right="60"/>
              <w:jc w:val="right"/>
              <w:rPr>
                <w:color w:val="010205"/>
                <w:sz w:val="18"/>
              </w:rPr>
            </w:pPr>
            <w:r w:rsidRPr="006A1EC7">
              <w:rPr>
                <w:color w:val="010205"/>
                <w:sz w:val="18"/>
              </w:rPr>
              <w:t>5.36</w:t>
            </w:r>
          </w:p>
        </w:tc>
      </w:tr>
      <w:tr w:rsidR="0087601C" w:rsidRPr="006A1EC7" w14:paraId="6E1FDE89" w14:textId="77777777" w:rsidTr="00D56051">
        <w:trPr>
          <w:gridAfter w:val="3"/>
          <w:wAfter w:w="2764" w:type="dxa"/>
          <w:cantSplit/>
        </w:trPr>
        <w:tc>
          <w:tcPr>
            <w:tcW w:w="2211" w:type="dxa"/>
            <w:gridSpan w:val="3"/>
            <w:tcBorders>
              <w:top w:val="nil"/>
              <w:left w:val="nil"/>
              <w:bottom w:val="single" w:sz="8" w:space="0" w:color="152935"/>
              <w:right w:val="nil"/>
            </w:tcBorders>
            <w:shd w:val="clear" w:color="auto" w:fill="FFFFFF"/>
            <w:vAlign w:val="bottom"/>
          </w:tcPr>
          <w:p w14:paraId="3170AD50" w14:textId="77777777" w:rsidR="0087601C" w:rsidRPr="006A1EC7" w:rsidRDefault="0087601C" w:rsidP="00D56051">
            <w:pPr>
              <w:rPr>
                <w:sz w:val="18"/>
              </w:rPr>
            </w:pPr>
          </w:p>
        </w:tc>
        <w:tc>
          <w:tcPr>
            <w:tcW w:w="1276" w:type="dxa"/>
            <w:gridSpan w:val="4"/>
            <w:tcBorders>
              <w:top w:val="nil"/>
              <w:left w:val="nil"/>
              <w:bottom w:val="single" w:sz="8" w:space="0" w:color="152935"/>
              <w:right w:val="single" w:sz="8" w:space="0" w:color="E0E0E0"/>
            </w:tcBorders>
            <w:shd w:val="clear" w:color="auto" w:fill="FFFFFF"/>
            <w:vAlign w:val="bottom"/>
          </w:tcPr>
          <w:p w14:paraId="4AB5A051"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4"/>
            <w:tcBorders>
              <w:top w:val="nil"/>
              <w:left w:val="single" w:sz="8" w:space="0" w:color="E0E0E0"/>
              <w:bottom w:val="single" w:sz="8" w:space="0" w:color="152935"/>
              <w:right w:val="single" w:sz="8" w:space="0" w:color="E0E0E0"/>
            </w:tcBorders>
            <w:shd w:val="clear" w:color="auto" w:fill="FFFFFF"/>
            <w:vAlign w:val="bottom"/>
          </w:tcPr>
          <w:p w14:paraId="34D41D7E"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gridSpan w:val="4"/>
            <w:tcBorders>
              <w:top w:val="nil"/>
              <w:left w:val="single" w:sz="8" w:space="0" w:color="E0E0E0"/>
              <w:bottom w:val="single" w:sz="8" w:space="0" w:color="152935"/>
              <w:right w:val="single" w:sz="8" w:space="0" w:color="E0E0E0"/>
            </w:tcBorders>
            <w:shd w:val="clear" w:color="auto" w:fill="FFFFFF"/>
            <w:vAlign w:val="bottom"/>
          </w:tcPr>
          <w:p w14:paraId="487C2AFD"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gridSpan w:val="4"/>
            <w:tcBorders>
              <w:top w:val="nil"/>
              <w:left w:val="single" w:sz="8" w:space="0" w:color="E0E0E0"/>
              <w:bottom w:val="single" w:sz="8" w:space="0" w:color="152935"/>
              <w:right w:val="nil"/>
            </w:tcBorders>
            <w:shd w:val="clear" w:color="auto" w:fill="FFFFFF"/>
            <w:vAlign w:val="bottom"/>
          </w:tcPr>
          <w:p w14:paraId="5E89F8EF"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3CD22A0C" w14:textId="77777777" w:rsidTr="00D56051">
        <w:trPr>
          <w:gridAfter w:val="3"/>
          <w:wAfter w:w="2764" w:type="dxa"/>
          <w:cantSplit/>
        </w:trPr>
        <w:tc>
          <w:tcPr>
            <w:tcW w:w="2211" w:type="dxa"/>
            <w:gridSpan w:val="3"/>
            <w:tcBorders>
              <w:top w:val="single" w:sz="8" w:space="0" w:color="152935"/>
              <w:left w:val="nil"/>
              <w:bottom w:val="single" w:sz="8" w:space="0" w:color="AEAEAE"/>
              <w:right w:val="nil"/>
            </w:tcBorders>
            <w:shd w:val="clear" w:color="auto" w:fill="E0E0E0"/>
          </w:tcPr>
          <w:p w14:paraId="57A91552" w14:textId="77777777" w:rsidR="0087601C" w:rsidRPr="006A1EC7" w:rsidRDefault="0087601C" w:rsidP="00D56051">
            <w:pPr>
              <w:spacing w:line="320" w:lineRule="atLeast"/>
              <w:ind w:left="60" w:right="60"/>
              <w:rPr>
                <w:color w:val="264A60"/>
                <w:sz w:val="18"/>
              </w:rPr>
            </w:pPr>
            <w:r w:rsidRPr="006A1EC7">
              <w:rPr>
                <w:color w:val="264A60"/>
                <w:sz w:val="18"/>
              </w:rPr>
              <w:t>T1Emma_Face</w:t>
            </w:r>
          </w:p>
        </w:tc>
        <w:tc>
          <w:tcPr>
            <w:tcW w:w="1276" w:type="dxa"/>
            <w:gridSpan w:val="4"/>
            <w:tcBorders>
              <w:top w:val="single" w:sz="8" w:space="0" w:color="152935"/>
              <w:left w:val="nil"/>
              <w:bottom w:val="single" w:sz="8" w:space="0" w:color="AEAEAE"/>
              <w:right w:val="single" w:sz="8" w:space="0" w:color="E0E0E0"/>
            </w:tcBorders>
            <w:shd w:val="clear" w:color="auto" w:fill="FFFFFF"/>
          </w:tcPr>
          <w:p w14:paraId="0CA3C5D5" w14:textId="77777777" w:rsidR="0087601C" w:rsidRPr="006A1EC7" w:rsidRDefault="0087601C" w:rsidP="00D56051">
            <w:pPr>
              <w:spacing w:line="320" w:lineRule="atLeast"/>
              <w:ind w:left="60" w:right="60"/>
              <w:jc w:val="right"/>
              <w:rPr>
                <w:color w:val="010205"/>
                <w:sz w:val="18"/>
              </w:rPr>
            </w:pPr>
            <w:r w:rsidRPr="006A1EC7">
              <w:rPr>
                <w:color w:val="010205"/>
                <w:sz w:val="18"/>
              </w:rPr>
              <w:t>31</w:t>
            </w:r>
          </w:p>
        </w:tc>
        <w:tc>
          <w:tcPr>
            <w:tcW w:w="1276" w:type="dxa"/>
            <w:gridSpan w:val="4"/>
            <w:tcBorders>
              <w:top w:val="single" w:sz="8" w:space="0" w:color="152935"/>
              <w:left w:val="single" w:sz="8" w:space="0" w:color="E0E0E0"/>
              <w:bottom w:val="single" w:sz="8" w:space="0" w:color="AEAEAE"/>
              <w:right w:val="single" w:sz="8" w:space="0" w:color="E0E0E0"/>
            </w:tcBorders>
            <w:shd w:val="clear" w:color="auto" w:fill="FFFFFF"/>
          </w:tcPr>
          <w:p w14:paraId="01E92418" w14:textId="77777777" w:rsidR="0087601C" w:rsidRPr="006A1EC7" w:rsidRDefault="0087601C" w:rsidP="00D56051">
            <w:pPr>
              <w:spacing w:line="320" w:lineRule="atLeast"/>
              <w:ind w:left="60" w:right="60"/>
              <w:jc w:val="right"/>
              <w:rPr>
                <w:color w:val="010205"/>
                <w:sz w:val="18"/>
              </w:rPr>
            </w:pPr>
            <w:r w:rsidRPr="006A1EC7">
              <w:rPr>
                <w:color w:val="010205"/>
                <w:sz w:val="18"/>
              </w:rPr>
              <w:t>.03</w:t>
            </w:r>
          </w:p>
        </w:tc>
        <w:tc>
          <w:tcPr>
            <w:tcW w:w="1830" w:type="dxa"/>
            <w:gridSpan w:val="4"/>
            <w:tcBorders>
              <w:top w:val="single" w:sz="8" w:space="0" w:color="152935"/>
              <w:left w:val="single" w:sz="8" w:space="0" w:color="E0E0E0"/>
              <w:bottom w:val="single" w:sz="8" w:space="0" w:color="AEAEAE"/>
              <w:right w:val="single" w:sz="8" w:space="0" w:color="E0E0E0"/>
            </w:tcBorders>
            <w:shd w:val="clear" w:color="auto" w:fill="FFFFFF"/>
          </w:tcPr>
          <w:p w14:paraId="681A6A88" w14:textId="77777777" w:rsidR="0087601C" w:rsidRPr="006A1EC7" w:rsidRDefault="0087601C" w:rsidP="00D56051">
            <w:pPr>
              <w:spacing w:line="320" w:lineRule="atLeast"/>
              <w:ind w:left="60" w:right="60"/>
              <w:jc w:val="right"/>
              <w:rPr>
                <w:color w:val="010205"/>
                <w:sz w:val="18"/>
              </w:rPr>
            </w:pPr>
            <w:r w:rsidRPr="006A1EC7">
              <w:rPr>
                <w:color w:val="010205"/>
                <w:sz w:val="18"/>
              </w:rPr>
              <w:t>.180</w:t>
            </w:r>
          </w:p>
        </w:tc>
        <w:tc>
          <w:tcPr>
            <w:tcW w:w="1830" w:type="dxa"/>
            <w:gridSpan w:val="4"/>
            <w:tcBorders>
              <w:top w:val="single" w:sz="8" w:space="0" w:color="152935"/>
              <w:left w:val="single" w:sz="8" w:space="0" w:color="E0E0E0"/>
              <w:bottom w:val="single" w:sz="8" w:space="0" w:color="AEAEAE"/>
              <w:right w:val="nil"/>
            </w:tcBorders>
            <w:shd w:val="clear" w:color="auto" w:fill="FFFFFF"/>
          </w:tcPr>
          <w:p w14:paraId="5875DDFD" w14:textId="77777777" w:rsidR="0087601C" w:rsidRPr="006A1EC7" w:rsidRDefault="0087601C" w:rsidP="00D56051">
            <w:pPr>
              <w:spacing w:line="320" w:lineRule="atLeast"/>
              <w:ind w:left="60" w:right="60"/>
              <w:jc w:val="right"/>
              <w:rPr>
                <w:color w:val="010205"/>
                <w:sz w:val="18"/>
              </w:rPr>
            </w:pPr>
            <w:r w:rsidRPr="006A1EC7">
              <w:rPr>
                <w:color w:val="010205"/>
                <w:sz w:val="18"/>
              </w:rPr>
              <w:t>.032</w:t>
            </w:r>
          </w:p>
        </w:tc>
      </w:tr>
      <w:tr w:rsidR="0087601C" w:rsidRPr="006A1EC7" w14:paraId="6323C363" w14:textId="77777777" w:rsidTr="00D56051">
        <w:trPr>
          <w:gridAfter w:val="3"/>
          <w:wAfter w:w="2764" w:type="dxa"/>
          <w:cantSplit/>
        </w:trPr>
        <w:tc>
          <w:tcPr>
            <w:tcW w:w="2211" w:type="dxa"/>
            <w:gridSpan w:val="3"/>
            <w:tcBorders>
              <w:top w:val="single" w:sz="8" w:space="0" w:color="AEAEAE"/>
              <w:left w:val="nil"/>
              <w:bottom w:val="single" w:sz="8" w:space="0" w:color="AEAEAE"/>
              <w:right w:val="nil"/>
            </w:tcBorders>
            <w:shd w:val="clear" w:color="auto" w:fill="E0E0E0"/>
          </w:tcPr>
          <w:p w14:paraId="65A3E0DA" w14:textId="77777777" w:rsidR="0087601C" w:rsidRPr="006A1EC7" w:rsidRDefault="0087601C" w:rsidP="00D56051">
            <w:pPr>
              <w:spacing w:line="320" w:lineRule="atLeast"/>
              <w:ind w:left="60" w:right="60"/>
              <w:rPr>
                <w:color w:val="264A60"/>
                <w:sz w:val="18"/>
              </w:rPr>
            </w:pPr>
            <w:r w:rsidRPr="006A1EC7">
              <w:rPr>
                <w:color w:val="264A60"/>
                <w:sz w:val="18"/>
              </w:rPr>
              <w:lastRenderedPageBreak/>
              <w:t>T1Emma_Immun</w:t>
            </w:r>
          </w:p>
        </w:tc>
        <w:tc>
          <w:tcPr>
            <w:tcW w:w="1276" w:type="dxa"/>
            <w:gridSpan w:val="4"/>
            <w:tcBorders>
              <w:top w:val="single" w:sz="8" w:space="0" w:color="AEAEAE"/>
              <w:left w:val="nil"/>
              <w:bottom w:val="single" w:sz="8" w:space="0" w:color="AEAEAE"/>
              <w:right w:val="single" w:sz="8" w:space="0" w:color="E0E0E0"/>
            </w:tcBorders>
            <w:shd w:val="clear" w:color="auto" w:fill="FFFFFF"/>
          </w:tcPr>
          <w:p w14:paraId="5AF60ADF" w14:textId="77777777" w:rsidR="0087601C" w:rsidRPr="006A1EC7" w:rsidRDefault="0087601C" w:rsidP="00D56051">
            <w:pPr>
              <w:spacing w:line="320" w:lineRule="atLeast"/>
              <w:ind w:left="60" w:right="60"/>
              <w:jc w:val="right"/>
              <w:rPr>
                <w:color w:val="010205"/>
                <w:sz w:val="18"/>
              </w:rPr>
            </w:pPr>
            <w:r w:rsidRPr="006A1EC7">
              <w:rPr>
                <w:color w:val="010205"/>
                <w:sz w:val="18"/>
              </w:rPr>
              <w:t>31</w:t>
            </w:r>
          </w:p>
        </w:tc>
        <w:tc>
          <w:tcPr>
            <w:tcW w:w="1276" w:type="dxa"/>
            <w:gridSpan w:val="4"/>
            <w:tcBorders>
              <w:top w:val="single" w:sz="8" w:space="0" w:color="AEAEAE"/>
              <w:left w:val="single" w:sz="8" w:space="0" w:color="E0E0E0"/>
              <w:bottom w:val="single" w:sz="8" w:space="0" w:color="AEAEAE"/>
              <w:right w:val="single" w:sz="8" w:space="0" w:color="E0E0E0"/>
            </w:tcBorders>
            <w:shd w:val="clear" w:color="auto" w:fill="FFFFFF"/>
          </w:tcPr>
          <w:p w14:paraId="2C0BFAA2" w14:textId="77777777" w:rsidR="0087601C" w:rsidRPr="006A1EC7" w:rsidRDefault="0087601C" w:rsidP="00D56051">
            <w:pPr>
              <w:spacing w:line="320" w:lineRule="atLeast"/>
              <w:ind w:left="60" w:right="60"/>
              <w:jc w:val="right"/>
              <w:rPr>
                <w:color w:val="010205"/>
                <w:sz w:val="18"/>
              </w:rPr>
            </w:pPr>
            <w:r w:rsidRPr="006A1EC7">
              <w:rPr>
                <w:color w:val="010205"/>
                <w:sz w:val="18"/>
              </w:rPr>
              <w:t>3.23</w:t>
            </w:r>
          </w:p>
        </w:tc>
        <w:tc>
          <w:tcPr>
            <w:tcW w:w="1830" w:type="dxa"/>
            <w:gridSpan w:val="4"/>
            <w:tcBorders>
              <w:top w:val="single" w:sz="8" w:space="0" w:color="AEAEAE"/>
              <w:left w:val="single" w:sz="8" w:space="0" w:color="E0E0E0"/>
              <w:bottom w:val="single" w:sz="8" w:space="0" w:color="AEAEAE"/>
              <w:right w:val="single" w:sz="8" w:space="0" w:color="E0E0E0"/>
            </w:tcBorders>
            <w:shd w:val="clear" w:color="auto" w:fill="FFFFFF"/>
          </w:tcPr>
          <w:p w14:paraId="629AE8B9" w14:textId="77777777" w:rsidR="0087601C" w:rsidRPr="006A1EC7" w:rsidRDefault="0087601C" w:rsidP="00D56051">
            <w:pPr>
              <w:spacing w:line="320" w:lineRule="atLeast"/>
              <w:ind w:left="60" w:right="60"/>
              <w:jc w:val="right"/>
              <w:rPr>
                <w:color w:val="010205"/>
                <w:sz w:val="18"/>
              </w:rPr>
            </w:pPr>
            <w:r w:rsidRPr="006A1EC7">
              <w:rPr>
                <w:color w:val="010205"/>
                <w:sz w:val="18"/>
              </w:rPr>
              <w:t>2.171</w:t>
            </w:r>
          </w:p>
        </w:tc>
        <w:tc>
          <w:tcPr>
            <w:tcW w:w="1830" w:type="dxa"/>
            <w:gridSpan w:val="4"/>
            <w:tcBorders>
              <w:top w:val="single" w:sz="8" w:space="0" w:color="AEAEAE"/>
              <w:left w:val="single" w:sz="8" w:space="0" w:color="E0E0E0"/>
              <w:bottom w:val="single" w:sz="8" w:space="0" w:color="AEAEAE"/>
              <w:right w:val="nil"/>
            </w:tcBorders>
            <w:shd w:val="clear" w:color="auto" w:fill="FFFFFF"/>
          </w:tcPr>
          <w:p w14:paraId="6BDEF32C" w14:textId="77777777" w:rsidR="0087601C" w:rsidRPr="006A1EC7" w:rsidRDefault="0087601C" w:rsidP="00D56051">
            <w:pPr>
              <w:spacing w:line="320" w:lineRule="atLeast"/>
              <w:ind w:left="60" w:right="60"/>
              <w:jc w:val="right"/>
              <w:rPr>
                <w:color w:val="010205"/>
                <w:sz w:val="18"/>
              </w:rPr>
            </w:pPr>
            <w:r w:rsidRPr="006A1EC7">
              <w:rPr>
                <w:color w:val="010205"/>
                <w:sz w:val="18"/>
              </w:rPr>
              <w:t>.390</w:t>
            </w:r>
          </w:p>
        </w:tc>
      </w:tr>
      <w:tr w:rsidR="0087601C" w:rsidRPr="006A1EC7" w14:paraId="5B20FB09" w14:textId="77777777" w:rsidTr="00D56051">
        <w:trPr>
          <w:gridAfter w:val="3"/>
          <w:wAfter w:w="2764" w:type="dxa"/>
          <w:cantSplit/>
        </w:trPr>
        <w:tc>
          <w:tcPr>
            <w:tcW w:w="2211" w:type="dxa"/>
            <w:gridSpan w:val="3"/>
            <w:tcBorders>
              <w:top w:val="single" w:sz="8" w:space="0" w:color="AEAEAE"/>
              <w:left w:val="nil"/>
              <w:bottom w:val="single" w:sz="8" w:space="0" w:color="152935"/>
              <w:right w:val="nil"/>
            </w:tcBorders>
            <w:shd w:val="clear" w:color="auto" w:fill="E0E0E0"/>
          </w:tcPr>
          <w:p w14:paraId="6E0B9616" w14:textId="77777777" w:rsidR="0087601C" w:rsidRPr="006A1EC7" w:rsidRDefault="0087601C" w:rsidP="00D56051">
            <w:pPr>
              <w:spacing w:line="320" w:lineRule="atLeast"/>
              <w:ind w:left="60" w:right="60"/>
              <w:rPr>
                <w:color w:val="264A60"/>
                <w:sz w:val="18"/>
              </w:rPr>
            </w:pPr>
            <w:r w:rsidRPr="006A1EC7">
              <w:rPr>
                <w:color w:val="264A60"/>
                <w:sz w:val="18"/>
              </w:rPr>
              <w:t>Sleep</w:t>
            </w:r>
          </w:p>
        </w:tc>
        <w:tc>
          <w:tcPr>
            <w:tcW w:w="1276" w:type="dxa"/>
            <w:gridSpan w:val="4"/>
            <w:tcBorders>
              <w:top w:val="single" w:sz="8" w:space="0" w:color="AEAEAE"/>
              <w:left w:val="nil"/>
              <w:bottom w:val="single" w:sz="8" w:space="0" w:color="152935"/>
              <w:right w:val="single" w:sz="8" w:space="0" w:color="E0E0E0"/>
            </w:tcBorders>
            <w:shd w:val="clear" w:color="auto" w:fill="FFFFFF"/>
          </w:tcPr>
          <w:p w14:paraId="4D89C420" w14:textId="77777777" w:rsidR="0087601C" w:rsidRPr="006A1EC7" w:rsidRDefault="0087601C" w:rsidP="00D56051">
            <w:pPr>
              <w:spacing w:line="320" w:lineRule="atLeast"/>
              <w:ind w:left="60" w:right="60"/>
              <w:jc w:val="right"/>
              <w:rPr>
                <w:color w:val="010205"/>
                <w:sz w:val="18"/>
              </w:rPr>
            </w:pPr>
            <w:r w:rsidRPr="006A1EC7">
              <w:rPr>
                <w:color w:val="010205"/>
                <w:sz w:val="18"/>
              </w:rPr>
              <w:t>31</w:t>
            </w:r>
          </w:p>
        </w:tc>
        <w:tc>
          <w:tcPr>
            <w:tcW w:w="1276" w:type="dxa"/>
            <w:gridSpan w:val="4"/>
            <w:tcBorders>
              <w:top w:val="single" w:sz="8" w:space="0" w:color="AEAEAE"/>
              <w:left w:val="single" w:sz="8" w:space="0" w:color="E0E0E0"/>
              <w:bottom w:val="single" w:sz="8" w:space="0" w:color="152935"/>
              <w:right w:val="single" w:sz="8" w:space="0" w:color="E0E0E0"/>
            </w:tcBorders>
            <w:shd w:val="clear" w:color="auto" w:fill="FFFFFF"/>
          </w:tcPr>
          <w:p w14:paraId="3935DC76" w14:textId="77777777" w:rsidR="0087601C" w:rsidRPr="006A1EC7" w:rsidRDefault="0087601C" w:rsidP="00D56051">
            <w:pPr>
              <w:spacing w:line="320" w:lineRule="atLeast"/>
              <w:ind w:left="60" w:right="60"/>
              <w:jc w:val="right"/>
              <w:rPr>
                <w:color w:val="010205"/>
                <w:sz w:val="18"/>
              </w:rPr>
            </w:pPr>
            <w:r w:rsidRPr="006A1EC7">
              <w:rPr>
                <w:color w:val="010205"/>
                <w:sz w:val="18"/>
              </w:rPr>
              <w:t>.45</w:t>
            </w:r>
          </w:p>
        </w:tc>
        <w:tc>
          <w:tcPr>
            <w:tcW w:w="1830" w:type="dxa"/>
            <w:gridSpan w:val="4"/>
            <w:tcBorders>
              <w:top w:val="single" w:sz="8" w:space="0" w:color="AEAEAE"/>
              <w:left w:val="single" w:sz="8" w:space="0" w:color="E0E0E0"/>
              <w:bottom w:val="single" w:sz="8" w:space="0" w:color="152935"/>
              <w:right w:val="single" w:sz="8" w:space="0" w:color="E0E0E0"/>
            </w:tcBorders>
            <w:shd w:val="clear" w:color="auto" w:fill="FFFFFF"/>
          </w:tcPr>
          <w:p w14:paraId="625776BA" w14:textId="77777777" w:rsidR="0087601C" w:rsidRPr="006A1EC7" w:rsidRDefault="0087601C" w:rsidP="00D56051">
            <w:pPr>
              <w:spacing w:line="320" w:lineRule="atLeast"/>
              <w:ind w:left="60" w:right="60"/>
              <w:jc w:val="right"/>
              <w:rPr>
                <w:color w:val="010205"/>
                <w:sz w:val="18"/>
              </w:rPr>
            </w:pPr>
            <w:r w:rsidRPr="006A1EC7">
              <w:rPr>
                <w:color w:val="010205"/>
                <w:sz w:val="18"/>
              </w:rPr>
              <w:t>1.060</w:t>
            </w:r>
          </w:p>
        </w:tc>
        <w:tc>
          <w:tcPr>
            <w:tcW w:w="1830" w:type="dxa"/>
            <w:gridSpan w:val="4"/>
            <w:tcBorders>
              <w:top w:val="single" w:sz="8" w:space="0" w:color="AEAEAE"/>
              <w:left w:val="single" w:sz="8" w:space="0" w:color="E0E0E0"/>
              <w:bottom w:val="single" w:sz="8" w:space="0" w:color="152935"/>
              <w:right w:val="nil"/>
            </w:tcBorders>
            <w:shd w:val="clear" w:color="auto" w:fill="FFFFFF"/>
          </w:tcPr>
          <w:p w14:paraId="5072B1EF" w14:textId="77777777" w:rsidR="0087601C" w:rsidRPr="006A1EC7" w:rsidRDefault="0087601C" w:rsidP="00D56051">
            <w:pPr>
              <w:spacing w:line="320" w:lineRule="atLeast"/>
              <w:ind w:left="60" w:right="60"/>
              <w:jc w:val="right"/>
              <w:rPr>
                <w:color w:val="010205"/>
                <w:sz w:val="18"/>
              </w:rPr>
            </w:pPr>
            <w:r w:rsidRPr="006A1EC7">
              <w:rPr>
                <w:color w:val="010205"/>
                <w:sz w:val="18"/>
              </w:rPr>
              <w:t>.190</w:t>
            </w:r>
          </w:p>
        </w:tc>
      </w:tr>
      <w:tr w:rsidR="0087601C" w:rsidRPr="006A1EC7" w14:paraId="0CD6FB0C" w14:textId="77777777" w:rsidTr="00D56051">
        <w:trPr>
          <w:cantSplit/>
        </w:trPr>
        <w:tc>
          <w:tcPr>
            <w:tcW w:w="2046" w:type="dxa"/>
            <w:vMerge w:val="restart"/>
            <w:tcBorders>
              <w:top w:val="nil"/>
              <w:left w:val="nil"/>
              <w:bottom w:val="nil"/>
              <w:right w:val="nil"/>
            </w:tcBorders>
            <w:shd w:val="clear" w:color="auto" w:fill="FFFFFF"/>
            <w:vAlign w:val="bottom"/>
          </w:tcPr>
          <w:p w14:paraId="1B4B609D" w14:textId="77777777" w:rsidR="0087601C" w:rsidRPr="006A1EC7" w:rsidRDefault="0087601C" w:rsidP="00D56051">
            <w:pPr>
              <w:rPr>
                <w:sz w:val="18"/>
              </w:rPr>
            </w:pPr>
          </w:p>
        </w:tc>
        <w:tc>
          <w:tcPr>
            <w:tcW w:w="9141" w:type="dxa"/>
            <w:gridSpan w:val="21"/>
            <w:tcBorders>
              <w:top w:val="nil"/>
              <w:left w:val="nil"/>
              <w:bottom w:val="nil"/>
              <w:right w:val="nil"/>
            </w:tcBorders>
            <w:shd w:val="clear" w:color="auto" w:fill="FFFFFF"/>
            <w:vAlign w:val="bottom"/>
          </w:tcPr>
          <w:p w14:paraId="35C6206E"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0</w:t>
            </w:r>
          </w:p>
        </w:tc>
      </w:tr>
      <w:tr w:rsidR="0087601C" w:rsidRPr="006A1EC7" w14:paraId="7F35E2D6" w14:textId="77777777" w:rsidTr="00D56051">
        <w:trPr>
          <w:cantSplit/>
        </w:trPr>
        <w:tc>
          <w:tcPr>
            <w:tcW w:w="2046" w:type="dxa"/>
            <w:vMerge/>
            <w:tcBorders>
              <w:top w:val="nil"/>
              <w:left w:val="nil"/>
              <w:bottom w:val="nil"/>
              <w:right w:val="nil"/>
            </w:tcBorders>
            <w:shd w:val="clear" w:color="auto" w:fill="FFFFFF"/>
            <w:vAlign w:val="bottom"/>
          </w:tcPr>
          <w:p w14:paraId="2E69C218" w14:textId="77777777" w:rsidR="0087601C" w:rsidRPr="006A1EC7" w:rsidRDefault="0087601C" w:rsidP="00D56051">
            <w:pPr>
              <w:rPr>
                <w:color w:val="264A60"/>
                <w:sz w:val="18"/>
              </w:rPr>
            </w:pPr>
          </w:p>
        </w:tc>
        <w:tc>
          <w:tcPr>
            <w:tcW w:w="1182" w:type="dxa"/>
            <w:gridSpan w:val="4"/>
            <w:vMerge w:val="restart"/>
            <w:tcBorders>
              <w:top w:val="nil"/>
              <w:left w:val="nil"/>
              <w:bottom w:val="nil"/>
              <w:right w:val="single" w:sz="8" w:space="0" w:color="E0E0E0"/>
            </w:tcBorders>
            <w:shd w:val="clear" w:color="auto" w:fill="FFFFFF"/>
            <w:vAlign w:val="bottom"/>
          </w:tcPr>
          <w:p w14:paraId="2A47D82E"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83" w:type="dxa"/>
            <w:gridSpan w:val="4"/>
            <w:vMerge w:val="restart"/>
            <w:tcBorders>
              <w:top w:val="nil"/>
              <w:left w:val="single" w:sz="8" w:space="0" w:color="E0E0E0"/>
              <w:bottom w:val="nil"/>
              <w:right w:val="single" w:sz="8" w:space="0" w:color="E0E0E0"/>
            </w:tcBorders>
            <w:shd w:val="clear" w:color="auto" w:fill="FFFFFF"/>
            <w:vAlign w:val="bottom"/>
          </w:tcPr>
          <w:p w14:paraId="213D1ECD"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94" w:type="dxa"/>
            <w:gridSpan w:val="4"/>
            <w:vMerge w:val="restart"/>
            <w:tcBorders>
              <w:top w:val="nil"/>
              <w:left w:val="single" w:sz="8" w:space="0" w:color="E0E0E0"/>
              <w:bottom w:val="nil"/>
              <w:right w:val="single" w:sz="8" w:space="0" w:color="E0E0E0"/>
            </w:tcBorders>
            <w:shd w:val="clear" w:color="auto" w:fill="FFFFFF"/>
            <w:vAlign w:val="bottom"/>
          </w:tcPr>
          <w:p w14:paraId="40D359E4"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94" w:type="dxa"/>
            <w:gridSpan w:val="4"/>
            <w:vMerge w:val="restart"/>
            <w:tcBorders>
              <w:top w:val="nil"/>
              <w:left w:val="single" w:sz="8" w:space="0" w:color="E0E0E0"/>
              <w:bottom w:val="nil"/>
              <w:right w:val="single" w:sz="8" w:space="0" w:color="E0E0E0"/>
            </w:tcBorders>
            <w:shd w:val="clear" w:color="auto" w:fill="FFFFFF"/>
            <w:vAlign w:val="bottom"/>
          </w:tcPr>
          <w:p w14:paraId="072C5B3F"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88" w:type="dxa"/>
            <w:gridSpan w:val="5"/>
            <w:tcBorders>
              <w:top w:val="nil"/>
              <w:left w:val="single" w:sz="8" w:space="0" w:color="E0E0E0"/>
              <w:bottom w:val="nil"/>
              <w:right w:val="nil"/>
            </w:tcBorders>
            <w:shd w:val="clear" w:color="auto" w:fill="FFFFFF"/>
            <w:vAlign w:val="bottom"/>
          </w:tcPr>
          <w:p w14:paraId="4BB52414"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13C47042" w14:textId="77777777" w:rsidTr="00D56051">
        <w:trPr>
          <w:cantSplit/>
        </w:trPr>
        <w:tc>
          <w:tcPr>
            <w:tcW w:w="2046" w:type="dxa"/>
            <w:vMerge/>
            <w:tcBorders>
              <w:top w:val="nil"/>
              <w:left w:val="nil"/>
              <w:bottom w:val="nil"/>
              <w:right w:val="nil"/>
            </w:tcBorders>
            <w:shd w:val="clear" w:color="auto" w:fill="FFFFFF"/>
            <w:vAlign w:val="bottom"/>
          </w:tcPr>
          <w:p w14:paraId="514C2833" w14:textId="77777777" w:rsidR="0087601C" w:rsidRPr="006A1EC7" w:rsidRDefault="0087601C" w:rsidP="00D56051">
            <w:pPr>
              <w:rPr>
                <w:color w:val="264A60"/>
                <w:sz w:val="18"/>
              </w:rPr>
            </w:pPr>
          </w:p>
        </w:tc>
        <w:tc>
          <w:tcPr>
            <w:tcW w:w="1182" w:type="dxa"/>
            <w:gridSpan w:val="4"/>
            <w:vMerge/>
            <w:tcBorders>
              <w:top w:val="nil"/>
              <w:left w:val="nil"/>
              <w:bottom w:val="nil"/>
              <w:right w:val="single" w:sz="8" w:space="0" w:color="E0E0E0"/>
            </w:tcBorders>
            <w:shd w:val="clear" w:color="auto" w:fill="FFFFFF"/>
            <w:vAlign w:val="bottom"/>
          </w:tcPr>
          <w:p w14:paraId="71AEFB20" w14:textId="77777777" w:rsidR="0087601C" w:rsidRPr="006A1EC7" w:rsidRDefault="0087601C" w:rsidP="00D56051">
            <w:pPr>
              <w:rPr>
                <w:color w:val="264A60"/>
                <w:sz w:val="18"/>
              </w:rPr>
            </w:pPr>
          </w:p>
        </w:tc>
        <w:tc>
          <w:tcPr>
            <w:tcW w:w="1183" w:type="dxa"/>
            <w:gridSpan w:val="4"/>
            <w:vMerge/>
            <w:tcBorders>
              <w:top w:val="nil"/>
              <w:left w:val="single" w:sz="8" w:space="0" w:color="E0E0E0"/>
              <w:bottom w:val="nil"/>
              <w:right w:val="single" w:sz="8" w:space="0" w:color="E0E0E0"/>
            </w:tcBorders>
            <w:shd w:val="clear" w:color="auto" w:fill="FFFFFF"/>
            <w:vAlign w:val="bottom"/>
          </w:tcPr>
          <w:p w14:paraId="60E4E938" w14:textId="77777777" w:rsidR="0087601C" w:rsidRPr="006A1EC7" w:rsidRDefault="0087601C" w:rsidP="00D56051">
            <w:pPr>
              <w:rPr>
                <w:color w:val="264A60"/>
                <w:sz w:val="18"/>
              </w:rPr>
            </w:pPr>
          </w:p>
        </w:tc>
        <w:tc>
          <w:tcPr>
            <w:tcW w:w="1694" w:type="dxa"/>
            <w:gridSpan w:val="4"/>
            <w:vMerge/>
            <w:tcBorders>
              <w:top w:val="nil"/>
              <w:left w:val="single" w:sz="8" w:space="0" w:color="E0E0E0"/>
              <w:bottom w:val="nil"/>
              <w:right w:val="single" w:sz="8" w:space="0" w:color="E0E0E0"/>
            </w:tcBorders>
            <w:shd w:val="clear" w:color="auto" w:fill="FFFFFF"/>
            <w:vAlign w:val="bottom"/>
          </w:tcPr>
          <w:p w14:paraId="48D3E714" w14:textId="77777777" w:rsidR="0087601C" w:rsidRPr="006A1EC7" w:rsidRDefault="0087601C" w:rsidP="00D56051">
            <w:pPr>
              <w:rPr>
                <w:color w:val="264A60"/>
                <w:sz w:val="18"/>
              </w:rPr>
            </w:pPr>
          </w:p>
        </w:tc>
        <w:tc>
          <w:tcPr>
            <w:tcW w:w="1694" w:type="dxa"/>
            <w:gridSpan w:val="4"/>
            <w:vMerge/>
            <w:tcBorders>
              <w:top w:val="nil"/>
              <w:left w:val="single" w:sz="8" w:space="0" w:color="E0E0E0"/>
              <w:bottom w:val="nil"/>
              <w:right w:val="single" w:sz="8" w:space="0" w:color="E0E0E0"/>
            </w:tcBorders>
            <w:shd w:val="clear" w:color="auto" w:fill="FFFFFF"/>
            <w:vAlign w:val="bottom"/>
          </w:tcPr>
          <w:p w14:paraId="0454CD06" w14:textId="77777777" w:rsidR="0087601C" w:rsidRPr="006A1EC7" w:rsidRDefault="0087601C" w:rsidP="00D56051">
            <w:pPr>
              <w:rPr>
                <w:color w:val="264A60"/>
                <w:sz w:val="18"/>
              </w:rPr>
            </w:pPr>
          </w:p>
        </w:tc>
        <w:tc>
          <w:tcPr>
            <w:tcW w:w="1694" w:type="dxa"/>
            <w:gridSpan w:val="4"/>
            <w:tcBorders>
              <w:top w:val="nil"/>
              <w:left w:val="single" w:sz="8" w:space="0" w:color="E0E0E0"/>
              <w:bottom w:val="single" w:sz="8" w:space="0" w:color="152935"/>
              <w:right w:val="single" w:sz="8" w:space="0" w:color="E0E0E0"/>
            </w:tcBorders>
            <w:shd w:val="clear" w:color="auto" w:fill="FFFFFF"/>
            <w:vAlign w:val="bottom"/>
          </w:tcPr>
          <w:p w14:paraId="444A2217"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94" w:type="dxa"/>
            <w:tcBorders>
              <w:top w:val="nil"/>
              <w:left w:val="single" w:sz="8" w:space="0" w:color="E0E0E0"/>
              <w:bottom w:val="single" w:sz="8" w:space="0" w:color="152935"/>
              <w:right w:val="nil"/>
            </w:tcBorders>
            <w:shd w:val="clear" w:color="auto" w:fill="FFFFFF"/>
            <w:vAlign w:val="bottom"/>
          </w:tcPr>
          <w:p w14:paraId="6B0AAE0F"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06BA0F8D" w14:textId="77777777" w:rsidTr="00D56051">
        <w:trPr>
          <w:cantSplit/>
        </w:trPr>
        <w:tc>
          <w:tcPr>
            <w:tcW w:w="2046" w:type="dxa"/>
            <w:tcBorders>
              <w:top w:val="single" w:sz="8" w:space="0" w:color="152935"/>
              <w:left w:val="nil"/>
              <w:bottom w:val="single" w:sz="8" w:space="0" w:color="AEAEAE"/>
              <w:right w:val="nil"/>
            </w:tcBorders>
            <w:shd w:val="clear" w:color="auto" w:fill="E0E0E0"/>
          </w:tcPr>
          <w:p w14:paraId="721362B9" w14:textId="77777777" w:rsidR="0087601C" w:rsidRPr="006A1EC7" w:rsidRDefault="0087601C" w:rsidP="00D56051">
            <w:pPr>
              <w:spacing w:line="320" w:lineRule="atLeast"/>
              <w:ind w:left="60" w:right="60"/>
              <w:rPr>
                <w:color w:val="264A60"/>
                <w:sz w:val="18"/>
              </w:rPr>
            </w:pPr>
            <w:r w:rsidRPr="006A1EC7">
              <w:rPr>
                <w:color w:val="264A60"/>
                <w:sz w:val="18"/>
              </w:rPr>
              <w:t>T1Emma_Face</w:t>
            </w:r>
          </w:p>
        </w:tc>
        <w:tc>
          <w:tcPr>
            <w:tcW w:w="1182" w:type="dxa"/>
            <w:gridSpan w:val="4"/>
            <w:tcBorders>
              <w:top w:val="single" w:sz="8" w:space="0" w:color="152935"/>
              <w:left w:val="nil"/>
              <w:bottom w:val="single" w:sz="8" w:space="0" w:color="AEAEAE"/>
              <w:right w:val="single" w:sz="8" w:space="0" w:color="E0E0E0"/>
            </w:tcBorders>
            <w:shd w:val="clear" w:color="auto" w:fill="FFFFFF"/>
          </w:tcPr>
          <w:p w14:paraId="6CBF4FBC" w14:textId="77777777" w:rsidR="0087601C" w:rsidRPr="006A1EC7" w:rsidRDefault="0087601C" w:rsidP="00D56051">
            <w:pPr>
              <w:spacing w:line="320" w:lineRule="atLeast"/>
              <w:ind w:left="60" w:right="60"/>
              <w:jc w:val="right"/>
              <w:rPr>
                <w:color w:val="010205"/>
                <w:sz w:val="18"/>
              </w:rPr>
            </w:pPr>
            <w:r w:rsidRPr="006A1EC7">
              <w:rPr>
                <w:color w:val="010205"/>
                <w:sz w:val="18"/>
              </w:rPr>
              <w:t>1.000</w:t>
            </w:r>
          </w:p>
        </w:tc>
        <w:tc>
          <w:tcPr>
            <w:tcW w:w="1183" w:type="dxa"/>
            <w:gridSpan w:val="4"/>
            <w:tcBorders>
              <w:top w:val="single" w:sz="8" w:space="0" w:color="152935"/>
              <w:left w:val="single" w:sz="8" w:space="0" w:color="E0E0E0"/>
              <w:bottom w:val="single" w:sz="8" w:space="0" w:color="AEAEAE"/>
              <w:right w:val="single" w:sz="8" w:space="0" w:color="E0E0E0"/>
            </w:tcBorders>
            <w:shd w:val="clear" w:color="auto" w:fill="FFFFFF"/>
          </w:tcPr>
          <w:p w14:paraId="0262DB4F" w14:textId="77777777" w:rsidR="0087601C" w:rsidRPr="006A1EC7" w:rsidRDefault="0087601C" w:rsidP="00D56051">
            <w:pPr>
              <w:spacing w:line="320" w:lineRule="atLeast"/>
              <w:ind w:left="60" w:right="60"/>
              <w:jc w:val="right"/>
              <w:rPr>
                <w:color w:val="010205"/>
                <w:sz w:val="18"/>
              </w:rPr>
            </w:pPr>
            <w:r w:rsidRPr="006A1EC7">
              <w:rPr>
                <w:color w:val="010205"/>
                <w:sz w:val="18"/>
              </w:rPr>
              <w:t>30</w:t>
            </w:r>
          </w:p>
        </w:tc>
        <w:tc>
          <w:tcPr>
            <w:tcW w:w="1694" w:type="dxa"/>
            <w:gridSpan w:val="4"/>
            <w:tcBorders>
              <w:top w:val="single" w:sz="8" w:space="0" w:color="152935"/>
              <w:left w:val="single" w:sz="8" w:space="0" w:color="E0E0E0"/>
              <w:bottom w:val="single" w:sz="8" w:space="0" w:color="AEAEAE"/>
              <w:right w:val="single" w:sz="8" w:space="0" w:color="E0E0E0"/>
            </w:tcBorders>
            <w:shd w:val="clear" w:color="auto" w:fill="FFFFFF"/>
          </w:tcPr>
          <w:p w14:paraId="25840A7E" w14:textId="77777777" w:rsidR="0087601C" w:rsidRPr="006A1EC7" w:rsidRDefault="0087601C" w:rsidP="00D56051">
            <w:pPr>
              <w:spacing w:line="320" w:lineRule="atLeast"/>
              <w:ind w:left="60" w:right="60"/>
              <w:jc w:val="right"/>
              <w:rPr>
                <w:color w:val="010205"/>
                <w:sz w:val="18"/>
              </w:rPr>
            </w:pPr>
            <w:r w:rsidRPr="006A1EC7">
              <w:rPr>
                <w:color w:val="010205"/>
                <w:sz w:val="18"/>
              </w:rPr>
              <w:t>.325</w:t>
            </w:r>
          </w:p>
        </w:tc>
        <w:tc>
          <w:tcPr>
            <w:tcW w:w="1694" w:type="dxa"/>
            <w:gridSpan w:val="4"/>
            <w:tcBorders>
              <w:top w:val="single" w:sz="8" w:space="0" w:color="152935"/>
              <w:left w:val="single" w:sz="8" w:space="0" w:color="E0E0E0"/>
              <w:bottom w:val="single" w:sz="8" w:space="0" w:color="AEAEAE"/>
              <w:right w:val="single" w:sz="8" w:space="0" w:color="E0E0E0"/>
            </w:tcBorders>
            <w:shd w:val="clear" w:color="auto" w:fill="FFFFFF"/>
          </w:tcPr>
          <w:p w14:paraId="55933E5E" w14:textId="77777777" w:rsidR="0087601C" w:rsidRPr="006A1EC7" w:rsidRDefault="0087601C" w:rsidP="00D56051">
            <w:pPr>
              <w:spacing w:line="320" w:lineRule="atLeast"/>
              <w:ind w:left="60" w:right="60"/>
              <w:jc w:val="right"/>
              <w:rPr>
                <w:color w:val="010205"/>
                <w:sz w:val="18"/>
              </w:rPr>
            </w:pPr>
            <w:r w:rsidRPr="006A1EC7">
              <w:rPr>
                <w:color w:val="010205"/>
                <w:sz w:val="18"/>
              </w:rPr>
              <w:t>.032</w:t>
            </w:r>
          </w:p>
        </w:tc>
        <w:tc>
          <w:tcPr>
            <w:tcW w:w="1694" w:type="dxa"/>
            <w:gridSpan w:val="4"/>
            <w:tcBorders>
              <w:top w:val="single" w:sz="8" w:space="0" w:color="152935"/>
              <w:left w:val="single" w:sz="8" w:space="0" w:color="E0E0E0"/>
              <w:bottom w:val="single" w:sz="8" w:space="0" w:color="AEAEAE"/>
              <w:right w:val="single" w:sz="8" w:space="0" w:color="E0E0E0"/>
            </w:tcBorders>
            <w:shd w:val="clear" w:color="auto" w:fill="FFFFFF"/>
          </w:tcPr>
          <w:p w14:paraId="0CCC8EA4" w14:textId="77777777" w:rsidR="0087601C" w:rsidRPr="006A1EC7" w:rsidRDefault="0087601C" w:rsidP="00D56051">
            <w:pPr>
              <w:spacing w:line="320" w:lineRule="atLeast"/>
              <w:ind w:left="60" w:right="60"/>
              <w:jc w:val="right"/>
              <w:rPr>
                <w:color w:val="010205"/>
                <w:sz w:val="18"/>
              </w:rPr>
            </w:pPr>
            <w:r w:rsidRPr="006A1EC7">
              <w:rPr>
                <w:color w:val="010205"/>
                <w:sz w:val="18"/>
              </w:rPr>
              <w:t>-.03</w:t>
            </w:r>
          </w:p>
        </w:tc>
        <w:tc>
          <w:tcPr>
            <w:tcW w:w="1694" w:type="dxa"/>
            <w:tcBorders>
              <w:top w:val="single" w:sz="8" w:space="0" w:color="152935"/>
              <w:left w:val="single" w:sz="8" w:space="0" w:color="E0E0E0"/>
              <w:bottom w:val="single" w:sz="8" w:space="0" w:color="AEAEAE"/>
              <w:right w:val="nil"/>
            </w:tcBorders>
            <w:shd w:val="clear" w:color="auto" w:fill="FFFFFF"/>
          </w:tcPr>
          <w:p w14:paraId="1E88F209" w14:textId="77777777" w:rsidR="0087601C" w:rsidRPr="006A1EC7" w:rsidRDefault="0087601C" w:rsidP="00D56051">
            <w:pPr>
              <w:spacing w:line="320" w:lineRule="atLeast"/>
              <w:ind w:left="60" w:right="60"/>
              <w:jc w:val="right"/>
              <w:rPr>
                <w:color w:val="010205"/>
                <w:sz w:val="18"/>
              </w:rPr>
            </w:pPr>
            <w:r w:rsidRPr="006A1EC7">
              <w:rPr>
                <w:color w:val="010205"/>
                <w:sz w:val="18"/>
              </w:rPr>
              <w:t>.10</w:t>
            </w:r>
          </w:p>
        </w:tc>
      </w:tr>
      <w:tr w:rsidR="0087601C" w:rsidRPr="006A1EC7" w14:paraId="7AB439B3" w14:textId="77777777" w:rsidTr="00D56051">
        <w:trPr>
          <w:cantSplit/>
        </w:trPr>
        <w:tc>
          <w:tcPr>
            <w:tcW w:w="2046" w:type="dxa"/>
            <w:tcBorders>
              <w:top w:val="single" w:sz="8" w:space="0" w:color="AEAEAE"/>
              <w:left w:val="nil"/>
              <w:bottom w:val="single" w:sz="8" w:space="0" w:color="AEAEAE"/>
              <w:right w:val="nil"/>
            </w:tcBorders>
            <w:shd w:val="clear" w:color="auto" w:fill="E0E0E0"/>
          </w:tcPr>
          <w:p w14:paraId="2AF34441" w14:textId="77777777" w:rsidR="0087601C" w:rsidRPr="006A1EC7" w:rsidRDefault="0087601C" w:rsidP="00D56051">
            <w:pPr>
              <w:spacing w:line="320" w:lineRule="atLeast"/>
              <w:ind w:left="60" w:right="60"/>
              <w:rPr>
                <w:color w:val="264A60"/>
                <w:sz w:val="18"/>
              </w:rPr>
            </w:pPr>
            <w:r w:rsidRPr="006A1EC7">
              <w:rPr>
                <w:color w:val="264A60"/>
                <w:sz w:val="18"/>
              </w:rPr>
              <w:t>T1Emma_Immun</w:t>
            </w:r>
          </w:p>
        </w:tc>
        <w:tc>
          <w:tcPr>
            <w:tcW w:w="1182" w:type="dxa"/>
            <w:gridSpan w:val="4"/>
            <w:tcBorders>
              <w:top w:val="single" w:sz="8" w:space="0" w:color="AEAEAE"/>
              <w:left w:val="nil"/>
              <w:bottom w:val="single" w:sz="8" w:space="0" w:color="AEAEAE"/>
              <w:right w:val="single" w:sz="8" w:space="0" w:color="E0E0E0"/>
            </w:tcBorders>
            <w:shd w:val="clear" w:color="auto" w:fill="FFFFFF"/>
          </w:tcPr>
          <w:p w14:paraId="518E35A6" w14:textId="77777777" w:rsidR="0087601C" w:rsidRPr="006A1EC7" w:rsidRDefault="0087601C" w:rsidP="00D56051">
            <w:pPr>
              <w:spacing w:line="320" w:lineRule="atLeast"/>
              <w:ind w:left="60" w:right="60"/>
              <w:jc w:val="right"/>
              <w:rPr>
                <w:color w:val="010205"/>
                <w:sz w:val="18"/>
              </w:rPr>
            </w:pPr>
            <w:r w:rsidRPr="006A1EC7">
              <w:rPr>
                <w:color w:val="010205"/>
                <w:sz w:val="18"/>
              </w:rPr>
              <w:t>8.272</w:t>
            </w:r>
          </w:p>
        </w:tc>
        <w:tc>
          <w:tcPr>
            <w:tcW w:w="1183" w:type="dxa"/>
            <w:gridSpan w:val="4"/>
            <w:tcBorders>
              <w:top w:val="single" w:sz="8" w:space="0" w:color="AEAEAE"/>
              <w:left w:val="single" w:sz="8" w:space="0" w:color="E0E0E0"/>
              <w:bottom w:val="single" w:sz="8" w:space="0" w:color="AEAEAE"/>
              <w:right w:val="single" w:sz="8" w:space="0" w:color="E0E0E0"/>
            </w:tcBorders>
            <w:shd w:val="clear" w:color="auto" w:fill="FFFFFF"/>
          </w:tcPr>
          <w:p w14:paraId="57ACF872" w14:textId="77777777" w:rsidR="0087601C" w:rsidRPr="006A1EC7" w:rsidRDefault="0087601C" w:rsidP="00D56051">
            <w:pPr>
              <w:spacing w:line="320" w:lineRule="atLeast"/>
              <w:ind w:left="60" w:right="60"/>
              <w:jc w:val="right"/>
              <w:rPr>
                <w:color w:val="010205"/>
                <w:sz w:val="18"/>
              </w:rPr>
            </w:pPr>
            <w:r w:rsidRPr="006A1EC7">
              <w:rPr>
                <w:color w:val="010205"/>
                <w:sz w:val="18"/>
              </w:rPr>
              <w:t>30</w:t>
            </w:r>
          </w:p>
        </w:tc>
        <w:tc>
          <w:tcPr>
            <w:tcW w:w="1694" w:type="dxa"/>
            <w:gridSpan w:val="4"/>
            <w:tcBorders>
              <w:top w:val="single" w:sz="8" w:space="0" w:color="AEAEAE"/>
              <w:left w:val="single" w:sz="8" w:space="0" w:color="E0E0E0"/>
              <w:bottom w:val="single" w:sz="8" w:space="0" w:color="AEAEAE"/>
              <w:right w:val="single" w:sz="8" w:space="0" w:color="E0E0E0"/>
            </w:tcBorders>
            <w:shd w:val="clear" w:color="auto" w:fill="FFFFFF"/>
          </w:tcPr>
          <w:p w14:paraId="21C410C5"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94" w:type="dxa"/>
            <w:gridSpan w:val="4"/>
            <w:tcBorders>
              <w:top w:val="single" w:sz="8" w:space="0" w:color="AEAEAE"/>
              <w:left w:val="single" w:sz="8" w:space="0" w:color="E0E0E0"/>
              <w:bottom w:val="single" w:sz="8" w:space="0" w:color="AEAEAE"/>
              <w:right w:val="single" w:sz="8" w:space="0" w:color="E0E0E0"/>
            </w:tcBorders>
            <w:shd w:val="clear" w:color="auto" w:fill="FFFFFF"/>
          </w:tcPr>
          <w:p w14:paraId="79C429DC" w14:textId="77777777" w:rsidR="0087601C" w:rsidRPr="006A1EC7" w:rsidRDefault="0087601C" w:rsidP="00D56051">
            <w:pPr>
              <w:spacing w:line="320" w:lineRule="atLeast"/>
              <w:ind w:left="60" w:right="60"/>
              <w:jc w:val="right"/>
              <w:rPr>
                <w:color w:val="010205"/>
                <w:sz w:val="18"/>
              </w:rPr>
            </w:pPr>
            <w:r w:rsidRPr="006A1EC7">
              <w:rPr>
                <w:color w:val="010205"/>
                <w:sz w:val="18"/>
              </w:rPr>
              <w:t>3.226</w:t>
            </w:r>
          </w:p>
        </w:tc>
        <w:tc>
          <w:tcPr>
            <w:tcW w:w="1694" w:type="dxa"/>
            <w:gridSpan w:val="4"/>
            <w:tcBorders>
              <w:top w:val="single" w:sz="8" w:space="0" w:color="AEAEAE"/>
              <w:left w:val="single" w:sz="8" w:space="0" w:color="E0E0E0"/>
              <w:bottom w:val="single" w:sz="8" w:space="0" w:color="AEAEAE"/>
              <w:right w:val="single" w:sz="8" w:space="0" w:color="E0E0E0"/>
            </w:tcBorders>
            <w:shd w:val="clear" w:color="auto" w:fill="FFFFFF"/>
          </w:tcPr>
          <w:p w14:paraId="7586C405" w14:textId="77777777" w:rsidR="0087601C" w:rsidRPr="006A1EC7" w:rsidRDefault="0087601C" w:rsidP="00D56051">
            <w:pPr>
              <w:spacing w:line="320" w:lineRule="atLeast"/>
              <w:ind w:left="60" w:right="60"/>
              <w:jc w:val="right"/>
              <w:rPr>
                <w:color w:val="010205"/>
                <w:sz w:val="18"/>
              </w:rPr>
            </w:pPr>
            <w:r w:rsidRPr="006A1EC7">
              <w:rPr>
                <w:color w:val="010205"/>
                <w:sz w:val="18"/>
              </w:rPr>
              <w:t>2.43</w:t>
            </w:r>
          </w:p>
        </w:tc>
        <w:tc>
          <w:tcPr>
            <w:tcW w:w="1694" w:type="dxa"/>
            <w:tcBorders>
              <w:top w:val="single" w:sz="8" w:space="0" w:color="AEAEAE"/>
              <w:left w:val="single" w:sz="8" w:space="0" w:color="E0E0E0"/>
              <w:bottom w:val="single" w:sz="8" w:space="0" w:color="AEAEAE"/>
              <w:right w:val="nil"/>
            </w:tcBorders>
            <w:shd w:val="clear" w:color="auto" w:fill="FFFFFF"/>
          </w:tcPr>
          <w:p w14:paraId="4E1AF19F" w14:textId="77777777" w:rsidR="0087601C" w:rsidRPr="006A1EC7" w:rsidRDefault="0087601C" w:rsidP="00D56051">
            <w:pPr>
              <w:spacing w:line="320" w:lineRule="atLeast"/>
              <w:ind w:left="60" w:right="60"/>
              <w:jc w:val="right"/>
              <w:rPr>
                <w:color w:val="010205"/>
                <w:sz w:val="18"/>
              </w:rPr>
            </w:pPr>
            <w:r w:rsidRPr="006A1EC7">
              <w:rPr>
                <w:color w:val="010205"/>
                <w:sz w:val="18"/>
              </w:rPr>
              <w:t>4.02</w:t>
            </w:r>
          </w:p>
        </w:tc>
      </w:tr>
      <w:tr w:rsidR="0087601C" w:rsidRPr="006A1EC7" w14:paraId="38DAF6CF" w14:textId="77777777" w:rsidTr="00D56051">
        <w:trPr>
          <w:cantSplit/>
        </w:trPr>
        <w:tc>
          <w:tcPr>
            <w:tcW w:w="2046" w:type="dxa"/>
            <w:tcBorders>
              <w:top w:val="single" w:sz="8" w:space="0" w:color="AEAEAE"/>
              <w:left w:val="nil"/>
              <w:bottom w:val="single" w:sz="8" w:space="0" w:color="152935"/>
              <w:right w:val="nil"/>
            </w:tcBorders>
            <w:shd w:val="clear" w:color="auto" w:fill="E0E0E0"/>
          </w:tcPr>
          <w:p w14:paraId="6F16792B" w14:textId="77777777" w:rsidR="0087601C" w:rsidRPr="006A1EC7" w:rsidRDefault="0087601C" w:rsidP="00D56051">
            <w:pPr>
              <w:spacing w:line="320" w:lineRule="atLeast"/>
              <w:ind w:left="60" w:right="60"/>
              <w:rPr>
                <w:color w:val="264A60"/>
                <w:sz w:val="18"/>
              </w:rPr>
            </w:pPr>
            <w:r w:rsidRPr="006A1EC7">
              <w:rPr>
                <w:color w:val="264A60"/>
                <w:sz w:val="18"/>
              </w:rPr>
              <w:t>Sleep</w:t>
            </w:r>
          </w:p>
        </w:tc>
        <w:tc>
          <w:tcPr>
            <w:tcW w:w="1182" w:type="dxa"/>
            <w:gridSpan w:val="4"/>
            <w:tcBorders>
              <w:top w:val="single" w:sz="8" w:space="0" w:color="AEAEAE"/>
              <w:left w:val="nil"/>
              <w:bottom w:val="single" w:sz="8" w:space="0" w:color="152935"/>
              <w:right w:val="single" w:sz="8" w:space="0" w:color="E0E0E0"/>
            </w:tcBorders>
            <w:shd w:val="clear" w:color="auto" w:fill="FFFFFF"/>
          </w:tcPr>
          <w:p w14:paraId="4C334B40" w14:textId="77777777" w:rsidR="0087601C" w:rsidRPr="006A1EC7" w:rsidRDefault="0087601C" w:rsidP="00D56051">
            <w:pPr>
              <w:spacing w:line="320" w:lineRule="atLeast"/>
              <w:ind w:left="60" w:right="60"/>
              <w:jc w:val="right"/>
              <w:rPr>
                <w:color w:val="010205"/>
                <w:sz w:val="18"/>
              </w:rPr>
            </w:pPr>
            <w:r w:rsidRPr="006A1EC7">
              <w:rPr>
                <w:color w:val="010205"/>
                <w:sz w:val="18"/>
              </w:rPr>
              <w:t>2.373</w:t>
            </w:r>
          </w:p>
        </w:tc>
        <w:tc>
          <w:tcPr>
            <w:tcW w:w="1183" w:type="dxa"/>
            <w:gridSpan w:val="4"/>
            <w:tcBorders>
              <w:top w:val="single" w:sz="8" w:space="0" w:color="AEAEAE"/>
              <w:left w:val="single" w:sz="8" w:space="0" w:color="E0E0E0"/>
              <w:bottom w:val="single" w:sz="8" w:space="0" w:color="152935"/>
              <w:right w:val="single" w:sz="8" w:space="0" w:color="E0E0E0"/>
            </w:tcBorders>
            <w:shd w:val="clear" w:color="auto" w:fill="FFFFFF"/>
          </w:tcPr>
          <w:p w14:paraId="66DAADFD" w14:textId="77777777" w:rsidR="0087601C" w:rsidRPr="006A1EC7" w:rsidRDefault="0087601C" w:rsidP="00D56051">
            <w:pPr>
              <w:spacing w:line="320" w:lineRule="atLeast"/>
              <w:ind w:left="60" w:right="60"/>
              <w:jc w:val="right"/>
              <w:rPr>
                <w:color w:val="010205"/>
                <w:sz w:val="18"/>
              </w:rPr>
            </w:pPr>
            <w:r w:rsidRPr="006A1EC7">
              <w:rPr>
                <w:color w:val="010205"/>
                <w:sz w:val="18"/>
              </w:rPr>
              <w:t>30</w:t>
            </w:r>
          </w:p>
        </w:tc>
        <w:tc>
          <w:tcPr>
            <w:tcW w:w="1694" w:type="dxa"/>
            <w:gridSpan w:val="4"/>
            <w:tcBorders>
              <w:top w:val="single" w:sz="8" w:space="0" w:color="AEAEAE"/>
              <w:left w:val="single" w:sz="8" w:space="0" w:color="E0E0E0"/>
              <w:bottom w:val="single" w:sz="8" w:space="0" w:color="152935"/>
              <w:right w:val="single" w:sz="8" w:space="0" w:color="E0E0E0"/>
            </w:tcBorders>
            <w:shd w:val="clear" w:color="auto" w:fill="FFFFFF"/>
          </w:tcPr>
          <w:p w14:paraId="6E51B7A5" w14:textId="77777777" w:rsidR="0087601C" w:rsidRPr="006A1EC7" w:rsidRDefault="0087601C" w:rsidP="00D56051">
            <w:pPr>
              <w:spacing w:line="320" w:lineRule="atLeast"/>
              <w:ind w:left="60" w:right="60"/>
              <w:jc w:val="right"/>
              <w:rPr>
                <w:color w:val="010205"/>
                <w:sz w:val="18"/>
              </w:rPr>
            </w:pPr>
            <w:r w:rsidRPr="006A1EC7">
              <w:rPr>
                <w:color w:val="010205"/>
                <w:sz w:val="18"/>
              </w:rPr>
              <w:t>.024</w:t>
            </w:r>
          </w:p>
        </w:tc>
        <w:tc>
          <w:tcPr>
            <w:tcW w:w="1694" w:type="dxa"/>
            <w:gridSpan w:val="4"/>
            <w:tcBorders>
              <w:top w:val="single" w:sz="8" w:space="0" w:color="AEAEAE"/>
              <w:left w:val="single" w:sz="8" w:space="0" w:color="E0E0E0"/>
              <w:bottom w:val="single" w:sz="8" w:space="0" w:color="152935"/>
              <w:right w:val="single" w:sz="8" w:space="0" w:color="E0E0E0"/>
            </w:tcBorders>
            <w:shd w:val="clear" w:color="auto" w:fill="FFFFFF"/>
          </w:tcPr>
          <w:p w14:paraId="4FFF34FE" w14:textId="77777777" w:rsidR="0087601C" w:rsidRPr="006A1EC7" w:rsidRDefault="0087601C" w:rsidP="00D56051">
            <w:pPr>
              <w:spacing w:line="320" w:lineRule="atLeast"/>
              <w:ind w:left="60" w:right="60"/>
              <w:jc w:val="right"/>
              <w:rPr>
                <w:color w:val="010205"/>
                <w:sz w:val="18"/>
              </w:rPr>
            </w:pPr>
            <w:r w:rsidRPr="006A1EC7">
              <w:rPr>
                <w:color w:val="010205"/>
                <w:sz w:val="18"/>
              </w:rPr>
              <w:t>.452</w:t>
            </w:r>
          </w:p>
        </w:tc>
        <w:tc>
          <w:tcPr>
            <w:tcW w:w="1694" w:type="dxa"/>
            <w:gridSpan w:val="4"/>
            <w:tcBorders>
              <w:top w:val="single" w:sz="8" w:space="0" w:color="AEAEAE"/>
              <w:left w:val="single" w:sz="8" w:space="0" w:color="E0E0E0"/>
              <w:bottom w:val="single" w:sz="8" w:space="0" w:color="152935"/>
              <w:right w:val="single" w:sz="8" w:space="0" w:color="E0E0E0"/>
            </w:tcBorders>
            <w:shd w:val="clear" w:color="auto" w:fill="FFFFFF"/>
          </w:tcPr>
          <w:p w14:paraId="0CA0DE73" w14:textId="77777777" w:rsidR="0087601C" w:rsidRPr="006A1EC7" w:rsidRDefault="0087601C" w:rsidP="00D56051">
            <w:pPr>
              <w:spacing w:line="320" w:lineRule="atLeast"/>
              <w:ind w:left="60" w:right="60"/>
              <w:jc w:val="right"/>
              <w:rPr>
                <w:color w:val="010205"/>
                <w:sz w:val="18"/>
              </w:rPr>
            </w:pPr>
            <w:r w:rsidRPr="006A1EC7">
              <w:rPr>
                <w:color w:val="010205"/>
                <w:sz w:val="18"/>
              </w:rPr>
              <w:t>.06</w:t>
            </w:r>
          </w:p>
        </w:tc>
        <w:tc>
          <w:tcPr>
            <w:tcW w:w="1694" w:type="dxa"/>
            <w:tcBorders>
              <w:top w:val="single" w:sz="8" w:space="0" w:color="AEAEAE"/>
              <w:left w:val="single" w:sz="8" w:space="0" w:color="E0E0E0"/>
              <w:bottom w:val="single" w:sz="8" w:space="0" w:color="152935"/>
              <w:right w:val="nil"/>
            </w:tcBorders>
            <w:shd w:val="clear" w:color="auto" w:fill="FFFFFF"/>
          </w:tcPr>
          <w:p w14:paraId="1282A404" w14:textId="77777777" w:rsidR="0087601C" w:rsidRPr="006A1EC7" w:rsidRDefault="0087601C" w:rsidP="00D56051">
            <w:pPr>
              <w:spacing w:line="320" w:lineRule="atLeast"/>
              <w:ind w:left="60" w:right="60"/>
              <w:jc w:val="right"/>
              <w:rPr>
                <w:color w:val="010205"/>
                <w:sz w:val="18"/>
              </w:rPr>
            </w:pPr>
            <w:r w:rsidRPr="006A1EC7">
              <w:rPr>
                <w:color w:val="010205"/>
                <w:sz w:val="18"/>
              </w:rPr>
              <w:t>.84</w:t>
            </w:r>
          </w:p>
        </w:tc>
      </w:tr>
    </w:tbl>
    <w:p w14:paraId="433B365F" w14:textId="77777777" w:rsidR="0087601C" w:rsidRPr="006A1EC7" w:rsidRDefault="0087601C" w:rsidP="0087601C">
      <w:pPr>
        <w:spacing w:line="400" w:lineRule="atLeast"/>
        <w:rPr>
          <w:sz w:val="18"/>
        </w:rPr>
      </w:pP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7"/>
        <w:gridCol w:w="1278"/>
        <w:gridCol w:w="1277"/>
        <w:gridCol w:w="1830"/>
        <w:gridCol w:w="1830"/>
      </w:tblGrid>
      <w:tr w:rsidR="0087601C" w:rsidRPr="006A1EC7" w14:paraId="422F507A" w14:textId="77777777" w:rsidTr="00D56051">
        <w:trPr>
          <w:cantSplit/>
        </w:trPr>
        <w:tc>
          <w:tcPr>
            <w:tcW w:w="1907" w:type="dxa"/>
            <w:tcBorders>
              <w:top w:val="nil"/>
              <w:left w:val="nil"/>
              <w:bottom w:val="single" w:sz="8" w:space="0" w:color="152935"/>
              <w:right w:val="nil"/>
            </w:tcBorders>
            <w:shd w:val="clear" w:color="auto" w:fill="FFFFFF"/>
            <w:vAlign w:val="bottom"/>
          </w:tcPr>
          <w:p w14:paraId="51A1A5D0" w14:textId="77777777" w:rsidR="0087601C" w:rsidRPr="006A1EC7" w:rsidRDefault="0087601C" w:rsidP="00D56051">
            <w:pPr>
              <w:rPr>
                <w:sz w:val="18"/>
              </w:rPr>
            </w:pPr>
          </w:p>
        </w:tc>
        <w:tc>
          <w:tcPr>
            <w:tcW w:w="1278" w:type="dxa"/>
            <w:tcBorders>
              <w:top w:val="nil"/>
              <w:left w:val="nil"/>
              <w:bottom w:val="single" w:sz="8" w:space="0" w:color="152935"/>
              <w:right w:val="single" w:sz="8" w:space="0" w:color="E0E0E0"/>
            </w:tcBorders>
            <w:shd w:val="clear" w:color="auto" w:fill="FFFFFF"/>
            <w:vAlign w:val="bottom"/>
          </w:tcPr>
          <w:p w14:paraId="41630B75"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0FBB5AC1"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tcBorders>
              <w:top w:val="nil"/>
              <w:left w:val="single" w:sz="8" w:space="0" w:color="E0E0E0"/>
              <w:bottom w:val="single" w:sz="8" w:space="0" w:color="152935"/>
              <w:right w:val="single" w:sz="8" w:space="0" w:color="E0E0E0"/>
            </w:tcBorders>
            <w:shd w:val="clear" w:color="auto" w:fill="FFFFFF"/>
            <w:vAlign w:val="bottom"/>
          </w:tcPr>
          <w:p w14:paraId="21954A06"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tcBorders>
              <w:top w:val="nil"/>
              <w:left w:val="single" w:sz="8" w:space="0" w:color="E0E0E0"/>
              <w:bottom w:val="single" w:sz="8" w:space="0" w:color="152935"/>
              <w:right w:val="nil"/>
            </w:tcBorders>
            <w:shd w:val="clear" w:color="auto" w:fill="FFFFFF"/>
            <w:vAlign w:val="bottom"/>
          </w:tcPr>
          <w:p w14:paraId="77458C96"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13A2D2E3" w14:textId="77777777" w:rsidTr="00D56051">
        <w:trPr>
          <w:cantSplit/>
        </w:trPr>
        <w:tc>
          <w:tcPr>
            <w:tcW w:w="1907" w:type="dxa"/>
            <w:tcBorders>
              <w:top w:val="single" w:sz="8" w:space="0" w:color="152935"/>
              <w:left w:val="nil"/>
              <w:bottom w:val="single" w:sz="8" w:space="0" w:color="AEAEAE"/>
              <w:right w:val="nil"/>
            </w:tcBorders>
            <w:shd w:val="clear" w:color="auto" w:fill="E0E0E0"/>
          </w:tcPr>
          <w:p w14:paraId="2C2F2712" w14:textId="77777777" w:rsidR="0087601C" w:rsidRPr="006A1EC7" w:rsidRDefault="0087601C" w:rsidP="00D56051">
            <w:pPr>
              <w:spacing w:line="320" w:lineRule="atLeast"/>
              <w:ind w:left="60" w:right="60"/>
              <w:rPr>
                <w:color w:val="264A60"/>
                <w:sz w:val="18"/>
              </w:rPr>
            </w:pPr>
            <w:r w:rsidRPr="006A1EC7">
              <w:rPr>
                <w:color w:val="264A60"/>
                <w:sz w:val="18"/>
              </w:rPr>
              <w:t>Level of care</w:t>
            </w:r>
          </w:p>
        </w:tc>
        <w:tc>
          <w:tcPr>
            <w:tcW w:w="1278" w:type="dxa"/>
            <w:tcBorders>
              <w:top w:val="single" w:sz="8" w:space="0" w:color="152935"/>
              <w:left w:val="nil"/>
              <w:bottom w:val="single" w:sz="8" w:space="0" w:color="AEAEAE"/>
              <w:right w:val="single" w:sz="8" w:space="0" w:color="E0E0E0"/>
            </w:tcBorders>
            <w:shd w:val="clear" w:color="auto" w:fill="FFFFFF"/>
          </w:tcPr>
          <w:p w14:paraId="27FAB3B5" w14:textId="77777777" w:rsidR="0087601C" w:rsidRPr="006A1EC7" w:rsidRDefault="0087601C" w:rsidP="00D56051">
            <w:pPr>
              <w:spacing w:line="320" w:lineRule="atLeast"/>
              <w:ind w:left="60" w:right="60"/>
              <w:jc w:val="right"/>
              <w:rPr>
                <w:color w:val="010205"/>
                <w:sz w:val="18"/>
              </w:rPr>
            </w:pPr>
            <w:r w:rsidRPr="006A1EC7">
              <w:rPr>
                <w:color w:val="010205"/>
                <w:sz w:val="18"/>
              </w:rPr>
              <w:t>29</w:t>
            </w:r>
          </w:p>
        </w:tc>
        <w:tc>
          <w:tcPr>
            <w:tcW w:w="1277" w:type="dxa"/>
            <w:tcBorders>
              <w:top w:val="single" w:sz="8" w:space="0" w:color="152935"/>
              <w:left w:val="single" w:sz="8" w:space="0" w:color="E0E0E0"/>
              <w:bottom w:val="single" w:sz="8" w:space="0" w:color="AEAEAE"/>
              <w:right w:val="single" w:sz="8" w:space="0" w:color="E0E0E0"/>
            </w:tcBorders>
            <w:shd w:val="clear" w:color="auto" w:fill="FFFFFF"/>
          </w:tcPr>
          <w:p w14:paraId="57CCFC3F" w14:textId="77777777" w:rsidR="0087601C" w:rsidRPr="006A1EC7" w:rsidRDefault="0087601C" w:rsidP="00D56051">
            <w:pPr>
              <w:spacing w:line="320" w:lineRule="atLeast"/>
              <w:ind w:left="60" w:right="60"/>
              <w:jc w:val="right"/>
              <w:rPr>
                <w:color w:val="010205"/>
                <w:sz w:val="18"/>
              </w:rPr>
            </w:pPr>
            <w:r w:rsidRPr="006A1EC7">
              <w:rPr>
                <w:color w:val="010205"/>
                <w:sz w:val="18"/>
              </w:rPr>
              <w:t>1.90</w:t>
            </w:r>
          </w:p>
        </w:tc>
        <w:tc>
          <w:tcPr>
            <w:tcW w:w="1830" w:type="dxa"/>
            <w:tcBorders>
              <w:top w:val="single" w:sz="8" w:space="0" w:color="152935"/>
              <w:left w:val="single" w:sz="8" w:space="0" w:color="E0E0E0"/>
              <w:bottom w:val="single" w:sz="8" w:space="0" w:color="AEAEAE"/>
              <w:right w:val="single" w:sz="8" w:space="0" w:color="E0E0E0"/>
            </w:tcBorders>
            <w:shd w:val="clear" w:color="auto" w:fill="FFFFFF"/>
          </w:tcPr>
          <w:p w14:paraId="6DF5E064" w14:textId="77777777" w:rsidR="0087601C" w:rsidRPr="006A1EC7" w:rsidRDefault="0087601C" w:rsidP="00D56051">
            <w:pPr>
              <w:spacing w:line="320" w:lineRule="atLeast"/>
              <w:ind w:left="60" w:right="60"/>
              <w:jc w:val="right"/>
              <w:rPr>
                <w:color w:val="010205"/>
                <w:sz w:val="18"/>
              </w:rPr>
            </w:pPr>
            <w:r w:rsidRPr="006A1EC7">
              <w:rPr>
                <w:color w:val="010205"/>
                <w:sz w:val="18"/>
              </w:rPr>
              <w:t>.310</w:t>
            </w:r>
          </w:p>
        </w:tc>
        <w:tc>
          <w:tcPr>
            <w:tcW w:w="1830" w:type="dxa"/>
            <w:tcBorders>
              <w:top w:val="single" w:sz="8" w:space="0" w:color="152935"/>
              <w:left w:val="single" w:sz="8" w:space="0" w:color="E0E0E0"/>
              <w:bottom w:val="single" w:sz="8" w:space="0" w:color="AEAEAE"/>
              <w:right w:val="nil"/>
            </w:tcBorders>
            <w:shd w:val="clear" w:color="auto" w:fill="FFFFFF"/>
          </w:tcPr>
          <w:p w14:paraId="0CAE3E90" w14:textId="77777777" w:rsidR="0087601C" w:rsidRPr="006A1EC7" w:rsidRDefault="0087601C" w:rsidP="00D56051">
            <w:pPr>
              <w:spacing w:line="320" w:lineRule="atLeast"/>
              <w:ind w:left="60" w:right="60"/>
              <w:jc w:val="right"/>
              <w:rPr>
                <w:color w:val="010205"/>
                <w:sz w:val="18"/>
              </w:rPr>
            </w:pPr>
            <w:r w:rsidRPr="006A1EC7">
              <w:rPr>
                <w:color w:val="010205"/>
                <w:sz w:val="18"/>
              </w:rPr>
              <w:t>.058</w:t>
            </w:r>
          </w:p>
        </w:tc>
      </w:tr>
      <w:tr w:rsidR="0087601C" w:rsidRPr="006A1EC7" w14:paraId="71624B9F" w14:textId="77777777" w:rsidTr="00D56051">
        <w:trPr>
          <w:cantSplit/>
        </w:trPr>
        <w:tc>
          <w:tcPr>
            <w:tcW w:w="1907" w:type="dxa"/>
            <w:tcBorders>
              <w:top w:val="single" w:sz="8" w:space="0" w:color="AEAEAE"/>
              <w:left w:val="nil"/>
              <w:bottom w:val="single" w:sz="8" w:space="0" w:color="152935"/>
              <w:right w:val="nil"/>
            </w:tcBorders>
            <w:shd w:val="clear" w:color="auto" w:fill="E0E0E0"/>
          </w:tcPr>
          <w:p w14:paraId="68810742" w14:textId="77777777" w:rsidR="0087601C" w:rsidRPr="006A1EC7" w:rsidRDefault="0087601C" w:rsidP="00D56051">
            <w:pPr>
              <w:spacing w:line="320" w:lineRule="atLeast"/>
              <w:ind w:left="60" w:right="60"/>
              <w:rPr>
                <w:color w:val="264A60"/>
                <w:sz w:val="18"/>
              </w:rPr>
            </w:pPr>
            <w:r w:rsidRPr="006A1EC7">
              <w:rPr>
                <w:color w:val="264A60"/>
                <w:sz w:val="18"/>
              </w:rPr>
              <w:t>T1Emma_CNS</w:t>
            </w:r>
          </w:p>
        </w:tc>
        <w:tc>
          <w:tcPr>
            <w:tcW w:w="1278" w:type="dxa"/>
            <w:tcBorders>
              <w:top w:val="single" w:sz="8" w:space="0" w:color="AEAEAE"/>
              <w:left w:val="nil"/>
              <w:bottom w:val="single" w:sz="8" w:space="0" w:color="152935"/>
              <w:right w:val="single" w:sz="8" w:space="0" w:color="E0E0E0"/>
            </w:tcBorders>
            <w:shd w:val="clear" w:color="auto" w:fill="FFFFFF"/>
          </w:tcPr>
          <w:p w14:paraId="3900630B" w14:textId="77777777" w:rsidR="0087601C" w:rsidRPr="006A1EC7" w:rsidRDefault="0087601C" w:rsidP="00D56051">
            <w:pPr>
              <w:spacing w:line="320" w:lineRule="atLeast"/>
              <w:ind w:left="60" w:right="60"/>
              <w:jc w:val="right"/>
              <w:rPr>
                <w:color w:val="010205"/>
                <w:sz w:val="18"/>
              </w:rPr>
            </w:pPr>
            <w:r w:rsidRPr="006A1EC7">
              <w:rPr>
                <w:color w:val="010205"/>
                <w:sz w:val="18"/>
              </w:rPr>
              <w:t>30</w:t>
            </w:r>
          </w:p>
        </w:tc>
        <w:tc>
          <w:tcPr>
            <w:tcW w:w="1277" w:type="dxa"/>
            <w:tcBorders>
              <w:top w:val="single" w:sz="8" w:space="0" w:color="AEAEAE"/>
              <w:left w:val="single" w:sz="8" w:space="0" w:color="E0E0E0"/>
              <w:bottom w:val="single" w:sz="8" w:space="0" w:color="152935"/>
              <w:right w:val="single" w:sz="8" w:space="0" w:color="E0E0E0"/>
            </w:tcBorders>
            <w:shd w:val="clear" w:color="auto" w:fill="FFFFFF"/>
          </w:tcPr>
          <w:p w14:paraId="5EE45E55" w14:textId="77777777" w:rsidR="0087601C" w:rsidRPr="006A1EC7" w:rsidRDefault="0087601C" w:rsidP="00D56051">
            <w:pPr>
              <w:spacing w:line="320" w:lineRule="atLeast"/>
              <w:ind w:left="60" w:right="60"/>
              <w:jc w:val="right"/>
              <w:rPr>
                <w:color w:val="010205"/>
                <w:sz w:val="18"/>
              </w:rPr>
            </w:pPr>
            <w:r w:rsidRPr="006A1EC7">
              <w:rPr>
                <w:color w:val="010205"/>
                <w:sz w:val="18"/>
              </w:rPr>
              <w:t>2.50</w:t>
            </w:r>
          </w:p>
        </w:tc>
        <w:tc>
          <w:tcPr>
            <w:tcW w:w="1830" w:type="dxa"/>
            <w:tcBorders>
              <w:top w:val="single" w:sz="8" w:space="0" w:color="AEAEAE"/>
              <w:left w:val="single" w:sz="8" w:space="0" w:color="E0E0E0"/>
              <w:bottom w:val="single" w:sz="8" w:space="0" w:color="152935"/>
              <w:right w:val="single" w:sz="8" w:space="0" w:color="E0E0E0"/>
            </w:tcBorders>
            <w:shd w:val="clear" w:color="auto" w:fill="FFFFFF"/>
          </w:tcPr>
          <w:p w14:paraId="7A03CBB3" w14:textId="77777777" w:rsidR="0087601C" w:rsidRPr="006A1EC7" w:rsidRDefault="0087601C" w:rsidP="00D56051">
            <w:pPr>
              <w:spacing w:line="320" w:lineRule="atLeast"/>
              <w:ind w:left="60" w:right="60"/>
              <w:jc w:val="right"/>
              <w:rPr>
                <w:color w:val="010205"/>
                <w:sz w:val="18"/>
              </w:rPr>
            </w:pPr>
            <w:r w:rsidRPr="006A1EC7">
              <w:rPr>
                <w:color w:val="010205"/>
                <w:sz w:val="18"/>
              </w:rPr>
              <w:t>2.596</w:t>
            </w:r>
          </w:p>
        </w:tc>
        <w:tc>
          <w:tcPr>
            <w:tcW w:w="1830" w:type="dxa"/>
            <w:tcBorders>
              <w:top w:val="single" w:sz="8" w:space="0" w:color="AEAEAE"/>
              <w:left w:val="single" w:sz="8" w:space="0" w:color="E0E0E0"/>
              <w:bottom w:val="single" w:sz="8" w:space="0" w:color="152935"/>
              <w:right w:val="nil"/>
            </w:tcBorders>
            <w:shd w:val="clear" w:color="auto" w:fill="FFFFFF"/>
          </w:tcPr>
          <w:p w14:paraId="7EAA96A6" w14:textId="77777777" w:rsidR="0087601C" w:rsidRPr="006A1EC7" w:rsidRDefault="0087601C" w:rsidP="00D56051">
            <w:pPr>
              <w:spacing w:line="320" w:lineRule="atLeast"/>
              <w:ind w:left="60" w:right="60"/>
              <w:jc w:val="right"/>
              <w:rPr>
                <w:color w:val="010205"/>
                <w:sz w:val="18"/>
              </w:rPr>
            </w:pPr>
            <w:r w:rsidRPr="006A1EC7">
              <w:rPr>
                <w:color w:val="010205"/>
                <w:sz w:val="18"/>
              </w:rPr>
              <w:t>.474</w:t>
            </w:r>
          </w:p>
        </w:tc>
      </w:tr>
    </w:tbl>
    <w:p w14:paraId="62FC1390"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0"/>
        <w:gridCol w:w="1212"/>
        <w:gridCol w:w="1213"/>
        <w:gridCol w:w="1738"/>
        <w:gridCol w:w="1738"/>
        <w:gridCol w:w="1738"/>
        <w:gridCol w:w="1738"/>
      </w:tblGrid>
      <w:tr w:rsidR="0087601C" w:rsidRPr="006A1EC7" w14:paraId="72287E16" w14:textId="77777777" w:rsidTr="00D56051">
        <w:trPr>
          <w:cantSplit/>
        </w:trPr>
        <w:tc>
          <w:tcPr>
            <w:tcW w:w="1810" w:type="dxa"/>
            <w:vMerge w:val="restart"/>
            <w:tcBorders>
              <w:top w:val="nil"/>
              <w:left w:val="nil"/>
              <w:bottom w:val="nil"/>
              <w:right w:val="nil"/>
            </w:tcBorders>
            <w:shd w:val="clear" w:color="auto" w:fill="FFFFFF"/>
            <w:vAlign w:val="bottom"/>
          </w:tcPr>
          <w:p w14:paraId="7B875E70" w14:textId="77777777" w:rsidR="0087601C" w:rsidRPr="006A1EC7" w:rsidRDefault="0087601C" w:rsidP="00D56051">
            <w:pPr>
              <w:rPr>
                <w:sz w:val="18"/>
              </w:rPr>
            </w:pPr>
          </w:p>
        </w:tc>
        <w:tc>
          <w:tcPr>
            <w:tcW w:w="9377" w:type="dxa"/>
            <w:gridSpan w:val="6"/>
            <w:tcBorders>
              <w:top w:val="nil"/>
              <w:left w:val="nil"/>
              <w:bottom w:val="nil"/>
              <w:right w:val="nil"/>
            </w:tcBorders>
            <w:shd w:val="clear" w:color="auto" w:fill="FFFFFF"/>
            <w:vAlign w:val="bottom"/>
          </w:tcPr>
          <w:p w14:paraId="133EFACE"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2</w:t>
            </w:r>
          </w:p>
        </w:tc>
      </w:tr>
      <w:tr w:rsidR="0087601C" w:rsidRPr="006A1EC7" w14:paraId="02586539" w14:textId="77777777" w:rsidTr="00D56051">
        <w:trPr>
          <w:cantSplit/>
        </w:trPr>
        <w:tc>
          <w:tcPr>
            <w:tcW w:w="1810" w:type="dxa"/>
            <w:vMerge/>
            <w:tcBorders>
              <w:top w:val="nil"/>
              <w:left w:val="nil"/>
              <w:bottom w:val="nil"/>
              <w:right w:val="nil"/>
            </w:tcBorders>
            <w:shd w:val="clear" w:color="auto" w:fill="FFFFFF"/>
            <w:vAlign w:val="bottom"/>
          </w:tcPr>
          <w:p w14:paraId="1679F640" w14:textId="77777777" w:rsidR="0087601C" w:rsidRPr="006A1EC7" w:rsidRDefault="0087601C" w:rsidP="00D56051">
            <w:pPr>
              <w:rPr>
                <w:color w:val="264A60"/>
                <w:sz w:val="18"/>
              </w:rPr>
            </w:pPr>
          </w:p>
        </w:tc>
        <w:tc>
          <w:tcPr>
            <w:tcW w:w="1212" w:type="dxa"/>
            <w:vMerge w:val="restart"/>
            <w:tcBorders>
              <w:top w:val="nil"/>
              <w:left w:val="nil"/>
              <w:bottom w:val="nil"/>
              <w:right w:val="single" w:sz="8" w:space="0" w:color="E0E0E0"/>
            </w:tcBorders>
            <w:shd w:val="clear" w:color="auto" w:fill="FFFFFF"/>
            <w:vAlign w:val="bottom"/>
          </w:tcPr>
          <w:p w14:paraId="5FE8AA39"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13" w:type="dxa"/>
            <w:vMerge w:val="restart"/>
            <w:tcBorders>
              <w:top w:val="nil"/>
              <w:left w:val="single" w:sz="8" w:space="0" w:color="E0E0E0"/>
              <w:bottom w:val="nil"/>
              <w:right w:val="single" w:sz="8" w:space="0" w:color="E0E0E0"/>
            </w:tcBorders>
            <w:shd w:val="clear" w:color="auto" w:fill="FFFFFF"/>
            <w:vAlign w:val="bottom"/>
          </w:tcPr>
          <w:p w14:paraId="7BD736A7"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38" w:type="dxa"/>
            <w:vMerge w:val="restart"/>
            <w:tcBorders>
              <w:top w:val="nil"/>
              <w:left w:val="single" w:sz="8" w:space="0" w:color="E0E0E0"/>
              <w:bottom w:val="nil"/>
              <w:right w:val="single" w:sz="8" w:space="0" w:color="E0E0E0"/>
            </w:tcBorders>
            <w:shd w:val="clear" w:color="auto" w:fill="FFFFFF"/>
            <w:vAlign w:val="bottom"/>
          </w:tcPr>
          <w:p w14:paraId="0A589EBB"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38" w:type="dxa"/>
            <w:vMerge w:val="restart"/>
            <w:tcBorders>
              <w:top w:val="nil"/>
              <w:left w:val="single" w:sz="8" w:space="0" w:color="E0E0E0"/>
              <w:bottom w:val="nil"/>
              <w:right w:val="single" w:sz="8" w:space="0" w:color="E0E0E0"/>
            </w:tcBorders>
            <w:shd w:val="clear" w:color="auto" w:fill="FFFFFF"/>
            <w:vAlign w:val="bottom"/>
          </w:tcPr>
          <w:p w14:paraId="04CE1B5E"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76" w:type="dxa"/>
            <w:gridSpan w:val="2"/>
            <w:tcBorders>
              <w:top w:val="nil"/>
              <w:left w:val="single" w:sz="8" w:space="0" w:color="E0E0E0"/>
              <w:bottom w:val="nil"/>
              <w:right w:val="nil"/>
            </w:tcBorders>
            <w:shd w:val="clear" w:color="auto" w:fill="FFFFFF"/>
            <w:vAlign w:val="bottom"/>
          </w:tcPr>
          <w:p w14:paraId="71FC97CC"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0B33FAC6" w14:textId="77777777" w:rsidTr="00D56051">
        <w:trPr>
          <w:cantSplit/>
        </w:trPr>
        <w:tc>
          <w:tcPr>
            <w:tcW w:w="1810" w:type="dxa"/>
            <w:vMerge/>
            <w:tcBorders>
              <w:top w:val="nil"/>
              <w:left w:val="nil"/>
              <w:bottom w:val="nil"/>
              <w:right w:val="nil"/>
            </w:tcBorders>
            <w:shd w:val="clear" w:color="auto" w:fill="FFFFFF"/>
            <w:vAlign w:val="bottom"/>
          </w:tcPr>
          <w:p w14:paraId="142FF5C8" w14:textId="77777777" w:rsidR="0087601C" w:rsidRPr="006A1EC7" w:rsidRDefault="0087601C" w:rsidP="00D56051">
            <w:pPr>
              <w:rPr>
                <w:color w:val="264A60"/>
                <w:sz w:val="18"/>
              </w:rPr>
            </w:pPr>
          </w:p>
        </w:tc>
        <w:tc>
          <w:tcPr>
            <w:tcW w:w="1212" w:type="dxa"/>
            <w:vMerge/>
            <w:tcBorders>
              <w:top w:val="nil"/>
              <w:left w:val="nil"/>
              <w:bottom w:val="nil"/>
              <w:right w:val="single" w:sz="8" w:space="0" w:color="E0E0E0"/>
            </w:tcBorders>
            <w:shd w:val="clear" w:color="auto" w:fill="FFFFFF"/>
            <w:vAlign w:val="bottom"/>
          </w:tcPr>
          <w:p w14:paraId="0EF4A45F" w14:textId="77777777" w:rsidR="0087601C" w:rsidRPr="006A1EC7" w:rsidRDefault="0087601C" w:rsidP="00D56051">
            <w:pPr>
              <w:rPr>
                <w:color w:val="264A60"/>
                <w:sz w:val="18"/>
              </w:rPr>
            </w:pPr>
          </w:p>
        </w:tc>
        <w:tc>
          <w:tcPr>
            <w:tcW w:w="1213" w:type="dxa"/>
            <w:vMerge/>
            <w:tcBorders>
              <w:top w:val="nil"/>
              <w:left w:val="single" w:sz="8" w:space="0" w:color="E0E0E0"/>
              <w:bottom w:val="nil"/>
              <w:right w:val="single" w:sz="8" w:space="0" w:color="E0E0E0"/>
            </w:tcBorders>
            <w:shd w:val="clear" w:color="auto" w:fill="FFFFFF"/>
            <w:vAlign w:val="bottom"/>
          </w:tcPr>
          <w:p w14:paraId="5A528928" w14:textId="77777777" w:rsidR="0087601C" w:rsidRPr="006A1EC7" w:rsidRDefault="0087601C" w:rsidP="00D56051">
            <w:pPr>
              <w:rPr>
                <w:color w:val="264A60"/>
                <w:sz w:val="18"/>
              </w:rPr>
            </w:pPr>
          </w:p>
        </w:tc>
        <w:tc>
          <w:tcPr>
            <w:tcW w:w="1738" w:type="dxa"/>
            <w:vMerge/>
            <w:tcBorders>
              <w:top w:val="nil"/>
              <w:left w:val="single" w:sz="8" w:space="0" w:color="E0E0E0"/>
              <w:bottom w:val="nil"/>
              <w:right w:val="single" w:sz="8" w:space="0" w:color="E0E0E0"/>
            </w:tcBorders>
            <w:shd w:val="clear" w:color="auto" w:fill="FFFFFF"/>
            <w:vAlign w:val="bottom"/>
          </w:tcPr>
          <w:p w14:paraId="2B64A9A9" w14:textId="77777777" w:rsidR="0087601C" w:rsidRPr="006A1EC7" w:rsidRDefault="0087601C" w:rsidP="00D56051">
            <w:pPr>
              <w:rPr>
                <w:color w:val="264A60"/>
                <w:sz w:val="18"/>
              </w:rPr>
            </w:pPr>
          </w:p>
        </w:tc>
        <w:tc>
          <w:tcPr>
            <w:tcW w:w="1738" w:type="dxa"/>
            <w:vMerge/>
            <w:tcBorders>
              <w:top w:val="nil"/>
              <w:left w:val="single" w:sz="8" w:space="0" w:color="E0E0E0"/>
              <w:bottom w:val="nil"/>
              <w:right w:val="single" w:sz="8" w:space="0" w:color="E0E0E0"/>
            </w:tcBorders>
            <w:shd w:val="clear" w:color="auto" w:fill="FFFFFF"/>
            <w:vAlign w:val="bottom"/>
          </w:tcPr>
          <w:p w14:paraId="4FCD81F9" w14:textId="77777777" w:rsidR="0087601C" w:rsidRPr="006A1EC7" w:rsidRDefault="0087601C" w:rsidP="00D56051">
            <w:pPr>
              <w:rPr>
                <w:color w:val="264A60"/>
                <w:sz w:val="18"/>
              </w:rPr>
            </w:pPr>
          </w:p>
        </w:tc>
        <w:tc>
          <w:tcPr>
            <w:tcW w:w="1738" w:type="dxa"/>
            <w:tcBorders>
              <w:top w:val="nil"/>
              <w:left w:val="single" w:sz="8" w:space="0" w:color="E0E0E0"/>
              <w:bottom w:val="single" w:sz="8" w:space="0" w:color="152935"/>
              <w:right w:val="single" w:sz="8" w:space="0" w:color="E0E0E0"/>
            </w:tcBorders>
            <w:shd w:val="clear" w:color="auto" w:fill="FFFFFF"/>
            <w:vAlign w:val="bottom"/>
          </w:tcPr>
          <w:p w14:paraId="1A001589"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38" w:type="dxa"/>
            <w:tcBorders>
              <w:top w:val="nil"/>
              <w:left w:val="single" w:sz="8" w:space="0" w:color="E0E0E0"/>
              <w:bottom w:val="single" w:sz="8" w:space="0" w:color="152935"/>
              <w:right w:val="nil"/>
            </w:tcBorders>
            <w:shd w:val="clear" w:color="auto" w:fill="FFFFFF"/>
            <w:vAlign w:val="bottom"/>
          </w:tcPr>
          <w:p w14:paraId="1046E7B6"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40623645" w14:textId="77777777" w:rsidTr="00D56051">
        <w:trPr>
          <w:cantSplit/>
        </w:trPr>
        <w:tc>
          <w:tcPr>
            <w:tcW w:w="1810" w:type="dxa"/>
            <w:tcBorders>
              <w:top w:val="single" w:sz="8" w:space="0" w:color="152935"/>
              <w:left w:val="nil"/>
              <w:bottom w:val="single" w:sz="8" w:space="0" w:color="AEAEAE"/>
              <w:right w:val="nil"/>
            </w:tcBorders>
            <w:shd w:val="clear" w:color="auto" w:fill="E0E0E0"/>
          </w:tcPr>
          <w:p w14:paraId="6428469C" w14:textId="77777777" w:rsidR="0087601C" w:rsidRPr="006A1EC7" w:rsidRDefault="0087601C" w:rsidP="00D56051">
            <w:pPr>
              <w:spacing w:line="320" w:lineRule="atLeast"/>
              <w:ind w:left="60" w:right="60"/>
              <w:rPr>
                <w:color w:val="264A60"/>
                <w:sz w:val="18"/>
              </w:rPr>
            </w:pPr>
            <w:r w:rsidRPr="006A1EC7">
              <w:rPr>
                <w:color w:val="264A60"/>
                <w:sz w:val="18"/>
              </w:rPr>
              <w:t>Level of care</w:t>
            </w:r>
          </w:p>
        </w:tc>
        <w:tc>
          <w:tcPr>
            <w:tcW w:w="1212" w:type="dxa"/>
            <w:tcBorders>
              <w:top w:val="single" w:sz="8" w:space="0" w:color="152935"/>
              <w:left w:val="nil"/>
              <w:bottom w:val="single" w:sz="8" w:space="0" w:color="AEAEAE"/>
              <w:right w:val="single" w:sz="8" w:space="0" w:color="E0E0E0"/>
            </w:tcBorders>
            <w:shd w:val="clear" w:color="auto" w:fill="FFFFFF"/>
          </w:tcPr>
          <w:p w14:paraId="7829AFDA" w14:textId="77777777" w:rsidR="0087601C" w:rsidRPr="006A1EC7" w:rsidRDefault="0087601C" w:rsidP="00D56051">
            <w:pPr>
              <w:spacing w:line="320" w:lineRule="atLeast"/>
              <w:ind w:left="60" w:right="60"/>
              <w:jc w:val="right"/>
              <w:rPr>
                <w:color w:val="010205"/>
                <w:sz w:val="18"/>
              </w:rPr>
            </w:pPr>
            <w:r w:rsidRPr="006A1EC7">
              <w:rPr>
                <w:color w:val="010205"/>
                <w:sz w:val="18"/>
              </w:rPr>
              <w:t>-1.797</w:t>
            </w:r>
          </w:p>
        </w:tc>
        <w:tc>
          <w:tcPr>
            <w:tcW w:w="1213" w:type="dxa"/>
            <w:tcBorders>
              <w:top w:val="single" w:sz="8" w:space="0" w:color="152935"/>
              <w:left w:val="single" w:sz="8" w:space="0" w:color="E0E0E0"/>
              <w:bottom w:val="single" w:sz="8" w:space="0" w:color="AEAEAE"/>
              <w:right w:val="single" w:sz="8" w:space="0" w:color="E0E0E0"/>
            </w:tcBorders>
            <w:shd w:val="clear" w:color="auto" w:fill="FFFFFF"/>
          </w:tcPr>
          <w:p w14:paraId="724C2E96" w14:textId="77777777" w:rsidR="0087601C" w:rsidRPr="006A1EC7" w:rsidRDefault="0087601C" w:rsidP="00D56051">
            <w:pPr>
              <w:spacing w:line="320" w:lineRule="atLeast"/>
              <w:ind w:left="60" w:right="60"/>
              <w:jc w:val="right"/>
              <w:rPr>
                <w:color w:val="010205"/>
                <w:sz w:val="18"/>
              </w:rPr>
            </w:pPr>
            <w:r w:rsidRPr="006A1EC7">
              <w:rPr>
                <w:color w:val="010205"/>
                <w:sz w:val="18"/>
              </w:rPr>
              <w:t>28</w:t>
            </w:r>
          </w:p>
        </w:tc>
        <w:tc>
          <w:tcPr>
            <w:tcW w:w="1738" w:type="dxa"/>
            <w:tcBorders>
              <w:top w:val="single" w:sz="8" w:space="0" w:color="152935"/>
              <w:left w:val="single" w:sz="8" w:space="0" w:color="E0E0E0"/>
              <w:bottom w:val="single" w:sz="8" w:space="0" w:color="AEAEAE"/>
              <w:right w:val="single" w:sz="8" w:space="0" w:color="E0E0E0"/>
            </w:tcBorders>
            <w:shd w:val="clear" w:color="auto" w:fill="FFFFFF"/>
          </w:tcPr>
          <w:p w14:paraId="6FA41C03" w14:textId="77777777" w:rsidR="0087601C" w:rsidRPr="006A1EC7" w:rsidRDefault="0087601C" w:rsidP="00D56051">
            <w:pPr>
              <w:spacing w:line="320" w:lineRule="atLeast"/>
              <w:ind w:left="60" w:right="60"/>
              <w:jc w:val="right"/>
              <w:rPr>
                <w:color w:val="010205"/>
                <w:sz w:val="18"/>
              </w:rPr>
            </w:pPr>
            <w:r w:rsidRPr="006A1EC7">
              <w:rPr>
                <w:color w:val="010205"/>
                <w:sz w:val="18"/>
              </w:rPr>
              <w:t>.083</w:t>
            </w:r>
          </w:p>
        </w:tc>
        <w:tc>
          <w:tcPr>
            <w:tcW w:w="1738" w:type="dxa"/>
            <w:tcBorders>
              <w:top w:val="single" w:sz="8" w:space="0" w:color="152935"/>
              <w:left w:val="single" w:sz="8" w:space="0" w:color="E0E0E0"/>
              <w:bottom w:val="single" w:sz="8" w:space="0" w:color="AEAEAE"/>
              <w:right w:val="single" w:sz="8" w:space="0" w:color="E0E0E0"/>
            </w:tcBorders>
            <w:shd w:val="clear" w:color="auto" w:fill="FFFFFF"/>
          </w:tcPr>
          <w:p w14:paraId="05D3921C" w14:textId="77777777" w:rsidR="0087601C" w:rsidRPr="006A1EC7" w:rsidRDefault="0087601C" w:rsidP="00D56051">
            <w:pPr>
              <w:spacing w:line="320" w:lineRule="atLeast"/>
              <w:ind w:left="60" w:right="60"/>
              <w:jc w:val="right"/>
              <w:rPr>
                <w:color w:val="010205"/>
                <w:sz w:val="18"/>
              </w:rPr>
            </w:pPr>
            <w:r w:rsidRPr="006A1EC7">
              <w:rPr>
                <w:color w:val="010205"/>
                <w:sz w:val="18"/>
              </w:rPr>
              <w:t>-.103</w:t>
            </w:r>
          </w:p>
        </w:tc>
        <w:tc>
          <w:tcPr>
            <w:tcW w:w="1738" w:type="dxa"/>
            <w:tcBorders>
              <w:top w:val="single" w:sz="8" w:space="0" w:color="152935"/>
              <w:left w:val="single" w:sz="8" w:space="0" w:color="E0E0E0"/>
              <w:bottom w:val="single" w:sz="8" w:space="0" w:color="AEAEAE"/>
              <w:right w:val="single" w:sz="8" w:space="0" w:color="E0E0E0"/>
            </w:tcBorders>
            <w:shd w:val="clear" w:color="auto" w:fill="FFFFFF"/>
          </w:tcPr>
          <w:p w14:paraId="2098E8C2" w14:textId="77777777" w:rsidR="0087601C" w:rsidRPr="006A1EC7" w:rsidRDefault="0087601C" w:rsidP="00D56051">
            <w:pPr>
              <w:spacing w:line="320" w:lineRule="atLeast"/>
              <w:ind w:left="60" w:right="60"/>
              <w:jc w:val="right"/>
              <w:rPr>
                <w:color w:val="010205"/>
                <w:sz w:val="18"/>
              </w:rPr>
            </w:pPr>
            <w:r w:rsidRPr="006A1EC7">
              <w:rPr>
                <w:color w:val="010205"/>
                <w:sz w:val="18"/>
              </w:rPr>
              <w:t>-.22</w:t>
            </w:r>
          </w:p>
        </w:tc>
        <w:tc>
          <w:tcPr>
            <w:tcW w:w="1738" w:type="dxa"/>
            <w:tcBorders>
              <w:top w:val="single" w:sz="8" w:space="0" w:color="152935"/>
              <w:left w:val="single" w:sz="8" w:space="0" w:color="E0E0E0"/>
              <w:bottom w:val="single" w:sz="8" w:space="0" w:color="AEAEAE"/>
              <w:right w:val="nil"/>
            </w:tcBorders>
            <w:shd w:val="clear" w:color="auto" w:fill="FFFFFF"/>
          </w:tcPr>
          <w:p w14:paraId="252610E0" w14:textId="77777777" w:rsidR="0087601C" w:rsidRPr="006A1EC7" w:rsidRDefault="0087601C" w:rsidP="00D56051">
            <w:pPr>
              <w:spacing w:line="320" w:lineRule="atLeast"/>
              <w:ind w:left="60" w:right="60"/>
              <w:jc w:val="right"/>
              <w:rPr>
                <w:color w:val="010205"/>
                <w:sz w:val="18"/>
              </w:rPr>
            </w:pPr>
            <w:r w:rsidRPr="006A1EC7">
              <w:rPr>
                <w:color w:val="010205"/>
                <w:sz w:val="18"/>
              </w:rPr>
              <w:t>.01</w:t>
            </w:r>
          </w:p>
        </w:tc>
      </w:tr>
      <w:tr w:rsidR="0087601C" w:rsidRPr="006A1EC7" w14:paraId="44F42B5C" w14:textId="77777777" w:rsidTr="00D56051">
        <w:trPr>
          <w:cantSplit/>
        </w:trPr>
        <w:tc>
          <w:tcPr>
            <w:tcW w:w="1810" w:type="dxa"/>
            <w:tcBorders>
              <w:top w:val="single" w:sz="8" w:space="0" w:color="AEAEAE"/>
              <w:left w:val="nil"/>
              <w:bottom w:val="single" w:sz="8" w:space="0" w:color="152935"/>
              <w:right w:val="nil"/>
            </w:tcBorders>
            <w:shd w:val="clear" w:color="auto" w:fill="E0E0E0"/>
          </w:tcPr>
          <w:p w14:paraId="12C8C731" w14:textId="77777777" w:rsidR="0087601C" w:rsidRPr="006A1EC7" w:rsidRDefault="0087601C" w:rsidP="00D56051">
            <w:pPr>
              <w:spacing w:line="320" w:lineRule="atLeast"/>
              <w:ind w:left="60" w:right="60"/>
              <w:rPr>
                <w:color w:val="264A60"/>
                <w:sz w:val="18"/>
              </w:rPr>
            </w:pPr>
            <w:r w:rsidRPr="006A1EC7">
              <w:rPr>
                <w:color w:val="264A60"/>
                <w:sz w:val="18"/>
              </w:rPr>
              <w:t>T1Emma_CNS</w:t>
            </w:r>
          </w:p>
        </w:tc>
        <w:tc>
          <w:tcPr>
            <w:tcW w:w="1212" w:type="dxa"/>
            <w:tcBorders>
              <w:top w:val="single" w:sz="8" w:space="0" w:color="AEAEAE"/>
              <w:left w:val="nil"/>
              <w:bottom w:val="single" w:sz="8" w:space="0" w:color="152935"/>
              <w:right w:val="single" w:sz="8" w:space="0" w:color="E0E0E0"/>
            </w:tcBorders>
            <w:shd w:val="clear" w:color="auto" w:fill="FFFFFF"/>
          </w:tcPr>
          <w:p w14:paraId="3B8E5946" w14:textId="77777777" w:rsidR="0087601C" w:rsidRPr="006A1EC7" w:rsidRDefault="0087601C" w:rsidP="00D56051">
            <w:pPr>
              <w:spacing w:line="320" w:lineRule="atLeast"/>
              <w:ind w:left="60" w:right="60"/>
              <w:jc w:val="right"/>
              <w:rPr>
                <w:color w:val="010205"/>
                <w:sz w:val="18"/>
              </w:rPr>
            </w:pPr>
            <w:r w:rsidRPr="006A1EC7">
              <w:rPr>
                <w:color w:val="010205"/>
                <w:sz w:val="18"/>
              </w:rPr>
              <w:t>1.055</w:t>
            </w:r>
          </w:p>
        </w:tc>
        <w:tc>
          <w:tcPr>
            <w:tcW w:w="1213" w:type="dxa"/>
            <w:tcBorders>
              <w:top w:val="single" w:sz="8" w:space="0" w:color="AEAEAE"/>
              <w:left w:val="single" w:sz="8" w:space="0" w:color="E0E0E0"/>
              <w:bottom w:val="single" w:sz="8" w:space="0" w:color="152935"/>
              <w:right w:val="single" w:sz="8" w:space="0" w:color="E0E0E0"/>
            </w:tcBorders>
            <w:shd w:val="clear" w:color="auto" w:fill="FFFFFF"/>
          </w:tcPr>
          <w:p w14:paraId="5F03AE4A" w14:textId="77777777" w:rsidR="0087601C" w:rsidRPr="006A1EC7" w:rsidRDefault="0087601C" w:rsidP="00D56051">
            <w:pPr>
              <w:spacing w:line="320" w:lineRule="atLeast"/>
              <w:ind w:left="60" w:right="60"/>
              <w:jc w:val="right"/>
              <w:rPr>
                <w:color w:val="010205"/>
                <w:sz w:val="18"/>
              </w:rPr>
            </w:pPr>
            <w:r w:rsidRPr="006A1EC7">
              <w:rPr>
                <w:color w:val="010205"/>
                <w:sz w:val="18"/>
              </w:rPr>
              <w:t>29</w:t>
            </w:r>
          </w:p>
        </w:tc>
        <w:tc>
          <w:tcPr>
            <w:tcW w:w="1738" w:type="dxa"/>
            <w:tcBorders>
              <w:top w:val="single" w:sz="8" w:space="0" w:color="AEAEAE"/>
              <w:left w:val="single" w:sz="8" w:space="0" w:color="E0E0E0"/>
              <w:bottom w:val="single" w:sz="8" w:space="0" w:color="152935"/>
              <w:right w:val="single" w:sz="8" w:space="0" w:color="E0E0E0"/>
            </w:tcBorders>
            <w:shd w:val="clear" w:color="auto" w:fill="FFFFFF"/>
          </w:tcPr>
          <w:p w14:paraId="2B42413F" w14:textId="77777777" w:rsidR="0087601C" w:rsidRPr="006A1EC7" w:rsidRDefault="0087601C" w:rsidP="00D56051">
            <w:pPr>
              <w:spacing w:line="320" w:lineRule="atLeast"/>
              <w:ind w:left="60" w:right="60"/>
              <w:jc w:val="right"/>
              <w:rPr>
                <w:color w:val="010205"/>
                <w:sz w:val="18"/>
              </w:rPr>
            </w:pPr>
            <w:r w:rsidRPr="006A1EC7">
              <w:rPr>
                <w:color w:val="010205"/>
                <w:sz w:val="18"/>
              </w:rPr>
              <w:t>.300</w:t>
            </w:r>
          </w:p>
        </w:tc>
        <w:tc>
          <w:tcPr>
            <w:tcW w:w="1738" w:type="dxa"/>
            <w:tcBorders>
              <w:top w:val="single" w:sz="8" w:space="0" w:color="AEAEAE"/>
              <w:left w:val="single" w:sz="8" w:space="0" w:color="E0E0E0"/>
              <w:bottom w:val="single" w:sz="8" w:space="0" w:color="152935"/>
              <w:right w:val="single" w:sz="8" w:space="0" w:color="E0E0E0"/>
            </w:tcBorders>
            <w:shd w:val="clear" w:color="auto" w:fill="FFFFFF"/>
          </w:tcPr>
          <w:p w14:paraId="27CDEB19" w14:textId="77777777" w:rsidR="0087601C" w:rsidRPr="006A1EC7" w:rsidRDefault="0087601C" w:rsidP="00D56051">
            <w:pPr>
              <w:spacing w:line="320" w:lineRule="atLeast"/>
              <w:ind w:left="60" w:right="60"/>
              <w:jc w:val="right"/>
              <w:rPr>
                <w:color w:val="010205"/>
                <w:sz w:val="18"/>
              </w:rPr>
            </w:pPr>
            <w:r w:rsidRPr="006A1EC7">
              <w:rPr>
                <w:color w:val="010205"/>
                <w:sz w:val="18"/>
              </w:rPr>
              <w:t>.500</w:t>
            </w:r>
          </w:p>
        </w:tc>
        <w:tc>
          <w:tcPr>
            <w:tcW w:w="1738" w:type="dxa"/>
            <w:tcBorders>
              <w:top w:val="single" w:sz="8" w:space="0" w:color="AEAEAE"/>
              <w:left w:val="single" w:sz="8" w:space="0" w:color="E0E0E0"/>
              <w:bottom w:val="single" w:sz="8" w:space="0" w:color="152935"/>
              <w:right w:val="single" w:sz="8" w:space="0" w:color="E0E0E0"/>
            </w:tcBorders>
            <w:shd w:val="clear" w:color="auto" w:fill="FFFFFF"/>
          </w:tcPr>
          <w:p w14:paraId="21C0F66D" w14:textId="77777777" w:rsidR="0087601C" w:rsidRPr="006A1EC7" w:rsidRDefault="0087601C" w:rsidP="00D56051">
            <w:pPr>
              <w:spacing w:line="320" w:lineRule="atLeast"/>
              <w:ind w:left="60" w:right="60"/>
              <w:jc w:val="right"/>
              <w:rPr>
                <w:color w:val="010205"/>
                <w:sz w:val="18"/>
              </w:rPr>
            </w:pPr>
            <w:r w:rsidRPr="006A1EC7">
              <w:rPr>
                <w:color w:val="010205"/>
                <w:sz w:val="18"/>
              </w:rPr>
              <w:t>-.47</w:t>
            </w:r>
          </w:p>
        </w:tc>
        <w:tc>
          <w:tcPr>
            <w:tcW w:w="1738" w:type="dxa"/>
            <w:tcBorders>
              <w:top w:val="single" w:sz="8" w:space="0" w:color="AEAEAE"/>
              <w:left w:val="single" w:sz="8" w:space="0" w:color="E0E0E0"/>
              <w:bottom w:val="single" w:sz="8" w:space="0" w:color="152935"/>
              <w:right w:val="nil"/>
            </w:tcBorders>
            <w:shd w:val="clear" w:color="auto" w:fill="FFFFFF"/>
          </w:tcPr>
          <w:p w14:paraId="02BA6CFF" w14:textId="77777777" w:rsidR="0087601C" w:rsidRPr="006A1EC7" w:rsidRDefault="0087601C" w:rsidP="00D56051">
            <w:pPr>
              <w:spacing w:line="320" w:lineRule="atLeast"/>
              <w:ind w:left="60" w:right="60"/>
              <w:jc w:val="right"/>
              <w:rPr>
                <w:color w:val="010205"/>
                <w:sz w:val="18"/>
              </w:rPr>
            </w:pPr>
            <w:r w:rsidRPr="006A1EC7">
              <w:rPr>
                <w:color w:val="010205"/>
                <w:sz w:val="18"/>
              </w:rPr>
              <w:t>1.47</w:t>
            </w:r>
          </w:p>
        </w:tc>
      </w:tr>
    </w:tbl>
    <w:p w14:paraId="66302F28" w14:textId="77777777" w:rsidR="0087601C" w:rsidRPr="006A1EC7" w:rsidRDefault="0087601C" w:rsidP="0087601C">
      <w:pPr>
        <w:spacing w:line="400" w:lineRule="atLeast"/>
        <w:rPr>
          <w:sz w:val="18"/>
        </w:rPr>
      </w:pPr>
    </w:p>
    <w:tbl>
      <w:tblPr>
        <w:tblW w:w="8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2"/>
        <w:gridCol w:w="1276"/>
        <w:gridCol w:w="1276"/>
        <w:gridCol w:w="1829"/>
        <w:gridCol w:w="1829"/>
      </w:tblGrid>
      <w:tr w:rsidR="0087601C" w:rsidRPr="006A1EC7" w14:paraId="6625C5AD" w14:textId="77777777" w:rsidTr="00D56051">
        <w:trPr>
          <w:cantSplit/>
        </w:trPr>
        <w:tc>
          <w:tcPr>
            <w:tcW w:w="2382" w:type="dxa"/>
            <w:tcBorders>
              <w:top w:val="nil"/>
              <w:left w:val="nil"/>
              <w:bottom w:val="single" w:sz="8" w:space="0" w:color="152935"/>
              <w:right w:val="nil"/>
            </w:tcBorders>
            <w:shd w:val="clear" w:color="auto" w:fill="FFFFFF"/>
            <w:vAlign w:val="bottom"/>
          </w:tcPr>
          <w:p w14:paraId="618DEDFE"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1CF008A9"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3F88F7A3"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tcBorders>
              <w:top w:val="nil"/>
              <w:left w:val="single" w:sz="8" w:space="0" w:color="E0E0E0"/>
              <w:bottom w:val="single" w:sz="8" w:space="0" w:color="152935"/>
              <w:right w:val="single" w:sz="8" w:space="0" w:color="E0E0E0"/>
            </w:tcBorders>
            <w:shd w:val="clear" w:color="auto" w:fill="FFFFFF"/>
            <w:vAlign w:val="bottom"/>
          </w:tcPr>
          <w:p w14:paraId="0491038E"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tcBorders>
              <w:top w:val="nil"/>
              <w:left w:val="single" w:sz="8" w:space="0" w:color="E0E0E0"/>
              <w:bottom w:val="single" w:sz="8" w:space="0" w:color="152935"/>
              <w:right w:val="nil"/>
            </w:tcBorders>
            <w:shd w:val="clear" w:color="auto" w:fill="FFFFFF"/>
            <w:vAlign w:val="bottom"/>
          </w:tcPr>
          <w:p w14:paraId="4A42222C"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7718D32F" w14:textId="77777777" w:rsidTr="00D56051">
        <w:trPr>
          <w:cantSplit/>
        </w:trPr>
        <w:tc>
          <w:tcPr>
            <w:tcW w:w="2382" w:type="dxa"/>
            <w:tcBorders>
              <w:top w:val="single" w:sz="8" w:space="0" w:color="152935"/>
              <w:left w:val="nil"/>
              <w:bottom w:val="single" w:sz="8" w:space="0" w:color="152935"/>
              <w:right w:val="nil"/>
            </w:tcBorders>
            <w:shd w:val="clear" w:color="auto" w:fill="E0E0E0"/>
          </w:tcPr>
          <w:p w14:paraId="521D79EE" w14:textId="77777777" w:rsidR="0087601C" w:rsidRPr="006A1EC7" w:rsidRDefault="0087601C" w:rsidP="00D56051">
            <w:pPr>
              <w:spacing w:line="320" w:lineRule="atLeast"/>
              <w:ind w:left="60" w:right="60"/>
              <w:rPr>
                <w:color w:val="264A60"/>
                <w:sz w:val="18"/>
              </w:rPr>
            </w:pPr>
            <w:r w:rsidRPr="006A1EC7">
              <w:rPr>
                <w:color w:val="264A60"/>
                <w:sz w:val="18"/>
              </w:rPr>
              <w:t>T1Emma_Epilepsy</w:t>
            </w:r>
          </w:p>
        </w:tc>
        <w:tc>
          <w:tcPr>
            <w:tcW w:w="1276" w:type="dxa"/>
            <w:tcBorders>
              <w:top w:val="single" w:sz="8" w:space="0" w:color="152935"/>
              <w:left w:val="nil"/>
              <w:bottom w:val="single" w:sz="8" w:space="0" w:color="152935"/>
              <w:right w:val="single" w:sz="8" w:space="0" w:color="E0E0E0"/>
            </w:tcBorders>
            <w:shd w:val="clear" w:color="auto" w:fill="FFFFFF"/>
          </w:tcPr>
          <w:p w14:paraId="4FDB7182" w14:textId="77777777" w:rsidR="0087601C" w:rsidRPr="006A1EC7" w:rsidRDefault="0087601C" w:rsidP="00D56051">
            <w:pPr>
              <w:spacing w:line="320" w:lineRule="atLeast"/>
              <w:ind w:left="60" w:right="60"/>
              <w:jc w:val="right"/>
              <w:rPr>
                <w:color w:val="010205"/>
                <w:sz w:val="18"/>
              </w:rPr>
            </w:pPr>
            <w:r w:rsidRPr="006A1EC7">
              <w:rPr>
                <w:color w:val="010205"/>
                <w:sz w:val="18"/>
              </w:rPr>
              <w:t>30</w:t>
            </w:r>
          </w:p>
        </w:tc>
        <w:tc>
          <w:tcPr>
            <w:tcW w:w="1276" w:type="dxa"/>
            <w:tcBorders>
              <w:top w:val="single" w:sz="8" w:space="0" w:color="152935"/>
              <w:left w:val="single" w:sz="8" w:space="0" w:color="E0E0E0"/>
              <w:bottom w:val="single" w:sz="8" w:space="0" w:color="152935"/>
              <w:right w:val="single" w:sz="8" w:space="0" w:color="E0E0E0"/>
            </w:tcBorders>
            <w:shd w:val="clear" w:color="auto" w:fill="FFFFFF"/>
          </w:tcPr>
          <w:p w14:paraId="309E5E18" w14:textId="77777777" w:rsidR="0087601C" w:rsidRPr="006A1EC7" w:rsidRDefault="0087601C" w:rsidP="00D56051">
            <w:pPr>
              <w:spacing w:line="320" w:lineRule="atLeast"/>
              <w:ind w:left="60" w:right="60"/>
              <w:jc w:val="right"/>
              <w:rPr>
                <w:color w:val="010205"/>
                <w:sz w:val="18"/>
              </w:rPr>
            </w:pPr>
            <w:r w:rsidRPr="006A1EC7">
              <w:rPr>
                <w:color w:val="010205"/>
                <w:sz w:val="18"/>
              </w:rPr>
              <w:t>11.00</w:t>
            </w:r>
          </w:p>
        </w:tc>
        <w:tc>
          <w:tcPr>
            <w:tcW w:w="1829" w:type="dxa"/>
            <w:tcBorders>
              <w:top w:val="single" w:sz="8" w:space="0" w:color="152935"/>
              <w:left w:val="single" w:sz="8" w:space="0" w:color="E0E0E0"/>
              <w:bottom w:val="single" w:sz="8" w:space="0" w:color="152935"/>
              <w:right w:val="single" w:sz="8" w:space="0" w:color="E0E0E0"/>
            </w:tcBorders>
            <w:shd w:val="clear" w:color="auto" w:fill="FFFFFF"/>
          </w:tcPr>
          <w:p w14:paraId="468C9EB4" w14:textId="77777777" w:rsidR="0087601C" w:rsidRPr="006A1EC7" w:rsidRDefault="0087601C" w:rsidP="00D56051">
            <w:pPr>
              <w:spacing w:line="320" w:lineRule="atLeast"/>
              <w:ind w:left="60" w:right="60"/>
              <w:jc w:val="right"/>
              <w:rPr>
                <w:color w:val="010205"/>
                <w:sz w:val="18"/>
              </w:rPr>
            </w:pPr>
            <w:r w:rsidRPr="006A1EC7">
              <w:rPr>
                <w:color w:val="010205"/>
                <w:sz w:val="18"/>
              </w:rPr>
              <w:t>2.117</w:t>
            </w:r>
          </w:p>
        </w:tc>
        <w:tc>
          <w:tcPr>
            <w:tcW w:w="1829" w:type="dxa"/>
            <w:tcBorders>
              <w:top w:val="single" w:sz="8" w:space="0" w:color="152935"/>
              <w:left w:val="single" w:sz="8" w:space="0" w:color="E0E0E0"/>
              <w:bottom w:val="single" w:sz="8" w:space="0" w:color="152935"/>
              <w:right w:val="nil"/>
            </w:tcBorders>
            <w:shd w:val="clear" w:color="auto" w:fill="FFFFFF"/>
          </w:tcPr>
          <w:p w14:paraId="1BB12D05" w14:textId="77777777" w:rsidR="0087601C" w:rsidRPr="006A1EC7" w:rsidRDefault="0087601C" w:rsidP="00D56051">
            <w:pPr>
              <w:spacing w:line="320" w:lineRule="atLeast"/>
              <w:ind w:left="60" w:right="60"/>
              <w:jc w:val="right"/>
              <w:rPr>
                <w:color w:val="010205"/>
                <w:sz w:val="18"/>
              </w:rPr>
            </w:pPr>
            <w:r w:rsidRPr="006A1EC7">
              <w:rPr>
                <w:color w:val="010205"/>
                <w:sz w:val="18"/>
              </w:rPr>
              <w:t>.387</w:t>
            </w:r>
          </w:p>
        </w:tc>
      </w:tr>
    </w:tbl>
    <w:p w14:paraId="0E6A9F06"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6"/>
        <w:gridCol w:w="206"/>
        <w:gridCol w:w="960"/>
        <w:gridCol w:w="316"/>
        <w:gridCol w:w="849"/>
        <w:gridCol w:w="427"/>
        <w:gridCol w:w="1243"/>
        <w:gridCol w:w="586"/>
        <w:gridCol w:w="1084"/>
        <w:gridCol w:w="745"/>
        <w:gridCol w:w="925"/>
        <w:gridCol w:w="1670"/>
      </w:tblGrid>
      <w:tr w:rsidR="0087601C" w:rsidRPr="006A1EC7" w14:paraId="4AFF7EA8" w14:textId="77777777" w:rsidTr="00D56051">
        <w:trPr>
          <w:cantSplit/>
        </w:trPr>
        <w:tc>
          <w:tcPr>
            <w:tcW w:w="2176" w:type="dxa"/>
            <w:vMerge w:val="restart"/>
            <w:tcBorders>
              <w:top w:val="nil"/>
              <w:left w:val="nil"/>
              <w:bottom w:val="nil"/>
              <w:right w:val="nil"/>
            </w:tcBorders>
            <w:shd w:val="clear" w:color="auto" w:fill="FFFFFF"/>
            <w:vAlign w:val="bottom"/>
          </w:tcPr>
          <w:p w14:paraId="2B6360DA" w14:textId="77777777" w:rsidR="0087601C" w:rsidRPr="006A1EC7" w:rsidRDefault="0087601C" w:rsidP="00D56051">
            <w:pPr>
              <w:rPr>
                <w:sz w:val="18"/>
              </w:rPr>
            </w:pPr>
          </w:p>
        </w:tc>
        <w:tc>
          <w:tcPr>
            <w:tcW w:w="9011" w:type="dxa"/>
            <w:gridSpan w:val="11"/>
            <w:tcBorders>
              <w:top w:val="nil"/>
              <w:left w:val="nil"/>
              <w:bottom w:val="nil"/>
              <w:right w:val="nil"/>
            </w:tcBorders>
            <w:shd w:val="clear" w:color="auto" w:fill="FFFFFF"/>
            <w:vAlign w:val="bottom"/>
          </w:tcPr>
          <w:p w14:paraId="1E876377"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8.5</w:t>
            </w:r>
          </w:p>
        </w:tc>
      </w:tr>
      <w:tr w:rsidR="0087601C" w:rsidRPr="006A1EC7" w14:paraId="0439773A" w14:textId="77777777" w:rsidTr="00D56051">
        <w:trPr>
          <w:cantSplit/>
        </w:trPr>
        <w:tc>
          <w:tcPr>
            <w:tcW w:w="2176" w:type="dxa"/>
            <w:vMerge/>
            <w:tcBorders>
              <w:top w:val="nil"/>
              <w:left w:val="nil"/>
              <w:bottom w:val="nil"/>
              <w:right w:val="nil"/>
            </w:tcBorders>
            <w:shd w:val="clear" w:color="auto" w:fill="FFFFFF"/>
            <w:vAlign w:val="bottom"/>
          </w:tcPr>
          <w:p w14:paraId="46AAD63C" w14:textId="77777777" w:rsidR="0087601C" w:rsidRPr="006A1EC7" w:rsidRDefault="0087601C" w:rsidP="00D56051">
            <w:pPr>
              <w:rPr>
                <w:color w:val="264A60"/>
                <w:sz w:val="18"/>
              </w:rPr>
            </w:pPr>
          </w:p>
        </w:tc>
        <w:tc>
          <w:tcPr>
            <w:tcW w:w="1166" w:type="dxa"/>
            <w:gridSpan w:val="2"/>
            <w:vMerge w:val="restart"/>
            <w:tcBorders>
              <w:top w:val="nil"/>
              <w:left w:val="nil"/>
              <w:bottom w:val="nil"/>
              <w:right w:val="single" w:sz="8" w:space="0" w:color="E0E0E0"/>
            </w:tcBorders>
            <w:shd w:val="clear" w:color="auto" w:fill="FFFFFF"/>
            <w:vAlign w:val="bottom"/>
          </w:tcPr>
          <w:p w14:paraId="22E9A885"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65" w:type="dxa"/>
            <w:gridSpan w:val="2"/>
            <w:vMerge w:val="restart"/>
            <w:tcBorders>
              <w:top w:val="nil"/>
              <w:left w:val="single" w:sz="8" w:space="0" w:color="E0E0E0"/>
              <w:bottom w:val="nil"/>
              <w:right w:val="single" w:sz="8" w:space="0" w:color="E0E0E0"/>
            </w:tcBorders>
            <w:shd w:val="clear" w:color="auto" w:fill="FFFFFF"/>
            <w:vAlign w:val="bottom"/>
          </w:tcPr>
          <w:p w14:paraId="78F2BF4B"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70" w:type="dxa"/>
            <w:gridSpan w:val="2"/>
            <w:vMerge w:val="restart"/>
            <w:tcBorders>
              <w:top w:val="nil"/>
              <w:left w:val="single" w:sz="8" w:space="0" w:color="E0E0E0"/>
              <w:bottom w:val="nil"/>
              <w:right w:val="single" w:sz="8" w:space="0" w:color="E0E0E0"/>
            </w:tcBorders>
            <w:shd w:val="clear" w:color="auto" w:fill="FFFFFF"/>
            <w:vAlign w:val="bottom"/>
          </w:tcPr>
          <w:p w14:paraId="13A19D4E"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70" w:type="dxa"/>
            <w:gridSpan w:val="2"/>
            <w:vMerge w:val="restart"/>
            <w:tcBorders>
              <w:top w:val="nil"/>
              <w:left w:val="single" w:sz="8" w:space="0" w:color="E0E0E0"/>
              <w:bottom w:val="nil"/>
              <w:right w:val="single" w:sz="8" w:space="0" w:color="E0E0E0"/>
            </w:tcBorders>
            <w:shd w:val="clear" w:color="auto" w:fill="FFFFFF"/>
            <w:vAlign w:val="bottom"/>
          </w:tcPr>
          <w:p w14:paraId="3A1C72F5"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40" w:type="dxa"/>
            <w:gridSpan w:val="3"/>
            <w:tcBorders>
              <w:top w:val="nil"/>
              <w:left w:val="single" w:sz="8" w:space="0" w:color="E0E0E0"/>
              <w:bottom w:val="nil"/>
              <w:right w:val="nil"/>
            </w:tcBorders>
            <w:shd w:val="clear" w:color="auto" w:fill="FFFFFF"/>
            <w:vAlign w:val="bottom"/>
          </w:tcPr>
          <w:p w14:paraId="7072EEA1"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52978B93" w14:textId="77777777" w:rsidTr="00D56051">
        <w:trPr>
          <w:cantSplit/>
        </w:trPr>
        <w:tc>
          <w:tcPr>
            <w:tcW w:w="2176" w:type="dxa"/>
            <w:vMerge/>
            <w:tcBorders>
              <w:top w:val="nil"/>
              <w:left w:val="nil"/>
              <w:bottom w:val="nil"/>
              <w:right w:val="nil"/>
            </w:tcBorders>
            <w:shd w:val="clear" w:color="auto" w:fill="FFFFFF"/>
            <w:vAlign w:val="bottom"/>
          </w:tcPr>
          <w:p w14:paraId="2B9F8C5E" w14:textId="77777777" w:rsidR="0087601C" w:rsidRPr="006A1EC7" w:rsidRDefault="0087601C" w:rsidP="00D56051">
            <w:pPr>
              <w:rPr>
                <w:color w:val="264A60"/>
                <w:sz w:val="18"/>
              </w:rPr>
            </w:pPr>
          </w:p>
        </w:tc>
        <w:tc>
          <w:tcPr>
            <w:tcW w:w="1166" w:type="dxa"/>
            <w:gridSpan w:val="2"/>
            <w:vMerge/>
            <w:tcBorders>
              <w:top w:val="nil"/>
              <w:left w:val="nil"/>
              <w:bottom w:val="nil"/>
              <w:right w:val="single" w:sz="8" w:space="0" w:color="E0E0E0"/>
            </w:tcBorders>
            <w:shd w:val="clear" w:color="auto" w:fill="FFFFFF"/>
            <w:vAlign w:val="bottom"/>
          </w:tcPr>
          <w:p w14:paraId="22D8B0A4" w14:textId="77777777" w:rsidR="0087601C" w:rsidRPr="006A1EC7" w:rsidRDefault="0087601C" w:rsidP="00D56051">
            <w:pPr>
              <w:rPr>
                <w:color w:val="264A60"/>
                <w:sz w:val="18"/>
              </w:rPr>
            </w:pPr>
          </w:p>
        </w:tc>
        <w:tc>
          <w:tcPr>
            <w:tcW w:w="1165" w:type="dxa"/>
            <w:gridSpan w:val="2"/>
            <w:vMerge/>
            <w:tcBorders>
              <w:top w:val="nil"/>
              <w:left w:val="single" w:sz="8" w:space="0" w:color="E0E0E0"/>
              <w:bottom w:val="nil"/>
              <w:right w:val="single" w:sz="8" w:space="0" w:color="E0E0E0"/>
            </w:tcBorders>
            <w:shd w:val="clear" w:color="auto" w:fill="FFFFFF"/>
            <w:vAlign w:val="bottom"/>
          </w:tcPr>
          <w:p w14:paraId="6DFD49C9" w14:textId="77777777" w:rsidR="0087601C" w:rsidRPr="006A1EC7" w:rsidRDefault="0087601C" w:rsidP="00D56051">
            <w:pPr>
              <w:rPr>
                <w:color w:val="264A60"/>
                <w:sz w:val="18"/>
              </w:rPr>
            </w:pPr>
          </w:p>
        </w:tc>
        <w:tc>
          <w:tcPr>
            <w:tcW w:w="1670" w:type="dxa"/>
            <w:gridSpan w:val="2"/>
            <w:vMerge/>
            <w:tcBorders>
              <w:top w:val="nil"/>
              <w:left w:val="single" w:sz="8" w:space="0" w:color="E0E0E0"/>
              <w:bottom w:val="nil"/>
              <w:right w:val="single" w:sz="8" w:space="0" w:color="E0E0E0"/>
            </w:tcBorders>
            <w:shd w:val="clear" w:color="auto" w:fill="FFFFFF"/>
            <w:vAlign w:val="bottom"/>
          </w:tcPr>
          <w:p w14:paraId="2904856E" w14:textId="77777777" w:rsidR="0087601C" w:rsidRPr="006A1EC7" w:rsidRDefault="0087601C" w:rsidP="00D56051">
            <w:pPr>
              <w:rPr>
                <w:color w:val="264A60"/>
                <w:sz w:val="18"/>
              </w:rPr>
            </w:pPr>
          </w:p>
        </w:tc>
        <w:tc>
          <w:tcPr>
            <w:tcW w:w="1670" w:type="dxa"/>
            <w:gridSpan w:val="2"/>
            <w:vMerge/>
            <w:tcBorders>
              <w:top w:val="nil"/>
              <w:left w:val="single" w:sz="8" w:space="0" w:color="E0E0E0"/>
              <w:bottom w:val="nil"/>
              <w:right w:val="single" w:sz="8" w:space="0" w:color="E0E0E0"/>
            </w:tcBorders>
            <w:shd w:val="clear" w:color="auto" w:fill="FFFFFF"/>
            <w:vAlign w:val="bottom"/>
          </w:tcPr>
          <w:p w14:paraId="2D7F8589" w14:textId="77777777" w:rsidR="0087601C" w:rsidRPr="006A1EC7" w:rsidRDefault="0087601C" w:rsidP="00D56051">
            <w:pPr>
              <w:rPr>
                <w:color w:val="264A60"/>
                <w:sz w:val="18"/>
              </w:rPr>
            </w:pPr>
          </w:p>
        </w:tc>
        <w:tc>
          <w:tcPr>
            <w:tcW w:w="1670" w:type="dxa"/>
            <w:gridSpan w:val="2"/>
            <w:tcBorders>
              <w:top w:val="nil"/>
              <w:left w:val="single" w:sz="8" w:space="0" w:color="E0E0E0"/>
              <w:bottom w:val="single" w:sz="8" w:space="0" w:color="152935"/>
              <w:right w:val="single" w:sz="8" w:space="0" w:color="E0E0E0"/>
            </w:tcBorders>
            <w:shd w:val="clear" w:color="auto" w:fill="FFFFFF"/>
            <w:vAlign w:val="bottom"/>
          </w:tcPr>
          <w:p w14:paraId="10329192"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70" w:type="dxa"/>
            <w:tcBorders>
              <w:top w:val="nil"/>
              <w:left w:val="single" w:sz="8" w:space="0" w:color="E0E0E0"/>
              <w:bottom w:val="single" w:sz="8" w:space="0" w:color="152935"/>
              <w:right w:val="nil"/>
            </w:tcBorders>
            <w:shd w:val="clear" w:color="auto" w:fill="FFFFFF"/>
            <w:vAlign w:val="bottom"/>
          </w:tcPr>
          <w:p w14:paraId="7F07355F"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2A244D1D" w14:textId="77777777" w:rsidTr="00D56051">
        <w:trPr>
          <w:cantSplit/>
        </w:trPr>
        <w:tc>
          <w:tcPr>
            <w:tcW w:w="2176" w:type="dxa"/>
            <w:tcBorders>
              <w:top w:val="single" w:sz="8" w:space="0" w:color="152935"/>
              <w:left w:val="nil"/>
              <w:bottom w:val="single" w:sz="8" w:space="0" w:color="152935"/>
              <w:right w:val="nil"/>
            </w:tcBorders>
            <w:shd w:val="clear" w:color="auto" w:fill="E0E0E0"/>
          </w:tcPr>
          <w:p w14:paraId="1AD26F3B" w14:textId="77777777" w:rsidR="0087601C" w:rsidRPr="006A1EC7" w:rsidRDefault="0087601C" w:rsidP="00D56051">
            <w:pPr>
              <w:spacing w:line="320" w:lineRule="atLeast"/>
              <w:ind w:left="60" w:right="60"/>
              <w:rPr>
                <w:color w:val="264A60"/>
                <w:sz w:val="18"/>
              </w:rPr>
            </w:pPr>
            <w:r w:rsidRPr="006A1EC7">
              <w:rPr>
                <w:color w:val="264A60"/>
                <w:sz w:val="18"/>
              </w:rPr>
              <w:t>T1Emma_Epilepsy</w:t>
            </w:r>
          </w:p>
        </w:tc>
        <w:tc>
          <w:tcPr>
            <w:tcW w:w="1166" w:type="dxa"/>
            <w:gridSpan w:val="2"/>
            <w:tcBorders>
              <w:top w:val="single" w:sz="8" w:space="0" w:color="152935"/>
              <w:left w:val="nil"/>
              <w:bottom w:val="single" w:sz="8" w:space="0" w:color="152935"/>
              <w:right w:val="single" w:sz="8" w:space="0" w:color="E0E0E0"/>
            </w:tcBorders>
            <w:shd w:val="clear" w:color="auto" w:fill="FFFFFF"/>
          </w:tcPr>
          <w:p w14:paraId="1601E255" w14:textId="77777777" w:rsidR="0087601C" w:rsidRPr="006A1EC7" w:rsidRDefault="0087601C" w:rsidP="00D56051">
            <w:pPr>
              <w:spacing w:line="320" w:lineRule="atLeast"/>
              <w:ind w:left="60" w:right="60"/>
              <w:jc w:val="right"/>
              <w:rPr>
                <w:color w:val="010205"/>
                <w:sz w:val="18"/>
              </w:rPr>
            </w:pPr>
            <w:r w:rsidRPr="006A1EC7">
              <w:rPr>
                <w:color w:val="010205"/>
                <w:sz w:val="18"/>
              </w:rPr>
              <w:t>6.467</w:t>
            </w:r>
          </w:p>
        </w:tc>
        <w:tc>
          <w:tcPr>
            <w:tcW w:w="1165" w:type="dxa"/>
            <w:gridSpan w:val="2"/>
            <w:tcBorders>
              <w:top w:val="single" w:sz="8" w:space="0" w:color="152935"/>
              <w:left w:val="single" w:sz="8" w:space="0" w:color="E0E0E0"/>
              <w:bottom w:val="single" w:sz="8" w:space="0" w:color="152935"/>
              <w:right w:val="single" w:sz="8" w:space="0" w:color="E0E0E0"/>
            </w:tcBorders>
            <w:shd w:val="clear" w:color="auto" w:fill="FFFFFF"/>
          </w:tcPr>
          <w:p w14:paraId="61549DAF" w14:textId="77777777" w:rsidR="0087601C" w:rsidRPr="006A1EC7" w:rsidRDefault="0087601C" w:rsidP="00D56051">
            <w:pPr>
              <w:spacing w:line="320" w:lineRule="atLeast"/>
              <w:ind w:left="60" w:right="60"/>
              <w:jc w:val="right"/>
              <w:rPr>
                <w:color w:val="010205"/>
                <w:sz w:val="18"/>
              </w:rPr>
            </w:pPr>
            <w:r w:rsidRPr="006A1EC7">
              <w:rPr>
                <w:color w:val="010205"/>
                <w:sz w:val="18"/>
              </w:rPr>
              <w:t>29</w:t>
            </w:r>
          </w:p>
        </w:tc>
        <w:tc>
          <w:tcPr>
            <w:tcW w:w="1670" w:type="dxa"/>
            <w:gridSpan w:val="2"/>
            <w:tcBorders>
              <w:top w:val="single" w:sz="8" w:space="0" w:color="152935"/>
              <w:left w:val="single" w:sz="8" w:space="0" w:color="E0E0E0"/>
              <w:bottom w:val="single" w:sz="8" w:space="0" w:color="152935"/>
              <w:right w:val="single" w:sz="8" w:space="0" w:color="E0E0E0"/>
            </w:tcBorders>
            <w:shd w:val="clear" w:color="auto" w:fill="FFFFFF"/>
          </w:tcPr>
          <w:p w14:paraId="0632355E"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70" w:type="dxa"/>
            <w:gridSpan w:val="2"/>
            <w:tcBorders>
              <w:top w:val="single" w:sz="8" w:space="0" w:color="152935"/>
              <w:left w:val="single" w:sz="8" w:space="0" w:color="E0E0E0"/>
              <w:bottom w:val="single" w:sz="8" w:space="0" w:color="152935"/>
              <w:right w:val="single" w:sz="8" w:space="0" w:color="E0E0E0"/>
            </w:tcBorders>
            <w:shd w:val="clear" w:color="auto" w:fill="FFFFFF"/>
          </w:tcPr>
          <w:p w14:paraId="4F36151D" w14:textId="77777777" w:rsidR="0087601C" w:rsidRPr="006A1EC7" w:rsidRDefault="0087601C" w:rsidP="00D56051">
            <w:pPr>
              <w:spacing w:line="320" w:lineRule="atLeast"/>
              <w:ind w:left="60" w:right="60"/>
              <w:jc w:val="right"/>
              <w:rPr>
                <w:color w:val="010205"/>
                <w:sz w:val="18"/>
              </w:rPr>
            </w:pPr>
            <w:r w:rsidRPr="006A1EC7">
              <w:rPr>
                <w:color w:val="010205"/>
                <w:sz w:val="18"/>
              </w:rPr>
              <w:t>2.500</w:t>
            </w:r>
          </w:p>
        </w:tc>
        <w:tc>
          <w:tcPr>
            <w:tcW w:w="1670" w:type="dxa"/>
            <w:gridSpan w:val="2"/>
            <w:tcBorders>
              <w:top w:val="single" w:sz="8" w:space="0" w:color="152935"/>
              <w:left w:val="single" w:sz="8" w:space="0" w:color="E0E0E0"/>
              <w:bottom w:val="single" w:sz="8" w:space="0" w:color="152935"/>
              <w:right w:val="single" w:sz="8" w:space="0" w:color="E0E0E0"/>
            </w:tcBorders>
            <w:shd w:val="clear" w:color="auto" w:fill="FFFFFF"/>
          </w:tcPr>
          <w:p w14:paraId="68D4DBB0" w14:textId="77777777" w:rsidR="0087601C" w:rsidRPr="006A1EC7" w:rsidRDefault="0087601C" w:rsidP="00D56051">
            <w:pPr>
              <w:spacing w:line="320" w:lineRule="atLeast"/>
              <w:ind w:left="60" w:right="60"/>
              <w:jc w:val="right"/>
              <w:rPr>
                <w:color w:val="010205"/>
                <w:sz w:val="18"/>
              </w:rPr>
            </w:pPr>
            <w:r w:rsidRPr="006A1EC7">
              <w:rPr>
                <w:color w:val="010205"/>
                <w:sz w:val="18"/>
              </w:rPr>
              <w:t>1.71</w:t>
            </w:r>
          </w:p>
        </w:tc>
        <w:tc>
          <w:tcPr>
            <w:tcW w:w="1670" w:type="dxa"/>
            <w:tcBorders>
              <w:top w:val="single" w:sz="8" w:space="0" w:color="152935"/>
              <w:left w:val="single" w:sz="8" w:space="0" w:color="E0E0E0"/>
              <w:bottom w:val="single" w:sz="8" w:space="0" w:color="152935"/>
              <w:right w:val="nil"/>
            </w:tcBorders>
            <w:shd w:val="clear" w:color="auto" w:fill="FFFFFF"/>
          </w:tcPr>
          <w:p w14:paraId="48FCED31" w14:textId="77777777" w:rsidR="0087601C" w:rsidRPr="006A1EC7" w:rsidRDefault="0087601C" w:rsidP="00D56051">
            <w:pPr>
              <w:spacing w:line="320" w:lineRule="atLeast"/>
              <w:ind w:left="60" w:right="60"/>
              <w:jc w:val="right"/>
              <w:rPr>
                <w:color w:val="010205"/>
                <w:sz w:val="18"/>
              </w:rPr>
            </w:pPr>
            <w:r w:rsidRPr="006A1EC7">
              <w:rPr>
                <w:color w:val="010205"/>
                <w:sz w:val="18"/>
              </w:rPr>
              <w:t>3.29</w:t>
            </w:r>
          </w:p>
        </w:tc>
      </w:tr>
      <w:tr w:rsidR="0087601C" w:rsidRPr="006A1EC7" w14:paraId="1AE4575D" w14:textId="77777777" w:rsidTr="00D56051">
        <w:trPr>
          <w:gridAfter w:val="2"/>
          <w:wAfter w:w="2595" w:type="dxa"/>
          <w:cantSplit/>
        </w:trPr>
        <w:tc>
          <w:tcPr>
            <w:tcW w:w="2382" w:type="dxa"/>
            <w:gridSpan w:val="2"/>
            <w:tcBorders>
              <w:top w:val="nil"/>
              <w:left w:val="nil"/>
              <w:bottom w:val="single" w:sz="8" w:space="0" w:color="152935"/>
              <w:right w:val="nil"/>
            </w:tcBorders>
            <w:shd w:val="clear" w:color="auto" w:fill="FFFFFF"/>
            <w:vAlign w:val="bottom"/>
          </w:tcPr>
          <w:p w14:paraId="4DAF22FB" w14:textId="77777777" w:rsidR="0087601C" w:rsidRPr="006A1EC7" w:rsidRDefault="0087601C" w:rsidP="00D56051">
            <w:pPr>
              <w:rPr>
                <w:sz w:val="18"/>
              </w:rPr>
            </w:pPr>
          </w:p>
        </w:tc>
        <w:tc>
          <w:tcPr>
            <w:tcW w:w="1276" w:type="dxa"/>
            <w:gridSpan w:val="2"/>
            <w:tcBorders>
              <w:top w:val="nil"/>
              <w:left w:val="nil"/>
              <w:bottom w:val="single" w:sz="8" w:space="0" w:color="152935"/>
              <w:right w:val="single" w:sz="8" w:space="0" w:color="E0E0E0"/>
            </w:tcBorders>
            <w:shd w:val="clear" w:color="auto" w:fill="FFFFFF"/>
            <w:vAlign w:val="bottom"/>
          </w:tcPr>
          <w:p w14:paraId="52DDE208"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2"/>
            <w:tcBorders>
              <w:top w:val="nil"/>
              <w:left w:val="single" w:sz="8" w:space="0" w:color="E0E0E0"/>
              <w:bottom w:val="single" w:sz="8" w:space="0" w:color="152935"/>
              <w:right w:val="single" w:sz="8" w:space="0" w:color="E0E0E0"/>
            </w:tcBorders>
            <w:shd w:val="clear" w:color="auto" w:fill="FFFFFF"/>
            <w:vAlign w:val="bottom"/>
          </w:tcPr>
          <w:p w14:paraId="2535277F"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gridSpan w:val="2"/>
            <w:tcBorders>
              <w:top w:val="nil"/>
              <w:left w:val="single" w:sz="8" w:space="0" w:color="E0E0E0"/>
              <w:bottom w:val="single" w:sz="8" w:space="0" w:color="152935"/>
              <w:right w:val="single" w:sz="8" w:space="0" w:color="E0E0E0"/>
            </w:tcBorders>
            <w:shd w:val="clear" w:color="auto" w:fill="FFFFFF"/>
            <w:vAlign w:val="bottom"/>
          </w:tcPr>
          <w:p w14:paraId="0338FDC5"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gridSpan w:val="2"/>
            <w:tcBorders>
              <w:top w:val="nil"/>
              <w:left w:val="single" w:sz="8" w:space="0" w:color="E0E0E0"/>
              <w:bottom w:val="single" w:sz="8" w:space="0" w:color="152935"/>
              <w:right w:val="nil"/>
            </w:tcBorders>
            <w:shd w:val="clear" w:color="auto" w:fill="FFFFFF"/>
            <w:vAlign w:val="bottom"/>
          </w:tcPr>
          <w:p w14:paraId="3C6C1EBF"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61C0E0F8" w14:textId="77777777" w:rsidTr="00D56051">
        <w:trPr>
          <w:gridAfter w:val="2"/>
          <w:wAfter w:w="2595" w:type="dxa"/>
          <w:cantSplit/>
        </w:trPr>
        <w:tc>
          <w:tcPr>
            <w:tcW w:w="2382" w:type="dxa"/>
            <w:gridSpan w:val="2"/>
            <w:tcBorders>
              <w:top w:val="single" w:sz="8" w:space="0" w:color="152935"/>
              <w:left w:val="nil"/>
              <w:bottom w:val="single" w:sz="8" w:space="0" w:color="152935"/>
              <w:right w:val="nil"/>
            </w:tcBorders>
            <w:shd w:val="clear" w:color="auto" w:fill="E0E0E0"/>
          </w:tcPr>
          <w:p w14:paraId="44F84A53" w14:textId="77777777" w:rsidR="0087601C" w:rsidRPr="006A1EC7" w:rsidRDefault="0087601C" w:rsidP="00D56051">
            <w:pPr>
              <w:spacing w:line="320" w:lineRule="atLeast"/>
              <w:ind w:left="60" w:right="60"/>
              <w:rPr>
                <w:color w:val="264A60"/>
                <w:sz w:val="18"/>
              </w:rPr>
            </w:pPr>
            <w:r w:rsidRPr="006A1EC7">
              <w:rPr>
                <w:color w:val="264A60"/>
                <w:sz w:val="18"/>
              </w:rPr>
              <w:lastRenderedPageBreak/>
              <w:t>T1Emma_Gastroin</w:t>
            </w:r>
          </w:p>
        </w:tc>
        <w:tc>
          <w:tcPr>
            <w:tcW w:w="1276" w:type="dxa"/>
            <w:gridSpan w:val="2"/>
            <w:tcBorders>
              <w:top w:val="single" w:sz="8" w:space="0" w:color="152935"/>
              <w:left w:val="nil"/>
              <w:bottom w:val="single" w:sz="8" w:space="0" w:color="152935"/>
              <w:right w:val="single" w:sz="8" w:space="0" w:color="E0E0E0"/>
            </w:tcBorders>
            <w:shd w:val="clear" w:color="auto" w:fill="FFFFFF"/>
          </w:tcPr>
          <w:p w14:paraId="04482D32" w14:textId="77777777" w:rsidR="0087601C" w:rsidRPr="006A1EC7" w:rsidRDefault="0087601C" w:rsidP="00D56051">
            <w:pPr>
              <w:spacing w:line="320" w:lineRule="atLeast"/>
              <w:ind w:left="60" w:right="60"/>
              <w:jc w:val="right"/>
              <w:rPr>
                <w:color w:val="010205"/>
                <w:sz w:val="18"/>
              </w:rPr>
            </w:pPr>
            <w:r w:rsidRPr="006A1EC7">
              <w:rPr>
                <w:color w:val="010205"/>
                <w:sz w:val="18"/>
              </w:rPr>
              <w:t>28</w:t>
            </w:r>
          </w:p>
        </w:tc>
        <w:tc>
          <w:tcPr>
            <w:tcW w:w="1276" w:type="dxa"/>
            <w:gridSpan w:val="2"/>
            <w:tcBorders>
              <w:top w:val="single" w:sz="8" w:space="0" w:color="152935"/>
              <w:left w:val="single" w:sz="8" w:space="0" w:color="E0E0E0"/>
              <w:bottom w:val="single" w:sz="8" w:space="0" w:color="152935"/>
              <w:right w:val="single" w:sz="8" w:space="0" w:color="E0E0E0"/>
            </w:tcBorders>
            <w:shd w:val="clear" w:color="auto" w:fill="FFFFFF"/>
          </w:tcPr>
          <w:p w14:paraId="5FFA7EE0" w14:textId="77777777" w:rsidR="0087601C" w:rsidRPr="006A1EC7" w:rsidRDefault="0087601C" w:rsidP="00D56051">
            <w:pPr>
              <w:spacing w:line="320" w:lineRule="atLeast"/>
              <w:ind w:left="60" w:right="60"/>
              <w:jc w:val="right"/>
              <w:rPr>
                <w:color w:val="010205"/>
                <w:sz w:val="18"/>
              </w:rPr>
            </w:pPr>
            <w:r w:rsidRPr="006A1EC7">
              <w:rPr>
                <w:color w:val="010205"/>
                <w:sz w:val="18"/>
              </w:rPr>
              <w:t>18.43</w:t>
            </w:r>
          </w:p>
        </w:tc>
        <w:tc>
          <w:tcPr>
            <w:tcW w:w="1829" w:type="dxa"/>
            <w:gridSpan w:val="2"/>
            <w:tcBorders>
              <w:top w:val="single" w:sz="8" w:space="0" w:color="152935"/>
              <w:left w:val="single" w:sz="8" w:space="0" w:color="E0E0E0"/>
              <w:bottom w:val="single" w:sz="8" w:space="0" w:color="152935"/>
              <w:right w:val="single" w:sz="8" w:space="0" w:color="E0E0E0"/>
            </w:tcBorders>
            <w:shd w:val="clear" w:color="auto" w:fill="FFFFFF"/>
          </w:tcPr>
          <w:p w14:paraId="27E23B8E" w14:textId="77777777" w:rsidR="0087601C" w:rsidRPr="006A1EC7" w:rsidRDefault="0087601C" w:rsidP="00D56051">
            <w:pPr>
              <w:spacing w:line="320" w:lineRule="atLeast"/>
              <w:ind w:left="60" w:right="60"/>
              <w:jc w:val="right"/>
              <w:rPr>
                <w:color w:val="010205"/>
                <w:sz w:val="18"/>
              </w:rPr>
            </w:pPr>
            <w:r w:rsidRPr="006A1EC7">
              <w:rPr>
                <w:color w:val="010205"/>
                <w:sz w:val="18"/>
              </w:rPr>
              <w:t>1.854</w:t>
            </w:r>
          </w:p>
        </w:tc>
        <w:tc>
          <w:tcPr>
            <w:tcW w:w="1829" w:type="dxa"/>
            <w:gridSpan w:val="2"/>
            <w:tcBorders>
              <w:top w:val="single" w:sz="8" w:space="0" w:color="152935"/>
              <w:left w:val="single" w:sz="8" w:space="0" w:color="E0E0E0"/>
              <w:bottom w:val="single" w:sz="8" w:space="0" w:color="152935"/>
              <w:right w:val="nil"/>
            </w:tcBorders>
            <w:shd w:val="clear" w:color="auto" w:fill="FFFFFF"/>
          </w:tcPr>
          <w:p w14:paraId="2D138ACF" w14:textId="77777777" w:rsidR="0087601C" w:rsidRPr="006A1EC7" w:rsidRDefault="0087601C" w:rsidP="00D56051">
            <w:pPr>
              <w:spacing w:line="320" w:lineRule="atLeast"/>
              <w:ind w:left="60" w:right="60"/>
              <w:jc w:val="right"/>
              <w:rPr>
                <w:color w:val="010205"/>
                <w:sz w:val="18"/>
              </w:rPr>
            </w:pPr>
            <w:r w:rsidRPr="006A1EC7">
              <w:rPr>
                <w:color w:val="010205"/>
                <w:sz w:val="18"/>
              </w:rPr>
              <w:t>.350</w:t>
            </w:r>
          </w:p>
        </w:tc>
      </w:tr>
      <w:tr w:rsidR="0087601C" w:rsidRPr="006A1EC7" w14:paraId="5769FA03" w14:textId="77777777" w:rsidTr="00D56051">
        <w:trPr>
          <w:cantSplit/>
        </w:trPr>
        <w:tc>
          <w:tcPr>
            <w:tcW w:w="2176" w:type="dxa"/>
            <w:vMerge w:val="restart"/>
            <w:tcBorders>
              <w:top w:val="nil"/>
              <w:left w:val="nil"/>
              <w:bottom w:val="nil"/>
              <w:right w:val="nil"/>
            </w:tcBorders>
            <w:shd w:val="clear" w:color="auto" w:fill="FFFFFF"/>
            <w:vAlign w:val="bottom"/>
          </w:tcPr>
          <w:p w14:paraId="3F8365A8" w14:textId="77777777" w:rsidR="0087601C" w:rsidRPr="006A1EC7" w:rsidRDefault="0087601C" w:rsidP="00D56051">
            <w:pPr>
              <w:rPr>
                <w:sz w:val="18"/>
              </w:rPr>
            </w:pPr>
          </w:p>
        </w:tc>
        <w:tc>
          <w:tcPr>
            <w:tcW w:w="9011" w:type="dxa"/>
            <w:gridSpan w:val="11"/>
            <w:tcBorders>
              <w:top w:val="nil"/>
              <w:left w:val="nil"/>
              <w:bottom w:val="nil"/>
              <w:right w:val="nil"/>
            </w:tcBorders>
            <w:shd w:val="clear" w:color="auto" w:fill="FFFFFF"/>
            <w:vAlign w:val="bottom"/>
          </w:tcPr>
          <w:p w14:paraId="2EDFB686"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17.5</w:t>
            </w:r>
          </w:p>
        </w:tc>
      </w:tr>
      <w:tr w:rsidR="0087601C" w:rsidRPr="006A1EC7" w14:paraId="62E0674F" w14:textId="77777777" w:rsidTr="00D56051">
        <w:trPr>
          <w:cantSplit/>
        </w:trPr>
        <w:tc>
          <w:tcPr>
            <w:tcW w:w="2176" w:type="dxa"/>
            <w:vMerge/>
            <w:tcBorders>
              <w:top w:val="nil"/>
              <w:left w:val="nil"/>
              <w:bottom w:val="nil"/>
              <w:right w:val="nil"/>
            </w:tcBorders>
            <w:shd w:val="clear" w:color="auto" w:fill="FFFFFF"/>
            <w:vAlign w:val="bottom"/>
          </w:tcPr>
          <w:p w14:paraId="17A91BEF" w14:textId="77777777" w:rsidR="0087601C" w:rsidRPr="006A1EC7" w:rsidRDefault="0087601C" w:rsidP="00D56051">
            <w:pPr>
              <w:rPr>
                <w:color w:val="264A60"/>
                <w:sz w:val="18"/>
              </w:rPr>
            </w:pPr>
          </w:p>
        </w:tc>
        <w:tc>
          <w:tcPr>
            <w:tcW w:w="1166" w:type="dxa"/>
            <w:gridSpan w:val="2"/>
            <w:vMerge w:val="restart"/>
            <w:tcBorders>
              <w:top w:val="nil"/>
              <w:left w:val="nil"/>
              <w:bottom w:val="nil"/>
              <w:right w:val="single" w:sz="8" w:space="0" w:color="E0E0E0"/>
            </w:tcBorders>
            <w:shd w:val="clear" w:color="auto" w:fill="FFFFFF"/>
            <w:vAlign w:val="bottom"/>
          </w:tcPr>
          <w:p w14:paraId="4DA1674E"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65" w:type="dxa"/>
            <w:gridSpan w:val="2"/>
            <w:vMerge w:val="restart"/>
            <w:tcBorders>
              <w:top w:val="nil"/>
              <w:left w:val="single" w:sz="8" w:space="0" w:color="E0E0E0"/>
              <w:bottom w:val="nil"/>
              <w:right w:val="single" w:sz="8" w:space="0" w:color="E0E0E0"/>
            </w:tcBorders>
            <w:shd w:val="clear" w:color="auto" w:fill="FFFFFF"/>
            <w:vAlign w:val="bottom"/>
          </w:tcPr>
          <w:p w14:paraId="4405001D"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70" w:type="dxa"/>
            <w:gridSpan w:val="2"/>
            <w:vMerge w:val="restart"/>
            <w:tcBorders>
              <w:top w:val="nil"/>
              <w:left w:val="single" w:sz="8" w:space="0" w:color="E0E0E0"/>
              <w:bottom w:val="nil"/>
              <w:right w:val="single" w:sz="8" w:space="0" w:color="E0E0E0"/>
            </w:tcBorders>
            <w:shd w:val="clear" w:color="auto" w:fill="FFFFFF"/>
            <w:vAlign w:val="bottom"/>
          </w:tcPr>
          <w:p w14:paraId="0EE23E24"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70" w:type="dxa"/>
            <w:gridSpan w:val="2"/>
            <w:vMerge w:val="restart"/>
            <w:tcBorders>
              <w:top w:val="nil"/>
              <w:left w:val="single" w:sz="8" w:space="0" w:color="E0E0E0"/>
              <w:bottom w:val="nil"/>
              <w:right w:val="single" w:sz="8" w:space="0" w:color="E0E0E0"/>
            </w:tcBorders>
            <w:shd w:val="clear" w:color="auto" w:fill="FFFFFF"/>
            <w:vAlign w:val="bottom"/>
          </w:tcPr>
          <w:p w14:paraId="1876AA3F"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40" w:type="dxa"/>
            <w:gridSpan w:val="3"/>
            <w:tcBorders>
              <w:top w:val="nil"/>
              <w:left w:val="single" w:sz="8" w:space="0" w:color="E0E0E0"/>
              <w:bottom w:val="nil"/>
              <w:right w:val="nil"/>
            </w:tcBorders>
            <w:shd w:val="clear" w:color="auto" w:fill="FFFFFF"/>
            <w:vAlign w:val="bottom"/>
          </w:tcPr>
          <w:p w14:paraId="1B6DEB16"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07655A0A" w14:textId="77777777" w:rsidTr="00D56051">
        <w:trPr>
          <w:cantSplit/>
        </w:trPr>
        <w:tc>
          <w:tcPr>
            <w:tcW w:w="2176" w:type="dxa"/>
            <w:vMerge/>
            <w:tcBorders>
              <w:top w:val="nil"/>
              <w:left w:val="nil"/>
              <w:bottom w:val="nil"/>
              <w:right w:val="nil"/>
            </w:tcBorders>
            <w:shd w:val="clear" w:color="auto" w:fill="FFFFFF"/>
            <w:vAlign w:val="bottom"/>
          </w:tcPr>
          <w:p w14:paraId="55E82401" w14:textId="77777777" w:rsidR="0087601C" w:rsidRPr="006A1EC7" w:rsidRDefault="0087601C" w:rsidP="00D56051">
            <w:pPr>
              <w:rPr>
                <w:color w:val="264A60"/>
                <w:sz w:val="18"/>
              </w:rPr>
            </w:pPr>
          </w:p>
        </w:tc>
        <w:tc>
          <w:tcPr>
            <w:tcW w:w="1166" w:type="dxa"/>
            <w:gridSpan w:val="2"/>
            <w:vMerge/>
            <w:tcBorders>
              <w:top w:val="nil"/>
              <w:left w:val="nil"/>
              <w:bottom w:val="nil"/>
              <w:right w:val="single" w:sz="8" w:space="0" w:color="E0E0E0"/>
            </w:tcBorders>
            <w:shd w:val="clear" w:color="auto" w:fill="FFFFFF"/>
            <w:vAlign w:val="bottom"/>
          </w:tcPr>
          <w:p w14:paraId="45BA2031" w14:textId="77777777" w:rsidR="0087601C" w:rsidRPr="006A1EC7" w:rsidRDefault="0087601C" w:rsidP="00D56051">
            <w:pPr>
              <w:rPr>
                <w:color w:val="264A60"/>
                <w:sz w:val="18"/>
              </w:rPr>
            </w:pPr>
          </w:p>
        </w:tc>
        <w:tc>
          <w:tcPr>
            <w:tcW w:w="1165" w:type="dxa"/>
            <w:gridSpan w:val="2"/>
            <w:vMerge/>
            <w:tcBorders>
              <w:top w:val="nil"/>
              <w:left w:val="single" w:sz="8" w:space="0" w:color="E0E0E0"/>
              <w:bottom w:val="nil"/>
              <w:right w:val="single" w:sz="8" w:space="0" w:color="E0E0E0"/>
            </w:tcBorders>
            <w:shd w:val="clear" w:color="auto" w:fill="FFFFFF"/>
            <w:vAlign w:val="bottom"/>
          </w:tcPr>
          <w:p w14:paraId="1071CBE0" w14:textId="77777777" w:rsidR="0087601C" w:rsidRPr="006A1EC7" w:rsidRDefault="0087601C" w:rsidP="00D56051">
            <w:pPr>
              <w:rPr>
                <w:color w:val="264A60"/>
                <w:sz w:val="18"/>
              </w:rPr>
            </w:pPr>
          </w:p>
        </w:tc>
        <w:tc>
          <w:tcPr>
            <w:tcW w:w="1670" w:type="dxa"/>
            <w:gridSpan w:val="2"/>
            <w:vMerge/>
            <w:tcBorders>
              <w:top w:val="nil"/>
              <w:left w:val="single" w:sz="8" w:space="0" w:color="E0E0E0"/>
              <w:bottom w:val="nil"/>
              <w:right w:val="single" w:sz="8" w:space="0" w:color="E0E0E0"/>
            </w:tcBorders>
            <w:shd w:val="clear" w:color="auto" w:fill="FFFFFF"/>
            <w:vAlign w:val="bottom"/>
          </w:tcPr>
          <w:p w14:paraId="78A6FC34" w14:textId="77777777" w:rsidR="0087601C" w:rsidRPr="006A1EC7" w:rsidRDefault="0087601C" w:rsidP="00D56051">
            <w:pPr>
              <w:rPr>
                <w:color w:val="264A60"/>
                <w:sz w:val="18"/>
              </w:rPr>
            </w:pPr>
          </w:p>
        </w:tc>
        <w:tc>
          <w:tcPr>
            <w:tcW w:w="1670" w:type="dxa"/>
            <w:gridSpan w:val="2"/>
            <w:vMerge/>
            <w:tcBorders>
              <w:top w:val="nil"/>
              <w:left w:val="single" w:sz="8" w:space="0" w:color="E0E0E0"/>
              <w:bottom w:val="nil"/>
              <w:right w:val="single" w:sz="8" w:space="0" w:color="E0E0E0"/>
            </w:tcBorders>
            <w:shd w:val="clear" w:color="auto" w:fill="FFFFFF"/>
            <w:vAlign w:val="bottom"/>
          </w:tcPr>
          <w:p w14:paraId="3926610F" w14:textId="77777777" w:rsidR="0087601C" w:rsidRPr="006A1EC7" w:rsidRDefault="0087601C" w:rsidP="00D56051">
            <w:pPr>
              <w:rPr>
                <w:color w:val="264A60"/>
                <w:sz w:val="18"/>
              </w:rPr>
            </w:pPr>
          </w:p>
        </w:tc>
        <w:tc>
          <w:tcPr>
            <w:tcW w:w="1670" w:type="dxa"/>
            <w:gridSpan w:val="2"/>
            <w:tcBorders>
              <w:top w:val="nil"/>
              <w:left w:val="single" w:sz="8" w:space="0" w:color="E0E0E0"/>
              <w:bottom w:val="single" w:sz="8" w:space="0" w:color="152935"/>
              <w:right w:val="single" w:sz="8" w:space="0" w:color="E0E0E0"/>
            </w:tcBorders>
            <w:shd w:val="clear" w:color="auto" w:fill="FFFFFF"/>
            <w:vAlign w:val="bottom"/>
          </w:tcPr>
          <w:p w14:paraId="10665432"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70" w:type="dxa"/>
            <w:tcBorders>
              <w:top w:val="nil"/>
              <w:left w:val="single" w:sz="8" w:space="0" w:color="E0E0E0"/>
              <w:bottom w:val="single" w:sz="8" w:space="0" w:color="152935"/>
              <w:right w:val="nil"/>
            </w:tcBorders>
            <w:shd w:val="clear" w:color="auto" w:fill="FFFFFF"/>
            <w:vAlign w:val="bottom"/>
          </w:tcPr>
          <w:p w14:paraId="40B8AA2D"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12D73105" w14:textId="77777777" w:rsidTr="00D56051">
        <w:trPr>
          <w:cantSplit/>
        </w:trPr>
        <w:tc>
          <w:tcPr>
            <w:tcW w:w="2176" w:type="dxa"/>
            <w:tcBorders>
              <w:top w:val="single" w:sz="8" w:space="0" w:color="152935"/>
              <w:left w:val="nil"/>
              <w:bottom w:val="single" w:sz="8" w:space="0" w:color="152935"/>
              <w:right w:val="nil"/>
            </w:tcBorders>
            <w:shd w:val="clear" w:color="auto" w:fill="E0E0E0"/>
          </w:tcPr>
          <w:p w14:paraId="563BF55E" w14:textId="77777777" w:rsidR="0087601C" w:rsidRPr="006A1EC7" w:rsidRDefault="0087601C" w:rsidP="00D56051">
            <w:pPr>
              <w:spacing w:line="320" w:lineRule="atLeast"/>
              <w:ind w:left="60" w:right="60"/>
              <w:rPr>
                <w:color w:val="264A60"/>
                <w:sz w:val="18"/>
              </w:rPr>
            </w:pPr>
            <w:r w:rsidRPr="006A1EC7">
              <w:rPr>
                <w:color w:val="264A60"/>
                <w:sz w:val="18"/>
              </w:rPr>
              <w:t>T1Emma_Gastroin</w:t>
            </w:r>
          </w:p>
        </w:tc>
        <w:tc>
          <w:tcPr>
            <w:tcW w:w="1166" w:type="dxa"/>
            <w:gridSpan w:val="2"/>
            <w:tcBorders>
              <w:top w:val="single" w:sz="8" w:space="0" w:color="152935"/>
              <w:left w:val="nil"/>
              <w:bottom w:val="single" w:sz="8" w:space="0" w:color="152935"/>
              <w:right w:val="single" w:sz="8" w:space="0" w:color="E0E0E0"/>
            </w:tcBorders>
            <w:shd w:val="clear" w:color="auto" w:fill="FFFFFF"/>
          </w:tcPr>
          <w:p w14:paraId="5540F8C7" w14:textId="77777777" w:rsidR="0087601C" w:rsidRPr="006A1EC7" w:rsidRDefault="0087601C" w:rsidP="00D56051">
            <w:pPr>
              <w:spacing w:line="320" w:lineRule="atLeast"/>
              <w:ind w:left="60" w:right="60"/>
              <w:jc w:val="right"/>
              <w:rPr>
                <w:color w:val="010205"/>
                <w:sz w:val="18"/>
              </w:rPr>
            </w:pPr>
            <w:r w:rsidRPr="006A1EC7">
              <w:rPr>
                <w:color w:val="010205"/>
                <w:sz w:val="18"/>
              </w:rPr>
              <w:t>2.650</w:t>
            </w:r>
          </w:p>
        </w:tc>
        <w:tc>
          <w:tcPr>
            <w:tcW w:w="1165" w:type="dxa"/>
            <w:gridSpan w:val="2"/>
            <w:tcBorders>
              <w:top w:val="single" w:sz="8" w:space="0" w:color="152935"/>
              <w:left w:val="single" w:sz="8" w:space="0" w:color="E0E0E0"/>
              <w:bottom w:val="single" w:sz="8" w:space="0" w:color="152935"/>
              <w:right w:val="single" w:sz="8" w:space="0" w:color="E0E0E0"/>
            </w:tcBorders>
            <w:shd w:val="clear" w:color="auto" w:fill="FFFFFF"/>
          </w:tcPr>
          <w:p w14:paraId="3894DE22" w14:textId="77777777" w:rsidR="0087601C" w:rsidRPr="006A1EC7" w:rsidRDefault="0087601C" w:rsidP="00D56051">
            <w:pPr>
              <w:spacing w:line="320" w:lineRule="atLeast"/>
              <w:ind w:left="60" w:right="60"/>
              <w:jc w:val="right"/>
              <w:rPr>
                <w:color w:val="010205"/>
                <w:sz w:val="18"/>
              </w:rPr>
            </w:pPr>
            <w:r w:rsidRPr="006A1EC7">
              <w:rPr>
                <w:color w:val="010205"/>
                <w:sz w:val="18"/>
              </w:rPr>
              <w:t>27</w:t>
            </w:r>
          </w:p>
        </w:tc>
        <w:tc>
          <w:tcPr>
            <w:tcW w:w="1670" w:type="dxa"/>
            <w:gridSpan w:val="2"/>
            <w:tcBorders>
              <w:top w:val="single" w:sz="8" w:space="0" w:color="152935"/>
              <w:left w:val="single" w:sz="8" w:space="0" w:color="E0E0E0"/>
              <w:bottom w:val="single" w:sz="8" w:space="0" w:color="152935"/>
              <w:right w:val="single" w:sz="8" w:space="0" w:color="E0E0E0"/>
            </w:tcBorders>
            <w:shd w:val="clear" w:color="auto" w:fill="FFFFFF"/>
          </w:tcPr>
          <w:p w14:paraId="421A9126" w14:textId="77777777" w:rsidR="0087601C" w:rsidRPr="006A1EC7" w:rsidRDefault="0087601C" w:rsidP="00D56051">
            <w:pPr>
              <w:spacing w:line="320" w:lineRule="atLeast"/>
              <w:ind w:left="60" w:right="60"/>
              <w:jc w:val="right"/>
              <w:rPr>
                <w:color w:val="010205"/>
                <w:sz w:val="18"/>
              </w:rPr>
            </w:pPr>
            <w:r w:rsidRPr="006A1EC7">
              <w:rPr>
                <w:color w:val="010205"/>
                <w:sz w:val="18"/>
              </w:rPr>
              <w:t>.013</w:t>
            </w:r>
          </w:p>
        </w:tc>
        <w:tc>
          <w:tcPr>
            <w:tcW w:w="1670" w:type="dxa"/>
            <w:gridSpan w:val="2"/>
            <w:tcBorders>
              <w:top w:val="single" w:sz="8" w:space="0" w:color="152935"/>
              <w:left w:val="single" w:sz="8" w:space="0" w:color="E0E0E0"/>
              <w:bottom w:val="single" w:sz="8" w:space="0" w:color="152935"/>
              <w:right w:val="single" w:sz="8" w:space="0" w:color="E0E0E0"/>
            </w:tcBorders>
            <w:shd w:val="clear" w:color="auto" w:fill="FFFFFF"/>
          </w:tcPr>
          <w:p w14:paraId="103F2DA2" w14:textId="77777777" w:rsidR="0087601C" w:rsidRPr="006A1EC7" w:rsidRDefault="0087601C" w:rsidP="00D56051">
            <w:pPr>
              <w:spacing w:line="320" w:lineRule="atLeast"/>
              <w:ind w:left="60" w:right="60"/>
              <w:jc w:val="right"/>
              <w:rPr>
                <w:color w:val="010205"/>
                <w:sz w:val="18"/>
              </w:rPr>
            </w:pPr>
            <w:r w:rsidRPr="006A1EC7">
              <w:rPr>
                <w:color w:val="010205"/>
                <w:sz w:val="18"/>
              </w:rPr>
              <w:t>.929</w:t>
            </w:r>
          </w:p>
        </w:tc>
        <w:tc>
          <w:tcPr>
            <w:tcW w:w="1670" w:type="dxa"/>
            <w:gridSpan w:val="2"/>
            <w:tcBorders>
              <w:top w:val="single" w:sz="8" w:space="0" w:color="152935"/>
              <w:left w:val="single" w:sz="8" w:space="0" w:color="E0E0E0"/>
              <w:bottom w:val="single" w:sz="8" w:space="0" w:color="152935"/>
              <w:right w:val="single" w:sz="8" w:space="0" w:color="E0E0E0"/>
            </w:tcBorders>
            <w:shd w:val="clear" w:color="auto" w:fill="FFFFFF"/>
          </w:tcPr>
          <w:p w14:paraId="62C6569F" w14:textId="77777777" w:rsidR="0087601C" w:rsidRPr="006A1EC7" w:rsidRDefault="0087601C" w:rsidP="00D56051">
            <w:pPr>
              <w:spacing w:line="320" w:lineRule="atLeast"/>
              <w:ind w:left="60" w:right="60"/>
              <w:jc w:val="right"/>
              <w:rPr>
                <w:color w:val="010205"/>
                <w:sz w:val="18"/>
              </w:rPr>
            </w:pPr>
            <w:r w:rsidRPr="006A1EC7">
              <w:rPr>
                <w:color w:val="010205"/>
                <w:sz w:val="18"/>
              </w:rPr>
              <w:t>.21</w:t>
            </w:r>
          </w:p>
        </w:tc>
        <w:tc>
          <w:tcPr>
            <w:tcW w:w="1670" w:type="dxa"/>
            <w:tcBorders>
              <w:top w:val="single" w:sz="8" w:space="0" w:color="152935"/>
              <w:left w:val="single" w:sz="8" w:space="0" w:color="E0E0E0"/>
              <w:bottom w:val="single" w:sz="8" w:space="0" w:color="152935"/>
              <w:right w:val="nil"/>
            </w:tcBorders>
            <w:shd w:val="clear" w:color="auto" w:fill="FFFFFF"/>
          </w:tcPr>
          <w:p w14:paraId="6DF6097F" w14:textId="77777777" w:rsidR="0087601C" w:rsidRPr="006A1EC7" w:rsidRDefault="0087601C" w:rsidP="00D56051">
            <w:pPr>
              <w:spacing w:line="320" w:lineRule="atLeast"/>
              <w:ind w:left="60" w:right="60"/>
              <w:jc w:val="right"/>
              <w:rPr>
                <w:color w:val="010205"/>
                <w:sz w:val="18"/>
              </w:rPr>
            </w:pPr>
            <w:r w:rsidRPr="006A1EC7">
              <w:rPr>
                <w:color w:val="010205"/>
                <w:sz w:val="18"/>
              </w:rPr>
              <w:t>1.65</w:t>
            </w:r>
          </w:p>
        </w:tc>
      </w:tr>
    </w:tbl>
    <w:p w14:paraId="6480453C"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4"/>
        <w:gridCol w:w="158"/>
        <w:gridCol w:w="1027"/>
        <w:gridCol w:w="249"/>
        <w:gridCol w:w="935"/>
        <w:gridCol w:w="341"/>
        <w:gridCol w:w="1355"/>
        <w:gridCol w:w="475"/>
        <w:gridCol w:w="1221"/>
        <w:gridCol w:w="609"/>
        <w:gridCol w:w="1087"/>
        <w:gridCol w:w="1696"/>
      </w:tblGrid>
      <w:tr w:rsidR="0087601C" w:rsidRPr="006A1EC7" w14:paraId="16E6C9C4" w14:textId="77777777" w:rsidTr="00D56051">
        <w:trPr>
          <w:gridAfter w:val="2"/>
          <w:wAfter w:w="2783" w:type="dxa"/>
          <w:cantSplit/>
        </w:trPr>
        <w:tc>
          <w:tcPr>
            <w:tcW w:w="2192" w:type="dxa"/>
            <w:gridSpan w:val="2"/>
            <w:tcBorders>
              <w:top w:val="nil"/>
              <w:left w:val="nil"/>
              <w:bottom w:val="single" w:sz="8" w:space="0" w:color="152935"/>
              <w:right w:val="nil"/>
            </w:tcBorders>
            <w:shd w:val="clear" w:color="auto" w:fill="FFFFFF"/>
            <w:vAlign w:val="bottom"/>
          </w:tcPr>
          <w:p w14:paraId="27ED0662" w14:textId="77777777" w:rsidR="0087601C" w:rsidRPr="006A1EC7" w:rsidRDefault="0087601C" w:rsidP="00D56051">
            <w:pPr>
              <w:rPr>
                <w:sz w:val="18"/>
              </w:rPr>
            </w:pPr>
          </w:p>
        </w:tc>
        <w:tc>
          <w:tcPr>
            <w:tcW w:w="1276" w:type="dxa"/>
            <w:gridSpan w:val="2"/>
            <w:tcBorders>
              <w:top w:val="nil"/>
              <w:left w:val="nil"/>
              <w:bottom w:val="single" w:sz="8" w:space="0" w:color="152935"/>
              <w:right w:val="single" w:sz="8" w:space="0" w:color="E0E0E0"/>
            </w:tcBorders>
            <w:shd w:val="clear" w:color="auto" w:fill="FFFFFF"/>
            <w:vAlign w:val="bottom"/>
          </w:tcPr>
          <w:p w14:paraId="4B1AB38B"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2"/>
            <w:tcBorders>
              <w:top w:val="nil"/>
              <w:left w:val="single" w:sz="8" w:space="0" w:color="E0E0E0"/>
              <w:bottom w:val="single" w:sz="8" w:space="0" w:color="152935"/>
              <w:right w:val="single" w:sz="8" w:space="0" w:color="E0E0E0"/>
            </w:tcBorders>
            <w:shd w:val="clear" w:color="auto" w:fill="FFFFFF"/>
            <w:vAlign w:val="bottom"/>
          </w:tcPr>
          <w:p w14:paraId="5A66C272"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gridSpan w:val="2"/>
            <w:tcBorders>
              <w:top w:val="nil"/>
              <w:left w:val="single" w:sz="8" w:space="0" w:color="E0E0E0"/>
              <w:bottom w:val="single" w:sz="8" w:space="0" w:color="152935"/>
              <w:right w:val="single" w:sz="8" w:space="0" w:color="E0E0E0"/>
            </w:tcBorders>
            <w:shd w:val="clear" w:color="auto" w:fill="FFFFFF"/>
            <w:vAlign w:val="bottom"/>
          </w:tcPr>
          <w:p w14:paraId="333E7F48"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gridSpan w:val="2"/>
            <w:tcBorders>
              <w:top w:val="nil"/>
              <w:left w:val="single" w:sz="8" w:space="0" w:color="E0E0E0"/>
              <w:bottom w:val="single" w:sz="8" w:space="0" w:color="152935"/>
              <w:right w:val="nil"/>
            </w:tcBorders>
            <w:shd w:val="clear" w:color="auto" w:fill="FFFFFF"/>
            <w:vAlign w:val="bottom"/>
          </w:tcPr>
          <w:p w14:paraId="7FA5CE42"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0AC8F9C6" w14:textId="77777777" w:rsidTr="00D56051">
        <w:trPr>
          <w:gridAfter w:val="2"/>
          <w:wAfter w:w="2783" w:type="dxa"/>
          <w:cantSplit/>
        </w:trPr>
        <w:tc>
          <w:tcPr>
            <w:tcW w:w="2192" w:type="dxa"/>
            <w:gridSpan w:val="2"/>
            <w:tcBorders>
              <w:top w:val="single" w:sz="8" w:space="0" w:color="152935"/>
              <w:left w:val="nil"/>
              <w:bottom w:val="single" w:sz="8" w:space="0" w:color="152935"/>
              <w:right w:val="nil"/>
            </w:tcBorders>
            <w:shd w:val="clear" w:color="auto" w:fill="E0E0E0"/>
          </w:tcPr>
          <w:p w14:paraId="2ED72D8F" w14:textId="77777777" w:rsidR="0087601C" w:rsidRPr="006A1EC7" w:rsidRDefault="0087601C" w:rsidP="00D56051">
            <w:pPr>
              <w:spacing w:line="320" w:lineRule="atLeast"/>
              <w:ind w:left="60" w:right="60"/>
              <w:rPr>
                <w:color w:val="264A60"/>
                <w:sz w:val="18"/>
              </w:rPr>
            </w:pPr>
            <w:r w:rsidRPr="006A1EC7">
              <w:rPr>
                <w:color w:val="264A60"/>
                <w:sz w:val="18"/>
              </w:rPr>
              <w:t>T1Emma_Cardio</w:t>
            </w:r>
          </w:p>
        </w:tc>
        <w:tc>
          <w:tcPr>
            <w:tcW w:w="1276" w:type="dxa"/>
            <w:gridSpan w:val="2"/>
            <w:tcBorders>
              <w:top w:val="single" w:sz="8" w:space="0" w:color="152935"/>
              <w:left w:val="nil"/>
              <w:bottom w:val="single" w:sz="8" w:space="0" w:color="152935"/>
              <w:right w:val="single" w:sz="8" w:space="0" w:color="E0E0E0"/>
            </w:tcBorders>
            <w:shd w:val="clear" w:color="auto" w:fill="FFFFFF"/>
          </w:tcPr>
          <w:p w14:paraId="0FFB9A1F" w14:textId="77777777" w:rsidR="0087601C" w:rsidRPr="006A1EC7" w:rsidRDefault="0087601C" w:rsidP="00D56051">
            <w:pPr>
              <w:spacing w:line="320" w:lineRule="atLeast"/>
              <w:ind w:left="60" w:right="60"/>
              <w:jc w:val="right"/>
              <w:rPr>
                <w:color w:val="010205"/>
                <w:sz w:val="18"/>
              </w:rPr>
            </w:pPr>
            <w:r w:rsidRPr="006A1EC7">
              <w:rPr>
                <w:color w:val="010205"/>
                <w:sz w:val="18"/>
              </w:rPr>
              <w:t>31</w:t>
            </w:r>
          </w:p>
        </w:tc>
        <w:tc>
          <w:tcPr>
            <w:tcW w:w="1276" w:type="dxa"/>
            <w:gridSpan w:val="2"/>
            <w:tcBorders>
              <w:top w:val="single" w:sz="8" w:space="0" w:color="152935"/>
              <w:left w:val="single" w:sz="8" w:space="0" w:color="E0E0E0"/>
              <w:bottom w:val="single" w:sz="8" w:space="0" w:color="152935"/>
              <w:right w:val="single" w:sz="8" w:space="0" w:color="E0E0E0"/>
            </w:tcBorders>
            <w:shd w:val="clear" w:color="auto" w:fill="FFFFFF"/>
          </w:tcPr>
          <w:p w14:paraId="42546291" w14:textId="77777777" w:rsidR="0087601C" w:rsidRPr="006A1EC7" w:rsidRDefault="0087601C" w:rsidP="00D56051">
            <w:pPr>
              <w:spacing w:line="320" w:lineRule="atLeast"/>
              <w:ind w:left="60" w:right="60"/>
              <w:jc w:val="right"/>
              <w:rPr>
                <w:color w:val="010205"/>
                <w:sz w:val="18"/>
              </w:rPr>
            </w:pPr>
            <w:r w:rsidRPr="006A1EC7">
              <w:rPr>
                <w:color w:val="010205"/>
                <w:sz w:val="18"/>
              </w:rPr>
              <w:t>3.77</w:t>
            </w:r>
          </w:p>
        </w:tc>
        <w:tc>
          <w:tcPr>
            <w:tcW w:w="1830" w:type="dxa"/>
            <w:gridSpan w:val="2"/>
            <w:tcBorders>
              <w:top w:val="single" w:sz="8" w:space="0" w:color="152935"/>
              <w:left w:val="single" w:sz="8" w:space="0" w:color="E0E0E0"/>
              <w:bottom w:val="single" w:sz="8" w:space="0" w:color="152935"/>
              <w:right w:val="single" w:sz="8" w:space="0" w:color="E0E0E0"/>
            </w:tcBorders>
            <w:shd w:val="clear" w:color="auto" w:fill="FFFFFF"/>
          </w:tcPr>
          <w:p w14:paraId="3A561D35" w14:textId="77777777" w:rsidR="0087601C" w:rsidRPr="006A1EC7" w:rsidRDefault="0087601C" w:rsidP="00D56051">
            <w:pPr>
              <w:spacing w:line="320" w:lineRule="atLeast"/>
              <w:ind w:left="60" w:right="60"/>
              <w:jc w:val="right"/>
              <w:rPr>
                <w:color w:val="010205"/>
                <w:sz w:val="18"/>
              </w:rPr>
            </w:pPr>
            <w:r w:rsidRPr="006A1EC7">
              <w:rPr>
                <w:color w:val="010205"/>
                <w:sz w:val="18"/>
              </w:rPr>
              <w:t>.805</w:t>
            </w:r>
          </w:p>
        </w:tc>
        <w:tc>
          <w:tcPr>
            <w:tcW w:w="1830" w:type="dxa"/>
            <w:gridSpan w:val="2"/>
            <w:tcBorders>
              <w:top w:val="single" w:sz="8" w:space="0" w:color="152935"/>
              <w:left w:val="single" w:sz="8" w:space="0" w:color="E0E0E0"/>
              <w:bottom w:val="single" w:sz="8" w:space="0" w:color="152935"/>
              <w:right w:val="nil"/>
            </w:tcBorders>
            <w:shd w:val="clear" w:color="auto" w:fill="FFFFFF"/>
          </w:tcPr>
          <w:p w14:paraId="14AB4D81" w14:textId="77777777" w:rsidR="0087601C" w:rsidRPr="006A1EC7" w:rsidRDefault="0087601C" w:rsidP="00D56051">
            <w:pPr>
              <w:spacing w:line="320" w:lineRule="atLeast"/>
              <w:ind w:left="60" w:right="60"/>
              <w:jc w:val="right"/>
              <w:rPr>
                <w:color w:val="010205"/>
                <w:sz w:val="18"/>
              </w:rPr>
            </w:pPr>
            <w:r w:rsidRPr="006A1EC7">
              <w:rPr>
                <w:color w:val="010205"/>
                <w:sz w:val="18"/>
              </w:rPr>
              <w:t>.145</w:t>
            </w:r>
          </w:p>
        </w:tc>
      </w:tr>
      <w:tr w:rsidR="0087601C" w:rsidRPr="006A1EC7" w14:paraId="76BF95D1" w14:textId="77777777" w:rsidTr="00D56051">
        <w:trPr>
          <w:cantSplit/>
        </w:trPr>
        <w:tc>
          <w:tcPr>
            <w:tcW w:w="2034" w:type="dxa"/>
            <w:vMerge w:val="restart"/>
            <w:tcBorders>
              <w:top w:val="nil"/>
              <w:left w:val="nil"/>
              <w:bottom w:val="nil"/>
              <w:right w:val="nil"/>
            </w:tcBorders>
            <w:shd w:val="clear" w:color="auto" w:fill="FFFFFF"/>
            <w:vAlign w:val="bottom"/>
          </w:tcPr>
          <w:p w14:paraId="5B22E556" w14:textId="77777777" w:rsidR="0087601C" w:rsidRPr="006A1EC7" w:rsidRDefault="0087601C" w:rsidP="00D56051">
            <w:pPr>
              <w:rPr>
                <w:sz w:val="18"/>
              </w:rPr>
            </w:pPr>
          </w:p>
        </w:tc>
        <w:tc>
          <w:tcPr>
            <w:tcW w:w="9153" w:type="dxa"/>
            <w:gridSpan w:val="11"/>
            <w:tcBorders>
              <w:top w:val="nil"/>
              <w:left w:val="nil"/>
              <w:bottom w:val="nil"/>
              <w:right w:val="nil"/>
            </w:tcBorders>
            <w:shd w:val="clear" w:color="auto" w:fill="FFFFFF"/>
            <w:vAlign w:val="bottom"/>
          </w:tcPr>
          <w:p w14:paraId="64C50E39"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4</w:t>
            </w:r>
          </w:p>
        </w:tc>
      </w:tr>
      <w:tr w:rsidR="0087601C" w:rsidRPr="006A1EC7" w14:paraId="2D4610E6" w14:textId="77777777" w:rsidTr="00D56051">
        <w:trPr>
          <w:cantSplit/>
        </w:trPr>
        <w:tc>
          <w:tcPr>
            <w:tcW w:w="2034" w:type="dxa"/>
            <w:vMerge/>
            <w:tcBorders>
              <w:top w:val="nil"/>
              <w:left w:val="nil"/>
              <w:bottom w:val="nil"/>
              <w:right w:val="nil"/>
            </w:tcBorders>
            <w:shd w:val="clear" w:color="auto" w:fill="FFFFFF"/>
            <w:vAlign w:val="bottom"/>
          </w:tcPr>
          <w:p w14:paraId="2EE36F75" w14:textId="77777777" w:rsidR="0087601C" w:rsidRPr="006A1EC7" w:rsidRDefault="0087601C" w:rsidP="00D56051">
            <w:pPr>
              <w:rPr>
                <w:color w:val="264A60"/>
                <w:sz w:val="18"/>
              </w:rPr>
            </w:pPr>
          </w:p>
        </w:tc>
        <w:tc>
          <w:tcPr>
            <w:tcW w:w="1185" w:type="dxa"/>
            <w:gridSpan w:val="2"/>
            <w:vMerge w:val="restart"/>
            <w:tcBorders>
              <w:top w:val="nil"/>
              <w:left w:val="nil"/>
              <w:bottom w:val="nil"/>
              <w:right w:val="single" w:sz="8" w:space="0" w:color="E0E0E0"/>
            </w:tcBorders>
            <w:shd w:val="clear" w:color="auto" w:fill="FFFFFF"/>
            <w:vAlign w:val="bottom"/>
          </w:tcPr>
          <w:p w14:paraId="6637B125"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84" w:type="dxa"/>
            <w:gridSpan w:val="2"/>
            <w:vMerge w:val="restart"/>
            <w:tcBorders>
              <w:top w:val="nil"/>
              <w:left w:val="single" w:sz="8" w:space="0" w:color="E0E0E0"/>
              <w:bottom w:val="nil"/>
              <w:right w:val="single" w:sz="8" w:space="0" w:color="E0E0E0"/>
            </w:tcBorders>
            <w:shd w:val="clear" w:color="auto" w:fill="FFFFFF"/>
            <w:vAlign w:val="bottom"/>
          </w:tcPr>
          <w:p w14:paraId="0193C9E3"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96" w:type="dxa"/>
            <w:gridSpan w:val="2"/>
            <w:vMerge w:val="restart"/>
            <w:tcBorders>
              <w:top w:val="nil"/>
              <w:left w:val="single" w:sz="8" w:space="0" w:color="E0E0E0"/>
              <w:bottom w:val="nil"/>
              <w:right w:val="single" w:sz="8" w:space="0" w:color="E0E0E0"/>
            </w:tcBorders>
            <w:shd w:val="clear" w:color="auto" w:fill="FFFFFF"/>
            <w:vAlign w:val="bottom"/>
          </w:tcPr>
          <w:p w14:paraId="1DB4BD18"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96" w:type="dxa"/>
            <w:gridSpan w:val="2"/>
            <w:vMerge w:val="restart"/>
            <w:tcBorders>
              <w:top w:val="nil"/>
              <w:left w:val="single" w:sz="8" w:space="0" w:color="E0E0E0"/>
              <w:bottom w:val="nil"/>
              <w:right w:val="single" w:sz="8" w:space="0" w:color="E0E0E0"/>
            </w:tcBorders>
            <w:shd w:val="clear" w:color="auto" w:fill="FFFFFF"/>
            <w:vAlign w:val="bottom"/>
          </w:tcPr>
          <w:p w14:paraId="39C6FAF7"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92" w:type="dxa"/>
            <w:gridSpan w:val="3"/>
            <w:tcBorders>
              <w:top w:val="nil"/>
              <w:left w:val="single" w:sz="8" w:space="0" w:color="E0E0E0"/>
              <w:bottom w:val="nil"/>
              <w:right w:val="nil"/>
            </w:tcBorders>
            <w:shd w:val="clear" w:color="auto" w:fill="FFFFFF"/>
            <w:vAlign w:val="bottom"/>
          </w:tcPr>
          <w:p w14:paraId="2196B262"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5497A5B1" w14:textId="77777777" w:rsidTr="00D56051">
        <w:trPr>
          <w:cantSplit/>
        </w:trPr>
        <w:tc>
          <w:tcPr>
            <w:tcW w:w="2034" w:type="dxa"/>
            <w:vMerge/>
            <w:tcBorders>
              <w:top w:val="nil"/>
              <w:left w:val="nil"/>
              <w:bottom w:val="nil"/>
              <w:right w:val="nil"/>
            </w:tcBorders>
            <w:shd w:val="clear" w:color="auto" w:fill="FFFFFF"/>
            <w:vAlign w:val="bottom"/>
          </w:tcPr>
          <w:p w14:paraId="74032357" w14:textId="77777777" w:rsidR="0087601C" w:rsidRPr="006A1EC7" w:rsidRDefault="0087601C" w:rsidP="00D56051">
            <w:pPr>
              <w:rPr>
                <w:color w:val="264A60"/>
                <w:sz w:val="18"/>
              </w:rPr>
            </w:pPr>
          </w:p>
        </w:tc>
        <w:tc>
          <w:tcPr>
            <w:tcW w:w="1185" w:type="dxa"/>
            <w:gridSpan w:val="2"/>
            <w:vMerge/>
            <w:tcBorders>
              <w:top w:val="nil"/>
              <w:left w:val="nil"/>
              <w:bottom w:val="nil"/>
              <w:right w:val="single" w:sz="8" w:space="0" w:color="E0E0E0"/>
            </w:tcBorders>
            <w:shd w:val="clear" w:color="auto" w:fill="FFFFFF"/>
            <w:vAlign w:val="bottom"/>
          </w:tcPr>
          <w:p w14:paraId="376FAE00" w14:textId="77777777" w:rsidR="0087601C" w:rsidRPr="006A1EC7" w:rsidRDefault="0087601C" w:rsidP="00D56051">
            <w:pPr>
              <w:rPr>
                <w:color w:val="264A60"/>
                <w:sz w:val="18"/>
              </w:rPr>
            </w:pPr>
          </w:p>
        </w:tc>
        <w:tc>
          <w:tcPr>
            <w:tcW w:w="1184" w:type="dxa"/>
            <w:gridSpan w:val="2"/>
            <w:vMerge/>
            <w:tcBorders>
              <w:top w:val="nil"/>
              <w:left w:val="single" w:sz="8" w:space="0" w:color="E0E0E0"/>
              <w:bottom w:val="nil"/>
              <w:right w:val="single" w:sz="8" w:space="0" w:color="E0E0E0"/>
            </w:tcBorders>
            <w:shd w:val="clear" w:color="auto" w:fill="FFFFFF"/>
            <w:vAlign w:val="bottom"/>
          </w:tcPr>
          <w:p w14:paraId="52731755" w14:textId="77777777" w:rsidR="0087601C" w:rsidRPr="006A1EC7" w:rsidRDefault="0087601C" w:rsidP="00D56051">
            <w:pPr>
              <w:rPr>
                <w:color w:val="264A60"/>
                <w:sz w:val="18"/>
              </w:rPr>
            </w:pPr>
          </w:p>
        </w:tc>
        <w:tc>
          <w:tcPr>
            <w:tcW w:w="1696" w:type="dxa"/>
            <w:gridSpan w:val="2"/>
            <w:vMerge/>
            <w:tcBorders>
              <w:top w:val="nil"/>
              <w:left w:val="single" w:sz="8" w:space="0" w:color="E0E0E0"/>
              <w:bottom w:val="nil"/>
              <w:right w:val="single" w:sz="8" w:space="0" w:color="E0E0E0"/>
            </w:tcBorders>
            <w:shd w:val="clear" w:color="auto" w:fill="FFFFFF"/>
            <w:vAlign w:val="bottom"/>
          </w:tcPr>
          <w:p w14:paraId="2452EFD9" w14:textId="77777777" w:rsidR="0087601C" w:rsidRPr="006A1EC7" w:rsidRDefault="0087601C" w:rsidP="00D56051">
            <w:pPr>
              <w:rPr>
                <w:color w:val="264A60"/>
                <w:sz w:val="18"/>
              </w:rPr>
            </w:pPr>
          </w:p>
        </w:tc>
        <w:tc>
          <w:tcPr>
            <w:tcW w:w="1696" w:type="dxa"/>
            <w:gridSpan w:val="2"/>
            <w:vMerge/>
            <w:tcBorders>
              <w:top w:val="nil"/>
              <w:left w:val="single" w:sz="8" w:space="0" w:color="E0E0E0"/>
              <w:bottom w:val="nil"/>
              <w:right w:val="single" w:sz="8" w:space="0" w:color="E0E0E0"/>
            </w:tcBorders>
            <w:shd w:val="clear" w:color="auto" w:fill="FFFFFF"/>
            <w:vAlign w:val="bottom"/>
          </w:tcPr>
          <w:p w14:paraId="1CC814C0" w14:textId="77777777" w:rsidR="0087601C" w:rsidRPr="006A1EC7" w:rsidRDefault="0087601C" w:rsidP="00D56051">
            <w:pPr>
              <w:rPr>
                <w:color w:val="264A60"/>
                <w:sz w:val="18"/>
              </w:rPr>
            </w:pPr>
          </w:p>
        </w:tc>
        <w:tc>
          <w:tcPr>
            <w:tcW w:w="1696" w:type="dxa"/>
            <w:gridSpan w:val="2"/>
            <w:tcBorders>
              <w:top w:val="nil"/>
              <w:left w:val="single" w:sz="8" w:space="0" w:color="E0E0E0"/>
              <w:bottom w:val="single" w:sz="8" w:space="0" w:color="152935"/>
              <w:right w:val="single" w:sz="8" w:space="0" w:color="E0E0E0"/>
            </w:tcBorders>
            <w:shd w:val="clear" w:color="auto" w:fill="FFFFFF"/>
            <w:vAlign w:val="bottom"/>
          </w:tcPr>
          <w:p w14:paraId="42D0D713"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96" w:type="dxa"/>
            <w:tcBorders>
              <w:top w:val="nil"/>
              <w:left w:val="single" w:sz="8" w:space="0" w:color="E0E0E0"/>
              <w:bottom w:val="single" w:sz="8" w:space="0" w:color="152935"/>
              <w:right w:val="nil"/>
            </w:tcBorders>
            <w:shd w:val="clear" w:color="auto" w:fill="FFFFFF"/>
            <w:vAlign w:val="bottom"/>
          </w:tcPr>
          <w:p w14:paraId="60D7DF20"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131A8927" w14:textId="77777777" w:rsidTr="00D56051">
        <w:trPr>
          <w:cantSplit/>
        </w:trPr>
        <w:tc>
          <w:tcPr>
            <w:tcW w:w="2034" w:type="dxa"/>
            <w:tcBorders>
              <w:top w:val="single" w:sz="8" w:space="0" w:color="152935"/>
              <w:left w:val="nil"/>
              <w:bottom w:val="single" w:sz="8" w:space="0" w:color="152935"/>
              <w:right w:val="nil"/>
            </w:tcBorders>
            <w:shd w:val="clear" w:color="auto" w:fill="E0E0E0"/>
          </w:tcPr>
          <w:p w14:paraId="58BC53B0" w14:textId="77777777" w:rsidR="0087601C" w:rsidRPr="006A1EC7" w:rsidRDefault="0087601C" w:rsidP="00D56051">
            <w:pPr>
              <w:spacing w:line="320" w:lineRule="atLeast"/>
              <w:ind w:left="60" w:right="60"/>
              <w:rPr>
                <w:color w:val="264A60"/>
                <w:sz w:val="18"/>
              </w:rPr>
            </w:pPr>
            <w:r w:rsidRPr="006A1EC7">
              <w:rPr>
                <w:color w:val="264A60"/>
                <w:sz w:val="18"/>
              </w:rPr>
              <w:t>T1Emma_Cardio</w:t>
            </w:r>
          </w:p>
        </w:tc>
        <w:tc>
          <w:tcPr>
            <w:tcW w:w="1185" w:type="dxa"/>
            <w:gridSpan w:val="2"/>
            <w:tcBorders>
              <w:top w:val="single" w:sz="8" w:space="0" w:color="152935"/>
              <w:left w:val="nil"/>
              <w:bottom w:val="single" w:sz="8" w:space="0" w:color="152935"/>
              <w:right w:val="single" w:sz="8" w:space="0" w:color="E0E0E0"/>
            </w:tcBorders>
            <w:shd w:val="clear" w:color="auto" w:fill="FFFFFF"/>
          </w:tcPr>
          <w:p w14:paraId="4BE35F5A" w14:textId="77777777" w:rsidR="0087601C" w:rsidRPr="006A1EC7" w:rsidRDefault="0087601C" w:rsidP="00D56051">
            <w:pPr>
              <w:spacing w:line="320" w:lineRule="atLeast"/>
              <w:ind w:left="60" w:right="60"/>
              <w:jc w:val="right"/>
              <w:rPr>
                <w:color w:val="010205"/>
                <w:sz w:val="18"/>
              </w:rPr>
            </w:pPr>
            <w:r w:rsidRPr="006A1EC7">
              <w:rPr>
                <w:color w:val="010205"/>
                <w:sz w:val="18"/>
              </w:rPr>
              <w:t>-1.563</w:t>
            </w:r>
          </w:p>
        </w:tc>
        <w:tc>
          <w:tcPr>
            <w:tcW w:w="1184" w:type="dxa"/>
            <w:gridSpan w:val="2"/>
            <w:tcBorders>
              <w:top w:val="single" w:sz="8" w:space="0" w:color="152935"/>
              <w:left w:val="single" w:sz="8" w:space="0" w:color="E0E0E0"/>
              <w:bottom w:val="single" w:sz="8" w:space="0" w:color="152935"/>
              <w:right w:val="single" w:sz="8" w:space="0" w:color="E0E0E0"/>
            </w:tcBorders>
            <w:shd w:val="clear" w:color="auto" w:fill="FFFFFF"/>
          </w:tcPr>
          <w:p w14:paraId="6CCDE66B" w14:textId="77777777" w:rsidR="0087601C" w:rsidRPr="006A1EC7" w:rsidRDefault="0087601C" w:rsidP="00D56051">
            <w:pPr>
              <w:spacing w:line="320" w:lineRule="atLeast"/>
              <w:ind w:left="60" w:right="60"/>
              <w:jc w:val="right"/>
              <w:rPr>
                <w:color w:val="010205"/>
                <w:sz w:val="18"/>
              </w:rPr>
            </w:pPr>
            <w:r w:rsidRPr="006A1EC7">
              <w:rPr>
                <w:color w:val="010205"/>
                <w:sz w:val="18"/>
              </w:rPr>
              <w:t>30</w:t>
            </w:r>
          </w:p>
        </w:tc>
        <w:tc>
          <w:tcPr>
            <w:tcW w:w="1696" w:type="dxa"/>
            <w:gridSpan w:val="2"/>
            <w:tcBorders>
              <w:top w:val="single" w:sz="8" w:space="0" w:color="152935"/>
              <w:left w:val="single" w:sz="8" w:space="0" w:color="E0E0E0"/>
              <w:bottom w:val="single" w:sz="8" w:space="0" w:color="152935"/>
              <w:right w:val="single" w:sz="8" w:space="0" w:color="E0E0E0"/>
            </w:tcBorders>
            <w:shd w:val="clear" w:color="auto" w:fill="FFFFFF"/>
          </w:tcPr>
          <w:p w14:paraId="320D9833" w14:textId="77777777" w:rsidR="0087601C" w:rsidRPr="006A1EC7" w:rsidRDefault="0087601C" w:rsidP="00D56051">
            <w:pPr>
              <w:spacing w:line="320" w:lineRule="atLeast"/>
              <w:ind w:left="60" w:right="60"/>
              <w:jc w:val="right"/>
              <w:rPr>
                <w:color w:val="010205"/>
                <w:sz w:val="18"/>
              </w:rPr>
            </w:pPr>
            <w:r w:rsidRPr="006A1EC7">
              <w:rPr>
                <w:color w:val="010205"/>
                <w:sz w:val="18"/>
              </w:rPr>
              <w:t>.129</w:t>
            </w:r>
          </w:p>
        </w:tc>
        <w:tc>
          <w:tcPr>
            <w:tcW w:w="1696" w:type="dxa"/>
            <w:gridSpan w:val="2"/>
            <w:tcBorders>
              <w:top w:val="single" w:sz="8" w:space="0" w:color="152935"/>
              <w:left w:val="single" w:sz="8" w:space="0" w:color="E0E0E0"/>
              <w:bottom w:val="single" w:sz="8" w:space="0" w:color="152935"/>
              <w:right w:val="single" w:sz="8" w:space="0" w:color="E0E0E0"/>
            </w:tcBorders>
            <w:shd w:val="clear" w:color="auto" w:fill="FFFFFF"/>
          </w:tcPr>
          <w:p w14:paraId="4E94A3C9" w14:textId="77777777" w:rsidR="0087601C" w:rsidRPr="006A1EC7" w:rsidRDefault="0087601C" w:rsidP="00D56051">
            <w:pPr>
              <w:spacing w:line="320" w:lineRule="atLeast"/>
              <w:ind w:left="60" w:right="60"/>
              <w:jc w:val="right"/>
              <w:rPr>
                <w:color w:val="010205"/>
                <w:sz w:val="18"/>
              </w:rPr>
            </w:pPr>
            <w:r w:rsidRPr="006A1EC7">
              <w:rPr>
                <w:color w:val="010205"/>
                <w:sz w:val="18"/>
              </w:rPr>
              <w:t>-.226</w:t>
            </w:r>
          </w:p>
        </w:tc>
        <w:tc>
          <w:tcPr>
            <w:tcW w:w="1696" w:type="dxa"/>
            <w:gridSpan w:val="2"/>
            <w:tcBorders>
              <w:top w:val="single" w:sz="8" w:space="0" w:color="152935"/>
              <w:left w:val="single" w:sz="8" w:space="0" w:color="E0E0E0"/>
              <w:bottom w:val="single" w:sz="8" w:space="0" w:color="152935"/>
              <w:right w:val="single" w:sz="8" w:space="0" w:color="E0E0E0"/>
            </w:tcBorders>
            <w:shd w:val="clear" w:color="auto" w:fill="FFFFFF"/>
          </w:tcPr>
          <w:p w14:paraId="375C25E5" w14:textId="77777777" w:rsidR="0087601C" w:rsidRPr="006A1EC7" w:rsidRDefault="0087601C" w:rsidP="00D56051">
            <w:pPr>
              <w:spacing w:line="320" w:lineRule="atLeast"/>
              <w:ind w:left="60" w:right="60"/>
              <w:jc w:val="right"/>
              <w:rPr>
                <w:color w:val="010205"/>
                <w:sz w:val="18"/>
              </w:rPr>
            </w:pPr>
            <w:r w:rsidRPr="006A1EC7">
              <w:rPr>
                <w:color w:val="010205"/>
                <w:sz w:val="18"/>
              </w:rPr>
              <w:t>-.52</w:t>
            </w:r>
          </w:p>
        </w:tc>
        <w:tc>
          <w:tcPr>
            <w:tcW w:w="1696" w:type="dxa"/>
            <w:tcBorders>
              <w:top w:val="single" w:sz="8" w:space="0" w:color="152935"/>
              <w:left w:val="single" w:sz="8" w:space="0" w:color="E0E0E0"/>
              <w:bottom w:val="single" w:sz="8" w:space="0" w:color="152935"/>
              <w:right w:val="nil"/>
            </w:tcBorders>
            <w:shd w:val="clear" w:color="auto" w:fill="FFFFFF"/>
          </w:tcPr>
          <w:p w14:paraId="65268DCB" w14:textId="77777777" w:rsidR="0087601C" w:rsidRPr="006A1EC7" w:rsidRDefault="0087601C" w:rsidP="00D56051">
            <w:pPr>
              <w:spacing w:line="320" w:lineRule="atLeast"/>
              <w:ind w:left="60" w:right="60"/>
              <w:jc w:val="right"/>
              <w:rPr>
                <w:color w:val="010205"/>
                <w:sz w:val="18"/>
              </w:rPr>
            </w:pPr>
            <w:r w:rsidRPr="006A1EC7">
              <w:rPr>
                <w:color w:val="010205"/>
                <w:sz w:val="18"/>
              </w:rPr>
              <w:t>.07</w:t>
            </w:r>
          </w:p>
        </w:tc>
      </w:tr>
    </w:tbl>
    <w:p w14:paraId="7C0C5FED" w14:textId="77777777" w:rsidR="0087601C" w:rsidRPr="006A1EC7" w:rsidRDefault="0087601C" w:rsidP="0087601C">
      <w:pPr>
        <w:spacing w:line="400" w:lineRule="atLeast"/>
        <w:rPr>
          <w:sz w:val="18"/>
        </w:rPr>
      </w:pPr>
    </w:p>
    <w:tbl>
      <w:tblPr>
        <w:tblW w:w="8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4"/>
        <w:gridCol w:w="1277"/>
        <w:gridCol w:w="1277"/>
        <w:gridCol w:w="1830"/>
        <w:gridCol w:w="1830"/>
      </w:tblGrid>
      <w:tr w:rsidR="0087601C" w:rsidRPr="006A1EC7" w14:paraId="0C81C30B" w14:textId="77777777" w:rsidTr="00D56051">
        <w:trPr>
          <w:cantSplit/>
        </w:trPr>
        <w:tc>
          <w:tcPr>
            <w:tcW w:w="1964" w:type="dxa"/>
            <w:tcBorders>
              <w:top w:val="nil"/>
              <w:left w:val="nil"/>
              <w:bottom w:val="single" w:sz="8" w:space="0" w:color="152935"/>
              <w:right w:val="nil"/>
            </w:tcBorders>
            <w:shd w:val="clear" w:color="auto" w:fill="FFFFFF"/>
            <w:vAlign w:val="bottom"/>
          </w:tcPr>
          <w:p w14:paraId="01C9013C" w14:textId="77777777" w:rsidR="0087601C" w:rsidRPr="006A1EC7" w:rsidRDefault="0087601C" w:rsidP="00D56051">
            <w:pPr>
              <w:rPr>
                <w:sz w:val="18"/>
              </w:rPr>
            </w:pPr>
          </w:p>
        </w:tc>
        <w:tc>
          <w:tcPr>
            <w:tcW w:w="1277" w:type="dxa"/>
            <w:tcBorders>
              <w:top w:val="nil"/>
              <w:left w:val="nil"/>
              <w:bottom w:val="single" w:sz="8" w:space="0" w:color="152935"/>
              <w:right w:val="single" w:sz="8" w:space="0" w:color="E0E0E0"/>
            </w:tcBorders>
            <w:shd w:val="clear" w:color="auto" w:fill="FFFFFF"/>
            <w:vAlign w:val="bottom"/>
          </w:tcPr>
          <w:p w14:paraId="17411146"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36405FEF"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tcBorders>
              <w:top w:val="nil"/>
              <w:left w:val="single" w:sz="8" w:space="0" w:color="E0E0E0"/>
              <w:bottom w:val="single" w:sz="8" w:space="0" w:color="152935"/>
              <w:right w:val="single" w:sz="8" w:space="0" w:color="E0E0E0"/>
            </w:tcBorders>
            <w:shd w:val="clear" w:color="auto" w:fill="FFFFFF"/>
            <w:vAlign w:val="bottom"/>
          </w:tcPr>
          <w:p w14:paraId="5EAD1276"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tcBorders>
              <w:top w:val="nil"/>
              <w:left w:val="single" w:sz="8" w:space="0" w:color="E0E0E0"/>
              <w:bottom w:val="single" w:sz="8" w:space="0" w:color="152935"/>
              <w:right w:val="nil"/>
            </w:tcBorders>
            <w:shd w:val="clear" w:color="auto" w:fill="FFFFFF"/>
            <w:vAlign w:val="bottom"/>
          </w:tcPr>
          <w:p w14:paraId="30AA3360"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01DC13BB" w14:textId="77777777" w:rsidTr="00D56051">
        <w:trPr>
          <w:cantSplit/>
        </w:trPr>
        <w:tc>
          <w:tcPr>
            <w:tcW w:w="1964" w:type="dxa"/>
            <w:tcBorders>
              <w:top w:val="single" w:sz="8" w:space="0" w:color="152935"/>
              <w:left w:val="nil"/>
              <w:bottom w:val="single" w:sz="8" w:space="0" w:color="152935"/>
              <w:right w:val="nil"/>
            </w:tcBorders>
            <w:shd w:val="clear" w:color="auto" w:fill="E0E0E0"/>
          </w:tcPr>
          <w:p w14:paraId="69243650" w14:textId="77777777" w:rsidR="0087601C" w:rsidRPr="006A1EC7" w:rsidRDefault="0087601C" w:rsidP="00D56051">
            <w:pPr>
              <w:spacing w:line="320" w:lineRule="atLeast"/>
              <w:ind w:left="60" w:right="60"/>
              <w:rPr>
                <w:color w:val="264A60"/>
                <w:sz w:val="18"/>
              </w:rPr>
            </w:pPr>
            <w:r w:rsidRPr="006A1EC7">
              <w:rPr>
                <w:color w:val="264A60"/>
                <w:sz w:val="18"/>
              </w:rPr>
              <w:t>T1Emma_Func</w:t>
            </w:r>
          </w:p>
        </w:tc>
        <w:tc>
          <w:tcPr>
            <w:tcW w:w="1277" w:type="dxa"/>
            <w:tcBorders>
              <w:top w:val="single" w:sz="8" w:space="0" w:color="152935"/>
              <w:left w:val="nil"/>
              <w:bottom w:val="single" w:sz="8" w:space="0" w:color="152935"/>
              <w:right w:val="single" w:sz="8" w:space="0" w:color="E0E0E0"/>
            </w:tcBorders>
            <w:shd w:val="clear" w:color="auto" w:fill="FFFFFF"/>
          </w:tcPr>
          <w:p w14:paraId="2D44998B" w14:textId="77777777" w:rsidR="0087601C" w:rsidRPr="006A1EC7" w:rsidRDefault="0087601C" w:rsidP="00D56051">
            <w:pPr>
              <w:spacing w:line="320" w:lineRule="atLeast"/>
              <w:ind w:left="60" w:right="60"/>
              <w:jc w:val="right"/>
              <w:rPr>
                <w:color w:val="010205"/>
                <w:sz w:val="18"/>
              </w:rPr>
            </w:pPr>
            <w:r w:rsidRPr="006A1EC7">
              <w:rPr>
                <w:color w:val="010205"/>
                <w:sz w:val="18"/>
              </w:rPr>
              <w:t>16</w:t>
            </w:r>
          </w:p>
        </w:tc>
        <w:tc>
          <w:tcPr>
            <w:tcW w:w="1277" w:type="dxa"/>
            <w:tcBorders>
              <w:top w:val="single" w:sz="8" w:space="0" w:color="152935"/>
              <w:left w:val="single" w:sz="8" w:space="0" w:color="E0E0E0"/>
              <w:bottom w:val="single" w:sz="8" w:space="0" w:color="152935"/>
              <w:right w:val="single" w:sz="8" w:space="0" w:color="E0E0E0"/>
            </w:tcBorders>
            <w:shd w:val="clear" w:color="auto" w:fill="FFFFFF"/>
          </w:tcPr>
          <w:p w14:paraId="3BC3345A" w14:textId="77777777" w:rsidR="0087601C" w:rsidRPr="006A1EC7" w:rsidRDefault="0087601C" w:rsidP="00D56051">
            <w:pPr>
              <w:spacing w:line="320" w:lineRule="atLeast"/>
              <w:ind w:left="60" w:right="60"/>
              <w:jc w:val="right"/>
              <w:rPr>
                <w:color w:val="010205"/>
                <w:sz w:val="18"/>
              </w:rPr>
            </w:pPr>
            <w:r w:rsidRPr="006A1EC7">
              <w:rPr>
                <w:color w:val="010205"/>
                <w:sz w:val="18"/>
              </w:rPr>
              <w:t>8.81</w:t>
            </w:r>
          </w:p>
        </w:tc>
        <w:tc>
          <w:tcPr>
            <w:tcW w:w="1830" w:type="dxa"/>
            <w:tcBorders>
              <w:top w:val="single" w:sz="8" w:space="0" w:color="152935"/>
              <w:left w:val="single" w:sz="8" w:space="0" w:color="E0E0E0"/>
              <w:bottom w:val="single" w:sz="8" w:space="0" w:color="152935"/>
              <w:right w:val="single" w:sz="8" w:space="0" w:color="E0E0E0"/>
            </w:tcBorders>
            <w:shd w:val="clear" w:color="auto" w:fill="FFFFFF"/>
          </w:tcPr>
          <w:p w14:paraId="4ABC25C7" w14:textId="77777777" w:rsidR="0087601C" w:rsidRPr="006A1EC7" w:rsidRDefault="0087601C" w:rsidP="00D56051">
            <w:pPr>
              <w:spacing w:line="320" w:lineRule="atLeast"/>
              <w:ind w:left="60" w:right="60"/>
              <w:jc w:val="right"/>
              <w:rPr>
                <w:color w:val="010205"/>
                <w:sz w:val="18"/>
              </w:rPr>
            </w:pPr>
            <w:r w:rsidRPr="006A1EC7">
              <w:rPr>
                <w:color w:val="010205"/>
                <w:sz w:val="18"/>
              </w:rPr>
              <w:t>2.639</w:t>
            </w:r>
          </w:p>
        </w:tc>
        <w:tc>
          <w:tcPr>
            <w:tcW w:w="1830" w:type="dxa"/>
            <w:tcBorders>
              <w:top w:val="single" w:sz="8" w:space="0" w:color="152935"/>
              <w:left w:val="single" w:sz="8" w:space="0" w:color="E0E0E0"/>
              <w:bottom w:val="single" w:sz="8" w:space="0" w:color="152935"/>
              <w:right w:val="nil"/>
            </w:tcBorders>
            <w:shd w:val="clear" w:color="auto" w:fill="FFFFFF"/>
          </w:tcPr>
          <w:p w14:paraId="2F022F44" w14:textId="77777777" w:rsidR="0087601C" w:rsidRPr="006A1EC7" w:rsidRDefault="0087601C" w:rsidP="00D56051">
            <w:pPr>
              <w:spacing w:line="320" w:lineRule="atLeast"/>
              <w:ind w:left="60" w:right="60"/>
              <w:jc w:val="right"/>
              <w:rPr>
                <w:color w:val="010205"/>
                <w:sz w:val="18"/>
              </w:rPr>
            </w:pPr>
            <w:r w:rsidRPr="006A1EC7">
              <w:rPr>
                <w:color w:val="010205"/>
                <w:sz w:val="18"/>
              </w:rPr>
              <w:t>.660</w:t>
            </w:r>
          </w:p>
        </w:tc>
      </w:tr>
    </w:tbl>
    <w:p w14:paraId="72EDA01B"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5"/>
        <w:gridCol w:w="1206"/>
        <w:gridCol w:w="1206"/>
        <w:gridCol w:w="1730"/>
        <w:gridCol w:w="1730"/>
        <w:gridCol w:w="1730"/>
        <w:gridCol w:w="1730"/>
      </w:tblGrid>
      <w:tr w:rsidR="0087601C" w:rsidRPr="006A1EC7" w14:paraId="041273D6" w14:textId="77777777" w:rsidTr="00D56051">
        <w:trPr>
          <w:cantSplit/>
        </w:trPr>
        <w:tc>
          <w:tcPr>
            <w:tcW w:w="11183" w:type="dxa"/>
            <w:gridSpan w:val="7"/>
            <w:tcBorders>
              <w:top w:val="nil"/>
              <w:left w:val="nil"/>
              <w:bottom w:val="nil"/>
              <w:right w:val="nil"/>
            </w:tcBorders>
            <w:shd w:val="clear" w:color="auto" w:fill="FFFFFF"/>
            <w:vAlign w:val="center"/>
          </w:tcPr>
          <w:p w14:paraId="21242E57" w14:textId="77777777" w:rsidR="0087601C" w:rsidRPr="006A1EC7" w:rsidRDefault="0087601C" w:rsidP="00D56051">
            <w:pPr>
              <w:spacing w:line="320" w:lineRule="atLeast"/>
              <w:ind w:right="60"/>
              <w:rPr>
                <w:color w:val="010205"/>
                <w:sz w:val="22"/>
                <w:szCs w:val="30"/>
              </w:rPr>
            </w:pPr>
          </w:p>
        </w:tc>
      </w:tr>
      <w:tr w:rsidR="0087601C" w:rsidRPr="006A1EC7" w14:paraId="4BBC050A" w14:textId="77777777" w:rsidTr="00D56051">
        <w:trPr>
          <w:cantSplit/>
        </w:trPr>
        <w:tc>
          <w:tcPr>
            <w:tcW w:w="1855" w:type="dxa"/>
            <w:vMerge w:val="restart"/>
            <w:tcBorders>
              <w:top w:val="nil"/>
              <w:left w:val="nil"/>
              <w:bottom w:val="nil"/>
              <w:right w:val="nil"/>
            </w:tcBorders>
            <w:shd w:val="clear" w:color="auto" w:fill="FFFFFF"/>
            <w:vAlign w:val="bottom"/>
          </w:tcPr>
          <w:p w14:paraId="52F27D02" w14:textId="77777777" w:rsidR="0087601C" w:rsidRPr="006A1EC7" w:rsidRDefault="0087601C" w:rsidP="00D56051">
            <w:pPr>
              <w:rPr>
                <w:sz w:val="18"/>
              </w:rPr>
            </w:pPr>
          </w:p>
        </w:tc>
        <w:tc>
          <w:tcPr>
            <w:tcW w:w="9328" w:type="dxa"/>
            <w:gridSpan w:val="6"/>
            <w:tcBorders>
              <w:top w:val="nil"/>
              <w:left w:val="nil"/>
              <w:bottom w:val="nil"/>
              <w:right w:val="nil"/>
            </w:tcBorders>
            <w:shd w:val="clear" w:color="auto" w:fill="FFFFFF"/>
            <w:vAlign w:val="bottom"/>
          </w:tcPr>
          <w:p w14:paraId="3BB28C45"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11</w:t>
            </w:r>
          </w:p>
        </w:tc>
      </w:tr>
      <w:tr w:rsidR="0087601C" w:rsidRPr="006A1EC7" w14:paraId="6AEAE782" w14:textId="77777777" w:rsidTr="00D56051">
        <w:trPr>
          <w:cantSplit/>
        </w:trPr>
        <w:tc>
          <w:tcPr>
            <w:tcW w:w="1855" w:type="dxa"/>
            <w:vMerge/>
            <w:tcBorders>
              <w:top w:val="nil"/>
              <w:left w:val="nil"/>
              <w:bottom w:val="nil"/>
              <w:right w:val="nil"/>
            </w:tcBorders>
            <w:shd w:val="clear" w:color="auto" w:fill="FFFFFF"/>
            <w:vAlign w:val="bottom"/>
          </w:tcPr>
          <w:p w14:paraId="071A1F89" w14:textId="77777777" w:rsidR="0087601C" w:rsidRPr="006A1EC7" w:rsidRDefault="0087601C" w:rsidP="00D56051">
            <w:pPr>
              <w:rPr>
                <w:color w:val="264A60"/>
                <w:sz w:val="18"/>
              </w:rPr>
            </w:pPr>
          </w:p>
        </w:tc>
        <w:tc>
          <w:tcPr>
            <w:tcW w:w="1206" w:type="dxa"/>
            <w:vMerge w:val="restart"/>
            <w:tcBorders>
              <w:top w:val="nil"/>
              <w:left w:val="nil"/>
              <w:bottom w:val="nil"/>
              <w:right w:val="single" w:sz="8" w:space="0" w:color="E0E0E0"/>
            </w:tcBorders>
            <w:shd w:val="clear" w:color="auto" w:fill="FFFFFF"/>
            <w:vAlign w:val="bottom"/>
          </w:tcPr>
          <w:p w14:paraId="10388884"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06" w:type="dxa"/>
            <w:vMerge w:val="restart"/>
            <w:tcBorders>
              <w:top w:val="nil"/>
              <w:left w:val="single" w:sz="8" w:space="0" w:color="E0E0E0"/>
              <w:bottom w:val="nil"/>
              <w:right w:val="single" w:sz="8" w:space="0" w:color="E0E0E0"/>
            </w:tcBorders>
            <w:shd w:val="clear" w:color="auto" w:fill="FFFFFF"/>
            <w:vAlign w:val="bottom"/>
          </w:tcPr>
          <w:p w14:paraId="63D9D6D7"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29" w:type="dxa"/>
            <w:vMerge w:val="restart"/>
            <w:tcBorders>
              <w:top w:val="nil"/>
              <w:left w:val="single" w:sz="8" w:space="0" w:color="E0E0E0"/>
              <w:bottom w:val="nil"/>
              <w:right w:val="single" w:sz="8" w:space="0" w:color="E0E0E0"/>
            </w:tcBorders>
            <w:shd w:val="clear" w:color="auto" w:fill="FFFFFF"/>
            <w:vAlign w:val="bottom"/>
          </w:tcPr>
          <w:p w14:paraId="3713DA5C"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29" w:type="dxa"/>
            <w:vMerge w:val="restart"/>
            <w:tcBorders>
              <w:top w:val="nil"/>
              <w:left w:val="single" w:sz="8" w:space="0" w:color="E0E0E0"/>
              <w:bottom w:val="nil"/>
              <w:right w:val="single" w:sz="8" w:space="0" w:color="E0E0E0"/>
            </w:tcBorders>
            <w:shd w:val="clear" w:color="auto" w:fill="FFFFFF"/>
            <w:vAlign w:val="bottom"/>
          </w:tcPr>
          <w:p w14:paraId="0FACD69D"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58" w:type="dxa"/>
            <w:gridSpan w:val="2"/>
            <w:tcBorders>
              <w:top w:val="nil"/>
              <w:left w:val="single" w:sz="8" w:space="0" w:color="E0E0E0"/>
              <w:bottom w:val="nil"/>
              <w:right w:val="nil"/>
            </w:tcBorders>
            <w:shd w:val="clear" w:color="auto" w:fill="FFFFFF"/>
            <w:vAlign w:val="bottom"/>
          </w:tcPr>
          <w:p w14:paraId="74B1FAAE"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72BFBA3E" w14:textId="77777777" w:rsidTr="00D56051">
        <w:trPr>
          <w:cantSplit/>
        </w:trPr>
        <w:tc>
          <w:tcPr>
            <w:tcW w:w="1855" w:type="dxa"/>
            <w:vMerge/>
            <w:tcBorders>
              <w:top w:val="nil"/>
              <w:left w:val="nil"/>
              <w:bottom w:val="nil"/>
              <w:right w:val="nil"/>
            </w:tcBorders>
            <w:shd w:val="clear" w:color="auto" w:fill="FFFFFF"/>
            <w:vAlign w:val="bottom"/>
          </w:tcPr>
          <w:p w14:paraId="50C061A2" w14:textId="77777777" w:rsidR="0087601C" w:rsidRPr="006A1EC7" w:rsidRDefault="0087601C" w:rsidP="00D56051">
            <w:pPr>
              <w:rPr>
                <w:color w:val="264A60"/>
                <w:sz w:val="18"/>
              </w:rPr>
            </w:pPr>
          </w:p>
        </w:tc>
        <w:tc>
          <w:tcPr>
            <w:tcW w:w="1206" w:type="dxa"/>
            <w:vMerge/>
            <w:tcBorders>
              <w:top w:val="nil"/>
              <w:left w:val="nil"/>
              <w:bottom w:val="nil"/>
              <w:right w:val="single" w:sz="8" w:space="0" w:color="E0E0E0"/>
            </w:tcBorders>
            <w:shd w:val="clear" w:color="auto" w:fill="FFFFFF"/>
            <w:vAlign w:val="bottom"/>
          </w:tcPr>
          <w:p w14:paraId="7F6E63FB" w14:textId="77777777" w:rsidR="0087601C" w:rsidRPr="006A1EC7" w:rsidRDefault="0087601C" w:rsidP="00D56051">
            <w:pPr>
              <w:rPr>
                <w:color w:val="264A60"/>
                <w:sz w:val="18"/>
              </w:rPr>
            </w:pPr>
          </w:p>
        </w:tc>
        <w:tc>
          <w:tcPr>
            <w:tcW w:w="1206" w:type="dxa"/>
            <w:vMerge/>
            <w:tcBorders>
              <w:top w:val="nil"/>
              <w:left w:val="single" w:sz="8" w:space="0" w:color="E0E0E0"/>
              <w:bottom w:val="nil"/>
              <w:right w:val="single" w:sz="8" w:space="0" w:color="E0E0E0"/>
            </w:tcBorders>
            <w:shd w:val="clear" w:color="auto" w:fill="FFFFFF"/>
            <w:vAlign w:val="bottom"/>
          </w:tcPr>
          <w:p w14:paraId="48FE961C" w14:textId="77777777" w:rsidR="0087601C" w:rsidRPr="006A1EC7" w:rsidRDefault="0087601C" w:rsidP="00D56051">
            <w:pPr>
              <w:rPr>
                <w:color w:val="264A60"/>
                <w:sz w:val="18"/>
              </w:rPr>
            </w:pPr>
          </w:p>
        </w:tc>
        <w:tc>
          <w:tcPr>
            <w:tcW w:w="1729" w:type="dxa"/>
            <w:vMerge/>
            <w:tcBorders>
              <w:top w:val="nil"/>
              <w:left w:val="single" w:sz="8" w:space="0" w:color="E0E0E0"/>
              <w:bottom w:val="nil"/>
              <w:right w:val="single" w:sz="8" w:space="0" w:color="E0E0E0"/>
            </w:tcBorders>
            <w:shd w:val="clear" w:color="auto" w:fill="FFFFFF"/>
            <w:vAlign w:val="bottom"/>
          </w:tcPr>
          <w:p w14:paraId="69D188CF" w14:textId="77777777" w:rsidR="0087601C" w:rsidRPr="006A1EC7" w:rsidRDefault="0087601C" w:rsidP="00D56051">
            <w:pPr>
              <w:rPr>
                <w:color w:val="264A60"/>
                <w:sz w:val="18"/>
              </w:rPr>
            </w:pPr>
          </w:p>
        </w:tc>
        <w:tc>
          <w:tcPr>
            <w:tcW w:w="1729" w:type="dxa"/>
            <w:vMerge/>
            <w:tcBorders>
              <w:top w:val="nil"/>
              <w:left w:val="single" w:sz="8" w:space="0" w:color="E0E0E0"/>
              <w:bottom w:val="nil"/>
              <w:right w:val="single" w:sz="8" w:space="0" w:color="E0E0E0"/>
            </w:tcBorders>
            <w:shd w:val="clear" w:color="auto" w:fill="FFFFFF"/>
            <w:vAlign w:val="bottom"/>
          </w:tcPr>
          <w:p w14:paraId="267A68D5" w14:textId="77777777" w:rsidR="0087601C" w:rsidRPr="006A1EC7" w:rsidRDefault="0087601C" w:rsidP="00D56051">
            <w:pPr>
              <w:rPr>
                <w:color w:val="264A60"/>
                <w:sz w:val="18"/>
              </w:rPr>
            </w:pPr>
          </w:p>
        </w:tc>
        <w:tc>
          <w:tcPr>
            <w:tcW w:w="1729" w:type="dxa"/>
            <w:tcBorders>
              <w:top w:val="nil"/>
              <w:left w:val="single" w:sz="8" w:space="0" w:color="E0E0E0"/>
              <w:bottom w:val="single" w:sz="8" w:space="0" w:color="152935"/>
              <w:right w:val="single" w:sz="8" w:space="0" w:color="E0E0E0"/>
            </w:tcBorders>
            <w:shd w:val="clear" w:color="auto" w:fill="FFFFFF"/>
            <w:vAlign w:val="bottom"/>
          </w:tcPr>
          <w:p w14:paraId="411481FB"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29" w:type="dxa"/>
            <w:tcBorders>
              <w:top w:val="nil"/>
              <w:left w:val="single" w:sz="8" w:space="0" w:color="E0E0E0"/>
              <w:bottom w:val="single" w:sz="8" w:space="0" w:color="152935"/>
              <w:right w:val="nil"/>
            </w:tcBorders>
            <w:shd w:val="clear" w:color="auto" w:fill="FFFFFF"/>
            <w:vAlign w:val="bottom"/>
          </w:tcPr>
          <w:p w14:paraId="4ACB426A"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61037249" w14:textId="77777777" w:rsidTr="00D56051">
        <w:trPr>
          <w:cantSplit/>
        </w:trPr>
        <w:tc>
          <w:tcPr>
            <w:tcW w:w="1855" w:type="dxa"/>
            <w:tcBorders>
              <w:top w:val="single" w:sz="8" w:space="0" w:color="152935"/>
              <w:left w:val="nil"/>
              <w:bottom w:val="single" w:sz="8" w:space="0" w:color="152935"/>
              <w:right w:val="nil"/>
            </w:tcBorders>
            <w:shd w:val="clear" w:color="auto" w:fill="E0E0E0"/>
          </w:tcPr>
          <w:p w14:paraId="4058BF47" w14:textId="77777777" w:rsidR="0087601C" w:rsidRPr="006A1EC7" w:rsidRDefault="0087601C" w:rsidP="00D56051">
            <w:pPr>
              <w:spacing w:line="320" w:lineRule="atLeast"/>
              <w:ind w:left="60" w:right="60"/>
              <w:rPr>
                <w:color w:val="264A60"/>
                <w:sz w:val="18"/>
              </w:rPr>
            </w:pPr>
            <w:r w:rsidRPr="006A1EC7">
              <w:rPr>
                <w:color w:val="264A60"/>
                <w:sz w:val="18"/>
              </w:rPr>
              <w:t>T1Emma_Func</w:t>
            </w:r>
          </w:p>
        </w:tc>
        <w:tc>
          <w:tcPr>
            <w:tcW w:w="1206" w:type="dxa"/>
            <w:tcBorders>
              <w:top w:val="single" w:sz="8" w:space="0" w:color="152935"/>
              <w:left w:val="nil"/>
              <w:bottom w:val="single" w:sz="8" w:space="0" w:color="152935"/>
              <w:right w:val="single" w:sz="8" w:space="0" w:color="E0E0E0"/>
            </w:tcBorders>
            <w:shd w:val="clear" w:color="auto" w:fill="FFFFFF"/>
          </w:tcPr>
          <w:p w14:paraId="27AEF038" w14:textId="77777777" w:rsidR="0087601C" w:rsidRPr="006A1EC7" w:rsidRDefault="0087601C" w:rsidP="00D56051">
            <w:pPr>
              <w:spacing w:line="320" w:lineRule="atLeast"/>
              <w:ind w:left="60" w:right="60"/>
              <w:jc w:val="right"/>
              <w:rPr>
                <w:color w:val="010205"/>
                <w:sz w:val="18"/>
              </w:rPr>
            </w:pPr>
            <w:r w:rsidRPr="006A1EC7">
              <w:rPr>
                <w:color w:val="010205"/>
                <w:sz w:val="18"/>
              </w:rPr>
              <w:t>-3.316</w:t>
            </w:r>
          </w:p>
        </w:tc>
        <w:tc>
          <w:tcPr>
            <w:tcW w:w="1206" w:type="dxa"/>
            <w:tcBorders>
              <w:top w:val="single" w:sz="8" w:space="0" w:color="152935"/>
              <w:left w:val="single" w:sz="8" w:space="0" w:color="E0E0E0"/>
              <w:bottom w:val="single" w:sz="8" w:space="0" w:color="152935"/>
              <w:right w:val="single" w:sz="8" w:space="0" w:color="E0E0E0"/>
            </w:tcBorders>
            <w:shd w:val="clear" w:color="auto" w:fill="FFFFFF"/>
          </w:tcPr>
          <w:p w14:paraId="7D425D9F" w14:textId="77777777" w:rsidR="0087601C" w:rsidRPr="006A1EC7" w:rsidRDefault="0087601C" w:rsidP="00D56051">
            <w:pPr>
              <w:spacing w:line="320" w:lineRule="atLeast"/>
              <w:ind w:left="60" w:right="60"/>
              <w:jc w:val="right"/>
              <w:rPr>
                <w:color w:val="010205"/>
                <w:sz w:val="18"/>
              </w:rPr>
            </w:pPr>
            <w:r w:rsidRPr="006A1EC7">
              <w:rPr>
                <w:color w:val="010205"/>
                <w:sz w:val="18"/>
              </w:rPr>
              <w:t>15</w:t>
            </w:r>
          </w:p>
        </w:tc>
        <w:tc>
          <w:tcPr>
            <w:tcW w:w="1729" w:type="dxa"/>
            <w:tcBorders>
              <w:top w:val="single" w:sz="8" w:space="0" w:color="152935"/>
              <w:left w:val="single" w:sz="8" w:space="0" w:color="E0E0E0"/>
              <w:bottom w:val="single" w:sz="8" w:space="0" w:color="152935"/>
              <w:right w:val="single" w:sz="8" w:space="0" w:color="E0E0E0"/>
            </w:tcBorders>
            <w:shd w:val="clear" w:color="auto" w:fill="FFFFFF"/>
          </w:tcPr>
          <w:p w14:paraId="760E8F53" w14:textId="77777777" w:rsidR="0087601C" w:rsidRPr="006A1EC7" w:rsidRDefault="0087601C" w:rsidP="00D56051">
            <w:pPr>
              <w:spacing w:line="320" w:lineRule="atLeast"/>
              <w:ind w:left="60" w:right="60"/>
              <w:jc w:val="right"/>
              <w:rPr>
                <w:color w:val="010205"/>
                <w:sz w:val="18"/>
              </w:rPr>
            </w:pPr>
            <w:r w:rsidRPr="006A1EC7">
              <w:rPr>
                <w:color w:val="010205"/>
                <w:sz w:val="18"/>
              </w:rPr>
              <w:t>.005</w:t>
            </w:r>
          </w:p>
        </w:tc>
        <w:tc>
          <w:tcPr>
            <w:tcW w:w="1729" w:type="dxa"/>
            <w:tcBorders>
              <w:top w:val="single" w:sz="8" w:space="0" w:color="152935"/>
              <w:left w:val="single" w:sz="8" w:space="0" w:color="E0E0E0"/>
              <w:bottom w:val="single" w:sz="8" w:space="0" w:color="152935"/>
              <w:right w:val="single" w:sz="8" w:space="0" w:color="E0E0E0"/>
            </w:tcBorders>
            <w:shd w:val="clear" w:color="auto" w:fill="FFFFFF"/>
          </w:tcPr>
          <w:p w14:paraId="279D5904" w14:textId="77777777" w:rsidR="0087601C" w:rsidRPr="006A1EC7" w:rsidRDefault="0087601C" w:rsidP="00D56051">
            <w:pPr>
              <w:spacing w:line="320" w:lineRule="atLeast"/>
              <w:ind w:left="60" w:right="60"/>
              <w:jc w:val="right"/>
              <w:rPr>
                <w:color w:val="010205"/>
                <w:sz w:val="18"/>
              </w:rPr>
            </w:pPr>
            <w:r w:rsidRPr="006A1EC7">
              <w:rPr>
                <w:color w:val="010205"/>
                <w:sz w:val="18"/>
              </w:rPr>
              <w:t>-2.188</w:t>
            </w:r>
          </w:p>
        </w:tc>
        <w:tc>
          <w:tcPr>
            <w:tcW w:w="1729" w:type="dxa"/>
            <w:tcBorders>
              <w:top w:val="single" w:sz="8" w:space="0" w:color="152935"/>
              <w:left w:val="single" w:sz="8" w:space="0" w:color="E0E0E0"/>
              <w:bottom w:val="single" w:sz="8" w:space="0" w:color="152935"/>
              <w:right w:val="single" w:sz="8" w:space="0" w:color="E0E0E0"/>
            </w:tcBorders>
            <w:shd w:val="clear" w:color="auto" w:fill="FFFFFF"/>
          </w:tcPr>
          <w:p w14:paraId="5A6CBDA7" w14:textId="77777777" w:rsidR="0087601C" w:rsidRPr="006A1EC7" w:rsidRDefault="0087601C" w:rsidP="00D56051">
            <w:pPr>
              <w:spacing w:line="320" w:lineRule="atLeast"/>
              <w:ind w:left="60" w:right="60"/>
              <w:jc w:val="right"/>
              <w:rPr>
                <w:color w:val="010205"/>
                <w:sz w:val="18"/>
              </w:rPr>
            </w:pPr>
            <w:r w:rsidRPr="006A1EC7">
              <w:rPr>
                <w:color w:val="010205"/>
                <w:sz w:val="18"/>
              </w:rPr>
              <w:t>-3.59</w:t>
            </w:r>
          </w:p>
        </w:tc>
        <w:tc>
          <w:tcPr>
            <w:tcW w:w="1729" w:type="dxa"/>
            <w:tcBorders>
              <w:top w:val="single" w:sz="8" w:space="0" w:color="152935"/>
              <w:left w:val="single" w:sz="8" w:space="0" w:color="E0E0E0"/>
              <w:bottom w:val="single" w:sz="8" w:space="0" w:color="152935"/>
              <w:right w:val="nil"/>
            </w:tcBorders>
            <w:shd w:val="clear" w:color="auto" w:fill="FFFFFF"/>
          </w:tcPr>
          <w:p w14:paraId="18B48949" w14:textId="77777777" w:rsidR="0087601C" w:rsidRPr="006A1EC7" w:rsidRDefault="0087601C" w:rsidP="00D56051">
            <w:pPr>
              <w:spacing w:line="320" w:lineRule="atLeast"/>
              <w:ind w:left="60" w:right="60"/>
              <w:jc w:val="right"/>
              <w:rPr>
                <w:color w:val="010205"/>
                <w:sz w:val="18"/>
              </w:rPr>
            </w:pPr>
            <w:r w:rsidRPr="006A1EC7">
              <w:rPr>
                <w:color w:val="010205"/>
                <w:sz w:val="18"/>
              </w:rPr>
              <w:t>-.78</w:t>
            </w:r>
          </w:p>
        </w:tc>
      </w:tr>
    </w:tbl>
    <w:p w14:paraId="5C444045"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1"/>
        <w:gridCol w:w="120"/>
        <w:gridCol w:w="1081"/>
        <w:gridCol w:w="196"/>
        <w:gridCol w:w="1005"/>
        <w:gridCol w:w="272"/>
        <w:gridCol w:w="1449"/>
        <w:gridCol w:w="381"/>
        <w:gridCol w:w="1340"/>
        <w:gridCol w:w="490"/>
        <w:gridCol w:w="1231"/>
        <w:gridCol w:w="1721"/>
      </w:tblGrid>
      <w:tr w:rsidR="0087601C" w:rsidRPr="006A1EC7" w14:paraId="7CFF878C" w14:textId="77777777" w:rsidTr="00D56051">
        <w:trPr>
          <w:gridAfter w:val="2"/>
          <w:wAfter w:w="2952" w:type="dxa"/>
          <w:cantSplit/>
        </w:trPr>
        <w:tc>
          <w:tcPr>
            <w:tcW w:w="2021" w:type="dxa"/>
            <w:gridSpan w:val="2"/>
            <w:tcBorders>
              <w:top w:val="nil"/>
              <w:left w:val="nil"/>
              <w:bottom w:val="single" w:sz="8" w:space="0" w:color="152935"/>
              <w:right w:val="nil"/>
            </w:tcBorders>
            <w:shd w:val="clear" w:color="auto" w:fill="FFFFFF"/>
            <w:vAlign w:val="bottom"/>
          </w:tcPr>
          <w:p w14:paraId="41628A88" w14:textId="77777777" w:rsidR="0087601C" w:rsidRPr="006A1EC7" w:rsidRDefault="0087601C" w:rsidP="00D56051">
            <w:pPr>
              <w:rPr>
                <w:sz w:val="18"/>
              </w:rPr>
            </w:pPr>
          </w:p>
        </w:tc>
        <w:tc>
          <w:tcPr>
            <w:tcW w:w="1277" w:type="dxa"/>
            <w:gridSpan w:val="2"/>
            <w:tcBorders>
              <w:top w:val="nil"/>
              <w:left w:val="nil"/>
              <w:bottom w:val="single" w:sz="8" w:space="0" w:color="152935"/>
              <w:right w:val="single" w:sz="8" w:space="0" w:color="E0E0E0"/>
            </w:tcBorders>
            <w:shd w:val="clear" w:color="auto" w:fill="FFFFFF"/>
            <w:vAlign w:val="bottom"/>
          </w:tcPr>
          <w:p w14:paraId="7C6959B8"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gridSpan w:val="2"/>
            <w:tcBorders>
              <w:top w:val="nil"/>
              <w:left w:val="single" w:sz="8" w:space="0" w:color="E0E0E0"/>
              <w:bottom w:val="single" w:sz="8" w:space="0" w:color="152935"/>
              <w:right w:val="single" w:sz="8" w:space="0" w:color="E0E0E0"/>
            </w:tcBorders>
            <w:shd w:val="clear" w:color="auto" w:fill="FFFFFF"/>
            <w:vAlign w:val="bottom"/>
          </w:tcPr>
          <w:p w14:paraId="70A3F1A2"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gridSpan w:val="2"/>
            <w:tcBorders>
              <w:top w:val="nil"/>
              <w:left w:val="single" w:sz="8" w:space="0" w:color="E0E0E0"/>
              <w:bottom w:val="single" w:sz="8" w:space="0" w:color="152935"/>
              <w:right w:val="single" w:sz="8" w:space="0" w:color="E0E0E0"/>
            </w:tcBorders>
            <w:shd w:val="clear" w:color="auto" w:fill="FFFFFF"/>
            <w:vAlign w:val="bottom"/>
          </w:tcPr>
          <w:p w14:paraId="5C79D58D"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gridSpan w:val="2"/>
            <w:tcBorders>
              <w:top w:val="nil"/>
              <w:left w:val="single" w:sz="8" w:space="0" w:color="E0E0E0"/>
              <w:bottom w:val="single" w:sz="8" w:space="0" w:color="152935"/>
              <w:right w:val="nil"/>
            </w:tcBorders>
            <w:shd w:val="clear" w:color="auto" w:fill="FFFFFF"/>
            <w:vAlign w:val="bottom"/>
          </w:tcPr>
          <w:p w14:paraId="49026C3F"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08B1B9AF" w14:textId="77777777" w:rsidTr="00D56051">
        <w:trPr>
          <w:gridAfter w:val="2"/>
          <w:wAfter w:w="2952" w:type="dxa"/>
          <w:cantSplit/>
        </w:trPr>
        <w:tc>
          <w:tcPr>
            <w:tcW w:w="2021" w:type="dxa"/>
            <w:gridSpan w:val="2"/>
            <w:tcBorders>
              <w:top w:val="single" w:sz="8" w:space="0" w:color="152935"/>
              <w:left w:val="nil"/>
              <w:bottom w:val="single" w:sz="8" w:space="0" w:color="152935"/>
              <w:right w:val="nil"/>
            </w:tcBorders>
            <w:shd w:val="clear" w:color="auto" w:fill="E0E0E0"/>
          </w:tcPr>
          <w:p w14:paraId="71FFFDD1" w14:textId="77777777" w:rsidR="0087601C" w:rsidRPr="006A1EC7" w:rsidRDefault="0087601C" w:rsidP="00D56051">
            <w:pPr>
              <w:spacing w:line="320" w:lineRule="atLeast"/>
              <w:ind w:left="60" w:right="60"/>
              <w:rPr>
                <w:color w:val="264A60"/>
                <w:sz w:val="18"/>
              </w:rPr>
            </w:pPr>
            <w:r w:rsidRPr="006A1EC7">
              <w:rPr>
                <w:color w:val="264A60"/>
                <w:sz w:val="18"/>
              </w:rPr>
              <w:t>T1Emma_Total</w:t>
            </w:r>
          </w:p>
        </w:tc>
        <w:tc>
          <w:tcPr>
            <w:tcW w:w="1277" w:type="dxa"/>
            <w:gridSpan w:val="2"/>
            <w:tcBorders>
              <w:top w:val="single" w:sz="8" w:space="0" w:color="152935"/>
              <w:left w:val="nil"/>
              <w:bottom w:val="single" w:sz="8" w:space="0" w:color="152935"/>
              <w:right w:val="single" w:sz="8" w:space="0" w:color="E0E0E0"/>
            </w:tcBorders>
            <w:shd w:val="clear" w:color="auto" w:fill="FFFFFF"/>
          </w:tcPr>
          <w:p w14:paraId="04B933CA" w14:textId="77777777" w:rsidR="0087601C" w:rsidRPr="006A1EC7" w:rsidRDefault="0087601C" w:rsidP="00D56051">
            <w:pPr>
              <w:spacing w:line="320" w:lineRule="atLeast"/>
              <w:ind w:left="60" w:right="60"/>
              <w:jc w:val="right"/>
              <w:rPr>
                <w:color w:val="010205"/>
                <w:sz w:val="18"/>
              </w:rPr>
            </w:pPr>
            <w:r w:rsidRPr="006A1EC7">
              <w:rPr>
                <w:color w:val="010205"/>
                <w:sz w:val="18"/>
              </w:rPr>
              <w:t>12</w:t>
            </w:r>
          </w:p>
        </w:tc>
        <w:tc>
          <w:tcPr>
            <w:tcW w:w="1277" w:type="dxa"/>
            <w:gridSpan w:val="2"/>
            <w:tcBorders>
              <w:top w:val="single" w:sz="8" w:space="0" w:color="152935"/>
              <w:left w:val="single" w:sz="8" w:space="0" w:color="E0E0E0"/>
              <w:bottom w:val="single" w:sz="8" w:space="0" w:color="152935"/>
              <w:right w:val="single" w:sz="8" w:space="0" w:color="E0E0E0"/>
            </w:tcBorders>
            <w:shd w:val="clear" w:color="auto" w:fill="FFFFFF"/>
          </w:tcPr>
          <w:p w14:paraId="50047F69" w14:textId="77777777" w:rsidR="0087601C" w:rsidRPr="006A1EC7" w:rsidRDefault="0087601C" w:rsidP="00D56051">
            <w:pPr>
              <w:spacing w:line="320" w:lineRule="atLeast"/>
              <w:ind w:left="60" w:right="60"/>
              <w:jc w:val="right"/>
              <w:rPr>
                <w:color w:val="010205"/>
                <w:sz w:val="18"/>
              </w:rPr>
            </w:pPr>
            <w:r w:rsidRPr="006A1EC7">
              <w:rPr>
                <w:color w:val="010205"/>
                <w:sz w:val="18"/>
              </w:rPr>
              <w:t>51.08</w:t>
            </w:r>
          </w:p>
        </w:tc>
        <w:tc>
          <w:tcPr>
            <w:tcW w:w="1830" w:type="dxa"/>
            <w:gridSpan w:val="2"/>
            <w:tcBorders>
              <w:top w:val="single" w:sz="8" w:space="0" w:color="152935"/>
              <w:left w:val="single" w:sz="8" w:space="0" w:color="E0E0E0"/>
              <w:bottom w:val="single" w:sz="8" w:space="0" w:color="152935"/>
              <w:right w:val="single" w:sz="8" w:space="0" w:color="E0E0E0"/>
            </w:tcBorders>
            <w:shd w:val="clear" w:color="auto" w:fill="FFFFFF"/>
          </w:tcPr>
          <w:p w14:paraId="5798AD5E" w14:textId="77777777" w:rsidR="0087601C" w:rsidRPr="006A1EC7" w:rsidRDefault="0087601C" w:rsidP="00D56051">
            <w:pPr>
              <w:spacing w:line="320" w:lineRule="atLeast"/>
              <w:ind w:left="60" w:right="60"/>
              <w:jc w:val="right"/>
              <w:rPr>
                <w:color w:val="010205"/>
                <w:sz w:val="18"/>
              </w:rPr>
            </w:pPr>
            <w:r w:rsidRPr="006A1EC7">
              <w:rPr>
                <w:color w:val="010205"/>
                <w:sz w:val="18"/>
              </w:rPr>
              <w:t>5.977</w:t>
            </w:r>
          </w:p>
        </w:tc>
        <w:tc>
          <w:tcPr>
            <w:tcW w:w="1830" w:type="dxa"/>
            <w:gridSpan w:val="2"/>
            <w:tcBorders>
              <w:top w:val="single" w:sz="8" w:space="0" w:color="152935"/>
              <w:left w:val="single" w:sz="8" w:space="0" w:color="E0E0E0"/>
              <w:bottom w:val="single" w:sz="8" w:space="0" w:color="152935"/>
              <w:right w:val="nil"/>
            </w:tcBorders>
            <w:shd w:val="clear" w:color="auto" w:fill="FFFFFF"/>
          </w:tcPr>
          <w:p w14:paraId="173FE144" w14:textId="77777777" w:rsidR="0087601C" w:rsidRPr="006A1EC7" w:rsidRDefault="0087601C" w:rsidP="00D56051">
            <w:pPr>
              <w:spacing w:line="320" w:lineRule="atLeast"/>
              <w:ind w:left="60" w:right="60"/>
              <w:jc w:val="right"/>
              <w:rPr>
                <w:color w:val="010205"/>
                <w:sz w:val="18"/>
              </w:rPr>
            </w:pPr>
            <w:r w:rsidRPr="006A1EC7">
              <w:rPr>
                <w:color w:val="010205"/>
                <w:sz w:val="18"/>
              </w:rPr>
              <w:t>1.725</w:t>
            </w:r>
          </w:p>
        </w:tc>
      </w:tr>
      <w:tr w:rsidR="0087601C" w:rsidRPr="006A1EC7" w14:paraId="7EF5C3CD" w14:textId="77777777" w:rsidTr="00D56051">
        <w:trPr>
          <w:cantSplit/>
        </w:trPr>
        <w:tc>
          <w:tcPr>
            <w:tcW w:w="1901" w:type="dxa"/>
            <w:vMerge w:val="restart"/>
            <w:tcBorders>
              <w:top w:val="nil"/>
              <w:left w:val="nil"/>
              <w:bottom w:val="nil"/>
              <w:right w:val="nil"/>
            </w:tcBorders>
            <w:shd w:val="clear" w:color="auto" w:fill="FFFFFF"/>
            <w:vAlign w:val="bottom"/>
          </w:tcPr>
          <w:p w14:paraId="252D2918" w14:textId="77777777" w:rsidR="0087601C" w:rsidRPr="006A1EC7" w:rsidRDefault="0087601C" w:rsidP="00D56051">
            <w:pPr>
              <w:rPr>
                <w:sz w:val="18"/>
              </w:rPr>
            </w:pPr>
          </w:p>
        </w:tc>
        <w:tc>
          <w:tcPr>
            <w:tcW w:w="9286" w:type="dxa"/>
            <w:gridSpan w:val="11"/>
            <w:tcBorders>
              <w:top w:val="nil"/>
              <w:left w:val="nil"/>
              <w:bottom w:val="nil"/>
              <w:right w:val="nil"/>
            </w:tcBorders>
            <w:shd w:val="clear" w:color="auto" w:fill="FFFFFF"/>
            <w:vAlign w:val="bottom"/>
          </w:tcPr>
          <w:p w14:paraId="508E523D"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41</w:t>
            </w:r>
          </w:p>
        </w:tc>
      </w:tr>
      <w:tr w:rsidR="0087601C" w:rsidRPr="006A1EC7" w14:paraId="3076B16B" w14:textId="77777777" w:rsidTr="00D56051">
        <w:trPr>
          <w:cantSplit/>
        </w:trPr>
        <w:tc>
          <w:tcPr>
            <w:tcW w:w="1901" w:type="dxa"/>
            <w:vMerge/>
            <w:tcBorders>
              <w:top w:val="nil"/>
              <w:left w:val="nil"/>
              <w:bottom w:val="nil"/>
              <w:right w:val="nil"/>
            </w:tcBorders>
            <w:shd w:val="clear" w:color="auto" w:fill="FFFFFF"/>
            <w:vAlign w:val="bottom"/>
          </w:tcPr>
          <w:p w14:paraId="356580EA" w14:textId="77777777" w:rsidR="0087601C" w:rsidRPr="006A1EC7" w:rsidRDefault="0087601C" w:rsidP="00D56051">
            <w:pPr>
              <w:rPr>
                <w:color w:val="264A60"/>
                <w:sz w:val="18"/>
              </w:rPr>
            </w:pPr>
          </w:p>
        </w:tc>
        <w:tc>
          <w:tcPr>
            <w:tcW w:w="1201" w:type="dxa"/>
            <w:gridSpan w:val="2"/>
            <w:vMerge w:val="restart"/>
            <w:tcBorders>
              <w:top w:val="nil"/>
              <w:left w:val="nil"/>
              <w:bottom w:val="nil"/>
              <w:right w:val="single" w:sz="8" w:space="0" w:color="E0E0E0"/>
            </w:tcBorders>
            <w:shd w:val="clear" w:color="auto" w:fill="FFFFFF"/>
            <w:vAlign w:val="bottom"/>
          </w:tcPr>
          <w:p w14:paraId="120F6B26"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01" w:type="dxa"/>
            <w:gridSpan w:val="2"/>
            <w:vMerge w:val="restart"/>
            <w:tcBorders>
              <w:top w:val="nil"/>
              <w:left w:val="single" w:sz="8" w:space="0" w:color="E0E0E0"/>
              <w:bottom w:val="nil"/>
              <w:right w:val="single" w:sz="8" w:space="0" w:color="E0E0E0"/>
            </w:tcBorders>
            <w:shd w:val="clear" w:color="auto" w:fill="FFFFFF"/>
            <w:vAlign w:val="bottom"/>
          </w:tcPr>
          <w:p w14:paraId="748E57FC"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21" w:type="dxa"/>
            <w:gridSpan w:val="2"/>
            <w:vMerge w:val="restart"/>
            <w:tcBorders>
              <w:top w:val="nil"/>
              <w:left w:val="single" w:sz="8" w:space="0" w:color="E0E0E0"/>
              <w:bottom w:val="nil"/>
              <w:right w:val="single" w:sz="8" w:space="0" w:color="E0E0E0"/>
            </w:tcBorders>
            <w:shd w:val="clear" w:color="auto" w:fill="FFFFFF"/>
            <w:vAlign w:val="bottom"/>
          </w:tcPr>
          <w:p w14:paraId="13D24DD2"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21" w:type="dxa"/>
            <w:gridSpan w:val="2"/>
            <w:vMerge w:val="restart"/>
            <w:tcBorders>
              <w:top w:val="nil"/>
              <w:left w:val="single" w:sz="8" w:space="0" w:color="E0E0E0"/>
              <w:bottom w:val="nil"/>
              <w:right w:val="single" w:sz="8" w:space="0" w:color="E0E0E0"/>
            </w:tcBorders>
            <w:shd w:val="clear" w:color="auto" w:fill="FFFFFF"/>
            <w:vAlign w:val="bottom"/>
          </w:tcPr>
          <w:p w14:paraId="06001ABA"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42" w:type="dxa"/>
            <w:gridSpan w:val="3"/>
            <w:tcBorders>
              <w:top w:val="nil"/>
              <w:left w:val="single" w:sz="8" w:space="0" w:color="E0E0E0"/>
              <w:bottom w:val="nil"/>
              <w:right w:val="nil"/>
            </w:tcBorders>
            <w:shd w:val="clear" w:color="auto" w:fill="FFFFFF"/>
            <w:vAlign w:val="bottom"/>
          </w:tcPr>
          <w:p w14:paraId="4D0E1634"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6117D467" w14:textId="77777777" w:rsidTr="00D56051">
        <w:trPr>
          <w:cantSplit/>
        </w:trPr>
        <w:tc>
          <w:tcPr>
            <w:tcW w:w="1901" w:type="dxa"/>
            <w:vMerge/>
            <w:tcBorders>
              <w:top w:val="nil"/>
              <w:left w:val="nil"/>
              <w:bottom w:val="nil"/>
              <w:right w:val="nil"/>
            </w:tcBorders>
            <w:shd w:val="clear" w:color="auto" w:fill="FFFFFF"/>
            <w:vAlign w:val="bottom"/>
          </w:tcPr>
          <w:p w14:paraId="54811842" w14:textId="77777777" w:rsidR="0087601C" w:rsidRPr="006A1EC7" w:rsidRDefault="0087601C" w:rsidP="00D56051">
            <w:pPr>
              <w:rPr>
                <w:color w:val="264A60"/>
                <w:sz w:val="18"/>
              </w:rPr>
            </w:pPr>
          </w:p>
        </w:tc>
        <w:tc>
          <w:tcPr>
            <w:tcW w:w="1201" w:type="dxa"/>
            <w:gridSpan w:val="2"/>
            <w:vMerge/>
            <w:tcBorders>
              <w:top w:val="nil"/>
              <w:left w:val="nil"/>
              <w:bottom w:val="nil"/>
              <w:right w:val="single" w:sz="8" w:space="0" w:color="E0E0E0"/>
            </w:tcBorders>
            <w:shd w:val="clear" w:color="auto" w:fill="FFFFFF"/>
            <w:vAlign w:val="bottom"/>
          </w:tcPr>
          <w:p w14:paraId="778C7344" w14:textId="77777777" w:rsidR="0087601C" w:rsidRPr="006A1EC7" w:rsidRDefault="0087601C" w:rsidP="00D56051">
            <w:pPr>
              <w:rPr>
                <w:color w:val="264A60"/>
                <w:sz w:val="18"/>
              </w:rPr>
            </w:pPr>
          </w:p>
        </w:tc>
        <w:tc>
          <w:tcPr>
            <w:tcW w:w="1201" w:type="dxa"/>
            <w:gridSpan w:val="2"/>
            <w:vMerge/>
            <w:tcBorders>
              <w:top w:val="nil"/>
              <w:left w:val="single" w:sz="8" w:space="0" w:color="E0E0E0"/>
              <w:bottom w:val="nil"/>
              <w:right w:val="single" w:sz="8" w:space="0" w:color="E0E0E0"/>
            </w:tcBorders>
            <w:shd w:val="clear" w:color="auto" w:fill="FFFFFF"/>
            <w:vAlign w:val="bottom"/>
          </w:tcPr>
          <w:p w14:paraId="622EE8FE" w14:textId="77777777" w:rsidR="0087601C" w:rsidRPr="006A1EC7" w:rsidRDefault="0087601C" w:rsidP="00D56051">
            <w:pPr>
              <w:rPr>
                <w:color w:val="264A60"/>
                <w:sz w:val="18"/>
              </w:rPr>
            </w:pPr>
          </w:p>
        </w:tc>
        <w:tc>
          <w:tcPr>
            <w:tcW w:w="1721" w:type="dxa"/>
            <w:gridSpan w:val="2"/>
            <w:vMerge/>
            <w:tcBorders>
              <w:top w:val="nil"/>
              <w:left w:val="single" w:sz="8" w:space="0" w:color="E0E0E0"/>
              <w:bottom w:val="nil"/>
              <w:right w:val="single" w:sz="8" w:space="0" w:color="E0E0E0"/>
            </w:tcBorders>
            <w:shd w:val="clear" w:color="auto" w:fill="FFFFFF"/>
            <w:vAlign w:val="bottom"/>
          </w:tcPr>
          <w:p w14:paraId="3CAD4AB1" w14:textId="77777777" w:rsidR="0087601C" w:rsidRPr="006A1EC7" w:rsidRDefault="0087601C" w:rsidP="00D56051">
            <w:pPr>
              <w:rPr>
                <w:color w:val="264A60"/>
                <w:sz w:val="18"/>
              </w:rPr>
            </w:pPr>
          </w:p>
        </w:tc>
        <w:tc>
          <w:tcPr>
            <w:tcW w:w="1721" w:type="dxa"/>
            <w:gridSpan w:val="2"/>
            <w:vMerge/>
            <w:tcBorders>
              <w:top w:val="nil"/>
              <w:left w:val="single" w:sz="8" w:space="0" w:color="E0E0E0"/>
              <w:bottom w:val="nil"/>
              <w:right w:val="single" w:sz="8" w:space="0" w:color="E0E0E0"/>
            </w:tcBorders>
            <w:shd w:val="clear" w:color="auto" w:fill="FFFFFF"/>
            <w:vAlign w:val="bottom"/>
          </w:tcPr>
          <w:p w14:paraId="5F1729C9" w14:textId="77777777" w:rsidR="0087601C" w:rsidRPr="006A1EC7" w:rsidRDefault="0087601C" w:rsidP="00D56051">
            <w:pPr>
              <w:rPr>
                <w:color w:val="264A60"/>
                <w:sz w:val="18"/>
              </w:rPr>
            </w:pPr>
          </w:p>
        </w:tc>
        <w:tc>
          <w:tcPr>
            <w:tcW w:w="1721" w:type="dxa"/>
            <w:gridSpan w:val="2"/>
            <w:tcBorders>
              <w:top w:val="nil"/>
              <w:left w:val="single" w:sz="8" w:space="0" w:color="E0E0E0"/>
              <w:bottom w:val="single" w:sz="8" w:space="0" w:color="152935"/>
              <w:right w:val="single" w:sz="8" w:space="0" w:color="E0E0E0"/>
            </w:tcBorders>
            <w:shd w:val="clear" w:color="auto" w:fill="FFFFFF"/>
            <w:vAlign w:val="bottom"/>
          </w:tcPr>
          <w:p w14:paraId="16AAFAC9"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21" w:type="dxa"/>
            <w:tcBorders>
              <w:top w:val="nil"/>
              <w:left w:val="single" w:sz="8" w:space="0" w:color="E0E0E0"/>
              <w:bottom w:val="single" w:sz="8" w:space="0" w:color="152935"/>
              <w:right w:val="nil"/>
            </w:tcBorders>
            <w:shd w:val="clear" w:color="auto" w:fill="FFFFFF"/>
            <w:vAlign w:val="bottom"/>
          </w:tcPr>
          <w:p w14:paraId="3863A0AD"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735C5270" w14:textId="77777777" w:rsidTr="00D56051">
        <w:trPr>
          <w:cantSplit/>
        </w:trPr>
        <w:tc>
          <w:tcPr>
            <w:tcW w:w="1901" w:type="dxa"/>
            <w:tcBorders>
              <w:top w:val="single" w:sz="8" w:space="0" w:color="152935"/>
              <w:left w:val="nil"/>
              <w:bottom w:val="single" w:sz="8" w:space="0" w:color="152935"/>
              <w:right w:val="nil"/>
            </w:tcBorders>
            <w:shd w:val="clear" w:color="auto" w:fill="E0E0E0"/>
          </w:tcPr>
          <w:p w14:paraId="6A3C5F2A" w14:textId="77777777" w:rsidR="0087601C" w:rsidRPr="006A1EC7" w:rsidRDefault="0087601C" w:rsidP="00D56051">
            <w:pPr>
              <w:spacing w:line="320" w:lineRule="atLeast"/>
              <w:ind w:left="60" w:right="60"/>
              <w:rPr>
                <w:color w:val="264A60"/>
                <w:sz w:val="18"/>
              </w:rPr>
            </w:pPr>
            <w:r w:rsidRPr="006A1EC7">
              <w:rPr>
                <w:color w:val="264A60"/>
                <w:sz w:val="18"/>
              </w:rPr>
              <w:lastRenderedPageBreak/>
              <w:t>T1Emma_Total</w:t>
            </w:r>
          </w:p>
        </w:tc>
        <w:tc>
          <w:tcPr>
            <w:tcW w:w="1201" w:type="dxa"/>
            <w:gridSpan w:val="2"/>
            <w:tcBorders>
              <w:top w:val="single" w:sz="8" w:space="0" w:color="152935"/>
              <w:left w:val="nil"/>
              <w:bottom w:val="single" w:sz="8" w:space="0" w:color="152935"/>
              <w:right w:val="single" w:sz="8" w:space="0" w:color="E0E0E0"/>
            </w:tcBorders>
            <w:shd w:val="clear" w:color="auto" w:fill="FFFFFF"/>
          </w:tcPr>
          <w:p w14:paraId="291BAFBE" w14:textId="77777777" w:rsidR="0087601C" w:rsidRPr="006A1EC7" w:rsidRDefault="0087601C" w:rsidP="00D56051">
            <w:pPr>
              <w:spacing w:line="320" w:lineRule="atLeast"/>
              <w:ind w:left="60" w:right="60"/>
              <w:jc w:val="right"/>
              <w:rPr>
                <w:color w:val="010205"/>
                <w:sz w:val="18"/>
              </w:rPr>
            </w:pPr>
            <w:r w:rsidRPr="006A1EC7">
              <w:rPr>
                <w:color w:val="010205"/>
                <w:sz w:val="18"/>
              </w:rPr>
              <w:t>5.844</w:t>
            </w:r>
          </w:p>
        </w:tc>
        <w:tc>
          <w:tcPr>
            <w:tcW w:w="1201" w:type="dxa"/>
            <w:gridSpan w:val="2"/>
            <w:tcBorders>
              <w:top w:val="single" w:sz="8" w:space="0" w:color="152935"/>
              <w:left w:val="single" w:sz="8" w:space="0" w:color="E0E0E0"/>
              <w:bottom w:val="single" w:sz="8" w:space="0" w:color="152935"/>
              <w:right w:val="single" w:sz="8" w:space="0" w:color="E0E0E0"/>
            </w:tcBorders>
            <w:shd w:val="clear" w:color="auto" w:fill="FFFFFF"/>
          </w:tcPr>
          <w:p w14:paraId="2631CB91" w14:textId="77777777" w:rsidR="0087601C" w:rsidRPr="006A1EC7" w:rsidRDefault="0087601C" w:rsidP="00D56051">
            <w:pPr>
              <w:spacing w:line="320" w:lineRule="atLeast"/>
              <w:ind w:left="60" w:right="60"/>
              <w:jc w:val="right"/>
              <w:rPr>
                <w:color w:val="010205"/>
                <w:sz w:val="18"/>
              </w:rPr>
            </w:pPr>
            <w:r w:rsidRPr="006A1EC7">
              <w:rPr>
                <w:color w:val="010205"/>
                <w:sz w:val="18"/>
              </w:rPr>
              <w:t>11</w:t>
            </w:r>
          </w:p>
        </w:tc>
        <w:tc>
          <w:tcPr>
            <w:tcW w:w="1721" w:type="dxa"/>
            <w:gridSpan w:val="2"/>
            <w:tcBorders>
              <w:top w:val="single" w:sz="8" w:space="0" w:color="152935"/>
              <w:left w:val="single" w:sz="8" w:space="0" w:color="E0E0E0"/>
              <w:bottom w:val="single" w:sz="8" w:space="0" w:color="152935"/>
              <w:right w:val="single" w:sz="8" w:space="0" w:color="E0E0E0"/>
            </w:tcBorders>
            <w:shd w:val="clear" w:color="auto" w:fill="FFFFFF"/>
          </w:tcPr>
          <w:p w14:paraId="5F5B2E59"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721" w:type="dxa"/>
            <w:gridSpan w:val="2"/>
            <w:tcBorders>
              <w:top w:val="single" w:sz="8" w:space="0" w:color="152935"/>
              <w:left w:val="single" w:sz="8" w:space="0" w:color="E0E0E0"/>
              <w:bottom w:val="single" w:sz="8" w:space="0" w:color="152935"/>
              <w:right w:val="single" w:sz="8" w:space="0" w:color="E0E0E0"/>
            </w:tcBorders>
            <w:shd w:val="clear" w:color="auto" w:fill="FFFFFF"/>
          </w:tcPr>
          <w:p w14:paraId="480E00C5" w14:textId="77777777" w:rsidR="0087601C" w:rsidRPr="006A1EC7" w:rsidRDefault="0087601C" w:rsidP="00D56051">
            <w:pPr>
              <w:spacing w:line="320" w:lineRule="atLeast"/>
              <w:ind w:left="60" w:right="60"/>
              <w:jc w:val="right"/>
              <w:rPr>
                <w:color w:val="010205"/>
                <w:sz w:val="18"/>
              </w:rPr>
            </w:pPr>
            <w:r w:rsidRPr="006A1EC7">
              <w:rPr>
                <w:color w:val="010205"/>
                <w:sz w:val="18"/>
              </w:rPr>
              <w:t>10.083</w:t>
            </w:r>
          </w:p>
        </w:tc>
        <w:tc>
          <w:tcPr>
            <w:tcW w:w="1721" w:type="dxa"/>
            <w:gridSpan w:val="2"/>
            <w:tcBorders>
              <w:top w:val="single" w:sz="8" w:space="0" w:color="152935"/>
              <w:left w:val="single" w:sz="8" w:space="0" w:color="E0E0E0"/>
              <w:bottom w:val="single" w:sz="8" w:space="0" w:color="152935"/>
              <w:right w:val="single" w:sz="8" w:space="0" w:color="E0E0E0"/>
            </w:tcBorders>
            <w:shd w:val="clear" w:color="auto" w:fill="FFFFFF"/>
          </w:tcPr>
          <w:p w14:paraId="5C4069BE" w14:textId="77777777" w:rsidR="0087601C" w:rsidRPr="006A1EC7" w:rsidRDefault="0087601C" w:rsidP="00D56051">
            <w:pPr>
              <w:spacing w:line="320" w:lineRule="atLeast"/>
              <w:ind w:left="60" w:right="60"/>
              <w:jc w:val="right"/>
              <w:rPr>
                <w:color w:val="010205"/>
                <w:sz w:val="18"/>
              </w:rPr>
            </w:pPr>
            <w:r w:rsidRPr="006A1EC7">
              <w:rPr>
                <w:color w:val="010205"/>
                <w:sz w:val="18"/>
              </w:rPr>
              <w:t>6.29</w:t>
            </w:r>
          </w:p>
        </w:tc>
        <w:tc>
          <w:tcPr>
            <w:tcW w:w="1721" w:type="dxa"/>
            <w:tcBorders>
              <w:top w:val="single" w:sz="8" w:space="0" w:color="152935"/>
              <w:left w:val="single" w:sz="8" w:space="0" w:color="E0E0E0"/>
              <w:bottom w:val="single" w:sz="8" w:space="0" w:color="152935"/>
              <w:right w:val="nil"/>
            </w:tcBorders>
            <w:shd w:val="clear" w:color="auto" w:fill="FFFFFF"/>
          </w:tcPr>
          <w:p w14:paraId="2E25989C" w14:textId="77777777" w:rsidR="0087601C" w:rsidRPr="006A1EC7" w:rsidRDefault="0087601C" w:rsidP="00D56051">
            <w:pPr>
              <w:spacing w:line="320" w:lineRule="atLeast"/>
              <w:ind w:left="60" w:right="60"/>
              <w:jc w:val="right"/>
              <w:rPr>
                <w:color w:val="010205"/>
                <w:sz w:val="18"/>
              </w:rPr>
            </w:pPr>
            <w:r w:rsidRPr="006A1EC7">
              <w:rPr>
                <w:color w:val="010205"/>
                <w:sz w:val="18"/>
              </w:rPr>
              <w:t>13.88</w:t>
            </w:r>
          </w:p>
        </w:tc>
      </w:tr>
    </w:tbl>
    <w:p w14:paraId="37D3949D"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8"/>
        <w:gridCol w:w="213"/>
        <w:gridCol w:w="950"/>
        <w:gridCol w:w="326"/>
        <w:gridCol w:w="838"/>
        <w:gridCol w:w="438"/>
        <w:gridCol w:w="1230"/>
        <w:gridCol w:w="599"/>
        <w:gridCol w:w="1069"/>
        <w:gridCol w:w="760"/>
        <w:gridCol w:w="908"/>
        <w:gridCol w:w="1668"/>
      </w:tblGrid>
      <w:tr w:rsidR="0087601C" w:rsidRPr="006A1EC7" w14:paraId="26F369E1" w14:textId="77777777" w:rsidTr="00D56051">
        <w:trPr>
          <w:gridAfter w:val="2"/>
          <w:wAfter w:w="2576" w:type="dxa"/>
          <w:cantSplit/>
        </w:trPr>
        <w:tc>
          <w:tcPr>
            <w:tcW w:w="2401" w:type="dxa"/>
            <w:gridSpan w:val="2"/>
            <w:tcBorders>
              <w:top w:val="nil"/>
              <w:left w:val="nil"/>
              <w:bottom w:val="single" w:sz="8" w:space="0" w:color="152935"/>
              <w:right w:val="nil"/>
            </w:tcBorders>
            <w:shd w:val="clear" w:color="auto" w:fill="FFFFFF"/>
            <w:vAlign w:val="bottom"/>
          </w:tcPr>
          <w:p w14:paraId="4AF923AD" w14:textId="77777777" w:rsidR="0087601C" w:rsidRPr="006A1EC7" w:rsidRDefault="0087601C" w:rsidP="00D56051">
            <w:pPr>
              <w:rPr>
                <w:sz w:val="18"/>
              </w:rPr>
            </w:pPr>
          </w:p>
        </w:tc>
        <w:tc>
          <w:tcPr>
            <w:tcW w:w="1276" w:type="dxa"/>
            <w:gridSpan w:val="2"/>
            <w:tcBorders>
              <w:top w:val="nil"/>
              <w:left w:val="nil"/>
              <w:bottom w:val="single" w:sz="8" w:space="0" w:color="152935"/>
              <w:right w:val="single" w:sz="8" w:space="0" w:color="E0E0E0"/>
            </w:tcBorders>
            <w:shd w:val="clear" w:color="auto" w:fill="FFFFFF"/>
            <w:vAlign w:val="bottom"/>
          </w:tcPr>
          <w:p w14:paraId="52DA791D"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2"/>
            <w:tcBorders>
              <w:top w:val="nil"/>
              <w:left w:val="single" w:sz="8" w:space="0" w:color="E0E0E0"/>
              <w:bottom w:val="single" w:sz="8" w:space="0" w:color="152935"/>
              <w:right w:val="single" w:sz="8" w:space="0" w:color="E0E0E0"/>
            </w:tcBorders>
            <w:shd w:val="clear" w:color="auto" w:fill="FFFFFF"/>
            <w:vAlign w:val="bottom"/>
          </w:tcPr>
          <w:p w14:paraId="22654280"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gridSpan w:val="2"/>
            <w:tcBorders>
              <w:top w:val="nil"/>
              <w:left w:val="single" w:sz="8" w:space="0" w:color="E0E0E0"/>
              <w:bottom w:val="single" w:sz="8" w:space="0" w:color="152935"/>
              <w:right w:val="single" w:sz="8" w:space="0" w:color="E0E0E0"/>
            </w:tcBorders>
            <w:shd w:val="clear" w:color="auto" w:fill="FFFFFF"/>
            <w:vAlign w:val="bottom"/>
          </w:tcPr>
          <w:p w14:paraId="21B4F0BC"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gridSpan w:val="2"/>
            <w:tcBorders>
              <w:top w:val="nil"/>
              <w:left w:val="single" w:sz="8" w:space="0" w:color="E0E0E0"/>
              <w:bottom w:val="single" w:sz="8" w:space="0" w:color="152935"/>
              <w:right w:val="nil"/>
            </w:tcBorders>
            <w:shd w:val="clear" w:color="auto" w:fill="FFFFFF"/>
            <w:vAlign w:val="bottom"/>
          </w:tcPr>
          <w:p w14:paraId="358413AB"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5A452AF2" w14:textId="77777777" w:rsidTr="00D56051">
        <w:trPr>
          <w:gridAfter w:val="2"/>
          <w:wAfter w:w="2576" w:type="dxa"/>
          <w:cantSplit/>
        </w:trPr>
        <w:tc>
          <w:tcPr>
            <w:tcW w:w="2401" w:type="dxa"/>
            <w:gridSpan w:val="2"/>
            <w:tcBorders>
              <w:top w:val="single" w:sz="8" w:space="0" w:color="152935"/>
              <w:left w:val="nil"/>
              <w:bottom w:val="single" w:sz="8" w:space="0" w:color="AEAEAE"/>
              <w:right w:val="nil"/>
            </w:tcBorders>
            <w:shd w:val="clear" w:color="auto" w:fill="E0E0E0"/>
          </w:tcPr>
          <w:p w14:paraId="63319FA6" w14:textId="77777777" w:rsidR="0087601C" w:rsidRPr="006A1EC7" w:rsidRDefault="0087601C" w:rsidP="00D56051">
            <w:pPr>
              <w:spacing w:line="320" w:lineRule="atLeast"/>
              <w:ind w:left="60" w:right="60"/>
              <w:rPr>
                <w:color w:val="264A60"/>
                <w:sz w:val="18"/>
              </w:rPr>
            </w:pPr>
            <w:r w:rsidRPr="006A1EC7">
              <w:rPr>
                <w:color w:val="264A60"/>
                <w:sz w:val="18"/>
              </w:rPr>
              <w:t>T1Fineen_Gastroin</w:t>
            </w:r>
          </w:p>
        </w:tc>
        <w:tc>
          <w:tcPr>
            <w:tcW w:w="1276" w:type="dxa"/>
            <w:gridSpan w:val="2"/>
            <w:tcBorders>
              <w:top w:val="single" w:sz="8" w:space="0" w:color="152935"/>
              <w:left w:val="nil"/>
              <w:bottom w:val="single" w:sz="8" w:space="0" w:color="AEAEAE"/>
              <w:right w:val="single" w:sz="8" w:space="0" w:color="E0E0E0"/>
            </w:tcBorders>
            <w:shd w:val="clear" w:color="auto" w:fill="FFFFFF"/>
          </w:tcPr>
          <w:p w14:paraId="01C68504"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gridSpan w:val="2"/>
            <w:tcBorders>
              <w:top w:val="single" w:sz="8" w:space="0" w:color="152935"/>
              <w:left w:val="single" w:sz="8" w:space="0" w:color="E0E0E0"/>
              <w:bottom w:val="single" w:sz="8" w:space="0" w:color="AEAEAE"/>
              <w:right w:val="single" w:sz="8" w:space="0" w:color="E0E0E0"/>
            </w:tcBorders>
            <w:shd w:val="clear" w:color="auto" w:fill="FFFFFF"/>
          </w:tcPr>
          <w:p w14:paraId="37E99889" w14:textId="77777777" w:rsidR="0087601C" w:rsidRPr="006A1EC7" w:rsidRDefault="0087601C" w:rsidP="00D56051">
            <w:pPr>
              <w:spacing w:line="320" w:lineRule="atLeast"/>
              <w:ind w:left="60" w:right="60"/>
              <w:jc w:val="right"/>
              <w:rPr>
                <w:color w:val="010205"/>
                <w:sz w:val="18"/>
              </w:rPr>
            </w:pPr>
            <w:r w:rsidRPr="006A1EC7">
              <w:rPr>
                <w:color w:val="010205"/>
                <w:sz w:val="18"/>
              </w:rPr>
              <w:t>4.32</w:t>
            </w:r>
          </w:p>
        </w:tc>
        <w:tc>
          <w:tcPr>
            <w:tcW w:w="1829" w:type="dxa"/>
            <w:gridSpan w:val="2"/>
            <w:tcBorders>
              <w:top w:val="single" w:sz="8" w:space="0" w:color="152935"/>
              <w:left w:val="single" w:sz="8" w:space="0" w:color="E0E0E0"/>
              <w:bottom w:val="single" w:sz="8" w:space="0" w:color="AEAEAE"/>
              <w:right w:val="single" w:sz="8" w:space="0" w:color="E0E0E0"/>
            </w:tcBorders>
            <w:shd w:val="clear" w:color="auto" w:fill="FFFFFF"/>
          </w:tcPr>
          <w:p w14:paraId="178D8E73" w14:textId="77777777" w:rsidR="0087601C" w:rsidRPr="006A1EC7" w:rsidRDefault="0087601C" w:rsidP="00D56051">
            <w:pPr>
              <w:spacing w:line="320" w:lineRule="atLeast"/>
              <w:ind w:left="60" w:right="60"/>
              <w:jc w:val="right"/>
              <w:rPr>
                <w:color w:val="010205"/>
                <w:sz w:val="18"/>
              </w:rPr>
            </w:pPr>
            <w:r w:rsidRPr="006A1EC7">
              <w:rPr>
                <w:color w:val="010205"/>
                <w:sz w:val="18"/>
              </w:rPr>
              <w:t>1.582</w:t>
            </w:r>
          </w:p>
        </w:tc>
        <w:tc>
          <w:tcPr>
            <w:tcW w:w="1829" w:type="dxa"/>
            <w:gridSpan w:val="2"/>
            <w:tcBorders>
              <w:top w:val="single" w:sz="8" w:space="0" w:color="152935"/>
              <w:left w:val="single" w:sz="8" w:space="0" w:color="E0E0E0"/>
              <w:bottom w:val="single" w:sz="8" w:space="0" w:color="AEAEAE"/>
              <w:right w:val="nil"/>
            </w:tcBorders>
            <w:shd w:val="clear" w:color="auto" w:fill="FFFFFF"/>
          </w:tcPr>
          <w:p w14:paraId="2C9E919E" w14:textId="77777777" w:rsidR="0087601C" w:rsidRPr="006A1EC7" w:rsidRDefault="0087601C" w:rsidP="00D56051">
            <w:pPr>
              <w:spacing w:line="320" w:lineRule="atLeast"/>
              <w:ind w:left="60" w:right="60"/>
              <w:jc w:val="right"/>
              <w:rPr>
                <w:color w:val="010205"/>
                <w:sz w:val="18"/>
              </w:rPr>
            </w:pPr>
            <w:r w:rsidRPr="006A1EC7">
              <w:rPr>
                <w:color w:val="010205"/>
                <w:sz w:val="18"/>
              </w:rPr>
              <w:t>.260</w:t>
            </w:r>
          </w:p>
        </w:tc>
      </w:tr>
      <w:tr w:rsidR="0087601C" w:rsidRPr="006A1EC7" w14:paraId="58AD7EEB" w14:textId="77777777" w:rsidTr="00D56051">
        <w:trPr>
          <w:gridAfter w:val="2"/>
          <w:wAfter w:w="2576" w:type="dxa"/>
          <w:cantSplit/>
        </w:trPr>
        <w:tc>
          <w:tcPr>
            <w:tcW w:w="2401" w:type="dxa"/>
            <w:gridSpan w:val="2"/>
            <w:tcBorders>
              <w:top w:val="single" w:sz="8" w:space="0" w:color="AEAEAE"/>
              <w:left w:val="nil"/>
              <w:bottom w:val="single" w:sz="8" w:space="0" w:color="152935"/>
              <w:right w:val="nil"/>
            </w:tcBorders>
            <w:shd w:val="clear" w:color="auto" w:fill="E0E0E0"/>
          </w:tcPr>
          <w:p w14:paraId="2A8D69DF" w14:textId="77777777" w:rsidR="0087601C" w:rsidRPr="006A1EC7" w:rsidRDefault="0087601C" w:rsidP="00D56051">
            <w:pPr>
              <w:spacing w:line="320" w:lineRule="atLeast"/>
              <w:ind w:left="60" w:right="60"/>
              <w:rPr>
                <w:color w:val="264A60"/>
                <w:sz w:val="18"/>
              </w:rPr>
            </w:pPr>
            <w:r w:rsidRPr="006A1EC7">
              <w:rPr>
                <w:color w:val="264A60"/>
                <w:sz w:val="18"/>
              </w:rPr>
              <w:t>T1Fineen_CNS</w:t>
            </w:r>
          </w:p>
        </w:tc>
        <w:tc>
          <w:tcPr>
            <w:tcW w:w="1276" w:type="dxa"/>
            <w:gridSpan w:val="2"/>
            <w:tcBorders>
              <w:top w:val="single" w:sz="8" w:space="0" w:color="AEAEAE"/>
              <w:left w:val="nil"/>
              <w:bottom w:val="single" w:sz="8" w:space="0" w:color="152935"/>
              <w:right w:val="single" w:sz="8" w:space="0" w:color="E0E0E0"/>
            </w:tcBorders>
            <w:shd w:val="clear" w:color="auto" w:fill="FFFFFF"/>
          </w:tcPr>
          <w:p w14:paraId="0E234F54"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gridSpan w:val="2"/>
            <w:tcBorders>
              <w:top w:val="single" w:sz="8" w:space="0" w:color="AEAEAE"/>
              <w:left w:val="single" w:sz="8" w:space="0" w:color="E0E0E0"/>
              <w:bottom w:val="single" w:sz="8" w:space="0" w:color="152935"/>
              <w:right w:val="single" w:sz="8" w:space="0" w:color="E0E0E0"/>
            </w:tcBorders>
            <w:shd w:val="clear" w:color="auto" w:fill="FFFFFF"/>
          </w:tcPr>
          <w:p w14:paraId="7BA70FA5" w14:textId="77777777" w:rsidR="0087601C" w:rsidRPr="006A1EC7" w:rsidRDefault="0087601C" w:rsidP="00D56051">
            <w:pPr>
              <w:spacing w:line="320" w:lineRule="atLeast"/>
              <w:ind w:left="60" w:right="60"/>
              <w:jc w:val="right"/>
              <w:rPr>
                <w:color w:val="010205"/>
                <w:sz w:val="18"/>
              </w:rPr>
            </w:pPr>
            <w:r w:rsidRPr="006A1EC7">
              <w:rPr>
                <w:color w:val="010205"/>
                <w:sz w:val="18"/>
              </w:rPr>
              <w:t>4.46</w:t>
            </w:r>
          </w:p>
        </w:tc>
        <w:tc>
          <w:tcPr>
            <w:tcW w:w="1829" w:type="dxa"/>
            <w:gridSpan w:val="2"/>
            <w:tcBorders>
              <w:top w:val="single" w:sz="8" w:space="0" w:color="AEAEAE"/>
              <w:left w:val="single" w:sz="8" w:space="0" w:color="E0E0E0"/>
              <w:bottom w:val="single" w:sz="8" w:space="0" w:color="152935"/>
              <w:right w:val="single" w:sz="8" w:space="0" w:color="E0E0E0"/>
            </w:tcBorders>
            <w:shd w:val="clear" w:color="auto" w:fill="FFFFFF"/>
          </w:tcPr>
          <w:p w14:paraId="53102DBE" w14:textId="77777777" w:rsidR="0087601C" w:rsidRPr="006A1EC7" w:rsidRDefault="0087601C" w:rsidP="00D56051">
            <w:pPr>
              <w:spacing w:line="320" w:lineRule="atLeast"/>
              <w:ind w:left="60" w:right="60"/>
              <w:jc w:val="right"/>
              <w:rPr>
                <w:color w:val="010205"/>
                <w:sz w:val="18"/>
              </w:rPr>
            </w:pPr>
            <w:r w:rsidRPr="006A1EC7">
              <w:rPr>
                <w:color w:val="010205"/>
                <w:sz w:val="18"/>
              </w:rPr>
              <w:t>1.016</w:t>
            </w:r>
          </w:p>
        </w:tc>
        <w:tc>
          <w:tcPr>
            <w:tcW w:w="1829" w:type="dxa"/>
            <w:gridSpan w:val="2"/>
            <w:tcBorders>
              <w:top w:val="single" w:sz="8" w:space="0" w:color="AEAEAE"/>
              <w:left w:val="single" w:sz="8" w:space="0" w:color="E0E0E0"/>
              <w:bottom w:val="single" w:sz="8" w:space="0" w:color="152935"/>
              <w:right w:val="nil"/>
            </w:tcBorders>
            <w:shd w:val="clear" w:color="auto" w:fill="FFFFFF"/>
          </w:tcPr>
          <w:p w14:paraId="2EB7B528" w14:textId="77777777" w:rsidR="0087601C" w:rsidRPr="006A1EC7" w:rsidRDefault="0087601C" w:rsidP="00D56051">
            <w:pPr>
              <w:spacing w:line="320" w:lineRule="atLeast"/>
              <w:ind w:left="60" w:right="60"/>
              <w:jc w:val="right"/>
              <w:rPr>
                <w:color w:val="010205"/>
                <w:sz w:val="18"/>
              </w:rPr>
            </w:pPr>
            <w:r w:rsidRPr="006A1EC7">
              <w:rPr>
                <w:color w:val="010205"/>
                <w:sz w:val="18"/>
              </w:rPr>
              <w:t>.167</w:t>
            </w:r>
          </w:p>
        </w:tc>
      </w:tr>
      <w:tr w:rsidR="0087601C" w:rsidRPr="006A1EC7" w14:paraId="0275DAE2" w14:textId="77777777" w:rsidTr="00D56051">
        <w:trPr>
          <w:cantSplit/>
        </w:trPr>
        <w:tc>
          <w:tcPr>
            <w:tcW w:w="2188" w:type="dxa"/>
            <w:vMerge w:val="restart"/>
            <w:tcBorders>
              <w:top w:val="nil"/>
              <w:left w:val="nil"/>
              <w:bottom w:val="nil"/>
              <w:right w:val="nil"/>
            </w:tcBorders>
            <w:shd w:val="clear" w:color="auto" w:fill="FFFFFF"/>
            <w:vAlign w:val="bottom"/>
          </w:tcPr>
          <w:p w14:paraId="12EAF0D7" w14:textId="77777777" w:rsidR="0087601C" w:rsidRPr="006A1EC7" w:rsidRDefault="0087601C" w:rsidP="00D56051">
            <w:pPr>
              <w:rPr>
                <w:sz w:val="18"/>
              </w:rPr>
            </w:pPr>
          </w:p>
        </w:tc>
        <w:tc>
          <w:tcPr>
            <w:tcW w:w="8999" w:type="dxa"/>
            <w:gridSpan w:val="11"/>
            <w:tcBorders>
              <w:top w:val="nil"/>
              <w:left w:val="nil"/>
              <w:bottom w:val="nil"/>
              <w:right w:val="nil"/>
            </w:tcBorders>
            <w:shd w:val="clear" w:color="auto" w:fill="FFFFFF"/>
            <w:vAlign w:val="bottom"/>
          </w:tcPr>
          <w:p w14:paraId="5A26180F"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4.5</w:t>
            </w:r>
          </w:p>
        </w:tc>
      </w:tr>
      <w:tr w:rsidR="0087601C" w:rsidRPr="006A1EC7" w14:paraId="66353B1E" w14:textId="77777777" w:rsidTr="00D56051">
        <w:trPr>
          <w:cantSplit/>
        </w:trPr>
        <w:tc>
          <w:tcPr>
            <w:tcW w:w="2188" w:type="dxa"/>
            <w:vMerge/>
            <w:tcBorders>
              <w:top w:val="nil"/>
              <w:left w:val="nil"/>
              <w:bottom w:val="nil"/>
              <w:right w:val="nil"/>
            </w:tcBorders>
            <w:shd w:val="clear" w:color="auto" w:fill="FFFFFF"/>
            <w:vAlign w:val="bottom"/>
          </w:tcPr>
          <w:p w14:paraId="7E5AC4FF" w14:textId="77777777" w:rsidR="0087601C" w:rsidRPr="006A1EC7" w:rsidRDefault="0087601C" w:rsidP="00D56051">
            <w:pPr>
              <w:rPr>
                <w:color w:val="264A60"/>
                <w:sz w:val="18"/>
              </w:rPr>
            </w:pPr>
          </w:p>
        </w:tc>
        <w:tc>
          <w:tcPr>
            <w:tcW w:w="1163" w:type="dxa"/>
            <w:gridSpan w:val="2"/>
            <w:vMerge w:val="restart"/>
            <w:tcBorders>
              <w:top w:val="nil"/>
              <w:left w:val="nil"/>
              <w:bottom w:val="nil"/>
              <w:right w:val="single" w:sz="8" w:space="0" w:color="E0E0E0"/>
            </w:tcBorders>
            <w:shd w:val="clear" w:color="auto" w:fill="FFFFFF"/>
            <w:vAlign w:val="bottom"/>
          </w:tcPr>
          <w:p w14:paraId="7B4473FB"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64" w:type="dxa"/>
            <w:gridSpan w:val="2"/>
            <w:vMerge w:val="restart"/>
            <w:tcBorders>
              <w:top w:val="nil"/>
              <w:left w:val="single" w:sz="8" w:space="0" w:color="E0E0E0"/>
              <w:bottom w:val="nil"/>
              <w:right w:val="single" w:sz="8" w:space="0" w:color="E0E0E0"/>
            </w:tcBorders>
            <w:shd w:val="clear" w:color="auto" w:fill="FFFFFF"/>
            <w:vAlign w:val="bottom"/>
          </w:tcPr>
          <w:p w14:paraId="0C225302"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68" w:type="dxa"/>
            <w:gridSpan w:val="2"/>
            <w:vMerge w:val="restart"/>
            <w:tcBorders>
              <w:top w:val="nil"/>
              <w:left w:val="single" w:sz="8" w:space="0" w:color="E0E0E0"/>
              <w:bottom w:val="nil"/>
              <w:right w:val="single" w:sz="8" w:space="0" w:color="E0E0E0"/>
            </w:tcBorders>
            <w:shd w:val="clear" w:color="auto" w:fill="FFFFFF"/>
            <w:vAlign w:val="bottom"/>
          </w:tcPr>
          <w:p w14:paraId="1BD719B8"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68" w:type="dxa"/>
            <w:gridSpan w:val="2"/>
            <w:vMerge w:val="restart"/>
            <w:tcBorders>
              <w:top w:val="nil"/>
              <w:left w:val="single" w:sz="8" w:space="0" w:color="E0E0E0"/>
              <w:bottom w:val="nil"/>
              <w:right w:val="single" w:sz="8" w:space="0" w:color="E0E0E0"/>
            </w:tcBorders>
            <w:shd w:val="clear" w:color="auto" w:fill="FFFFFF"/>
            <w:vAlign w:val="bottom"/>
          </w:tcPr>
          <w:p w14:paraId="26025ED8"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36" w:type="dxa"/>
            <w:gridSpan w:val="3"/>
            <w:tcBorders>
              <w:top w:val="nil"/>
              <w:left w:val="single" w:sz="8" w:space="0" w:color="E0E0E0"/>
              <w:bottom w:val="nil"/>
              <w:right w:val="nil"/>
            </w:tcBorders>
            <w:shd w:val="clear" w:color="auto" w:fill="FFFFFF"/>
            <w:vAlign w:val="bottom"/>
          </w:tcPr>
          <w:p w14:paraId="43FD4462"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3966ECD5" w14:textId="77777777" w:rsidTr="00D56051">
        <w:trPr>
          <w:cantSplit/>
        </w:trPr>
        <w:tc>
          <w:tcPr>
            <w:tcW w:w="2188" w:type="dxa"/>
            <w:vMerge/>
            <w:tcBorders>
              <w:top w:val="nil"/>
              <w:left w:val="nil"/>
              <w:bottom w:val="nil"/>
              <w:right w:val="nil"/>
            </w:tcBorders>
            <w:shd w:val="clear" w:color="auto" w:fill="FFFFFF"/>
            <w:vAlign w:val="bottom"/>
          </w:tcPr>
          <w:p w14:paraId="2329CDBC" w14:textId="77777777" w:rsidR="0087601C" w:rsidRPr="006A1EC7" w:rsidRDefault="0087601C" w:rsidP="00D56051">
            <w:pPr>
              <w:rPr>
                <w:color w:val="264A60"/>
                <w:sz w:val="18"/>
              </w:rPr>
            </w:pPr>
          </w:p>
        </w:tc>
        <w:tc>
          <w:tcPr>
            <w:tcW w:w="1163" w:type="dxa"/>
            <w:gridSpan w:val="2"/>
            <w:vMerge/>
            <w:tcBorders>
              <w:top w:val="nil"/>
              <w:left w:val="nil"/>
              <w:bottom w:val="nil"/>
              <w:right w:val="single" w:sz="8" w:space="0" w:color="E0E0E0"/>
            </w:tcBorders>
            <w:shd w:val="clear" w:color="auto" w:fill="FFFFFF"/>
            <w:vAlign w:val="bottom"/>
          </w:tcPr>
          <w:p w14:paraId="15C664FD" w14:textId="77777777" w:rsidR="0087601C" w:rsidRPr="006A1EC7" w:rsidRDefault="0087601C" w:rsidP="00D56051">
            <w:pPr>
              <w:rPr>
                <w:color w:val="264A60"/>
                <w:sz w:val="18"/>
              </w:rPr>
            </w:pPr>
          </w:p>
        </w:tc>
        <w:tc>
          <w:tcPr>
            <w:tcW w:w="1164" w:type="dxa"/>
            <w:gridSpan w:val="2"/>
            <w:vMerge/>
            <w:tcBorders>
              <w:top w:val="nil"/>
              <w:left w:val="single" w:sz="8" w:space="0" w:color="E0E0E0"/>
              <w:bottom w:val="nil"/>
              <w:right w:val="single" w:sz="8" w:space="0" w:color="E0E0E0"/>
            </w:tcBorders>
            <w:shd w:val="clear" w:color="auto" w:fill="FFFFFF"/>
            <w:vAlign w:val="bottom"/>
          </w:tcPr>
          <w:p w14:paraId="771D0085" w14:textId="77777777" w:rsidR="0087601C" w:rsidRPr="006A1EC7" w:rsidRDefault="0087601C" w:rsidP="00D56051">
            <w:pPr>
              <w:rPr>
                <w:color w:val="264A60"/>
                <w:sz w:val="18"/>
              </w:rPr>
            </w:pPr>
          </w:p>
        </w:tc>
        <w:tc>
          <w:tcPr>
            <w:tcW w:w="1668" w:type="dxa"/>
            <w:gridSpan w:val="2"/>
            <w:vMerge/>
            <w:tcBorders>
              <w:top w:val="nil"/>
              <w:left w:val="single" w:sz="8" w:space="0" w:color="E0E0E0"/>
              <w:bottom w:val="nil"/>
              <w:right w:val="single" w:sz="8" w:space="0" w:color="E0E0E0"/>
            </w:tcBorders>
            <w:shd w:val="clear" w:color="auto" w:fill="FFFFFF"/>
            <w:vAlign w:val="bottom"/>
          </w:tcPr>
          <w:p w14:paraId="2EA9DA84" w14:textId="77777777" w:rsidR="0087601C" w:rsidRPr="006A1EC7" w:rsidRDefault="0087601C" w:rsidP="00D56051">
            <w:pPr>
              <w:rPr>
                <w:color w:val="264A60"/>
                <w:sz w:val="18"/>
              </w:rPr>
            </w:pPr>
          </w:p>
        </w:tc>
        <w:tc>
          <w:tcPr>
            <w:tcW w:w="1668" w:type="dxa"/>
            <w:gridSpan w:val="2"/>
            <w:vMerge/>
            <w:tcBorders>
              <w:top w:val="nil"/>
              <w:left w:val="single" w:sz="8" w:space="0" w:color="E0E0E0"/>
              <w:bottom w:val="nil"/>
              <w:right w:val="single" w:sz="8" w:space="0" w:color="E0E0E0"/>
            </w:tcBorders>
            <w:shd w:val="clear" w:color="auto" w:fill="FFFFFF"/>
            <w:vAlign w:val="bottom"/>
          </w:tcPr>
          <w:p w14:paraId="4530B885" w14:textId="77777777" w:rsidR="0087601C" w:rsidRPr="006A1EC7" w:rsidRDefault="0087601C" w:rsidP="00D56051">
            <w:pPr>
              <w:rPr>
                <w:color w:val="264A60"/>
                <w:sz w:val="18"/>
              </w:rPr>
            </w:pPr>
          </w:p>
        </w:tc>
        <w:tc>
          <w:tcPr>
            <w:tcW w:w="1668" w:type="dxa"/>
            <w:gridSpan w:val="2"/>
            <w:tcBorders>
              <w:top w:val="nil"/>
              <w:left w:val="single" w:sz="8" w:space="0" w:color="E0E0E0"/>
              <w:bottom w:val="single" w:sz="8" w:space="0" w:color="152935"/>
              <w:right w:val="single" w:sz="8" w:space="0" w:color="E0E0E0"/>
            </w:tcBorders>
            <w:shd w:val="clear" w:color="auto" w:fill="FFFFFF"/>
            <w:vAlign w:val="bottom"/>
          </w:tcPr>
          <w:p w14:paraId="7923937D"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68" w:type="dxa"/>
            <w:tcBorders>
              <w:top w:val="nil"/>
              <w:left w:val="single" w:sz="8" w:space="0" w:color="E0E0E0"/>
              <w:bottom w:val="single" w:sz="8" w:space="0" w:color="152935"/>
              <w:right w:val="nil"/>
            </w:tcBorders>
            <w:shd w:val="clear" w:color="auto" w:fill="FFFFFF"/>
            <w:vAlign w:val="bottom"/>
          </w:tcPr>
          <w:p w14:paraId="64DE260F"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447FF6E0" w14:textId="77777777" w:rsidTr="00D56051">
        <w:trPr>
          <w:cantSplit/>
        </w:trPr>
        <w:tc>
          <w:tcPr>
            <w:tcW w:w="2188" w:type="dxa"/>
            <w:tcBorders>
              <w:top w:val="single" w:sz="8" w:space="0" w:color="152935"/>
              <w:left w:val="nil"/>
              <w:bottom w:val="single" w:sz="8" w:space="0" w:color="AEAEAE"/>
              <w:right w:val="nil"/>
            </w:tcBorders>
            <w:shd w:val="clear" w:color="auto" w:fill="E0E0E0"/>
          </w:tcPr>
          <w:p w14:paraId="3C9889FC" w14:textId="77777777" w:rsidR="0087601C" w:rsidRPr="006A1EC7" w:rsidRDefault="0087601C" w:rsidP="00D56051">
            <w:pPr>
              <w:spacing w:line="320" w:lineRule="atLeast"/>
              <w:ind w:left="60" w:right="60"/>
              <w:rPr>
                <w:color w:val="264A60"/>
                <w:sz w:val="18"/>
              </w:rPr>
            </w:pPr>
            <w:r w:rsidRPr="006A1EC7">
              <w:rPr>
                <w:color w:val="264A60"/>
                <w:sz w:val="18"/>
              </w:rPr>
              <w:t>T1Fineen_Gastroin</w:t>
            </w:r>
          </w:p>
        </w:tc>
        <w:tc>
          <w:tcPr>
            <w:tcW w:w="1163" w:type="dxa"/>
            <w:gridSpan w:val="2"/>
            <w:tcBorders>
              <w:top w:val="single" w:sz="8" w:space="0" w:color="152935"/>
              <w:left w:val="nil"/>
              <w:bottom w:val="single" w:sz="8" w:space="0" w:color="AEAEAE"/>
              <w:right w:val="single" w:sz="8" w:space="0" w:color="E0E0E0"/>
            </w:tcBorders>
            <w:shd w:val="clear" w:color="auto" w:fill="FFFFFF"/>
          </w:tcPr>
          <w:p w14:paraId="42F263E2" w14:textId="77777777" w:rsidR="0087601C" w:rsidRPr="006A1EC7" w:rsidRDefault="0087601C" w:rsidP="00D56051">
            <w:pPr>
              <w:spacing w:line="320" w:lineRule="atLeast"/>
              <w:ind w:left="60" w:right="60"/>
              <w:jc w:val="right"/>
              <w:rPr>
                <w:color w:val="010205"/>
                <w:sz w:val="18"/>
              </w:rPr>
            </w:pPr>
            <w:r w:rsidRPr="006A1EC7">
              <w:rPr>
                <w:color w:val="010205"/>
                <w:sz w:val="18"/>
              </w:rPr>
              <w:t>-.675</w:t>
            </w:r>
          </w:p>
        </w:tc>
        <w:tc>
          <w:tcPr>
            <w:tcW w:w="1164" w:type="dxa"/>
            <w:gridSpan w:val="2"/>
            <w:tcBorders>
              <w:top w:val="single" w:sz="8" w:space="0" w:color="152935"/>
              <w:left w:val="single" w:sz="8" w:space="0" w:color="E0E0E0"/>
              <w:bottom w:val="single" w:sz="8" w:space="0" w:color="AEAEAE"/>
              <w:right w:val="single" w:sz="8" w:space="0" w:color="E0E0E0"/>
            </w:tcBorders>
            <w:shd w:val="clear" w:color="auto" w:fill="FFFFFF"/>
          </w:tcPr>
          <w:p w14:paraId="67EEBF0C"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68" w:type="dxa"/>
            <w:gridSpan w:val="2"/>
            <w:tcBorders>
              <w:top w:val="single" w:sz="8" w:space="0" w:color="152935"/>
              <w:left w:val="single" w:sz="8" w:space="0" w:color="E0E0E0"/>
              <w:bottom w:val="single" w:sz="8" w:space="0" w:color="AEAEAE"/>
              <w:right w:val="single" w:sz="8" w:space="0" w:color="E0E0E0"/>
            </w:tcBorders>
            <w:shd w:val="clear" w:color="auto" w:fill="FFFFFF"/>
          </w:tcPr>
          <w:p w14:paraId="4D24296B" w14:textId="77777777" w:rsidR="0087601C" w:rsidRPr="006A1EC7" w:rsidRDefault="0087601C" w:rsidP="00D56051">
            <w:pPr>
              <w:spacing w:line="320" w:lineRule="atLeast"/>
              <w:ind w:left="60" w:right="60"/>
              <w:jc w:val="right"/>
              <w:rPr>
                <w:color w:val="010205"/>
                <w:sz w:val="18"/>
              </w:rPr>
            </w:pPr>
            <w:r w:rsidRPr="006A1EC7">
              <w:rPr>
                <w:color w:val="010205"/>
                <w:sz w:val="18"/>
              </w:rPr>
              <w:t>.504</w:t>
            </w:r>
          </w:p>
        </w:tc>
        <w:tc>
          <w:tcPr>
            <w:tcW w:w="1668" w:type="dxa"/>
            <w:gridSpan w:val="2"/>
            <w:tcBorders>
              <w:top w:val="single" w:sz="8" w:space="0" w:color="152935"/>
              <w:left w:val="single" w:sz="8" w:space="0" w:color="E0E0E0"/>
              <w:bottom w:val="single" w:sz="8" w:space="0" w:color="AEAEAE"/>
              <w:right w:val="single" w:sz="8" w:space="0" w:color="E0E0E0"/>
            </w:tcBorders>
            <w:shd w:val="clear" w:color="auto" w:fill="FFFFFF"/>
          </w:tcPr>
          <w:p w14:paraId="7F55C396" w14:textId="77777777" w:rsidR="0087601C" w:rsidRPr="006A1EC7" w:rsidRDefault="0087601C" w:rsidP="00D56051">
            <w:pPr>
              <w:spacing w:line="320" w:lineRule="atLeast"/>
              <w:ind w:left="60" w:right="60"/>
              <w:jc w:val="right"/>
              <w:rPr>
                <w:color w:val="010205"/>
                <w:sz w:val="18"/>
              </w:rPr>
            </w:pPr>
            <w:r w:rsidRPr="006A1EC7">
              <w:rPr>
                <w:color w:val="010205"/>
                <w:sz w:val="18"/>
              </w:rPr>
              <w:t>-.176</w:t>
            </w:r>
          </w:p>
        </w:tc>
        <w:tc>
          <w:tcPr>
            <w:tcW w:w="1668" w:type="dxa"/>
            <w:gridSpan w:val="2"/>
            <w:tcBorders>
              <w:top w:val="single" w:sz="8" w:space="0" w:color="152935"/>
              <w:left w:val="single" w:sz="8" w:space="0" w:color="E0E0E0"/>
              <w:bottom w:val="single" w:sz="8" w:space="0" w:color="AEAEAE"/>
              <w:right w:val="single" w:sz="8" w:space="0" w:color="E0E0E0"/>
            </w:tcBorders>
            <w:shd w:val="clear" w:color="auto" w:fill="FFFFFF"/>
          </w:tcPr>
          <w:p w14:paraId="183D49E8" w14:textId="77777777" w:rsidR="0087601C" w:rsidRPr="006A1EC7" w:rsidRDefault="0087601C" w:rsidP="00D56051">
            <w:pPr>
              <w:spacing w:line="320" w:lineRule="atLeast"/>
              <w:ind w:left="60" w:right="60"/>
              <w:jc w:val="right"/>
              <w:rPr>
                <w:color w:val="010205"/>
                <w:sz w:val="18"/>
              </w:rPr>
            </w:pPr>
            <w:r w:rsidRPr="006A1EC7">
              <w:rPr>
                <w:color w:val="010205"/>
                <w:sz w:val="18"/>
              </w:rPr>
              <w:t>-.70</w:t>
            </w:r>
          </w:p>
        </w:tc>
        <w:tc>
          <w:tcPr>
            <w:tcW w:w="1668" w:type="dxa"/>
            <w:tcBorders>
              <w:top w:val="single" w:sz="8" w:space="0" w:color="152935"/>
              <w:left w:val="single" w:sz="8" w:space="0" w:color="E0E0E0"/>
              <w:bottom w:val="single" w:sz="8" w:space="0" w:color="AEAEAE"/>
              <w:right w:val="nil"/>
            </w:tcBorders>
            <w:shd w:val="clear" w:color="auto" w:fill="FFFFFF"/>
          </w:tcPr>
          <w:p w14:paraId="0248F8DD" w14:textId="77777777" w:rsidR="0087601C" w:rsidRPr="006A1EC7" w:rsidRDefault="0087601C" w:rsidP="00D56051">
            <w:pPr>
              <w:spacing w:line="320" w:lineRule="atLeast"/>
              <w:ind w:left="60" w:right="60"/>
              <w:jc w:val="right"/>
              <w:rPr>
                <w:color w:val="010205"/>
                <w:sz w:val="18"/>
              </w:rPr>
            </w:pPr>
            <w:r w:rsidRPr="006A1EC7">
              <w:rPr>
                <w:color w:val="010205"/>
                <w:sz w:val="18"/>
              </w:rPr>
              <w:t>.35</w:t>
            </w:r>
          </w:p>
        </w:tc>
      </w:tr>
      <w:tr w:rsidR="0087601C" w:rsidRPr="006A1EC7" w14:paraId="5B4E1901" w14:textId="77777777" w:rsidTr="00D56051">
        <w:trPr>
          <w:cantSplit/>
        </w:trPr>
        <w:tc>
          <w:tcPr>
            <w:tcW w:w="2188" w:type="dxa"/>
            <w:tcBorders>
              <w:top w:val="single" w:sz="8" w:space="0" w:color="AEAEAE"/>
              <w:left w:val="nil"/>
              <w:bottom w:val="single" w:sz="8" w:space="0" w:color="152935"/>
              <w:right w:val="nil"/>
            </w:tcBorders>
            <w:shd w:val="clear" w:color="auto" w:fill="E0E0E0"/>
          </w:tcPr>
          <w:p w14:paraId="7C2EB8E1" w14:textId="77777777" w:rsidR="0087601C" w:rsidRPr="006A1EC7" w:rsidRDefault="0087601C" w:rsidP="00D56051">
            <w:pPr>
              <w:spacing w:line="320" w:lineRule="atLeast"/>
              <w:ind w:left="60" w:right="60"/>
              <w:rPr>
                <w:color w:val="264A60"/>
                <w:sz w:val="18"/>
              </w:rPr>
            </w:pPr>
            <w:r w:rsidRPr="006A1EC7">
              <w:rPr>
                <w:color w:val="264A60"/>
                <w:sz w:val="18"/>
              </w:rPr>
              <w:t>T1Fineen_CNS</w:t>
            </w:r>
          </w:p>
        </w:tc>
        <w:tc>
          <w:tcPr>
            <w:tcW w:w="1163" w:type="dxa"/>
            <w:gridSpan w:val="2"/>
            <w:tcBorders>
              <w:top w:val="single" w:sz="8" w:space="0" w:color="AEAEAE"/>
              <w:left w:val="nil"/>
              <w:bottom w:val="single" w:sz="8" w:space="0" w:color="152935"/>
              <w:right w:val="single" w:sz="8" w:space="0" w:color="E0E0E0"/>
            </w:tcBorders>
            <w:shd w:val="clear" w:color="auto" w:fill="FFFFFF"/>
          </w:tcPr>
          <w:p w14:paraId="277787DA" w14:textId="77777777" w:rsidR="0087601C" w:rsidRPr="006A1EC7" w:rsidRDefault="0087601C" w:rsidP="00D56051">
            <w:pPr>
              <w:spacing w:line="320" w:lineRule="atLeast"/>
              <w:ind w:left="60" w:right="60"/>
              <w:jc w:val="right"/>
              <w:rPr>
                <w:color w:val="010205"/>
                <w:sz w:val="18"/>
              </w:rPr>
            </w:pPr>
            <w:r w:rsidRPr="006A1EC7">
              <w:rPr>
                <w:color w:val="010205"/>
                <w:sz w:val="18"/>
              </w:rPr>
              <w:t>-.243</w:t>
            </w:r>
          </w:p>
        </w:tc>
        <w:tc>
          <w:tcPr>
            <w:tcW w:w="1164" w:type="dxa"/>
            <w:gridSpan w:val="2"/>
            <w:tcBorders>
              <w:top w:val="single" w:sz="8" w:space="0" w:color="AEAEAE"/>
              <w:left w:val="single" w:sz="8" w:space="0" w:color="E0E0E0"/>
              <w:bottom w:val="single" w:sz="8" w:space="0" w:color="152935"/>
              <w:right w:val="single" w:sz="8" w:space="0" w:color="E0E0E0"/>
            </w:tcBorders>
            <w:shd w:val="clear" w:color="auto" w:fill="FFFFFF"/>
          </w:tcPr>
          <w:p w14:paraId="2FA37044"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68" w:type="dxa"/>
            <w:gridSpan w:val="2"/>
            <w:tcBorders>
              <w:top w:val="single" w:sz="8" w:space="0" w:color="AEAEAE"/>
              <w:left w:val="single" w:sz="8" w:space="0" w:color="E0E0E0"/>
              <w:bottom w:val="single" w:sz="8" w:space="0" w:color="152935"/>
              <w:right w:val="single" w:sz="8" w:space="0" w:color="E0E0E0"/>
            </w:tcBorders>
            <w:shd w:val="clear" w:color="auto" w:fill="FFFFFF"/>
          </w:tcPr>
          <w:p w14:paraId="2C16B1C7" w14:textId="77777777" w:rsidR="0087601C" w:rsidRPr="006A1EC7" w:rsidRDefault="0087601C" w:rsidP="00D56051">
            <w:pPr>
              <w:spacing w:line="320" w:lineRule="atLeast"/>
              <w:ind w:left="60" w:right="60"/>
              <w:jc w:val="right"/>
              <w:rPr>
                <w:color w:val="010205"/>
                <w:sz w:val="18"/>
              </w:rPr>
            </w:pPr>
            <w:r w:rsidRPr="006A1EC7">
              <w:rPr>
                <w:color w:val="010205"/>
                <w:sz w:val="18"/>
              </w:rPr>
              <w:t>.810</w:t>
            </w:r>
          </w:p>
        </w:tc>
        <w:tc>
          <w:tcPr>
            <w:tcW w:w="1668" w:type="dxa"/>
            <w:gridSpan w:val="2"/>
            <w:tcBorders>
              <w:top w:val="single" w:sz="8" w:space="0" w:color="AEAEAE"/>
              <w:left w:val="single" w:sz="8" w:space="0" w:color="E0E0E0"/>
              <w:bottom w:val="single" w:sz="8" w:space="0" w:color="152935"/>
              <w:right w:val="single" w:sz="8" w:space="0" w:color="E0E0E0"/>
            </w:tcBorders>
            <w:shd w:val="clear" w:color="auto" w:fill="FFFFFF"/>
          </w:tcPr>
          <w:p w14:paraId="7DAEE74C" w14:textId="77777777" w:rsidR="0087601C" w:rsidRPr="006A1EC7" w:rsidRDefault="0087601C" w:rsidP="00D56051">
            <w:pPr>
              <w:spacing w:line="320" w:lineRule="atLeast"/>
              <w:ind w:left="60" w:right="60"/>
              <w:jc w:val="right"/>
              <w:rPr>
                <w:color w:val="010205"/>
                <w:sz w:val="18"/>
              </w:rPr>
            </w:pPr>
            <w:r w:rsidRPr="006A1EC7">
              <w:rPr>
                <w:color w:val="010205"/>
                <w:sz w:val="18"/>
              </w:rPr>
              <w:t>-.041</w:t>
            </w:r>
          </w:p>
        </w:tc>
        <w:tc>
          <w:tcPr>
            <w:tcW w:w="1668" w:type="dxa"/>
            <w:gridSpan w:val="2"/>
            <w:tcBorders>
              <w:top w:val="single" w:sz="8" w:space="0" w:color="AEAEAE"/>
              <w:left w:val="single" w:sz="8" w:space="0" w:color="E0E0E0"/>
              <w:bottom w:val="single" w:sz="8" w:space="0" w:color="152935"/>
              <w:right w:val="single" w:sz="8" w:space="0" w:color="E0E0E0"/>
            </w:tcBorders>
            <w:shd w:val="clear" w:color="auto" w:fill="FFFFFF"/>
          </w:tcPr>
          <w:p w14:paraId="39EC3DCE" w14:textId="77777777" w:rsidR="0087601C" w:rsidRPr="006A1EC7" w:rsidRDefault="0087601C" w:rsidP="00D56051">
            <w:pPr>
              <w:spacing w:line="320" w:lineRule="atLeast"/>
              <w:ind w:left="60" w:right="60"/>
              <w:jc w:val="right"/>
              <w:rPr>
                <w:color w:val="010205"/>
                <w:sz w:val="18"/>
              </w:rPr>
            </w:pPr>
            <w:r w:rsidRPr="006A1EC7">
              <w:rPr>
                <w:color w:val="010205"/>
                <w:sz w:val="18"/>
              </w:rPr>
              <w:t>-.38</w:t>
            </w:r>
          </w:p>
        </w:tc>
        <w:tc>
          <w:tcPr>
            <w:tcW w:w="1668" w:type="dxa"/>
            <w:tcBorders>
              <w:top w:val="single" w:sz="8" w:space="0" w:color="AEAEAE"/>
              <w:left w:val="single" w:sz="8" w:space="0" w:color="E0E0E0"/>
              <w:bottom w:val="single" w:sz="8" w:space="0" w:color="152935"/>
              <w:right w:val="nil"/>
            </w:tcBorders>
            <w:shd w:val="clear" w:color="auto" w:fill="FFFFFF"/>
          </w:tcPr>
          <w:p w14:paraId="370BD098" w14:textId="77777777" w:rsidR="0087601C" w:rsidRPr="006A1EC7" w:rsidRDefault="0087601C" w:rsidP="00D56051">
            <w:pPr>
              <w:spacing w:line="320" w:lineRule="atLeast"/>
              <w:ind w:left="60" w:right="60"/>
              <w:jc w:val="right"/>
              <w:rPr>
                <w:color w:val="010205"/>
                <w:sz w:val="18"/>
              </w:rPr>
            </w:pPr>
            <w:r w:rsidRPr="006A1EC7">
              <w:rPr>
                <w:color w:val="010205"/>
                <w:sz w:val="18"/>
              </w:rPr>
              <w:t>.30</w:t>
            </w:r>
          </w:p>
        </w:tc>
      </w:tr>
    </w:tbl>
    <w:p w14:paraId="5E2227A2"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2"/>
        <w:gridCol w:w="111"/>
        <w:gridCol w:w="1095"/>
        <w:gridCol w:w="182"/>
        <w:gridCol w:w="1023"/>
        <w:gridCol w:w="254"/>
        <w:gridCol w:w="1472"/>
        <w:gridCol w:w="358"/>
        <w:gridCol w:w="1368"/>
        <w:gridCol w:w="462"/>
        <w:gridCol w:w="1264"/>
        <w:gridCol w:w="1726"/>
      </w:tblGrid>
      <w:tr w:rsidR="0087601C" w:rsidRPr="006A1EC7" w14:paraId="35B457CE" w14:textId="77777777" w:rsidTr="00D56051">
        <w:trPr>
          <w:gridAfter w:val="2"/>
          <w:wAfter w:w="2990" w:type="dxa"/>
          <w:cantSplit/>
        </w:trPr>
        <w:tc>
          <w:tcPr>
            <w:tcW w:w="8197" w:type="dxa"/>
            <w:gridSpan w:val="10"/>
            <w:tcBorders>
              <w:top w:val="nil"/>
              <w:left w:val="nil"/>
              <w:bottom w:val="nil"/>
              <w:right w:val="nil"/>
            </w:tcBorders>
            <w:shd w:val="clear" w:color="auto" w:fill="FFFFFF"/>
            <w:vAlign w:val="center"/>
          </w:tcPr>
          <w:p w14:paraId="5F575DBF" w14:textId="77777777" w:rsidR="0087601C" w:rsidRPr="006A1EC7" w:rsidRDefault="0087601C" w:rsidP="00D56051">
            <w:pPr>
              <w:spacing w:line="320" w:lineRule="atLeast"/>
              <w:ind w:right="60"/>
              <w:rPr>
                <w:color w:val="010205"/>
                <w:sz w:val="22"/>
                <w:szCs w:val="30"/>
              </w:rPr>
            </w:pPr>
          </w:p>
        </w:tc>
      </w:tr>
      <w:tr w:rsidR="0087601C" w:rsidRPr="006A1EC7" w14:paraId="77B6CC64" w14:textId="77777777" w:rsidTr="00D56051">
        <w:trPr>
          <w:gridAfter w:val="2"/>
          <w:wAfter w:w="2990" w:type="dxa"/>
          <w:cantSplit/>
        </w:trPr>
        <w:tc>
          <w:tcPr>
            <w:tcW w:w="1983" w:type="dxa"/>
            <w:gridSpan w:val="2"/>
            <w:tcBorders>
              <w:top w:val="nil"/>
              <w:left w:val="nil"/>
              <w:bottom w:val="single" w:sz="8" w:space="0" w:color="152935"/>
              <w:right w:val="nil"/>
            </w:tcBorders>
            <w:shd w:val="clear" w:color="auto" w:fill="FFFFFF"/>
            <w:vAlign w:val="bottom"/>
          </w:tcPr>
          <w:p w14:paraId="6299577F" w14:textId="77777777" w:rsidR="0087601C" w:rsidRPr="006A1EC7" w:rsidRDefault="0087601C" w:rsidP="00D56051">
            <w:pPr>
              <w:rPr>
                <w:sz w:val="18"/>
              </w:rPr>
            </w:pPr>
          </w:p>
        </w:tc>
        <w:tc>
          <w:tcPr>
            <w:tcW w:w="1277" w:type="dxa"/>
            <w:gridSpan w:val="2"/>
            <w:tcBorders>
              <w:top w:val="nil"/>
              <w:left w:val="nil"/>
              <w:bottom w:val="single" w:sz="8" w:space="0" w:color="152935"/>
              <w:right w:val="single" w:sz="8" w:space="0" w:color="E0E0E0"/>
            </w:tcBorders>
            <w:shd w:val="clear" w:color="auto" w:fill="FFFFFF"/>
            <w:vAlign w:val="bottom"/>
          </w:tcPr>
          <w:p w14:paraId="2FBE7EED"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gridSpan w:val="2"/>
            <w:tcBorders>
              <w:top w:val="nil"/>
              <w:left w:val="single" w:sz="8" w:space="0" w:color="E0E0E0"/>
              <w:bottom w:val="single" w:sz="8" w:space="0" w:color="152935"/>
              <w:right w:val="single" w:sz="8" w:space="0" w:color="E0E0E0"/>
            </w:tcBorders>
            <w:shd w:val="clear" w:color="auto" w:fill="FFFFFF"/>
            <w:vAlign w:val="bottom"/>
          </w:tcPr>
          <w:p w14:paraId="3A181121"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gridSpan w:val="2"/>
            <w:tcBorders>
              <w:top w:val="nil"/>
              <w:left w:val="single" w:sz="8" w:space="0" w:color="E0E0E0"/>
              <w:bottom w:val="single" w:sz="8" w:space="0" w:color="152935"/>
              <w:right w:val="single" w:sz="8" w:space="0" w:color="E0E0E0"/>
            </w:tcBorders>
            <w:shd w:val="clear" w:color="auto" w:fill="FFFFFF"/>
            <w:vAlign w:val="bottom"/>
          </w:tcPr>
          <w:p w14:paraId="48560052"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gridSpan w:val="2"/>
            <w:tcBorders>
              <w:top w:val="nil"/>
              <w:left w:val="single" w:sz="8" w:space="0" w:color="E0E0E0"/>
              <w:bottom w:val="single" w:sz="8" w:space="0" w:color="152935"/>
              <w:right w:val="nil"/>
            </w:tcBorders>
            <w:shd w:val="clear" w:color="auto" w:fill="FFFFFF"/>
            <w:vAlign w:val="bottom"/>
          </w:tcPr>
          <w:p w14:paraId="265721C2"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280CE589" w14:textId="77777777" w:rsidTr="00D56051">
        <w:trPr>
          <w:gridAfter w:val="2"/>
          <w:wAfter w:w="2990" w:type="dxa"/>
          <w:cantSplit/>
        </w:trPr>
        <w:tc>
          <w:tcPr>
            <w:tcW w:w="1983" w:type="dxa"/>
            <w:gridSpan w:val="2"/>
            <w:tcBorders>
              <w:top w:val="single" w:sz="8" w:space="0" w:color="152935"/>
              <w:left w:val="nil"/>
              <w:bottom w:val="single" w:sz="8" w:space="0" w:color="AEAEAE"/>
              <w:right w:val="nil"/>
            </w:tcBorders>
            <w:shd w:val="clear" w:color="auto" w:fill="E0E0E0"/>
          </w:tcPr>
          <w:p w14:paraId="3ACC0C05" w14:textId="77777777" w:rsidR="0087601C" w:rsidRPr="006A1EC7" w:rsidRDefault="0087601C" w:rsidP="00D56051">
            <w:pPr>
              <w:spacing w:line="320" w:lineRule="atLeast"/>
              <w:ind w:left="60" w:right="60"/>
              <w:rPr>
                <w:color w:val="264A60"/>
                <w:sz w:val="18"/>
              </w:rPr>
            </w:pPr>
            <w:r w:rsidRPr="006A1EC7">
              <w:rPr>
                <w:color w:val="264A60"/>
                <w:sz w:val="18"/>
              </w:rPr>
              <w:t>T1Fineen_Face</w:t>
            </w:r>
          </w:p>
        </w:tc>
        <w:tc>
          <w:tcPr>
            <w:tcW w:w="1277" w:type="dxa"/>
            <w:gridSpan w:val="2"/>
            <w:tcBorders>
              <w:top w:val="single" w:sz="8" w:space="0" w:color="152935"/>
              <w:left w:val="nil"/>
              <w:bottom w:val="single" w:sz="8" w:space="0" w:color="AEAEAE"/>
              <w:right w:val="single" w:sz="8" w:space="0" w:color="E0E0E0"/>
            </w:tcBorders>
            <w:shd w:val="clear" w:color="auto" w:fill="FFFFFF"/>
          </w:tcPr>
          <w:p w14:paraId="40F5E0AD"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277" w:type="dxa"/>
            <w:gridSpan w:val="2"/>
            <w:tcBorders>
              <w:top w:val="single" w:sz="8" w:space="0" w:color="152935"/>
              <w:left w:val="single" w:sz="8" w:space="0" w:color="E0E0E0"/>
              <w:bottom w:val="single" w:sz="8" w:space="0" w:color="AEAEAE"/>
              <w:right w:val="single" w:sz="8" w:space="0" w:color="E0E0E0"/>
            </w:tcBorders>
            <w:shd w:val="clear" w:color="auto" w:fill="FFFFFF"/>
          </w:tcPr>
          <w:p w14:paraId="33B923EA" w14:textId="77777777" w:rsidR="0087601C" w:rsidRPr="006A1EC7" w:rsidRDefault="0087601C" w:rsidP="00D56051">
            <w:pPr>
              <w:spacing w:line="320" w:lineRule="atLeast"/>
              <w:ind w:left="60" w:right="60"/>
              <w:jc w:val="right"/>
              <w:rPr>
                <w:color w:val="010205"/>
                <w:sz w:val="18"/>
              </w:rPr>
            </w:pPr>
            <w:r w:rsidRPr="006A1EC7">
              <w:rPr>
                <w:color w:val="010205"/>
                <w:sz w:val="18"/>
              </w:rPr>
              <w:t>2.31</w:t>
            </w:r>
          </w:p>
        </w:tc>
        <w:tc>
          <w:tcPr>
            <w:tcW w:w="18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60A3A465" w14:textId="77777777" w:rsidR="0087601C" w:rsidRPr="006A1EC7" w:rsidRDefault="0087601C" w:rsidP="00D56051">
            <w:pPr>
              <w:spacing w:line="320" w:lineRule="atLeast"/>
              <w:ind w:left="60" w:right="60"/>
              <w:jc w:val="right"/>
              <w:rPr>
                <w:color w:val="010205"/>
                <w:sz w:val="18"/>
              </w:rPr>
            </w:pPr>
            <w:r w:rsidRPr="006A1EC7">
              <w:rPr>
                <w:color w:val="010205"/>
                <w:sz w:val="18"/>
              </w:rPr>
              <w:t>.822</w:t>
            </w:r>
          </w:p>
        </w:tc>
        <w:tc>
          <w:tcPr>
            <w:tcW w:w="1830" w:type="dxa"/>
            <w:gridSpan w:val="2"/>
            <w:tcBorders>
              <w:top w:val="single" w:sz="8" w:space="0" w:color="152935"/>
              <w:left w:val="single" w:sz="8" w:space="0" w:color="E0E0E0"/>
              <w:bottom w:val="single" w:sz="8" w:space="0" w:color="AEAEAE"/>
              <w:right w:val="nil"/>
            </w:tcBorders>
            <w:shd w:val="clear" w:color="auto" w:fill="FFFFFF"/>
          </w:tcPr>
          <w:p w14:paraId="00E68F1C" w14:textId="77777777" w:rsidR="0087601C" w:rsidRPr="006A1EC7" w:rsidRDefault="0087601C" w:rsidP="00D56051">
            <w:pPr>
              <w:spacing w:line="320" w:lineRule="atLeast"/>
              <w:ind w:left="60" w:right="60"/>
              <w:jc w:val="right"/>
              <w:rPr>
                <w:color w:val="010205"/>
                <w:sz w:val="18"/>
              </w:rPr>
            </w:pPr>
            <w:r w:rsidRPr="006A1EC7">
              <w:rPr>
                <w:color w:val="010205"/>
                <w:sz w:val="18"/>
              </w:rPr>
              <w:t>.137</w:t>
            </w:r>
          </w:p>
        </w:tc>
      </w:tr>
      <w:tr w:rsidR="0087601C" w:rsidRPr="006A1EC7" w14:paraId="4F981938" w14:textId="77777777" w:rsidTr="00D56051">
        <w:trPr>
          <w:gridAfter w:val="2"/>
          <w:wAfter w:w="2990" w:type="dxa"/>
          <w:cantSplit/>
        </w:trPr>
        <w:tc>
          <w:tcPr>
            <w:tcW w:w="1983" w:type="dxa"/>
            <w:gridSpan w:val="2"/>
            <w:tcBorders>
              <w:top w:val="single" w:sz="8" w:space="0" w:color="AEAEAE"/>
              <w:left w:val="nil"/>
              <w:bottom w:val="single" w:sz="8" w:space="0" w:color="152935"/>
              <w:right w:val="nil"/>
            </w:tcBorders>
            <w:shd w:val="clear" w:color="auto" w:fill="E0E0E0"/>
          </w:tcPr>
          <w:p w14:paraId="11CE93BD" w14:textId="77777777" w:rsidR="0087601C" w:rsidRPr="006A1EC7" w:rsidRDefault="0087601C" w:rsidP="00D56051">
            <w:pPr>
              <w:spacing w:line="320" w:lineRule="atLeast"/>
              <w:ind w:left="60" w:right="60"/>
              <w:rPr>
                <w:color w:val="264A60"/>
                <w:sz w:val="18"/>
              </w:rPr>
            </w:pPr>
            <w:r w:rsidRPr="006A1EC7">
              <w:rPr>
                <w:color w:val="264A60"/>
                <w:sz w:val="18"/>
              </w:rPr>
              <w:t>Sleep</w:t>
            </w:r>
          </w:p>
        </w:tc>
        <w:tc>
          <w:tcPr>
            <w:tcW w:w="1277" w:type="dxa"/>
            <w:gridSpan w:val="2"/>
            <w:tcBorders>
              <w:top w:val="single" w:sz="8" w:space="0" w:color="AEAEAE"/>
              <w:left w:val="nil"/>
              <w:bottom w:val="single" w:sz="8" w:space="0" w:color="152935"/>
              <w:right w:val="single" w:sz="8" w:space="0" w:color="E0E0E0"/>
            </w:tcBorders>
            <w:shd w:val="clear" w:color="auto" w:fill="FFFFFF"/>
          </w:tcPr>
          <w:p w14:paraId="3D0665E8"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7" w:type="dxa"/>
            <w:gridSpan w:val="2"/>
            <w:tcBorders>
              <w:top w:val="single" w:sz="8" w:space="0" w:color="AEAEAE"/>
              <w:left w:val="single" w:sz="8" w:space="0" w:color="E0E0E0"/>
              <w:bottom w:val="single" w:sz="8" w:space="0" w:color="152935"/>
              <w:right w:val="single" w:sz="8" w:space="0" w:color="E0E0E0"/>
            </w:tcBorders>
            <w:shd w:val="clear" w:color="auto" w:fill="FFFFFF"/>
          </w:tcPr>
          <w:p w14:paraId="398045DE" w14:textId="77777777" w:rsidR="0087601C" w:rsidRPr="006A1EC7" w:rsidRDefault="0087601C" w:rsidP="00D56051">
            <w:pPr>
              <w:spacing w:line="320" w:lineRule="atLeast"/>
              <w:ind w:left="60" w:right="60"/>
              <w:jc w:val="right"/>
              <w:rPr>
                <w:color w:val="010205"/>
                <w:sz w:val="18"/>
              </w:rPr>
            </w:pPr>
            <w:r w:rsidRPr="006A1EC7">
              <w:rPr>
                <w:color w:val="010205"/>
                <w:sz w:val="18"/>
              </w:rPr>
              <w:t>2.27</w:t>
            </w:r>
          </w:p>
        </w:tc>
        <w:tc>
          <w:tcPr>
            <w:tcW w:w="18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090529DF" w14:textId="77777777" w:rsidR="0087601C" w:rsidRPr="006A1EC7" w:rsidRDefault="0087601C" w:rsidP="00D56051">
            <w:pPr>
              <w:spacing w:line="320" w:lineRule="atLeast"/>
              <w:ind w:left="60" w:right="60"/>
              <w:jc w:val="right"/>
              <w:rPr>
                <w:color w:val="010205"/>
                <w:sz w:val="18"/>
              </w:rPr>
            </w:pPr>
            <w:r w:rsidRPr="006A1EC7">
              <w:rPr>
                <w:color w:val="010205"/>
                <w:sz w:val="18"/>
              </w:rPr>
              <w:t>.871</w:t>
            </w:r>
          </w:p>
        </w:tc>
        <w:tc>
          <w:tcPr>
            <w:tcW w:w="1830" w:type="dxa"/>
            <w:gridSpan w:val="2"/>
            <w:tcBorders>
              <w:top w:val="single" w:sz="8" w:space="0" w:color="AEAEAE"/>
              <w:left w:val="single" w:sz="8" w:space="0" w:color="E0E0E0"/>
              <w:bottom w:val="single" w:sz="8" w:space="0" w:color="152935"/>
              <w:right w:val="nil"/>
            </w:tcBorders>
            <w:shd w:val="clear" w:color="auto" w:fill="FFFFFF"/>
          </w:tcPr>
          <w:p w14:paraId="262409C9" w14:textId="77777777" w:rsidR="0087601C" w:rsidRPr="006A1EC7" w:rsidRDefault="0087601C" w:rsidP="00D56051">
            <w:pPr>
              <w:spacing w:line="320" w:lineRule="atLeast"/>
              <w:ind w:left="60" w:right="60"/>
              <w:jc w:val="right"/>
              <w:rPr>
                <w:color w:val="010205"/>
                <w:sz w:val="18"/>
              </w:rPr>
            </w:pPr>
            <w:r w:rsidRPr="006A1EC7">
              <w:rPr>
                <w:color w:val="010205"/>
                <w:sz w:val="18"/>
              </w:rPr>
              <w:t>.143</w:t>
            </w:r>
          </w:p>
        </w:tc>
      </w:tr>
      <w:tr w:rsidR="0087601C" w:rsidRPr="006A1EC7" w14:paraId="54091DBE" w14:textId="77777777" w:rsidTr="00D56051">
        <w:trPr>
          <w:cantSplit/>
        </w:trPr>
        <w:tc>
          <w:tcPr>
            <w:tcW w:w="1872" w:type="dxa"/>
            <w:vMerge w:val="restart"/>
            <w:tcBorders>
              <w:top w:val="nil"/>
              <w:left w:val="nil"/>
              <w:bottom w:val="nil"/>
              <w:right w:val="nil"/>
            </w:tcBorders>
            <w:shd w:val="clear" w:color="auto" w:fill="FFFFFF"/>
            <w:vAlign w:val="bottom"/>
          </w:tcPr>
          <w:p w14:paraId="190C51D6" w14:textId="77777777" w:rsidR="0087601C" w:rsidRPr="006A1EC7" w:rsidRDefault="0087601C" w:rsidP="00D56051">
            <w:pPr>
              <w:rPr>
                <w:sz w:val="18"/>
              </w:rPr>
            </w:pPr>
          </w:p>
        </w:tc>
        <w:tc>
          <w:tcPr>
            <w:tcW w:w="9315" w:type="dxa"/>
            <w:gridSpan w:val="11"/>
            <w:tcBorders>
              <w:top w:val="nil"/>
              <w:left w:val="nil"/>
              <w:bottom w:val="nil"/>
              <w:right w:val="nil"/>
            </w:tcBorders>
            <w:shd w:val="clear" w:color="auto" w:fill="FFFFFF"/>
            <w:vAlign w:val="bottom"/>
          </w:tcPr>
          <w:p w14:paraId="08AC4614"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1.5</w:t>
            </w:r>
          </w:p>
        </w:tc>
      </w:tr>
      <w:tr w:rsidR="0087601C" w:rsidRPr="006A1EC7" w14:paraId="1A8B0B88" w14:textId="77777777" w:rsidTr="00D56051">
        <w:trPr>
          <w:cantSplit/>
        </w:trPr>
        <w:tc>
          <w:tcPr>
            <w:tcW w:w="1872" w:type="dxa"/>
            <w:vMerge/>
            <w:tcBorders>
              <w:top w:val="nil"/>
              <w:left w:val="nil"/>
              <w:bottom w:val="nil"/>
              <w:right w:val="nil"/>
            </w:tcBorders>
            <w:shd w:val="clear" w:color="auto" w:fill="FFFFFF"/>
            <w:vAlign w:val="bottom"/>
          </w:tcPr>
          <w:p w14:paraId="7CC6EFDD" w14:textId="77777777" w:rsidR="0087601C" w:rsidRPr="006A1EC7" w:rsidRDefault="0087601C" w:rsidP="00D56051">
            <w:pPr>
              <w:rPr>
                <w:color w:val="264A60"/>
                <w:sz w:val="18"/>
              </w:rPr>
            </w:pPr>
          </w:p>
        </w:tc>
        <w:tc>
          <w:tcPr>
            <w:tcW w:w="1206" w:type="dxa"/>
            <w:gridSpan w:val="2"/>
            <w:vMerge w:val="restart"/>
            <w:tcBorders>
              <w:top w:val="nil"/>
              <w:left w:val="nil"/>
              <w:bottom w:val="nil"/>
              <w:right w:val="single" w:sz="8" w:space="0" w:color="E0E0E0"/>
            </w:tcBorders>
            <w:shd w:val="clear" w:color="auto" w:fill="FFFFFF"/>
            <w:vAlign w:val="bottom"/>
          </w:tcPr>
          <w:p w14:paraId="76ECFC6D"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05" w:type="dxa"/>
            <w:gridSpan w:val="2"/>
            <w:vMerge w:val="restart"/>
            <w:tcBorders>
              <w:top w:val="nil"/>
              <w:left w:val="single" w:sz="8" w:space="0" w:color="E0E0E0"/>
              <w:bottom w:val="nil"/>
              <w:right w:val="single" w:sz="8" w:space="0" w:color="E0E0E0"/>
            </w:tcBorders>
            <w:shd w:val="clear" w:color="auto" w:fill="FFFFFF"/>
            <w:vAlign w:val="bottom"/>
          </w:tcPr>
          <w:p w14:paraId="7C9CC746"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26" w:type="dxa"/>
            <w:gridSpan w:val="2"/>
            <w:vMerge w:val="restart"/>
            <w:tcBorders>
              <w:top w:val="nil"/>
              <w:left w:val="single" w:sz="8" w:space="0" w:color="E0E0E0"/>
              <w:bottom w:val="nil"/>
              <w:right w:val="single" w:sz="8" w:space="0" w:color="E0E0E0"/>
            </w:tcBorders>
            <w:shd w:val="clear" w:color="auto" w:fill="FFFFFF"/>
            <w:vAlign w:val="bottom"/>
          </w:tcPr>
          <w:p w14:paraId="2595B501"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26" w:type="dxa"/>
            <w:gridSpan w:val="2"/>
            <w:vMerge w:val="restart"/>
            <w:tcBorders>
              <w:top w:val="nil"/>
              <w:left w:val="single" w:sz="8" w:space="0" w:color="E0E0E0"/>
              <w:bottom w:val="nil"/>
              <w:right w:val="single" w:sz="8" w:space="0" w:color="E0E0E0"/>
            </w:tcBorders>
            <w:shd w:val="clear" w:color="auto" w:fill="FFFFFF"/>
            <w:vAlign w:val="bottom"/>
          </w:tcPr>
          <w:p w14:paraId="7B4DA27A"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52" w:type="dxa"/>
            <w:gridSpan w:val="3"/>
            <w:tcBorders>
              <w:top w:val="nil"/>
              <w:left w:val="single" w:sz="8" w:space="0" w:color="E0E0E0"/>
              <w:bottom w:val="nil"/>
              <w:right w:val="nil"/>
            </w:tcBorders>
            <w:shd w:val="clear" w:color="auto" w:fill="FFFFFF"/>
            <w:vAlign w:val="bottom"/>
          </w:tcPr>
          <w:p w14:paraId="6C5F2E95"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239F0592" w14:textId="77777777" w:rsidTr="00D56051">
        <w:trPr>
          <w:cantSplit/>
        </w:trPr>
        <w:tc>
          <w:tcPr>
            <w:tcW w:w="1872" w:type="dxa"/>
            <w:vMerge/>
            <w:tcBorders>
              <w:top w:val="nil"/>
              <w:left w:val="nil"/>
              <w:bottom w:val="nil"/>
              <w:right w:val="nil"/>
            </w:tcBorders>
            <w:shd w:val="clear" w:color="auto" w:fill="FFFFFF"/>
            <w:vAlign w:val="bottom"/>
          </w:tcPr>
          <w:p w14:paraId="63462E8E" w14:textId="77777777" w:rsidR="0087601C" w:rsidRPr="006A1EC7" w:rsidRDefault="0087601C" w:rsidP="00D56051">
            <w:pPr>
              <w:rPr>
                <w:color w:val="264A60"/>
                <w:sz w:val="18"/>
              </w:rPr>
            </w:pPr>
          </w:p>
        </w:tc>
        <w:tc>
          <w:tcPr>
            <w:tcW w:w="1206" w:type="dxa"/>
            <w:gridSpan w:val="2"/>
            <w:vMerge/>
            <w:tcBorders>
              <w:top w:val="nil"/>
              <w:left w:val="nil"/>
              <w:bottom w:val="nil"/>
              <w:right w:val="single" w:sz="8" w:space="0" w:color="E0E0E0"/>
            </w:tcBorders>
            <w:shd w:val="clear" w:color="auto" w:fill="FFFFFF"/>
            <w:vAlign w:val="bottom"/>
          </w:tcPr>
          <w:p w14:paraId="1674E8BC" w14:textId="77777777" w:rsidR="0087601C" w:rsidRPr="006A1EC7" w:rsidRDefault="0087601C" w:rsidP="00D56051">
            <w:pPr>
              <w:rPr>
                <w:color w:val="264A60"/>
                <w:sz w:val="18"/>
              </w:rPr>
            </w:pPr>
          </w:p>
        </w:tc>
        <w:tc>
          <w:tcPr>
            <w:tcW w:w="1205" w:type="dxa"/>
            <w:gridSpan w:val="2"/>
            <w:vMerge/>
            <w:tcBorders>
              <w:top w:val="nil"/>
              <w:left w:val="single" w:sz="8" w:space="0" w:color="E0E0E0"/>
              <w:bottom w:val="nil"/>
              <w:right w:val="single" w:sz="8" w:space="0" w:color="E0E0E0"/>
            </w:tcBorders>
            <w:shd w:val="clear" w:color="auto" w:fill="FFFFFF"/>
            <w:vAlign w:val="bottom"/>
          </w:tcPr>
          <w:p w14:paraId="1E114466" w14:textId="77777777" w:rsidR="0087601C" w:rsidRPr="006A1EC7" w:rsidRDefault="0087601C" w:rsidP="00D56051">
            <w:pPr>
              <w:rPr>
                <w:color w:val="264A60"/>
                <w:sz w:val="18"/>
              </w:rPr>
            </w:pPr>
          </w:p>
        </w:tc>
        <w:tc>
          <w:tcPr>
            <w:tcW w:w="1726" w:type="dxa"/>
            <w:gridSpan w:val="2"/>
            <w:vMerge/>
            <w:tcBorders>
              <w:top w:val="nil"/>
              <w:left w:val="single" w:sz="8" w:space="0" w:color="E0E0E0"/>
              <w:bottom w:val="nil"/>
              <w:right w:val="single" w:sz="8" w:space="0" w:color="E0E0E0"/>
            </w:tcBorders>
            <w:shd w:val="clear" w:color="auto" w:fill="FFFFFF"/>
            <w:vAlign w:val="bottom"/>
          </w:tcPr>
          <w:p w14:paraId="1779B734" w14:textId="77777777" w:rsidR="0087601C" w:rsidRPr="006A1EC7" w:rsidRDefault="0087601C" w:rsidP="00D56051">
            <w:pPr>
              <w:rPr>
                <w:color w:val="264A60"/>
                <w:sz w:val="18"/>
              </w:rPr>
            </w:pPr>
          </w:p>
        </w:tc>
        <w:tc>
          <w:tcPr>
            <w:tcW w:w="1726" w:type="dxa"/>
            <w:gridSpan w:val="2"/>
            <w:vMerge/>
            <w:tcBorders>
              <w:top w:val="nil"/>
              <w:left w:val="single" w:sz="8" w:space="0" w:color="E0E0E0"/>
              <w:bottom w:val="nil"/>
              <w:right w:val="single" w:sz="8" w:space="0" w:color="E0E0E0"/>
            </w:tcBorders>
            <w:shd w:val="clear" w:color="auto" w:fill="FFFFFF"/>
            <w:vAlign w:val="bottom"/>
          </w:tcPr>
          <w:p w14:paraId="3375F792" w14:textId="77777777" w:rsidR="0087601C" w:rsidRPr="006A1EC7" w:rsidRDefault="0087601C" w:rsidP="00D56051">
            <w:pPr>
              <w:rPr>
                <w:color w:val="264A60"/>
                <w:sz w:val="18"/>
              </w:rPr>
            </w:pPr>
          </w:p>
        </w:tc>
        <w:tc>
          <w:tcPr>
            <w:tcW w:w="1726" w:type="dxa"/>
            <w:gridSpan w:val="2"/>
            <w:tcBorders>
              <w:top w:val="nil"/>
              <w:left w:val="single" w:sz="8" w:space="0" w:color="E0E0E0"/>
              <w:bottom w:val="single" w:sz="8" w:space="0" w:color="152935"/>
              <w:right w:val="single" w:sz="8" w:space="0" w:color="E0E0E0"/>
            </w:tcBorders>
            <w:shd w:val="clear" w:color="auto" w:fill="FFFFFF"/>
            <w:vAlign w:val="bottom"/>
          </w:tcPr>
          <w:p w14:paraId="4FA75FEC"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26" w:type="dxa"/>
            <w:tcBorders>
              <w:top w:val="nil"/>
              <w:left w:val="single" w:sz="8" w:space="0" w:color="E0E0E0"/>
              <w:bottom w:val="single" w:sz="8" w:space="0" w:color="152935"/>
              <w:right w:val="nil"/>
            </w:tcBorders>
            <w:shd w:val="clear" w:color="auto" w:fill="FFFFFF"/>
            <w:vAlign w:val="bottom"/>
          </w:tcPr>
          <w:p w14:paraId="6317D04D"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740A5852" w14:textId="77777777" w:rsidTr="00D56051">
        <w:trPr>
          <w:cantSplit/>
        </w:trPr>
        <w:tc>
          <w:tcPr>
            <w:tcW w:w="1872" w:type="dxa"/>
            <w:tcBorders>
              <w:top w:val="single" w:sz="8" w:space="0" w:color="152935"/>
              <w:left w:val="nil"/>
              <w:bottom w:val="single" w:sz="8" w:space="0" w:color="AEAEAE"/>
              <w:right w:val="nil"/>
            </w:tcBorders>
            <w:shd w:val="clear" w:color="auto" w:fill="E0E0E0"/>
          </w:tcPr>
          <w:p w14:paraId="26A58596" w14:textId="77777777" w:rsidR="0087601C" w:rsidRPr="006A1EC7" w:rsidRDefault="0087601C" w:rsidP="00D56051">
            <w:pPr>
              <w:spacing w:line="320" w:lineRule="atLeast"/>
              <w:ind w:left="60" w:right="60"/>
              <w:rPr>
                <w:color w:val="264A60"/>
                <w:sz w:val="18"/>
              </w:rPr>
            </w:pPr>
            <w:r w:rsidRPr="006A1EC7">
              <w:rPr>
                <w:color w:val="264A60"/>
                <w:sz w:val="18"/>
              </w:rPr>
              <w:t>T1Fineen_Face</w:t>
            </w:r>
          </w:p>
        </w:tc>
        <w:tc>
          <w:tcPr>
            <w:tcW w:w="1206" w:type="dxa"/>
            <w:gridSpan w:val="2"/>
            <w:tcBorders>
              <w:top w:val="single" w:sz="8" w:space="0" w:color="152935"/>
              <w:left w:val="nil"/>
              <w:bottom w:val="single" w:sz="8" w:space="0" w:color="AEAEAE"/>
              <w:right w:val="single" w:sz="8" w:space="0" w:color="E0E0E0"/>
            </w:tcBorders>
            <w:shd w:val="clear" w:color="auto" w:fill="FFFFFF"/>
          </w:tcPr>
          <w:p w14:paraId="37029346" w14:textId="77777777" w:rsidR="0087601C" w:rsidRPr="006A1EC7" w:rsidRDefault="0087601C" w:rsidP="00D56051">
            <w:pPr>
              <w:spacing w:line="320" w:lineRule="atLeast"/>
              <w:ind w:left="60" w:right="60"/>
              <w:jc w:val="right"/>
              <w:rPr>
                <w:color w:val="010205"/>
                <w:sz w:val="18"/>
              </w:rPr>
            </w:pPr>
            <w:r w:rsidRPr="006A1EC7">
              <w:rPr>
                <w:color w:val="010205"/>
                <w:sz w:val="18"/>
              </w:rPr>
              <w:t>5.881</w:t>
            </w:r>
          </w:p>
        </w:tc>
        <w:tc>
          <w:tcPr>
            <w:tcW w:w="1205" w:type="dxa"/>
            <w:gridSpan w:val="2"/>
            <w:tcBorders>
              <w:top w:val="single" w:sz="8" w:space="0" w:color="152935"/>
              <w:left w:val="single" w:sz="8" w:space="0" w:color="E0E0E0"/>
              <w:bottom w:val="single" w:sz="8" w:space="0" w:color="AEAEAE"/>
              <w:right w:val="single" w:sz="8" w:space="0" w:color="E0E0E0"/>
            </w:tcBorders>
            <w:shd w:val="clear" w:color="auto" w:fill="FFFFFF"/>
          </w:tcPr>
          <w:p w14:paraId="78D8BEB7" w14:textId="77777777" w:rsidR="0087601C" w:rsidRPr="006A1EC7" w:rsidRDefault="0087601C" w:rsidP="00D56051">
            <w:pPr>
              <w:spacing w:line="320" w:lineRule="atLeast"/>
              <w:ind w:left="60" w:right="60"/>
              <w:jc w:val="right"/>
              <w:rPr>
                <w:color w:val="010205"/>
                <w:sz w:val="18"/>
              </w:rPr>
            </w:pPr>
            <w:r w:rsidRPr="006A1EC7">
              <w:rPr>
                <w:color w:val="010205"/>
                <w:sz w:val="18"/>
              </w:rPr>
              <w:t>35</w:t>
            </w:r>
          </w:p>
        </w:tc>
        <w:tc>
          <w:tcPr>
            <w:tcW w:w="1726" w:type="dxa"/>
            <w:gridSpan w:val="2"/>
            <w:tcBorders>
              <w:top w:val="single" w:sz="8" w:space="0" w:color="152935"/>
              <w:left w:val="single" w:sz="8" w:space="0" w:color="E0E0E0"/>
              <w:bottom w:val="single" w:sz="8" w:space="0" w:color="AEAEAE"/>
              <w:right w:val="single" w:sz="8" w:space="0" w:color="E0E0E0"/>
            </w:tcBorders>
            <w:shd w:val="clear" w:color="auto" w:fill="FFFFFF"/>
          </w:tcPr>
          <w:p w14:paraId="2E196DF7"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726" w:type="dxa"/>
            <w:gridSpan w:val="2"/>
            <w:tcBorders>
              <w:top w:val="single" w:sz="8" w:space="0" w:color="152935"/>
              <w:left w:val="single" w:sz="8" w:space="0" w:color="E0E0E0"/>
              <w:bottom w:val="single" w:sz="8" w:space="0" w:color="AEAEAE"/>
              <w:right w:val="single" w:sz="8" w:space="0" w:color="E0E0E0"/>
            </w:tcBorders>
            <w:shd w:val="clear" w:color="auto" w:fill="FFFFFF"/>
          </w:tcPr>
          <w:p w14:paraId="209C5D65" w14:textId="77777777" w:rsidR="0087601C" w:rsidRPr="006A1EC7" w:rsidRDefault="0087601C" w:rsidP="00D56051">
            <w:pPr>
              <w:spacing w:line="320" w:lineRule="atLeast"/>
              <w:ind w:left="60" w:right="60"/>
              <w:jc w:val="right"/>
              <w:rPr>
                <w:color w:val="010205"/>
                <w:sz w:val="18"/>
              </w:rPr>
            </w:pPr>
            <w:r w:rsidRPr="006A1EC7">
              <w:rPr>
                <w:color w:val="010205"/>
                <w:sz w:val="18"/>
              </w:rPr>
              <w:t>.806</w:t>
            </w:r>
          </w:p>
        </w:tc>
        <w:tc>
          <w:tcPr>
            <w:tcW w:w="1726" w:type="dxa"/>
            <w:gridSpan w:val="2"/>
            <w:tcBorders>
              <w:top w:val="single" w:sz="8" w:space="0" w:color="152935"/>
              <w:left w:val="single" w:sz="8" w:space="0" w:color="E0E0E0"/>
              <w:bottom w:val="single" w:sz="8" w:space="0" w:color="AEAEAE"/>
              <w:right w:val="single" w:sz="8" w:space="0" w:color="E0E0E0"/>
            </w:tcBorders>
            <w:shd w:val="clear" w:color="auto" w:fill="FFFFFF"/>
          </w:tcPr>
          <w:p w14:paraId="29B7BC2B" w14:textId="77777777" w:rsidR="0087601C" w:rsidRPr="006A1EC7" w:rsidRDefault="0087601C" w:rsidP="00D56051">
            <w:pPr>
              <w:spacing w:line="320" w:lineRule="atLeast"/>
              <w:ind w:left="60" w:right="60"/>
              <w:jc w:val="right"/>
              <w:rPr>
                <w:color w:val="010205"/>
                <w:sz w:val="18"/>
              </w:rPr>
            </w:pPr>
            <w:r w:rsidRPr="006A1EC7">
              <w:rPr>
                <w:color w:val="010205"/>
                <w:sz w:val="18"/>
              </w:rPr>
              <w:t>.53</w:t>
            </w:r>
          </w:p>
        </w:tc>
        <w:tc>
          <w:tcPr>
            <w:tcW w:w="1726" w:type="dxa"/>
            <w:tcBorders>
              <w:top w:val="single" w:sz="8" w:space="0" w:color="152935"/>
              <w:left w:val="single" w:sz="8" w:space="0" w:color="E0E0E0"/>
              <w:bottom w:val="single" w:sz="8" w:space="0" w:color="AEAEAE"/>
              <w:right w:val="nil"/>
            </w:tcBorders>
            <w:shd w:val="clear" w:color="auto" w:fill="FFFFFF"/>
          </w:tcPr>
          <w:p w14:paraId="08BA743F" w14:textId="77777777" w:rsidR="0087601C" w:rsidRPr="006A1EC7" w:rsidRDefault="0087601C" w:rsidP="00D56051">
            <w:pPr>
              <w:spacing w:line="320" w:lineRule="atLeast"/>
              <w:ind w:left="60" w:right="60"/>
              <w:jc w:val="right"/>
              <w:rPr>
                <w:color w:val="010205"/>
                <w:sz w:val="18"/>
              </w:rPr>
            </w:pPr>
            <w:r w:rsidRPr="006A1EC7">
              <w:rPr>
                <w:color w:val="010205"/>
                <w:sz w:val="18"/>
              </w:rPr>
              <w:t>1.08</w:t>
            </w:r>
          </w:p>
        </w:tc>
      </w:tr>
      <w:tr w:rsidR="0087601C" w:rsidRPr="006A1EC7" w14:paraId="4145B228" w14:textId="77777777" w:rsidTr="00D56051">
        <w:trPr>
          <w:cantSplit/>
        </w:trPr>
        <w:tc>
          <w:tcPr>
            <w:tcW w:w="1872" w:type="dxa"/>
            <w:tcBorders>
              <w:top w:val="single" w:sz="8" w:space="0" w:color="AEAEAE"/>
              <w:left w:val="nil"/>
              <w:bottom w:val="single" w:sz="8" w:space="0" w:color="152935"/>
              <w:right w:val="nil"/>
            </w:tcBorders>
            <w:shd w:val="clear" w:color="auto" w:fill="E0E0E0"/>
          </w:tcPr>
          <w:p w14:paraId="4BEB2DE9" w14:textId="77777777" w:rsidR="0087601C" w:rsidRPr="006A1EC7" w:rsidRDefault="0087601C" w:rsidP="00D56051">
            <w:pPr>
              <w:spacing w:line="320" w:lineRule="atLeast"/>
              <w:ind w:left="60" w:right="60"/>
              <w:rPr>
                <w:color w:val="264A60"/>
                <w:sz w:val="18"/>
              </w:rPr>
            </w:pPr>
            <w:r w:rsidRPr="006A1EC7">
              <w:rPr>
                <w:color w:val="264A60"/>
                <w:sz w:val="18"/>
              </w:rPr>
              <w:t>Sleep</w:t>
            </w:r>
          </w:p>
        </w:tc>
        <w:tc>
          <w:tcPr>
            <w:tcW w:w="1206" w:type="dxa"/>
            <w:gridSpan w:val="2"/>
            <w:tcBorders>
              <w:top w:val="single" w:sz="8" w:space="0" w:color="AEAEAE"/>
              <w:left w:val="nil"/>
              <w:bottom w:val="single" w:sz="8" w:space="0" w:color="152935"/>
              <w:right w:val="single" w:sz="8" w:space="0" w:color="E0E0E0"/>
            </w:tcBorders>
            <w:shd w:val="clear" w:color="auto" w:fill="FFFFFF"/>
          </w:tcPr>
          <w:p w14:paraId="184D21AF" w14:textId="77777777" w:rsidR="0087601C" w:rsidRPr="006A1EC7" w:rsidRDefault="0087601C" w:rsidP="00D56051">
            <w:pPr>
              <w:spacing w:line="320" w:lineRule="atLeast"/>
              <w:ind w:left="60" w:right="60"/>
              <w:jc w:val="right"/>
              <w:rPr>
                <w:color w:val="010205"/>
                <w:sz w:val="18"/>
              </w:rPr>
            </w:pPr>
            <w:r w:rsidRPr="006A1EC7">
              <w:rPr>
                <w:color w:val="010205"/>
                <w:sz w:val="18"/>
              </w:rPr>
              <w:t>5.381</w:t>
            </w:r>
          </w:p>
        </w:tc>
        <w:tc>
          <w:tcPr>
            <w:tcW w:w="1205" w:type="dxa"/>
            <w:gridSpan w:val="2"/>
            <w:tcBorders>
              <w:top w:val="single" w:sz="8" w:space="0" w:color="AEAEAE"/>
              <w:left w:val="single" w:sz="8" w:space="0" w:color="E0E0E0"/>
              <w:bottom w:val="single" w:sz="8" w:space="0" w:color="152935"/>
              <w:right w:val="single" w:sz="8" w:space="0" w:color="E0E0E0"/>
            </w:tcBorders>
            <w:shd w:val="clear" w:color="auto" w:fill="FFFFFF"/>
          </w:tcPr>
          <w:p w14:paraId="6211E87A"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726" w:type="dxa"/>
            <w:gridSpan w:val="2"/>
            <w:tcBorders>
              <w:top w:val="single" w:sz="8" w:space="0" w:color="AEAEAE"/>
              <w:left w:val="single" w:sz="8" w:space="0" w:color="E0E0E0"/>
              <w:bottom w:val="single" w:sz="8" w:space="0" w:color="152935"/>
              <w:right w:val="single" w:sz="8" w:space="0" w:color="E0E0E0"/>
            </w:tcBorders>
            <w:shd w:val="clear" w:color="auto" w:fill="FFFFFF"/>
          </w:tcPr>
          <w:p w14:paraId="6410691C"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726" w:type="dxa"/>
            <w:gridSpan w:val="2"/>
            <w:tcBorders>
              <w:top w:val="single" w:sz="8" w:space="0" w:color="AEAEAE"/>
              <w:left w:val="single" w:sz="8" w:space="0" w:color="E0E0E0"/>
              <w:bottom w:val="single" w:sz="8" w:space="0" w:color="152935"/>
              <w:right w:val="single" w:sz="8" w:space="0" w:color="E0E0E0"/>
            </w:tcBorders>
            <w:shd w:val="clear" w:color="auto" w:fill="FFFFFF"/>
          </w:tcPr>
          <w:p w14:paraId="649D3A60" w14:textId="77777777" w:rsidR="0087601C" w:rsidRPr="006A1EC7" w:rsidRDefault="0087601C" w:rsidP="00D56051">
            <w:pPr>
              <w:spacing w:line="320" w:lineRule="atLeast"/>
              <w:ind w:left="60" w:right="60"/>
              <w:jc w:val="right"/>
              <w:rPr>
                <w:color w:val="010205"/>
                <w:sz w:val="18"/>
              </w:rPr>
            </w:pPr>
            <w:r w:rsidRPr="006A1EC7">
              <w:rPr>
                <w:color w:val="010205"/>
                <w:sz w:val="18"/>
              </w:rPr>
              <w:t>.770</w:t>
            </w:r>
          </w:p>
        </w:tc>
        <w:tc>
          <w:tcPr>
            <w:tcW w:w="1726" w:type="dxa"/>
            <w:gridSpan w:val="2"/>
            <w:tcBorders>
              <w:top w:val="single" w:sz="8" w:space="0" w:color="AEAEAE"/>
              <w:left w:val="single" w:sz="8" w:space="0" w:color="E0E0E0"/>
              <w:bottom w:val="single" w:sz="8" w:space="0" w:color="152935"/>
              <w:right w:val="single" w:sz="8" w:space="0" w:color="E0E0E0"/>
            </w:tcBorders>
            <w:shd w:val="clear" w:color="auto" w:fill="FFFFFF"/>
          </w:tcPr>
          <w:p w14:paraId="7ED56198" w14:textId="77777777" w:rsidR="0087601C" w:rsidRPr="006A1EC7" w:rsidRDefault="0087601C" w:rsidP="00D56051">
            <w:pPr>
              <w:spacing w:line="320" w:lineRule="atLeast"/>
              <w:ind w:left="60" w:right="60"/>
              <w:jc w:val="right"/>
              <w:rPr>
                <w:color w:val="010205"/>
                <w:sz w:val="18"/>
              </w:rPr>
            </w:pPr>
            <w:r w:rsidRPr="006A1EC7">
              <w:rPr>
                <w:color w:val="010205"/>
                <w:sz w:val="18"/>
              </w:rPr>
              <w:t>.48</w:t>
            </w:r>
          </w:p>
        </w:tc>
        <w:tc>
          <w:tcPr>
            <w:tcW w:w="1726" w:type="dxa"/>
            <w:tcBorders>
              <w:top w:val="single" w:sz="8" w:space="0" w:color="AEAEAE"/>
              <w:left w:val="single" w:sz="8" w:space="0" w:color="E0E0E0"/>
              <w:bottom w:val="single" w:sz="8" w:space="0" w:color="152935"/>
              <w:right w:val="nil"/>
            </w:tcBorders>
            <w:shd w:val="clear" w:color="auto" w:fill="FFFFFF"/>
          </w:tcPr>
          <w:p w14:paraId="5B0DF390" w14:textId="77777777" w:rsidR="0087601C" w:rsidRPr="006A1EC7" w:rsidRDefault="0087601C" w:rsidP="00D56051">
            <w:pPr>
              <w:spacing w:line="320" w:lineRule="atLeast"/>
              <w:ind w:left="60" w:right="60"/>
              <w:jc w:val="right"/>
              <w:rPr>
                <w:color w:val="010205"/>
                <w:sz w:val="18"/>
              </w:rPr>
            </w:pPr>
            <w:r w:rsidRPr="006A1EC7">
              <w:rPr>
                <w:color w:val="010205"/>
                <w:sz w:val="18"/>
              </w:rPr>
              <w:t>1.06</w:t>
            </w:r>
          </w:p>
        </w:tc>
      </w:tr>
    </w:tbl>
    <w:p w14:paraId="29D07004" w14:textId="77777777" w:rsidR="0087601C" w:rsidRPr="006A1EC7" w:rsidRDefault="0087601C" w:rsidP="0087601C">
      <w:pPr>
        <w:spacing w:line="400" w:lineRule="atLeast"/>
        <w:rPr>
          <w:sz w:val="18"/>
        </w:rPr>
      </w:pPr>
    </w:p>
    <w:tbl>
      <w:tblPr>
        <w:tblW w:w="8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1"/>
        <w:gridCol w:w="1276"/>
        <w:gridCol w:w="1276"/>
        <w:gridCol w:w="1829"/>
        <w:gridCol w:w="1829"/>
      </w:tblGrid>
      <w:tr w:rsidR="0087601C" w:rsidRPr="006A1EC7" w14:paraId="3148B541" w14:textId="77777777" w:rsidTr="00D56051">
        <w:trPr>
          <w:cantSplit/>
        </w:trPr>
        <w:tc>
          <w:tcPr>
            <w:tcW w:w="8608" w:type="dxa"/>
            <w:gridSpan w:val="5"/>
            <w:tcBorders>
              <w:top w:val="nil"/>
              <w:left w:val="nil"/>
              <w:bottom w:val="nil"/>
              <w:right w:val="nil"/>
            </w:tcBorders>
            <w:shd w:val="clear" w:color="auto" w:fill="FFFFFF"/>
            <w:vAlign w:val="center"/>
          </w:tcPr>
          <w:p w14:paraId="3C6607DE" w14:textId="77777777" w:rsidR="0087601C" w:rsidRPr="006A1EC7" w:rsidRDefault="0087601C" w:rsidP="00D56051">
            <w:pPr>
              <w:spacing w:line="320" w:lineRule="atLeast"/>
              <w:ind w:right="60"/>
              <w:rPr>
                <w:color w:val="010205"/>
                <w:sz w:val="22"/>
                <w:szCs w:val="30"/>
              </w:rPr>
            </w:pPr>
          </w:p>
        </w:tc>
      </w:tr>
      <w:tr w:rsidR="0087601C" w:rsidRPr="006A1EC7" w14:paraId="2B4BFDB4" w14:textId="77777777" w:rsidTr="00D56051">
        <w:trPr>
          <w:cantSplit/>
        </w:trPr>
        <w:tc>
          <w:tcPr>
            <w:tcW w:w="2400" w:type="dxa"/>
            <w:tcBorders>
              <w:top w:val="nil"/>
              <w:left w:val="nil"/>
              <w:bottom w:val="single" w:sz="8" w:space="0" w:color="152935"/>
              <w:right w:val="nil"/>
            </w:tcBorders>
            <w:shd w:val="clear" w:color="auto" w:fill="FFFFFF"/>
            <w:vAlign w:val="bottom"/>
          </w:tcPr>
          <w:p w14:paraId="4D5E3DC7"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3374D9DB"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24D662E1"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tcBorders>
              <w:top w:val="nil"/>
              <w:left w:val="single" w:sz="8" w:space="0" w:color="E0E0E0"/>
              <w:bottom w:val="single" w:sz="8" w:space="0" w:color="152935"/>
              <w:right w:val="single" w:sz="8" w:space="0" w:color="E0E0E0"/>
            </w:tcBorders>
            <w:shd w:val="clear" w:color="auto" w:fill="FFFFFF"/>
            <w:vAlign w:val="bottom"/>
          </w:tcPr>
          <w:p w14:paraId="4F9C0DAE"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tcBorders>
              <w:top w:val="nil"/>
              <w:left w:val="single" w:sz="8" w:space="0" w:color="E0E0E0"/>
              <w:bottom w:val="single" w:sz="8" w:space="0" w:color="152935"/>
              <w:right w:val="nil"/>
            </w:tcBorders>
            <w:shd w:val="clear" w:color="auto" w:fill="FFFFFF"/>
            <w:vAlign w:val="bottom"/>
          </w:tcPr>
          <w:p w14:paraId="30C5B20A"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5DB0E32B" w14:textId="77777777" w:rsidTr="00D56051">
        <w:trPr>
          <w:cantSplit/>
        </w:trPr>
        <w:tc>
          <w:tcPr>
            <w:tcW w:w="2400" w:type="dxa"/>
            <w:tcBorders>
              <w:top w:val="single" w:sz="8" w:space="0" w:color="152935"/>
              <w:left w:val="nil"/>
              <w:bottom w:val="single" w:sz="8" w:space="0" w:color="152935"/>
              <w:right w:val="nil"/>
            </w:tcBorders>
            <w:shd w:val="clear" w:color="auto" w:fill="E0E0E0"/>
          </w:tcPr>
          <w:p w14:paraId="1D50B497" w14:textId="77777777" w:rsidR="0087601C" w:rsidRPr="006A1EC7" w:rsidRDefault="0087601C" w:rsidP="00D56051">
            <w:pPr>
              <w:spacing w:line="320" w:lineRule="atLeast"/>
              <w:ind w:left="60" w:right="60"/>
              <w:rPr>
                <w:color w:val="264A60"/>
                <w:sz w:val="18"/>
              </w:rPr>
            </w:pPr>
            <w:r w:rsidRPr="006A1EC7">
              <w:rPr>
                <w:color w:val="264A60"/>
                <w:sz w:val="18"/>
              </w:rPr>
              <w:t>T1Fineen_Epilepsy</w:t>
            </w:r>
          </w:p>
        </w:tc>
        <w:tc>
          <w:tcPr>
            <w:tcW w:w="1276" w:type="dxa"/>
            <w:tcBorders>
              <w:top w:val="single" w:sz="8" w:space="0" w:color="152935"/>
              <w:left w:val="nil"/>
              <w:bottom w:val="single" w:sz="8" w:space="0" w:color="152935"/>
              <w:right w:val="single" w:sz="8" w:space="0" w:color="E0E0E0"/>
            </w:tcBorders>
            <w:shd w:val="clear" w:color="auto" w:fill="FFFFFF"/>
          </w:tcPr>
          <w:p w14:paraId="3C2CC24C"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tcBorders>
              <w:top w:val="single" w:sz="8" w:space="0" w:color="152935"/>
              <w:left w:val="single" w:sz="8" w:space="0" w:color="E0E0E0"/>
              <w:bottom w:val="single" w:sz="8" w:space="0" w:color="152935"/>
              <w:right w:val="single" w:sz="8" w:space="0" w:color="E0E0E0"/>
            </w:tcBorders>
            <w:shd w:val="clear" w:color="auto" w:fill="FFFFFF"/>
          </w:tcPr>
          <w:p w14:paraId="1C26B55A" w14:textId="77777777" w:rsidR="0087601C" w:rsidRPr="006A1EC7" w:rsidRDefault="0087601C" w:rsidP="00D56051">
            <w:pPr>
              <w:spacing w:line="320" w:lineRule="atLeast"/>
              <w:ind w:left="60" w:right="60"/>
              <w:jc w:val="right"/>
              <w:rPr>
                <w:color w:val="010205"/>
                <w:sz w:val="18"/>
              </w:rPr>
            </w:pPr>
            <w:r w:rsidRPr="006A1EC7">
              <w:rPr>
                <w:color w:val="010205"/>
                <w:sz w:val="18"/>
              </w:rPr>
              <w:t>.00</w:t>
            </w:r>
          </w:p>
        </w:tc>
        <w:tc>
          <w:tcPr>
            <w:tcW w:w="1828" w:type="dxa"/>
            <w:tcBorders>
              <w:top w:val="single" w:sz="8" w:space="0" w:color="152935"/>
              <w:left w:val="single" w:sz="8" w:space="0" w:color="E0E0E0"/>
              <w:bottom w:val="single" w:sz="8" w:space="0" w:color="152935"/>
              <w:right w:val="single" w:sz="8" w:space="0" w:color="E0E0E0"/>
            </w:tcBorders>
            <w:shd w:val="clear" w:color="auto" w:fill="FFFFFF"/>
          </w:tcPr>
          <w:p w14:paraId="14080C13" w14:textId="77777777" w:rsidR="0087601C" w:rsidRPr="006A1EC7" w:rsidRDefault="0087601C" w:rsidP="00D56051">
            <w:pPr>
              <w:spacing w:line="320" w:lineRule="atLeast"/>
              <w:ind w:left="60" w:right="60"/>
              <w:jc w:val="right"/>
              <w:rPr>
                <w:color w:val="010205"/>
                <w:sz w:val="18"/>
              </w:rPr>
            </w:pPr>
            <w:r w:rsidRPr="006A1EC7">
              <w:rPr>
                <w:color w:val="010205"/>
                <w:sz w:val="18"/>
              </w:rPr>
              <w:t>.000</w:t>
            </w:r>
            <w:r w:rsidRPr="006A1EC7">
              <w:rPr>
                <w:color w:val="010205"/>
                <w:sz w:val="18"/>
                <w:vertAlign w:val="superscript"/>
              </w:rPr>
              <w:t>a</w:t>
            </w:r>
          </w:p>
        </w:tc>
        <w:tc>
          <w:tcPr>
            <w:tcW w:w="1828" w:type="dxa"/>
            <w:tcBorders>
              <w:top w:val="single" w:sz="8" w:space="0" w:color="152935"/>
              <w:left w:val="single" w:sz="8" w:space="0" w:color="E0E0E0"/>
              <w:bottom w:val="single" w:sz="8" w:space="0" w:color="152935"/>
              <w:right w:val="nil"/>
            </w:tcBorders>
            <w:shd w:val="clear" w:color="auto" w:fill="FFFFFF"/>
          </w:tcPr>
          <w:p w14:paraId="13C3E83B"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bl>
    <w:p w14:paraId="6607CA40" w14:textId="77777777" w:rsidR="0087601C" w:rsidRPr="006A1EC7" w:rsidRDefault="0087601C" w:rsidP="0087601C">
      <w:pPr>
        <w:rPr>
          <w:color w:val="010205"/>
          <w:sz w:val="18"/>
        </w:rPr>
      </w:pPr>
    </w:p>
    <w:tbl>
      <w:tblPr>
        <w:tblW w:w="8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1"/>
      </w:tblGrid>
      <w:tr w:rsidR="0087601C" w:rsidRPr="006A1EC7" w14:paraId="5D225E26" w14:textId="77777777" w:rsidTr="00D56051">
        <w:trPr>
          <w:cantSplit/>
        </w:trPr>
        <w:tc>
          <w:tcPr>
            <w:tcW w:w="8608" w:type="dxa"/>
            <w:tcBorders>
              <w:top w:val="nil"/>
              <w:left w:val="nil"/>
              <w:bottom w:val="nil"/>
              <w:right w:val="nil"/>
            </w:tcBorders>
            <w:shd w:val="clear" w:color="auto" w:fill="FFFFFF"/>
          </w:tcPr>
          <w:p w14:paraId="53E6ED17" w14:textId="77777777" w:rsidR="0087601C" w:rsidRPr="006A1EC7" w:rsidRDefault="0087601C" w:rsidP="00D56051">
            <w:pPr>
              <w:spacing w:line="320" w:lineRule="atLeast"/>
              <w:ind w:left="60" w:right="60"/>
              <w:rPr>
                <w:color w:val="010205"/>
                <w:sz w:val="18"/>
              </w:rPr>
            </w:pPr>
            <w:r w:rsidRPr="006A1EC7">
              <w:rPr>
                <w:color w:val="010205"/>
                <w:sz w:val="18"/>
              </w:rPr>
              <w:t>a. t cannot be computed because the standard deviation is 0.</w:t>
            </w:r>
          </w:p>
        </w:tc>
      </w:tr>
    </w:tbl>
    <w:p w14:paraId="0A82CCFF" w14:textId="77777777" w:rsidR="0087601C" w:rsidRPr="006A1EC7" w:rsidRDefault="0087601C" w:rsidP="0087601C">
      <w:pPr>
        <w:spacing w:line="400" w:lineRule="atLeast"/>
        <w:rPr>
          <w:sz w:val="18"/>
        </w:rPr>
      </w:pPr>
    </w:p>
    <w:tbl>
      <w:tblPr>
        <w:tblW w:w="84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1"/>
        <w:gridCol w:w="1276"/>
        <w:gridCol w:w="1276"/>
        <w:gridCol w:w="1830"/>
        <w:gridCol w:w="1830"/>
      </w:tblGrid>
      <w:tr w:rsidR="0087601C" w:rsidRPr="006A1EC7" w14:paraId="263B7820" w14:textId="77777777" w:rsidTr="00D56051">
        <w:trPr>
          <w:cantSplit/>
        </w:trPr>
        <w:tc>
          <w:tcPr>
            <w:tcW w:w="2211" w:type="dxa"/>
            <w:tcBorders>
              <w:top w:val="nil"/>
              <w:left w:val="nil"/>
              <w:bottom w:val="single" w:sz="8" w:space="0" w:color="152935"/>
              <w:right w:val="nil"/>
            </w:tcBorders>
            <w:shd w:val="clear" w:color="auto" w:fill="FFFFFF"/>
            <w:vAlign w:val="bottom"/>
          </w:tcPr>
          <w:p w14:paraId="56FF0969"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1118D285"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0050F5D6"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tcBorders>
              <w:top w:val="nil"/>
              <w:left w:val="single" w:sz="8" w:space="0" w:color="E0E0E0"/>
              <w:bottom w:val="single" w:sz="8" w:space="0" w:color="152935"/>
              <w:right w:val="single" w:sz="8" w:space="0" w:color="E0E0E0"/>
            </w:tcBorders>
            <w:shd w:val="clear" w:color="auto" w:fill="FFFFFF"/>
            <w:vAlign w:val="bottom"/>
          </w:tcPr>
          <w:p w14:paraId="3CF3CB17"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tcBorders>
              <w:top w:val="nil"/>
              <w:left w:val="single" w:sz="8" w:space="0" w:color="E0E0E0"/>
              <w:bottom w:val="single" w:sz="8" w:space="0" w:color="152935"/>
              <w:right w:val="nil"/>
            </w:tcBorders>
            <w:shd w:val="clear" w:color="auto" w:fill="FFFFFF"/>
            <w:vAlign w:val="bottom"/>
          </w:tcPr>
          <w:p w14:paraId="6FC2FB9C"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224DF3BC" w14:textId="77777777" w:rsidTr="00D56051">
        <w:trPr>
          <w:cantSplit/>
        </w:trPr>
        <w:tc>
          <w:tcPr>
            <w:tcW w:w="2211" w:type="dxa"/>
            <w:tcBorders>
              <w:top w:val="single" w:sz="8" w:space="0" w:color="152935"/>
              <w:left w:val="nil"/>
              <w:bottom w:val="single" w:sz="8" w:space="0" w:color="152935"/>
              <w:right w:val="nil"/>
            </w:tcBorders>
            <w:shd w:val="clear" w:color="auto" w:fill="E0E0E0"/>
          </w:tcPr>
          <w:p w14:paraId="527C1F31" w14:textId="77777777" w:rsidR="0087601C" w:rsidRPr="006A1EC7" w:rsidRDefault="0087601C" w:rsidP="00D56051">
            <w:pPr>
              <w:spacing w:line="320" w:lineRule="atLeast"/>
              <w:ind w:left="60" w:right="60"/>
              <w:rPr>
                <w:color w:val="264A60"/>
                <w:sz w:val="18"/>
              </w:rPr>
            </w:pPr>
            <w:r w:rsidRPr="006A1EC7">
              <w:rPr>
                <w:color w:val="264A60"/>
                <w:sz w:val="18"/>
              </w:rPr>
              <w:t>T1Fineen_Cardio</w:t>
            </w:r>
          </w:p>
        </w:tc>
        <w:tc>
          <w:tcPr>
            <w:tcW w:w="1276" w:type="dxa"/>
            <w:tcBorders>
              <w:top w:val="single" w:sz="8" w:space="0" w:color="152935"/>
              <w:left w:val="nil"/>
              <w:bottom w:val="single" w:sz="8" w:space="0" w:color="152935"/>
              <w:right w:val="single" w:sz="8" w:space="0" w:color="E0E0E0"/>
            </w:tcBorders>
            <w:shd w:val="clear" w:color="auto" w:fill="FFFFFF"/>
          </w:tcPr>
          <w:p w14:paraId="7EC58425"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tcBorders>
              <w:top w:val="single" w:sz="8" w:space="0" w:color="152935"/>
              <w:left w:val="single" w:sz="8" w:space="0" w:color="E0E0E0"/>
              <w:bottom w:val="single" w:sz="8" w:space="0" w:color="152935"/>
              <w:right w:val="single" w:sz="8" w:space="0" w:color="E0E0E0"/>
            </w:tcBorders>
            <w:shd w:val="clear" w:color="auto" w:fill="FFFFFF"/>
          </w:tcPr>
          <w:p w14:paraId="7A6B8E7A" w14:textId="77777777" w:rsidR="0087601C" w:rsidRPr="006A1EC7" w:rsidRDefault="0087601C" w:rsidP="00D56051">
            <w:pPr>
              <w:spacing w:line="320" w:lineRule="atLeast"/>
              <w:ind w:left="60" w:right="60"/>
              <w:jc w:val="right"/>
              <w:rPr>
                <w:color w:val="010205"/>
                <w:sz w:val="18"/>
              </w:rPr>
            </w:pPr>
            <w:r w:rsidRPr="006A1EC7">
              <w:rPr>
                <w:color w:val="010205"/>
                <w:sz w:val="18"/>
              </w:rPr>
              <w:t>4.46</w:t>
            </w:r>
          </w:p>
        </w:tc>
        <w:tc>
          <w:tcPr>
            <w:tcW w:w="1830" w:type="dxa"/>
            <w:tcBorders>
              <w:top w:val="single" w:sz="8" w:space="0" w:color="152935"/>
              <w:left w:val="single" w:sz="8" w:space="0" w:color="E0E0E0"/>
              <w:bottom w:val="single" w:sz="8" w:space="0" w:color="152935"/>
              <w:right w:val="single" w:sz="8" w:space="0" w:color="E0E0E0"/>
            </w:tcBorders>
            <w:shd w:val="clear" w:color="auto" w:fill="FFFFFF"/>
          </w:tcPr>
          <w:p w14:paraId="0B45D516" w14:textId="77777777" w:rsidR="0087601C" w:rsidRPr="006A1EC7" w:rsidRDefault="0087601C" w:rsidP="00D56051">
            <w:pPr>
              <w:spacing w:line="320" w:lineRule="atLeast"/>
              <w:ind w:left="60" w:right="60"/>
              <w:jc w:val="right"/>
              <w:rPr>
                <w:color w:val="010205"/>
                <w:sz w:val="18"/>
              </w:rPr>
            </w:pPr>
            <w:r w:rsidRPr="006A1EC7">
              <w:rPr>
                <w:color w:val="010205"/>
                <w:sz w:val="18"/>
              </w:rPr>
              <w:t>.767</w:t>
            </w:r>
          </w:p>
        </w:tc>
        <w:tc>
          <w:tcPr>
            <w:tcW w:w="1830" w:type="dxa"/>
            <w:tcBorders>
              <w:top w:val="single" w:sz="8" w:space="0" w:color="152935"/>
              <w:left w:val="single" w:sz="8" w:space="0" w:color="E0E0E0"/>
              <w:bottom w:val="single" w:sz="8" w:space="0" w:color="152935"/>
              <w:right w:val="nil"/>
            </w:tcBorders>
            <w:shd w:val="clear" w:color="auto" w:fill="FFFFFF"/>
          </w:tcPr>
          <w:p w14:paraId="110C5CBA" w14:textId="77777777" w:rsidR="0087601C" w:rsidRPr="006A1EC7" w:rsidRDefault="0087601C" w:rsidP="00D56051">
            <w:pPr>
              <w:spacing w:line="320" w:lineRule="atLeast"/>
              <w:ind w:left="60" w:right="60"/>
              <w:jc w:val="right"/>
              <w:rPr>
                <w:color w:val="010205"/>
                <w:sz w:val="18"/>
              </w:rPr>
            </w:pPr>
            <w:r w:rsidRPr="006A1EC7">
              <w:rPr>
                <w:color w:val="010205"/>
                <w:sz w:val="18"/>
              </w:rPr>
              <w:t>.126</w:t>
            </w:r>
          </w:p>
        </w:tc>
      </w:tr>
    </w:tbl>
    <w:p w14:paraId="238C3490"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6"/>
        <w:gridCol w:w="1182"/>
        <w:gridCol w:w="1183"/>
        <w:gridCol w:w="1694"/>
        <w:gridCol w:w="1694"/>
        <w:gridCol w:w="1694"/>
        <w:gridCol w:w="1694"/>
      </w:tblGrid>
      <w:tr w:rsidR="0087601C" w:rsidRPr="006A1EC7" w14:paraId="224052C7" w14:textId="77777777" w:rsidTr="00D56051">
        <w:trPr>
          <w:cantSplit/>
        </w:trPr>
        <w:tc>
          <w:tcPr>
            <w:tcW w:w="2046" w:type="dxa"/>
            <w:vMerge w:val="restart"/>
            <w:tcBorders>
              <w:top w:val="nil"/>
              <w:left w:val="nil"/>
              <w:bottom w:val="nil"/>
              <w:right w:val="nil"/>
            </w:tcBorders>
            <w:shd w:val="clear" w:color="auto" w:fill="FFFFFF"/>
            <w:vAlign w:val="bottom"/>
          </w:tcPr>
          <w:p w14:paraId="54C933CE" w14:textId="77777777" w:rsidR="0087601C" w:rsidRPr="006A1EC7" w:rsidRDefault="0087601C" w:rsidP="00D56051">
            <w:pPr>
              <w:rPr>
                <w:sz w:val="18"/>
              </w:rPr>
            </w:pPr>
          </w:p>
        </w:tc>
        <w:tc>
          <w:tcPr>
            <w:tcW w:w="9141" w:type="dxa"/>
            <w:gridSpan w:val="6"/>
            <w:tcBorders>
              <w:top w:val="nil"/>
              <w:left w:val="nil"/>
              <w:bottom w:val="nil"/>
              <w:right w:val="nil"/>
            </w:tcBorders>
            <w:shd w:val="clear" w:color="auto" w:fill="FFFFFF"/>
            <w:vAlign w:val="bottom"/>
          </w:tcPr>
          <w:p w14:paraId="45D54837"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2.5</w:t>
            </w:r>
          </w:p>
        </w:tc>
      </w:tr>
      <w:tr w:rsidR="0087601C" w:rsidRPr="006A1EC7" w14:paraId="36651D2E" w14:textId="77777777" w:rsidTr="00D56051">
        <w:trPr>
          <w:cantSplit/>
        </w:trPr>
        <w:tc>
          <w:tcPr>
            <w:tcW w:w="2046" w:type="dxa"/>
            <w:vMerge/>
            <w:tcBorders>
              <w:top w:val="nil"/>
              <w:left w:val="nil"/>
              <w:bottom w:val="nil"/>
              <w:right w:val="nil"/>
            </w:tcBorders>
            <w:shd w:val="clear" w:color="auto" w:fill="FFFFFF"/>
            <w:vAlign w:val="bottom"/>
          </w:tcPr>
          <w:p w14:paraId="18B46C3F" w14:textId="77777777" w:rsidR="0087601C" w:rsidRPr="006A1EC7" w:rsidRDefault="0087601C" w:rsidP="00D56051">
            <w:pPr>
              <w:rPr>
                <w:color w:val="264A60"/>
                <w:sz w:val="18"/>
              </w:rPr>
            </w:pPr>
          </w:p>
        </w:tc>
        <w:tc>
          <w:tcPr>
            <w:tcW w:w="1182" w:type="dxa"/>
            <w:vMerge w:val="restart"/>
            <w:tcBorders>
              <w:top w:val="nil"/>
              <w:left w:val="nil"/>
              <w:bottom w:val="nil"/>
              <w:right w:val="single" w:sz="8" w:space="0" w:color="E0E0E0"/>
            </w:tcBorders>
            <w:shd w:val="clear" w:color="auto" w:fill="FFFFFF"/>
            <w:vAlign w:val="bottom"/>
          </w:tcPr>
          <w:p w14:paraId="5CA95918"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83" w:type="dxa"/>
            <w:vMerge w:val="restart"/>
            <w:tcBorders>
              <w:top w:val="nil"/>
              <w:left w:val="single" w:sz="8" w:space="0" w:color="E0E0E0"/>
              <w:bottom w:val="nil"/>
              <w:right w:val="single" w:sz="8" w:space="0" w:color="E0E0E0"/>
            </w:tcBorders>
            <w:shd w:val="clear" w:color="auto" w:fill="FFFFFF"/>
            <w:vAlign w:val="bottom"/>
          </w:tcPr>
          <w:p w14:paraId="67CBCE00"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94" w:type="dxa"/>
            <w:vMerge w:val="restart"/>
            <w:tcBorders>
              <w:top w:val="nil"/>
              <w:left w:val="single" w:sz="8" w:space="0" w:color="E0E0E0"/>
              <w:bottom w:val="nil"/>
              <w:right w:val="single" w:sz="8" w:space="0" w:color="E0E0E0"/>
            </w:tcBorders>
            <w:shd w:val="clear" w:color="auto" w:fill="FFFFFF"/>
            <w:vAlign w:val="bottom"/>
          </w:tcPr>
          <w:p w14:paraId="10AABF81"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94" w:type="dxa"/>
            <w:vMerge w:val="restart"/>
            <w:tcBorders>
              <w:top w:val="nil"/>
              <w:left w:val="single" w:sz="8" w:space="0" w:color="E0E0E0"/>
              <w:bottom w:val="nil"/>
              <w:right w:val="single" w:sz="8" w:space="0" w:color="E0E0E0"/>
            </w:tcBorders>
            <w:shd w:val="clear" w:color="auto" w:fill="FFFFFF"/>
            <w:vAlign w:val="bottom"/>
          </w:tcPr>
          <w:p w14:paraId="018161C1"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88" w:type="dxa"/>
            <w:gridSpan w:val="2"/>
            <w:tcBorders>
              <w:top w:val="nil"/>
              <w:left w:val="single" w:sz="8" w:space="0" w:color="E0E0E0"/>
              <w:bottom w:val="nil"/>
              <w:right w:val="nil"/>
            </w:tcBorders>
            <w:shd w:val="clear" w:color="auto" w:fill="FFFFFF"/>
            <w:vAlign w:val="bottom"/>
          </w:tcPr>
          <w:p w14:paraId="5B8FCAD4"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713F08BA" w14:textId="77777777" w:rsidTr="00D56051">
        <w:trPr>
          <w:cantSplit/>
        </w:trPr>
        <w:tc>
          <w:tcPr>
            <w:tcW w:w="2046" w:type="dxa"/>
            <w:vMerge/>
            <w:tcBorders>
              <w:top w:val="nil"/>
              <w:left w:val="nil"/>
              <w:bottom w:val="nil"/>
              <w:right w:val="nil"/>
            </w:tcBorders>
            <w:shd w:val="clear" w:color="auto" w:fill="FFFFFF"/>
            <w:vAlign w:val="bottom"/>
          </w:tcPr>
          <w:p w14:paraId="601D3DCF" w14:textId="77777777" w:rsidR="0087601C" w:rsidRPr="006A1EC7" w:rsidRDefault="0087601C" w:rsidP="00D56051">
            <w:pPr>
              <w:rPr>
                <w:color w:val="264A60"/>
                <w:sz w:val="18"/>
              </w:rPr>
            </w:pPr>
          </w:p>
        </w:tc>
        <w:tc>
          <w:tcPr>
            <w:tcW w:w="1182" w:type="dxa"/>
            <w:vMerge/>
            <w:tcBorders>
              <w:top w:val="nil"/>
              <w:left w:val="nil"/>
              <w:bottom w:val="nil"/>
              <w:right w:val="single" w:sz="8" w:space="0" w:color="E0E0E0"/>
            </w:tcBorders>
            <w:shd w:val="clear" w:color="auto" w:fill="FFFFFF"/>
            <w:vAlign w:val="bottom"/>
          </w:tcPr>
          <w:p w14:paraId="5CD90EB5" w14:textId="77777777" w:rsidR="0087601C" w:rsidRPr="006A1EC7" w:rsidRDefault="0087601C" w:rsidP="00D56051">
            <w:pPr>
              <w:rPr>
                <w:color w:val="264A60"/>
                <w:sz w:val="18"/>
              </w:rPr>
            </w:pPr>
          </w:p>
        </w:tc>
        <w:tc>
          <w:tcPr>
            <w:tcW w:w="1183" w:type="dxa"/>
            <w:vMerge/>
            <w:tcBorders>
              <w:top w:val="nil"/>
              <w:left w:val="single" w:sz="8" w:space="0" w:color="E0E0E0"/>
              <w:bottom w:val="nil"/>
              <w:right w:val="single" w:sz="8" w:space="0" w:color="E0E0E0"/>
            </w:tcBorders>
            <w:shd w:val="clear" w:color="auto" w:fill="FFFFFF"/>
            <w:vAlign w:val="bottom"/>
          </w:tcPr>
          <w:p w14:paraId="0E160DCC" w14:textId="77777777" w:rsidR="0087601C" w:rsidRPr="006A1EC7" w:rsidRDefault="0087601C" w:rsidP="00D56051">
            <w:pPr>
              <w:rPr>
                <w:color w:val="264A60"/>
                <w:sz w:val="18"/>
              </w:rPr>
            </w:pPr>
          </w:p>
        </w:tc>
        <w:tc>
          <w:tcPr>
            <w:tcW w:w="1694" w:type="dxa"/>
            <w:vMerge/>
            <w:tcBorders>
              <w:top w:val="nil"/>
              <w:left w:val="single" w:sz="8" w:space="0" w:color="E0E0E0"/>
              <w:bottom w:val="nil"/>
              <w:right w:val="single" w:sz="8" w:space="0" w:color="E0E0E0"/>
            </w:tcBorders>
            <w:shd w:val="clear" w:color="auto" w:fill="FFFFFF"/>
            <w:vAlign w:val="bottom"/>
          </w:tcPr>
          <w:p w14:paraId="7F1C0EFE" w14:textId="77777777" w:rsidR="0087601C" w:rsidRPr="006A1EC7" w:rsidRDefault="0087601C" w:rsidP="00D56051">
            <w:pPr>
              <w:rPr>
                <w:color w:val="264A60"/>
                <w:sz w:val="18"/>
              </w:rPr>
            </w:pPr>
          </w:p>
        </w:tc>
        <w:tc>
          <w:tcPr>
            <w:tcW w:w="1694" w:type="dxa"/>
            <w:vMerge/>
            <w:tcBorders>
              <w:top w:val="nil"/>
              <w:left w:val="single" w:sz="8" w:space="0" w:color="E0E0E0"/>
              <w:bottom w:val="nil"/>
              <w:right w:val="single" w:sz="8" w:space="0" w:color="E0E0E0"/>
            </w:tcBorders>
            <w:shd w:val="clear" w:color="auto" w:fill="FFFFFF"/>
            <w:vAlign w:val="bottom"/>
          </w:tcPr>
          <w:p w14:paraId="727815D7" w14:textId="77777777" w:rsidR="0087601C" w:rsidRPr="006A1EC7" w:rsidRDefault="0087601C" w:rsidP="00D56051">
            <w:pPr>
              <w:rPr>
                <w:color w:val="264A60"/>
                <w:sz w:val="18"/>
              </w:rPr>
            </w:pPr>
          </w:p>
        </w:tc>
        <w:tc>
          <w:tcPr>
            <w:tcW w:w="1694" w:type="dxa"/>
            <w:tcBorders>
              <w:top w:val="nil"/>
              <w:left w:val="single" w:sz="8" w:space="0" w:color="E0E0E0"/>
              <w:bottom w:val="single" w:sz="8" w:space="0" w:color="152935"/>
              <w:right w:val="single" w:sz="8" w:space="0" w:color="E0E0E0"/>
            </w:tcBorders>
            <w:shd w:val="clear" w:color="auto" w:fill="FFFFFF"/>
            <w:vAlign w:val="bottom"/>
          </w:tcPr>
          <w:p w14:paraId="03EAC4C8"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94" w:type="dxa"/>
            <w:tcBorders>
              <w:top w:val="nil"/>
              <w:left w:val="single" w:sz="8" w:space="0" w:color="E0E0E0"/>
              <w:bottom w:val="single" w:sz="8" w:space="0" w:color="152935"/>
              <w:right w:val="nil"/>
            </w:tcBorders>
            <w:shd w:val="clear" w:color="auto" w:fill="FFFFFF"/>
            <w:vAlign w:val="bottom"/>
          </w:tcPr>
          <w:p w14:paraId="608BE0E1"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1B6160ED" w14:textId="77777777" w:rsidTr="00D56051">
        <w:trPr>
          <w:cantSplit/>
        </w:trPr>
        <w:tc>
          <w:tcPr>
            <w:tcW w:w="2046" w:type="dxa"/>
            <w:tcBorders>
              <w:top w:val="single" w:sz="8" w:space="0" w:color="152935"/>
              <w:left w:val="nil"/>
              <w:bottom w:val="single" w:sz="8" w:space="0" w:color="152935"/>
              <w:right w:val="nil"/>
            </w:tcBorders>
            <w:shd w:val="clear" w:color="auto" w:fill="E0E0E0"/>
          </w:tcPr>
          <w:p w14:paraId="1A3EC47A" w14:textId="77777777" w:rsidR="0087601C" w:rsidRPr="006A1EC7" w:rsidRDefault="0087601C" w:rsidP="00D56051">
            <w:pPr>
              <w:spacing w:line="320" w:lineRule="atLeast"/>
              <w:ind w:left="60" w:right="60"/>
              <w:rPr>
                <w:color w:val="264A60"/>
                <w:sz w:val="18"/>
              </w:rPr>
            </w:pPr>
            <w:r w:rsidRPr="006A1EC7">
              <w:rPr>
                <w:color w:val="264A60"/>
                <w:sz w:val="18"/>
              </w:rPr>
              <w:t>T1Fineen_Cardio</w:t>
            </w:r>
          </w:p>
        </w:tc>
        <w:tc>
          <w:tcPr>
            <w:tcW w:w="1182" w:type="dxa"/>
            <w:tcBorders>
              <w:top w:val="single" w:sz="8" w:space="0" w:color="152935"/>
              <w:left w:val="nil"/>
              <w:bottom w:val="single" w:sz="8" w:space="0" w:color="152935"/>
              <w:right w:val="single" w:sz="8" w:space="0" w:color="E0E0E0"/>
            </w:tcBorders>
            <w:shd w:val="clear" w:color="auto" w:fill="FFFFFF"/>
          </w:tcPr>
          <w:p w14:paraId="75044E5D" w14:textId="77777777" w:rsidR="0087601C" w:rsidRPr="006A1EC7" w:rsidRDefault="0087601C" w:rsidP="00D56051">
            <w:pPr>
              <w:spacing w:line="320" w:lineRule="atLeast"/>
              <w:ind w:left="60" w:right="60"/>
              <w:jc w:val="right"/>
              <w:rPr>
                <w:color w:val="010205"/>
                <w:sz w:val="18"/>
              </w:rPr>
            </w:pPr>
            <w:r w:rsidRPr="006A1EC7">
              <w:rPr>
                <w:color w:val="010205"/>
                <w:sz w:val="18"/>
              </w:rPr>
              <w:t>15.536</w:t>
            </w:r>
          </w:p>
        </w:tc>
        <w:tc>
          <w:tcPr>
            <w:tcW w:w="1183" w:type="dxa"/>
            <w:tcBorders>
              <w:top w:val="single" w:sz="8" w:space="0" w:color="152935"/>
              <w:left w:val="single" w:sz="8" w:space="0" w:color="E0E0E0"/>
              <w:bottom w:val="single" w:sz="8" w:space="0" w:color="152935"/>
              <w:right w:val="single" w:sz="8" w:space="0" w:color="E0E0E0"/>
            </w:tcBorders>
            <w:shd w:val="clear" w:color="auto" w:fill="FFFFFF"/>
          </w:tcPr>
          <w:p w14:paraId="413F4204"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94" w:type="dxa"/>
            <w:tcBorders>
              <w:top w:val="single" w:sz="8" w:space="0" w:color="152935"/>
              <w:left w:val="single" w:sz="8" w:space="0" w:color="E0E0E0"/>
              <w:bottom w:val="single" w:sz="8" w:space="0" w:color="152935"/>
              <w:right w:val="single" w:sz="8" w:space="0" w:color="E0E0E0"/>
            </w:tcBorders>
            <w:shd w:val="clear" w:color="auto" w:fill="FFFFFF"/>
          </w:tcPr>
          <w:p w14:paraId="32D47396"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94" w:type="dxa"/>
            <w:tcBorders>
              <w:top w:val="single" w:sz="8" w:space="0" w:color="152935"/>
              <w:left w:val="single" w:sz="8" w:space="0" w:color="E0E0E0"/>
              <w:bottom w:val="single" w:sz="8" w:space="0" w:color="152935"/>
              <w:right w:val="single" w:sz="8" w:space="0" w:color="E0E0E0"/>
            </w:tcBorders>
            <w:shd w:val="clear" w:color="auto" w:fill="FFFFFF"/>
          </w:tcPr>
          <w:p w14:paraId="1B631D0F" w14:textId="77777777" w:rsidR="0087601C" w:rsidRPr="006A1EC7" w:rsidRDefault="0087601C" w:rsidP="00D56051">
            <w:pPr>
              <w:spacing w:line="320" w:lineRule="atLeast"/>
              <w:ind w:left="60" w:right="60"/>
              <w:jc w:val="right"/>
              <w:rPr>
                <w:color w:val="010205"/>
                <w:sz w:val="18"/>
              </w:rPr>
            </w:pPr>
            <w:r w:rsidRPr="006A1EC7">
              <w:rPr>
                <w:color w:val="010205"/>
                <w:sz w:val="18"/>
              </w:rPr>
              <w:t>1.959</w:t>
            </w:r>
          </w:p>
        </w:tc>
        <w:tc>
          <w:tcPr>
            <w:tcW w:w="1694" w:type="dxa"/>
            <w:tcBorders>
              <w:top w:val="single" w:sz="8" w:space="0" w:color="152935"/>
              <w:left w:val="single" w:sz="8" w:space="0" w:color="E0E0E0"/>
              <w:bottom w:val="single" w:sz="8" w:space="0" w:color="152935"/>
              <w:right w:val="single" w:sz="8" w:space="0" w:color="E0E0E0"/>
            </w:tcBorders>
            <w:shd w:val="clear" w:color="auto" w:fill="FFFFFF"/>
          </w:tcPr>
          <w:p w14:paraId="445E7A94" w14:textId="77777777" w:rsidR="0087601C" w:rsidRPr="006A1EC7" w:rsidRDefault="0087601C" w:rsidP="00D56051">
            <w:pPr>
              <w:spacing w:line="320" w:lineRule="atLeast"/>
              <w:ind w:left="60" w:right="60"/>
              <w:jc w:val="right"/>
              <w:rPr>
                <w:color w:val="010205"/>
                <w:sz w:val="18"/>
              </w:rPr>
            </w:pPr>
            <w:r w:rsidRPr="006A1EC7">
              <w:rPr>
                <w:color w:val="010205"/>
                <w:sz w:val="18"/>
              </w:rPr>
              <w:t>1.70</w:t>
            </w:r>
          </w:p>
        </w:tc>
        <w:tc>
          <w:tcPr>
            <w:tcW w:w="1694" w:type="dxa"/>
            <w:tcBorders>
              <w:top w:val="single" w:sz="8" w:space="0" w:color="152935"/>
              <w:left w:val="single" w:sz="8" w:space="0" w:color="E0E0E0"/>
              <w:bottom w:val="single" w:sz="8" w:space="0" w:color="152935"/>
              <w:right w:val="nil"/>
            </w:tcBorders>
            <w:shd w:val="clear" w:color="auto" w:fill="FFFFFF"/>
          </w:tcPr>
          <w:p w14:paraId="77914718" w14:textId="77777777" w:rsidR="0087601C" w:rsidRPr="006A1EC7" w:rsidRDefault="0087601C" w:rsidP="00D56051">
            <w:pPr>
              <w:spacing w:line="320" w:lineRule="atLeast"/>
              <w:ind w:left="60" w:right="60"/>
              <w:jc w:val="right"/>
              <w:rPr>
                <w:color w:val="010205"/>
                <w:sz w:val="18"/>
              </w:rPr>
            </w:pPr>
            <w:r w:rsidRPr="006A1EC7">
              <w:rPr>
                <w:color w:val="010205"/>
                <w:sz w:val="18"/>
              </w:rPr>
              <w:t>2.22</w:t>
            </w:r>
          </w:p>
        </w:tc>
      </w:tr>
    </w:tbl>
    <w:p w14:paraId="01D02BA9" w14:textId="77777777" w:rsidR="0087601C" w:rsidRPr="006A1EC7" w:rsidRDefault="0087601C" w:rsidP="0087601C">
      <w:pPr>
        <w:spacing w:line="400" w:lineRule="atLeast"/>
        <w:rPr>
          <w:sz w:val="18"/>
        </w:rPr>
      </w:pPr>
    </w:p>
    <w:tbl>
      <w:tblPr>
        <w:tblW w:w="8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3"/>
        <w:gridCol w:w="1277"/>
        <w:gridCol w:w="1277"/>
        <w:gridCol w:w="1830"/>
        <w:gridCol w:w="1830"/>
      </w:tblGrid>
      <w:tr w:rsidR="0087601C" w:rsidRPr="006A1EC7" w14:paraId="1DE91D3F" w14:textId="77777777" w:rsidTr="00D56051">
        <w:trPr>
          <w:cantSplit/>
        </w:trPr>
        <w:tc>
          <w:tcPr>
            <w:tcW w:w="1983" w:type="dxa"/>
            <w:tcBorders>
              <w:top w:val="nil"/>
              <w:left w:val="nil"/>
              <w:bottom w:val="single" w:sz="8" w:space="0" w:color="152935"/>
              <w:right w:val="nil"/>
            </w:tcBorders>
            <w:shd w:val="clear" w:color="auto" w:fill="FFFFFF"/>
            <w:vAlign w:val="bottom"/>
          </w:tcPr>
          <w:p w14:paraId="2A27916B" w14:textId="77777777" w:rsidR="0087601C" w:rsidRPr="006A1EC7" w:rsidRDefault="0087601C" w:rsidP="00D56051">
            <w:pPr>
              <w:rPr>
                <w:sz w:val="18"/>
              </w:rPr>
            </w:pPr>
          </w:p>
        </w:tc>
        <w:tc>
          <w:tcPr>
            <w:tcW w:w="1277" w:type="dxa"/>
            <w:tcBorders>
              <w:top w:val="nil"/>
              <w:left w:val="nil"/>
              <w:bottom w:val="single" w:sz="8" w:space="0" w:color="152935"/>
              <w:right w:val="single" w:sz="8" w:space="0" w:color="E0E0E0"/>
            </w:tcBorders>
            <w:shd w:val="clear" w:color="auto" w:fill="FFFFFF"/>
            <w:vAlign w:val="bottom"/>
          </w:tcPr>
          <w:p w14:paraId="4B0270FE"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37B596D1"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0" w:type="dxa"/>
            <w:tcBorders>
              <w:top w:val="nil"/>
              <w:left w:val="single" w:sz="8" w:space="0" w:color="E0E0E0"/>
              <w:bottom w:val="single" w:sz="8" w:space="0" w:color="152935"/>
              <w:right w:val="single" w:sz="8" w:space="0" w:color="E0E0E0"/>
            </w:tcBorders>
            <w:shd w:val="clear" w:color="auto" w:fill="FFFFFF"/>
            <w:vAlign w:val="bottom"/>
          </w:tcPr>
          <w:p w14:paraId="4C67A1E6"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0" w:type="dxa"/>
            <w:tcBorders>
              <w:top w:val="nil"/>
              <w:left w:val="single" w:sz="8" w:space="0" w:color="E0E0E0"/>
              <w:bottom w:val="single" w:sz="8" w:space="0" w:color="152935"/>
              <w:right w:val="nil"/>
            </w:tcBorders>
            <w:shd w:val="clear" w:color="auto" w:fill="FFFFFF"/>
            <w:vAlign w:val="bottom"/>
          </w:tcPr>
          <w:p w14:paraId="3EBAC374"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23CA11D0" w14:textId="77777777" w:rsidTr="00D56051">
        <w:trPr>
          <w:cantSplit/>
        </w:trPr>
        <w:tc>
          <w:tcPr>
            <w:tcW w:w="1983" w:type="dxa"/>
            <w:tcBorders>
              <w:top w:val="single" w:sz="8" w:space="0" w:color="152935"/>
              <w:left w:val="nil"/>
              <w:bottom w:val="single" w:sz="8" w:space="0" w:color="152935"/>
              <w:right w:val="nil"/>
            </w:tcBorders>
            <w:shd w:val="clear" w:color="auto" w:fill="E0E0E0"/>
          </w:tcPr>
          <w:p w14:paraId="1313C724" w14:textId="77777777" w:rsidR="0087601C" w:rsidRPr="006A1EC7" w:rsidRDefault="0087601C" w:rsidP="00D56051">
            <w:pPr>
              <w:spacing w:line="320" w:lineRule="atLeast"/>
              <w:ind w:left="60" w:right="60"/>
              <w:rPr>
                <w:color w:val="264A60"/>
                <w:sz w:val="18"/>
              </w:rPr>
            </w:pPr>
            <w:r w:rsidRPr="006A1EC7">
              <w:rPr>
                <w:color w:val="264A60"/>
                <w:sz w:val="18"/>
              </w:rPr>
              <w:t>T1Fineen_Func</w:t>
            </w:r>
          </w:p>
        </w:tc>
        <w:tc>
          <w:tcPr>
            <w:tcW w:w="1277" w:type="dxa"/>
            <w:tcBorders>
              <w:top w:val="single" w:sz="8" w:space="0" w:color="152935"/>
              <w:left w:val="nil"/>
              <w:bottom w:val="single" w:sz="8" w:space="0" w:color="152935"/>
              <w:right w:val="single" w:sz="8" w:space="0" w:color="E0E0E0"/>
            </w:tcBorders>
            <w:shd w:val="clear" w:color="auto" w:fill="FFFFFF"/>
          </w:tcPr>
          <w:p w14:paraId="78CB6DF7"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7" w:type="dxa"/>
            <w:tcBorders>
              <w:top w:val="single" w:sz="8" w:space="0" w:color="152935"/>
              <w:left w:val="single" w:sz="8" w:space="0" w:color="E0E0E0"/>
              <w:bottom w:val="single" w:sz="8" w:space="0" w:color="152935"/>
              <w:right w:val="single" w:sz="8" w:space="0" w:color="E0E0E0"/>
            </w:tcBorders>
            <w:shd w:val="clear" w:color="auto" w:fill="FFFFFF"/>
          </w:tcPr>
          <w:p w14:paraId="2F469E48" w14:textId="77777777" w:rsidR="0087601C" w:rsidRPr="006A1EC7" w:rsidRDefault="0087601C" w:rsidP="00D56051">
            <w:pPr>
              <w:spacing w:line="320" w:lineRule="atLeast"/>
              <w:ind w:left="60" w:right="60"/>
              <w:jc w:val="right"/>
              <w:rPr>
                <w:color w:val="010205"/>
                <w:sz w:val="18"/>
              </w:rPr>
            </w:pPr>
            <w:r w:rsidRPr="006A1EC7">
              <w:rPr>
                <w:color w:val="010205"/>
                <w:sz w:val="18"/>
              </w:rPr>
              <w:t>3.84</w:t>
            </w:r>
          </w:p>
        </w:tc>
        <w:tc>
          <w:tcPr>
            <w:tcW w:w="1830" w:type="dxa"/>
            <w:tcBorders>
              <w:top w:val="single" w:sz="8" w:space="0" w:color="152935"/>
              <w:left w:val="single" w:sz="8" w:space="0" w:color="E0E0E0"/>
              <w:bottom w:val="single" w:sz="8" w:space="0" w:color="152935"/>
              <w:right w:val="single" w:sz="8" w:space="0" w:color="E0E0E0"/>
            </w:tcBorders>
            <w:shd w:val="clear" w:color="auto" w:fill="FFFFFF"/>
          </w:tcPr>
          <w:p w14:paraId="43330C3E" w14:textId="77777777" w:rsidR="0087601C" w:rsidRPr="006A1EC7" w:rsidRDefault="0087601C" w:rsidP="00D56051">
            <w:pPr>
              <w:spacing w:line="320" w:lineRule="atLeast"/>
              <w:ind w:left="60" w:right="60"/>
              <w:jc w:val="right"/>
              <w:rPr>
                <w:color w:val="010205"/>
                <w:sz w:val="18"/>
              </w:rPr>
            </w:pPr>
            <w:r w:rsidRPr="006A1EC7">
              <w:rPr>
                <w:color w:val="010205"/>
                <w:sz w:val="18"/>
              </w:rPr>
              <w:t>1.014</w:t>
            </w:r>
          </w:p>
        </w:tc>
        <w:tc>
          <w:tcPr>
            <w:tcW w:w="1830" w:type="dxa"/>
            <w:tcBorders>
              <w:top w:val="single" w:sz="8" w:space="0" w:color="152935"/>
              <w:left w:val="single" w:sz="8" w:space="0" w:color="E0E0E0"/>
              <w:bottom w:val="single" w:sz="8" w:space="0" w:color="152935"/>
              <w:right w:val="nil"/>
            </w:tcBorders>
            <w:shd w:val="clear" w:color="auto" w:fill="FFFFFF"/>
          </w:tcPr>
          <w:p w14:paraId="1869896E" w14:textId="77777777" w:rsidR="0087601C" w:rsidRPr="006A1EC7" w:rsidRDefault="0087601C" w:rsidP="00D56051">
            <w:pPr>
              <w:spacing w:line="320" w:lineRule="atLeast"/>
              <w:ind w:left="60" w:right="60"/>
              <w:jc w:val="right"/>
              <w:rPr>
                <w:color w:val="010205"/>
                <w:sz w:val="18"/>
              </w:rPr>
            </w:pPr>
            <w:r w:rsidRPr="006A1EC7">
              <w:rPr>
                <w:color w:val="010205"/>
                <w:sz w:val="18"/>
              </w:rPr>
              <w:t>.167</w:t>
            </w:r>
          </w:p>
        </w:tc>
      </w:tr>
    </w:tbl>
    <w:p w14:paraId="1A1A0BAB"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2"/>
        <w:gridCol w:w="190"/>
        <w:gridCol w:w="169"/>
        <w:gridCol w:w="847"/>
        <w:gridCol w:w="165"/>
        <w:gridCol w:w="264"/>
        <w:gridCol w:w="776"/>
        <w:gridCol w:w="140"/>
        <w:gridCol w:w="360"/>
        <w:gridCol w:w="1226"/>
        <w:gridCol w:w="105"/>
        <w:gridCol w:w="498"/>
        <w:gridCol w:w="1123"/>
        <w:gridCol w:w="70"/>
        <w:gridCol w:w="636"/>
        <w:gridCol w:w="1020"/>
        <w:gridCol w:w="35"/>
        <w:gridCol w:w="1691"/>
      </w:tblGrid>
      <w:tr w:rsidR="0087601C" w:rsidRPr="006A1EC7" w14:paraId="05D7B6C9" w14:textId="77777777" w:rsidTr="00D56051">
        <w:trPr>
          <w:cantSplit/>
        </w:trPr>
        <w:tc>
          <w:tcPr>
            <w:tcW w:w="1872" w:type="dxa"/>
            <w:vMerge w:val="restart"/>
            <w:tcBorders>
              <w:top w:val="nil"/>
              <w:left w:val="nil"/>
              <w:bottom w:val="nil"/>
              <w:right w:val="nil"/>
            </w:tcBorders>
            <w:shd w:val="clear" w:color="auto" w:fill="FFFFFF"/>
            <w:vAlign w:val="bottom"/>
          </w:tcPr>
          <w:p w14:paraId="743E4DF3" w14:textId="77777777" w:rsidR="0087601C" w:rsidRPr="006A1EC7" w:rsidRDefault="0087601C" w:rsidP="00D56051">
            <w:pPr>
              <w:rPr>
                <w:sz w:val="18"/>
              </w:rPr>
            </w:pPr>
          </w:p>
        </w:tc>
        <w:tc>
          <w:tcPr>
            <w:tcW w:w="9315" w:type="dxa"/>
            <w:gridSpan w:val="17"/>
            <w:tcBorders>
              <w:top w:val="nil"/>
              <w:left w:val="nil"/>
              <w:bottom w:val="nil"/>
              <w:right w:val="nil"/>
            </w:tcBorders>
            <w:shd w:val="clear" w:color="auto" w:fill="FFFFFF"/>
            <w:vAlign w:val="bottom"/>
          </w:tcPr>
          <w:p w14:paraId="15415146"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4</w:t>
            </w:r>
          </w:p>
        </w:tc>
      </w:tr>
      <w:tr w:rsidR="0087601C" w:rsidRPr="006A1EC7" w14:paraId="52AEFBE8" w14:textId="77777777" w:rsidTr="00D56051">
        <w:trPr>
          <w:cantSplit/>
        </w:trPr>
        <w:tc>
          <w:tcPr>
            <w:tcW w:w="1872" w:type="dxa"/>
            <w:vMerge/>
            <w:tcBorders>
              <w:top w:val="nil"/>
              <w:left w:val="nil"/>
              <w:bottom w:val="nil"/>
              <w:right w:val="nil"/>
            </w:tcBorders>
            <w:shd w:val="clear" w:color="auto" w:fill="FFFFFF"/>
            <w:vAlign w:val="bottom"/>
          </w:tcPr>
          <w:p w14:paraId="3F8BF404" w14:textId="77777777" w:rsidR="0087601C" w:rsidRPr="006A1EC7" w:rsidRDefault="0087601C" w:rsidP="00D56051">
            <w:pPr>
              <w:rPr>
                <w:color w:val="264A60"/>
                <w:sz w:val="18"/>
              </w:rPr>
            </w:pPr>
          </w:p>
        </w:tc>
        <w:tc>
          <w:tcPr>
            <w:tcW w:w="1206" w:type="dxa"/>
            <w:gridSpan w:val="3"/>
            <w:vMerge w:val="restart"/>
            <w:tcBorders>
              <w:top w:val="nil"/>
              <w:left w:val="nil"/>
              <w:bottom w:val="nil"/>
              <w:right w:val="single" w:sz="8" w:space="0" w:color="E0E0E0"/>
            </w:tcBorders>
            <w:shd w:val="clear" w:color="auto" w:fill="FFFFFF"/>
            <w:vAlign w:val="bottom"/>
          </w:tcPr>
          <w:p w14:paraId="771D23BA"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05" w:type="dxa"/>
            <w:gridSpan w:val="3"/>
            <w:vMerge w:val="restart"/>
            <w:tcBorders>
              <w:top w:val="nil"/>
              <w:left w:val="single" w:sz="8" w:space="0" w:color="E0E0E0"/>
              <w:bottom w:val="nil"/>
              <w:right w:val="single" w:sz="8" w:space="0" w:color="E0E0E0"/>
            </w:tcBorders>
            <w:shd w:val="clear" w:color="auto" w:fill="FFFFFF"/>
            <w:vAlign w:val="bottom"/>
          </w:tcPr>
          <w:p w14:paraId="33F09473"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26" w:type="dxa"/>
            <w:gridSpan w:val="3"/>
            <w:vMerge w:val="restart"/>
            <w:tcBorders>
              <w:top w:val="nil"/>
              <w:left w:val="single" w:sz="8" w:space="0" w:color="E0E0E0"/>
              <w:bottom w:val="nil"/>
              <w:right w:val="single" w:sz="8" w:space="0" w:color="E0E0E0"/>
            </w:tcBorders>
            <w:shd w:val="clear" w:color="auto" w:fill="FFFFFF"/>
            <w:vAlign w:val="bottom"/>
          </w:tcPr>
          <w:p w14:paraId="2F7BDF9D"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26" w:type="dxa"/>
            <w:gridSpan w:val="3"/>
            <w:vMerge w:val="restart"/>
            <w:tcBorders>
              <w:top w:val="nil"/>
              <w:left w:val="single" w:sz="8" w:space="0" w:color="E0E0E0"/>
              <w:bottom w:val="nil"/>
              <w:right w:val="single" w:sz="8" w:space="0" w:color="E0E0E0"/>
            </w:tcBorders>
            <w:shd w:val="clear" w:color="auto" w:fill="FFFFFF"/>
            <w:vAlign w:val="bottom"/>
          </w:tcPr>
          <w:p w14:paraId="3E3E49BA"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52" w:type="dxa"/>
            <w:gridSpan w:val="5"/>
            <w:tcBorders>
              <w:top w:val="nil"/>
              <w:left w:val="single" w:sz="8" w:space="0" w:color="E0E0E0"/>
              <w:bottom w:val="nil"/>
              <w:right w:val="nil"/>
            </w:tcBorders>
            <w:shd w:val="clear" w:color="auto" w:fill="FFFFFF"/>
            <w:vAlign w:val="bottom"/>
          </w:tcPr>
          <w:p w14:paraId="769F272E"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1FA861F0" w14:textId="77777777" w:rsidTr="00D56051">
        <w:trPr>
          <w:cantSplit/>
        </w:trPr>
        <w:tc>
          <w:tcPr>
            <w:tcW w:w="1872" w:type="dxa"/>
            <w:vMerge/>
            <w:tcBorders>
              <w:top w:val="nil"/>
              <w:left w:val="nil"/>
              <w:bottom w:val="nil"/>
              <w:right w:val="nil"/>
            </w:tcBorders>
            <w:shd w:val="clear" w:color="auto" w:fill="FFFFFF"/>
            <w:vAlign w:val="bottom"/>
          </w:tcPr>
          <w:p w14:paraId="1E02D836" w14:textId="77777777" w:rsidR="0087601C" w:rsidRPr="006A1EC7" w:rsidRDefault="0087601C" w:rsidP="00D56051">
            <w:pPr>
              <w:rPr>
                <w:color w:val="264A60"/>
                <w:sz w:val="18"/>
              </w:rPr>
            </w:pPr>
          </w:p>
        </w:tc>
        <w:tc>
          <w:tcPr>
            <w:tcW w:w="1206" w:type="dxa"/>
            <w:gridSpan w:val="3"/>
            <w:vMerge/>
            <w:tcBorders>
              <w:top w:val="nil"/>
              <w:left w:val="nil"/>
              <w:bottom w:val="nil"/>
              <w:right w:val="single" w:sz="8" w:space="0" w:color="E0E0E0"/>
            </w:tcBorders>
            <w:shd w:val="clear" w:color="auto" w:fill="FFFFFF"/>
            <w:vAlign w:val="bottom"/>
          </w:tcPr>
          <w:p w14:paraId="6E2D5CCA" w14:textId="77777777" w:rsidR="0087601C" w:rsidRPr="006A1EC7" w:rsidRDefault="0087601C" w:rsidP="00D56051">
            <w:pPr>
              <w:rPr>
                <w:color w:val="264A60"/>
                <w:sz w:val="18"/>
              </w:rPr>
            </w:pPr>
          </w:p>
        </w:tc>
        <w:tc>
          <w:tcPr>
            <w:tcW w:w="1205" w:type="dxa"/>
            <w:gridSpan w:val="3"/>
            <w:vMerge/>
            <w:tcBorders>
              <w:top w:val="nil"/>
              <w:left w:val="single" w:sz="8" w:space="0" w:color="E0E0E0"/>
              <w:bottom w:val="nil"/>
              <w:right w:val="single" w:sz="8" w:space="0" w:color="E0E0E0"/>
            </w:tcBorders>
            <w:shd w:val="clear" w:color="auto" w:fill="FFFFFF"/>
            <w:vAlign w:val="bottom"/>
          </w:tcPr>
          <w:p w14:paraId="5D4DB508" w14:textId="77777777" w:rsidR="0087601C" w:rsidRPr="006A1EC7" w:rsidRDefault="0087601C" w:rsidP="00D56051">
            <w:pPr>
              <w:rPr>
                <w:color w:val="264A60"/>
                <w:sz w:val="18"/>
              </w:rPr>
            </w:pPr>
          </w:p>
        </w:tc>
        <w:tc>
          <w:tcPr>
            <w:tcW w:w="1726" w:type="dxa"/>
            <w:gridSpan w:val="3"/>
            <w:vMerge/>
            <w:tcBorders>
              <w:top w:val="nil"/>
              <w:left w:val="single" w:sz="8" w:space="0" w:color="E0E0E0"/>
              <w:bottom w:val="nil"/>
              <w:right w:val="single" w:sz="8" w:space="0" w:color="E0E0E0"/>
            </w:tcBorders>
            <w:shd w:val="clear" w:color="auto" w:fill="FFFFFF"/>
            <w:vAlign w:val="bottom"/>
          </w:tcPr>
          <w:p w14:paraId="0926D34B" w14:textId="77777777" w:rsidR="0087601C" w:rsidRPr="006A1EC7" w:rsidRDefault="0087601C" w:rsidP="00D56051">
            <w:pPr>
              <w:rPr>
                <w:color w:val="264A60"/>
                <w:sz w:val="18"/>
              </w:rPr>
            </w:pPr>
          </w:p>
        </w:tc>
        <w:tc>
          <w:tcPr>
            <w:tcW w:w="1726" w:type="dxa"/>
            <w:gridSpan w:val="3"/>
            <w:vMerge/>
            <w:tcBorders>
              <w:top w:val="nil"/>
              <w:left w:val="single" w:sz="8" w:space="0" w:color="E0E0E0"/>
              <w:bottom w:val="nil"/>
              <w:right w:val="single" w:sz="8" w:space="0" w:color="E0E0E0"/>
            </w:tcBorders>
            <w:shd w:val="clear" w:color="auto" w:fill="FFFFFF"/>
            <w:vAlign w:val="bottom"/>
          </w:tcPr>
          <w:p w14:paraId="3184A07D" w14:textId="77777777" w:rsidR="0087601C" w:rsidRPr="006A1EC7" w:rsidRDefault="0087601C" w:rsidP="00D56051">
            <w:pPr>
              <w:rPr>
                <w:color w:val="264A60"/>
                <w:sz w:val="18"/>
              </w:rPr>
            </w:pPr>
          </w:p>
        </w:tc>
        <w:tc>
          <w:tcPr>
            <w:tcW w:w="1726" w:type="dxa"/>
            <w:gridSpan w:val="3"/>
            <w:tcBorders>
              <w:top w:val="nil"/>
              <w:left w:val="single" w:sz="8" w:space="0" w:color="E0E0E0"/>
              <w:bottom w:val="single" w:sz="8" w:space="0" w:color="152935"/>
              <w:right w:val="single" w:sz="8" w:space="0" w:color="E0E0E0"/>
            </w:tcBorders>
            <w:shd w:val="clear" w:color="auto" w:fill="FFFFFF"/>
            <w:vAlign w:val="bottom"/>
          </w:tcPr>
          <w:p w14:paraId="480DB6BF"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26" w:type="dxa"/>
            <w:gridSpan w:val="2"/>
            <w:tcBorders>
              <w:top w:val="nil"/>
              <w:left w:val="single" w:sz="8" w:space="0" w:color="E0E0E0"/>
              <w:bottom w:val="single" w:sz="8" w:space="0" w:color="152935"/>
              <w:right w:val="nil"/>
            </w:tcBorders>
            <w:shd w:val="clear" w:color="auto" w:fill="FFFFFF"/>
            <w:vAlign w:val="bottom"/>
          </w:tcPr>
          <w:p w14:paraId="5128A756"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5B51565C" w14:textId="77777777" w:rsidTr="00D56051">
        <w:trPr>
          <w:cantSplit/>
        </w:trPr>
        <w:tc>
          <w:tcPr>
            <w:tcW w:w="1872" w:type="dxa"/>
            <w:tcBorders>
              <w:top w:val="single" w:sz="8" w:space="0" w:color="152935"/>
              <w:left w:val="nil"/>
              <w:bottom w:val="single" w:sz="8" w:space="0" w:color="152935"/>
              <w:right w:val="nil"/>
            </w:tcBorders>
            <w:shd w:val="clear" w:color="auto" w:fill="E0E0E0"/>
          </w:tcPr>
          <w:p w14:paraId="19C209E8" w14:textId="77777777" w:rsidR="0087601C" w:rsidRPr="006A1EC7" w:rsidRDefault="0087601C" w:rsidP="00D56051">
            <w:pPr>
              <w:spacing w:line="320" w:lineRule="atLeast"/>
              <w:ind w:left="60" w:right="60"/>
              <w:rPr>
                <w:color w:val="264A60"/>
                <w:sz w:val="18"/>
              </w:rPr>
            </w:pPr>
            <w:r w:rsidRPr="006A1EC7">
              <w:rPr>
                <w:color w:val="264A60"/>
                <w:sz w:val="18"/>
              </w:rPr>
              <w:t>T1Fineen_Func</w:t>
            </w:r>
          </w:p>
        </w:tc>
        <w:tc>
          <w:tcPr>
            <w:tcW w:w="1206" w:type="dxa"/>
            <w:gridSpan w:val="3"/>
            <w:tcBorders>
              <w:top w:val="single" w:sz="8" w:space="0" w:color="152935"/>
              <w:left w:val="nil"/>
              <w:bottom w:val="single" w:sz="8" w:space="0" w:color="152935"/>
              <w:right w:val="single" w:sz="8" w:space="0" w:color="E0E0E0"/>
            </w:tcBorders>
            <w:shd w:val="clear" w:color="auto" w:fill="FFFFFF"/>
          </w:tcPr>
          <w:p w14:paraId="4402DB54" w14:textId="77777777" w:rsidR="0087601C" w:rsidRPr="006A1EC7" w:rsidRDefault="0087601C" w:rsidP="00D56051">
            <w:pPr>
              <w:spacing w:line="320" w:lineRule="atLeast"/>
              <w:ind w:left="60" w:right="60"/>
              <w:jc w:val="right"/>
              <w:rPr>
                <w:color w:val="010205"/>
                <w:sz w:val="18"/>
              </w:rPr>
            </w:pPr>
            <w:r w:rsidRPr="006A1EC7">
              <w:rPr>
                <w:color w:val="010205"/>
                <w:sz w:val="18"/>
              </w:rPr>
              <w:t>-.973</w:t>
            </w:r>
          </w:p>
        </w:tc>
        <w:tc>
          <w:tcPr>
            <w:tcW w:w="1205" w:type="dxa"/>
            <w:gridSpan w:val="3"/>
            <w:tcBorders>
              <w:top w:val="single" w:sz="8" w:space="0" w:color="152935"/>
              <w:left w:val="single" w:sz="8" w:space="0" w:color="E0E0E0"/>
              <w:bottom w:val="single" w:sz="8" w:space="0" w:color="152935"/>
              <w:right w:val="single" w:sz="8" w:space="0" w:color="E0E0E0"/>
            </w:tcBorders>
            <w:shd w:val="clear" w:color="auto" w:fill="FFFFFF"/>
          </w:tcPr>
          <w:p w14:paraId="3CA4FB62"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726" w:type="dxa"/>
            <w:gridSpan w:val="3"/>
            <w:tcBorders>
              <w:top w:val="single" w:sz="8" w:space="0" w:color="152935"/>
              <w:left w:val="single" w:sz="8" w:space="0" w:color="E0E0E0"/>
              <w:bottom w:val="single" w:sz="8" w:space="0" w:color="152935"/>
              <w:right w:val="single" w:sz="8" w:space="0" w:color="E0E0E0"/>
            </w:tcBorders>
            <w:shd w:val="clear" w:color="auto" w:fill="FFFFFF"/>
          </w:tcPr>
          <w:p w14:paraId="204CBE96" w14:textId="77777777" w:rsidR="0087601C" w:rsidRPr="006A1EC7" w:rsidRDefault="0087601C" w:rsidP="00D56051">
            <w:pPr>
              <w:spacing w:line="320" w:lineRule="atLeast"/>
              <w:ind w:left="60" w:right="60"/>
              <w:jc w:val="right"/>
              <w:rPr>
                <w:color w:val="010205"/>
                <w:sz w:val="18"/>
              </w:rPr>
            </w:pPr>
            <w:r w:rsidRPr="006A1EC7">
              <w:rPr>
                <w:color w:val="010205"/>
                <w:sz w:val="18"/>
              </w:rPr>
              <w:t>.337</w:t>
            </w:r>
          </w:p>
        </w:tc>
        <w:tc>
          <w:tcPr>
            <w:tcW w:w="1726" w:type="dxa"/>
            <w:gridSpan w:val="3"/>
            <w:tcBorders>
              <w:top w:val="single" w:sz="8" w:space="0" w:color="152935"/>
              <w:left w:val="single" w:sz="8" w:space="0" w:color="E0E0E0"/>
              <w:bottom w:val="single" w:sz="8" w:space="0" w:color="152935"/>
              <w:right w:val="single" w:sz="8" w:space="0" w:color="E0E0E0"/>
            </w:tcBorders>
            <w:shd w:val="clear" w:color="auto" w:fill="FFFFFF"/>
          </w:tcPr>
          <w:p w14:paraId="3B384E1E" w14:textId="77777777" w:rsidR="0087601C" w:rsidRPr="006A1EC7" w:rsidRDefault="0087601C" w:rsidP="00D56051">
            <w:pPr>
              <w:spacing w:line="320" w:lineRule="atLeast"/>
              <w:ind w:left="60" w:right="60"/>
              <w:jc w:val="right"/>
              <w:rPr>
                <w:color w:val="010205"/>
                <w:sz w:val="18"/>
              </w:rPr>
            </w:pPr>
            <w:r w:rsidRPr="006A1EC7">
              <w:rPr>
                <w:color w:val="010205"/>
                <w:sz w:val="18"/>
              </w:rPr>
              <w:t>-.162</w:t>
            </w:r>
          </w:p>
        </w:tc>
        <w:tc>
          <w:tcPr>
            <w:tcW w:w="1726" w:type="dxa"/>
            <w:gridSpan w:val="3"/>
            <w:tcBorders>
              <w:top w:val="single" w:sz="8" w:space="0" w:color="152935"/>
              <w:left w:val="single" w:sz="8" w:space="0" w:color="E0E0E0"/>
              <w:bottom w:val="single" w:sz="8" w:space="0" w:color="152935"/>
              <w:right w:val="single" w:sz="8" w:space="0" w:color="E0E0E0"/>
            </w:tcBorders>
            <w:shd w:val="clear" w:color="auto" w:fill="FFFFFF"/>
          </w:tcPr>
          <w:p w14:paraId="7A19B5A1" w14:textId="77777777" w:rsidR="0087601C" w:rsidRPr="006A1EC7" w:rsidRDefault="0087601C" w:rsidP="00D56051">
            <w:pPr>
              <w:spacing w:line="320" w:lineRule="atLeast"/>
              <w:ind w:left="60" w:right="60"/>
              <w:jc w:val="right"/>
              <w:rPr>
                <w:color w:val="010205"/>
                <w:sz w:val="18"/>
              </w:rPr>
            </w:pPr>
            <w:r w:rsidRPr="006A1EC7">
              <w:rPr>
                <w:color w:val="010205"/>
                <w:sz w:val="18"/>
              </w:rPr>
              <w:t>-.50</w:t>
            </w:r>
          </w:p>
        </w:tc>
        <w:tc>
          <w:tcPr>
            <w:tcW w:w="1726" w:type="dxa"/>
            <w:gridSpan w:val="2"/>
            <w:tcBorders>
              <w:top w:val="single" w:sz="8" w:space="0" w:color="152935"/>
              <w:left w:val="single" w:sz="8" w:space="0" w:color="E0E0E0"/>
              <w:bottom w:val="single" w:sz="8" w:space="0" w:color="152935"/>
              <w:right w:val="nil"/>
            </w:tcBorders>
            <w:shd w:val="clear" w:color="auto" w:fill="FFFFFF"/>
          </w:tcPr>
          <w:p w14:paraId="4759CE6F" w14:textId="77777777" w:rsidR="0087601C" w:rsidRPr="006A1EC7" w:rsidRDefault="0087601C" w:rsidP="00D56051">
            <w:pPr>
              <w:spacing w:line="320" w:lineRule="atLeast"/>
              <w:ind w:left="60" w:right="60"/>
              <w:jc w:val="right"/>
              <w:rPr>
                <w:color w:val="010205"/>
                <w:sz w:val="18"/>
              </w:rPr>
            </w:pPr>
            <w:r w:rsidRPr="006A1EC7">
              <w:rPr>
                <w:color w:val="010205"/>
                <w:sz w:val="18"/>
              </w:rPr>
              <w:t>.18</w:t>
            </w:r>
          </w:p>
        </w:tc>
      </w:tr>
      <w:tr w:rsidR="0087601C" w:rsidRPr="006A1EC7" w14:paraId="3DE236FF" w14:textId="77777777" w:rsidTr="00D56051">
        <w:trPr>
          <w:gridAfter w:val="3"/>
          <w:wAfter w:w="2746" w:type="dxa"/>
          <w:cantSplit/>
        </w:trPr>
        <w:tc>
          <w:tcPr>
            <w:tcW w:w="2231" w:type="dxa"/>
            <w:gridSpan w:val="3"/>
            <w:tcBorders>
              <w:top w:val="nil"/>
              <w:left w:val="nil"/>
              <w:bottom w:val="single" w:sz="8" w:space="0" w:color="152935"/>
              <w:right w:val="nil"/>
            </w:tcBorders>
            <w:shd w:val="clear" w:color="auto" w:fill="FFFFFF"/>
            <w:vAlign w:val="bottom"/>
          </w:tcPr>
          <w:p w14:paraId="5A6ADFB0" w14:textId="77777777" w:rsidR="0087601C" w:rsidRPr="006A1EC7" w:rsidRDefault="0087601C" w:rsidP="00D56051">
            <w:pPr>
              <w:rPr>
                <w:sz w:val="18"/>
              </w:rPr>
            </w:pPr>
          </w:p>
        </w:tc>
        <w:tc>
          <w:tcPr>
            <w:tcW w:w="1276" w:type="dxa"/>
            <w:gridSpan w:val="3"/>
            <w:tcBorders>
              <w:top w:val="nil"/>
              <w:left w:val="nil"/>
              <w:bottom w:val="single" w:sz="8" w:space="0" w:color="152935"/>
              <w:right w:val="single" w:sz="8" w:space="0" w:color="E0E0E0"/>
            </w:tcBorders>
            <w:shd w:val="clear" w:color="auto" w:fill="FFFFFF"/>
            <w:vAlign w:val="bottom"/>
          </w:tcPr>
          <w:p w14:paraId="51143BBA"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3"/>
            <w:tcBorders>
              <w:top w:val="nil"/>
              <w:left w:val="single" w:sz="8" w:space="0" w:color="E0E0E0"/>
              <w:bottom w:val="single" w:sz="8" w:space="0" w:color="152935"/>
              <w:right w:val="single" w:sz="8" w:space="0" w:color="E0E0E0"/>
            </w:tcBorders>
            <w:shd w:val="clear" w:color="auto" w:fill="FFFFFF"/>
            <w:vAlign w:val="bottom"/>
          </w:tcPr>
          <w:p w14:paraId="104431C7"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gridSpan w:val="3"/>
            <w:tcBorders>
              <w:top w:val="nil"/>
              <w:left w:val="single" w:sz="8" w:space="0" w:color="E0E0E0"/>
              <w:bottom w:val="single" w:sz="8" w:space="0" w:color="152935"/>
              <w:right w:val="single" w:sz="8" w:space="0" w:color="E0E0E0"/>
            </w:tcBorders>
            <w:shd w:val="clear" w:color="auto" w:fill="FFFFFF"/>
            <w:vAlign w:val="bottom"/>
          </w:tcPr>
          <w:p w14:paraId="233665A7"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gridSpan w:val="3"/>
            <w:tcBorders>
              <w:top w:val="nil"/>
              <w:left w:val="single" w:sz="8" w:space="0" w:color="E0E0E0"/>
              <w:bottom w:val="single" w:sz="8" w:space="0" w:color="152935"/>
              <w:right w:val="nil"/>
            </w:tcBorders>
            <w:shd w:val="clear" w:color="auto" w:fill="FFFFFF"/>
            <w:vAlign w:val="bottom"/>
          </w:tcPr>
          <w:p w14:paraId="78E680A5"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3CA6EC2B" w14:textId="77777777" w:rsidTr="00D56051">
        <w:trPr>
          <w:gridAfter w:val="3"/>
          <w:wAfter w:w="2746" w:type="dxa"/>
          <w:cantSplit/>
        </w:trPr>
        <w:tc>
          <w:tcPr>
            <w:tcW w:w="2231" w:type="dxa"/>
            <w:gridSpan w:val="3"/>
            <w:tcBorders>
              <w:top w:val="single" w:sz="8" w:space="0" w:color="152935"/>
              <w:left w:val="nil"/>
              <w:bottom w:val="single" w:sz="8" w:space="0" w:color="152935"/>
              <w:right w:val="nil"/>
            </w:tcBorders>
            <w:shd w:val="clear" w:color="auto" w:fill="E0E0E0"/>
          </w:tcPr>
          <w:p w14:paraId="2A64B49F" w14:textId="77777777" w:rsidR="0087601C" w:rsidRPr="006A1EC7" w:rsidRDefault="0087601C" w:rsidP="00D56051">
            <w:pPr>
              <w:spacing w:line="320" w:lineRule="atLeast"/>
              <w:ind w:left="60" w:right="60"/>
              <w:rPr>
                <w:color w:val="264A60"/>
                <w:sz w:val="18"/>
              </w:rPr>
            </w:pPr>
            <w:r w:rsidRPr="006A1EC7">
              <w:rPr>
                <w:color w:val="264A60"/>
                <w:sz w:val="18"/>
              </w:rPr>
              <w:t>T1Fineen_Immun</w:t>
            </w:r>
          </w:p>
        </w:tc>
        <w:tc>
          <w:tcPr>
            <w:tcW w:w="1276" w:type="dxa"/>
            <w:gridSpan w:val="3"/>
            <w:tcBorders>
              <w:top w:val="single" w:sz="8" w:space="0" w:color="152935"/>
              <w:left w:val="nil"/>
              <w:bottom w:val="single" w:sz="8" w:space="0" w:color="152935"/>
              <w:right w:val="single" w:sz="8" w:space="0" w:color="E0E0E0"/>
            </w:tcBorders>
            <w:shd w:val="clear" w:color="auto" w:fill="FFFFFF"/>
          </w:tcPr>
          <w:p w14:paraId="74720562"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gridSpan w:val="3"/>
            <w:tcBorders>
              <w:top w:val="single" w:sz="8" w:space="0" w:color="152935"/>
              <w:left w:val="single" w:sz="8" w:space="0" w:color="E0E0E0"/>
              <w:bottom w:val="single" w:sz="8" w:space="0" w:color="152935"/>
              <w:right w:val="single" w:sz="8" w:space="0" w:color="E0E0E0"/>
            </w:tcBorders>
            <w:shd w:val="clear" w:color="auto" w:fill="FFFFFF"/>
          </w:tcPr>
          <w:p w14:paraId="554587B2" w14:textId="77777777" w:rsidR="0087601C" w:rsidRPr="006A1EC7" w:rsidRDefault="0087601C" w:rsidP="00D56051">
            <w:pPr>
              <w:spacing w:line="320" w:lineRule="atLeast"/>
              <w:ind w:left="60" w:right="60"/>
              <w:jc w:val="right"/>
              <w:rPr>
                <w:color w:val="010205"/>
                <w:sz w:val="18"/>
              </w:rPr>
            </w:pPr>
            <w:r w:rsidRPr="006A1EC7">
              <w:rPr>
                <w:color w:val="010205"/>
                <w:sz w:val="18"/>
              </w:rPr>
              <w:t>3.62</w:t>
            </w:r>
          </w:p>
        </w:tc>
        <w:tc>
          <w:tcPr>
            <w:tcW w:w="1829" w:type="dxa"/>
            <w:gridSpan w:val="3"/>
            <w:tcBorders>
              <w:top w:val="single" w:sz="8" w:space="0" w:color="152935"/>
              <w:left w:val="single" w:sz="8" w:space="0" w:color="E0E0E0"/>
              <w:bottom w:val="single" w:sz="8" w:space="0" w:color="152935"/>
              <w:right w:val="single" w:sz="8" w:space="0" w:color="E0E0E0"/>
            </w:tcBorders>
            <w:shd w:val="clear" w:color="auto" w:fill="FFFFFF"/>
          </w:tcPr>
          <w:p w14:paraId="6773A4AF" w14:textId="77777777" w:rsidR="0087601C" w:rsidRPr="006A1EC7" w:rsidRDefault="0087601C" w:rsidP="00D56051">
            <w:pPr>
              <w:spacing w:line="320" w:lineRule="atLeast"/>
              <w:ind w:left="60" w:right="60"/>
              <w:jc w:val="right"/>
              <w:rPr>
                <w:color w:val="010205"/>
                <w:sz w:val="18"/>
              </w:rPr>
            </w:pPr>
            <w:r w:rsidRPr="006A1EC7">
              <w:rPr>
                <w:color w:val="010205"/>
                <w:sz w:val="18"/>
              </w:rPr>
              <w:t>2.152</w:t>
            </w:r>
          </w:p>
        </w:tc>
        <w:tc>
          <w:tcPr>
            <w:tcW w:w="1829" w:type="dxa"/>
            <w:gridSpan w:val="3"/>
            <w:tcBorders>
              <w:top w:val="single" w:sz="8" w:space="0" w:color="152935"/>
              <w:left w:val="single" w:sz="8" w:space="0" w:color="E0E0E0"/>
              <w:bottom w:val="single" w:sz="8" w:space="0" w:color="152935"/>
              <w:right w:val="nil"/>
            </w:tcBorders>
            <w:shd w:val="clear" w:color="auto" w:fill="FFFFFF"/>
          </w:tcPr>
          <w:p w14:paraId="5A81B26D" w14:textId="77777777" w:rsidR="0087601C" w:rsidRPr="006A1EC7" w:rsidRDefault="0087601C" w:rsidP="00D56051">
            <w:pPr>
              <w:spacing w:line="320" w:lineRule="atLeast"/>
              <w:ind w:left="60" w:right="60"/>
              <w:jc w:val="right"/>
              <w:rPr>
                <w:color w:val="010205"/>
                <w:sz w:val="18"/>
              </w:rPr>
            </w:pPr>
            <w:r w:rsidRPr="006A1EC7">
              <w:rPr>
                <w:color w:val="010205"/>
                <w:sz w:val="18"/>
              </w:rPr>
              <w:t>.354</w:t>
            </w:r>
          </w:p>
        </w:tc>
      </w:tr>
      <w:tr w:rsidR="0087601C" w:rsidRPr="006A1EC7" w14:paraId="0F254D7C" w14:textId="77777777" w:rsidTr="00D56051">
        <w:trPr>
          <w:cantSplit/>
        </w:trPr>
        <w:tc>
          <w:tcPr>
            <w:tcW w:w="2062" w:type="dxa"/>
            <w:gridSpan w:val="2"/>
            <w:vMerge w:val="restart"/>
            <w:tcBorders>
              <w:top w:val="nil"/>
              <w:left w:val="nil"/>
              <w:bottom w:val="nil"/>
              <w:right w:val="nil"/>
            </w:tcBorders>
            <w:shd w:val="clear" w:color="auto" w:fill="FFFFFF"/>
            <w:vAlign w:val="bottom"/>
          </w:tcPr>
          <w:p w14:paraId="6ABF0F07" w14:textId="77777777" w:rsidR="0087601C" w:rsidRPr="006A1EC7" w:rsidRDefault="0087601C" w:rsidP="00D56051">
            <w:pPr>
              <w:rPr>
                <w:sz w:val="18"/>
              </w:rPr>
            </w:pPr>
          </w:p>
        </w:tc>
        <w:tc>
          <w:tcPr>
            <w:tcW w:w="9125" w:type="dxa"/>
            <w:gridSpan w:val="16"/>
            <w:tcBorders>
              <w:top w:val="nil"/>
              <w:left w:val="nil"/>
              <w:bottom w:val="nil"/>
              <w:right w:val="nil"/>
            </w:tcBorders>
            <w:shd w:val="clear" w:color="auto" w:fill="FFFFFF"/>
            <w:vAlign w:val="bottom"/>
          </w:tcPr>
          <w:p w14:paraId="3EB05E7A"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5.5</w:t>
            </w:r>
          </w:p>
        </w:tc>
      </w:tr>
      <w:tr w:rsidR="0087601C" w:rsidRPr="006A1EC7" w14:paraId="13690584" w14:textId="77777777" w:rsidTr="00D56051">
        <w:trPr>
          <w:cantSplit/>
        </w:trPr>
        <w:tc>
          <w:tcPr>
            <w:tcW w:w="2062" w:type="dxa"/>
            <w:gridSpan w:val="2"/>
            <w:vMerge/>
            <w:tcBorders>
              <w:top w:val="nil"/>
              <w:left w:val="nil"/>
              <w:bottom w:val="nil"/>
              <w:right w:val="nil"/>
            </w:tcBorders>
            <w:shd w:val="clear" w:color="auto" w:fill="FFFFFF"/>
            <w:vAlign w:val="bottom"/>
          </w:tcPr>
          <w:p w14:paraId="251A3563" w14:textId="77777777" w:rsidR="0087601C" w:rsidRPr="006A1EC7" w:rsidRDefault="0087601C" w:rsidP="00D56051">
            <w:pPr>
              <w:rPr>
                <w:color w:val="264A60"/>
                <w:sz w:val="18"/>
              </w:rPr>
            </w:pPr>
          </w:p>
        </w:tc>
        <w:tc>
          <w:tcPr>
            <w:tcW w:w="1181" w:type="dxa"/>
            <w:gridSpan w:val="3"/>
            <w:vMerge w:val="restart"/>
            <w:tcBorders>
              <w:top w:val="nil"/>
              <w:left w:val="nil"/>
              <w:bottom w:val="nil"/>
              <w:right w:val="single" w:sz="8" w:space="0" w:color="E0E0E0"/>
            </w:tcBorders>
            <w:shd w:val="clear" w:color="auto" w:fill="FFFFFF"/>
            <w:vAlign w:val="bottom"/>
          </w:tcPr>
          <w:p w14:paraId="797ED84D"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80" w:type="dxa"/>
            <w:gridSpan w:val="3"/>
            <w:vMerge w:val="restart"/>
            <w:tcBorders>
              <w:top w:val="nil"/>
              <w:left w:val="single" w:sz="8" w:space="0" w:color="E0E0E0"/>
              <w:bottom w:val="nil"/>
              <w:right w:val="single" w:sz="8" w:space="0" w:color="E0E0E0"/>
            </w:tcBorders>
            <w:shd w:val="clear" w:color="auto" w:fill="FFFFFF"/>
            <w:vAlign w:val="bottom"/>
          </w:tcPr>
          <w:p w14:paraId="123CEACD"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91" w:type="dxa"/>
            <w:gridSpan w:val="3"/>
            <w:vMerge w:val="restart"/>
            <w:tcBorders>
              <w:top w:val="nil"/>
              <w:left w:val="single" w:sz="8" w:space="0" w:color="E0E0E0"/>
              <w:bottom w:val="nil"/>
              <w:right w:val="single" w:sz="8" w:space="0" w:color="E0E0E0"/>
            </w:tcBorders>
            <w:shd w:val="clear" w:color="auto" w:fill="FFFFFF"/>
            <w:vAlign w:val="bottom"/>
          </w:tcPr>
          <w:p w14:paraId="46087272"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91" w:type="dxa"/>
            <w:gridSpan w:val="3"/>
            <w:vMerge w:val="restart"/>
            <w:tcBorders>
              <w:top w:val="nil"/>
              <w:left w:val="single" w:sz="8" w:space="0" w:color="E0E0E0"/>
              <w:bottom w:val="nil"/>
              <w:right w:val="single" w:sz="8" w:space="0" w:color="E0E0E0"/>
            </w:tcBorders>
            <w:shd w:val="clear" w:color="auto" w:fill="FFFFFF"/>
            <w:vAlign w:val="bottom"/>
          </w:tcPr>
          <w:p w14:paraId="4D1B4D30"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82" w:type="dxa"/>
            <w:gridSpan w:val="4"/>
            <w:tcBorders>
              <w:top w:val="nil"/>
              <w:left w:val="single" w:sz="8" w:space="0" w:color="E0E0E0"/>
              <w:bottom w:val="nil"/>
              <w:right w:val="nil"/>
            </w:tcBorders>
            <w:shd w:val="clear" w:color="auto" w:fill="FFFFFF"/>
            <w:vAlign w:val="bottom"/>
          </w:tcPr>
          <w:p w14:paraId="2B6D191C"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40E65F40" w14:textId="77777777" w:rsidTr="00D56051">
        <w:trPr>
          <w:cantSplit/>
        </w:trPr>
        <w:tc>
          <w:tcPr>
            <w:tcW w:w="2062" w:type="dxa"/>
            <w:gridSpan w:val="2"/>
            <w:vMerge/>
            <w:tcBorders>
              <w:top w:val="nil"/>
              <w:left w:val="nil"/>
              <w:bottom w:val="nil"/>
              <w:right w:val="nil"/>
            </w:tcBorders>
            <w:shd w:val="clear" w:color="auto" w:fill="FFFFFF"/>
            <w:vAlign w:val="bottom"/>
          </w:tcPr>
          <w:p w14:paraId="3F05513A" w14:textId="77777777" w:rsidR="0087601C" w:rsidRPr="006A1EC7" w:rsidRDefault="0087601C" w:rsidP="00D56051">
            <w:pPr>
              <w:rPr>
                <w:color w:val="264A60"/>
                <w:sz w:val="18"/>
              </w:rPr>
            </w:pPr>
          </w:p>
        </w:tc>
        <w:tc>
          <w:tcPr>
            <w:tcW w:w="1181" w:type="dxa"/>
            <w:gridSpan w:val="3"/>
            <w:vMerge/>
            <w:tcBorders>
              <w:top w:val="nil"/>
              <w:left w:val="nil"/>
              <w:bottom w:val="nil"/>
              <w:right w:val="single" w:sz="8" w:space="0" w:color="E0E0E0"/>
            </w:tcBorders>
            <w:shd w:val="clear" w:color="auto" w:fill="FFFFFF"/>
            <w:vAlign w:val="bottom"/>
          </w:tcPr>
          <w:p w14:paraId="4A09E15B" w14:textId="77777777" w:rsidR="0087601C" w:rsidRPr="006A1EC7" w:rsidRDefault="0087601C" w:rsidP="00D56051">
            <w:pPr>
              <w:rPr>
                <w:color w:val="264A60"/>
                <w:sz w:val="18"/>
              </w:rPr>
            </w:pPr>
          </w:p>
        </w:tc>
        <w:tc>
          <w:tcPr>
            <w:tcW w:w="1180" w:type="dxa"/>
            <w:gridSpan w:val="3"/>
            <w:vMerge/>
            <w:tcBorders>
              <w:top w:val="nil"/>
              <w:left w:val="single" w:sz="8" w:space="0" w:color="E0E0E0"/>
              <w:bottom w:val="nil"/>
              <w:right w:val="single" w:sz="8" w:space="0" w:color="E0E0E0"/>
            </w:tcBorders>
            <w:shd w:val="clear" w:color="auto" w:fill="FFFFFF"/>
            <w:vAlign w:val="bottom"/>
          </w:tcPr>
          <w:p w14:paraId="78173E3E" w14:textId="77777777" w:rsidR="0087601C" w:rsidRPr="006A1EC7" w:rsidRDefault="0087601C" w:rsidP="00D56051">
            <w:pPr>
              <w:rPr>
                <w:color w:val="264A60"/>
                <w:sz w:val="18"/>
              </w:rPr>
            </w:pPr>
          </w:p>
        </w:tc>
        <w:tc>
          <w:tcPr>
            <w:tcW w:w="1691" w:type="dxa"/>
            <w:gridSpan w:val="3"/>
            <w:vMerge/>
            <w:tcBorders>
              <w:top w:val="nil"/>
              <w:left w:val="single" w:sz="8" w:space="0" w:color="E0E0E0"/>
              <w:bottom w:val="nil"/>
              <w:right w:val="single" w:sz="8" w:space="0" w:color="E0E0E0"/>
            </w:tcBorders>
            <w:shd w:val="clear" w:color="auto" w:fill="FFFFFF"/>
            <w:vAlign w:val="bottom"/>
          </w:tcPr>
          <w:p w14:paraId="2EBBB6BA" w14:textId="77777777" w:rsidR="0087601C" w:rsidRPr="006A1EC7" w:rsidRDefault="0087601C" w:rsidP="00D56051">
            <w:pPr>
              <w:rPr>
                <w:color w:val="264A60"/>
                <w:sz w:val="18"/>
              </w:rPr>
            </w:pPr>
          </w:p>
        </w:tc>
        <w:tc>
          <w:tcPr>
            <w:tcW w:w="1691" w:type="dxa"/>
            <w:gridSpan w:val="3"/>
            <w:vMerge/>
            <w:tcBorders>
              <w:top w:val="nil"/>
              <w:left w:val="single" w:sz="8" w:space="0" w:color="E0E0E0"/>
              <w:bottom w:val="nil"/>
              <w:right w:val="single" w:sz="8" w:space="0" w:color="E0E0E0"/>
            </w:tcBorders>
            <w:shd w:val="clear" w:color="auto" w:fill="FFFFFF"/>
            <w:vAlign w:val="bottom"/>
          </w:tcPr>
          <w:p w14:paraId="725DCE1E" w14:textId="77777777" w:rsidR="0087601C" w:rsidRPr="006A1EC7" w:rsidRDefault="0087601C" w:rsidP="00D56051">
            <w:pPr>
              <w:rPr>
                <w:color w:val="264A60"/>
                <w:sz w:val="18"/>
              </w:rPr>
            </w:pPr>
          </w:p>
        </w:tc>
        <w:tc>
          <w:tcPr>
            <w:tcW w:w="1691" w:type="dxa"/>
            <w:gridSpan w:val="3"/>
            <w:tcBorders>
              <w:top w:val="nil"/>
              <w:left w:val="single" w:sz="8" w:space="0" w:color="E0E0E0"/>
              <w:bottom w:val="single" w:sz="8" w:space="0" w:color="152935"/>
              <w:right w:val="single" w:sz="8" w:space="0" w:color="E0E0E0"/>
            </w:tcBorders>
            <w:shd w:val="clear" w:color="auto" w:fill="FFFFFF"/>
            <w:vAlign w:val="bottom"/>
          </w:tcPr>
          <w:p w14:paraId="13B938DB"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91" w:type="dxa"/>
            <w:tcBorders>
              <w:top w:val="nil"/>
              <w:left w:val="single" w:sz="8" w:space="0" w:color="E0E0E0"/>
              <w:bottom w:val="single" w:sz="8" w:space="0" w:color="152935"/>
              <w:right w:val="nil"/>
            </w:tcBorders>
            <w:shd w:val="clear" w:color="auto" w:fill="FFFFFF"/>
            <w:vAlign w:val="bottom"/>
          </w:tcPr>
          <w:p w14:paraId="43C6E906"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783ED006" w14:textId="77777777" w:rsidTr="00D56051">
        <w:trPr>
          <w:cantSplit/>
        </w:trPr>
        <w:tc>
          <w:tcPr>
            <w:tcW w:w="2062" w:type="dxa"/>
            <w:gridSpan w:val="2"/>
            <w:tcBorders>
              <w:top w:val="single" w:sz="8" w:space="0" w:color="152935"/>
              <w:left w:val="nil"/>
              <w:bottom w:val="single" w:sz="8" w:space="0" w:color="152935"/>
              <w:right w:val="nil"/>
            </w:tcBorders>
            <w:shd w:val="clear" w:color="auto" w:fill="E0E0E0"/>
          </w:tcPr>
          <w:p w14:paraId="60E0EC72" w14:textId="77777777" w:rsidR="0087601C" w:rsidRPr="006A1EC7" w:rsidRDefault="0087601C" w:rsidP="00D56051">
            <w:pPr>
              <w:spacing w:line="320" w:lineRule="atLeast"/>
              <w:ind w:left="60" w:right="60"/>
              <w:rPr>
                <w:color w:val="264A60"/>
                <w:sz w:val="18"/>
              </w:rPr>
            </w:pPr>
            <w:r w:rsidRPr="006A1EC7">
              <w:rPr>
                <w:color w:val="264A60"/>
                <w:sz w:val="18"/>
              </w:rPr>
              <w:t>T1Fineen_Immun</w:t>
            </w:r>
          </w:p>
        </w:tc>
        <w:tc>
          <w:tcPr>
            <w:tcW w:w="1181" w:type="dxa"/>
            <w:gridSpan w:val="3"/>
            <w:tcBorders>
              <w:top w:val="single" w:sz="8" w:space="0" w:color="152935"/>
              <w:left w:val="nil"/>
              <w:bottom w:val="single" w:sz="8" w:space="0" w:color="152935"/>
              <w:right w:val="single" w:sz="8" w:space="0" w:color="E0E0E0"/>
            </w:tcBorders>
            <w:shd w:val="clear" w:color="auto" w:fill="FFFFFF"/>
          </w:tcPr>
          <w:p w14:paraId="2FDBB538" w14:textId="77777777" w:rsidR="0087601C" w:rsidRPr="006A1EC7" w:rsidRDefault="0087601C" w:rsidP="00D56051">
            <w:pPr>
              <w:spacing w:line="320" w:lineRule="atLeast"/>
              <w:ind w:left="60" w:right="60"/>
              <w:jc w:val="right"/>
              <w:rPr>
                <w:color w:val="010205"/>
                <w:sz w:val="18"/>
              </w:rPr>
            </w:pPr>
            <w:r w:rsidRPr="006A1EC7">
              <w:rPr>
                <w:color w:val="010205"/>
                <w:sz w:val="18"/>
              </w:rPr>
              <w:t>-5.310</w:t>
            </w:r>
          </w:p>
        </w:tc>
        <w:tc>
          <w:tcPr>
            <w:tcW w:w="1180" w:type="dxa"/>
            <w:gridSpan w:val="3"/>
            <w:tcBorders>
              <w:top w:val="single" w:sz="8" w:space="0" w:color="152935"/>
              <w:left w:val="single" w:sz="8" w:space="0" w:color="E0E0E0"/>
              <w:bottom w:val="single" w:sz="8" w:space="0" w:color="152935"/>
              <w:right w:val="single" w:sz="8" w:space="0" w:color="E0E0E0"/>
            </w:tcBorders>
            <w:shd w:val="clear" w:color="auto" w:fill="FFFFFF"/>
          </w:tcPr>
          <w:p w14:paraId="1AC3FD16"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91" w:type="dxa"/>
            <w:gridSpan w:val="3"/>
            <w:tcBorders>
              <w:top w:val="single" w:sz="8" w:space="0" w:color="152935"/>
              <w:left w:val="single" w:sz="8" w:space="0" w:color="E0E0E0"/>
              <w:bottom w:val="single" w:sz="8" w:space="0" w:color="152935"/>
              <w:right w:val="single" w:sz="8" w:space="0" w:color="E0E0E0"/>
            </w:tcBorders>
            <w:shd w:val="clear" w:color="auto" w:fill="FFFFFF"/>
          </w:tcPr>
          <w:p w14:paraId="6BD1035D"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91" w:type="dxa"/>
            <w:gridSpan w:val="3"/>
            <w:tcBorders>
              <w:top w:val="single" w:sz="8" w:space="0" w:color="152935"/>
              <w:left w:val="single" w:sz="8" w:space="0" w:color="E0E0E0"/>
              <w:bottom w:val="single" w:sz="8" w:space="0" w:color="152935"/>
              <w:right w:val="single" w:sz="8" w:space="0" w:color="E0E0E0"/>
            </w:tcBorders>
            <w:shd w:val="clear" w:color="auto" w:fill="FFFFFF"/>
          </w:tcPr>
          <w:p w14:paraId="4C7B06D6" w14:textId="77777777" w:rsidR="0087601C" w:rsidRPr="006A1EC7" w:rsidRDefault="0087601C" w:rsidP="00D56051">
            <w:pPr>
              <w:spacing w:line="320" w:lineRule="atLeast"/>
              <w:ind w:left="60" w:right="60"/>
              <w:jc w:val="right"/>
              <w:rPr>
                <w:color w:val="010205"/>
                <w:sz w:val="18"/>
              </w:rPr>
            </w:pPr>
            <w:r w:rsidRPr="006A1EC7">
              <w:rPr>
                <w:color w:val="010205"/>
                <w:sz w:val="18"/>
              </w:rPr>
              <w:t>-1.878</w:t>
            </w:r>
          </w:p>
        </w:tc>
        <w:tc>
          <w:tcPr>
            <w:tcW w:w="1691" w:type="dxa"/>
            <w:gridSpan w:val="3"/>
            <w:tcBorders>
              <w:top w:val="single" w:sz="8" w:space="0" w:color="152935"/>
              <w:left w:val="single" w:sz="8" w:space="0" w:color="E0E0E0"/>
              <w:bottom w:val="single" w:sz="8" w:space="0" w:color="152935"/>
              <w:right w:val="single" w:sz="8" w:space="0" w:color="E0E0E0"/>
            </w:tcBorders>
            <w:shd w:val="clear" w:color="auto" w:fill="FFFFFF"/>
          </w:tcPr>
          <w:p w14:paraId="26C229EB" w14:textId="77777777" w:rsidR="0087601C" w:rsidRPr="006A1EC7" w:rsidRDefault="0087601C" w:rsidP="00D56051">
            <w:pPr>
              <w:spacing w:line="320" w:lineRule="atLeast"/>
              <w:ind w:left="60" w:right="60"/>
              <w:jc w:val="right"/>
              <w:rPr>
                <w:color w:val="010205"/>
                <w:sz w:val="18"/>
              </w:rPr>
            </w:pPr>
            <w:r w:rsidRPr="006A1EC7">
              <w:rPr>
                <w:color w:val="010205"/>
                <w:sz w:val="18"/>
              </w:rPr>
              <w:t>-2.60</w:t>
            </w:r>
          </w:p>
        </w:tc>
        <w:tc>
          <w:tcPr>
            <w:tcW w:w="1691" w:type="dxa"/>
            <w:tcBorders>
              <w:top w:val="single" w:sz="8" w:space="0" w:color="152935"/>
              <w:left w:val="single" w:sz="8" w:space="0" w:color="E0E0E0"/>
              <w:bottom w:val="single" w:sz="8" w:space="0" w:color="152935"/>
              <w:right w:val="nil"/>
            </w:tcBorders>
            <w:shd w:val="clear" w:color="auto" w:fill="FFFFFF"/>
          </w:tcPr>
          <w:p w14:paraId="01CEDE9D" w14:textId="77777777" w:rsidR="0087601C" w:rsidRPr="006A1EC7" w:rsidRDefault="0087601C" w:rsidP="00D56051">
            <w:pPr>
              <w:spacing w:line="320" w:lineRule="atLeast"/>
              <w:ind w:left="60" w:right="60"/>
              <w:jc w:val="right"/>
              <w:rPr>
                <w:color w:val="010205"/>
                <w:sz w:val="18"/>
              </w:rPr>
            </w:pPr>
            <w:r w:rsidRPr="006A1EC7">
              <w:rPr>
                <w:color w:val="010205"/>
                <w:sz w:val="18"/>
              </w:rPr>
              <w:t>-1.16</w:t>
            </w:r>
          </w:p>
        </w:tc>
      </w:tr>
    </w:tbl>
    <w:p w14:paraId="1CBF6FB8" w14:textId="77777777" w:rsidR="0087601C" w:rsidRPr="006A1EC7" w:rsidRDefault="0087601C" w:rsidP="0087601C">
      <w:pPr>
        <w:spacing w:line="400" w:lineRule="atLeast"/>
        <w:rPr>
          <w:sz w:val="18"/>
        </w:rPr>
      </w:pPr>
    </w:p>
    <w:tbl>
      <w:tblPr>
        <w:tblW w:w="7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5"/>
        <w:gridCol w:w="1277"/>
        <w:gridCol w:w="1277"/>
        <w:gridCol w:w="1831"/>
        <w:gridCol w:w="1831"/>
      </w:tblGrid>
      <w:tr w:rsidR="0087601C" w:rsidRPr="006A1EC7" w14:paraId="7470E953" w14:textId="77777777" w:rsidTr="00D56051">
        <w:trPr>
          <w:cantSplit/>
        </w:trPr>
        <w:tc>
          <w:tcPr>
            <w:tcW w:w="1755" w:type="dxa"/>
            <w:tcBorders>
              <w:top w:val="nil"/>
              <w:left w:val="nil"/>
              <w:bottom w:val="single" w:sz="8" w:space="0" w:color="152935"/>
              <w:right w:val="nil"/>
            </w:tcBorders>
            <w:shd w:val="clear" w:color="auto" w:fill="FFFFFF"/>
            <w:vAlign w:val="bottom"/>
          </w:tcPr>
          <w:p w14:paraId="772DA1DC" w14:textId="77777777" w:rsidR="0087601C" w:rsidRPr="006A1EC7" w:rsidRDefault="0087601C" w:rsidP="00D56051">
            <w:pPr>
              <w:rPr>
                <w:sz w:val="18"/>
              </w:rPr>
            </w:pPr>
          </w:p>
        </w:tc>
        <w:tc>
          <w:tcPr>
            <w:tcW w:w="1277" w:type="dxa"/>
            <w:tcBorders>
              <w:top w:val="nil"/>
              <w:left w:val="nil"/>
              <w:bottom w:val="single" w:sz="8" w:space="0" w:color="152935"/>
              <w:right w:val="single" w:sz="8" w:space="0" w:color="E0E0E0"/>
            </w:tcBorders>
            <w:shd w:val="clear" w:color="auto" w:fill="FFFFFF"/>
            <w:vAlign w:val="bottom"/>
          </w:tcPr>
          <w:p w14:paraId="2CA761B8"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2C5C9FCB"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1" w:type="dxa"/>
            <w:tcBorders>
              <w:top w:val="nil"/>
              <w:left w:val="single" w:sz="8" w:space="0" w:color="E0E0E0"/>
              <w:bottom w:val="single" w:sz="8" w:space="0" w:color="152935"/>
              <w:right w:val="single" w:sz="8" w:space="0" w:color="E0E0E0"/>
            </w:tcBorders>
            <w:shd w:val="clear" w:color="auto" w:fill="FFFFFF"/>
            <w:vAlign w:val="bottom"/>
          </w:tcPr>
          <w:p w14:paraId="786B0150"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1" w:type="dxa"/>
            <w:tcBorders>
              <w:top w:val="nil"/>
              <w:left w:val="single" w:sz="8" w:space="0" w:color="E0E0E0"/>
              <w:bottom w:val="single" w:sz="8" w:space="0" w:color="152935"/>
              <w:right w:val="nil"/>
            </w:tcBorders>
            <w:shd w:val="clear" w:color="auto" w:fill="FFFFFF"/>
            <w:vAlign w:val="bottom"/>
          </w:tcPr>
          <w:p w14:paraId="3C1E60B6"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5EA44865" w14:textId="77777777" w:rsidTr="00D56051">
        <w:trPr>
          <w:cantSplit/>
        </w:trPr>
        <w:tc>
          <w:tcPr>
            <w:tcW w:w="1755" w:type="dxa"/>
            <w:tcBorders>
              <w:top w:val="single" w:sz="8" w:space="0" w:color="152935"/>
              <w:left w:val="nil"/>
              <w:bottom w:val="single" w:sz="8" w:space="0" w:color="152935"/>
              <w:right w:val="nil"/>
            </w:tcBorders>
            <w:shd w:val="clear" w:color="auto" w:fill="E0E0E0"/>
          </w:tcPr>
          <w:p w14:paraId="2AB412BC" w14:textId="77777777" w:rsidR="0087601C" w:rsidRPr="006A1EC7" w:rsidRDefault="0087601C" w:rsidP="00D56051">
            <w:pPr>
              <w:spacing w:line="320" w:lineRule="atLeast"/>
              <w:ind w:left="60" w:right="60"/>
              <w:rPr>
                <w:color w:val="264A60"/>
                <w:sz w:val="18"/>
              </w:rPr>
            </w:pPr>
            <w:r w:rsidRPr="006A1EC7">
              <w:rPr>
                <w:color w:val="264A60"/>
                <w:sz w:val="18"/>
              </w:rPr>
              <w:t>Level of care</w:t>
            </w:r>
          </w:p>
        </w:tc>
        <w:tc>
          <w:tcPr>
            <w:tcW w:w="1277" w:type="dxa"/>
            <w:tcBorders>
              <w:top w:val="single" w:sz="8" w:space="0" w:color="152935"/>
              <w:left w:val="nil"/>
              <w:bottom w:val="single" w:sz="8" w:space="0" w:color="152935"/>
              <w:right w:val="single" w:sz="8" w:space="0" w:color="E0E0E0"/>
            </w:tcBorders>
            <w:shd w:val="clear" w:color="auto" w:fill="FFFFFF"/>
          </w:tcPr>
          <w:p w14:paraId="593F7A41"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7" w:type="dxa"/>
            <w:tcBorders>
              <w:top w:val="single" w:sz="8" w:space="0" w:color="152935"/>
              <w:left w:val="single" w:sz="8" w:space="0" w:color="E0E0E0"/>
              <w:bottom w:val="single" w:sz="8" w:space="0" w:color="152935"/>
              <w:right w:val="single" w:sz="8" w:space="0" w:color="E0E0E0"/>
            </w:tcBorders>
            <w:shd w:val="clear" w:color="auto" w:fill="FFFFFF"/>
          </w:tcPr>
          <w:p w14:paraId="73420626" w14:textId="77777777" w:rsidR="0087601C" w:rsidRPr="006A1EC7" w:rsidRDefault="0087601C" w:rsidP="00D56051">
            <w:pPr>
              <w:spacing w:line="320" w:lineRule="atLeast"/>
              <w:ind w:left="60" w:right="60"/>
              <w:jc w:val="right"/>
              <w:rPr>
                <w:color w:val="010205"/>
                <w:sz w:val="18"/>
              </w:rPr>
            </w:pPr>
            <w:r w:rsidRPr="006A1EC7">
              <w:rPr>
                <w:color w:val="010205"/>
                <w:sz w:val="18"/>
              </w:rPr>
              <w:t>1.00</w:t>
            </w:r>
          </w:p>
        </w:tc>
        <w:tc>
          <w:tcPr>
            <w:tcW w:w="1831" w:type="dxa"/>
            <w:tcBorders>
              <w:top w:val="single" w:sz="8" w:space="0" w:color="152935"/>
              <w:left w:val="single" w:sz="8" w:space="0" w:color="E0E0E0"/>
              <w:bottom w:val="single" w:sz="8" w:space="0" w:color="152935"/>
              <w:right w:val="single" w:sz="8" w:space="0" w:color="E0E0E0"/>
            </w:tcBorders>
            <w:shd w:val="clear" w:color="auto" w:fill="FFFFFF"/>
          </w:tcPr>
          <w:p w14:paraId="46F2C748" w14:textId="77777777" w:rsidR="0087601C" w:rsidRPr="006A1EC7" w:rsidRDefault="0087601C" w:rsidP="00D56051">
            <w:pPr>
              <w:spacing w:line="320" w:lineRule="atLeast"/>
              <w:ind w:left="60" w:right="60"/>
              <w:jc w:val="right"/>
              <w:rPr>
                <w:color w:val="010205"/>
                <w:sz w:val="18"/>
              </w:rPr>
            </w:pPr>
            <w:r w:rsidRPr="006A1EC7">
              <w:rPr>
                <w:color w:val="010205"/>
                <w:sz w:val="18"/>
              </w:rPr>
              <w:t>.000</w:t>
            </w:r>
            <w:r w:rsidRPr="006A1EC7">
              <w:rPr>
                <w:color w:val="010205"/>
                <w:sz w:val="18"/>
                <w:vertAlign w:val="superscript"/>
              </w:rPr>
              <w:t>a</w:t>
            </w:r>
          </w:p>
        </w:tc>
        <w:tc>
          <w:tcPr>
            <w:tcW w:w="1831" w:type="dxa"/>
            <w:tcBorders>
              <w:top w:val="single" w:sz="8" w:space="0" w:color="152935"/>
              <w:left w:val="single" w:sz="8" w:space="0" w:color="E0E0E0"/>
              <w:bottom w:val="single" w:sz="8" w:space="0" w:color="152935"/>
              <w:right w:val="nil"/>
            </w:tcBorders>
            <w:shd w:val="clear" w:color="auto" w:fill="FFFFFF"/>
          </w:tcPr>
          <w:p w14:paraId="6AD3E926"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bl>
    <w:p w14:paraId="5F7A329E" w14:textId="77777777" w:rsidR="0087601C" w:rsidRPr="006A1EC7" w:rsidRDefault="0087601C" w:rsidP="0087601C">
      <w:pPr>
        <w:rPr>
          <w:color w:val="010205"/>
          <w:sz w:val="18"/>
        </w:rPr>
      </w:pPr>
    </w:p>
    <w:tbl>
      <w:tblPr>
        <w:tblW w:w="8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0"/>
        <w:gridCol w:w="1278"/>
        <w:gridCol w:w="1277"/>
        <w:gridCol w:w="1829"/>
        <w:gridCol w:w="1547"/>
        <w:gridCol w:w="282"/>
      </w:tblGrid>
      <w:tr w:rsidR="0087601C" w:rsidRPr="006A1EC7" w14:paraId="5EE16719" w14:textId="77777777" w:rsidTr="00D56051">
        <w:trPr>
          <w:gridAfter w:val="1"/>
          <w:wAfter w:w="282" w:type="dxa"/>
          <w:cantSplit/>
        </w:trPr>
        <w:tc>
          <w:tcPr>
            <w:tcW w:w="7971" w:type="dxa"/>
            <w:gridSpan w:val="5"/>
            <w:tcBorders>
              <w:top w:val="nil"/>
              <w:left w:val="nil"/>
              <w:bottom w:val="nil"/>
              <w:right w:val="nil"/>
            </w:tcBorders>
            <w:shd w:val="clear" w:color="auto" w:fill="FFFFFF"/>
          </w:tcPr>
          <w:p w14:paraId="6DF4AEC3" w14:textId="77777777" w:rsidR="0087601C" w:rsidRPr="006A1EC7" w:rsidRDefault="0087601C" w:rsidP="00D56051">
            <w:pPr>
              <w:spacing w:line="320" w:lineRule="atLeast"/>
              <w:ind w:left="60" w:right="60"/>
              <w:rPr>
                <w:color w:val="010205"/>
                <w:sz w:val="18"/>
              </w:rPr>
            </w:pPr>
            <w:r w:rsidRPr="006A1EC7">
              <w:rPr>
                <w:color w:val="010205"/>
                <w:sz w:val="18"/>
              </w:rPr>
              <w:t>a. t cannot be computed because the standard deviation is 0.</w:t>
            </w:r>
          </w:p>
        </w:tc>
      </w:tr>
      <w:tr w:rsidR="0087601C" w:rsidRPr="006A1EC7" w14:paraId="609582ED" w14:textId="77777777" w:rsidTr="00D56051">
        <w:trPr>
          <w:cantSplit/>
        </w:trPr>
        <w:tc>
          <w:tcPr>
            <w:tcW w:w="2040" w:type="dxa"/>
            <w:tcBorders>
              <w:top w:val="nil"/>
              <w:left w:val="nil"/>
              <w:bottom w:val="single" w:sz="8" w:space="0" w:color="152935"/>
              <w:right w:val="nil"/>
            </w:tcBorders>
            <w:shd w:val="clear" w:color="auto" w:fill="FFFFFF"/>
            <w:vAlign w:val="bottom"/>
          </w:tcPr>
          <w:p w14:paraId="083D1875" w14:textId="77777777" w:rsidR="0087601C" w:rsidRPr="006A1EC7" w:rsidRDefault="0087601C" w:rsidP="00D56051">
            <w:pPr>
              <w:rPr>
                <w:sz w:val="18"/>
              </w:rPr>
            </w:pPr>
          </w:p>
        </w:tc>
        <w:tc>
          <w:tcPr>
            <w:tcW w:w="1278" w:type="dxa"/>
            <w:tcBorders>
              <w:top w:val="nil"/>
              <w:left w:val="nil"/>
              <w:bottom w:val="single" w:sz="8" w:space="0" w:color="152935"/>
              <w:right w:val="single" w:sz="8" w:space="0" w:color="E0E0E0"/>
            </w:tcBorders>
            <w:shd w:val="clear" w:color="auto" w:fill="FFFFFF"/>
            <w:vAlign w:val="bottom"/>
          </w:tcPr>
          <w:p w14:paraId="2ADFE2F9"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6A133336"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9" w:type="dxa"/>
            <w:tcBorders>
              <w:top w:val="nil"/>
              <w:left w:val="single" w:sz="8" w:space="0" w:color="E0E0E0"/>
              <w:bottom w:val="single" w:sz="8" w:space="0" w:color="152935"/>
              <w:right w:val="single" w:sz="8" w:space="0" w:color="E0E0E0"/>
            </w:tcBorders>
            <w:shd w:val="clear" w:color="auto" w:fill="FFFFFF"/>
            <w:vAlign w:val="bottom"/>
          </w:tcPr>
          <w:p w14:paraId="7DA086C4"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9" w:type="dxa"/>
            <w:gridSpan w:val="2"/>
            <w:tcBorders>
              <w:top w:val="nil"/>
              <w:left w:val="single" w:sz="8" w:space="0" w:color="E0E0E0"/>
              <w:bottom w:val="single" w:sz="8" w:space="0" w:color="152935"/>
              <w:right w:val="nil"/>
            </w:tcBorders>
            <w:shd w:val="clear" w:color="auto" w:fill="FFFFFF"/>
            <w:vAlign w:val="bottom"/>
          </w:tcPr>
          <w:p w14:paraId="125EF97A"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09AA718D" w14:textId="77777777" w:rsidTr="00D56051">
        <w:trPr>
          <w:cantSplit/>
        </w:trPr>
        <w:tc>
          <w:tcPr>
            <w:tcW w:w="2040" w:type="dxa"/>
            <w:tcBorders>
              <w:top w:val="single" w:sz="8" w:space="0" w:color="152935"/>
              <w:left w:val="nil"/>
              <w:bottom w:val="single" w:sz="8" w:space="0" w:color="152935"/>
              <w:right w:val="nil"/>
            </w:tcBorders>
            <w:shd w:val="clear" w:color="auto" w:fill="E0E0E0"/>
          </w:tcPr>
          <w:p w14:paraId="62CCB47C" w14:textId="77777777" w:rsidR="0087601C" w:rsidRPr="006A1EC7" w:rsidRDefault="0087601C" w:rsidP="00D56051">
            <w:pPr>
              <w:spacing w:line="320" w:lineRule="atLeast"/>
              <w:ind w:left="60" w:right="60"/>
              <w:rPr>
                <w:color w:val="264A60"/>
                <w:sz w:val="18"/>
              </w:rPr>
            </w:pPr>
            <w:r w:rsidRPr="006A1EC7">
              <w:rPr>
                <w:color w:val="264A60"/>
                <w:sz w:val="18"/>
              </w:rPr>
              <w:lastRenderedPageBreak/>
              <w:t>T1Fineen_Total</w:t>
            </w:r>
          </w:p>
        </w:tc>
        <w:tc>
          <w:tcPr>
            <w:tcW w:w="1278" w:type="dxa"/>
            <w:tcBorders>
              <w:top w:val="single" w:sz="8" w:space="0" w:color="152935"/>
              <w:left w:val="nil"/>
              <w:bottom w:val="single" w:sz="8" w:space="0" w:color="152935"/>
              <w:right w:val="single" w:sz="8" w:space="0" w:color="E0E0E0"/>
            </w:tcBorders>
            <w:shd w:val="clear" w:color="auto" w:fill="FFFFFF"/>
          </w:tcPr>
          <w:p w14:paraId="6234D296"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277" w:type="dxa"/>
            <w:tcBorders>
              <w:top w:val="single" w:sz="8" w:space="0" w:color="152935"/>
              <w:left w:val="single" w:sz="8" w:space="0" w:color="E0E0E0"/>
              <w:bottom w:val="single" w:sz="8" w:space="0" w:color="152935"/>
              <w:right w:val="single" w:sz="8" w:space="0" w:color="E0E0E0"/>
            </w:tcBorders>
            <w:shd w:val="clear" w:color="auto" w:fill="FFFFFF"/>
          </w:tcPr>
          <w:p w14:paraId="1F7FA0A8" w14:textId="77777777" w:rsidR="0087601C" w:rsidRPr="006A1EC7" w:rsidRDefault="0087601C" w:rsidP="00D56051">
            <w:pPr>
              <w:spacing w:line="320" w:lineRule="atLeast"/>
              <w:ind w:left="60" w:right="60"/>
              <w:jc w:val="right"/>
              <w:rPr>
                <w:color w:val="010205"/>
                <w:sz w:val="18"/>
              </w:rPr>
            </w:pPr>
            <w:r w:rsidRPr="006A1EC7">
              <w:rPr>
                <w:color w:val="010205"/>
                <w:sz w:val="18"/>
              </w:rPr>
              <w:t>26.31</w:t>
            </w:r>
          </w:p>
        </w:tc>
        <w:tc>
          <w:tcPr>
            <w:tcW w:w="1829" w:type="dxa"/>
            <w:tcBorders>
              <w:top w:val="single" w:sz="8" w:space="0" w:color="152935"/>
              <w:left w:val="single" w:sz="8" w:space="0" w:color="E0E0E0"/>
              <w:bottom w:val="single" w:sz="8" w:space="0" w:color="152935"/>
              <w:right w:val="single" w:sz="8" w:space="0" w:color="E0E0E0"/>
            </w:tcBorders>
            <w:shd w:val="clear" w:color="auto" w:fill="FFFFFF"/>
          </w:tcPr>
          <w:p w14:paraId="7E43108A" w14:textId="77777777" w:rsidR="0087601C" w:rsidRPr="006A1EC7" w:rsidRDefault="0087601C" w:rsidP="00D56051">
            <w:pPr>
              <w:spacing w:line="320" w:lineRule="atLeast"/>
              <w:ind w:left="60" w:right="60"/>
              <w:jc w:val="right"/>
              <w:rPr>
                <w:color w:val="010205"/>
                <w:sz w:val="18"/>
              </w:rPr>
            </w:pPr>
            <w:r w:rsidRPr="006A1EC7">
              <w:rPr>
                <w:color w:val="010205"/>
                <w:sz w:val="18"/>
              </w:rPr>
              <w:t>3.568</w:t>
            </w:r>
          </w:p>
        </w:tc>
        <w:tc>
          <w:tcPr>
            <w:tcW w:w="1829" w:type="dxa"/>
            <w:gridSpan w:val="2"/>
            <w:tcBorders>
              <w:top w:val="single" w:sz="8" w:space="0" w:color="152935"/>
              <w:left w:val="single" w:sz="8" w:space="0" w:color="E0E0E0"/>
              <w:bottom w:val="single" w:sz="8" w:space="0" w:color="152935"/>
              <w:right w:val="nil"/>
            </w:tcBorders>
            <w:shd w:val="clear" w:color="auto" w:fill="FFFFFF"/>
          </w:tcPr>
          <w:p w14:paraId="6DDE7138" w14:textId="77777777" w:rsidR="0087601C" w:rsidRPr="006A1EC7" w:rsidRDefault="0087601C" w:rsidP="00D56051">
            <w:pPr>
              <w:spacing w:line="320" w:lineRule="atLeast"/>
              <w:ind w:left="60" w:right="60"/>
              <w:jc w:val="right"/>
              <w:rPr>
                <w:color w:val="010205"/>
                <w:sz w:val="18"/>
              </w:rPr>
            </w:pPr>
            <w:r w:rsidRPr="006A1EC7">
              <w:rPr>
                <w:color w:val="010205"/>
                <w:sz w:val="18"/>
              </w:rPr>
              <w:t>.595</w:t>
            </w:r>
          </w:p>
        </w:tc>
      </w:tr>
    </w:tbl>
    <w:p w14:paraId="6AD2D99B"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6"/>
        <w:gridCol w:w="581"/>
        <w:gridCol w:w="619"/>
        <w:gridCol w:w="657"/>
        <w:gridCol w:w="542"/>
        <w:gridCol w:w="734"/>
        <w:gridCol w:w="984"/>
        <w:gridCol w:w="844"/>
        <w:gridCol w:w="874"/>
        <w:gridCol w:w="954"/>
        <w:gridCol w:w="764"/>
        <w:gridCol w:w="1718"/>
      </w:tblGrid>
      <w:tr w:rsidR="0087601C" w:rsidRPr="006A1EC7" w14:paraId="32FC65F1" w14:textId="77777777" w:rsidTr="00D56051">
        <w:trPr>
          <w:cantSplit/>
        </w:trPr>
        <w:tc>
          <w:tcPr>
            <w:tcW w:w="1916" w:type="dxa"/>
            <w:vMerge w:val="restart"/>
            <w:tcBorders>
              <w:top w:val="nil"/>
              <w:left w:val="nil"/>
              <w:bottom w:val="nil"/>
              <w:right w:val="nil"/>
            </w:tcBorders>
            <w:shd w:val="clear" w:color="auto" w:fill="FFFFFF"/>
            <w:vAlign w:val="bottom"/>
          </w:tcPr>
          <w:p w14:paraId="35F2EFAB" w14:textId="77777777" w:rsidR="0087601C" w:rsidRPr="006A1EC7" w:rsidRDefault="0087601C" w:rsidP="00D56051">
            <w:pPr>
              <w:rPr>
                <w:sz w:val="18"/>
              </w:rPr>
            </w:pPr>
          </w:p>
        </w:tc>
        <w:tc>
          <w:tcPr>
            <w:tcW w:w="9271" w:type="dxa"/>
            <w:gridSpan w:val="11"/>
            <w:tcBorders>
              <w:top w:val="nil"/>
              <w:left w:val="nil"/>
              <w:bottom w:val="nil"/>
              <w:right w:val="nil"/>
            </w:tcBorders>
            <w:shd w:val="clear" w:color="auto" w:fill="FFFFFF"/>
            <w:vAlign w:val="bottom"/>
          </w:tcPr>
          <w:p w14:paraId="43E13D60"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24.5</w:t>
            </w:r>
          </w:p>
        </w:tc>
      </w:tr>
      <w:tr w:rsidR="0087601C" w:rsidRPr="006A1EC7" w14:paraId="6949BF47" w14:textId="77777777" w:rsidTr="00D56051">
        <w:trPr>
          <w:cantSplit/>
        </w:trPr>
        <w:tc>
          <w:tcPr>
            <w:tcW w:w="1916" w:type="dxa"/>
            <w:vMerge/>
            <w:tcBorders>
              <w:top w:val="nil"/>
              <w:left w:val="nil"/>
              <w:bottom w:val="nil"/>
              <w:right w:val="nil"/>
            </w:tcBorders>
            <w:shd w:val="clear" w:color="auto" w:fill="FFFFFF"/>
            <w:vAlign w:val="bottom"/>
          </w:tcPr>
          <w:p w14:paraId="17DF8EC4" w14:textId="77777777" w:rsidR="0087601C" w:rsidRPr="006A1EC7" w:rsidRDefault="0087601C" w:rsidP="00D56051">
            <w:pPr>
              <w:rPr>
                <w:color w:val="264A60"/>
                <w:sz w:val="18"/>
              </w:rPr>
            </w:pPr>
          </w:p>
        </w:tc>
        <w:tc>
          <w:tcPr>
            <w:tcW w:w="1200" w:type="dxa"/>
            <w:gridSpan w:val="2"/>
            <w:vMerge w:val="restart"/>
            <w:tcBorders>
              <w:top w:val="nil"/>
              <w:left w:val="nil"/>
              <w:bottom w:val="nil"/>
              <w:right w:val="single" w:sz="8" w:space="0" w:color="E0E0E0"/>
            </w:tcBorders>
            <w:shd w:val="clear" w:color="auto" w:fill="FFFFFF"/>
            <w:vAlign w:val="bottom"/>
          </w:tcPr>
          <w:p w14:paraId="7674C23A"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99" w:type="dxa"/>
            <w:gridSpan w:val="2"/>
            <w:vMerge w:val="restart"/>
            <w:tcBorders>
              <w:top w:val="nil"/>
              <w:left w:val="single" w:sz="8" w:space="0" w:color="E0E0E0"/>
              <w:bottom w:val="nil"/>
              <w:right w:val="single" w:sz="8" w:space="0" w:color="E0E0E0"/>
            </w:tcBorders>
            <w:shd w:val="clear" w:color="auto" w:fill="FFFFFF"/>
            <w:vAlign w:val="bottom"/>
          </w:tcPr>
          <w:p w14:paraId="784C20C8"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18" w:type="dxa"/>
            <w:gridSpan w:val="2"/>
            <w:vMerge w:val="restart"/>
            <w:tcBorders>
              <w:top w:val="nil"/>
              <w:left w:val="single" w:sz="8" w:space="0" w:color="E0E0E0"/>
              <w:bottom w:val="nil"/>
              <w:right w:val="single" w:sz="8" w:space="0" w:color="E0E0E0"/>
            </w:tcBorders>
            <w:shd w:val="clear" w:color="auto" w:fill="FFFFFF"/>
            <w:vAlign w:val="bottom"/>
          </w:tcPr>
          <w:p w14:paraId="1B928049"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18" w:type="dxa"/>
            <w:gridSpan w:val="2"/>
            <w:vMerge w:val="restart"/>
            <w:tcBorders>
              <w:top w:val="nil"/>
              <w:left w:val="single" w:sz="8" w:space="0" w:color="E0E0E0"/>
              <w:bottom w:val="nil"/>
              <w:right w:val="single" w:sz="8" w:space="0" w:color="E0E0E0"/>
            </w:tcBorders>
            <w:shd w:val="clear" w:color="auto" w:fill="FFFFFF"/>
            <w:vAlign w:val="bottom"/>
          </w:tcPr>
          <w:p w14:paraId="5E502C16"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436" w:type="dxa"/>
            <w:gridSpan w:val="3"/>
            <w:tcBorders>
              <w:top w:val="nil"/>
              <w:left w:val="single" w:sz="8" w:space="0" w:color="E0E0E0"/>
              <w:bottom w:val="nil"/>
              <w:right w:val="nil"/>
            </w:tcBorders>
            <w:shd w:val="clear" w:color="auto" w:fill="FFFFFF"/>
            <w:vAlign w:val="bottom"/>
          </w:tcPr>
          <w:p w14:paraId="44B83157"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4FBEA817" w14:textId="77777777" w:rsidTr="00D56051">
        <w:trPr>
          <w:cantSplit/>
        </w:trPr>
        <w:tc>
          <w:tcPr>
            <w:tcW w:w="1916" w:type="dxa"/>
            <w:vMerge/>
            <w:tcBorders>
              <w:top w:val="nil"/>
              <w:left w:val="nil"/>
              <w:bottom w:val="nil"/>
              <w:right w:val="nil"/>
            </w:tcBorders>
            <w:shd w:val="clear" w:color="auto" w:fill="FFFFFF"/>
            <w:vAlign w:val="bottom"/>
          </w:tcPr>
          <w:p w14:paraId="4D3BFD7B" w14:textId="77777777" w:rsidR="0087601C" w:rsidRPr="006A1EC7" w:rsidRDefault="0087601C" w:rsidP="00D56051">
            <w:pPr>
              <w:rPr>
                <w:color w:val="264A60"/>
                <w:sz w:val="18"/>
              </w:rPr>
            </w:pPr>
          </w:p>
        </w:tc>
        <w:tc>
          <w:tcPr>
            <w:tcW w:w="1200" w:type="dxa"/>
            <w:gridSpan w:val="2"/>
            <w:vMerge/>
            <w:tcBorders>
              <w:top w:val="nil"/>
              <w:left w:val="nil"/>
              <w:bottom w:val="nil"/>
              <w:right w:val="single" w:sz="8" w:space="0" w:color="E0E0E0"/>
            </w:tcBorders>
            <w:shd w:val="clear" w:color="auto" w:fill="FFFFFF"/>
            <w:vAlign w:val="bottom"/>
          </w:tcPr>
          <w:p w14:paraId="117826BC" w14:textId="77777777" w:rsidR="0087601C" w:rsidRPr="006A1EC7" w:rsidRDefault="0087601C" w:rsidP="00D56051">
            <w:pPr>
              <w:rPr>
                <w:color w:val="264A60"/>
                <w:sz w:val="18"/>
              </w:rPr>
            </w:pPr>
          </w:p>
        </w:tc>
        <w:tc>
          <w:tcPr>
            <w:tcW w:w="1199" w:type="dxa"/>
            <w:gridSpan w:val="2"/>
            <w:vMerge/>
            <w:tcBorders>
              <w:top w:val="nil"/>
              <w:left w:val="single" w:sz="8" w:space="0" w:color="E0E0E0"/>
              <w:bottom w:val="nil"/>
              <w:right w:val="single" w:sz="8" w:space="0" w:color="E0E0E0"/>
            </w:tcBorders>
            <w:shd w:val="clear" w:color="auto" w:fill="FFFFFF"/>
            <w:vAlign w:val="bottom"/>
          </w:tcPr>
          <w:p w14:paraId="4972C5F9" w14:textId="77777777" w:rsidR="0087601C" w:rsidRPr="006A1EC7" w:rsidRDefault="0087601C" w:rsidP="00D56051">
            <w:pPr>
              <w:rPr>
                <w:color w:val="264A60"/>
                <w:sz w:val="18"/>
              </w:rPr>
            </w:pPr>
          </w:p>
        </w:tc>
        <w:tc>
          <w:tcPr>
            <w:tcW w:w="1718" w:type="dxa"/>
            <w:gridSpan w:val="2"/>
            <w:vMerge/>
            <w:tcBorders>
              <w:top w:val="nil"/>
              <w:left w:val="single" w:sz="8" w:space="0" w:color="E0E0E0"/>
              <w:bottom w:val="nil"/>
              <w:right w:val="single" w:sz="8" w:space="0" w:color="E0E0E0"/>
            </w:tcBorders>
            <w:shd w:val="clear" w:color="auto" w:fill="FFFFFF"/>
            <w:vAlign w:val="bottom"/>
          </w:tcPr>
          <w:p w14:paraId="5321CCD4" w14:textId="77777777" w:rsidR="0087601C" w:rsidRPr="006A1EC7" w:rsidRDefault="0087601C" w:rsidP="00D56051">
            <w:pPr>
              <w:rPr>
                <w:color w:val="264A60"/>
                <w:sz w:val="18"/>
              </w:rPr>
            </w:pPr>
          </w:p>
        </w:tc>
        <w:tc>
          <w:tcPr>
            <w:tcW w:w="1718" w:type="dxa"/>
            <w:gridSpan w:val="2"/>
            <w:vMerge/>
            <w:tcBorders>
              <w:top w:val="nil"/>
              <w:left w:val="single" w:sz="8" w:space="0" w:color="E0E0E0"/>
              <w:bottom w:val="nil"/>
              <w:right w:val="single" w:sz="8" w:space="0" w:color="E0E0E0"/>
            </w:tcBorders>
            <w:shd w:val="clear" w:color="auto" w:fill="FFFFFF"/>
            <w:vAlign w:val="bottom"/>
          </w:tcPr>
          <w:p w14:paraId="52BBC605" w14:textId="77777777" w:rsidR="0087601C" w:rsidRPr="006A1EC7" w:rsidRDefault="0087601C" w:rsidP="00D56051">
            <w:pPr>
              <w:rPr>
                <w:color w:val="264A60"/>
                <w:sz w:val="18"/>
              </w:rPr>
            </w:pPr>
          </w:p>
        </w:tc>
        <w:tc>
          <w:tcPr>
            <w:tcW w:w="1718" w:type="dxa"/>
            <w:gridSpan w:val="2"/>
            <w:tcBorders>
              <w:top w:val="nil"/>
              <w:left w:val="single" w:sz="8" w:space="0" w:color="E0E0E0"/>
              <w:bottom w:val="single" w:sz="8" w:space="0" w:color="152935"/>
              <w:right w:val="single" w:sz="8" w:space="0" w:color="E0E0E0"/>
            </w:tcBorders>
            <w:shd w:val="clear" w:color="auto" w:fill="FFFFFF"/>
            <w:vAlign w:val="bottom"/>
          </w:tcPr>
          <w:p w14:paraId="08A881F7"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18" w:type="dxa"/>
            <w:tcBorders>
              <w:top w:val="nil"/>
              <w:left w:val="single" w:sz="8" w:space="0" w:color="E0E0E0"/>
              <w:bottom w:val="single" w:sz="8" w:space="0" w:color="152935"/>
              <w:right w:val="nil"/>
            </w:tcBorders>
            <w:shd w:val="clear" w:color="auto" w:fill="FFFFFF"/>
            <w:vAlign w:val="bottom"/>
          </w:tcPr>
          <w:p w14:paraId="438E9388"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2179F6B6" w14:textId="77777777" w:rsidTr="00D56051">
        <w:trPr>
          <w:cantSplit/>
        </w:trPr>
        <w:tc>
          <w:tcPr>
            <w:tcW w:w="1916" w:type="dxa"/>
            <w:tcBorders>
              <w:top w:val="single" w:sz="8" w:space="0" w:color="152935"/>
              <w:left w:val="nil"/>
              <w:bottom w:val="single" w:sz="8" w:space="0" w:color="152935"/>
              <w:right w:val="nil"/>
            </w:tcBorders>
            <w:shd w:val="clear" w:color="auto" w:fill="E0E0E0"/>
          </w:tcPr>
          <w:p w14:paraId="60435278" w14:textId="77777777" w:rsidR="0087601C" w:rsidRPr="006A1EC7" w:rsidRDefault="0087601C" w:rsidP="00D56051">
            <w:pPr>
              <w:spacing w:line="320" w:lineRule="atLeast"/>
              <w:ind w:left="60" w:right="60"/>
              <w:rPr>
                <w:color w:val="264A60"/>
                <w:sz w:val="18"/>
              </w:rPr>
            </w:pPr>
            <w:r w:rsidRPr="006A1EC7">
              <w:rPr>
                <w:color w:val="264A60"/>
                <w:sz w:val="18"/>
              </w:rPr>
              <w:t>T1Fineen_Total</w:t>
            </w:r>
          </w:p>
        </w:tc>
        <w:tc>
          <w:tcPr>
            <w:tcW w:w="1200" w:type="dxa"/>
            <w:gridSpan w:val="2"/>
            <w:tcBorders>
              <w:top w:val="single" w:sz="8" w:space="0" w:color="152935"/>
              <w:left w:val="nil"/>
              <w:bottom w:val="single" w:sz="8" w:space="0" w:color="152935"/>
              <w:right w:val="single" w:sz="8" w:space="0" w:color="E0E0E0"/>
            </w:tcBorders>
            <w:shd w:val="clear" w:color="auto" w:fill="FFFFFF"/>
          </w:tcPr>
          <w:p w14:paraId="11BFB6D0" w14:textId="77777777" w:rsidR="0087601C" w:rsidRPr="006A1EC7" w:rsidRDefault="0087601C" w:rsidP="00D56051">
            <w:pPr>
              <w:spacing w:line="320" w:lineRule="atLeast"/>
              <w:ind w:left="60" w:right="60"/>
              <w:jc w:val="right"/>
              <w:rPr>
                <w:color w:val="010205"/>
                <w:sz w:val="18"/>
              </w:rPr>
            </w:pPr>
            <w:r w:rsidRPr="006A1EC7">
              <w:rPr>
                <w:color w:val="010205"/>
                <w:sz w:val="18"/>
              </w:rPr>
              <w:t>3.036</w:t>
            </w:r>
          </w:p>
        </w:tc>
        <w:tc>
          <w:tcPr>
            <w:tcW w:w="1199" w:type="dxa"/>
            <w:gridSpan w:val="2"/>
            <w:tcBorders>
              <w:top w:val="single" w:sz="8" w:space="0" w:color="152935"/>
              <w:left w:val="single" w:sz="8" w:space="0" w:color="E0E0E0"/>
              <w:bottom w:val="single" w:sz="8" w:space="0" w:color="152935"/>
              <w:right w:val="single" w:sz="8" w:space="0" w:color="E0E0E0"/>
            </w:tcBorders>
            <w:shd w:val="clear" w:color="auto" w:fill="FFFFFF"/>
          </w:tcPr>
          <w:p w14:paraId="02D50EA7" w14:textId="77777777" w:rsidR="0087601C" w:rsidRPr="006A1EC7" w:rsidRDefault="0087601C" w:rsidP="00D56051">
            <w:pPr>
              <w:spacing w:line="320" w:lineRule="atLeast"/>
              <w:ind w:left="60" w:right="60"/>
              <w:jc w:val="right"/>
              <w:rPr>
                <w:color w:val="010205"/>
                <w:sz w:val="18"/>
              </w:rPr>
            </w:pPr>
            <w:r w:rsidRPr="006A1EC7">
              <w:rPr>
                <w:color w:val="010205"/>
                <w:sz w:val="18"/>
              </w:rPr>
              <w:t>35</w:t>
            </w:r>
          </w:p>
        </w:tc>
        <w:tc>
          <w:tcPr>
            <w:tcW w:w="1718" w:type="dxa"/>
            <w:gridSpan w:val="2"/>
            <w:tcBorders>
              <w:top w:val="single" w:sz="8" w:space="0" w:color="152935"/>
              <w:left w:val="single" w:sz="8" w:space="0" w:color="E0E0E0"/>
              <w:bottom w:val="single" w:sz="8" w:space="0" w:color="152935"/>
              <w:right w:val="single" w:sz="8" w:space="0" w:color="E0E0E0"/>
            </w:tcBorders>
            <w:shd w:val="clear" w:color="auto" w:fill="FFFFFF"/>
          </w:tcPr>
          <w:p w14:paraId="429FBBEA" w14:textId="77777777" w:rsidR="0087601C" w:rsidRPr="006A1EC7" w:rsidRDefault="0087601C" w:rsidP="00D56051">
            <w:pPr>
              <w:spacing w:line="320" w:lineRule="atLeast"/>
              <w:ind w:left="60" w:right="60"/>
              <w:jc w:val="right"/>
              <w:rPr>
                <w:color w:val="010205"/>
                <w:sz w:val="18"/>
              </w:rPr>
            </w:pPr>
            <w:r w:rsidRPr="006A1EC7">
              <w:rPr>
                <w:color w:val="010205"/>
                <w:sz w:val="18"/>
              </w:rPr>
              <w:t>.005</w:t>
            </w:r>
          </w:p>
        </w:tc>
        <w:tc>
          <w:tcPr>
            <w:tcW w:w="1718" w:type="dxa"/>
            <w:gridSpan w:val="2"/>
            <w:tcBorders>
              <w:top w:val="single" w:sz="8" w:space="0" w:color="152935"/>
              <w:left w:val="single" w:sz="8" w:space="0" w:color="E0E0E0"/>
              <w:bottom w:val="single" w:sz="8" w:space="0" w:color="152935"/>
              <w:right w:val="single" w:sz="8" w:space="0" w:color="E0E0E0"/>
            </w:tcBorders>
            <w:shd w:val="clear" w:color="auto" w:fill="FFFFFF"/>
          </w:tcPr>
          <w:p w14:paraId="04F8D00A" w14:textId="77777777" w:rsidR="0087601C" w:rsidRPr="006A1EC7" w:rsidRDefault="0087601C" w:rsidP="00D56051">
            <w:pPr>
              <w:spacing w:line="320" w:lineRule="atLeast"/>
              <w:ind w:left="60" w:right="60"/>
              <w:jc w:val="right"/>
              <w:rPr>
                <w:color w:val="010205"/>
                <w:sz w:val="18"/>
              </w:rPr>
            </w:pPr>
            <w:r w:rsidRPr="006A1EC7">
              <w:rPr>
                <w:color w:val="010205"/>
                <w:sz w:val="18"/>
              </w:rPr>
              <w:t>1.806</w:t>
            </w:r>
          </w:p>
        </w:tc>
        <w:tc>
          <w:tcPr>
            <w:tcW w:w="1718" w:type="dxa"/>
            <w:gridSpan w:val="2"/>
            <w:tcBorders>
              <w:top w:val="single" w:sz="8" w:space="0" w:color="152935"/>
              <w:left w:val="single" w:sz="8" w:space="0" w:color="E0E0E0"/>
              <w:bottom w:val="single" w:sz="8" w:space="0" w:color="152935"/>
              <w:right w:val="single" w:sz="8" w:space="0" w:color="E0E0E0"/>
            </w:tcBorders>
            <w:shd w:val="clear" w:color="auto" w:fill="FFFFFF"/>
          </w:tcPr>
          <w:p w14:paraId="5851B373" w14:textId="77777777" w:rsidR="0087601C" w:rsidRPr="006A1EC7" w:rsidRDefault="0087601C" w:rsidP="00D56051">
            <w:pPr>
              <w:spacing w:line="320" w:lineRule="atLeast"/>
              <w:ind w:left="60" w:right="60"/>
              <w:jc w:val="right"/>
              <w:rPr>
                <w:color w:val="010205"/>
                <w:sz w:val="18"/>
              </w:rPr>
            </w:pPr>
            <w:r w:rsidRPr="006A1EC7">
              <w:rPr>
                <w:color w:val="010205"/>
                <w:sz w:val="18"/>
              </w:rPr>
              <w:t>.60</w:t>
            </w:r>
          </w:p>
        </w:tc>
        <w:tc>
          <w:tcPr>
            <w:tcW w:w="1718" w:type="dxa"/>
            <w:tcBorders>
              <w:top w:val="single" w:sz="8" w:space="0" w:color="152935"/>
              <w:left w:val="single" w:sz="8" w:space="0" w:color="E0E0E0"/>
              <w:bottom w:val="single" w:sz="8" w:space="0" w:color="152935"/>
              <w:right w:val="nil"/>
            </w:tcBorders>
            <w:shd w:val="clear" w:color="auto" w:fill="FFFFFF"/>
          </w:tcPr>
          <w:p w14:paraId="515E15DF" w14:textId="77777777" w:rsidR="0087601C" w:rsidRPr="006A1EC7" w:rsidRDefault="0087601C" w:rsidP="00D56051">
            <w:pPr>
              <w:spacing w:line="320" w:lineRule="atLeast"/>
              <w:ind w:left="60" w:right="60"/>
              <w:jc w:val="right"/>
              <w:rPr>
                <w:color w:val="010205"/>
                <w:sz w:val="18"/>
              </w:rPr>
            </w:pPr>
            <w:r w:rsidRPr="006A1EC7">
              <w:rPr>
                <w:color w:val="010205"/>
                <w:sz w:val="18"/>
              </w:rPr>
              <w:t>3.01</w:t>
            </w:r>
          </w:p>
        </w:tc>
      </w:tr>
      <w:tr w:rsidR="0087601C" w:rsidRPr="006A1EC7" w14:paraId="4AFA7D5D" w14:textId="77777777" w:rsidTr="00D56051">
        <w:trPr>
          <w:gridAfter w:val="2"/>
          <w:wAfter w:w="2482" w:type="dxa"/>
          <w:cantSplit/>
        </w:trPr>
        <w:tc>
          <w:tcPr>
            <w:tcW w:w="2497" w:type="dxa"/>
            <w:gridSpan w:val="2"/>
            <w:tcBorders>
              <w:top w:val="nil"/>
              <w:left w:val="nil"/>
              <w:bottom w:val="single" w:sz="8" w:space="0" w:color="152935"/>
              <w:right w:val="nil"/>
            </w:tcBorders>
            <w:shd w:val="clear" w:color="auto" w:fill="FFFFFF"/>
            <w:vAlign w:val="bottom"/>
          </w:tcPr>
          <w:p w14:paraId="5EFA70C4" w14:textId="77777777" w:rsidR="0087601C" w:rsidRPr="006A1EC7" w:rsidRDefault="0087601C" w:rsidP="00D56051">
            <w:pPr>
              <w:rPr>
                <w:sz w:val="18"/>
              </w:rPr>
            </w:pPr>
          </w:p>
        </w:tc>
        <w:tc>
          <w:tcPr>
            <w:tcW w:w="1276" w:type="dxa"/>
            <w:gridSpan w:val="2"/>
            <w:tcBorders>
              <w:top w:val="nil"/>
              <w:left w:val="nil"/>
              <w:bottom w:val="single" w:sz="8" w:space="0" w:color="152935"/>
              <w:right w:val="single" w:sz="8" w:space="0" w:color="E0E0E0"/>
            </w:tcBorders>
            <w:shd w:val="clear" w:color="auto" w:fill="FFFFFF"/>
            <w:vAlign w:val="bottom"/>
          </w:tcPr>
          <w:p w14:paraId="48C50870"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2"/>
            <w:tcBorders>
              <w:top w:val="nil"/>
              <w:left w:val="single" w:sz="8" w:space="0" w:color="E0E0E0"/>
              <w:bottom w:val="single" w:sz="8" w:space="0" w:color="152935"/>
              <w:right w:val="single" w:sz="8" w:space="0" w:color="E0E0E0"/>
            </w:tcBorders>
            <w:shd w:val="clear" w:color="auto" w:fill="FFFFFF"/>
            <w:vAlign w:val="bottom"/>
          </w:tcPr>
          <w:p w14:paraId="49E1867B"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gridSpan w:val="2"/>
            <w:tcBorders>
              <w:top w:val="nil"/>
              <w:left w:val="single" w:sz="8" w:space="0" w:color="E0E0E0"/>
              <w:bottom w:val="single" w:sz="8" w:space="0" w:color="152935"/>
              <w:right w:val="single" w:sz="8" w:space="0" w:color="E0E0E0"/>
            </w:tcBorders>
            <w:shd w:val="clear" w:color="auto" w:fill="FFFFFF"/>
            <w:vAlign w:val="bottom"/>
          </w:tcPr>
          <w:p w14:paraId="6BF0F5B2"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gridSpan w:val="2"/>
            <w:tcBorders>
              <w:top w:val="nil"/>
              <w:left w:val="single" w:sz="8" w:space="0" w:color="E0E0E0"/>
              <w:bottom w:val="single" w:sz="8" w:space="0" w:color="152935"/>
              <w:right w:val="nil"/>
            </w:tcBorders>
            <w:shd w:val="clear" w:color="auto" w:fill="FFFFFF"/>
            <w:vAlign w:val="bottom"/>
          </w:tcPr>
          <w:p w14:paraId="160EA5C7"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7E43BF13" w14:textId="77777777" w:rsidTr="00D56051">
        <w:trPr>
          <w:gridAfter w:val="2"/>
          <w:wAfter w:w="2482" w:type="dxa"/>
          <w:cantSplit/>
        </w:trPr>
        <w:tc>
          <w:tcPr>
            <w:tcW w:w="2497" w:type="dxa"/>
            <w:gridSpan w:val="2"/>
            <w:tcBorders>
              <w:top w:val="single" w:sz="8" w:space="0" w:color="152935"/>
              <w:left w:val="nil"/>
              <w:bottom w:val="single" w:sz="8" w:space="0" w:color="152935"/>
              <w:right w:val="nil"/>
            </w:tcBorders>
            <w:shd w:val="clear" w:color="auto" w:fill="E0E0E0"/>
          </w:tcPr>
          <w:p w14:paraId="06A829DD" w14:textId="77777777" w:rsidR="0087601C" w:rsidRPr="006A1EC7" w:rsidRDefault="0087601C" w:rsidP="00D56051">
            <w:pPr>
              <w:spacing w:line="320" w:lineRule="atLeast"/>
              <w:ind w:left="60" w:right="60"/>
              <w:rPr>
                <w:color w:val="264A60"/>
                <w:sz w:val="18"/>
              </w:rPr>
            </w:pPr>
            <w:r w:rsidRPr="006A1EC7">
              <w:rPr>
                <w:color w:val="264A60"/>
                <w:sz w:val="18"/>
              </w:rPr>
              <w:t>T1Alessandro_Face</w:t>
            </w:r>
          </w:p>
        </w:tc>
        <w:tc>
          <w:tcPr>
            <w:tcW w:w="1276" w:type="dxa"/>
            <w:gridSpan w:val="2"/>
            <w:tcBorders>
              <w:top w:val="single" w:sz="8" w:space="0" w:color="152935"/>
              <w:left w:val="nil"/>
              <w:bottom w:val="single" w:sz="8" w:space="0" w:color="152935"/>
              <w:right w:val="single" w:sz="8" w:space="0" w:color="E0E0E0"/>
            </w:tcBorders>
            <w:shd w:val="clear" w:color="auto" w:fill="FFFFFF"/>
          </w:tcPr>
          <w:p w14:paraId="7C5AA4ED" w14:textId="77777777" w:rsidR="0087601C" w:rsidRPr="006A1EC7" w:rsidRDefault="0087601C" w:rsidP="00D56051">
            <w:pPr>
              <w:spacing w:line="320" w:lineRule="atLeast"/>
              <w:ind w:left="60" w:right="60"/>
              <w:jc w:val="right"/>
              <w:rPr>
                <w:color w:val="010205"/>
                <w:sz w:val="18"/>
              </w:rPr>
            </w:pPr>
            <w:r w:rsidRPr="006A1EC7">
              <w:rPr>
                <w:color w:val="010205"/>
                <w:sz w:val="18"/>
              </w:rPr>
              <w:t>38</w:t>
            </w:r>
          </w:p>
        </w:tc>
        <w:tc>
          <w:tcPr>
            <w:tcW w:w="1276" w:type="dxa"/>
            <w:gridSpan w:val="2"/>
            <w:tcBorders>
              <w:top w:val="single" w:sz="8" w:space="0" w:color="152935"/>
              <w:left w:val="single" w:sz="8" w:space="0" w:color="E0E0E0"/>
              <w:bottom w:val="single" w:sz="8" w:space="0" w:color="152935"/>
              <w:right w:val="single" w:sz="8" w:space="0" w:color="E0E0E0"/>
            </w:tcBorders>
            <w:shd w:val="clear" w:color="auto" w:fill="FFFFFF"/>
          </w:tcPr>
          <w:p w14:paraId="3C76074B" w14:textId="77777777" w:rsidR="0087601C" w:rsidRPr="006A1EC7" w:rsidRDefault="0087601C" w:rsidP="00D56051">
            <w:pPr>
              <w:spacing w:line="320" w:lineRule="atLeast"/>
              <w:ind w:left="60" w:right="60"/>
              <w:jc w:val="right"/>
              <w:rPr>
                <w:color w:val="010205"/>
                <w:sz w:val="18"/>
              </w:rPr>
            </w:pPr>
            <w:r w:rsidRPr="006A1EC7">
              <w:rPr>
                <w:color w:val="010205"/>
                <w:sz w:val="18"/>
              </w:rPr>
              <w:t>3.53</w:t>
            </w:r>
          </w:p>
        </w:tc>
        <w:tc>
          <w:tcPr>
            <w:tcW w:w="1828" w:type="dxa"/>
            <w:gridSpan w:val="2"/>
            <w:tcBorders>
              <w:top w:val="single" w:sz="8" w:space="0" w:color="152935"/>
              <w:left w:val="single" w:sz="8" w:space="0" w:color="E0E0E0"/>
              <w:bottom w:val="single" w:sz="8" w:space="0" w:color="152935"/>
              <w:right w:val="single" w:sz="8" w:space="0" w:color="E0E0E0"/>
            </w:tcBorders>
            <w:shd w:val="clear" w:color="auto" w:fill="FFFFFF"/>
          </w:tcPr>
          <w:p w14:paraId="17029101" w14:textId="77777777" w:rsidR="0087601C" w:rsidRPr="006A1EC7" w:rsidRDefault="0087601C" w:rsidP="00D56051">
            <w:pPr>
              <w:spacing w:line="320" w:lineRule="atLeast"/>
              <w:ind w:left="60" w:right="60"/>
              <w:jc w:val="right"/>
              <w:rPr>
                <w:color w:val="010205"/>
                <w:sz w:val="18"/>
              </w:rPr>
            </w:pPr>
            <w:r w:rsidRPr="006A1EC7">
              <w:rPr>
                <w:color w:val="010205"/>
                <w:sz w:val="18"/>
              </w:rPr>
              <w:t>.797</w:t>
            </w:r>
          </w:p>
        </w:tc>
        <w:tc>
          <w:tcPr>
            <w:tcW w:w="1828" w:type="dxa"/>
            <w:gridSpan w:val="2"/>
            <w:tcBorders>
              <w:top w:val="single" w:sz="8" w:space="0" w:color="152935"/>
              <w:left w:val="single" w:sz="8" w:space="0" w:color="E0E0E0"/>
              <w:bottom w:val="single" w:sz="8" w:space="0" w:color="152935"/>
              <w:right w:val="nil"/>
            </w:tcBorders>
            <w:shd w:val="clear" w:color="auto" w:fill="FFFFFF"/>
          </w:tcPr>
          <w:p w14:paraId="58819526" w14:textId="77777777" w:rsidR="0087601C" w:rsidRPr="006A1EC7" w:rsidRDefault="0087601C" w:rsidP="00D56051">
            <w:pPr>
              <w:spacing w:line="320" w:lineRule="atLeast"/>
              <w:ind w:left="60" w:right="60"/>
              <w:jc w:val="right"/>
              <w:rPr>
                <w:color w:val="010205"/>
                <w:sz w:val="18"/>
              </w:rPr>
            </w:pPr>
            <w:r w:rsidRPr="006A1EC7">
              <w:rPr>
                <w:color w:val="010205"/>
                <w:sz w:val="18"/>
              </w:rPr>
              <w:t>.129</w:t>
            </w:r>
          </w:p>
        </w:tc>
      </w:tr>
    </w:tbl>
    <w:p w14:paraId="080627CE"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8"/>
        <w:gridCol w:w="656"/>
        <w:gridCol w:w="498"/>
        <w:gridCol w:w="777"/>
        <w:gridCol w:w="378"/>
        <w:gridCol w:w="897"/>
        <w:gridCol w:w="758"/>
        <w:gridCol w:w="1069"/>
        <w:gridCol w:w="586"/>
        <w:gridCol w:w="1241"/>
        <w:gridCol w:w="414"/>
        <w:gridCol w:w="1655"/>
      </w:tblGrid>
      <w:tr w:rsidR="0087601C" w:rsidRPr="006A1EC7" w14:paraId="2DB99954" w14:textId="77777777" w:rsidTr="00D56051">
        <w:trPr>
          <w:cantSplit/>
        </w:trPr>
        <w:tc>
          <w:tcPr>
            <w:tcW w:w="2258" w:type="dxa"/>
            <w:vMerge w:val="restart"/>
            <w:tcBorders>
              <w:top w:val="nil"/>
              <w:left w:val="nil"/>
              <w:bottom w:val="nil"/>
              <w:right w:val="nil"/>
            </w:tcBorders>
            <w:shd w:val="clear" w:color="auto" w:fill="FFFFFF"/>
            <w:vAlign w:val="bottom"/>
          </w:tcPr>
          <w:p w14:paraId="6F31AC86" w14:textId="77777777" w:rsidR="0087601C" w:rsidRPr="006A1EC7" w:rsidRDefault="0087601C" w:rsidP="00D56051">
            <w:pPr>
              <w:rPr>
                <w:sz w:val="18"/>
              </w:rPr>
            </w:pPr>
          </w:p>
        </w:tc>
        <w:tc>
          <w:tcPr>
            <w:tcW w:w="8929" w:type="dxa"/>
            <w:gridSpan w:val="11"/>
            <w:tcBorders>
              <w:top w:val="nil"/>
              <w:left w:val="nil"/>
              <w:bottom w:val="nil"/>
              <w:right w:val="nil"/>
            </w:tcBorders>
            <w:shd w:val="clear" w:color="auto" w:fill="FFFFFF"/>
            <w:vAlign w:val="bottom"/>
          </w:tcPr>
          <w:p w14:paraId="5FB494B4"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3.5</w:t>
            </w:r>
          </w:p>
        </w:tc>
      </w:tr>
      <w:tr w:rsidR="0087601C" w:rsidRPr="006A1EC7" w14:paraId="14521DFC" w14:textId="77777777" w:rsidTr="00D56051">
        <w:trPr>
          <w:cantSplit/>
        </w:trPr>
        <w:tc>
          <w:tcPr>
            <w:tcW w:w="2258" w:type="dxa"/>
            <w:vMerge/>
            <w:tcBorders>
              <w:top w:val="nil"/>
              <w:left w:val="nil"/>
              <w:bottom w:val="nil"/>
              <w:right w:val="nil"/>
            </w:tcBorders>
            <w:shd w:val="clear" w:color="auto" w:fill="FFFFFF"/>
            <w:vAlign w:val="bottom"/>
          </w:tcPr>
          <w:p w14:paraId="443C007C" w14:textId="77777777" w:rsidR="0087601C" w:rsidRPr="006A1EC7" w:rsidRDefault="0087601C" w:rsidP="00D56051">
            <w:pPr>
              <w:rPr>
                <w:color w:val="264A60"/>
                <w:sz w:val="18"/>
              </w:rPr>
            </w:pPr>
          </w:p>
        </w:tc>
        <w:tc>
          <w:tcPr>
            <w:tcW w:w="1154" w:type="dxa"/>
            <w:gridSpan w:val="2"/>
            <w:vMerge w:val="restart"/>
            <w:tcBorders>
              <w:top w:val="nil"/>
              <w:left w:val="nil"/>
              <w:bottom w:val="nil"/>
              <w:right w:val="single" w:sz="8" w:space="0" w:color="E0E0E0"/>
            </w:tcBorders>
            <w:shd w:val="clear" w:color="auto" w:fill="FFFFFF"/>
            <w:vAlign w:val="bottom"/>
          </w:tcPr>
          <w:p w14:paraId="4CEB6E23"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55" w:type="dxa"/>
            <w:gridSpan w:val="2"/>
            <w:vMerge w:val="restart"/>
            <w:tcBorders>
              <w:top w:val="nil"/>
              <w:left w:val="single" w:sz="8" w:space="0" w:color="E0E0E0"/>
              <w:bottom w:val="nil"/>
              <w:right w:val="single" w:sz="8" w:space="0" w:color="E0E0E0"/>
            </w:tcBorders>
            <w:shd w:val="clear" w:color="auto" w:fill="FFFFFF"/>
            <w:vAlign w:val="bottom"/>
          </w:tcPr>
          <w:p w14:paraId="7EED0D6D"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55" w:type="dxa"/>
            <w:gridSpan w:val="2"/>
            <w:vMerge w:val="restart"/>
            <w:tcBorders>
              <w:top w:val="nil"/>
              <w:left w:val="single" w:sz="8" w:space="0" w:color="E0E0E0"/>
              <w:bottom w:val="nil"/>
              <w:right w:val="single" w:sz="8" w:space="0" w:color="E0E0E0"/>
            </w:tcBorders>
            <w:shd w:val="clear" w:color="auto" w:fill="FFFFFF"/>
            <w:vAlign w:val="bottom"/>
          </w:tcPr>
          <w:p w14:paraId="67291132"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55" w:type="dxa"/>
            <w:gridSpan w:val="2"/>
            <w:vMerge w:val="restart"/>
            <w:tcBorders>
              <w:top w:val="nil"/>
              <w:left w:val="single" w:sz="8" w:space="0" w:color="E0E0E0"/>
              <w:bottom w:val="nil"/>
              <w:right w:val="single" w:sz="8" w:space="0" w:color="E0E0E0"/>
            </w:tcBorders>
            <w:shd w:val="clear" w:color="auto" w:fill="FFFFFF"/>
            <w:vAlign w:val="bottom"/>
          </w:tcPr>
          <w:p w14:paraId="2D859C15"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10" w:type="dxa"/>
            <w:gridSpan w:val="3"/>
            <w:tcBorders>
              <w:top w:val="nil"/>
              <w:left w:val="single" w:sz="8" w:space="0" w:color="E0E0E0"/>
              <w:bottom w:val="nil"/>
              <w:right w:val="nil"/>
            </w:tcBorders>
            <w:shd w:val="clear" w:color="auto" w:fill="FFFFFF"/>
            <w:vAlign w:val="bottom"/>
          </w:tcPr>
          <w:p w14:paraId="79C1A133"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6A158E0F" w14:textId="77777777" w:rsidTr="00D56051">
        <w:trPr>
          <w:cantSplit/>
        </w:trPr>
        <w:tc>
          <w:tcPr>
            <w:tcW w:w="2258" w:type="dxa"/>
            <w:vMerge/>
            <w:tcBorders>
              <w:top w:val="nil"/>
              <w:left w:val="nil"/>
              <w:bottom w:val="nil"/>
              <w:right w:val="nil"/>
            </w:tcBorders>
            <w:shd w:val="clear" w:color="auto" w:fill="FFFFFF"/>
            <w:vAlign w:val="bottom"/>
          </w:tcPr>
          <w:p w14:paraId="2D551B26" w14:textId="77777777" w:rsidR="0087601C" w:rsidRPr="006A1EC7" w:rsidRDefault="0087601C" w:rsidP="00D56051">
            <w:pPr>
              <w:rPr>
                <w:color w:val="264A60"/>
                <w:sz w:val="18"/>
              </w:rPr>
            </w:pPr>
          </w:p>
        </w:tc>
        <w:tc>
          <w:tcPr>
            <w:tcW w:w="1154" w:type="dxa"/>
            <w:gridSpan w:val="2"/>
            <w:vMerge/>
            <w:tcBorders>
              <w:top w:val="nil"/>
              <w:left w:val="nil"/>
              <w:bottom w:val="nil"/>
              <w:right w:val="single" w:sz="8" w:space="0" w:color="E0E0E0"/>
            </w:tcBorders>
            <w:shd w:val="clear" w:color="auto" w:fill="FFFFFF"/>
            <w:vAlign w:val="bottom"/>
          </w:tcPr>
          <w:p w14:paraId="34FF4909" w14:textId="77777777" w:rsidR="0087601C" w:rsidRPr="006A1EC7" w:rsidRDefault="0087601C" w:rsidP="00D56051">
            <w:pPr>
              <w:rPr>
                <w:color w:val="264A60"/>
                <w:sz w:val="18"/>
              </w:rPr>
            </w:pPr>
          </w:p>
        </w:tc>
        <w:tc>
          <w:tcPr>
            <w:tcW w:w="1155" w:type="dxa"/>
            <w:gridSpan w:val="2"/>
            <w:vMerge/>
            <w:tcBorders>
              <w:top w:val="nil"/>
              <w:left w:val="single" w:sz="8" w:space="0" w:color="E0E0E0"/>
              <w:bottom w:val="nil"/>
              <w:right w:val="single" w:sz="8" w:space="0" w:color="E0E0E0"/>
            </w:tcBorders>
            <w:shd w:val="clear" w:color="auto" w:fill="FFFFFF"/>
            <w:vAlign w:val="bottom"/>
          </w:tcPr>
          <w:p w14:paraId="40A1BC01" w14:textId="77777777" w:rsidR="0087601C" w:rsidRPr="006A1EC7" w:rsidRDefault="0087601C" w:rsidP="00D56051">
            <w:pPr>
              <w:rPr>
                <w:color w:val="264A60"/>
                <w:sz w:val="18"/>
              </w:rPr>
            </w:pPr>
          </w:p>
        </w:tc>
        <w:tc>
          <w:tcPr>
            <w:tcW w:w="1655" w:type="dxa"/>
            <w:gridSpan w:val="2"/>
            <w:vMerge/>
            <w:tcBorders>
              <w:top w:val="nil"/>
              <w:left w:val="single" w:sz="8" w:space="0" w:color="E0E0E0"/>
              <w:bottom w:val="nil"/>
              <w:right w:val="single" w:sz="8" w:space="0" w:color="E0E0E0"/>
            </w:tcBorders>
            <w:shd w:val="clear" w:color="auto" w:fill="FFFFFF"/>
            <w:vAlign w:val="bottom"/>
          </w:tcPr>
          <w:p w14:paraId="17B6551F" w14:textId="77777777" w:rsidR="0087601C" w:rsidRPr="006A1EC7" w:rsidRDefault="0087601C" w:rsidP="00D56051">
            <w:pPr>
              <w:rPr>
                <w:color w:val="264A60"/>
                <w:sz w:val="18"/>
              </w:rPr>
            </w:pPr>
          </w:p>
        </w:tc>
        <w:tc>
          <w:tcPr>
            <w:tcW w:w="1655" w:type="dxa"/>
            <w:gridSpan w:val="2"/>
            <w:vMerge/>
            <w:tcBorders>
              <w:top w:val="nil"/>
              <w:left w:val="single" w:sz="8" w:space="0" w:color="E0E0E0"/>
              <w:bottom w:val="nil"/>
              <w:right w:val="single" w:sz="8" w:space="0" w:color="E0E0E0"/>
            </w:tcBorders>
            <w:shd w:val="clear" w:color="auto" w:fill="FFFFFF"/>
            <w:vAlign w:val="bottom"/>
          </w:tcPr>
          <w:p w14:paraId="48EC492C" w14:textId="77777777" w:rsidR="0087601C" w:rsidRPr="006A1EC7" w:rsidRDefault="0087601C" w:rsidP="00D56051">
            <w:pPr>
              <w:rPr>
                <w:color w:val="264A60"/>
                <w:sz w:val="18"/>
              </w:rPr>
            </w:pPr>
          </w:p>
        </w:tc>
        <w:tc>
          <w:tcPr>
            <w:tcW w:w="1655" w:type="dxa"/>
            <w:gridSpan w:val="2"/>
            <w:tcBorders>
              <w:top w:val="nil"/>
              <w:left w:val="single" w:sz="8" w:space="0" w:color="E0E0E0"/>
              <w:bottom w:val="single" w:sz="8" w:space="0" w:color="152935"/>
              <w:right w:val="single" w:sz="8" w:space="0" w:color="E0E0E0"/>
            </w:tcBorders>
            <w:shd w:val="clear" w:color="auto" w:fill="FFFFFF"/>
            <w:vAlign w:val="bottom"/>
          </w:tcPr>
          <w:p w14:paraId="2BBFFEB1"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55" w:type="dxa"/>
            <w:tcBorders>
              <w:top w:val="nil"/>
              <w:left w:val="single" w:sz="8" w:space="0" w:color="E0E0E0"/>
              <w:bottom w:val="single" w:sz="8" w:space="0" w:color="152935"/>
              <w:right w:val="nil"/>
            </w:tcBorders>
            <w:shd w:val="clear" w:color="auto" w:fill="FFFFFF"/>
            <w:vAlign w:val="bottom"/>
          </w:tcPr>
          <w:p w14:paraId="7F9AA0BE"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1220ABE0" w14:textId="77777777" w:rsidTr="00D56051">
        <w:trPr>
          <w:cantSplit/>
        </w:trPr>
        <w:tc>
          <w:tcPr>
            <w:tcW w:w="2258" w:type="dxa"/>
            <w:tcBorders>
              <w:top w:val="single" w:sz="8" w:space="0" w:color="152935"/>
              <w:left w:val="nil"/>
              <w:bottom w:val="single" w:sz="8" w:space="0" w:color="152935"/>
              <w:right w:val="nil"/>
            </w:tcBorders>
            <w:shd w:val="clear" w:color="auto" w:fill="E0E0E0"/>
          </w:tcPr>
          <w:p w14:paraId="57F7CB29" w14:textId="77777777" w:rsidR="0087601C" w:rsidRPr="006A1EC7" w:rsidRDefault="0087601C" w:rsidP="00D56051">
            <w:pPr>
              <w:spacing w:line="320" w:lineRule="atLeast"/>
              <w:ind w:left="60" w:right="60"/>
              <w:rPr>
                <w:color w:val="264A60"/>
                <w:sz w:val="18"/>
              </w:rPr>
            </w:pPr>
            <w:r w:rsidRPr="006A1EC7">
              <w:rPr>
                <w:color w:val="264A60"/>
                <w:sz w:val="18"/>
              </w:rPr>
              <w:t>T1Alessandro_Face</w:t>
            </w:r>
          </w:p>
        </w:tc>
        <w:tc>
          <w:tcPr>
            <w:tcW w:w="1154" w:type="dxa"/>
            <w:gridSpan w:val="2"/>
            <w:tcBorders>
              <w:top w:val="single" w:sz="8" w:space="0" w:color="152935"/>
              <w:left w:val="nil"/>
              <w:bottom w:val="single" w:sz="8" w:space="0" w:color="152935"/>
              <w:right w:val="single" w:sz="8" w:space="0" w:color="E0E0E0"/>
            </w:tcBorders>
            <w:shd w:val="clear" w:color="auto" w:fill="FFFFFF"/>
          </w:tcPr>
          <w:p w14:paraId="5839CB72" w14:textId="77777777" w:rsidR="0087601C" w:rsidRPr="006A1EC7" w:rsidRDefault="0087601C" w:rsidP="00D56051">
            <w:pPr>
              <w:spacing w:line="320" w:lineRule="atLeast"/>
              <w:ind w:left="60" w:right="60"/>
              <w:jc w:val="right"/>
              <w:rPr>
                <w:color w:val="010205"/>
                <w:sz w:val="18"/>
              </w:rPr>
            </w:pPr>
            <w:r w:rsidRPr="006A1EC7">
              <w:rPr>
                <w:color w:val="010205"/>
                <w:sz w:val="18"/>
              </w:rPr>
              <w:t>.204</w:t>
            </w:r>
          </w:p>
        </w:tc>
        <w:tc>
          <w:tcPr>
            <w:tcW w:w="1155" w:type="dxa"/>
            <w:gridSpan w:val="2"/>
            <w:tcBorders>
              <w:top w:val="single" w:sz="8" w:space="0" w:color="152935"/>
              <w:left w:val="single" w:sz="8" w:space="0" w:color="E0E0E0"/>
              <w:bottom w:val="single" w:sz="8" w:space="0" w:color="152935"/>
              <w:right w:val="single" w:sz="8" w:space="0" w:color="E0E0E0"/>
            </w:tcBorders>
            <w:shd w:val="clear" w:color="auto" w:fill="FFFFFF"/>
          </w:tcPr>
          <w:p w14:paraId="3C3EAF4D"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655" w:type="dxa"/>
            <w:gridSpan w:val="2"/>
            <w:tcBorders>
              <w:top w:val="single" w:sz="8" w:space="0" w:color="152935"/>
              <w:left w:val="single" w:sz="8" w:space="0" w:color="E0E0E0"/>
              <w:bottom w:val="single" w:sz="8" w:space="0" w:color="152935"/>
              <w:right w:val="single" w:sz="8" w:space="0" w:color="E0E0E0"/>
            </w:tcBorders>
            <w:shd w:val="clear" w:color="auto" w:fill="FFFFFF"/>
          </w:tcPr>
          <w:p w14:paraId="4BD80379" w14:textId="77777777" w:rsidR="0087601C" w:rsidRPr="006A1EC7" w:rsidRDefault="0087601C" w:rsidP="00D56051">
            <w:pPr>
              <w:spacing w:line="320" w:lineRule="atLeast"/>
              <w:ind w:left="60" w:right="60"/>
              <w:jc w:val="right"/>
              <w:rPr>
                <w:color w:val="010205"/>
                <w:sz w:val="18"/>
              </w:rPr>
            </w:pPr>
            <w:r w:rsidRPr="006A1EC7">
              <w:rPr>
                <w:color w:val="010205"/>
                <w:sz w:val="18"/>
              </w:rPr>
              <w:t>.840</w:t>
            </w:r>
          </w:p>
        </w:tc>
        <w:tc>
          <w:tcPr>
            <w:tcW w:w="1655" w:type="dxa"/>
            <w:gridSpan w:val="2"/>
            <w:tcBorders>
              <w:top w:val="single" w:sz="8" w:space="0" w:color="152935"/>
              <w:left w:val="single" w:sz="8" w:space="0" w:color="E0E0E0"/>
              <w:bottom w:val="single" w:sz="8" w:space="0" w:color="152935"/>
              <w:right w:val="single" w:sz="8" w:space="0" w:color="E0E0E0"/>
            </w:tcBorders>
            <w:shd w:val="clear" w:color="auto" w:fill="FFFFFF"/>
          </w:tcPr>
          <w:p w14:paraId="390A2561" w14:textId="77777777" w:rsidR="0087601C" w:rsidRPr="006A1EC7" w:rsidRDefault="0087601C" w:rsidP="00D56051">
            <w:pPr>
              <w:spacing w:line="320" w:lineRule="atLeast"/>
              <w:ind w:left="60" w:right="60"/>
              <w:jc w:val="right"/>
              <w:rPr>
                <w:color w:val="010205"/>
                <w:sz w:val="18"/>
              </w:rPr>
            </w:pPr>
            <w:r w:rsidRPr="006A1EC7">
              <w:rPr>
                <w:color w:val="010205"/>
                <w:sz w:val="18"/>
              </w:rPr>
              <w:t>.026</w:t>
            </w:r>
          </w:p>
        </w:tc>
        <w:tc>
          <w:tcPr>
            <w:tcW w:w="1655" w:type="dxa"/>
            <w:gridSpan w:val="2"/>
            <w:tcBorders>
              <w:top w:val="single" w:sz="8" w:space="0" w:color="152935"/>
              <w:left w:val="single" w:sz="8" w:space="0" w:color="E0E0E0"/>
              <w:bottom w:val="single" w:sz="8" w:space="0" w:color="152935"/>
              <w:right w:val="single" w:sz="8" w:space="0" w:color="E0E0E0"/>
            </w:tcBorders>
            <w:shd w:val="clear" w:color="auto" w:fill="FFFFFF"/>
          </w:tcPr>
          <w:p w14:paraId="5548CDB5" w14:textId="77777777" w:rsidR="0087601C" w:rsidRPr="006A1EC7" w:rsidRDefault="0087601C" w:rsidP="00D56051">
            <w:pPr>
              <w:spacing w:line="320" w:lineRule="atLeast"/>
              <w:ind w:left="60" w:right="60"/>
              <w:jc w:val="right"/>
              <w:rPr>
                <w:color w:val="010205"/>
                <w:sz w:val="18"/>
              </w:rPr>
            </w:pPr>
            <w:r w:rsidRPr="006A1EC7">
              <w:rPr>
                <w:color w:val="010205"/>
                <w:sz w:val="18"/>
              </w:rPr>
              <w:t>-.24</w:t>
            </w:r>
          </w:p>
        </w:tc>
        <w:tc>
          <w:tcPr>
            <w:tcW w:w="1655" w:type="dxa"/>
            <w:tcBorders>
              <w:top w:val="single" w:sz="8" w:space="0" w:color="152935"/>
              <w:left w:val="single" w:sz="8" w:space="0" w:color="E0E0E0"/>
              <w:bottom w:val="single" w:sz="8" w:space="0" w:color="152935"/>
              <w:right w:val="nil"/>
            </w:tcBorders>
            <w:shd w:val="clear" w:color="auto" w:fill="FFFFFF"/>
          </w:tcPr>
          <w:p w14:paraId="65087FEE" w14:textId="77777777" w:rsidR="0087601C" w:rsidRPr="006A1EC7" w:rsidRDefault="0087601C" w:rsidP="00D56051">
            <w:pPr>
              <w:spacing w:line="320" w:lineRule="atLeast"/>
              <w:ind w:left="60" w:right="60"/>
              <w:jc w:val="right"/>
              <w:rPr>
                <w:color w:val="010205"/>
                <w:sz w:val="18"/>
              </w:rPr>
            </w:pPr>
            <w:r w:rsidRPr="006A1EC7">
              <w:rPr>
                <w:color w:val="010205"/>
                <w:sz w:val="18"/>
              </w:rPr>
              <w:t>.29</w:t>
            </w:r>
          </w:p>
        </w:tc>
      </w:tr>
      <w:tr w:rsidR="0087601C" w:rsidRPr="006A1EC7" w14:paraId="13E4B844" w14:textId="77777777" w:rsidTr="00D56051">
        <w:trPr>
          <w:gridAfter w:val="2"/>
          <w:wAfter w:w="2069" w:type="dxa"/>
          <w:cantSplit/>
        </w:trPr>
        <w:tc>
          <w:tcPr>
            <w:tcW w:w="2914" w:type="dxa"/>
            <w:gridSpan w:val="2"/>
            <w:tcBorders>
              <w:top w:val="nil"/>
              <w:left w:val="nil"/>
              <w:bottom w:val="single" w:sz="8" w:space="0" w:color="152935"/>
              <w:right w:val="nil"/>
            </w:tcBorders>
            <w:shd w:val="clear" w:color="auto" w:fill="FFFFFF"/>
            <w:vAlign w:val="bottom"/>
          </w:tcPr>
          <w:p w14:paraId="0A6E5EC2" w14:textId="77777777" w:rsidR="0087601C" w:rsidRPr="006A1EC7" w:rsidRDefault="0087601C" w:rsidP="00D56051">
            <w:pPr>
              <w:rPr>
                <w:sz w:val="18"/>
              </w:rPr>
            </w:pPr>
          </w:p>
        </w:tc>
        <w:tc>
          <w:tcPr>
            <w:tcW w:w="1275" w:type="dxa"/>
            <w:gridSpan w:val="2"/>
            <w:tcBorders>
              <w:top w:val="nil"/>
              <w:left w:val="nil"/>
              <w:bottom w:val="single" w:sz="8" w:space="0" w:color="152935"/>
              <w:right w:val="single" w:sz="8" w:space="0" w:color="E0E0E0"/>
            </w:tcBorders>
            <w:shd w:val="clear" w:color="auto" w:fill="FFFFFF"/>
            <w:vAlign w:val="bottom"/>
          </w:tcPr>
          <w:p w14:paraId="4735FCA9"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5" w:type="dxa"/>
            <w:gridSpan w:val="2"/>
            <w:tcBorders>
              <w:top w:val="nil"/>
              <w:left w:val="single" w:sz="8" w:space="0" w:color="E0E0E0"/>
              <w:bottom w:val="single" w:sz="8" w:space="0" w:color="152935"/>
              <w:right w:val="single" w:sz="8" w:space="0" w:color="E0E0E0"/>
            </w:tcBorders>
            <w:shd w:val="clear" w:color="auto" w:fill="FFFFFF"/>
            <w:vAlign w:val="bottom"/>
          </w:tcPr>
          <w:p w14:paraId="7D2AC478"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7" w:type="dxa"/>
            <w:gridSpan w:val="2"/>
            <w:tcBorders>
              <w:top w:val="nil"/>
              <w:left w:val="single" w:sz="8" w:space="0" w:color="E0E0E0"/>
              <w:bottom w:val="single" w:sz="8" w:space="0" w:color="152935"/>
              <w:right w:val="single" w:sz="8" w:space="0" w:color="E0E0E0"/>
            </w:tcBorders>
            <w:shd w:val="clear" w:color="auto" w:fill="FFFFFF"/>
            <w:vAlign w:val="bottom"/>
          </w:tcPr>
          <w:p w14:paraId="6CC03111"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7" w:type="dxa"/>
            <w:gridSpan w:val="2"/>
            <w:tcBorders>
              <w:top w:val="nil"/>
              <w:left w:val="single" w:sz="8" w:space="0" w:color="E0E0E0"/>
              <w:bottom w:val="single" w:sz="8" w:space="0" w:color="152935"/>
              <w:right w:val="nil"/>
            </w:tcBorders>
            <w:shd w:val="clear" w:color="auto" w:fill="FFFFFF"/>
            <w:vAlign w:val="bottom"/>
          </w:tcPr>
          <w:p w14:paraId="24275496"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6668F670" w14:textId="77777777" w:rsidTr="00D56051">
        <w:trPr>
          <w:gridAfter w:val="2"/>
          <w:wAfter w:w="2069" w:type="dxa"/>
          <w:cantSplit/>
        </w:trPr>
        <w:tc>
          <w:tcPr>
            <w:tcW w:w="2914" w:type="dxa"/>
            <w:gridSpan w:val="2"/>
            <w:tcBorders>
              <w:top w:val="single" w:sz="8" w:space="0" w:color="152935"/>
              <w:left w:val="nil"/>
              <w:bottom w:val="single" w:sz="8" w:space="0" w:color="152935"/>
              <w:right w:val="nil"/>
            </w:tcBorders>
            <w:shd w:val="clear" w:color="auto" w:fill="E0E0E0"/>
          </w:tcPr>
          <w:p w14:paraId="487DBDE7" w14:textId="77777777" w:rsidR="0087601C" w:rsidRPr="006A1EC7" w:rsidRDefault="0087601C" w:rsidP="00D56051">
            <w:pPr>
              <w:spacing w:line="320" w:lineRule="atLeast"/>
              <w:ind w:left="60" w:right="60"/>
              <w:rPr>
                <w:color w:val="264A60"/>
                <w:sz w:val="18"/>
              </w:rPr>
            </w:pPr>
            <w:r w:rsidRPr="006A1EC7">
              <w:rPr>
                <w:color w:val="264A60"/>
                <w:sz w:val="18"/>
              </w:rPr>
              <w:t>T1Alessandro_Epilepsy</w:t>
            </w:r>
          </w:p>
        </w:tc>
        <w:tc>
          <w:tcPr>
            <w:tcW w:w="1275" w:type="dxa"/>
            <w:gridSpan w:val="2"/>
            <w:tcBorders>
              <w:top w:val="single" w:sz="8" w:space="0" w:color="152935"/>
              <w:left w:val="nil"/>
              <w:bottom w:val="single" w:sz="8" w:space="0" w:color="152935"/>
              <w:right w:val="single" w:sz="8" w:space="0" w:color="E0E0E0"/>
            </w:tcBorders>
            <w:shd w:val="clear" w:color="auto" w:fill="FFFFFF"/>
          </w:tcPr>
          <w:p w14:paraId="1AEB1F69" w14:textId="77777777" w:rsidR="0087601C" w:rsidRPr="006A1EC7" w:rsidRDefault="0087601C" w:rsidP="00D56051">
            <w:pPr>
              <w:spacing w:line="320" w:lineRule="atLeast"/>
              <w:ind w:left="60" w:right="60"/>
              <w:jc w:val="right"/>
              <w:rPr>
                <w:color w:val="010205"/>
                <w:sz w:val="18"/>
              </w:rPr>
            </w:pPr>
            <w:r w:rsidRPr="006A1EC7">
              <w:rPr>
                <w:color w:val="010205"/>
                <w:sz w:val="18"/>
              </w:rPr>
              <w:t>38</w:t>
            </w:r>
          </w:p>
        </w:tc>
        <w:tc>
          <w:tcPr>
            <w:tcW w:w="1275" w:type="dxa"/>
            <w:gridSpan w:val="2"/>
            <w:tcBorders>
              <w:top w:val="single" w:sz="8" w:space="0" w:color="152935"/>
              <w:left w:val="single" w:sz="8" w:space="0" w:color="E0E0E0"/>
              <w:bottom w:val="single" w:sz="8" w:space="0" w:color="152935"/>
              <w:right w:val="single" w:sz="8" w:space="0" w:color="E0E0E0"/>
            </w:tcBorders>
            <w:shd w:val="clear" w:color="auto" w:fill="FFFFFF"/>
          </w:tcPr>
          <w:p w14:paraId="4920C67A" w14:textId="77777777" w:rsidR="0087601C" w:rsidRPr="006A1EC7" w:rsidRDefault="0087601C" w:rsidP="00D56051">
            <w:pPr>
              <w:spacing w:line="320" w:lineRule="atLeast"/>
              <w:ind w:left="60" w:right="60"/>
              <w:jc w:val="right"/>
              <w:rPr>
                <w:color w:val="010205"/>
                <w:sz w:val="18"/>
              </w:rPr>
            </w:pPr>
            <w:r w:rsidRPr="006A1EC7">
              <w:rPr>
                <w:color w:val="010205"/>
                <w:sz w:val="18"/>
              </w:rPr>
              <w:t>.18</w:t>
            </w:r>
          </w:p>
        </w:tc>
        <w:tc>
          <w:tcPr>
            <w:tcW w:w="1827" w:type="dxa"/>
            <w:gridSpan w:val="2"/>
            <w:tcBorders>
              <w:top w:val="single" w:sz="8" w:space="0" w:color="152935"/>
              <w:left w:val="single" w:sz="8" w:space="0" w:color="E0E0E0"/>
              <w:bottom w:val="single" w:sz="8" w:space="0" w:color="152935"/>
              <w:right w:val="single" w:sz="8" w:space="0" w:color="E0E0E0"/>
            </w:tcBorders>
            <w:shd w:val="clear" w:color="auto" w:fill="FFFFFF"/>
          </w:tcPr>
          <w:p w14:paraId="096B0D2A" w14:textId="77777777" w:rsidR="0087601C" w:rsidRPr="006A1EC7" w:rsidRDefault="0087601C" w:rsidP="00D56051">
            <w:pPr>
              <w:spacing w:line="320" w:lineRule="atLeast"/>
              <w:ind w:left="60" w:right="60"/>
              <w:jc w:val="right"/>
              <w:rPr>
                <w:color w:val="010205"/>
                <w:sz w:val="18"/>
              </w:rPr>
            </w:pPr>
            <w:r w:rsidRPr="006A1EC7">
              <w:rPr>
                <w:color w:val="010205"/>
                <w:sz w:val="18"/>
              </w:rPr>
              <w:t>.801</w:t>
            </w:r>
          </w:p>
        </w:tc>
        <w:tc>
          <w:tcPr>
            <w:tcW w:w="1827" w:type="dxa"/>
            <w:gridSpan w:val="2"/>
            <w:tcBorders>
              <w:top w:val="single" w:sz="8" w:space="0" w:color="152935"/>
              <w:left w:val="single" w:sz="8" w:space="0" w:color="E0E0E0"/>
              <w:bottom w:val="single" w:sz="8" w:space="0" w:color="152935"/>
              <w:right w:val="nil"/>
            </w:tcBorders>
            <w:shd w:val="clear" w:color="auto" w:fill="FFFFFF"/>
          </w:tcPr>
          <w:p w14:paraId="6AE4CBBD" w14:textId="77777777" w:rsidR="0087601C" w:rsidRPr="006A1EC7" w:rsidRDefault="0087601C" w:rsidP="00D56051">
            <w:pPr>
              <w:spacing w:line="320" w:lineRule="atLeast"/>
              <w:ind w:left="60" w:right="60"/>
              <w:jc w:val="right"/>
              <w:rPr>
                <w:color w:val="010205"/>
                <w:sz w:val="18"/>
              </w:rPr>
            </w:pPr>
            <w:r w:rsidRPr="006A1EC7">
              <w:rPr>
                <w:color w:val="010205"/>
                <w:sz w:val="18"/>
              </w:rPr>
              <w:t>.130</w:t>
            </w:r>
          </w:p>
        </w:tc>
      </w:tr>
    </w:tbl>
    <w:p w14:paraId="63C30C5D"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1118"/>
        <w:gridCol w:w="1117"/>
        <w:gridCol w:w="1600"/>
        <w:gridCol w:w="1600"/>
        <w:gridCol w:w="1600"/>
        <w:gridCol w:w="1600"/>
      </w:tblGrid>
      <w:tr w:rsidR="0087601C" w:rsidRPr="006A1EC7" w14:paraId="6DC43645" w14:textId="77777777" w:rsidTr="00D56051">
        <w:trPr>
          <w:cantSplit/>
        </w:trPr>
        <w:tc>
          <w:tcPr>
            <w:tcW w:w="2552" w:type="dxa"/>
            <w:vMerge w:val="restart"/>
            <w:tcBorders>
              <w:top w:val="nil"/>
              <w:left w:val="nil"/>
              <w:bottom w:val="nil"/>
              <w:right w:val="nil"/>
            </w:tcBorders>
            <w:shd w:val="clear" w:color="auto" w:fill="FFFFFF"/>
            <w:vAlign w:val="bottom"/>
          </w:tcPr>
          <w:p w14:paraId="4CBE3848" w14:textId="77777777" w:rsidR="0087601C" w:rsidRPr="006A1EC7" w:rsidRDefault="0087601C" w:rsidP="00D56051">
            <w:pPr>
              <w:rPr>
                <w:sz w:val="18"/>
              </w:rPr>
            </w:pPr>
          </w:p>
        </w:tc>
        <w:tc>
          <w:tcPr>
            <w:tcW w:w="8635" w:type="dxa"/>
            <w:gridSpan w:val="6"/>
            <w:tcBorders>
              <w:top w:val="nil"/>
              <w:left w:val="nil"/>
              <w:bottom w:val="nil"/>
              <w:right w:val="nil"/>
            </w:tcBorders>
            <w:shd w:val="clear" w:color="auto" w:fill="FFFFFF"/>
            <w:vAlign w:val="bottom"/>
          </w:tcPr>
          <w:p w14:paraId="3881FC98"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0</w:t>
            </w:r>
          </w:p>
        </w:tc>
      </w:tr>
      <w:tr w:rsidR="0087601C" w:rsidRPr="006A1EC7" w14:paraId="2C5DD916" w14:textId="77777777" w:rsidTr="00D56051">
        <w:trPr>
          <w:cantSplit/>
        </w:trPr>
        <w:tc>
          <w:tcPr>
            <w:tcW w:w="2552" w:type="dxa"/>
            <w:vMerge/>
            <w:tcBorders>
              <w:top w:val="nil"/>
              <w:left w:val="nil"/>
              <w:bottom w:val="nil"/>
              <w:right w:val="nil"/>
            </w:tcBorders>
            <w:shd w:val="clear" w:color="auto" w:fill="FFFFFF"/>
            <w:vAlign w:val="bottom"/>
          </w:tcPr>
          <w:p w14:paraId="1B62FA37" w14:textId="77777777" w:rsidR="0087601C" w:rsidRPr="006A1EC7" w:rsidRDefault="0087601C" w:rsidP="00D56051">
            <w:pPr>
              <w:rPr>
                <w:color w:val="264A60"/>
                <w:sz w:val="18"/>
              </w:rPr>
            </w:pPr>
          </w:p>
        </w:tc>
        <w:tc>
          <w:tcPr>
            <w:tcW w:w="1118" w:type="dxa"/>
            <w:vMerge w:val="restart"/>
            <w:tcBorders>
              <w:top w:val="nil"/>
              <w:left w:val="nil"/>
              <w:bottom w:val="nil"/>
              <w:right w:val="single" w:sz="8" w:space="0" w:color="E0E0E0"/>
            </w:tcBorders>
            <w:shd w:val="clear" w:color="auto" w:fill="FFFFFF"/>
            <w:vAlign w:val="bottom"/>
          </w:tcPr>
          <w:p w14:paraId="3F25E147"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17" w:type="dxa"/>
            <w:vMerge w:val="restart"/>
            <w:tcBorders>
              <w:top w:val="nil"/>
              <w:left w:val="single" w:sz="8" w:space="0" w:color="E0E0E0"/>
              <w:bottom w:val="nil"/>
              <w:right w:val="single" w:sz="8" w:space="0" w:color="E0E0E0"/>
            </w:tcBorders>
            <w:shd w:val="clear" w:color="auto" w:fill="FFFFFF"/>
            <w:vAlign w:val="bottom"/>
          </w:tcPr>
          <w:p w14:paraId="2B403DB5"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00" w:type="dxa"/>
            <w:vMerge w:val="restart"/>
            <w:tcBorders>
              <w:top w:val="nil"/>
              <w:left w:val="single" w:sz="8" w:space="0" w:color="E0E0E0"/>
              <w:bottom w:val="nil"/>
              <w:right w:val="single" w:sz="8" w:space="0" w:color="E0E0E0"/>
            </w:tcBorders>
            <w:shd w:val="clear" w:color="auto" w:fill="FFFFFF"/>
            <w:vAlign w:val="bottom"/>
          </w:tcPr>
          <w:p w14:paraId="5A8C0538"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00" w:type="dxa"/>
            <w:vMerge w:val="restart"/>
            <w:tcBorders>
              <w:top w:val="nil"/>
              <w:left w:val="single" w:sz="8" w:space="0" w:color="E0E0E0"/>
              <w:bottom w:val="nil"/>
              <w:right w:val="single" w:sz="8" w:space="0" w:color="E0E0E0"/>
            </w:tcBorders>
            <w:shd w:val="clear" w:color="auto" w:fill="FFFFFF"/>
            <w:vAlign w:val="bottom"/>
          </w:tcPr>
          <w:p w14:paraId="48B12596"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200" w:type="dxa"/>
            <w:gridSpan w:val="2"/>
            <w:tcBorders>
              <w:top w:val="nil"/>
              <w:left w:val="single" w:sz="8" w:space="0" w:color="E0E0E0"/>
              <w:bottom w:val="nil"/>
              <w:right w:val="nil"/>
            </w:tcBorders>
            <w:shd w:val="clear" w:color="auto" w:fill="FFFFFF"/>
            <w:vAlign w:val="bottom"/>
          </w:tcPr>
          <w:p w14:paraId="4EFBC914"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0CA26060" w14:textId="77777777" w:rsidTr="00D56051">
        <w:trPr>
          <w:cantSplit/>
        </w:trPr>
        <w:tc>
          <w:tcPr>
            <w:tcW w:w="2552" w:type="dxa"/>
            <w:vMerge/>
            <w:tcBorders>
              <w:top w:val="nil"/>
              <w:left w:val="nil"/>
              <w:bottom w:val="nil"/>
              <w:right w:val="nil"/>
            </w:tcBorders>
            <w:shd w:val="clear" w:color="auto" w:fill="FFFFFF"/>
            <w:vAlign w:val="bottom"/>
          </w:tcPr>
          <w:p w14:paraId="275DEC26" w14:textId="77777777" w:rsidR="0087601C" w:rsidRPr="006A1EC7" w:rsidRDefault="0087601C" w:rsidP="00D56051">
            <w:pPr>
              <w:rPr>
                <w:color w:val="264A60"/>
                <w:sz w:val="18"/>
              </w:rPr>
            </w:pPr>
          </w:p>
        </w:tc>
        <w:tc>
          <w:tcPr>
            <w:tcW w:w="1118" w:type="dxa"/>
            <w:vMerge/>
            <w:tcBorders>
              <w:top w:val="nil"/>
              <w:left w:val="nil"/>
              <w:bottom w:val="nil"/>
              <w:right w:val="single" w:sz="8" w:space="0" w:color="E0E0E0"/>
            </w:tcBorders>
            <w:shd w:val="clear" w:color="auto" w:fill="FFFFFF"/>
            <w:vAlign w:val="bottom"/>
          </w:tcPr>
          <w:p w14:paraId="59392866" w14:textId="77777777" w:rsidR="0087601C" w:rsidRPr="006A1EC7" w:rsidRDefault="0087601C" w:rsidP="00D56051">
            <w:pPr>
              <w:rPr>
                <w:color w:val="264A60"/>
                <w:sz w:val="18"/>
              </w:rPr>
            </w:pPr>
          </w:p>
        </w:tc>
        <w:tc>
          <w:tcPr>
            <w:tcW w:w="1117" w:type="dxa"/>
            <w:vMerge/>
            <w:tcBorders>
              <w:top w:val="nil"/>
              <w:left w:val="single" w:sz="8" w:space="0" w:color="E0E0E0"/>
              <w:bottom w:val="nil"/>
              <w:right w:val="single" w:sz="8" w:space="0" w:color="E0E0E0"/>
            </w:tcBorders>
            <w:shd w:val="clear" w:color="auto" w:fill="FFFFFF"/>
            <w:vAlign w:val="bottom"/>
          </w:tcPr>
          <w:p w14:paraId="00CFAC8C" w14:textId="77777777" w:rsidR="0087601C" w:rsidRPr="006A1EC7" w:rsidRDefault="0087601C" w:rsidP="00D56051">
            <w:pPr>
              <w:rPr>
                <w:color w:val="264A60"/>
                <w:sz w:val="18"/>
              </w:rPr>
            </w:pPr>
          </w:p>
        </w:tc>
        <w:tc>
          <w:tcPr>
            <w:tcW w:w="1600" w:type="dxa"/>
            <w:vMerge/>
            <w:tcBorders>
              <w:top w:val="nil"/>
              <w:left w:val="single" w:sz="8" w:space="0" w:color="E0E0E0"/>
              <w:bottom w:val="nil"/>
              <w:right w:val="single" w:sz="8" w:space="0" w:color="E0E0E0"/>
            </w:tcBorders>
            <w:shd w:val="clear" w:color="auto" w:fill="FFFFFF"/>
            <w:vAlign w:val="bottom"/>
          </w:tcPr>
          <w:p w14:paraId="3A1B2205" w14:textId="77777777" w:rsidR="0087601C" w:rsidRPr="006A1EC7" w:rsidRDefault="0087601C" w:rsidP="00D56051">
            <w:pPr>
              <w:rPr>
                <w:color w:val="264A60"/>
                <w:sz w:val="18"/>
              </w:rPr>
            </w:pPr>
          </w:p>
        </w:tc>
        <w:tc>
          <w:tcPr>
            <w:tcW w:w="1600" w:type="dxa"/>
            <w:vMerge/>
            <w:tcBorders>
              <w:top w:val="nil"/>
              <w:left w:val="single" w:sz="8" w:space="0" w:color="E0E0E0"/>
              <w:bottom w:val="nil"/>
              <w:right w:val="single" w:sz="8" w:space="0" w:color="E0E0E0"/>
            </w:tcBorders>
            <w:shd w:val="clear" w:color="auto" w:fill="FFFFFF"/>
            <w:vAlign w:val="bottom"/>
          </w:tcPr>
          <w:p w14:paraId="3DF4E545" w14:textId="77777777" w:rsidR="0087601C" w:rsidRPr="006A1EC7" w:rsidRDefault="0087601C" w:rsidP="00D56051">
            <w:pPr>
              <w:rPr>
                <w:color w:val="264A60"/>
                <w:sz w:val="18"/>
              </w:rPr>
            </w:pP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770C69FF"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00" w:type="dxa"/>
            <w:tcBorders>
              <w:top w:val="nil"/>
              <w:left w:val="single" w:sz="8" w:space="0" w:color="E0E0E0"/>
              <w:bottom w:val="single" w:sz="8" w:space="0" w:color="152935"/>
              <w:right w:val="nil"/>
            </w:tcBorders>
            <w:shd w:val="clear" w:color="auto" w:fill="FFFFFF"/>
            <w:vAlign w:val="bottom"/>
          </w:tcPr>
          <w:p w14:paraId="324B44FD"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25CA0341" w14:textId="77777777" w:rsidTr="00D56051">
        <w:trPr>
          <w:cantSplit/>
        </w:trPr>
        <w:tc>
          <w:tcPr>
            <w:tcW w:w="2552" w:type="dxa"/>
            <w:tcBorders>
              <w:top w:val="single" w:sz="8" w:space="0" w:color="152935"/>
              <w:left w:val="nil"/>
              <w:bottom w:val="single" w:sz="8" w:space="0" w:color="152935"/>
              <w:right w:val="nil"/>
            </w:tcBorders>
            <w:shd w:val="clear" w:color="auto" w:fill="E0E0E0"/>
          </w:tcPr>
          <w:p w14:paraId="4C57FAC5" w14:textId="77777777" w:rsidR="0087601C" w:rsidRPr="006A1EC7" w:rsidRDefault="0087601C" w:rsidP="00D56051">
            <w:pPr>
              <w:spacing w:line="320" w:lineRule="atLeast"/>
              <w:ind w:left="60" w:right="60"/>
              <w:rPr>
                <w:color w:val="264A60"/>
                <w:sz w:val="18"/>
              </w:rPr>
            </w:pPr>
            <w:r w:rsidRPr="006A1EC7">
              <w:rPr>
                <w:color w:val="264A60"/>
                <w:sz w:val="18"/>
              </w:rPr>
              <w:t>T1Alessandro_Epilepsy</w:t>
            </w:r>
          </w:p>
        </w:tc>
        <w:tc>
          <w:tcPr>
            <w:tcW w:w="1118" w:type="dxa"/>
            <w:tcBorders>
              <w:top w:val="single" w:sz="8" w:space="0" w:color="152935"/>
              <w:left w:val="nil"/>
              <w:bottom w:val="single" w:sz="8" w:space="0" w:color="152935"/>
              <w:right w:val="single" w:sz="8" w:space="0" w:color="E0E0E0"/>
            </w:tcBorders>
            <w:shd w:val="clear" w:color="auto" w:fill="FFFFFF"/>
          </w:tcPr>
          <w:p w14:paraId="663C44BC" w14:textId="77777777" w:rsidR="0087601C" w:rsidRPr="006A1EC7" w:rsidRDefault="0087601C" w:rsidP="00D56051">
            <w:pPr>
              <w:spacing w:line="320" w:lineRule="atLeast"/>
              <w:ind w:left="60" w:right="60"/>
              <w:jc w:val="right"/>
              <w:rPr>
                <w:color w:val="010205"/>
                <w:sz w:val="18"/>
              </w:rPr>
            </w:pPr>
            <w:r w:rsidRPr="006A1EC7">
              <w:rPr>
                <w:color w:val="010205"/>
                <w:sz w:val="18"/>
              </w:rPr>
              <w:t>1.419</w:t>
            </w:r>
          </w:p>
        </w:tc>
        <w:tc>
          <w:tcPr>
            <w:tcW w:w="1117" w:type="dxa"/>
            <w:tcBorders>
              <w:top w:val="single" w:sz="8" w:space="0" w:color="152935"/>
              <w:left w:val="single" w:sz="8" w:space="0" w:color="E0E0E0"/>
              <w:bottom w:val="single" w:sz="8" w:space="0" w:color="152935"/>
              <w:right w:val="single" w:sz="8" w:space="0" w:color="E0E0E0"/>
            </w:tcBorders>
            <w:shd w:val="clear" w:color="auto" w:fill="FFFFFF"/>
          </w:tcPr>
          <w:p w14:paraId="3125D317"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600" w:type="dxa"/>
            <w:tcBorders>
              <w:top w:val="single" w:sz="8" w:space="0" w:color="152935"/>
              <w:left w:val="single" w:sz="8" w:space="0" w:color="E0E0E0"/>
              <w:bottom w:val="single" w:sz="8" w:space="0" w:color="152935"/>
              <w:right w:val="single" w:sz="8" w:space="0" w:color="E0E0E0"/>
            </w:tcBorders>
            <w:shd w:val="clear" w:color="auto" w:fill="FFFFFF"/>
          </w:tcPr>
          <w:p w14:paraId="131FD753" w14:textId="77777777" w:rsidR="0087601C" w:rsidRPr="006A1EC7" w:rsidRDefault="0087601C" w:rsidP="00D56051">
            <w:pPr>
              <w:spacing w:line="320" w:lineRule="atLeast"/>
              <w:ind w:left="60" w:right="60"/>
              <w:jc w:val="right"/>
              <w:rPr>
                <w:color w:val="010205"/>
                <w:sz w:val="18"/>
              </w:rPr>
            </w:pPr>
            <w:r w:rsidRPr="006A1EC7">
              <w:rPr>
                <w:color w:val="010205"/>
                <w:sz w:val="18"/>
              </w:rPr>
              <w:t>.164</w:t>
            </w:r>
          </w:p>
        </w:tc>
        <w:tc>
          <w:tcPr>
            <w:tcW w:w="1600" w:type="dxa"/>
            <w:tcBorders>
              <w:top w:val="single" w:sz="8" w:space="0" w:color="152935"/>
              <w:left w:val="single" w:sz="8" w:space="0" w:color="E0E0E0"/>
              <w:bottom w:val="single" w:sz="8" w:space="0" w:color="152935"/>
              <w:right w:val="single" w:sz="8" w:space="0" w:color="E0E0E0"/>
            </w:tcBorders>
            <w:shd w:val="clear" w:color="auto" w:fill="FFFFFF"/>
          </w:tcPr>
          <w:p w14:paraId="479446F2" w14:textId="77777777" w:rsidR="0087601C" w:rsidRPr="006A1EC7" w:rsidRDefault="0087601C" w:rsidP="00D56051">
            <w:pPr>
              <w:spacing w:line="320" w:lineRule="atLeast"/>
              <w:ind w:left="60" w:right="60"/>
              <w:jc w:val="right"/>
              <w:rPr>
                <w:color w:val="010205"/>
                <w:sz w:val="18"/>
              </w:rPr>
            </w:pPr>
            <w:r w:rsidRPr="006A1EC7">
              <w:rPr>
                <w:color w:val="010205"/>
                <w:sz w:val="18"/>
              </w:rPr>
              <w:t>.184</w:t>
            </w:r>
          </w:p>
        </w:tc>
        <w:tc>
          <w:tcPr>
            <w:tcW w:w="1600" w:type="dxa"/>
            <w:tcBorders>
              <w:top w:val="single" w:sz="8" w:space="0" w:color="152935"/>
              <w:left w:val="single" w:sz="8" w:space="0" w:color="E0E0E0"/>
              <w:bottom w:val="single" w:sz="8" w:space="0" w:color="152935"/>
              <w:right w:val="single" w:sz="8" w:space="0" w:color="E0E0E0"/>
            </w:tcBorders>
            <w:shd w:val="clear" w:color="auto" w:fill="FFFFFF"/>
          </w:tcPr>
          <w:p w14:paraId="1E7289CF" w14:textId="77777777" w:rsidR="0087601C" w:rsidRPr="006A1EC7" w:rsidRDefault="0087601C" w:rsidP="00D56051">
            <w:pPr>
              <w:spacing w:line="320" w:lineRule="atLeast"/>
              <w:ind w:left="60" w:right="60"/>
              <w:jc w:val="right"/>
              <w:rPr>
                <w:color w:val="010205"/>
                <w:sz w:val="18"/>
              </w:rPr>
            </w:pPr>
            <w:r w:rsidRPr="006A1EC7">
              <w:rPr>
                <w:color w:val="010205"/>
                <w:sz w:val="18"/>
              </w:rPr>
              <w:t>-.08</w:t>
            </w:r>
          </w:p>
        </w:tc>
        <w:tc>
          <w:tcPr>
            <w:tcW w:w="1600" w:type="dxa"/>
            <w:tcBorders>
              <w:top w:val="single" w:sz="8" w:space="0" w:color="152935"/>
              <w:left w:val="single" w:sz="8" w:space="0" w:color="E0E0E0"/>
              <w:bottom w:val="single" w:sz="8" w:space="0" w:color="152935"/>
              <w:right w:val="nil"/>
            </w:tcBorders>
            <w:shd w:val="clear" w:color="auto" w:fill="FFFFFF"/>
          </w:tcPr>
          <w:p w14:paraId="2B1D8026" w14:textId="77777777" w:rsidR="0087601C" w:rsidRPr="006A1EC7" w:rsidRDefault="0087601C" w:rsidP="00D56051">
            <w:pPr>
              <w:spacing w:line="320" w:lineRule="atLeast"/>
              <w:ind w:left="60" w:right="60"/>
              <w:jc w:val="right"/>
              <w:rPr>
                <w:color w:val="010205"/>
                <w:sz w:val="18"/>
              </w:rPr>
            </w:pPr>
            <w:r w:rsidRPr="006A1EC7">
              <w:rPr>
                <w:color w:val="010205"/>
                <w:sz w:val="18"/>
              </w:rPr>
              <w:t>.45</w:t>
            </w:r>
          </w:p>
        </w:tc>
      </w:tr>
    </w:tbl>
    <w:p w14:paraId="51EB9919" w14:textId="77777777" w:rsidR="0087601C" w:rsidRPr="006A1EC7" w:rsidRDefault="0087601C" w:rsidP="0087601C">
      <w:pPr>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362"/>
        <w:gridCol w:w="756"/>
        <w:gridCol w:w="519"/>
        <w:gridCol w:w="598"/>
        <w:gridCol w:w="677"/>
        <w:gridCol w:w="923"/>
        <w:gridCol w:w="904"/>
        <w:gridCol w:w="696"/>
        <w:gridCol w:w="1131"/>
        <w:gridCol w:w="469"/>
        <w:gridCol w:w="1600"/>
      </w:tblGrid>
      <w:tr w:rsidR="0087601C" w:rsidRPr="006A1EC7" w14:paraId="35BF658E" w14:textId="77777777" w:rsidTr="00D56051">
        <w:trPr>
          <w:gridAfter w:val="2"/>
          <w:wAfter w:w="2069" w:type="dxa"/>
          <w:cantSplit/>
        </w:trPr>
        <w:tc>
          <w:tcPr>
            <w:tcW w:w="2914" w:type="dxa"/>
            <w:gridSpan w:val="2"/>
            <w:tcBorders>
              <w:top w:val="nil"/>
              <w:left w:val="nil"/>
              <w:bottom w:val="single" w:sz="8" w:space="0" w:color="152935"/>
              <w:right w:val="nil"/>
            </w:tcBorders>
            <w:shd w:val="clear" w:color="auto" w:fill="FFFFFF"/>
            <w:vAlign w:val="bottom"/>
          </w:tcPr>
          <w:p w14:paraId="565D2EAB" w14:textId="77777777" w:rsidR="0087601C" w:rsidRPr="006A1EC7" w:rsidRDefault="0087601C" w:rsidP="00D56051">
            <w:pPr>
              <w:rPr>
                <w:sz w:val="18"/>
              </w:rPr>
            </w:pPr>
          </w:p>
        </w:tc>
        <w:tc>
          <w:tcPr>
            <w:tcW w:w="1275" w:type="dxa"/>
            <w:gridSpan w:val="2"/>
            <w:tcBorders>
              <w:top w:val="nil"/>
              <w:left w:val="nil"/>
              <w:bottom w:val="single" w:sz="8" w:space="0" w:color="152935"/>
              <w:right w:val="single" w:sz="8" w:space="0" w:color="E0E0E0"/>
            </w:tcBorders>
            <w:shd w:val="clear" w:color="auto" w:fill="FFFFFF"/>
            <w:vAlign w:val="bottom"/>
          </w:tcPr>
          <w:p w14:paraId="4FD4471D"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5" w:type="dxa"/>
            <w:gridSpan w:val="2"/>
            <w:tcBorders>
              <w:top w:val="nil"/>
              <w:left w:val="single" w:sz="8" w:space="0" w:color="E0E0E0"/>
              <w:bottom w:val="single" w:sz="8" w:space="0" w:color="152935"/>
              <w:right w:val="single" w:sz="8" w:space="0" w:color="E0E0E0"/>
            </w:tcBorders>
            <w:shd w:val="clear" w:color="auto" w:fill="FFFFFF"/>
            <w:vAlign w:val="bottom"/>
          </w:tcPr>
          <w:p w14:paraId="1DB8FA14"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7" w:type="dxa"/>
            <w:gridSpan w:val="2"/>
            <w:tcBorders>
              <w:top w:val="nil"/>
              <w:left w:val="single" w:sz="8" w:space="0" w:color="E0E0E0"/>
              <w:bottom w:val="single" w:sz="8" w:space="0" w:color="152935"/>
              <w:right w:val="single" w:sz="8" w:space="0" w:color="E0E0E0"/>
            </w:tcBorders>
            <w:shd w:val="clear" w:color="auto" w:fill="FFFFFF"/>
            <w:vAlign w:val="bottom"/>
          </w:tcPr>
          <w:p w14:paraId="5C5EA33C"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7" w:type="dxa"/>
            <w:gridSpan w:val="2"/>
            <w:tcBorders>
              <w:top w:val="nil"/>
              <w:left w:val="single" w:sz="8" w:space="0" w:color="E0E0E0"/>
              <w:bottom w:val="single" w:sz="8" w:space="0" w:color="152935"/>
              <w:right w:val="nil"/>
            </w:tcBorders>
            <w:shd w:val="clear" w:color="auto" w:fill="FFFFFF"/>
            <w:vAlign w:val="bottom"/>
          </w:tcPr>
          <w:p w14:paraId="35A92A10"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293BE7A2" w14:textId="77777777" w:rsidTr="00D56051">
        <w:trPr>
          <w:gridAfter w:val="2"/>
          <w:wAfter w:w="2069" w:type="dxa"/>
          <w:cantSplit/>
        </w:trPr>
        <w:tc>
          <w:tcPr>
            <w:tcW w:w="2914" w:type="dxa"/>
            <w:gridSpan w:val="2"/>
            <w:tcBorders>
              <w:top w:val="single" w:sz="8" w:space="0" w:color="152935"/>
              <w:left w:val="nil"/>
              <w:bottom w:val="single" w:sz="8" w:space="0" w:color="152935"/>
              <w:right w:val="nil"/>
            </w:tcBorders>
            <w:shd w:val="clear" w:color="auto" w:fill="E0E0E0"/>
          </w:tcPr>
          <w:p w14:paraId="0AA7C5D7" w14:textId="77777777" w:rsidR="0087601C" w:rsidRPr="006A1EC7" w:rsidRDefault="0087601C" w:rsidP="00D56051">
            <w:pPr>
              <w:spacing w:line="320" w:lineRule="atLeast"/>
              <w:ind w:left="60" w:right="60"/>
              <w:rPr>
                <w:color w:val="264A60"/>
                <w:sz w:val="18"/>
              </w:rPr>
            </w:pPr>
            <w:r w:rsidRPr="006A1EC7">
              <w:rPr>
                <w:color w:val="264A60"/>
                <w:sz w:val="18"/>
              </w:rPr>
              <w:t>T1Alessandro_Gastroin</w:t>
            </w:r>
          </w:p>
        </w:tc>
        <w:tc>
          <w:tcPr>
            <w:tcW w:w="1275" w:type="dxa"/>
            <w:gridSpan w:val="2"/>
            <w:tcBorders>
              <w:top w:val="single" w:sz="8" w:space="0" w:color="152935"/>
              <w:left w:val="nil"/>
              <w:bottom w:val="single" w:sz="8" w:space="0" w:color="152935"/>
              <w:right w:val="single" w:sz="8" w:space="0" w:color="E0E0E0"/>
            </w:tcBorders>
            <w:shd w:val="clear" w:color="auto" w:fill="FFFFFF"/>
          </w:tcPr>
          <w:p w14:paraId="615D86FF"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5" w:type="dxa"/>
            <w:gridSpan w:val="2"/>
            <w:tcBorders>
              <w:top w:val="single" w:sz="8" w:space="0" w:color="152935"/>
              <w:left w:val="single" w:sz="8" w:space="0" w:color="E0E0E0"/>
              <w:bottom w:val="single" w:sz="8" w:space="0" w:color="152935"/>
              <w:right w:val="single" w:sz="8" w:space="0" w:color="E0E0E0"/>
            </w:tcBorders>
            <w:shd w:val="clear" w:color="auto" w:fill="FFFFFF"/>
          </w:tcPr>
          <w:p w14:paraId="5C10BFD3" w14:textId="77777777" w:rsidR="0087601C" w:rsidRPr="006A1EC7" w:rsidRDefault="0087601C" w:rsidP="00D56051">
            <w:pPr>
              <w:spacing w:line="320" w:lineRule="atLeast"/>
              <w:ind w:left="60" w:right="60"/>
              <w:jc w:val="right"/>
              <w:rPr>
                <w:color w:val="010205"/>
                <w:sz w:val="18"/>
              </w:rPr>
            </w:pPr>
            <w:r w:rsidRPr="006A1EC7">
              <w:rPr>
                <w:color w:val="010205"/>
                <w:sz w:val="18"/>
              </w:rPr>
              <w:t>20.95</w:t>
            </w:r>
          </w:p>
        </w:tc>
        <w:tc>
          <w:tcPr>
            <w:tcW w:w="1827" w:type="dxa"/>
            <w:gridSpan w:val="2"/>
            <w:tcBorders>
              <w:top w:val="single" w:sz="8" w:space="0" w:color="152935"/>
              <w:left w:val="single" w:sz="8" w:space="0" w:color="E0E0E0"/>
              <w:bottom w:val="single" w:sz="8" w:space="0" w:color="152935"/>
              <w:right w:val="single" w:sz="8" w:space="0" w:color="E0E0E0"/>
            </w:tcBorders>
            <w:shd w:val="clear" w:color="auto" w:fill="FFFFFF"/>
          </w:tcPr>
          <w:p w14:paraId="099BDDAB" w14:textId="77777777" w:rsidR="0087601C" w:rsidRPr="006A1EC7" w:rsidRDefault="0087601C" w:rsidP="00D56051">
            <w:pPr>
              <w:spacing w:line="320" w:lineRule="atLeast"/>
              <w:ind w:left="60" w:right="60"/>
              <w:jc w:val="right"/>
              <w:rPr>
                <w:color w:val="010205"/>
                <w:sz w:val="18"/>
              </w:rPr>
            </w:pPr>
            <w:r w:rsidRPr="006A1EC7">
              <w:rPr>
                <w:color w:val="010205"/>
                <w:sz w:val="18"/>
              </w:rPr>
              <w:t>2.185</w:t>
            </w:r>
          </w:p>
        </w:tc>
        <w:tc>
          <w:tcPr>
            <w:tcW w:w="1827" w:type="dxa"/>
            <w:gridSpan w:val="2"/>
            <w:tcBorders>
              <w:top w:val="single" w:sz="8" w:space="0" w:color="152935"/>
              <w:left w:val="single" w:sz="8" w:space="0" w:color="E0E0E0"/>
              <w:bottom w:val="single" w:sz="8" w:space="0" w:color="152935"/>
              <w:right w:val="nil"/>
            </w:tcBorders>
            <w:shd w:val="clear" w:color="auto" w:fill="FFFFFF"/>
          </w:tcPr>
          <w:p w14:paraId="3B939EB2" w14:textId="77777777" w:rsidR="0087601C" w:rsidRPr="006A1EC7" w:rsidRDefault="0087601C" w:rsidP="00D56051">
            <w:pPr>
              <w:spacing w:line="320" w:lineRule="atLeast"/>
              <w:ind w:left="60" w:right="60"/>
              <w:jc w:val="right"/>
              <w:rPr>
                <w:color w:val="010205"/>
                <w:sz w:val="18"/>
              </w:rPr>
            </w:pPr>
            <w:r w:rsidRPr="006A1EC7">
              <w:rPr>
                <w:color w:val="010205"/>
                <w:sz w:val="18"/>
              </w:rPr>
              <w:t>.359</w:t>
            </w:r>
          </w:p>
        </w:tc>
      </w:tr>
      <w:tr w:rsidR="0087601C" w:rsidRPr="006A1EC7" w14:paraId="191044F1" w14:textId="77777777" w:rsidTr="00D56051">
        <w:trPr>
          <w:cantSplit/>
        </w:trPr>
        <w:tc>
          <w:tcPr>
            <w:tcW w:w="2552" w:type="dxa"/>
            <w:vMerge w:val="restart"/>
            <w:tcBorders>
              <w:top w:val="nil"/>
              <w:left w:val="nil"/>
              <w:bottom w:val="nil"/>
              <w:right w:val="nil"/>
            </w:tcBorders>
            <w:shd w:val="clear" w:color="auto" w:fill="FFFFFF"/>
            <w:vAlign w:val="bottom"/>
          </w:tcPr>
          <w:p w14:paraId="7A320AF0" w14:textId="77777777" w:rsidR="0087601C" w:rsidRPr="006A1EC7" w:rsidRDefault="0087601C" w:rsidP="00D56051">
            <w:pPr>
              <w:rPr>
                <w:sz w:val="18"/>
              </w:rPr>
            </w:pPr>
          </w:p>
        </w:tc>
        <w:tc>
          <w:tcPr>
            <w:tcW w:w="8635" w:type="dxa"/>
            <w:gridSpan w:val="11"/>
            <w:tcBorders>
              <w:top w:val="nil"/>
              <w:left w:val="nil"/>
              <w:bottom w:val="nil"/>
              <w:right w:val="nil"/>
            </w:tcBorders>
            <w:shd w:val="clear" w:color="auto" w:fill="FFFFFF"/>
            <w:vAlign w:val="bottom"/>
          </w:tcPr>
          <w:p w14:paraId="6CDA9843"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21</w:t>
            </w:r>
          </w:p>
        </w:tc>
      </w:tr>
      <w:tr w:rsidR="0087601C" w:rsidRPr="006A1EC7" w14:paraId="5258E580" w14:textId="77777777" w:rsidTr="00D56051">
        <w:trPr>
          <w:cantSplit/>
        </w:trPr>
        <w:tc>
          <w:tcPr>
            <w:tcW w:w="2552" w:type="dxa"/>
            <w:vMerge/>
            <w:tcBorders>
              <w:top w:val="nil"/>
              <w:left w:val="nil"/>
              <w:bottom w:val="nil"/>
              <w:right w:val="nil"/>
            </w:tcBorders>
            <w:shd w:val="clear" w:color="auto" w:fill="FFFFFF"/>
            <w:vAlign w:val="bottom"/>
          </w:tcPr>
          <w:p w14:paraId="20319C1B" w14:textId="77777777" w:rsidR="0087601C" w:rsidRPr="006A1EC7" w:rsidRDefault="0087601C" w:rsidP="00D56051">
            <w:pPr>
              <w:rPr>
                <w:color w:val="264A60"/>
                <w:sz w:val="18"/>
              </w:rPr>
            </w:pPr>
          </w:p>
        </w:tc>
        <w:tc>
          <w:tcPr>
            <w:tcW w:w="1118" w:type="dxa"/>
            <w:gridSpan w:val="2"/>
            <w:vMerge w:val="restart"/>
            <w:tcBorders>
              <w:top w:val="nil"/>
              <w:left w:val="nil"/>
              <w:bottom w:val="nil"/>
              <w:right w:val="single" w:sz="8" w:space="0" w:color="E0E0E0"/>
            </w:tcBorders>
            <w:shd w:val="clear" w:color="auto" w:fill="FFFFFF"/>
            <w:vAlign w:val="bottom"/>
          </w:tcPr>
          <w:p w14:paraId="2A3E8762"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17" w:type="dxa"/>
            <w:gridSpan w:val="2"/>
            <w:vMerge w:val="restart"/>
            <w:tcBorders>
              <w:top w:val="nil"/>
              <w:left w:val="single" w:sz="8" w:space="0" w:color="E0E0E0"/>
              <w:bottom w:val="nil"/>
              <w:right w:val="single" w:sz="8" w:space="0" w:color="E0E0E0"/>
            </w:tcBorders>
            <w:shd w:val="clear" w:color="auto" w:fill="FFFFFF"/>
            <w:vAlign w:val="bottom"/>
          </w:tcPr>
          <w:p w14:paraId="3BDC90B2"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00" w:type="dxa"/>
            <w:gridSpan w:val="2"/>
            <w:vMerge w:val="restart"/>
            <w:tcBorders>
              <w:top w:val="nil"/>
              <w:left w:val="single" w:sz="8" w:space="0" w:color="E0E0E0"/>
              <w:bottom w:val="nil"/>
              <w:right w:val="single" w:sz="8" w:space="0" w:color="E0E0E0"/>
            </w:tcBorders>
            <w:shd w:val="clear" w:color="auto" w:fill="FFFFFF"/>
            <w:vAlign w:val="bottom"/>
          </w:tcPr>
          <w:p w14:paraId="17A7CB31"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00" w:type="dxa"/>
            <w:gridSpan w:val="2"/>
            <w:vMerge w:val="restart"/>
            <w:tcBorders>
              <w:top w:val="nil"/>
              <w:left w:val="single" w:sz="8" w:space="0" w:color="E0E0E0"/>
              <w:bottom w:val="nil"/>
              <w:right w:val="single" w:sz="8" w:space="0" w:color="E0E0E0"/>
            </w:tcBorders>
            <w:shd w:val="clear" w:color="auto" w:fill="FFFFFF"/>
            <w:vAlign w:val="bottom"/>
          </w:tcPr>
          <w:p w14:paraId="1B2AD811"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200" w:type="dxa"/>
            <w:gridSpan w:val="3"/>
            <w:tcBorders>
              <w:top w:val="nil"/>
              <w:left w:val="single" w:sz="8" w:space="0" w:color="E0E0E0"/>
              <w:bottom w:val="nil"/>
              <w:right w:val="nil"/>
            </w:tcBorders>
            <w:shd w:val="clear" w:color="auto" w:fill="FFFFFF"/>
            <w:vAlign w:val="bottom"/>
          </w:tcPr>
          <w:p w14:paraId="55AFBFAB"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2A8DF04B" w14:textId="77777777" w:rsidTr="00D56051">
        <w:trPr>
          <w:cantSplit/>
        </w:trPr>
        <w:tc>
          <w:tcPr>
            <w:tcW w:w="2552" w:type="dxa"/>
            <w:vMerge/>
            <w:tcBorders>
              <w:top w:val="nil"/>
              <w:left w:val="nil"/>
              <w:bottom w:val="nil"/>
              <w:right w:val="nil"/>
            </w:tcBorders>
            <w:shd w:val="clear" w:color="auto" w:fill="FFFFFF"/>
            <w:vAlign w:val="bottom"/>
          </w:tcPr>
          <w:p w14:paraId="37694C4C" w14:textId="77777777" w:rsidR="0087601C" w:rsidRPr="006A1EC7" w:rsidRDefault="0087601C" w:rsidP="00D56051">
            <w:pPr>
              <w:rPr>
                <w:color w:val="264A60"/>
                <w:sz w:val="18"/>
              </w:rPr>
            </w:pPr>
          </w:p>
        </w:tc>
        <w:tc>
          <w:tcPr>
            <w:tcW w:w="1118" w:type="dxa"/>
            <w:gridSpan w:val="2"/>
            <w:vMerge/>
            <w:tcBorders>
              <w:top w:val="nil"/>
              <w:left w:val="nil"/>
              <w:bottom w:val="nil"/>
              <w:right w:val="single" w:sz="8" w:space="0" w:color="E0E0E0"/>
            </w:tcBorders>
            <w:shd w:val="clear" w:color="auto" w:fill="FFFFFF"/>
            <w:vAlign w:val="bottom"/>
          </w:tcPr>
          <w:p w14:paraId="5DA0CF8E" w14:textId="77777777" w:rsidR="0087601C" w:rsidRPr="006A1EC7" w:rsidRDefault="0087601C" w:rsidP="00D56051">
            <w:pPr>
              <w:rPr>
                <w:color w:val="264A60"/>
                <w:sz w:val="18"/>
              </w:rPr>
            </w:pPr>
          </w:p>
        </w:tc>
        <w:tc>
          <w:tcPr>
            <w:tcW w:w="1117" w:type="dxa"/>
            <w:gridSpan w:val="2"/>
            <w:vMerge/>
            <w:tcBorders>
              <w:top w:val="nil"/>
              <w:left w:val="single" w:sz="8" w:space="0" w:color="E0E0E0"/>
              <w:bottom w:val="nil"/>
              <w:right w:val="single" w:sz="8" w:space="0" w:color="E0E0E0"/>
            </w:tcBorders>
            <w:shd w:val="clear" w:color="auto" w:fill="FFFFFF"/>
            <w:vAlign w:val="bottom"/>
          </w:tcPr>
          <w:p w14:paraId="7D477384" w14:textId="77777777" w:rsidR="0087601C" w:rsidRPr="006A1EC7" w:rsidRDefault="0087601C" w:rsidP="00D56051">
            <w:pPr>
              <w:rPr>
                <w:color w:val="264A60"/>
                <w:sz w:val="18"/>
              </w:rPr>
            </w:pPr>
          </w:p>
        </w:tc>
        <w:tc>
          <w:tcPr>
            <w:tcW w:w="1600" w:type="dxa"/>
            <w:gridSpan w:val="2"/>
            <w:vMerge/>
            <w:tcBorders>
              <w:top w:val="nil"/>
              <w:left w:val="single" w:sz="8" w:space="0" w:color="E0E0E0"/>
              <w:bottom w:val="nil"/>
              <w:right w:val="single" w:sz="8" w:space="0" w:color="E0E0E0"/>
            </w:tcBorders>
            <w:shd w:val="clear" w:color="auto" w:fill="FFFFFF"/>
            <w:vAlign w:val="bottom"/>
          </w:tcPr>
          <w:p w14:paraId="3927959A" w14:textId="77777777" w:rsidR="0087601C" w:rsidRPr="006A1EC7" w:rsidRDefault="0087601C" w:rsidP="00D56051">
            <w:pPr>
              <w:rPr>
                <w:color w:val="264A60"/>
                <w:sz w:val="18"/>
              </w:rPr>
            </w:pPr>
          </w:p>
        </w:tc>
        <w:tc>
          <w:tcPr>
            <w:tcW w:w="1600" w:type="dxa"/>
            <w:gridSpan w:val="2"/>
            <w:vMerge/>
            <w:tcBorders>
              <w:top w:val="nil"/>
              <w:left w:val="single" w:sz="8" w:space="0" w:color="E0E0E0"/>
              <w:bottom w:val="nil"/>
              <w:right w:val="single" w:sz="8" w:space="0" w:color="E0E0E0"/>
            </w:tcBorders>
            <w:shd w:val="clear" w:color="auto" w:fill="FFFFFF"/>
            <w:vAlign w:val="bottom"/>
          </w:tcPr>
          <w:p w14:paraId="3EA2F828" w14:textId="77777777" w:rsidR="0087601C" w:rsidRPr="006A1EC7" w:rsidRDefault="0087601C" w:rsidP="00D56051">
            <w:pPr>
              <w:rPr>
                <w:color w:val="264A60"/>
                <w:sz w:val="18"/>
              </w:rPr>
            </w:pPr>
          </w:p>
        </w:tc>
        <w:tc>
          <w:tcPr>
            <w:tcW w:w="1600" w:type="dxa"/>
            <w:gridSpan w:val="2"/>
            <w:tcBorders>
              <w:top w:val="nil"/>
              <w:left w:val="single" w:sz="8" w:space="0" w:color="E0E0E0"/>
              <w:bottom w:val="single" w:sz="8" w:space="0" w:color="152935"/>
              <w:right w:val="single" w:sz="8" w:space="0" w:color="E0E0E0"/>
            </w:tcBorders>
            <w:shd w:val="clear" w:color="auto" w:fill="FFFFFF"/>
            <w:vAlign w:val="bottom"/>
          </w:tcPr>
          <w:p w14:paraId="0D16EDC0"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00" w:type="dxa"/>
            <w:tcBorders>
              <w:top w:val="nil"/>
              <w:left w:val="single" w:sz="8" w:space="0" w:color="E0E0E0"/>
              <w:bottom w:val="single" w:sz="8" w:space="0" w:color="152935"/>
              <w:right w:val="nil"/>
            </w:tcBorders>
            <w:shd w:val="clear" w:color="auto" w:fill="FFFFFF"/>
            <w:vAlign w:val="bottom"/>
          </w:tcPr>
          <w:p w14:paraId="43ABA2B6"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4D3183FE" w14:textId="77777777" w:rsidTr="00D56051">
        <w:trPr>
          <w:cantSplit/>
        </w:trPr>
        <w:tc>
          <w:tcPr>
            <w:tcW w:w="2552" w:type="dxa"/>
            <w:tcBorders>
              <w:top w:val="single" w:sz="8" w:space="0" w:color="152935"/>
              <w:left w:val="nil"/>
              <w:bottom w:val="single" w:sz="8" w:space="0" w:color="152935"/>
              <w:right w:val="nil"/>
            </w:tcBorders>
            <w:shd w:val="clear" w:color="auto" w:fill="E0E0E0"/>
          </w:tcPr>
          <w:p w14:paraId="22482E5C" w14:textId="77777777" w:rsidR="0087601C" w:rsidRPr="006A1EC7" w:rsidRDefault="0087601C" w:rsidP="00D56051">
            <w:pPr>
              <w:spacing w:line="320" w:lineRule="atLeast"/>
              <w:ind w:left="60" w:right="60"/>
              <w:rPr>
                <w:color w:val="264A60"/>
                <w:sz w:val="18"/>
              </w:rPr>
            </w:pPr>
            <w:r w:rsidRPr="006A1EC7">
              <w:rPr>
                <w:color w:val="264A60"/>
                <w:sz w:val="18"/>
              </w:rPr>
              <w:t>T1Alessandro_Gastroin</w:t>
            </w:r>
          </w:p>
        </w:tc>
        <w:tc>
          <w:tcPr>
            <w:tcW w:w="1118" w:type="dxa"/>
            <w:gridSpan w:val="2"/>
            <w:tcBorders>
              <w:top w:val="single" w:sz="8" w:space="0" w:color="152935"/>
              <w:left w:val="nil"/>
              <w:bottom w:val="single" w:sz="8" w:space="0" w:color="152935"/>
              <w:right w:val="single" w:sz="8" w:space="0" w:color="E0E0E0"/>
            </w:tcBorders>
            <w:shd w:val="clear" w:color="auto" w:fill="FFFFFF"/>
          </w:tcPr>
          <w:p w14:paraId="46275357" w14:textId="77777777" w:rsidR="0087601C" w:rsidRPr="006A1EC7" w:rsidRDefault="0087601C" w:rsidP="00D56051">
            <w:pPr>
              <w:spacing w:line="320" w:lineRule="atLeast"/>
              <w:ind w:left="60" w:right="60"/>
              <w:jc w:val="right"/>
              <w:rPr>
                <w:color w:val="010205"/>
                <w:sz w:val="18"/>
              </w:rPr>
            </w:pPr>
            <w:r w:rsidRPr="006A1EC7">
              <w:rPr>
                <w:color w:val="010205"/>
                <w:sz w:val="18"/>
              </w:rPr>
              <w:t>-.150</w:t>
            </w:r>
          </w:p>
        </w:tc>
        <w:tc>
          <w:tcPr>
            <w:tcW w:w="1117" w:type="dxa"/>
            <w:gridSpan w:val="2"/>
            <w:tcBorders>
              <w:top w:val="single" w:sz="8" w:space="0" w:color="152935"/>
              <w:left w:val="single" w:sz="8" w:space="0" w:color="E0E0E0"/>
              <w:bottom w:val="single" w:sz="8" w:space="0" w:color="152935"/>
              <w:right w:val="single" w:sz="8" w:space="0" w:color="E0E0E0"/>
            </w:tcBorders>
            <w:shd w:val="clear" w:color="auto" w:fill="FFFFFF"/>
          </w:tcPr>
          <w:p w14:paraId="6DB51B3A"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00" w:type="dxa"/>
            <w:gridSpan w:val="2"/>
            <w:tcBorders>
              <w:top w:val="single" w:sz="8" w:space="0" w:color="152935"/>
              <w:left w:val="single" w:sz="8" w:space="0" w:color="E0E0E0"/>
              <w:bottom w:val="single" w:sz="8" w:space="0" w:color="152935"/>
              <w:right w:val="single" w:sz="8" w:space="0" w:color="E0E0E0"/>
            </w:tcBorders>
            <w:shd w:val="clear" w:color="auto" w:fill="FFFFFF"/>
          </w:tcPr>
          <w:p w14:paraId="57E26C1E" w14:textId="77777777" w:rsidR="0087601C" w:rsidRPr="006A1EC7" w:rsidRDefault="0087601C" w:rsidP="00D56051">
            <w:pPr>
              <w:spacing w:line="320" w:lineRule="atLeast"/>
              <w:ind w:left="60" w:right="60"/>
              <w:jc w:val="right"/>
              <w:rPr>
                <w:color w:val="010205"/>
                <w:sz w:val="18"/>
              </w:rPr>
            </w:pPr>
            <w:r w:rsidRPr="006A1EC7">
              <w:rPr>
                <w:color w:val="010205"/>
                <w:sz w:val="18"/>
              </w:rPr>
              <w:t>.881</w:t>
            </w:r>
          </w:p>
        </w:tc>
        <w:tc>
          <w:tcPr>
            <w:tcW w:w="1600" w:type="dxa"/>
            <w:gridSpan w:val="2"/>
            <w:tcBorders>
              <w:top w:val="single" w:sz="8" w:space="0" w:color="152935"/>
              <w:left w:val="single" w:sz="8" w:space="0" w:color="E0E0E0"/>
              <w:bottom w:val="single" w:sz="8" w:space="0" w:color="152935"/>
              <w:right w:val="single" w:sz="8" w:space="0" w:color="E0E0E0"/>
            </w:tcBorders>
            <w:shd w:val="clear" w:color="auto" w:fill="FFFFFF"/>
          </w:tcPr>
          <w:p w14:paraId="245A920B" w14:textId="77777777" w:rsidR="0087601C" w:rsidRPr="006A1EC7" w:rsidRDefault="0087601C" w:rsidP="00D56051">
            <w:pPr>
              <w:spacing w:line="320" w:lineRule="atLeast"/>
              <w:ind w:left="60" w:right="60"/>
              <w:jc w:val="right"/>
              <w:rPr>
                <w:color w:val="010205"/>
                <w:sz w:val="18"/>
              </w:rPr>
            </w:pPr>
            <w:r w:rsidRPr="006A1EC7">
              <w:rPr>
                <w:color w:val="010205"/>
                <w:sz w:val="18"/>
              </w:rPr>
              <w:t>-.054</w:t>
            </w:r>
          </w:p>
        </w:tc>
        <w:tc>
          <w:tcPr>
            <w:tcW w:w="1600" w:type="dxa"/>
            <w:gridSpan w:val="2"/>
            <w:tcBorders>
              <w:top w:val="single" w:sz="8" w:space="0" w:color="152935"/>
              <w:left w:val="single" w:sz="8" w:space="0" w:color="E0E0E0"/>
              <w:bottom w:val="single" w:sz="8" w:space="0" w:color="152935"/>
              <w:right w:val="single" w:sz="8" w:space="0" w:color="E0E0E0"/>
            </w:tcBorders>
            <w:shd w:val="clear" w:color="auto" w:fill="FFFFFF"/>
          </w:tcPr>
          <w:p w14:paraId="41A16CFD" w14:textId="77777777" w:rsidR="0087601C" w:rsidRPr="006A1EC7" w:rsidRDefault="0087601C" w:rsidP="00D56051">
            <w:pPr>
              <w:spacing w:line="320" w:lineRule="atLeast"/>
              <w:ind w:left="60" w:right="60"/>
              <w:jc w:val="right"/>
              <w:rPr>
                <w:color w:val="010205"/>
                <w:sz w:val="18"/>
              </w:rPr>
            </w:pPr>
            <w:r w:rsidRPr="006A1EC7">
              <w:rPr>
                <w:color w:val="010205"/>
                <w:sz w:val="18"/>
              </w:rPr>
              <w:t>-.78</w:t>
            </w:r>
          </w:p>
        </w:tc>
        <w:tc>
          <w:tcPr>
            <w:tcW w:w="1600" w:type="dxa"/>
            <w:tcBorders>
              <w:top w:val="single" w:sz="8" w:space="0" w:color="152935"/>
              <w:left w:val="single" w:sz="8" w:space="0" w:color="E0E0E0"/>
              <w:bottom w:val="single" w:sz="8" w:space="0" w:color="152935"/>
              <w:right w:val="nil"/>
            </w:tcBorders>
            <w:shd w:val="clear" w:color="auto" w:fill="FFFFFF"/>
          </w:tcPr>
          <w:p w14:paraId="68DEFA34" w14:textId="77777777" w:rsidR="0087601C" w:rsidRPr="006A1EC7" w:rsidRDefault="0087601C" w:rsidP="00D56051">
            <w:pPr>
              <w:spacing w:line="320" w:lineRule="atLeast"/>
              <w:ind w:left="60" w:right="60"/>
              <w:jc w:val="right"/>
              <w:rPr>
                <w:color w:val="010205"/>
                <w:sz w:val="18"/>
              </w:rPr>
            </w:pPr>
            <w:r w:rsidRPr="006A1EC7">
              <w:rPr>
                <w:color w:val="010205"/>
                <w:sz w:val="18"/>
              </w:rPr>
              <w:t>.67</w:t>
            </w:r>
          </w:p>
        </w:tc>
      </w:tr>
    </w:tbl>
    <w:p w14:paraId="7FA17EB6" w14:textId="77777777" w:rsidR="0087601C" w:rsidRPr="006A1EC7" w:rsidRDefault="0087601C" w:rsidP="0087601C">
      <w:pPr>
        <w:spacing w:line="400" w:lineRule="atLeast"/>
        <w:rPr>
          <w:sz w:val="18"/>
        </w:rPr>
      </w:pPr>
    </w:p>
    <w:p w14:paraId="71870B58" w14:textId="77777777" w:rsidR="0087601C" w:rsidRPr="006A1EC7" w:rsidRDefault="0087601C" w:rsidP="0087601C">
      <w:pPr>
        <w:spacing w:line="400" w:lineRule="atLeast"/>
        <w:rPr>
          <w:sz w:val="18"/>
        </w:rPr>
      </w:pPr>
    </w:p>
    <w:tbl>
      <w:tblPr>
        <w:tblW w:w="8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2"/>
        <w:gridCol w:w="1276"/>
        <w:gridCol w:w="1276"/>
        <w:gridCol w:w="1828"/>
        <w:gridCol w:w="1828"/>
      </w:tblGrid>
      <w:tr w:rsidR="0087601C" w:rsidRPr="006A1EC7" w14:paraId="5E96227E" w14:textId="77777777" w:rsidTr="00D56051">
        <w:trPr>
          <w:cantSplit/>
        </w:trPr>
        <w:tc>
          <w:tcPr>
            <w:tcW w:w="8926" w:type="dxa"/>
            <w:gridSpan w:val="5"/>
            <w:tcBorders>
              <w:top w:val="nil"/>
              <w:left w:val="nil"/>
              <w:bottom w:val="nil"/>
              <w:right w:val="nil"/>
            </w:tcBorders>
            <w:shd w:val="clear" w:color="auto" w:fill="FFFFFF"/>
            <w:vAlign w:val="center"/>
          </w:tcPr>
          <w:p w14:paraId="64CB194A" w14:textId="77777777" w:rsidR="0087601C" w:rsidRPr="006A1EC7" w:rsidRDefault="0087601C" w:rsidP="00D56051">
            <w:pPr>
              <w:spacing w:line="320" w:lineRule="atLeast"/>
              <w:ind w:right="60"/>
              <w:rPr>
                <w:color w:val="010205"/>
                <w:sz w:val="22"/>
                <w:szCs w:val="30"/>
              </w:rPr>
            </w:pPr>
          </w:p>
        </w:tc>
      </w:tr>
      <w:tr w:rsidR="0087601C" w:rsidRPr="006A1EC7" w14:paraId="515D229F" w14:textId="77777777" w:rsidTr="00D56051">
        <w:trPr>
          <w:cantSplit/>
        </w:trPr>
        <w:tc>
          <w:tcPr>
            <w:tcW w:w="2722" w:type="dxa"/>
            <w:tcBorders>
              <w:top w:val="nil"/>
              <w:left w:val="nil"/>
              <w:bottom w:val="single" w:sz="8" w:space="0" w:color="152935"/>
              <w:right w:val="nil"/>
            </w:tcBorders>
            <w:shd w:val="clear" w:color="auto" w:fill="FFFFFF"/>
            <w:vAlign w:val="bottom"/>
          </w:tcPr>
          <w:p w14:paraId="40B62A38" w14:textId="77777777" w:rsidR="0087601C" w:rsidRPr="006A1EC7" w:rsidRDefault="0087601C" w:rsidP="00D56051">
            <w:pPr>
              <w:rPr>
                <w:sz w:val="18"/>
              </w:rPr>
            </w:pPr>
          </w:p>
        </w:tc>
        <w:tc>
          <w:tcPr>
            <w:tcW w:w="1275" w:type="dxa"/>
            <w:tcBorders>
              <w:top w:val="nil"/>
              <w:left w:val="nil"/>
              <w:bottom w:val="single" w:sz="8" w:space="0" w:color="152935"/>
              <w:right w:val="single" w:sz="8" w:space="0" w:color="E0E0E0"/>
            </w:tcBorders>
            <w:shd w:val="clear" w:color="auto" w:fill="FFFFFF"/>
            <w:vAlign w:val="bottom"/>
          </w:tcPr>
          <w:p w14:paraId="277E7625"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39872E14"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7" w:type="dxa"/>
            <w:tcBorders>
              <w:top w:val="nil"/>
              <w:left w:val="single" w:sz="8" w:space="0" w:color="E0E0E0"/>
              <w:bottom w:val="single" w:sz="8" w:space="0" w:color="152935"/>
              <w:right w:val="single" w:sz="8" w:space="0" w:color="E0E0E0"/>
            </w:tcBorders>
            <w:shd w:val="clear" w:color="auto" w:fill="FFFFFF"/>
            <w:vAlign w:val="bottom"/>
          </w:tcPr>
          <w:p w14:paraId="11FF776E"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7" w:type="dxa"/>
            <w:tcBorders>
              <w:top w:val="nil"/>
              <w:left w:val="single" w:sz="8" w:space="0" w:color="E0E0E0"/>
              <w:bottom w:val="single" w:sz="8" w:space="0" w:color="152935"/>
              <w:right w:val="nil"/>
            </w:tcBorders>
            <w:shd w:val="clear" w:color="auto" w:fill="FFFFFF"/>
            <w:vAlign w:val="bottom"/>
          </w:tcPr>
          <w:p w14:paraId="1095795A"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44CF7E42" w14:textId="77777777" w:rsidTr="00D56051">
        <w:trPr>
          <w:cantSplit/>
        </w:trPr>
        <w:tc>
          <w:tcPr>
            <w:tcW w:w="2722" w:type="dxa"/>
            <w:tcBorders>
              <w:top w:val="single" w:sz="8" w:space="0" w:color="152935"/>
              <w:left w:val="nil"/>
              <w:bottom w:val="single" w:sz="8" w:space="0" w:color="152935"/>
              <w:right w:val="nil"/>
            </w:tcBorders>
            <w:shd w:val="clear" w:color="auto" w:fill="E0E0E0"/>
          </w:tcPr>
          <w:p w14:paraId="7D061F0D" w14:textId="77777777" w:rsidR="0087601C" w:rsidRPr="006A1EC7" w:rsidRDefault="0087601C" w:rsidP="00D56051">
            <w:pPr>
              <w:spacing w:line="320" w:lineRule="atLeast"/>
              <w:ind w:left="60" w:right="60"/>
              <w:rPr>
                <w:color w:val="264A60"/>
                <w:sz w:val="18"/>
              </w:rPr>
            </w:pPr>
            <w:r w:rsidRPr="006A1EC7">
              <w:rPr>
                <w:color w:val="264A60"/>
                <w:sz w:val="18"/>
              </w:rPr>
              <w:t>T1Alessandro_Cardio</w:t>
            </w:r>
          </w:p>
        </w:tc>
        <w:tc>
          <w:tcPr>
            <w:tcW w:w="1275" w:type="dxa"/>
            <w:tcBorders>
              <w:top w:val="single" w:sz="8" w:space="0" w:color="152935"/>
              <w:left w:val="nil"/>
              <w:bottom w:val="single" w:sz="8" w:space="0" w:color="152935"/>
              <w:right w:val="single" w:sz="8" w:space="0" w:color="E0E0E0"/>
            </w:tcBorders>
            <w:shd w:val="clear" w:color="auto" w:fill="FFFFFF"/>
          </w:tcPr>
          <w:p w14:paraId="6EE22823" w14:textId="77777777" w:rsidR="0087601C" w:rsidRPr="006A1EC7" w:rsidRDefault="0087601C" w:rsidP="00D56051">
            <w:pPr>
              <w:spacing w:line="320" w:lineRule="atLeast"/>
              <w:ind w:left="60" w:right="60"/>
              <w:jc w:val="right"/>
              <w:rPr>
                <w:color w:val="010205"/>
                <w:sz w:val="18"/>
              </w:rPr>
            </w:pPr>
            <w:r w:rsidRPr="006A1EC7">
              <w:rPr>
                <w:color w:val="010205"/>
                <w:sz w:val="18"/>
              </w:rPr>
              <w:t>38</w:t>
            </w:r>
          </w:p>
        </w:tc>
        <w:tc>
          <w:tcPr>
            <w:tcW w:w="1275" w:type="dxa"/>
            <w:tcBorders>
              <w:top w:val="single" w:sz="8" w:space="0" w:color="152935"/>
              <w:left w:val="single" w:sz="8" w:space="0" w:color="E0E0E0"/>
              <w:bottom w:val="single" w:sz="8" w:space="0" w:color="152935"/>
              <w:right w:val="single" w:sz="8" w:space="0" w:color="E0E0E0"/>
            </w:tcBorders>
            <w:shd w:val="clear" w:color="auto" w:fill="FFFFFF"/>
          </w:tcPr>
          <w:p w14:paraId="752AAEA3" w14:textId="77777777" w:rsidR="0087601C" w:rsidRPr="006A1EC7" w:rsidRDefault="0087601C" w:rsidP="00D56051">
            <w:pPr>
              <w:spacing w:line="320" w:lineRule="atLeast"/>
              <w:ind w:left="60" w:right="60"/>
              <w:jc w:val="right"/>
              <w:rPr>
                <w:color w:val="010205"/>
                <w:sz w:val="18"/>
              </w:rPr>
            </w:pPr>
            <w:r w:rsidRPr="006A1EC7">
              <w:rPr>
                <w:color w:val="010205"/>
                <w:sz w:val="18"/>
              </w:rPr>
              <w:t>5.00</w:t>
            </w:r>
          </w:p>
        </w:tc>
        <w:tc>
          <w:tcPr>
            <w:tcW w:w="1827" w:type="dxa"/>
            <w:tcBorders>
              <w:top w:val="single" w:sz="8" w:space="0" w:color="152935"/>
              <w:left w:val="single" w:sz="8" w:space="0" w:color="E0E0E0"/>
              <w:bottom w:val="single" w:sz="8" w:space="0" w:color="152935"/>
              <w:right w:val="single" w:sz="8" w:space="0" w:color="E0E0E0"/>
            </w:tcBorders>
            <w:shd w:val="clear" w:color="auto" w:fill="FFFFFF"/>
          </w:tcPr>
          <w:p w14:paraId="017AA106" w14:textId="77777777" w:rsidR="0087601C" w:rsidRPr="006A1EC7" w:rsidRDefault="0087601C" w:rsidP="00D56051">
            <w:pPr>
              <w:spacing w:line="320" w:lineRule="atLeast"/>
              <w:ind w:left="60" w:right="60"/>
              <w:jc w:val="right"/>
              <w:rPr>
                <w:color w:val="010205"/>
                <w:sz w:val="18"/>
              </w:rPr>
            </w:pPr>
            <w:r w:rsidRPr="006A1EC7">
              <w:rPr>
                <w:color w:val="010205"/>
                <w:sz w:val="18"/>
              </w:rPr>
              <w:t>.232</w:t>
            </w:r>
          </w:p>
        </w:tc>
        <w:tc>
          <w:tcPr>
            <w:tcW w:w="1827" w:type="dxa"/>
            <w:tcBorders>
              <w:top w:val="single" w:sz="8" w:space="0" w:color="152935"/>
              <w:left w:val="single" w:sz="8" w:space="0" w:color="E0E0E0"/>
              <w:bottom w:val="single" w:sz="8" w:space="0" w:color="152935"/>
              <w:right w:val="nil"/>
            </w:tcBorders>
            <w:shd w:val="clear" w:color="auto" w:fill="FFFFFF"/>
          </w:tcPr>
          <w:p w14:paraId="588015C1" w14:textId="77777777" w:rsidR="0087601C" w:rsidRPr="006A1EC7" w:rsidRDefault="0087601C" w:rsidP="00D56051">
            <w:pPr>
              <w:spacing w:line="320" w:lineRule="atLeast"/>
              <w:ind w:left="60" w:right="60"/>
              <w:jc w:val="right"/>
              <w:rPr>
                <w:color w:val="010205"/>
                <w:sz w:val="18"/>
              </w:rPr>
            </w:pPr>
            <w:r w:rsidRPr="006A1EC7">
              <w:rPr>
                <w:color w:val="010205"/>
                <w:sz w:val="18"/>
              </w:rPr>
              <w:t>.038</w:t>
            </w:r>
          </w:p>
        </w:tc>
      </w:tr>
    </w:tbl>
    <w:p w14:paraId="672B738E" w14:textId="77777777" w:rsidR="0087601C" w:rsidRPr="006A1EC7" w:rsidRDefault="0087601C" w:rsidP="0087601C">
      <w:pPr>
        <w:spacing w:line="400" w:lineRule="atLeast"/>
        <w:rPr>
          <w:sz w:val="18"/>
        </w:rPr>
      </w:pPr>
    </w:p>
    <w:p w14:paraId="08FCF6AA"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8"/>
        <w:gridCol w:w="202"/>
        <w:gridCol w:w="20"/>
        <w:gridCol w:w="939"/>
        <w:gridCol w:w="174"/>
        <w:gridCol w:w="163"/>
        <w:gridCol w:w="823"/>
        <w:gridCol w:w="148"/>
        <w:gridCol w:w="305"/>
        <w:gridCol w:w="1209"/>
        <w:gridCol w:w="111"/>
        <w:gridCol w:w="508"/>
        <w:gridCol w:w="1043"/>
        <w:gridCol w:w="74"/>
        <w:gridCol w:w="711"/>
        <w:gridCol w:w="877"/>
        <w:gridCol w:w="37"/>
        <w:gridCol w:w="1625"/>
      </w:tblGrid>
      <w:tr w:rsidR="0087601C" w:rsidRPr="006A1EC7" w14:paraId="7E951AAE" w14:textId="77777777" w:rsidTr="00D56051">
        <w:trPr>
          <w:cantSplit/>
        </w:trPr>
        <w:tc>
          <w:tcPr>
            <w:tcW w:w="11187" w:type="dxa"/>
            <w:gridSpan w:val="18"/>
            <w:tcBorders>
              <w:top w:val="nil"/>
              <w:left w:val="nil"/>
              <w:bottom w:val="nil"/>
              <w:right w:val="nil"/>
            </w:tcBorders>
            <w:shd w:val="clear" w:color="auto" w:fill="FFFFFF"/>
            <w:vAlign w:val="center"/>
          </w:tcPr>
          <w:p w14:paraId="6B8F96B2" w14:textId="77777777" w:rsidR="0087601C" w:rsidRPr="006A1EC7" w:rsidRDefault="0087601C" w:rsidP="00D56051">
            <w:pPr>
              <w:spacing w:line="320" w:lineRule="atLeast"/>
              <w:ind w:right="60"/>
              <w:rPr>
                <w:color w:val="010205"/>
                <w:sz w:val="22"/>
                <w:szCs w:val="30"/>
              </w:rPr>
            </w:pPr>
          </w:p>
        </w:tc>
      </w:tr>
      <w:tr w:rsidR="0087601C" w:rsidRPr="006A1EC7" w14:paraId="3B741FE7" w14:textId="77777777" w:rsidTr="00D56051">
        <w:trPr>
          <w:cantSplit/>
        </w:trPr>
        <w:tc>
          <w:tcPr>
            <w:tcW w:w="2420" w:type="dxa"/>
            <w:gridSpan w:val="2"/>
            <w:vMerge w:val="restart"/>
            <w:tcBorders>
              <w:top w:val="nil"/>
              <w:left w:val="nil"/>
              <w:bottom w:val="nil"/>
              <w:right w:val="nil"/>
            </w:tcBorders>
            <w:shd w:val="clear" w:color="auto" w:fill="FFFFFF"/>
            <w:vAlign w:val="bottom"/>
          </w:tcPr>
          <w:p w14:paraId="392D7455" w14:textId="77777777" w:rsidR="0087601C" w:rsidRPr="006A1EC7" w:rsidRDefault="0087601C" w:rsidP="00D56051">
            <w:pPr>
              <w:rPr>
                <w:sz w:val="18"/>
              </w:rPr>
            </w:pPr>
          </w:p>
        </w:tc>
        <w:tc>
          <w:tcPr>
            <w:tcW w:w="8767" w:type="dxa"/>
            <w:gridSpan w:val="16"/>
            <w:tcBorders>
              <w:top w:val="nil"/>
              <w:left w:val="nil"/>
              <w:bottom w:val="nil"/>
              <w:right w:val="nil"/>
            </w:tcBorders>
            <w:shd w:val="clear" w:color="auto" w:fill="FFFFFF"/>
            <w:vAlign w:val="bottom"/>
          </w:tcPr>
          <w:p w14:paraId="1FD4A2BE"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5</w:t>
            </w:r>
          </w:p>
        </w:tc>
      </w:tr>
      <w:tr w:rsidR="0087601C" w:rsidRPr="006A1EC7" w14:paraId="2E3832D7" w14:textId="77777777" w:rsidTr="00D56051">
        <w:trPr>
          <w:cantSplit/>
        </w:trPr>
        <w:tc>
          <w:tcPr>
            <w:tcW w:w="2420" w:type="dxa"/>
            <w:gridSpan w:val="2"/>
            <w:vMerge/>
            <w:tcBorders>
              <w:top w:val="nil"/>
              <w:left w:val="nil"/>
              <w:bottom w:val="nil"/>
              <w:right w:val="nil"/>
            </w:tcBorders>
            <w:shd w:val="clear" w:color="auto" w:fill="FFFFFF"/>
            <w:vAlign w:val="bottom"/>
          </w:tcPr>
          <w:p w14:paraId="70F8A254" w14:textId="77777777" w:rsidR="0087601C" w:rsidRPr="006A1EC7" w:rsidRDefault="0087601C" w:rsidP="00D56051">
            <w:pPr>
              <w:rPr>
                <w:color w:val="264A60"/>
                <w:sz w:val="18"/>
              </w:rPr>
            </w:pPr>
          </w:p>
        </w:tc>
        <w:tc>
          <w:tcPr>
            <w:tcW w:w="1133" w:type="dxa"/>
            <w:gridSpan w:val="3"/>
            <w:vMerge w:val="restart"/>
            <w:tcBorders>
              <w:top w:val="nil"/>
              <w:left w:val="nil"/>
              <w:bottom w:val="nil"/>
              <w:right w:val="single" w:sz="8" w:space="0" w:color="E0E0E0"/>
            </w:tcBorders>
            <w:shd w:val="clear" w:color="auto" w:fill="FFFFFF"/>
            <w:vAlign w:val="bottom"/>
          </w:tcPr>
          <w:p w14:paraId="0D786050"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34" w:type="dxa"/>
            <w:gridSpan w:val="3"/>
            <w:vMerge w:val="restart"/>
            <w:tcBorders>
              <w:top w:val="nil"/>
              <w:left w:val="single" w:sz="8" w:space="0" w:color="E0E0E0"/>
              <w:bottom w:val="nil"/>
              <w:right w:val="single" w:sz="8" w:space="0" w:color="E0E0E0"/>
            </w:tcBorders>
            <w:shd w:val="clear" w:color="auto" w:fill="FFFFFF"/>
            <w:vAlign w:val="bottom"/>
          </w:tcPr>
          <w:p w14:paraId="5E1390D6"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25" w:type="dxa"/>
            <w:gridSpan w:val="3"/>
            <w:vMerge w:val="restart"/>
            <w:tcBorders>
              <w:top w:val="nil"/>
              <w:left w:val="single" w:sz="8" w:space="0" w:color="E0E0E0"/>
              <w:bottom w:val="nil"/>
              <w:right w:val="single" w:sz="8" w:space="0" w:color="E0E0E0"/>
            </w:tcBorders>
            <w:shd w:val="clear" w:color="auto" w:fill="FFFFFF"/>
            <w:vAlign w:val="bottom"/>
          </w:tcPr>
          <w:p w14:paraId="2FA84F4A"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25" w:type="dxa"/>
            <w:gridSpan w:val="3"/>
            <w:vMerge w:val="restart"/>
            <w:tcBorders>
              <w:top w:val="nil"/>
              <w:left w:val="single" w:sz="8" w:space="0" w:color="E0E0E0"/>
              <w:bottom w:val="nil"/>
              <w:right w:val="single" w:sz="8" w:space="0" w:color="E0E0E0"/>
            </w:tcBorders>
            <w:shd w:val="clear" w:color="auto" w:fill="FFFFFF"/>
            <w:vAlign w:val="bottom"/>
          </w:tcPr>
          <w:p w14:paraId="66F692C9"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250" w:type="dxa"/>
            <w:gridSpan w:val="4"/>
            <w:tcBorders>
              <w:top w:val="nil"/>
              <w:left w:val="single" w:sz="8" w:space="0" w:color="E0E0E0"/>
              <w:bottom w:val="nil"/>
              <w:right w:val="nil"/>
            </w:tcBorders>
            <w:shd w:val="clear" w:color="auto" w:fill="FFFFFF"/>
            <w:vAlign w:val="bottom"/>
          </w:tcPr>
          <w:p w14:paraId="1C6A1F1C"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6B454D1B" w14:textId="77777777" w:rsidTr="00D56051">
        <w:trPr>
          <w:cantSplit/>
        </w:trPr>
        <w:tc>
          <w:tcPr>
            <w:tcW w:w="2420" w:type="dxa"/>
            <w:gridSpan w:val="2"/>
            <w:vMerge/>
            <w:tcBorders>
              <w:top w:val="nil"/>
              <w:left w:val="nil"/>
              <w:bottom w:val="nil"/>
              <w:right w:val="nil"/>
            </w:tcBorders>
            <w:shd w:val="clear" w:color="auto" w:fill="FFFFFF"/>
            <w:vAlign w:val="bottom"/>
          </w:tcPr>
          <w:p w14:paraId="3D032864" w14:textId="77777777" w:rsidR="0087601C" w:rsidRPr="006A1EC7" w:rsidRDefault="0087601C" w:rsidP="00D56051">
            <w:pPr>
              <w:rPr>
                <w:color w:val="264A60"/>
                <w:sz w:val="18"/>
              </w:rPr>
            </w:pPr>
          </w:p>
        </w:tc>
        <w:tc>
          <w:tcPr>
            <w:tcW w:w="1133" w:type="dxa"/>
            <w:gridSpan w:val="3"/>
            <w:vMerge/>
            <w:tcBorders>
              <w:top w:val="nil"/>
              <w:left w:val="nil"/>
              <w:bottom w:val="nil"/>
              <w:right w:val="single" w:sz="8" w:space="0" w:color="E0E0E0"/>
            </w:tcBorders>
            <w:shd w:val="clear" w:color="auto" w:fill="FFFFFF"/>
            <w:vAlign w:val="bottom"/>
          </w:tcPr>
          <w:p w14:paraId="3D314657" w14:textId="77777777" w:rsidR="0087601C" w:rsidRPr="006A1EC7" w:rsidRDefault="0087601C" w:rsidP="00D56051">
            <w:pPr>
              <w:rPr>
                <w:color w:val="264A60"/>
                <w:sz w:val="18"/>
              </w:rPr>
            </w:pPr>
          </w:p>
        </w:tc>
        <w:tc>
          <w:tcPr>
            <w:tcW w:w="1134" w:type="dxa"/>
            <w:gridSpan w:val="3"/>
            <w:vMerge/>
            <w:tcBorders>
              <w:top w:val="nil"/>
              <w:left w:val="single" w:sz="8" w:space="0" w:color="E0E0E0"/>
              <w:bottom w:val="nil"/>
              <w:right w:val="single" w:sz="8" w:space="0" w:color="E0E0E0"/>
            </w:tcBorders>
            <w:shd w:val="clear" w:color="auto" w:fill="FFFFFF"/>
            <w:vAlign w:val="bottom"/>
          </w:tcPr>
          <w:p w14:paraId="2664526C" w14:textId="77777777" w:rsidR="0087601C" w:rsidRPr="006A1EC7" w:rsidRDefault="0087601C" w:rsidP="00D56051">
            <w:pPr>
              <w:rPr>
                <w:color w:val="264A60"/>
                <w:sz w:val="18"/>
              </w:rPr>
            </w:pPr>
          </w:p>
        </w:tc>
        <w:tc>
          <w:tcPr>
            <w:tcW w:w="1625" w:type="dxa"/>
            <w:gridSpan w:val="3"/>
            <w:vMerge/>
            <w:tcBorders>
              <w:top w:val="nil"/>
              <w:left w:val="single" w:sz="8" w:space="0" w:color="E0E0E0"/>
              <w:bottom w:val="nil"/>
              <w:right w:val="single" w:sz="8" w:space="0" w:color="E0E0E0"/>
            </w:tcBorders>
            <w:shd w:val="clear" w:color="auto" w:fill="FFFFFF"/>
            <w:vAlign w:val="bottom"/>
          </w:tcPr>
          <w:p w14:paraId="71BAB267" w14:textId="77777777" w:rsidR="0087601C" w:rsidRPr="006A1EC7" w:rsidRDefault="0087601C" w:rsidP="00D56051">
            <w:pPr>
              <w:rPr>
                <w:color w:val="264A60"/>
                <w:sz w:val="18"/>
              </w:rPr>
            </w:pPr>
          </w:p>
        </w:tc>
        <w:tc>
          <w:tcPr>
            <w:tcW w:w="1625" w:type="dxa"/>
            <w:gridSpan w:val="3"/>
            <w:vMerge/>
            <w:tcBorders>
              <w:top w:val="nil"/>
              <w:left w:val="single" w:sz="8" w:space="0" w:color="E0E0E0"/>
              <w:bottom w:val="nil"/>
              <w:right w:val="single" w:sz="8" w:space="0" w:color="E0E0E0"/>
            </w:tcBorders>
            <w:shd w:val="clear" w:color="auto" w:fill="FFFFFF"/>
            <w:vAlign w:val="bottom"/>
          </w:tcPr>
          <w:p w14:paraId="225B09F6" w14:textId="77777777" w:rsidR="0087601C" w:rsidRPr="006A1EC7" w:rsidRDefault="0087601C" w:rsidP="00D56051">
            <w:pPr>
              <w:rPr>
                <w:color w:val="264A60"/>
                <w:sz w:val="18"/>
              </w:rPr>
            </w:pPr>
          </w:p>
        </w:tc>
        <w:tc>
          <w:tcPr>
            <w:tcW w:w="1625" w:type="dxa"/>
            <w:gridSpan w:val="3"/>
            <w:tcBorders>
              <w:top w:val="nil"/>
              <w:left w:val="single" w:sz="8" w:space="0" w:color="E0E0E0"/>
              <w:bottom w:val="single" w:sz="8" w:space="0" w:color="152935"/>
              <w:right w:val="single" w:sz="8" w:space="0" w:color="E0E0E0"/>
            </w:tcBorders>
            <w:shd w:val="clear" w:color="auto" w:fill="FFFFFF"/>
            <w:vAlign w:val="bottom"/>
          </w:tcPr>
          <w:p w14:paraId="1999F59D"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25" w:type="dxa"/>
            <w:tcBorders>
              <w:top w:val="nil"/>
              <w:left w:val="single" w:sz="8" w:space="0" w:color="E0E0E0"/>
              <w:bottom w:val="single" w:sz="8" w:space="0" w:color="152935"/>
              <w:right w:val="nil"/>
            </w:tcBorders>
            <w:shd w:val="clear" w:color="auto" w:fill="FFFFFF"/>
            <w:vAlign w:val="bottom"/>
          </w:tcPr>
          <w:p w14:paraId="42705A4E"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30037309" w14:textId="77777777" w:rsidTr="00D56051">
        <w:trPr>
          <w:cantSplit/>
        </w:trPr>
        <w:tc>
          <w:tcPr>
            <w:tcW w:w="2420" w:type="dxa"/>
            <w:gridSpan w:val="2"/>
            <w:tcBorders>
              <w:top w:val="single" w:sz="8" w:space="0" w:color="152935"/>
              <w:left w:val="nil"/>
              <w:bottom w:val="single" w:sz="8" w:space="0" w:color="152935"/>
              <w:right w:val="nil"/>
            </w:tcBorders>
            <w:shd w:val="clear" w:color="auto" w:fill="E0E0E0"/>
          </w:tcPr>
          <w:p w14:paraId="5CABFECA" w14:textId="77777777" w:rsidR="0087601C" w:rsidRPr="006A1EC7" w:rsidRDefault="0087601C" w:rsidP="00D56051">
            <w:pPr>
              <w:spacing w:line="320" w:lineRule="atLeast"/>
              <w:ind w:left="60" w:right="60"/>
              <w:rPr>
                <w:color w:val="264A60"/>
                <w:sz w:val="18"/>
              </w:rPr>
            </w:pPr>
            <w:r w:rsidRPr="006A1EC7">
              <w:rPr>
                <w:color w:val="264A60"/>
                <w:sz w:val="18"/>
              </w:rPr>
              <w:t>T1Alessandro_Cardio</w:t>
            </w:r>
          </w:p>
        </w:tc>
        <w:tc>
          <w:tcPr>
            <w:tcW w:w="1133" w:type="dxa"/>
            <w:gridSpan w:val="3"/>
            <w:tcBorders>
              <w:top w:val="single" w:sz="8" w:space="0" w:color="152935"/>
              <w:left w:val="nil"/>
              <w:bottom w:val="single" w:sz="8" w:space="0" w:color="152935"/>
              <w:right w:val="single" w:sz="8" w:space="0" w:color="E0E0E0"/>
            </w:tcBorders>
            <w:shd w:val="clear" w:color="auto" w:fill="FFFFFF"/>
          </w:tcPr>
          <w:p w14:paraId="4D5A807F"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134" w:type="dxa"/>
            <w:gridSpan w:val="3"/>
            <w:tcBorders>
              <w:top w:val="single" w:sz="8" w:space="0" w:color="152935"/>
              <w:left w:val="single" w:sz="8" w:space="0" w:color="E0E0E0"/>
              <w:bottom w:val="single" w:sz="8" w:space="0" w:color="152935"/>
              <w:right w:val="single" w:sz="8" w:space="0" w:color="E0E0E0"/>
            </w:tcBorders>
            <w:shd w:val="clear" w:color="auto" w:fill="FFFFFF"/>
          </w:tcPr>
          <w:p w14:paraId="24005E4E"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625" w:type="dxa"/>
            <w:gridSpan w:val="3"/>
            <w:tcBorders>
              <w:top w:val="single" w:sz="8" w:space="0" w:color="152935"/>
              <w:left w:val="single" w:sz="8" w:space="0" w:color="E0E0E0"/>
              <w:bottom w:val="single" w:sz="8" w:space="0" w:color="152935"/>
              <w:right w:val="single" w:sz="8" w:space="0" w:color="E0E0E0"/>
            </w:tcBorders>
            <w:shd w:val="clear" w:color="auto" w:fill="FFFFFF"/>
          </w:tcPr>
          <w:p w14:paraId="3D2EABD4" w14:textId="77777777" w:rsidR="0087601C" w:rsidRPr="006A1EC7" w:rsidRDefault="0087601C" w:rsidP="00D56051">
            <w:pPr>
              <w:spacing w:line="320" w:lineRule="atLeast"/>
              <w:ind w:left="60" w:right="60"/>
              <w:jc w:val="right"/>
              <w:rPr>
                <w:color w:val="010205"/>
                <w:sz w:val="18"/>
              </w:rPr>
            </w:pPr>
            <w:r w:rsidRPr="006A1EC7">
              <w:rPr>
                <w:color w:val="010205"/>
                <w:sz w:val="18"/>
              </w:rPr>
              <w:t>1.000</w:t>
            </w:r>
          </w:p>
        </w:tc>
        <w:tc>
          <w:tcPr>
            <w:tcW w:w="1625" w:type="dxa"/>
            <w:gridSpan w:val="3"/>
            <w:tcBorders>
              <w:top w:val="single" w:sz="8" w:space="0" w:color="152935"/>
              <w:left w:val="single" w:sz="8" w:space="0" w:color="E0E0E0"/>
              <w:bottom w:val="single" w:sz="8" w:space="0" w:color="152935"/>
              <w:right w:val="single" w:sz="8" w:space="0" w:color="E0E0E0"/>
            </w:tcBorders>
            <w:shd w:val="clear" w:color="auto" w:fill="FFFFFF"/>
          </w:tcPr>
          <w:p w14:paraId="4282C785"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25" w:type="dxa"/>
            <w:gridSpan w:val="3"/>
            <w:tcBorders>
              <w:top w:val="single" w:sz="8" w:space="0" w:color="152935"/>
              <w:left w:val="single" w:sz="8" w:space="0" w:color="E0E0E0"/>
              <w:bottom w:val="single" w:sz="8" w:space="0" w:color="152935"/>
              <w:right w:val="single" w:sz="8" w:space="0" w:color="E0E0E0"/>
            </w:tcBorders>
            <w:shd w:val="clear" w:color="auto" w:fill="FFFFFF"/>
          </w:tcPr>
          <w:p w14:paraId="2E2D1B8C" w14:textId="77777777" w:rsidR="0087601C" w:rsidRPr="006A1EC7" w:rsidRDefault="0087601C" w:rsidP="00D56051">
            <w:pPr>
              <w:spacing w:line="320" w:lineRule="atLeast"/>
              <w:ind w:left="60" w:right="60"/>
              <w:jc w:val="right"/>
              <w:rPr>
                <w:color w:val="010205"/>
                <w:sz w:val="18"/>
              </w:rPr>
            </w:pPr>
            <w:r w:rsidRPr="006A1EC7">
              <w:rPr>
                <w:color w:val="010205"/>
                <w:sz w:val="18"/>
              </w:rPr>
              <w:t>-.08</w:t>
            </w:r>
          </w:p>
        </w:tc>
        <w:tc>
          <w:tcPr>
            <w:tcW w:w="1625" w:type="dxa"/>
            <w:tcBorders>
              <w:top w:val="single" w:sz="8" w:space="0" w:color="152935"/>
              <w:left w:val="single" w:sz="8" w:space="0" w:color="E0E0E0"/>
              <w:bottom w:val="single" w:sz="8" w:space="0" w:color="152935"/>
              <w:right w:val="nil"/>
            </w:tcBorders>
            <w:shd w:val="clear" w:color="auto" w:fill="FFFFFF"/>
          </w:tcPr>
          <w:p w14:paraId="1386A8B9" w14:textId="77777777" w:rsidR="0087601C" w:rsidRPr="006A1EC7" w:rsidRDefault="0087601C" w:rsidP="00D56051">
            <w:pPr>
              <w:spacing w:line="320" w:lineRule="atLeast"/>
              <w:ind w:left="60" w:right="60"/>
              <w:jc w:val="right"/>
              <w:rPr>
                <w:color w:val="010205"/>
                <w:sz w:val="18"/>
              </w:rPr>
            </w:pPr>
            <w:r w:rsidRPr="006A1EC7">
              <w:rPr>
                <w:color w:val="010205"/>
                <w:sz w:val="18"/>
              </w:rPr>
              <w:t>.08</w:t>
            </w:r>
          </w:p>
        </w:tc>
      </w:tr>
      <w:tr w:rsidR="0087601C" w:rsidRPr="006A1EC7" w14:paraId="2A1A19F0" w14:textId="77777777" w:rsidTr="00D56051">
        <w:trPr>
          <w:gridAfter w:val="3"/>
          <w:wAfter w:w="2539" w:type="dxa"/>
          <w:cantSplit/>
        </w:trPr>
        <w:tc>
          <w:tcPr>
            <w:tcW w:w="2440" w:type="dxa"/>
            <w:gridSpan w:val="3"/>
            <w:tcBorders>
              <w:top w:val="nil"/>
              <w:left w:val="nil"/>
              <w:bottom w:val="single" w:sz="8" w:space="0" w:color="152935"/>
              <w:right w:val="nil"/>
            </w:tcBorders>
            <w:shd w:val="clear" w:color="auto" w:fill="FFFFFF"/>
            <w:vAlign w:val="bottom"/>
          </w:tcPr>
          <w:p w14:paraId="0F60F218" w14:textId="77777777" w:rsidR="0087601C" w:rsidRPr="006A1EC7" w:rsidRDefault="0087601C" w:rsidP="00D56051">
            <w:pPr>
              <w:rPr>
                <w:sz w:val="18"/>
              </w:rPr>
            </w:pPr>
          </w:p>
        </w:tc>
        <w:tc>
          <w:tcPr>
            <w:tcW w:w="1276" w:type="dxa"/>
            <w:gridSpan w:val="3"/>
            <w:tcBorders>
              <w:top w:val="nil"/>
              <w:left w:val="nil"/>
              <w:bottom w:val="single" w:sz="8" w:space="0" w:color="152935"/>
              <w:right w:val="single" w:sz="8" w:space="0" w:color="E0E0E0"/>
            </w:tcBorders>
            <w:shd w:val="clear" w:color="auto" w:fill="FFFFFF"/>
            <w:vAlign w:val="bottom"/>
          </w:tcPr>
          <w:p w14:paraId="153443AF"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3"/>
            <w:tcBorders>
              <w:top w:val="nil"/>
              <w:left w:val="single" w:sz="8" w:space="0" w:color="E0E0E0"/>
              <w:bottom w:val="single" w:sz="8" w:space="0" w:color="152935"/>
              <w:right w:val="single" w:sz="8" w:space="0" w:color="E0E0E0"/>
            </w:tcBorders>
            <w:shd w:val="clear" w:color="auto" w:fill="FFFFFF"/>
            <w:vAlign w:val="bottom"/>
          </w:tcPr>
          <w:p w14:paraId="1115568F"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gridSpan w:val="3"/>
            <w:tcBorders>
              <w:top w:val="nil"/>
              <w:left w:val="single" w:sz="8" w:space="0" w:color="E0E0E0"/>
              <w:bottom w:val="single" w:sz="8" w:space="0" w:color="152935"/>
              <w:right w:val="single" w:sz="8" w:space="0" w:color="E0E0E0"/>
            </w:tcBorders>
            <w:shd w:val="clear" w:color="auto" w:fill="FFFFFF"/>
            <w:vAlign w:val="bottom"/>
          </w:tcPr>
          <w:p w14:paraId="7AA67873"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gridSpan w:val="3"/>
            <w:tcBorders>
              <w:top w:val="nil"/>
              <w:left w:val="single" w:sz="8" w:space="0" w:color="E0E0E0"/>
              <w:bottom w:val="single" w:sz="8" w:space="0" w:color="152935"/>
              <w:right w:val="nil"/>
            </w:tcBorders>
            <w:shd w:val="clear" w:color="auto" w:fill="FFFFFF"/>
            <w:vAlign w:val="bottom"/>
          </w:tcPr>
          <w:p w14:paraId="5F67BF13"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1A499074" w14:textId="77777777" w:rsidTr="00D56051">
        <w:trPr>
          <w:gridAfter w:val="3"/>
          <w:wAfter w:w="2539" w:type="dxa"/>
          <w:cantSplit/>
        </w:trPr>
        <w:tc>
          <w:tcPr>
            <w:tcW w:w="2440" w:type="dxa"/>
            <w:gridSpan w:val="3"/>
            <w:tcBorders>
              <w:top w:val="single" w:sz="8" w:space="0" w:color="152935"/>
              <w:left w:val="nil"/>
              <w:bottom w:val="single" w:sz="8" w:space="0" w:color="152935"/>
              <w:right w:val="nil"/>
            </w:tcBorders>
            <w:shd w:val="clear" w:color="auto" w:fill="E0E0E0"/>
          </w:tcPr>
          <w:p w14:paraId="4661E474" w14:textId="77777777" w:rsidR="0087601C" w:rsidRPr="006A1EC7" w:rsidRDefault="0087601C" w:rsidP="00D56051">
            <w:pPr>
              <w:spacing w:line="320" w:lineRule="atLeast"/>
              <w:ind w:left="60" w:right="60"/>
              <w:rPr>
                <w:color w:val="264A60"/>
                <w:sz w:val="18"/>
              </w:rPr>
            </w:pPr>
            <w:r w:rsidRPr="006A1EC7">
              <w:rPr>
                <w:color w:val="264A60"/>
                <w:sz w:val="18"/>
              </w:rPr>
              <w:t>T1Alessandro_CNS</w:t>
            </w:r>
          </w:p>
        </w:tc>
        <w:tc>
          <w:tcPr>
            <w:tcW w:w="1276" w:type="dxa"/>
            <w:gridSpan w:val="3"/>
            <w:tcBorders>
              <w:top w:val="single" w:sz="8" w:space="0" w:color="152935"/>
              <w:left w:val="nil"/>
              <w:bottom w:val="single" w:sz="8" w:space="0" w:color="152935"/>
              <w:right w:val="single" w:sz="8" w:space="0" w:color="E0E0E0"/>
            </w:tcBorders>
            <w:shd w:val="clear" w:color="auto" w:fill="FFFFFF"/>
          </w:tcPr>
          <w:p w14:paraId="34860EEF" w14:textId="77777777" w:rsidR="0087601C" w:rsidRPr="006A1EC7" w:rsidRDefault="0087601C" w:rsidP="00D56051">
            <w:pPr>
              <w:spacing w:line="320" w:lineRule="atLeast"/>
              <w:ind w:left="60" w:right="60"/>
              <w:jc w:val="right"/>
              <w:rPr>
                <w:color w:val="010205"/>
                <w:sz w:val="18"/>
              </w:rPr>
            </w:pPr>
            <w:r w:rsidRPr="006A1EC7">
              <w:rPr>
                <w:color w:val="010205"/>
                <w:sz w:val="18"/>
              </w:rPr>
              <w:t>38</w:t>
            </w:r>
          </w:p>
        </w:tc>
        <w:tc>
          <w:tcPr>
            <w:tcW w:w="1276" w:type="dxa"/>
            <w:gridSpan w:val="3"/>
            <w:tcBorders>
              <w:top w:val="single" w:sz="8" w:space="0" w:color="152935"/>
              <w:left w:val="single" w:sz="8" w:space="0" w:color="E0E0E0"/>
              <w:bottom w:val="single" w:sz="8" w:space="0" w:color="152935"/>
              <w:right w:val="single" w:sz="8" w:space="0" w:color="E0E0E0"/>
            </w:tcBorders>
            <w:shd w:val="clear" w:color="auto" w:fill="FFFFFF"/>
          </w:tcPr>
          <w:p w14:paraId="15F7A3AB" w14:textId="77777777" w:rsidR="0087601C" w:rsidRPr="006A1EC7" w:rsidRDefault="0087601C" w:rsidP="00D56051">
            <w:pPr>
              <w:spacing w:line="320" w:lineRule="atLeast"/>
              <w:ind w:left="60" w:right="60"/>
              <w:jc w:val="right"/>
              <w:rPr>
                <w:color w:val="010205"/>
                <w:sz w:val="18"/>
              </w:rPr>
            </w:pPr>
            <w:r w:rsidRPr="006A1EC7">
              <w:rPr>
                <w:color w:val="010205"/>
                <w:sz w:val="18"/>
              </w:rPr>
              <w:t>14.97</w:t>
            </w:r>
          </w:p>
        </w:tc>
        <w:tc>
          <w:tcPr>
            <w:tcW w:w="1828" w:type="dxa"/>
            <w:gridSpan w:val="3"/>
            <w:tcBorders>
              <w:top w:val="single" w:sz="8" w:space="0" w:color="152935"/>
              <w:left w:val="single" w:sz="8" w:space="0" w:color="E0E0E0"/>
              <w:bottom w:val="single" w:sz="8" w:space="0" w:color="152935"/>
              <w:right w:val="single" w:sz="8" w:space="0" w:color="E0E0E0"/>
            </w:tcBorders>
            <w:shd w:val="clear" w:color="auto" w:fill="FFFFFF"/>
          </w:tcPr>
          <w:p w14:paraId="584E9D7A" w14:textId="77777777" w:rsidR="0087601C" w:rsidRPr="006A1EC7" w:rsidRDefault="0087601C" w:rsidP="00D56051">
            <w:pPr>
              <w:spacing w:line="320" w:lineRule="atLeast"/>
              <w:ind w:left="60" w:right="60"/>
              <w:jc w:val="right"/>
              <w:rPr>
                <w:color w:val="010205"/>
                <w:sz w:val="18"/>
              </w:rPr>
            </w:pPr>
            <w:r w:rsidRPr="006A1EC7">
              <w:rPr>
                <w:color w:val="010205"/>
                <w:sz w:val="18"/>
              </w:rPr>
              <w:t>1.585</w:t>
            </w:r>
          </w:p>
        </w:tc>
        <w:tc>
          <w:tcPr>
            <w:tcW w:w="1828" w:type="dxa"/>
            <w:gridSpan w:val="3"/>
            <w:tcBorders>
              <w:top w:val="single" w:sz="8" w:space="0" w:color="152935"/>
              <w:left w:val="single" w:sz="8" w:space="0" w:color="E0E0E0"/>
              <w:bottom w:val="single" w:sz="8" w:space="0" w:color="152935"/>
              <w:right w:val="nil"/>
            </w:tcBorders>
            <w:shd w:val="clear" w:color="auto" w:fill="FFFFFF"/>
          </w:tcPr>
          <w:p w14:paraId="5AFC40AA" w14:textId="77777777" w:rsidR="0087601C" w:rsidRPr="006A1EC7" w:rsidRDefault="0087601C" w:rsidP="00D56051">
            <w:pPr>
              <w:spacing w:line="320" w:lineRule="atLeast"/>
              <w:ind w:left="60" w:right="60"/>
              <w:jc w:val="right"/>
              <w:rPr>
                <w:color w:val="010205"/>
                <w:sz w:val="18"/>
              </w:rPr>
            </w:pPr>
            <w:r w:rsidRPr="006A1EC7">
              <w:rPr>
                <w:color w:val="010205"/>
                <w:sz w:val="18"/>
              </w:rPr>
              <w:t>.257</w:t>
            </w:r>
          </w:p>
        </w:tc>
      </w:tr>
      <w:tr w:rsidR="0087601C" w:rsidRPr="006A1EC7" w14:paraId="1D827D13" w14:textId="77777777" w:rsidTr="00D56051">
        <w:trPr>
          <w:cantSplit/>
        </w:trPr>
        <w:tc>
          <w:tcPr>
            <w:tcW w:w="2218" w:type="dxa"/>
            <w:vMerge w:val="restart"/>
            <w:tcBorders>
              <w:top w:val="nil"/>
              <w:left w:val="nil"/>
              <w:bottom w:val="nil"/>
              <w:right w:val="nil"/>
            </w:tcBorders>
            <w:shd w:val="clear" w:color="auto" w:fill="FFFFFF"/>
            <w:vAlign w:val="bottom"/>
          </w:tcPr>
          <w:p w14:paraId="13376BB0" w14:textId="77777777" w:rsidR="0087601C" w:rsidRPr="006A1EC7" w:rsidRDefault="0087601C" w:rsidP="00D56051">
            <w:pPr>
              <w:rPr>
                <w:sz w:val="18"/>
              </w:rPr>
            </w:pPr>
          </w:p>
        </w:tc>
        <w:tc>
          <w:tcPr>
            <w:tcW w:w="8969" w:type="dxa"/>
            <w:gridSpan w:val="17"/>
            <w:tcBorders>
              <w:top w:val="nil"/>
              <w:left w:val="nil"/>
              <w:bottom w:val="nil"/>
              <w:right w:val="nil"/>
            </w:tcBorders>
            <w:shd w:val="clear" w:color="auto" w:fill="FFFFFF"/>
            <w:vAlign w:val="bottom"/>
          </w:tcPr>
          <w:p w14:paraId="502B0598"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15.5</w:t>
            </w:r>
          </w:p>
        </w:tc>
      </w:tr>
      <w:tr w:rsidR="0087601C" w:rsidRPr="006A1EC7" w14:paraId="6BE3491D" w14:textId="77777777" w:rsidTr="00D56051">
        <w:trPr>
          <w:cantSplit/>
        </w:trPr>
        <w:tc>
          <w:tcPr>
            <w:tcW w:w="2218" w:type="dxa"/>
            <w:vMerge/>
            <w:tcBorders>
              <w:top w:val="nil"/>
              <w:left w:val="nil"/>
              <w:bottom w:val="nil"/>
              <w:right w:val="nil"/>
            </w:tcBorders>
            <w:shd w:val="clear" w:color="auto" w:fill="FFFFFF"/>
            <w:vAlign w:val="bottom"/>
          </w:tcPr>
          <w:p w14:paraId="3205081D" w14:textId="77777777" w:rsidR="0087601C" w:rsidRPr="006A1EC7" w:rsidRDefault="0087601C" w:rsidP="00D56051">
            <w:pPr>
              <w:rPr>
                <w:color w:val="264A60"/>
                <w:sz w:val="18"/>
              </w:rPr>
            </w:pPr>
          </w:p>
        </w:tc>
        <w:tc>
          <w:tcPr>
            <w:tcW w:w="1161" w:type="dxa"/>
            <w:gridSpan w:val="3"/>
            <w:vMerge w:val="restart"/>
            <w:tcBorders>
              <w:top w:val="nil"/>
              <w:left w:val="nil"/>
              <w:bottom w:val="nil"/>
              <w:right w:val="single" w:sz="8" w:space="0" w:color="E0E0E0"/>
            </w:tcBorders>
            <w:shd w:val="clear" w:color="auto" w:fill="FFFFFF"/>
            <w:vAlign w:val="bottom"/>
          </w:tcPr>
          <w:p w14:paraId="0614FB95"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60" w:type="dxa"/>
            <w:gridSpan w:val="3"/>
            <w:vMerge w:val="restart"/>
            <w:tcBorders>
              <w:top w:val="nil"/>
              <w:left w:val="single" w:sz="8" w:space="0" w:color="E0E0E0"/>
              <w:bottom w:val="nil"/>
              <w:right w:val="single" w:sz="8" w:space="0" w:color="E0E0E0"/>
            </w:tcBorders>
            <w:shd w:val="clear" w:color="auto" w:fill="FFFFFF"/>
            <w:vAlign w:val="bottom"/>
          </w:tcPr>
          <w:p w14:paraId="6E043BB3"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62" w:type="dxa"/>
            <w:gridSpan w:val="3"/>
            <w:vMerge w:val="restart"/>
            <w:tcBorders>
              <w:top w:val="nil"/>
              <w:left w:val="single" w:sz="8" w:space="0" w:color="E0E0E0"/>
              <w:bottom w:val="nil"/>
              <w:right w:val="single" w:sz="8" w:space="0" w:color="E0E0E0"/>
            </w:tcBorders>
            <w:shd w:val="clear" w:color="auto" w:fill="FFFFFF"/>
            <w:vAlign w:val="bottom"/>
          </w:tcPr>
          <w:p w14:paraId="33732130"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62" w:type="dxa"/>
            <w:gridSpan w:val="3"/>
            <w:vMerge w:val="restart"/>
            <w:tcBorders>
              <w:top w:val="nil"/>
              <w:left w:val="single" w:sz="8" w:space="0" w:color="E0E0E0"/>
              <w:bottom w:val="nil"/>
              <w:right w:val="single" w:sz="8" w:space="0" w:color="E0E0E0"/>
            </w:tcBorders>
            <w:shd w:val="clear" w:color="auto" w:fill="FFFFFF"/>
            <w:vAlign w:val="bottom"/>
          </w:tcPr>
          <w:p w14:paraId="62CCFC49"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24" w:type="dxa"/>
            <w:gridSpan w:val="5"/>
            <w:tcBorders>
              <w:top w:val="nil"/>
              <w:left w:val="single" w:sz="8" w:space="0" w:color="E0E0E0"/>
              <w:bottom w:val="nil"/>
              <w:right w:val="nil"/>
            </w:tcBorders>
            <w:shd w:val="clear" w:color="auto" w:fill="FFFFFF"/>
            <w:vAlign w:val="bottom"/>
          </w:tcPr>
          <w:p w14:paraId="6CF77228"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72CBE10D" w14:textId="77777777" w:rsidTr="00D56051">
        <w:trPr>
          <w:cantSplit/>
        </w:trPr>
        <w:tc>
          <w:tcPr>
            <w:tcW w:w="2218" w:type="dxa"/>
            <w:vMerge/>
            <w:tcBorders>
              <w:top w:val="nil"/>
              <w:left w:val="nil"/>
              <w:bottom w:val="nil"/>
              <w:right w:val="nil"/>
            </w:tcBorders>
            <w:shd w:val="clear" w:color="auto" w:fill="FFFFFF"/>
            <w:vAlign w:val="bottom"/>
          </w:tcPr>
          <w:p w14:paraId="0978BC9F" w14:textId="77777777" w:rsidR="0087601C" w:rsidRPr="006A1EC7" w:rsidRDefault="0087601C" w:rsidP="00D56051">
            <w:pPr>
              <w:rPr>
                <w:color w:val="264A60"/>
                <w:sz w:val="18"/>
              </w:rPr>
            </w:pPr>
          </w:p>
        </w:tc>
        <w:tc>
          <w:tcPr>
            <w:tcW w:w="1161" w:type="dxa"/>
            <w:gridSpan w:val="3"/>
            <w:vMerge/>
            <w:tcBorders>
              <w:top w:val="nil"/>
              <w:left w:val="nil"/>
              <w:bottom w:val="nil"/>
              <w:right w:val="single" w:sz="8" w:space="0" w:color="E0E0E0"/>
            </w:tcBorders>
            <w:shd w:val="clear" w:color="auto" w:fill="FFFFFF"/>
            <w:vAlign w:val="bottom"/>
          </w:tcPr>
          <w:p w14:paraId="77E8E691" w14:textId="77777777" w:rsidR="0087601C" w:rsidRPr="006A1EC7" w:rsidRDefault="0087601C" w:rsidP="00D56051">
            <w:pPr>
              <w:rPr>
                <w:color w:val="264A60"/>
                <w:sz w:val="18"/>
              </w:rPr>
            </w:pPr>
          </w:p>
        </w:tc>
        <w:tc>
          <w:tcPr>
            <w:tcW w:w="1160" w:type="dxa"/>
            <w:gridSpan w:val="3"/>
            <w:vMerge/>
            <w:tcBorders>
              <w:top w:val="nil"/>
              <w:left w:val="single" w:sz="8" w:space="0" w:color="E0E0E0"/>
              <w:bottom w:val="nil"/>
              <w:right w:val="single" w:sz="8" w:space="0" w:color="E0E0E0"/>
            </w:tcBorders>
            <w:shd w:val="clear" w:color="auto" w:fill="FFFFFF"/>
            <w:vAlign w:val="bottom"/>
          </w:tcPr>
          <w:p w14:paraId="3CE23B77" w14:textId="77777777" w:rsidR="0087601C" w:rsidRPr="006A1EC7" w:rsidRDefault="0087601C" w:rsidP="00D56051">
            <w:pPr>
              <w:rPr>
                <w:color w:val="264A60"/>
                <w:sz w:val="18"/>
              </w:rPr>
            </w:pPr>
          </w:p>
        </w:tc>
        <w:tc>
          <w:tcPr>
            <w:tcW w:w="1662" w:type="dxa"/>
            <w:gridSpan w:val="3"/>
            <w:vMerge/>
            <w:tcBorders>
              <w:top w:val="nil"/>
              <w:left w:val="single" w:sz="8" w:space="0" w:color="E0E0E0"/>
              <w:bottom w:val="nil"/>
              <w:right w:val="single" w:sz="8" w:space="0" w:color="E0E0E0"/>
            </w:tcBorders>
            <w:shd w:val="clear" w:color="auto" w:fill="FFFFFF"/>
            <w:vAlign w:val="bottom"/>
          </w:tcPr>
          <w:p w14:paraId="4E10288F" w14:textId="77777777" w:rsidR="0087601C" w:rsidRPr="006A1EC7" w:rsidRDefault="0087601C" w:rsidP="00D56051">
            <w:pPr>
              <w:rPr>
                <w:color w:val="264A60"/>
                <w:sz w:val="18"/>
              </w:rPr>
            </w:pPr>
          </w:p>
        </w:tc>
        <w:tc>
          <w:tcPr>
            <w:tcW w:w="1662" w:type="dxa"/>
            <w:gridSpan w:val="3"/>
            <w:vMerge/>
            <w:tcBorders>
              <w:top w:val="nil"/>
              <w:left w:val="single" w:sz="8" w:space="0" w:color="E0E0E0"/>
              <w:bottom w:val="nil"/>
              <w:right w:val="single" w:sz="8" w:space="0" w:color="E0E0E0"/>
            </w:tcBorders>
            <w:shd w:val="clear" w:color="auto" w:fill="FFFFFF"/>
            <w:vAlign w:val="bottom"/>
          </w:tcPr>
          <w:p w14:paraId="5CF0D81B" w14:textId="77777777" w:rsidR="0087601C" w:rsidRPr="006A1EC7" w:rsidRDefault="0087601C" w:rsidP="00D56051">
            <w:pPr>
              <w:rPr>
                <w:color w:val="264A60"/>
                <w:sz w:val="18"/>
              </w:rPr>
            </w:pPr>
          </w:p>
        </w:tc>
        <w:tc>
          <w:tcPr>
            <w:tcW w:w="1662" w:type="dxa"/>
            <w:gridSpan w:val="3"/>
            <w:tcBorders>
              <w:top w:val="nil"/>
              <w:left w:val="single" w:sz="8" w:space="0" w:color="E0E0E0"/>
              <w:bottom w:val="single" w:sz="8" w:space="0" w:color="152935"/>
              <w:right w:val="single" w:sz="8" w:space="0" w:color="E0E0E0"/>
            </w:tcBorders>
            <w:shd w:val="clear" w:color="auto" w:fill="FFFFFF"/>
            <w:vAlign w:val="bottom"/>
          </w:tcPr>
          <w:p w14:paraId="1E9F5BB4"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62" w:type="dxa"/>
            <w:gridSpan w:val="2"/>
            <w:tcBorders>
              <w:top w:val="nil"/>
              <w:left w:val="single" w:sz="8" w:space="0" w:color="E0E0E0"/>
              <w:bottom w:val="single" w:sz="8" w:space="0" w:color="152935"/>
              <w:right w:val="nil"/>
            </w:tcBorders>
            <w:shd w:val="clear" w:color="auto" w:fill="FFFFFF"/>
            <w:vAlign w:val="bottom"/>
          </w:tcPr>
          <w:p w14:paraId="628DBE56"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7167BC12" w14:textId="77777777" w:rsidTr="00D56051">
        <w:trPr>
          <w:cantSplit/>
        </w:trPr>
        <w:tc>
          <w:tcPr>
            <w:tcW w:w="2218" w:type="dxa"/>
            <w:tcBorders>
              <w:top w:val="single" w:sz="8" w:space="0" w:color="152935"/>
              <w:left w:val="nil"/>
              <w:bottom w:val="single" w:sz="8" w:space="0" w:color="152935"/>
              <w:right w:val="nil"/>
            </w:tcBorders>
            <w:shd w:val="clear" w:color="auto" w:fill="E0E0E0"/>
          </w:tcPr>
          <w:p w14:paraId="12859A93" w14:textId="77777777" w:rsidR="0087601C" w:rsidRPr="006A1EC7" w:rsidRDefault="0087601C" w:rsidP="00D56051">
            <w:pPr>
              <w:spacing w:line="320" w:lineRule="atLeast"/>
              <w:ind w:left="60" w:right="60"/>
              <w:rPr>
                <w:color w:val="264A60"/>
                <w:sz w:val="18"/>
              </w:rPr>
            </w:pPr>
            <w:r w:rsidRPr="006A1EC7">
              <w:rPr>
                <w:color w:val="264A60"/>
                <w:sz w:val="18"/>
              </w:rPr>
              <w:t>T1Alessandro_CNS</w:t>
            </w:r>
          </w:p>
        </w:tc>
        <w:tc>
          <w:tcPr>
            <w:tcW w:w="1161" w:type="dxa"/>
            <w:gridSpan w:val="3"/>
            <w:tcBorders>
              <w:top w:val="single" w:sz="8" w:space="0" w:color="152935"/>
              <w:left w:val="nil"/>
              <w:bottom w:val="single" w:sz="8" w:space="0" w:color="152935"/>
              <w:right w:val="single" w:sz="8" w:space="0" w:color="E0E0E0"/>
            </w:tcBorders>
            <w:shd w:val="clear" w:color="auto" w:fill="FFFFFF"/>
          </w:tcPr>
          <w:p w14:paraId="2A87ADC7" w14:textId="77777777" w:rsidR="0087601C" w:rsidRPr="006A1EC7" w:rsidRDefault="0087601C" w:rsidP="00D56051">
            <w:pPr>
              <w:spacing w:line="320" w:lineRule="atLeast"/>
              <w:ind w:left="60" w:right="60"/>
              <w:jc w:val="right"/>
              <w:rPr>
                <w:color w:val="010205"/>
                <w:sz w:val="18"/>
              </w:rPr>
            </w:pPr>
            <w:r w:rsidRPr="006A1EC7">
              <w:rPr>
                <w:color w:val="010205"/>
                <w:sz w:val="18"/>
              </w:rPr>
              <w:t>-2.047</w:t>
            </w:r>
          </w:p>
        </w:tc>
        <w:tc>
          <w:tcPr>
            <w:tcW w:w="1160" w:type="dxa"/>
            <w:gridSpan w:val="3"/>
            <w:tcBorders>
              <w:top w:val="single" w:sz="8" w:space="0" w:color="152935"/>
              <w:left w:val="single" w:sz="8" w:space="0" w:color="E0E0E0"/>
              <w:bottom w:val="single" w:sz="8" w:space="0" w:color="152935"/>
              <w:right w:val="single" w:sz="8" w:space="0" w:color="E0E0E0"/>
            </w:tcBorders>
            <w:shd w:val="clear" w:color="auto" w:fill="FFFFFF"/>
          </w:tcPr>
          <w:p w14:paraId="322283DC"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662" w:type="dxa"/>
            <w:gridSpan w:val="3"/>
            <w:tcBorders>
              <w:top w:val="single" w:sz="8" w:space="0" w:color="152935"/>
              <w:left w:val="single" w:sz="8" w:space="0" w:color="E0E0E0"/>
              <w:bottom w:val="single" w:sz="8" w:space="0" w:color="152935"/>
              <w:right w:val="single" w:sz="8" w:space="0" w:color="E0E0E0"/>
            </w:tcBorders>
            <w:shd w:val="clear" w:color="auto" w:fill="FFFFFF"/>
          </w:tcPr>
          <w:p w14:paraId="71295D38" w14:textId="77777777" w:rsidR="0087601C" w:rsidRPr="006A1EC7" w:rsidRDefault="0087601C" w:rsidP="00D56051">
            <w:pPr>
              <w:spacing w:line="320" w:lineRule="atLeast"/>
              <w:ind w:left="60" w:right="60"/>
              <w:jc w:val="right"/>
              <w:rPr>
                <w:color w:val="010205"/>
                <w:sz w:val="18"/>
              </w:rPr>
            </w:pPr>
            <w:r w:rsidRPr="006A1EC7">
              <w:rPr>
                <w:color w:val="010205"/>
                <w:sz w:val="18"/>
              </w:rPr>
              <w:t>.048</w:t>
            </w:r>
          </w:p>
        </w:tc>
        <w:tc>
          <w:tcPr>
            <w:tcW w:w="1662" w:type="dxa"/>
            <w:gridSpan w:val="3"/>
            <w:tcBorders>
              <w:top w:val="single" w:sz="8" w:space="0" w:color="152935"/>
              <w:left w:val="single" w:sz="8" w:space="0" w:color="E0E0E0"/>
              <w:bottom w:val="single" w:sz="8" w:space="0" w:color="152935"/>
              <w:right w:val="single" w:sz="8" w:space="0" w:color="E0E0E0"/>
            </w:tcBorders>
            <w:shd w:val="clear" w:color="auto" w:fill="FFFFFF"/>
          </w:tcPr>
          <w:p w14:paraId="5AEA266D" w14:textId="77777777" w:rsidR="0087601C" w:rsidRPr="006A1EC7" w:rsidRDefault="0087601C" w:rsidP="00D56051">
            <w:pPr>
              <w:spacing w:line="320" w:lineRule="atLeast"/>
              <w:ind w:left="60" w:right="60"/>
              <w:jc w:val="right"/>
              <w:rPr>
                <w:color w:val="010205"/>
                <w:sz w:val="18"/>
              </w:rPr>
            </w:pPr>
            <w:r w:rsidRPr="006A1EC7">
              <w:rPr>
                <w:color w:val="010205"/>
                <w:sz w:val="18"/>
              </w:rPr>
              <w:t>-.526</w:t>
            </w:r>
          </w:p>
        </w:tc>
        <w:tc>
          <w:tcPr>
            <w:tcW w:w="1662" w:type="dxa"/>
            <w:gridSpan w:val="3"/>
            <w:tcBorders>
              <w:top w:val="single" w:sz="8" w:space="0" w:color="152935"/>
              <w:left w:val="single" w:sz="8" w:space="0" w:color="E0E0E0"/>
              <w:bottom w:val="single" w:sz="8" w:space="0" w:color="152935"/>
              <w:right w:val="single" w:sz="8" w:space="0" w:color="E0E0E0"/>
            </w:tcBorders>
            <w:shd w:val="clear" w:color="auto" w:fill="FFFFFF"/>
          </w:tcPr>
          <w:p w14:paraId="63D111D1" w14:textId="77777777" w:rsidR="0087601C" w:rsidRPr="006A1EC7" w:rsidRDefault="0087601C" w:rsidP="00D56051">
            <w:pPr>
              <w:spacing w:line="320" w:lineRule="atLeast"/>
              <w:ind w:left="60" w:right="60"/>
              <w:jc w:val="right"/>
              <w:rPr>
                <w:color w:val="010205"/>
                <w:sz w:val="18"/>
              </w:rPr>
            </w:pPr>
            <w:r w:rsidRPr="006A1EC7">
              <w:rPr>
                <w:color w:val="010205"/>
                <w:sz w:val="18"/>
              </w:rPr>
              <w:t>-1.05</w:t>
            </w:r>
          </w:p>
        </w:tc>
        <w:tc>
          <w:tcPr>
            <w:tcW w:w="1662" w:type="dxa"/>
            <w:gridSpan w:val="2"/>
            <w:tcBorders>
              <w:top w:val="single" w:sz="8" w:space="0" w:color="152935"/>
              <w:left w:val="single" w:sz="8" w:space="0" w:color="E0E0E0"/>
              <w:bottom w:val="single" w:sz="8" w:space="0" w:color="152935"/>
              <w:right w:val="nil"/>
            </w:tcBorders>
            <w:shd w:val="clear" w:color="auto" w:fill="FFFFFF"/>
          </w:tcPr>
          <w:p w14:paraId="66A5602E" w14:textId="77777777" w:rsidR="0087601C" w:rsidRPr="006A1EC7" w:rsidRDefault="0087601C" w:rsidP="00D56051">
            <w:pPr>
              <w:spacing w:line="320" w:lineRule="atLeast"/>
              <w:ind w:left="60" w:right="60"/>
              <w:jc w:val="right"/>
              <w:rPr>
                <w:color w:val="010205"/>
                <w:sz w:val="18"/>
              </w:rPr>
            </w:pPr>
            <w:r w:rsidRPr="006A1EC7">
              <w:rPr>
                <w:color w:val="010205"/>
                <w:sz w:val="18"/>
              </w:rPr>
              <w:t>-.01</w:t>
            </w:r>
          </w:p>
        </w:tc>
      </w:tr>
    </w:tbl>
    <w:p w14:paraId="33A6E5F1" w14:textId="77777777" w:rsidR="0087601C" w:rsidRPr="006A1EC7" w:rsidRDefault="0087601C" w:rsidP="0087601C">
      <w:pPr>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8"/>
        <w:gridCol w:w="239"/>
        <w:gridCol w:w="244"/>
        <w:gridCol w:w="671"/>
        <w:gridCol w:w="361"/>
        <w:gridCol w:w="244"/>
        <w:gridCol w:w="550"/>
        <w:gridCol w:w="482"/>
        <w:gridCol w:w="244"/>
        <w:gridCol w:w="929"/>
        <w:gridCol w:w="655"/>
        <w:gridCol w:w="244"/>
        <w:gridCol w:w="756"/>
        <w:gridCol w:w="828"/>
        <w:gridCol w:w="244"/>
        <w:gridCol w:w="583"/>
        <w:gridCol w:w="1655"/>
      </w:tblGrid>
      <w:tr w:rsidR="0087601C" w:rsidRPr="006A1EC7" w14:paraId="02FDD5C1" w14:textId="77777777" w:rsidTr="00D56051">
        <w:trPr>
          <w:gridAfter w:val="3"/>
          <w:wAfter w:w="2482" w:type="dxa"/>
          <w:cantSplit/>
        </w:trPr>
        <w:tc>
          <w:tcPr>
            <w:tcW w:w="2497" w:type="dxa"/>
            <w:gridSpan w:val="2"/>
            <w:tcBorders>
              <w:top w:val="nil"/>
              <w:left w:val="nil"/>
              <w:bottom w:val="single" w:sz="8" w:space="0" w:color="152935"/>
              <w:right w:val="nil"/>
            </w:tcBorders>
            <w:shd w:val="clear" w:color="auto" w:fill="FFFFFF"/>
            <w:vAlign w:val="bottom"/>
          </w:tcPr>
          <w:p w14:paraId="24D01B81" w14:textId="77777777" w:rsidR="0087601C" w:rsidRPr="006A1EC7" w:rsidRDefault="0087601C" w:rsidP="00D56051">
            <w:pPr>
              <w:rPr>
                <w:sz w:val="18"/>
              </w:rPr>
            </w:pPr>
          </w:p>
        </w:tc>
        <w:tc>
          <w:tcPr>
            <w:tcW w:w="1276" w:type="dxa"/>
            <w:gridSpan w:val="3"/>
            <w:tcBorders>
              <w:top w:val="nil"/>
              <w:left w:val="nil"/>
              <w:bottom w:val="single" w:sz="8" w:space="0" w:color="152935"/>
              <w:right w:val="single" w:sz="8" w:space="0" w:color="E0E0E0"/>
            </w:tcBorders>
            <w:shd w:val="clear" w:color="auto" w:fill="FFFFFF"/>
            <w:vAlign w:val="bottom"/>
          </w:tcPr>
          <w:p w14:paraId="5EBBEC3E"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3"/>
            <w:tcBorders>
              <w:top w:val="nil"/>
              <w:left w:val="single" w:sz="8" w:space="0" w:color="E0E0E0"/>
              <w:bottom w:val="single" w:sz="8" w:space="0" w:color="152935"/>
              <w:right w:val="single" w:sz="8" w:space="0" w:color="E0E0E0"/>
            </w:tcBorders>
            <w:shd w:val="clear" w:color="auto" w:fill="FFFFFF"/>
            <w:vAlign w:val="bottom"/>
          </w:tcPr>
          <w:p w14:paraId="6A62F231"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gridSpan w:val="3"/>
            <w:tcBorders>
              <w:top w:val="nil"/>
              <w:left w:val="single" w:sz="8" w:space="0" w:color="E0E0E0"/>
              <w:bottom w:val="single" w:sz="8" w:space="0" w:color="152935"/>
              <w:right w:val="single" w:sz="8" w:space="0" w:color="E0E0E0"/>
            </w:tcBorders>
            <w:shd w:val="clear" w:color="auto" w:fill="FFFFFF"/>
            <w:vAlign w:val="bottom"/>
          </w:tcPr>
          <w:p w14:paraId="70F242AD"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gridSpan w:val="3"/>
            <w:tcBorders>
              <w:top w:val="nil"/>
              <w:left w:val="single" w:sz="8" w:space="0" w:color="E0E0E0"/>
              <w:bottom w:val="single" w:sz="8" w:space="0" w:color="152935"/>
              <w:right w:val="nil"/>
            </w:tcBorders>
            <w:shd w:val="clear" w:color="auto" w:fill="FFFFFF"/>
            <w:vAlign w:val="bottom"/>
          </w:tcPr>
          <w:p w14:paraId="18F4D0E0"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3A4D38A4" w14:textId="77777777" w:rsidTr="00D56051">
        <w:trPr>
          <w:gridAfter w:val="3"/>
          <w:wAfter w:w="2482" w:type="dxa"/>
          <w:cantSplit/>
        </w:trPr>
        <w:tc>
          <w:tcPr>
            <w:tcW w:w="2497" w:type="dxa"/>
            <w:gridSpan w:val="2"/>
            <w:tcBorders>
              <w:top w:val="single" w:sz="8" w:space="0" w:color="152935"/>
              <w:left w:val="nil"/>
              <w:bottom w:val="single" w:sz="8" w:space="0" w:color="152935"/>
              <w:right w:val="nil"/>
            </w:tcBorders>
            <w:shd w:val="clear" w:color="auto" w:fill="E0E0E0"/>
          </w:tcPr>
          <w:p w14:paraId="5EFDFF50" w14:textId="77777777" w:rsidR="0087601C" w:rsidRPr="006A1EC7" w:rsidRDefault="0087601C" w:rsidP="00D56051">
            <w:pPr>
              <w:spacing w:line="320" w:lineRule="atLeast"/>
              <w:ind w:left="60" w:right="60"/>
              <w:rPr>
                <w:color w:val="264A60"/>
                <w:sz w:val="18"/>
              </w:rPr>
            </w:pPr>
            <w:r w:rsidRPr="006A1EC7">
              <w:rPr>
                <w:color w:val="264A60"/>
                <w:sz w:val="18"/>
              </w:rPr>
              <w:t>T1Alessandro_Func</w:t>
            </w:r>
          </w:p>
        </w:tc>
        <w:tc>
          <w:tcPr>
            <w:tcW w:w="1276" w:type="dxa"/>
            <w:gridSpan w:val="3"/>
            <w:tcBorders>
              <w:top w:val="single" w:sz="8" w:space="0" w:color="152935"/>
              <w:left w:val="nil"/>
              <w:bottom w:val="single" w:sz="8" w:space="0" w:color="152935"/>
              <w:right w:val="single" w:sz="8" w:space="0" w:color="E0E0E0"/>
            </w:tcBorders>
            <w:shd w:val="clear" w:color="auto" w:fill="FFFFFF"/>
          </w:tcPr>
          <w:p w14:paraId="513894BA" w14:textId="77777777" w:rsidR="0087601C" w:rsidRPr="006A1EC7" w:rsidRDefault="0087601C" w:rsidP="00D56051">
            <w:pPr>
              <w:spacing w:line="320" w:lineRule="atLeast"/>
              <w:ind w:left="60" w:right="60"/>
              <w:jc w:val="right"/>
              <w:rPr>
                <w:color w:val="010205"/>
                <w:sz w:val="18"/>
              </w:rPr>
            </w:pPr>
            <w:r w:rsidRPr="006A1EC7">
              <w:rPr>
                <w:color w:val="010205"/>
                <w:sz w:val="18"/>
              </w:rPr>
              <w:t>26</w:t>
            </w:r>
          </w:p>
        </w:tc>
        <w:tc>
          <w:tcPr>
            <w:tcW w:w="1276" w:type="dxa"/>
            <w:gridSpan w:val="3"/>
            <w:tcBorders>
              <w:top w:val="single" w:sz="8" w:space="0" w:color="152935"/>
              <w:left w:val="single" w:sz="8" w:space="0" w:color="E0E0E0"/>
              <w:bottom w:val="single" w:sz="8" w:space="0" w:color="152935"/>
              <w:right w:val="single" w:sz="8" w:space="0" w:color="E0E0E0"/>
            </w:tcBorders>
            <w:shd w:val="clear" w:color="auto" w:fill="FFFFFF"/>
          </w:tcPr>
          <w:p w14:paraId="02AE8D4C" w14:textId="77777777" w:rsidR="0087601C" w:rsidRPr="006A1EC7" w:rsidRDefault="0087601C" w:rsidP="00D56051">
            <w:pPr>
              <w:spacing w:line="320" w:lineRule="atLeast"/>
              <w:ind w:left="60" w:right="60"/>
              <w:jc w:val="right"/>
              <w:rPr>
                <w:color w:val="010205"/>
                <w:sz w:val="18"/>
              </w:rPr>
            </w:pPr>
            <w:r w:rsidRPr="006A1EC7">
              <w:rPr>
                <w:color w:val="010205"/>
                <w:sz w:val="18"/>
              </w:rPr>
              <w:t>10.27</w:t>
            </w:r>
          </w:p>
        </w:tc>
        <w:tc>
          <w:tcPr>
            <w:tcW w:w="1828" w:type="dxa"/>
            <w:gridSpan w:val="3"/>
            <w:tcBorders>
              <w:top w:val="single" w:sz="8" w:space="0" w:color="152935"/>
              <w:left w:val="single" w:sz="8" w:space="0" w:color="E0E0E0"/>
              <w:bottom w:val="single" w:sz="8" w:space="0" w:color="152935"/>
              <w:right w:val="single" w:sz="8" w:space="0" w:color="E0E0E0"/>
            </w:tcBorders>
            <w:shd w:val="clear" w:color="auto" w:fill="FFFFFF"/>
          </w:tcPr>
          <w:p w14:paraId="7D6F5B65" w14:textId="77777777" w:rsidR="0087601C" w:rsidRPr="006A1EC7" w:rsidRDefault="0087601C" w:rsidP="00D56051">
            <w:pPr>
              <w:spacing w:line="320" w:lineRule="atLeast"/>
              <w:ind w:left="60" w:right="60"/>
              <w:jc w:val="right"/>
              <w:rPr>
                <w:color w:val="010205"/>
                <w:sz w:val="18"/>
              </w:rPr>
            </w:pPr>
            <w:r w:rsidRPr="006A1EC7">
              <w:rPr>
                <w:color w:val="010205"/>
                <w:sz w:val="18"/>
              </w:rPr>
              <w:t>1.079</w:t>
            </w:r>
          </w:p>
        </w:tc>
        <w:tc>
          <w:tcPr>
            <w:tcW w:w="1828" w:type="dxa"/>
            <w:gridSpan w:val="3"/>
            <w:tcBorders>
              <w:top w:val="single" w:sz="8" w:space="0" w:color="152935"/>
              <w:left w:val="single" w:sz="8" w:space="0" w:color="E0E0E0"/>
              <w:bottom w:val="single" w:sz="8" w:space="0" w:color="152935"/>
              <w:right w:val="nil"/>
            </w:tcBorders>
            <w:shd w:val="clear" w:color="auto" w:fill="FFFFFF"/>
          </w:tcPr>
          <w:p w14:paraId="34123A24" w14:textId="77777777" w:rsidR="0087601C" w:rsidRPr="006A1EC7" w:rsidRDefault="0087601C" w:rsidP="00D56051">
            <w:pPr>
              <w:spacing w:line="320" w:lineRule="atLeast"/>
              <w:ind w:left="60" w:right="60"/>
              <w:jc w:val="right"/>
              <w:rPr>
                <w:color w:val="010205"/>
                <w:sz w:val="18"/>
              </w:rPr>
            </w:pPr>
            <w:r w:rsidRPr="006A1EC7">
              <w:rPr>
                <w:color w:val="010205"/>
                <w:sz w:val="18"/>
              </w:rPr>
              <w:t>.212</w:t>
            </w:r>
          </w:p>
        </w:tc>
      </w:tr>
      <w:tr w:rsidR="0087601C" w:rsidRPr="006A1EC7" w14:paraId="6A02E67E" w14:textId="77777777" w:rsidTr="00D56051">
        <w:trPr>
          <w:cantSplit/>
        </w:trPr>
        <w:tc>
          <w:tcPr>
            <w:tcW w:w="2258" w:type="dxa"/>
            <w:vMerge w:val="restart"/>
            <w:tcBorders>
              <w:top w:val="nil"/>
              <w:left w:val="nil"/>
              <w:bottom w:val="nil"/>
              <w:right w:val="nil"/>
            </w:tcBorders>
            <w:shd w:val="clear" w:color="auto" w:fill="FFFFFF"/>
            <w:vAlign w:val="bottom"/>
          </w:tcPr>
          <w:p w14:paraId="3F82C2F2" w14:textId="77777777" w:rsidR="0087601C" w:rsidRPr="006A1EC7" w:rsidRDefault="0087601C" w:rsidP="00D56051">
            <w:pPr>
              <w:rPr>
                <w:sz w:val="18"/>
              </w:rPr>
            </w:pPr>
          </w:p>
        </w:tc>
        <w:tc>
          <w:tcPr>
            <w:tcW w:w="8929" w:type="dxa"/>
            <w:gridSpan w:val="16"/>
            <w:tcBorders>
              <w:top w:val="nil"/>
              <w:left w:val="nil"/>
              <w:bottom w:val="nil"/>
              <w:right w:val="nil"/>
            </w:tcBorders>
            <w:shd w:val="clear" w:color="auto" w:fill="FFFFFF"/>
            <w:vAlign w:val="bottom"/>
          </w:tcPr>
          <w:p w14:paraId="167D8FD0"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11</w:t>
            </w:r>
          </w:p>
        </w:tc>
      </w:tr>
      <w:tr w:rsidR="0087601C" w:rsidRPr="006A1EC7" w14:paraId="15B3E63C" w14:textId="77777777" w:rsidTr="00D56051">
        <w:trPr>
          <w:cantSplit/>
        </w:trPr>
        <w:tc>
          <w:tcPr>
            <w:tcW w:w="2258" w:type="dxa"/>
            <w:vMerge/>
            <w:tcBorders>
              <w:top w:val="nil"/>
              <w:left w:val="nil"/>
              <w:bottom w:val="nil"/>
              <w:right w:val="nil"/>
            </w:tcBorders>
            <w:shd w:val="clear" w:color="auto" w:fill="FFFFFF"/>
            <w:vAlign w:val="bottom"/>
          </w:tcPr>
          <w:p w14:paraId="0C515801" w14:textId="77777777" w:rsidR="0087601C" w:rsidRPr="006A1EC7" w:rsidRDefault="0087601C" w:rsidP="00D56051">
            <w:pPr>
              <w:rPr>
                <w:color w:val="264A60"/>
                <w:sz w:val="18"/>
              </w:rPr>
            </w:pPr>
          </w:p>
        </w:tc>
        <w:tc>
          <w:tcPr>
            <w:tcW w:w="1154" w:type="dxa"/>
            <w:gridSpan w:val="3"/>
            <w:vMerge w:val="restart"/>
            <w:tcBorders>
              <w:top w:val="nil"/>
              <w:left w:val="nil"/>
              <w:bottom w:val="nil"/>
              <w:right w:val="single" w:sz="8" w:space="0" w:color="E0E0E0"/>
            </w:tcBorders>
            <w:shd w:val="clear" w:color="auto" w:fill="FFFFFF"/>
            <w:vAlign w:val="bottom"/>
          </w:tcPr>
          <w:p w14:paraId="27A9C4E1"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55" w:type="dxa"/>
            <w:gridSpan w:val="3"/>
            <w:vMerge w:val="restart"/>
            <w:tcBorders>
              <w:top w:val="nil"/>
              <w:left w:val="single" w:sz="8" w:space="0" w:color="E0E0E0"/>
              <w:bottom w:val="nil"/>
              <w:right w:val="single" w:sz="8" w:space="0" w:color="E0E0E0"/>
            </w:tcBorders>
            <w:shd w:val="clear" w:color="auto" w:fill="FFFFFF"/>
            <w:vAlign w:val="bottom"/>
          </w:tcPr>
          <w:p w14:paraId="36F2AD27"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55" w:type="dxa"/>
            <w:gridSpan w:val="3"/>
            <w:vMerge w:val="restart"/>
            <w:tcBorders>
              <w:top w:val="nil"/>
              <w:left w:val="single" w:sz="8" w:space="0" w:color="E0E0E0"/>
              <w:bottom w:val="nil"/>
              <w:right w:val="single" w:sz="8" w:space="0" w:color="E0E0E0"/>
            </w:tcBorders>
            <w:shd w:val="clear" w:color="auto" w:fill="FFFFFF"/>
            <w:vAlign w:val="bottom"/>
          </w:tcPr>
          <w:p w14:paraId="16E97A9A"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55" w:type="dxa"/>
            <w:gridSpan w:val="3"/>
            <w:vMerge w:val="restart"/>
            <w:tcBorders>
              <w:top w:val="nil"/>
              <w:left w:val="single" w:sz="8" w:space="0" w:color="E0E0E0"/>
              <w:bottom w:val="nil"/>
              <w:right w:val="single" w:sz="8" w:space="0" w:color="E0E0E0"/>
            </w:tcBorders>
            <w:shd w:val="clear" w:color="auto" w:fill="FFFFFF"/>
            <w:vAlign w:val="bottom"/>
          </w:tcPr>
          <w:p w14:paraId="161119B9"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310" w:type="dxa"/>
            <w:gridSpan w:val="4"/>
            <w:tcBorders>
              <w:top w:val="nil"/>
              <w:left w:val="single" w:sz="8" w:space="0" w:color="E0E0E0"/>
              <w:bottom w:val="nil"/>
              <w:right w:val="nil"/>
            </w:tcBorders>
            <w:shd w:val="clear" w:color="auto" w:fill="FFFFFF"/>
            <w:vAlign w:val="bottom"/>
          </w:tcPr>
          <w:p w14:paraId="29149564"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0DB5A029" w14:textId="77777777" w:rsidTr="00D56051">
        <w:trPr>
          <w:cantSplit/>
        </w:trPr>
        <w:tc>
          <w:tcPr>
            <w:tcW w:w="2258" w:type="dxa"/>
            <w:vMerge/>
            <w:tcBorders>
              <w:top w:val="nil"/>
              <w:left w:val="nil"/>
              <w:bottom w:val="nil"/>
              <w:right w:val="nil"/>
            </w:tcBorders>
            <w:shd w:val="clear" w:color="auto" w:fill="FFFFFF"/>
            <w:vAlign w:val="bottom"/>
          </w:tcPr>
          <w:p w14:paraId="31945B86" w14:textId="77777777" w:rsidR="0087601C" w:rsidRPr="006A1EC7" w:rsidRDefault="0087601C" w:rsidP="00D56051">
            <w:pPr>
              <w:rPr>
                <w:color w:val="264A60"/>
                <w:sz w:val="18"/>
              </w:rPr>
            </w:pPr>
          </w:p>
        </w:tc>
        <w:tc>
          <w:tcPr>
            <w:tcW w:w="1154" w:type="dxa"/>
            <w:gridSpan w:val="3"/>
            <w:vMerge/>
            <w:tcBorders>
              <w:top w:val="nil"/>
              <w:left w:val="nil"/>
              <w:bottom w:val="nil"/>
              <w:right w:val="single" w:sz="8" w:space="0" w:color="E0E0E0"/>
            </w:tcBorders>
            <w:shd w:val="clear" w:color="auto" w:fill="FFFFFF"/>
            <w:vAlign w:val="bottom"/>
          </w:tcPr>
          <w:p w14:paraId="2387E159" w14:textId="77777777" w:rsidR="0087601C" w:rsidRPr="006A1EC7" w:rsidRDefault="0087601C" w:rsidP="00D56051">
            <w:pPr>
              <w:rPr>
                <w:color w:val="264A60"/>
                <w:sz w:val="18"/>
              </w:rPr>
            </w:pPr>
          </w:p>
        </w:tc>
        <w:tc>
          <w:tcPr>
            <w:tcW w:w="1155" w:type="dxa"/>
            <w:gridSpan w:val="3"/>
            <w:vMerge/>
            <w:tcBorders>
              <w:top w:val="nil"/>
              <w:left w:val="single" w:sz="8" w:space="0" w:color="E0E0E0"/>
              <w:bottom w:val="nil"/>
              <w:right w:val="single" w:sz="8" w:space="0" w:color="E0E0E0"/>
            </w:tcBorders>
            <w:shd w:val="clear" w:color="auto" w:fill="FFFFFF"/>
            <w:vAlign w:val="bottom"/>
          </w:tcPr>
          <w:p w14:paraId="2EDCD99E" w14:textId="77777777" w:rsidR="0087601C" w:rsidRPr="006A1EC7" w:rsidRDefault="0087601C" w:rsidP="00D56051">
            <w:pPr>
              <w:rPr>
                <w:color w:val="264A60"/>
                <w:sz w:val="18"/>
              </w:rPr>
            </w:pPr>
          </w:p>
        </w:tc>
        <w:tc>
          <w:tcPr>
            <w:tcW w:w="1655" w:type="dxa"/>
            <w:gridSpan w:val="3"/>
            <w:vMerge/>
            <w:tcBorders>
              <w:top w:val="nil"/>
              <w:left w:val="single" w:sz="8" w:space="0" w:color="E0E0E0"/>
              <w:bottom w:val="nil"/>
              <w:right w:val="single" w:sz="8" w:space="0" w:color="E0E0E0"/>
            </w:tcBorders>
            <w:shd w:val="clear" w:color="auto" w:fill="FFFFFF"/>
            <w:vAlign w:val="bottom"/>
          </w:tcPr>
          <w:p w14:paraId="69954468" w14:textId="77777777" w:rsidR="0087601C" w:rsidRPr="006A1EC7" w:rsidRDefault="0087601C" w:rsidP="00D56051">
            <w:pPr>
              <w:rPr>
                <w:color w:val="264A60"/>
                <w:sz w:val="18"/>
              </w:rPr>
            </w:pPr>
          </w:p>
        </w:tc>
        <w:tc>
          <w:tcPr>
            <w:tcW w:w="1655" w:type="dxa"/>
            <w:gridSpan w:val="3"/>
            <w:vMerge/>
            <w:tcBorders>
              <w:top w:val="nil"/>
              <w:left w:val="single" w:sz="8" w:space="0" w:color="E0E0E0"/>
              <w:bottom w:val="nil"/>
              <w:right w:val="single" w:sz="8" w:space="0" w:color="E0E0E0"/>
            </w:tcBorders>
            <w:shd w:val="clear" w:color="auto" w:fill="FFFFFF"/>
            <w:vAlign w:val="bottom"/>
          </w:tcPr>
          <w:p w14:paraId="1E6E4AF6" w14:textId="77777777" w:rsidR="0087601C" w:rsidRPr="006A1EC7" w:rsidRDefault="0087601C" w:rsidP="00D56051">
            <w:pPr>
              <w:rPr>
                <w:color w:val="264A60"/>
                <w:sz w:val="18"/>
              </w:rPr>
            </w:pPr>
          </w:p>
        </w:tc>
        <w:tc>
          <w:tcPr>
            <w:tcW w:w="1655" w:type="dxa"/>
            <w:gridSpan w:val="3"/>
            <w:tcBorders>
              <w:top w:val="nil"/>
              <w:left w:val="single" w:sz="8" w:space="0" w:color="E0E0E0"/>
              <w:bottom w:val="single" w:sz="8" w:space="0" w:color="152935"/>
              <w:right w:val="single" w:sz="8" w:space="0" w:color="E0E0E0"/>
            </w:tcBorders>
            <w:shd w:val="clear" w:color="auto" w:fill="FFFFFF"/>
            <w:vAlign w:val="bottom"/>
          </w:tcPr>
          <w:p w14:paraId="083E788B"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55" w:type="dxa"/>
            <w:tcBorders>
              <w:top w:val="nil"/>
              <w:left w:val="single" w:sz="8" w:space="0" w:color="E0E0E0"/>
              <w:bottom w:val="single" w:sz="8" w:space="0" w:color="152935"/>
              <w:right w:val="nil"/>
            </w:tcBorders>
            <w:shd w:val="clear" w:color="auto" w:fill="FFFFFF"/>
            <w:vAlign w:val="bottom"/>
          </w:tcPr>
          <w:p w14:paraId="5FA3104F"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4E0388A2" w14:textId="77777777" w:rsidTr="00D56051">
        <w:trPr>
          <w:cantSplit/>
        </w:trPr>
        <w:tc>
          <w:tcPr>
            <w:tcW w:w="2258" w:type="dxa"/>
            <w:tcBorders>
              <w:top w:val="single" w:sz="8" w:space="0" w:color="152935"/>
              <w:left w:val="nil"/>
              <w:bottom w:val="single" w:sz="8" w:space="0" w:color="152935"/>
              <w:right w:val="nil"/>
            </w:tcBorders>
            <w:shd w:val="clear" w:color="auto" w:fill="E0E0E0"/>
          </w:tcPr>
          <w:p w14:paraId="0BCE093C" w14:textId="77777777" w:rsidR="0087601C" w:rsidRPr="006A1EC7" w:rsidRDefault="0087601C" w:rsidP="00D56051">
            <w:pPr>
              <w:spacing w:line="320" w:lineRule="atLeast"/>
              <w:ind w:left="60" w:right="60"/>
              <w:rPr>
                <w:color w:val="264A60"/>
                <w:sz w:val="18"/>
              </w:rPr>
            </w:pPr>
            <w:r w:rsidRPr="006A1EC7">
              <w:rPr>
                <w:color w:val="264A60"/>
                <w:sz w:val="18"/>
              </w:rPr>
              <w:t>T1Alessandro_Func</w:t>
            </w:r>
          </w:p>
        </w:tc>
        <w:tc>
          <w:tcPr>
            <w:tcW w:w="1154" w:type="dxa"/>
            <w:gridSpan w:val="3"/>
            <w:tcBorders>
              <w:top w:val="single" w:sz="8" w:space="0" w:color="152935"/>
              <w:left w:val="nil"/>
              <w:bottom w:val="single" w:sz="8" w:space="0" w:color="152935"/>
              <w:right w:val="single" w:sz="8" w:space="0" w:color="E0E0E0"/>
            </w:tcBorders>
            <w:shd w:val="clear" w:color="auto" w:fill="FFFFFF"/>
          </w:tcPr>
          <w:p w14:paraId="7A44E915" w14:textId="77777777" w:rsidR="0087601C" w:rsidRPr="006A1EC7" w:rsidRDefault="0087601C" w:rsidP="00D56051">
            <w:pPr>
              <w:spacing w:line="320" w:lineRule="atLeast"/>
              <w:ind w:left="60" w:right="60"/>
              <w:jc w:val="right"/>
              <w:rPr>
                <w:color w:val="010205"/>
                <w:sz w:val="18"/>
              </w:rPr>
            </w:pPr>
            <w:r w:rsidRPr="006A1EC7">
              <w:rPr>
                <w:color w:val="010205"/>
                <w:sz w:val="18"/>
              </w:rPr>
              <w:t>-3.453</w:t>
            </w:r>
          </w:p>
        </w:tc>
        <w:tc>
          <w:tcPr>
            <w:tcW w:w="1155" w:type="dxa"/>
            <w:gridSpan w:val="3"/>
            <w:tcBorders>
              <w:top w:val="single" w:sz="8" w:space="0" w:color="152935"/>
              <w:left w:val="single" w:sz="8" w:space="0" w:color="E0E0E0"/>
              <w:bottom w:val="single" w:sz="8" w:space="0" w:color="152935"/>
              <w:right w:val="single" w:sz="8" w:space="0" w:color="E0E0E0"/>
            </w:tcBorders>
            <w:shd w:val="clear" w:color="auto" w:fill="FFFFFF"/>
          </w:tcPr>
          <w:p w14:paraId="40AEC3DD" w14:textId="77777777" w:rsidR="0087601C" w:rsidRPr="006A1EC7" w:rsidRDefault="0087601C" w:rsidP="00D56051">
            <w:pPr>
              <w:spacing w:line="320" w:lineRule="atLeast"/>
              <w:ind w:left="60" w:right="60"/>
              <w:jc w:val="right"/>
              <w:rPr>
                <w:color w:val="010205"/>
                <w:sz w:val="18"/>
              </w:rPr>
            </w:pPr>
            <w:r w:rsidRPr="006A1EC7">
              <w:rPr>
                <w:color w:val="010205"/>
                <w:sz w:val="18"/>
              </w:rPr>
              <w:t>25</w:t>
            </w:r>
          </w:p>
        </w:tc>
        <w:tc>
          <w:tcPr>
            <w:tcW w:w="1655" w:type="dxa"/>
            <w:gridSpan w:val="3"/>
            <w:tcBorders>
              <w:top w:val="single" w:sz="8" w:space="0" w:color="152935"/>
              <w:left w:val="single" w:sz="8" w:space="0" w:color="E0E0E0"/>
              <w:bottom w:val="single" w:sz="8" w:space="0" w:color="152935"/>
              <w:right w:val="single" w:sz="8" w:space="0" w:color="E0E0E0"/>
            </w:tcBorders>
            <w:shd w:val="clear" w:color="auto" w:fill="FFFFFF"/>
          </w:tcPr>
          <w:p w14:paraId="0B9CCB3B" w14:textId="77777777" w:rsidR="0087601C" w:rsidRPr="006A1EC7" w:rsidRDefault="0087601C" w:rsidP="00D56051">
            <w:pPr>
              <w:spacing w:line="320" w:lineRule="atLeast"/>
              <w:ind w:left="60" w:right="60"/>
              <w:jc w:val="right"/>
              <w:rPr>
                <w:color w:val="010205"/>
                <w:sz w:val="18"/>
              </w:rPr>
            </w:pPr>
            <w:r w:rsidRPr="006A1EC7">
              <w:rPr>
                <w:color w:val="010205"/>
                <w:sz w:val="18"/>
              </w:rPr>
              <w:t>.002</w:t>
            </w:r>
          </w:p>
        </w:tc>
        <w:tc>
          <w:tcPr>
            <w:tcW w:w="1655" w:type="dxa"/>
            <w:gridSpan w:val="3"/>
            <w:tcBorders>
              <w:top w:val="single" w:sz="8" w:space="0" w:color="152935"/>
              <w:left w:val="single" w:sz="8" w:space="0" w:color="E0E0E0"/>
              <w:bottom w:val="single" w:sz="8" w:space="0" w:color="152935"/>
              <w:right w:val="single" w:sz="8" w:space="0" w:color="E0E0E0"/>
            </w:tcBorders>
            <w:shd w:val="clear" w:color="auto" w:fill="FFFFFF"/>
          </w:tcPr>
          <w:p w14:paraId="192D5706" w14:textId="77777777" w:rsidR="0087601C" w:rsidRPr="006A1EC7" w:rsidRDefault="0087601C" w:rsidP="00D56051">
            <w:pPr>
              <w:spacing w:line="320" w:lineRule="atLeast"/>
              <w:ind w:left="60" w:right="60"/>
              <w:jc w:val="right"/>
              <w:rPr>
                <w:color w:val="010205"/>
                <w:sz w:val="18"/>
              </w:rPr>
            </w:pPr>
            <w:r w:rsidRPr="006A1EC7">
              <w:rPr>
                <w:color w:val="010205"/>
                <w:sz w:val="18"/>
              </w:rPr>
              <w:t>-.731</w:t>
            </w:r>
          </w:p>
        </w:tc>
        <w:tc>
          <w:tcPr>
            <w:tcW w:w="1655" w:type="dxa"/>
            <w:gridSpan w:val="3"/>
            <w:tcBorders>
              <w:top w:val="single" w:sz="8" w:space="0" w:color="152935"/>
              <w:left w:val="single" w:sz="8" w:space="0" w:color="E0E0E0"/>
              <w:bottom w:val="single" w:sz="8" w:space="0" w:color="152935"/>
              <w:right w:val="single" w:sz="8" w:space="0" w:color="E0E0E0"/>
            </w:tcBorders>
            <w:shd w:val="clear" w:color="auto" w:fill="FFFFFF"/>
          </w:tcPr>
          <w:p w14:paraId="7B704AAE" w14:textId="77777777" w:rsidR="0087601C" w:rsidRPr="006A1EC7" w:rsidRDefault="0087601C" w:rsidP="00D56051">
            <w:pPr>
              <w:spacing w:line="320" w:lineRule="atLeast"/>
              <w:ind w:left="60" w:right="60"/>
              <w:jc w:val="right"/>
              <w:rPr>
                <w:color w:val="010205"/>
                <w:sz w:val="18"/>
              </w:rPr>
            </w:pPr>
            <w:r w:rsidRPr="006A1EC7">
              <w:rPr>
                <w:color w:val="010205"/>
                <w:sz w:val="18"/>
              </w:rPr>
              <w:t>-1.17</w:t>
            </w:r>
          </w:p>
        </w:tc>
        <w:tc>
          <w:tcPr>
            <w:tcW w:w="1655" w:type="dxa"/>
            <w:tcBorders>
              <w:top w:val="single" w:sz="8" w:space="0" w:color="152935"/>
              <w:left w:val="single" w:sz="8" w:space="0" w:color="E0E0E0"/>
              <w:bottom w:val="single" w:sz="8" w:space="0" w:color="152935"/>
              <w:right w:val="nil"/>
            </w:tcBorders>
            <w:shd w:val="clear" w:color="auto" w:fill="FFFFFF"/>
          </w:tcPr>
          <w:p w14:paraId="1DEDFCAF" w14:textId="77777777" w:rsidR="0087601C" w:rsidRPr="006A1EC7" w:rsidRDefault="0087601C" w:rsidP="00D56051">
            <w:pPr>
              <w:spacing w:line="320" w:lineRule="atLeast"/>
              <w:ind w:left="60" w:right="60"/>
              <w:jc w:val="right"/>
              <w:rPr>
                <w:color w:val="010205"/>
                <w:sz w:val="18"/>
              </w:rPr>
            </w:pPr>
            <w:r w:rsidRPr="006A1EC7">
              <w:rPr>
                <w:color w:val="010205"/>
                <w:sz w:val="18"/>
              </w:rPr>
              <w:t>-.29</w:t>
            </w:r>
          </w:p>
        </w:tc>
      </w:tr>
      <w:tr w:rsidR="0087601C" w:rsidRPr="006A1EC7" w14:paraId="606DDAEB" w14:textId="77777777" w:rsidTr="00D56051">
        <w:trPr>
          <w:gridAfter w:val="2"/>
          <w:wAfter w:w="2238" w:type="dxa"/>
          <w:cantSplit/>
        </w:trPr>
        <w:tc>
          <w:tcPr>
            <w:tcW w:w="2741" w:type="dxa"/>
            <w:gridSpan w:val="3"/>
            <w:tcBorders>
              <w:top w:val="nil"/>
              <w:left w:val="nil"/>
              <w:bottom w:val="single" w:sz="8" w:space="0" w:color="152935"/>
              <w:right w:val="nil"/>
            </w:tcBorders>
            <w:shd w:val="clear" w:color="auto" w:fill="FFFFFF"/>
            <w:vAlign w:val="bottom"/>
          </w:tcPr>
          <w:p w14:paraId="789D9E7E" w14:textId="77777777" w:rsidR="0087601C" w:rsidRPr="006A1EC7" w:rsidRDefault="0087601C" w:rsidP="00D56051">
            <w:pPr>
              <w:rPr>
                <w:sz w:val="18"/>
              </w:rPr>
            </w:pPr>
          </w:p>
        </w:tc>
        <w:tc>
          <w:tcPr>
            <w:tcW w:w="1276" w:type="dxa"/>
            <w:gridSpan w:val="3"/>
            <w:tcBorders>
              <w:top w:val="nil"/>
              <w:left w:val="nil"/>
              <w:bottom w:val="single" w:sz="8" w:space="0" w:color="152935"/>
              <w:right w:val="single" w:sz="8" w:space="0" w:color="E0E0E0"/>
            </w:tcBorders>
            <w:shd w:val="clear" w:color="auto" w:fill="FFFFFF"/>
            <w:vAlign w:val="bottom"/>
          </w:tcPr>
          <w:p w14:paraId="51D63A57"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gridSpan w:val="3"/>
            <w:tcBorders>
              <w:top w:val="nil"/>
              <w:left w:val="single" w:sz="8" w:space="0" w:color="E0E0E0"/>
              <w:bottom w:val="single" w:sz="8" w:space="0" w:color="152935"/>
              <w:right w:val="single" w:sz="8" w:space="0" w:color="E0E0E0"/>
            </w:tcBorders>
            <w:shd w:val="clear" w:color="auto" w:fill="FFFFFF"/>
            <w:vAlign w:val="bottom"/>
          </w:tcPr>
          <w:p w14:paraId="2288EB1B"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gridSpan w:val="3"/>
            <w:tcBorders>
              <w:top w:val="nil"/>
              <w:left w:val="single" w:sz="8" w:space="0" w:color="E0E0E0"/>
              <w:bottom w:val="single" w:sz="8" w:space="0" w:color="152935"/>
              <w:right w:val="single" w:sz="8" w:space="0" w:color="E0E0E0"/>
            </w:tcBorders>
            <w:shd w:val="clear" w:color="auto" w:fill="FFFFFF"/>
            <w:vAlign w:val="bottom"/>
          </w:tcPr>
          <w:p w14:paraId="79B039EE"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gridSpan w:val="3"/>
            <w:tcBorders>
              <w:top w:val="nil"/>
              <w:left w:val="single" w:sz="8" w:space="0" w:color="E0E0E0"/>
              <w:bottom w:val="single" w:sz="8" w:space="0" w:color="152935"/>
              <w:right w:val="nil"/>
            </w:tcBorders>
            <w:shd w:val="clear" w:color="auto" w:fill="FFFFFF"/>
            <w:vAlign w:val="bottom"/>
          </w:tcPr>
          <w:p w14:paraId="78AB5878"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55B74733" w14:textId="77777777" w:rsidTr="00D56051">
        <w:trPr>
          <w:gridAfter w:val="2"/>
          <w:wAfter w:w="2238" w:type="dxa"/>
          <w:cantSplit/>
        </w:trPr>
        <w:tc>
          <w:tcPr>
            <w:tcW w:w="2741" w:type="dxa"/>
            <w:gridSpan w:val="3"/>
            <w:tcBorders>
              <w:top w:val="single" w:sz="8" w:space="0" w:color="152935"/>
              <w:left w:val="nil"/>
              <w:bottom w:val="single" w:sz="8" w:space="0" w:color="152935"/>
              <w:right w:val="nil"/>
            </w:tcBorders>
            <w:shd w:val="clear" w:color="auto" w:fill="E0E0E0"/>
          </w:tcPr>
          <w:p w14:paraId="717455CA" w14:textId="77777777" w:rsidR="0087601C" w:rsidRPr="006A1EC7" w:rsidRDefault="0087601C" w:rsidP="00D56051">
            <w:pPr>
              <w:spacing w:line="320" w:lineRule="atLeast"/>
              <w:ind w:left="60" w:right="60"/>
              <w:rPr>
                <w:color w:val="264A60"/>
                <w:sz w:val="18"/>
              </w:rPr>
            </w:pPr>
            <w:r w:rsidRPr="006A1EC7">
              <w:rPr>
                <w:color w:val="264A60"/>
                <w:sz w:val="18"/>
              </w:rPr>
              <w:t>T1Alessandro_Immun</w:t>
            </w:r>
          </w:p>
        </w:tc>
        <w:tc>
          <w:tcPr>
            <w:tcW w:w="1276" w:type="dxa"/>
            <w:gridSpan w:val="3"/>
            <w:tcBorders>
              <w:top w:val="single" w:sz="8" w:space="0" w:color="152935"/>
              <w:left w:val="nil"/>
              <w:bottom w:val="single" w:sz="8" w:space="0" w:color="152935"/>
              <w:right w:val="single" w:sz="8" w:space="0" w:color="E0E0E0"/>
            </w:tcBorders>
            <w:shd w:val="clear" w:color="auto" w:fill="FFFFFF"/>
          </w:tcPr>
          <w:p w14:paraId="170C2038"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6" w:type="dxa"/>
            <w:gridSpan w:val="3"/>
            <w:tcBorders>
              <w:top w:val="single" w:sz="8" w:space="0" w:color="152935"/>
              <w:left w:val="single" w:sz="8" w:space="0" w:color="E0E0E0"/>
              <w:bottom w:val="single" w:sz="8" w:space="0" w:color="152935"/>
              <w:right w:val="single" w:sz="8" w:space="0" w:color="E0E0E0"/>
            </w:tcBorders>
            <w:shd w:val="clear" w:color="auto" w:fill="FFFFFF"/>
          </w:tcPr>
          <w:p w14:paraId="473CC54E" w14:textId="77777777" w:rsidR="0087601C" w:rsidRPr="006A1EC7" w:rsidRDefault="0087601C" w:rsidP="00D56051">
            <w:pPr>
              <w:spacing w:line="320" w:lineRule="atLeast"/>
              <w:ind w:left="60" w:right="60"/>
              <w:jc w:val="right"/>
              <w:rPr>
                <w:color w:val="010205"/>
                <w:sz w:val="18"/>
              </w:rPr>
            </w:pPr>
            <w:r w:rsidRPr="006A1EC7">
              <w:rPr>
                <w:color w:val="010205"/>
                <w:sz w:val="18"/>
              </w:rPr>
              <w:t>8.70</w:t>
            </w:r>
          </w:p>
        </w:tc>
        <w:tc>
          <w:tcPr>
            <w:tcW w:w="1828" w:type="dxa"/>
            <w:gridSpan w:val="3"/>
            <w:tcBorders>
              <w:top w:val="single" w:sz="8" w:space="0" w:color="152935"/>
              <w:left w:val="single" w:sz="8" w:space="0" w:color="E0E0E0"/>
              <w:bottom w:val="single" w:sz="8" w:space="0" w:color="152935"/>
              <w:right w:val="single" w:sz="8" w:space="0" w:color="E0E0E0"/>
            </w:tcBorders>
            <w:shd w:val="clear" w:color="auto" w:fill="FFFFFF"/>
          </w:tcPr>
          <w:p w14:paraId="016A2DB0" w14:textId="77777777" w:rsidR="0087601C" w:rsidRPr="006A1EC7" w:rsidRDefault="0087601C" w:rsidP="00D56051">
            <w:pPr>
              <w:spacing w:line="320" w:lineRule="atLeast"/>
              <w:ind w:left="60" w:right="60"/>
              <w:jc w:val="right"/>
              <w:rPr>
                <w:color w:val="010205"/>
                <w:sz w:val="18"/>
              </w:rPr>
            </w:pPr>
            <w:r w:rsidRPr="006A1EC7">
              <w:rPr>
                <w:color w:val="010205"/>
                <w:sz w:val="18"/>
              </w:rPr>
              <w:t>.996</w:t>
            </w:r>
          </w:p>
        </w:tc>
        <w:tc>
          <w:tcPr>
            <w:tcW w:w="1828" w:type="dxa"/>
            <w:gridSpan w:val="3"/>
            <w:tcBorders>
              <w:top w:val="single" w:sz="8" w:space="0" w:color="152935"/>
              <w:left w:val="single" w:sz="8" w:space="0" w:color="E0E0E0"/>
              <w:bottom w:val="single" w:sz="8" w:space="0" w:color="152935"/>
              <w:right w:val="nil"/>
            </w:tcBorders>
            <w:shd w:val="clear" w:color="auto" w:fill="FFFFFF"/>
          </w:tcPr>
          <w:p w14:paraId="61675F13" w14:textId="77777777" w:rsidR="0087601C" w:rsidRPr="006A1EC7" w:rsidRDefault="0087601C" w:rsidP="00D56051">
            <w:pPr>
              <w:spacing w:line="320" w:lineRule="atLeast"/>
              <w:ind w:left="60" w:right="60"/>
              <w:jc w:val="right"/>
              <w:rPr>
                <w:color w:val="010205"/>
                <w:sz w:val="18"/>
              </w:rPr>
            </w:pPr>
            <w:r w:rsidRPr="006A1EC7">
              <w:rPr>
                <w:color w:val="010205"/>
                <w:sz w:val="18"/>
              </w:rPr>
              <w:t>.164</w:t>
            </w:r>
          </w:p>
        </w:tc>
      </w:tr>
    </w:tbl>
    <w:p w14:paraId="73335906"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4"/>
        <w:gridCol w:w="1133"/>
        <w:gridCol w:w="1132"/>
        <w:gridCol w:w="1622"/>
        <w:gridCol w:w="1622"/>
        <w:gridCol w:w="1622"/>
        <w:gridCol w:w="1622"/>
      </w:tblGrid>
      <w:tr w:rsidR="0087601C" w:rsidRPr="006A1EC7" w14:paraId="394974B0" w14:textId="77777777" w:rsidTr="00D56051">
        <w:trPr>
          <w:cantSplit/>
        </w:trPr>
        <w:tc>
          <w:tcPr>
            <w:tcW w:w="2434" w:type="dxa"/>
            <w:vMerge w:val="restart"/>
            <w:tcBorders>
              <w:top w:val="nil"/>
              <w:left w:val="nil"/>
              <w:bottom w:val="nil"/>
              <w:right w:val="nil"/>
            </w:tcBorders>
            <w:shd w:val="clear" w:color="auto" w:fill="FFFFFF"/>
            <w:vAlign w:val="bottom"/>
          </w:tcPr>
          <w:p w14:paraId="13EB31CB" w14:textId="77777777" w:rsidR="0087601C" w:rsidRPr="006A1EC7" w:rsidRDefault="0087601C" w:rsidP="00D56051">
            <w:pPr>
              <w:rPr>
                <w:sz w:val="18"/>
              </w:rPr>
            </w:pPr>
          </w:p>
        </w:tc>
        <w:tc>
          <w:tcPr>
            <w:tcW w:w="8753" w:type="dxa"/>
            <w:gridSpan w:val="6"/>
            <w:tcBorders>
              <w:top w:val="nil"/>
              <w:left w:val="nil"/>
              <w:bottom w:val="nil"/>
              <w:right w:val="nil"/>
            </w:tcBorders>
            <w:shd w:val="clear" w:color="auto" w:fill="FFFFFF"/>
            <w:vAlign w:val="bottom"/>
          </w:tcPr>
          <w:p w14:paraId="40E200E7"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8</w:t>
            </w:r>
          </w:p>
        </w:tc>
      </w:tr>
      <w:tr w:rsidR="0087601C" w:rsidRPr="006A1EC7" w14:paraId="266C0C58" w14:textId="77777777" w:rsidTr="00D56051">
        <w:trPr>
          <w:cantSplit/>
        </w:trPr>
        <w:tc>
          <w:tcPr>
            <w:tcW w:w="2434" w:type="dxa"/>
            <w:vMerge/>
            <w:tcBorders>
              <w:top w:val="nil"/>
              <w:left w:val="nil"/>
              <w:bottom w:val="nil"/>
              <w:right w:val="nil"/>
            </w:tcBorders>
            <w:shd w:val="clear" w:color="auto" w:fill="FFFFFF"/>
            <w:vAlign w:val="bottom"/>
          </w:tcPr>
          <w:p w14:paraId="520E4473" w14:textId="77777777" w:rsidR="0087601C" w:rsidRPr="006A1EC7" w:rsidRDefault="0087601C" w:rsidP="00D56051">
            <w:pPr>
              <w:rPr>
                <w:color w:val="264A60"/>
                <w:sz w:val="18"/>
              </w:rPr>
            </w:pPr>
          </w:p>
        </w:tc>
        <w:tc>
          <w:tcPr>
            <w:tcW w:w="1133" w:type="dxa"/>
            <w:vMerge w:val="restart"/>
            <w:tcBorders>
              <w:top w:val="nil"/>
              <w:left w:val="nil"/>
              <w:bottom w:val="nil"/>
              <w:right w:val="single" w:sz="8" w:space="0" w:color="E0E0E0"/>
            </w:tcBorders>
            <w:shd w:val="clear" w:color="auto" w:fill="FFFFFF"/>
            <w:vAlign w:val="bottom"/>
          </w:tcPr>
          <w:p w14:paraId="0864D8AE"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32" w:type="dxa"/>
            <w:vMerge w:val="restart"/>
            <w:tcBorders>
              <w:top w:val="nil"/>
              <w:left w:val="single" w:sz="8" w:space="0" w:color="E0E0E0"/>
              <w:bottom w:val="nil"/>
              <w:right w:val="single" w:sz="8" w:space="0" w:color="E0E0E0"/>
            </w:tcBorders>
            <w:shd w:val="clear" w:color="auto" w:fill="FFFFFF"/>
            <w:vAlign w:val="bottom"/>
          </w:tcPr>
          <w:p w14:paraId="1FD94A14"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22" w:type="dxa"/>
            <w:vMerge w:val="restart"/>
            <w:tcBorders>
              <w:top w:val="nil"/>
              <w:left w:val="single" w:sz="8" w:space="0" w:color="E0E0E0"/>
              <w:bottom w:val="nil"/>
              <w:right w:val="single" w:sz="8" w:space="0" w:color="E0E0E0"/>
            </w:tcBorders>
            <w:shd w:val="clear" w:color="auto" w:fill="FFFFFF"/>
            <w:vAlign w:val="bottom"/>
          </w:tcPr>
          <w:p w14:paraId="6DFBA3F3"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22" w:type="dxa"/>
            <w:vMerge w:val="restart"/>
            <w:tcBorders>
              <w:top w:val="nil"/>
              <w:left w:val="single" w:sz="8" w:space="0" w:color="E0E0E0"/>
              <w:bottom w:val="nil"/>
              <w:right w:val="single" w:sz="8" w:space="0" w:color="E0E0E0"/>
            </w:tcBorders>
            <w:shd w:val="clear" w:color="auto" w:fill="FFFFFF"/>
            <w:vAlign w:val="bottom"/>
          </w:tcPr>
          <w:p w14:paraId="69CD9471"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244" w:type="dxa"/>
            <w:gridSpan w:val="2"/>
            <w:tcBorders>
              <w:top w:val="nil"/>
              <w:left w:val="single" w:sz="8" w:space="0" w:color="E0E0E0"/>
              <w:bottom w:val="nil"/>
              <w:right w:val="nil"/>
            </w:tcBorders>
            <w:shd w:val="clear" w:color="auto" w:fill="FFFFFF"/>
            <w:vAlign w:val="bottom"/>
          </w:tcPr>
          <w:p w14:paraId="0EC493F0"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3F3F94B1" w14:textId="77777777" w:rsidTr="00D56051">
        <w:trPr>
          <w:cantSplit/>
        </w:trPr>
        <w:tc>
          <w:tcPr>
            <w:tcW w:w="2434" w:type="dxa"/>
            <w:vMerge/>
            <w:tcBorders>
              <w:top w:val="nil"/>
              <w:left w:val="nil"/>
              <w:bottom w:val="nil"/>
              <w:right w:val="nil"/>
            </w:tcBorders>
            <w:shd w:val="clear" w:color="auto" w:fill="FFFFFF"/>
            <w:vAlign w:val="bottom"/>
          </w:tcPr>
          <w:p w14:paraId="1A22619D" w14:textId="77777777" w:rsidR="0087601C" w:rsidRPr="006A1EC7" w:rsidRDefault="0087601C" w:rsidP="00D56051">
            <w:pPr>
              <w:rPr>
                <w:color w:val="264A60"/>
                <w:sz w:val="18"/>
              </w:rPr>
            </w:pPr>
          </w:p>
        </w:tc>
        <w:tc>
          <w:tcPr>
            <w:tcW w:w="1133" w:type="dxa"/>
            <w:vMerge/>
            <w:tcBorders>
              <w:top w:val="nil"/>
              <w:left w:val="nil"/>
              <w:bottom w:val="nil"/>
              <w:right w:val="single" w:sz="8" w:space="0" w:color="E0E0E0"/>
            </w:tcBorders>
            <w:shd w:val="clear" w:color="auto" w:fill="FFFFFF"/>
            <w:vAlign w:val="bottom"/>
          </w:tcPr>
          <w:p w14:paraId="34078F1D" w14:textId="77777777" w:rsidR="0087601C" w:rsidRPr="006A1EC7" w:rsidRDefault="0087601C" w:rsidP="00D56051">
            <w:pPr>
              <w:rPr>
                <w:color w:val="264A60"/>
                <w:sz w:val="18"/>
              </w:rPr>
            </w:pPr>
          </w:p>
        </w:tc>
        <w:tc>
          <w:tcPr>
            <w:tcW w:w="1132" w:type="dxa"/>
            <w:vMerge/>
            <w:tcBorders>
              <w:top w:val="nil"/>
              <w:left w:val="single" w:sz="8" w:space="0" w:color="E0E0E0"/>
              <w:bottom w:val="nil"/>
              <w:right w:val="single" w:sz="8" w:space="0" w:color="E0E0E0"/>
            </w:tcBorders>
            <w:shd w:val="clear" w:color="auto" w:fill="FFFFFF"/>
            <w:vAlign w:val="bottom"/>
          </w:tcPr>
          <w:p w14:paraId="210A2587" w14:textId="77777777" w:rsidR="0087601C" w:rsidRPr="006A1EC7" w:rsidRDefault="0087601C" w:rsidP="00D56051">
            <w:pPr>
              <w:rPr>
                <w:color w:val="264A60"/>
                <w:sz w:val="18"/>
              </w:rPr>
            </w:pPr>
          </w:p>
        </w:tc>
        <w:tc>
          <w:tcPr>
            <w:tcW w:w="1622" w:type="dxa"/>
            <w:vMerge/>
            <w:tcBorders>
              <w:top w:val="nil"/>
              <w:left w:val="single" w:sz="8" w:space="0" w:color="E0E0E0"/>
              <w:bottom w:val="nil"/>
              <w:right w:val="single" w:sz="8" w:space="0" w:color="E0E0E0"/>
            </w:tcBorders>
            <w:shd w:val="clear" w:color="auto" w:fill="FFFFFF"/>
            <w:vAlign w:val="bottom"/>
          </w:tcPr>
          <w:p w14:paraId="1D4E654A" w14:textId="77777777" w:rsidR="0087601C" w:rsidRPr="006A1EC7" w:rsidRDefault="0087601C" w:rsidP="00D56051">
            <w:pPr>
              <w:rPr>
                <w:color w:val="264A60"/>
                <w:sz w:val="18"/>
              </w:rPr>
            </w:pPr>
          </w:p>
        </w:tc>
        <w:tc>
          <w:tcPr>
            <w:tcW w:w="1622" w:type="dxa"/>
            <w:vMerge/>
            <w:tcBorders>
              <w:top w:val="nil"/>
              <w:left w:val="single" w:sz="8" w:space="0" w:color="E0E0E0"/>
              <w:bottom w:val="nil"/>
              <w:right w:val="single" w:sz="8" w:space="0" w:color="E0E0E0"/>
            </w:tcBorders>
            <w:shd w:val="clear" w:color="auto" w:fill="FFFFFF"/>
            <w:vAlign w:val="bottom"/>
          </w:tcPr>
          <w:p w14:paraId="63909907" w14:textId="77777777" w:rsidR="0087601C" w:rsidRPr="006A1EC7" w:rsidRDefault="0087601C" w:rsidP="00D56051">
            <w:pPr>
              <w:rPr>
                <w:color w:val="264A60"/>
                <w:sz w:val="18"/>
              </w:rPr>
            </w:pPr>
          </w:p>
        </w:tc>
        <w:tc>
          <w:tcPr>
            <w:tcW w:w="1622" w:type="dxa"/>
            <w:tcBorders>
              <w:top w:val="nil"/>
              <w:left w:val="single" w:sz="8" w:space="0" w:color="E0E0E0"/>
              <w:bottom w:val="single" w:sz="8" w:space="0" w:color="152935"/>
              <w:right w:val="single" w:sz="8" w:space="0" w:color="E0E0E0"/>
            </w:tcBorders>
            <w:shd w:val="clear" w:color="auto" w:fill="FFFFFF"/>
            <w:vAlign w:val="bottom"/>
          </w:tcPr>
          <w:p w14:paraId="3D4B96E2"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22" w:type="dxa"/>
            <w:tcBorders>
              <w:top w:val="nil"/>
              <w:left w:val="single" w:sz="8" w:space="0" w:color="E0E0E0"/>
              <w:bottom w:val="single" w:sz="8" w:space="0" w:color="152935"/>
              <w:right w:val="nil"/>
            </w:tcBorders>
            <w:shd w:val="clear" w:color="auto" w:fill="FFFFFF"/>
            <w:vAlign w:val="bottom"/>
          </w:tcPr>
          <w:p w14:paraId="17E820D0"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2983854A" w14:textId="77777777" w:rsidTr="00D56051">
        <w:trPr>
          <w:cantSplit/>
        </w:trPr>
        <w:tc>
          <w:tcPr>
            <w:tcW w:w="2434" w:type="dxa"/>
            <w:tcBorders>
              <w:top w:val="single" w:sz="8" w:space="0" w:color="152935"/>
              <w:left w:val="nil"/>
              <w:bottom w:val="single" w:sz="8" w:space="0" w:color="152935"/>
              <w:right w:val="nil"/>
            </w:tcBorders>
            <w:shd w:val="clear" w:color="auto" w:fill="E0E0E0"/>
          </w:tcPr>
          <w:p w14:paraId="05382EEF" w14:textId="77777777" w:rsidR="0087601C" w:rsidRPr="006A1EC7" w:rsidRDefault="0087601C" w:rsidP="00D56051">
            <w:pPr>
              <w:spacing w:line="320" w:lineRule="atLeast"/>
              <w:ind w:left="60" w:right="60"/>
              <w:rPr>
                <w:color w:val="264A60"/>
                <w:sz w:val="18"/>
              </w:rPr>
            </w:pPr>
            <w:r w:rsidRPr="006A1EC7">
              <w:rPr>
                <w:color w:val="264A60"/>
                <w:sz w:val="18"/>
              </w:rPr>
              <w:t>T1Alessandro_Immun</w:t>
            </w:r>
          </w:p>
        </w:tc>
        <w:tc>
          <w:tcPr>
            <w:tcW w:w="1133" w:type="dxa"/>
            <w:tcBorders>
              <w:top w:val="single" w:sz="8" w:space="0" w:color="152935"/>
              <w:left w:val="nil"/>
              <w:bottom w:val="single" w:sz="8" w:space="0" w:color="152935"/>
              <w:right w:val="single" w:sz="8" w:space="0" w:color="E0E0E0"/>
            </w:tcBorders>
            <w:shd w:val="clear" w:color="auto" w:fill="FFFFFF"/>
          </w:tcPr>
          <w:p w14:paraId="576D3820" w14:textId="77777777" w:rsidR="0087601C" w:rsidRPr="006A1EC7" w:rsidRDefault="0087601C" w:rsidP="00D56051">
            <w:pPr>
              <w:spacing w:line="320" w:lineRule="atLeast"/>
              <w:ind w:left="60" w:right="60"/>
              <w:jc w:val="right"/>
              <w:rPr>
                <w:color w:val="010205"/>
                <w:sz w:val="18"/>
              </w:rPr>
            </w:pPr>
            <w:r w:rsidRPr="006A1EC7">
              <w:rPr>
                <w:color w:val="010205"/>
                <w:sz w:val="18"/>
              </w:rPr>
              <w:t>4.291</w:t>
            </w:r>
          </w:p>
        </w:tc>
        <w:tc>
          <w:tcPr>
            <w:tcW w:w="1132" w:type="dxa"/>
            <w:tcBorders>
              <w:top w:val="single" w:sz="8" w:space="0" w:color="152935"/>
              <w:left w:val="single" w:sz="8" w:space="0" w:color="E0E0E0"/>
              <w:bottom w:val="single" w:sz="8" w:space="0" w:color="152935"/>
              <w:right w:val="single" w:sz="8" w:space="0" w:color="E0E0E0"/>
            </w:tcBorders>
            <w:shd w:val="clear" w:color="auto" w:fill="FFFFFF"/>
          </w:tcPr>
          <w:p w14:paraId="140F1166"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622" w:type="dxa"/>
            <w:tcBorders>
              <w:top w:val="single" w:sz="8" w:space="0" w:color="152935"/>
              <w:left w:val="single" w:sz="8" w:space="0" w:color="E0E0E0"/>
              <w:bottom w:val="single" w:sz="8" w:space="0" w:color="152935"/>
              <w:right w:val="single" w:sz="8" w:space="0" w:color="E0E0E0"/>
            </w:tcBorders>
            <w:shd w:val="clear" w:color="auto" w:fill="FFFFFF"/>
          </w:tcPr>
          <w:p w14:paraId="211B2D81"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622" w:type="dxa"/>
            <w:tcBorders>
              <w:top w:val="single" w:sz="8" w:space="0" w:color="152935"/>
              <w:left w:val="single" w:sz="8" w:space="0" w:color="E0E0E0"/>
              <w:bottom w:val="single" w:sz="8" w:space="0" w:color="152935"/>
              <w:right w:val="single" w:sz="8" w:space="0" w:color="E0E0E0"/>
            </w:tcBorders>
            <w:shd w:val="clear" w:color="auto" w:fill="FFFFFF"/>
          </w:tcPr>
          <w:p w14:paraId="2AAD713A" w14:textId="77777777" w:rsidR="0087601C" w:rsidRPr="006A1EC7" w:rsidRDefault="0087601C" w:rsidP="00D56051">
            <w:pPr>
              <w:spacing w:line="320" w:lineRule="atLeast"/>
              <w:ind w:left="60" w:right="60"/>
              <w:jc w:val="right"/>
              <w:rPr>
                <w:color w:val="010205"/>
                <w:sz w:val="18"/>
              </w:rPr>
            </w:pPr>
            <w:r w:rsidRPr="006A1EC7">
              <w:rPr>
                <w:color w:val="010205"/>
                <w:sz w:val="18"/>
              </w:rPr>
              <w:t>.703</w:t>
            </w:r>
          </w:p>
        </w:tc>
        <w:tc>
          <w:tcPr>
            <w:tcW w:w="1622" w:type="dxa"/>
            <w:tcBorders>
              <w:top w:val="single" w:sz="8" w:space="0" w:color="152935"/>
              <w:left w:val="single" w:sz="8" w:space="0" w:color="E0E0E0"/>
              <w:bottom w:val="single" w:sz="8" w:space="0" w:color="152935"/>
              <w:right w:val="single" w:sz="8" w:space="0" w:color="E0E0E0"/>
            </w:tcBorders>
            <w:shd w:val="clear" w:color="auto" w:fill="FFFFFF"/>
          </w:tcPr>
          <w:p w14:paraId="5ADD7CDC"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622" w:type="dxa"/>
            <w:tcBorders>
              <w:top w:val="single" w:sz="8" w:space="0" w:color="152935"/>
              <w:left w:val="single" w:sz="8" w:space="0" w:color="E0E0E0"/>
              <w:bottom w:val="single" w:sz="8" w:space="0" w:color="152935"/>
              <w:right w:val="nil"/>
            </w:tcBorders>
            <w:shd w:val="clear" w:color="auto" w:fill="FFFFFF"/>
          </w:tcPr>
          <w:p w14:paraId="7E0BE600" w14:textId="77777777" w:rsidR="0087601C" w:rsidRPr="006A1EC7" w:rsidRDefault="0087601C" w:rsidP="00D56051">
            <w:pPr>
              <w:spacing w:line="320" w:lineRule="atLeast"/>
              <w:ind w:left="60" w:right="60"/>
              <w:jc w:val="right"/>
              <w:rPr>
                <w:color w:val="010205"/>
                <w:sz w:val="18"/>
              </w:rPr>
            </w:pPr>
            <w:r w:rsidRPr="006A1EC7">
              <w:rPr>
                <w:color w:val="010205"/>
                <w:sz w:val="18"/>
              </w:rPr>
              <w:t>1.03</w:t>
            </w:r>
          </w:p>
        </w:tc>
      </w:tr>
    </w:tbl>
    <w:p w14:paraId="359D21F4" w14:textId="77777777" w:rsidR="0087601C" w:rsidRPr="006A1EC7" w:rsidRDefault="0087601C" w:rsidP="0087601C">
      <w:pPr>
        <w:spacing w:line="400" w:lineRule="atLeast"/>
        <w:rPr>
          <w:sz w:val="18"/>
        </w:rPr>
      </w:pPr>
    </w:p>
    <w:tbl>
      <w:tblPr>
        <w:tblW w:w="6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81"/>
      </w:tblGrid>
      <w:tr w:rsidR="0087601C" w:rsidRPr="006A1EC7" w14:paraId="093A5A7D" w14:textId="77777777" w:rsidTr="00D56051">
        <w:trPr>
          <w:cantSplit/>
        </w:trPr>
        <w:tc>
          <w:tcPr>
            <w:tcW w:w="6881" w:type="dxa"/>
            <w:tcBorders>
              <w:top w:val="nil"/>
              <w:left w:val="nil"/>
              <w:bottom w:val="single" w:sz="8" w:space="0" w:color="152935"/>
              <w:right w:val="nil"/>
            </w:tcBorders>
            <w:shd w:val="clear" w:color="auto" w:fill="FFFFFF"/>
          </w:tcPr>
          <w:p w14:paraId="682C5EB6" w14:textId="77777777" w:rsidR="0087601C" w:rsidRPr="006A1EC7" w:rsidRDefault="0087601C" w:rsidP="00D56051">
            <w:pPr>
              <w:spacing w:line="320" w:lineRule="atLeast"/>
              <w:ind w:left="60" w:right="60"/>
              <w:rPr>
                <w:color w:val="010205"/>
                <w:sz w:val="18"/>
              </w:rPr>
            </w:pPr>
            <w:r w:rsidRPr="006A1EC7">
              <w:rPr>
                <w:sz w:val="20"/>
                <w:szCs w:val="26"/>
              </w:rPr>
              <w:t>T</w:t>
            </w:r>
            <w:r w:rsidRPr="006A1EC7">
              <w:rPr>
                <w:color w:val="010205"/>
                <w:sz w:val="18"/>
              </w:rPr>
              <w:t>The One-Sample Test table is not produced.</w:t>
            </w:r>
          </w:p>
        </w:tc>
      </w:tr>
    </w:tbl>
    <w:p w14:paraId="1EAE363E" w14:textId="77777777" w:rsidR="0087601C" w:rsidRPr="006A1EC7" w:rsidRDefault="0087601C" w:rsidP="0087601C">
      <w:pPr>
        <w:spacing w:line="400" w:lineRule="atLeast"/>
        <w:rPr>
          <w:sz w:val="18"/>
        </w:rPr>
      </w:pPr>
    </w:p>
    <w:tbl>
      <w:tblPr>
        <w:tblW w:w="7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4"/>
        <w:gridCol w:w="1280"/>
        <w:gridCol w:w="1280"/>
        <w:gridCol w:w="1834"/>
        <w:gridCol w:w="1834"/>
      </w:tblGrid>
      <w:tr w:rsidR="0087601C" w:rsidRPr="006A1EC7" w14:paraId="25959A83" w14:textId="77777777" w:rsidTr="00D56051">
        <w:trPr>
          <w:cantSplit/>
        </w:trPr>
        <w:tc>
          <w:tcPr>
            <w:tcW w:w="954" w:type="dxa"/>
            <w:tcBorders>
              <w:top w:val="nil"/>
              <w:left w:val="nil"/>
              <w:bottom w:val="single" w:sz="8" w:space="0" w:color="152935"/>
              <w:right w:val="nil"/>
            </w:tcBorders>
            <w:shd w:val="clear" w:color="auto" w:fill="FFFFFF"/>
            <w:vAlign w:val="bottom"/>
          </w:tcPr>
          <w:p w14:paraId="1C63B148" w14:textId="77777777" w:rsidR="0087601C" w:rsidRPr="006A1EC7" w:rsidRDefault="0087601C" w:rsidP="00D56051">
            <w:pPr>
              <w:rPr>
                <w:sz w:val="18"/>
              </w:rPr>
            </w:pPr>
          </w:p>
        </w:tc>
        <w:tc>
          <w:tcPr>
            <w:tcW w:w="1280" w:type="dxa"/>
            <w:tcBorders>
              <w:top w:val="nil"/>
              <w:left w:val="nil"/>
              <w:bottom w:val="single" w:sz="8" w:space="0" w:color="152935"/>
              <w:right w:val="single" w:sz="8" w:space="0" w:color="E0E0E0"/>
            </w:tcBorders>
            <w:shd w:val="clear" w:color="auto" w:fill="FFFFFF"/>
            <w:vAlign w:val="bottom"/>
          </w:tcPr>
          <w:p w14:paraId="3794D8F2"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80" w:type="dxa"/>
            <w:tcBorders>
              <w:top w:val="nil"/>
              <w:left w:val="single" w:sz="8" w:space="0" w:color="E0E0E0"/>
              <w:bottom w:val="single" w:sz="8" w:space="0" w:color="152935"/>
              <w:right w:val="single" w:sz="8" w:space="0" w:color="E0E0E0"/>
            </w:tcBorders>
            <w:shd w:val="clear" w:color="auto" w:fill="FFFFFF"/>
            <w:vAlign w:val="bottom"/>
          </w:tcPr>
          <w:p w14:paraId="645381D2"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4" w:type="dxa"/>
            <w:tcBorders>
              <w:top w:val="nil"/>
              <w:left w:val="single" w:sz="8" w:space="0" w:color="E0E0E0"/>
              <w:bottom w:val="single" w:sz="8" w:space="0" w:color="152935"/>
              <w:right w:val="single" w:sz="8" w:space="0" w:color="E0E0E0"/>
            </w:tcBorders>
            <w:shd w:val="clear" w:color="auto" w:fill="FFFFFF"/>
            <w:vAlign w:val="bottom"/>
          </w:tcPr>
          <w:p w14:paraId="72A8412F"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4" w:type="dxa"/>
            <w:tcBorders>
              <w:top w:val="nil"/>
              <w:left w:val="single" w:sz="8" w:space="0" w:color="E0E0E0"/>
              <w:bottom w:val="single" w:sz="8" w:space="0" w:color="152935"/>
              <w:right w:val="nil"/>
            </w:tcBorders>
            <w:shd w:val="clear" w:color="auto" w:fill="FFFFFF"/>
            <w:vAlign w:val="bottom"/>
          </w:tcPr>
          <w:p w14:paraId="3BD9977E"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40E2A5D0" w14:textId="77777777" w:rsidTr="00D56051">
        <w:trPr>
          <w:cantSplit/>
        </w:trPr>
        <w:tc>
          <w:tcPr>
            <w:tcW w:w="954" w:type="dxa"/>
            <w:tcBorders>
              <w:top w:val="single" w:sz="8" w:space="0" w:color="152935"/>
              <w:left w:val="nil"/>
              <w:bottom w:val="single" w:sz="8" w:space="0" w:color="152935"/>
              <w:right w:val="nil"/>
            </w:tcBorders>
            <w:shd w:val="clear" w:color="auto" w:fill="E0E0E0"/>
          </w:tcPr>
          <w:p w14:paraId="77554FFB" w14:textId="77777777" w:rsidR="0087601C" w:rsidRPr="006A1EC7" w:rsidRDefault="0087601C" w:rsidP="00D56051">
            <w:pPr>
              <w:spacing w:line="320" w:lineRule="atLeast"/>
              <w:ind w:left="60" w:right="60"/>
              <w:rPr>
                <w:color w:val="264A60"/>
                <w:sz w:val="18"/>
              </w:rPr>
            </w:pPr>
            <w:r w:rsidRPr="006A1EC7">
              <w:rPr>
                <w:color w:val="264A60"/>
                <w:sz w:val="18"/>
              </w:rPr>
              <w:t>Sleep</w:t>
            </w:r>
          </w:p>
        </w:tc>
        <w:tc>
          <w:tcPr>
            <w:tcW w:w="1280" w:type="dxa"/>
            <w:tcBorders>
              <w:top w:val="single" w:sz="8" w:space="0" w:color="152935"/>
              <w:left w:val="nil"/>
              <w:bottom w:val="single" w:sz="8" w:space="0" w:color="152935"/>
              <w:right w:val="single" w:sz="8" w:space="0" w:color="E0E0E0"/>
            </w:tcBorders>
            <w:shd w:val="clear" w:color="auto" w:fill="FFFFFF"/>
          </w:tcPr>
          <w:p w14:paraId="1EEA3976" w14:textId="77777777" w:rsidR="0087601C" w:rsidRPr="006A1EC7" w:rsidRDefault="0087601C" w:rsidP="00D56051">
            <w:pPr>
              <w:spacing w:line="320" w:lineRule="atLeast"/>
              <w:ind w:left="60" w:right="60"/>
              <w:jc w:val="right"/>
              <w:rPr>
                <w:color w:val="010205"/>
                <w:sz w:val="18"/>
              </w:rPr>
            </w:pPr>
            <w:r w:rsidRPr="006A1EC7">
              <w:rPr>
                <w:color w:val="010205"/>
                <w:sz w:val="18"/>
              </w:rPr>
              <w:t>38</w:t>
            </w:r>
          </w:p>
        </w:tc>
        <w:tc>
          <w:tcPr>
            <w:tcW w:w="1280" w:type="dxa"/>
            <w:tcBorders>
              <w:top w:val="single" w:sz="8" w:space="0" w:color="152935"/>
              <w:left w:val="single" w:sz="8" w:space="0" w:color="E0E0E0"/>
              <w:bottom w:val="single" w:sz="8" w:space="0" w:color="152935"/>
              <w:right w:val="single" w:sz="8" w:space="0" w:color="E0E0E0"/>
            </w:tcBorders>
            <w:shd w:val="clear" w:color="auto" w:fill="FFFFFF"/>
          </w:tcPr>
          <w:p w14:paraId="1AAB1F4A" w14:textId="77777777" w:rsidR="0087601C" w:rsidRPr="006A1EC7" w:rsidRDefault="0087601C" w:rsidP="00D56051">
            <w:pPr>
              <w:spacing w:line="320" w:lineRule="atLeast"/>
              <w:ind w:left="60" w:right="60"/>
              <w:jc w:val="right"/>
              <w:rPr>
                <w:color w:val="010205"/>
                <w:sz w:val="18"/>
              </w:rPr>
            </w:pPr>
            <w:r w:rsidRPr="006A1EC7">
              <w:rPr>
                <w:color w:val="010205"/>
                <w:sz w:val="18"/>
              </w:rPr>
              <w:t>3.00</w:t>
            </w:r>
          </w:p>
        </w:tc>
        <w:tc>
          <w:tcPr>
            <w:tcW w:w="1834" w:type="dxa"/>
            <w:tcBorders>
              <w:top w:val="single" w:sz="8" w:space="0" w:color="152935"/>
              <w:left w:val="single" w:sz="8" w:space="0" w:color="E0E0E0"/>
              <w:bottom w:val="single" w:sz="8" w:space="0" w:color="152935"/>
              <w:right w:val="single" w:sz="8" w:space="0" w:color="E0E0E0"/>
            </w:tcBorders>
            <w:shd w:val="clear" w:color="auto" w:fill="FFFFFF"/>
          </w:tcPr>
          <w:p w14:paraId="31DC0EEF" w14:textId="77777777" w:rsidR="0087601C" w:rsidRPr="006A1EC7" w:rsidRDefault="0087601C" w:rsidP="00D56051">
            <w:pPr>
              <w:spacing w:line="320" w:lineRule="atLeast"/>
              <w:ind w:left="60" w:right="60"/>
              <w:jc w:val="right"/>
              <w:rPr>
                <w:color w:val="010205"/>
                <w:sz w:val="18"/>
              </w:rPr>
            </w:pPr>
            <w:r w:rsidRPr="006A1EC7">
              <w:rPr>
                <w:color w:val="010205"/>
                <w:sz w:val="18"/>
              </w:rPr>
              <w:t>.000</w:t>
            </w:r>
            <w:r w:rsidRPr="006A1EC7">
              <w:rPr>
                <w:color w:val="010205"/>
                <w:sz w:val="18"/>
                <w:vertAlign w:val="superscript"/>
              </w:rPr>
              <w:t>a</w:t>
            </w:r>
          </w:p>
        </w:tc>
        <w:tc>
          <w:tcPr>
            <w:tcW w:w="1834" w:type="dxa"/>
            <w:tcBorders>
              <w:top w:val="single" w:sz="8" w:space="0" w:color="152935"/>
              <w:left w:val="single" w:sz="8" w:space="0" w:color="E0E0E0"/>
              <w:bottom w:val="single" w:sz="8" w:space="0" w:color="152935"/>
              <w:right w:val="nil"/>
            </w:tcBorders>
            <w:shd w:val="clear" w:color="auto" w:fill="FFFFFF"/>
          </w:tcPr>
          <w:p w14:paraId="6235B160"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bl>
    <w:p w14:paraId="51FFF2A8" w14:textId="77777777" w:rsidR="0087601C" w:rsidRPr="006A1EC7" w:rsidRDefault="0087601C" w:rsidP="0087601C">
      <w:pPr>
        <w:rPr>
          <w:color w:val="010205"/>
          <w:sz w:val="18"/>
        </w:rPr>
      </w:pPr>
    </w:p>
    <w:tbl>
      <w:tblPr>
        <w:tblW w:w="7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82"/>
      </w:tblGrid>
      <w:tr w:rsidR="0087601C" w:rsidRPr="006A1EC7" w14:paraId="00CF6037" w14:textId="77777777" w:rsidTr="00D56051">
        <w:trPr>
          <w:cantSplit/>
        </w:trPr>
        <w:tc>
          <w:tcPr>
            <w:tcW w:w="7179" w:type="dxa"/>
            <w:tcBorders>
              <w:top w:val="nil"/>
              <w:left w:val="nil"/>
              <w:bottom w:val="nil"/>
              <w:right w:val="nil"/>
            </w:tcBorders>
            <w:shd w:val="clear" w:color="auto" w:fill="FFFFFF"/>
          </w:tcPr>
          <w:p w14:paraId="630CE58E" w14:textId="77777777" w:rsidR="0087601C" w:rsidRPr="006A1EC7" w:rsidRDefault="0087601C" w:rsidP="00D56051">
            <w:pPr>
              <w:spacing w:line="320" w:lineRule="atLeast"/>
              <w:ind w:left="60" w:right="60"/>
              <w:rPr>
                <w:color w:val="010205"/>
                <w:sz w:val="18"/>
              </w:rPr>
            </w:pPr>
            <w:r w:rsidRPr="006A1EC7">
              <w:rPr>
                <w:color w:val="010205"/>
                <w:sz w:val="18"/>
              </w:rPr>
              <w:t>a. t cannot be computed because the standard deviation is 0.</w:t>
            </w:r>
          </w:p>
        </w:tc>
      </w:tr>
    </w:tbl>
    <w:p w14:paraId="2EAAD97A"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7"/>
        <w:gridCol w:w="68"/>
        <w:gridCol w:w="1160"/>
        <w:gridCol w:w="117"/>
        <w:gridCol w:w="1111"/>
        <w:gridCol w:w="166"/>
        <w:gridCol w:w="1595"/>
        <w:gridCol w:w="236"/>
        <w:gridCol w:w="1525"/>
        <w:gridCol w:w="306"/>
        <w:gridCol w:w="1455"/>
        <w:gridCol w:w="1761"/>
      </w:tblGrid>
      <w:tr w:rsidR="0087601C" w:rsidRPr="006A1EC7" w14:paraId="3F3D2871" w14:textId="77777777" w:rsidTr="00D56051">
        <w:trPr>
          <w:gridAfter w:val="2"/>
          <w:wAfter w:w="3216" w:type="dxa"/>
          <w:cantSplit/>
        </w:trPr>
        <w:tc>
          <w:tcPr>
            <w:tcW w:w="1755" w:type="dxa"/>
            <w:gridSpan w:val="2"/>
            <w:tcBorders>
              <w:top w:val="nil"/>
              <w:left w:val="nil"/>
              <w:bottom w:val="single" w:sz="8" w:space="0" w:color="152935"/>
              <w:right w:val="nil"/>
            </w:tcBorders>
            <w:shd w:val="clear" w:color="auto" w:fill="FFFFFF"/>
            <w:vAlign w:val="bottom"/>
          </w:tcPr>
          <w:p w14:paraId="6B65D956" w14:textId="77777777" w:rsidR="0087601C" w:rsidRPr="006A1EC7" w:rsidRDefault="0087601C" w:rsidP="00D56051">
            <w:pPr>
              <w:rPr>
                <w:sz w:val="18"/>
              </w:rPr>
            </w:pPr>
          </w:p>
        </w:tc>
        <w:tc>
          <w:tcPr>
            <w:tcW w:w="1277" w:type="dxa"/>
            <w:gridSpan w:val="2"/>
            <w:tcBorders>
              <w:top w:val="nil"/>
              <w:left w:val="nil"/>
              <w:bottom w:val="single" w:sz="8" w:space="0" w:color="152935"/>
              <w:right w:val="single" w:sz="8" w:space="0" w:color="E0E0E0"/>
            </w:tcBorders>
            <w:shd w:val="clear" w:color="auto" w:fill="FFFFFF"/>
            <w:vAlign w:val="bottom"/>
          </w:tcPr>
          <w:p w14:paraId="3D4FB08A"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7" w:type="dxa"/>
            <w:gridSpan w:val="2"/>
            <w:tcBorders>
              <w:top w:val="nil"/>
              <w:left w:val="single" w:sz="8" w:space="0" w:color="E0E0E0"/>
              <w:bottom w:val="single" w:sz="8" w:space="0" w:color="152935"/>
              <w:right w:val="single" w:sz="8" w:space="0" w:color="E0E0E0"/>
            </w:tcBorders>
            <w:shd w:val="clear" w:color="auto" w:fill="FFFFFF"/>
            <w:vAlign w:val="bottom"/>
          </w:tcPr>
          <w:p w14:paraId="35347CC5"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31" w:type="dxa"/>
            <w:gridSpan w:val="2"/>
            <w:tcBorders>
              <w:top w:val="nil"/>
              <w:left w:val="single" w:sz="8" w:space="0" w:color="E0E0E0"/>
              <w:bottom w:val="single" w:sz="8" w:space="0" w:color="152935"/>
              <w:right w:val="single" w:sz="8" w:space="0" w:color="E0E0E0"/>
            </w:tcBorders>
            <w:shd w:val="clear" w:color="auto" w:fill="FFFFFF"/>
            <w:vAlign w:val="bottom"/>
          </w:tcPr>
          <w:p w14:paraId="39A354DA"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31" w:type="dxa"/>
            <w:gridSpan w:val="2"/>
            <w:tcBorders>
              <w:top w:val="nil"/>
              <w:left w:val="single" w:sz="8" w:space="0" w:color="E0E0E0"/>
              <w:bottom w:val="single" w:sz="8" w:space="0" w:color="152935"/>
              <w:right w:val="nil"/>
            </w:tcBorders>
            <w:shd w:val="clear" w:color="auto" w:fill="FFFFFF"/>
            <w:vAlign w:val="bottom"/>
          </w:tcPr>
          <w:p w14:paraId="49FB0D61"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5A5EDFAF" w14:textId="77777777" w:rsidTr="00D56051">
        <w:trPr>
          <w:gridAfter w:val="2"/>
          <w:wAfter w:w="3216" w:type="dxa"/>
          <w:cantSplit/>
        </w:trPr>
        <w:tc>
          <w:tcPr>
            <w:tcW w:w="1755" w:type="dxa"/>
            <w:gridSpan w:val="2"/>
            <w:tcBorders>
              <w:top w:val="single" w:sz="8" w:space="0" w:color="152935"/>
              <w:left w:val="nil"/>
              <w:bottom w:val="single" w:sz="8" w:space="0" w:color="152935"/>
              <w:right w:val="nil"/>
            </w:tcBorders>
            <w:shd w:val="clear" w:color="auto" w:fill="E0E0E0"/>
          </w:tcPr>
          <w:p w14:paraId="2845479A" w14:textId="77777777" w:rsidR="0087601C" w:rsidRPr="006A1EC7" w:rsidRDefault="0087601C" w:rsidP="00D56051">
            <w:pPr>
              <w:spacing w:line="320" w:lineRule="atLeast"/>
              <w:ind w:left="60" w:right="60"/>
              <w:rPr>
                <w:color w:val="264A60"/>
                <w:sz w:val="18"/>
              </w:rPr>
            </w:pPr>
            <w:r w:rsidRPr="006A1EC7">
              <w:rPr>
                <w:color w:val="264A60"/>
                <w:sz w:val="18"/>
              </w:rPr>
              <w:t>Level of care</w:t>
            </w:r>
          </w:p>
        </w:tc>
        <w:tc>
          <w:tcPr>
            <w:tcW w:w="1277" w:type="dxa"/>
            <w:gridSpan w:val="2"/>
            <w:tcBorders>
              <w:top w:val="single" w:sz="8" w:space="0" w:color="152935"/>
              <w:left w:val="nil"/>
              <w:bottom w:val="single" w:sz="8" w:space="0" w:color="152935"/>
              <w:right w:val="single" w:sz="8" w:space="0" w:color="E0E0E0"/>
            </w:tcBorders>
            <w:shd w:val="clear" w:color="auto" w:fill="FFFFFF"/>
          </w:tcPr>
          <w:p w14:paraId="04D89C8A" w14:textId="77777777" w:rsidR="0087601C" w:rsidRPr="006A1EC7" w:rsidRDefault="0087601C" w:rsidP="00D56051">
            <w:pPr>
              <w:spacing w:line="320" w:lineRule="atLeast"/>
              <w:ind w:left="60" w:right="60"/>
              <w:jc w:val="right"/>
              <w:rPr>
                <w:color w:val="010205"/>
                <w:sz w:val="18"/>
              </w:rPr>
            </w:pPr>
            <w:r w:rsidRPr="006A1EC7">
              <w:rPr>
                <w:color w:val="010205"/>
                <w:sz w:val="18"/>
              </w:rPr>
              <w:t>37</w:t>
            </w:r>
          </w:p>
        </w:tc>
        <w:tc>
          <w:tcPr>
            <w:tcW w:w="1277" w:type="dxa"/>
            <w:gridSpan w:val="2"/>
            <w:tcBorders>
              <w:top w:val="single" w:sz="8" w:space="0" w:color="152935"/>
              <w:left w:val="single" w:sz="8" w:space="0" w:color="E0E0E0"/>
              <w:bottom w:val="single" w:sz="8" w:space="0" w:color="152935"/>
              <w:right w:val="single" w:sz="8" w:space="0" w:color="E0E0E0"/>
            </w:tcBorders>
            <w:shd w:val="clear" w:color="auto" w:fill="FFFFFF"/>
          </w:tcPr>
          <w:p w14:paraId="04FA1973" w14:textId="77777777" w:rsidR="0087601C" w:rsidRPr="006A1EC7" w:rsidRDefault="0087601C" w:rsidP="00D56051">
            <w:pPr>
              <w:spacing w:line="320" w:lineRule="atLeast"/>
              <w:ind w:left="60" w:right="60"/>
              <w:jc w:val="right"/>
              <w:rPr>
                <w:color w:val="010205"/>
                <w:sz w:val="18"/>
              </w:rPr>
            </w:pPr>
            <w:r w:rsidRPr="006A1EC7">
              <w:rPr>
                <w:color w:val="010205"/>
                <w:sz w:val="18"/>
              </w:rPr>
              <w:t>1.14</w:t>
            </w:r>
          </w:p>
        </w:tc>
        <w:tc>
          <w:tcPr>
            <w:tcW w:w="1831" w:type="dxa"/>
            <w:gridSpan w:val="2"/>
            <w:tcBorders>
              <w:top w:val="single" w:sz="8" w:space="0" w:color="152935"/>
              <w:left w:val="single" w:sz="8" w:space="0" w:color="E0E0E0"/>
              <w:bottom w:val="single" w:sz="8" w:space="0" w:color="152935"/>
              <w:right w:val="single" w:sz="8" w:space="0" w:color="E0E0E0"/>
            </w:tcBorders>
            <w:shd w:val="clear" w:color="auto" w:fill="FFFFFF"/>
          </w:tcPr>
          <w:p w14:paraId="09AF16EA" w14:textId="77777777" w:rsidR="0087601C" w:rsidRPr="006A1EC7" w:rsidRDefault="0087601C" w:rsidP="00D56051">
            <w:pPr>
              <w:spacing w:line="320" w:lineRule="atLeast"/>
              <w:ind w:left="60" w:right="60"/>
              <w:jc w:val="right"/>
              <w:rPr>
                <w:color w:val="010205"/>
                <w:sz w:val="18"/>
              </w:rPr>
            </w:pPr>
            <w:r w:rsidRPr="006A1EC7">
              <w:rPr>
                <w:color w:val="010205"/>
                <w:sz w:val="18"/>
              </w:rPr>
              <w:t>.347</w:t>
            </w:r>
          </w:p>
        </w:tc>
        <w:tc>
          <w:tcPr>
            <w:tcW w:w="1831" w:type="dxa"/>
            <w:gridSpan w:val="2"/>
            <w:tcBorders>
              <w:top w:val="single" w:sz="8" w:space="0" w:color="152935"/>
              <w:left w:val="single" w:sz="8" w:space="0" w:color="E0E0E0"/>
              <w:bottom w:val="single" w:sz="8" w:space="0" w:color="152935"/>
              <w:right w:val="nil"/>
            </w:tcBorders>
            <w:shd w:val="clear" w:color="auto" w:fill="FFFFFF"/>
          </w:tcPr>
          <w:p w14:paraId="1D0EC316" w14:textId="77777777" w:rsidR="0087601C" w:rsidRPr="006A1EC7" w:rsidRDefault="0087601C" w:rsidP="00D56051">
            <w:pPr>
              <w:spacing w:line="320" w:lineRule="atLeast"/>
              <w:ind w:left="60" w:right="60"/>
              <w:jc w:val="right"/>
              <w:rPr>
                <w:color w:val="010205"/>
                <w:sz w:val="18"/>
              </w:rPr>
            </w:pPr>
            <w:r w:rsidRPr="006A1EC7">
              <w:rPr>
                <w:color w:val="010205"/>
                <w:sz w:val="18"/>
              </w:rPr>
              <w:t>.057</w:t>
            </w:r>
          </w:p>
        </w:tc>
      </w:tr>
      <w:tr w:rsidR="0087601C" w:rsidRPr="006A1EC7" w14:paraId="2C27B4E3" w14:textId="77777777" w:rsidTr="00D56051">
        <w:trPr>
          <w:cantSplit/>
        </w:trPr>
        <w:tc>
          <w:tcPr>
            <w:tcW w:w="1687" w:type="dxa"/>
            <w:vMerge w:val="restart"/>
            <w:tcBorders>
              <w:top w:val="nil"/>
              <w:left w:val="nil"/>
              <w:bottom w:val="nil"/>
              <w:right w:val="nil"/>
            </w:tcBorders>
            <w:shd w:val="clear" w:color="auto" w:fill="FFFFFF"/>
            <w:vAlign w:val="bottom"/>
          </w:tcPr>
          <w:p w14:paraId="04B81B5D" w14:textId="77777777" w:rsidR="0087601C" w:rsidRPr="006A1EC7" w:rsidRDefault="0087601C" w:rsidP="00D56051">
            <w:pPr>
              <w:rPr>
                <w:sz w:val="18"/>
              </w:rPr>
            </w:pPr>
          </w:p>
        </w:tc>
        <w:tc>
          <w:tcPr>
            <w:tcW w:w="9500" w:type="dxa"/>
            <w:gridSpan w:val="11"/>
            <w:tcBorders>
              <w:top w:val="nil"/>
              <w:left w:val="nil"/>
              <w:bottom w:val="nil"/>
              <w:right w:val="nil"/>
            </w:tcBorders>
            <w:shd w:val="clear" w:color="auto" w:fill="FFFFFF"/>
            <w:vAlign w:val="bottom"/>
          </w:tcPr>
          <w:p w14:paraId="25FE69A5"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1.5</w:t>
            </w:r>
          </w:p>
        </w:tc>
      </w:tr>
      <w:tr w:rsidR="0087601C" w:rsidRPr="006A1EC7" w14:paraId="6808EDCF" w14:textId="77777777" w:rsidTr="00D56051">
        <w:trPr>
          <w:cantSplit/>
        </w:trPr>
        <w:tc>
          <w:tcPr>
            <w:tcW w:w="1687" w:type="dxa"/>
            <w:vMerge/>
            <w:tcBorders>
              <w:top w:val="nil"/>
              <w:left w:val="nil"/>
              <w:bottom w:val="nil"/>
              <w:right w:val="nil"/>
            </w:tcBorders>
            <w:shd w:val="clear" w:color="auto" w:fill="FFFFFF"/>
            <w:vAlign w:val="bottom"/>
          </w:tcPr>
          <w:p w14:paraId="0A53290E" w14:textId="77777777" w:rsidR="0087601C" w:rsidRPr="006A1EC7" w:rsidRDefault="0087601C" w:rsidP="00D56051">
            <w:pPr>
              <w:rPr>
                <w:color w:val="264A60"/>
                <w:sz w:val="18"/>
              </w:rPr>
            </w:pPr>
          </w:p>
        </w:tc>
        <w:tc>
          <w:tcPr>
            <w:tcW w:w="1228" w:type="dxa"/>
            <w:gridSpan w:val="2"/>
            <w:vMerge w:val="restart"/>
            <w:tcBorders>
              <w:top w:val="nil"/>
              <w:left w:val="nil"/>
              <w:bottom w:val="nil"/>
              <w:right w:val="single" w:sz="8" w:space="0" w:color="E0E0E0"/>
            </w:tcBorders>
            <w:shd w:val="clear" w:color="auto" w:fill="FFFFFF"/>
            <w:vAlign w:val="bottom"/>
          </w:tcPr>
          <w:p w14:paraId="335AC797"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228" w:type="dxa"/>
            <w:gridSpan w:val="2"/>
            <w:vMerge w:val="restart"/>
            <w:tcBorders>
              <w:top w:val="nil"/>
              <w:left w:val="single" w:sz="8" w:space="0" w:color="E0E0E0"/>
              <w:bottom w:val="nil"/>
              <w:right w:val="single" w:sz="8" w:space="0" w:color="E0E0E0"/>
            </w:tcBorders>
            <w:shd w:val="clear" w:color="auto" w:fill="FFFFFF"/>
            <w:vAlign w:val="bottom"/>
          </w:tcPr>
          <w:p w14:paraId="3CA7CCF7"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761" w:type="dxa"/>
            <w:gridSpan w:val="2"/>
            <w:vMerge w:val="restart"/>
            <w:tcBorders>
              <w:top w:val="nil"/>
              <w:left w:val="single" w:sz="8" w:space="0" w:color="E0E0E0"/>
              <w:bottom w:val="nil"/>
              <w:right w:val="single" w:sz="8" w:space="0" w:color="E0E0E0"/>
            </w:tcBorders>
            <w:shd w:val="clear" w:color="auto" w:fill="FFFFFF"/>
            <w:vAlign w:val="bottom"/>
          </w:tcPr>
          <w:p w14:paraId="0C6EE2CB"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761" w:type="dxa"/>
            <w:gridSpan w:val="2"/>
            <w:vMerge w:val="restart"/>
            <w:tcBorders>
              <w:top w:val="nil"/>
              <w:left w:val="single" w:sz="8" w:space="0" w:color="E0E0E0"/>
              <w:bottom w:val="nil"/>
              <w:right w:val="single" w:sz="8" w:space="0" w:color="E0E0E0"/>
            </w:tcBorders>
            <w:shd w:val="clear" w:color="auto" w:fill="FFFFFF"/>
            <w:vAlign w:val="bottom"/>
          </w:tcPr>
          <w:p w14:paraId="14FF4F07"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522" w:type="dxa"/>
            <w:gridSpan w:val="3"/>
            <w:tcBorders>
              <w:top w:val="nil"/>
              <w:left w:val="single" w:sz="8" w:space="0" w:color="E0E0E0"/>
              <w:bottom w:val="nil"/>
              <w:right w:val="nil"/>
            </w:tcBorders>
            <w:shd w:val="clear" w:color="auto" w:fill="FFFFFF"/>
            <w:vAlign w:val="bottom"/>
          </w:tcPr>
          <w:p w14:paraId="21878BBF"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04D90B15" w14:textId="77777777" w:rsidTr="00D56051">
        <w:trPr>
          <w:cantSplit/>
        </w:trPr>
        <w:tc>
          <w:tcPr>
            <w:tcW w:w="1687" w:type="dxa"/>
            <w:vMerge/>
            <w:tcBorders>
              <w:top w:val="nil"/>
              <w:left w:val="nil"/>
              <w:bottom w:val="nil"/>
              <w:right w:val="nil"/>
            </w:tcBorders>
            <w:shd w:val="clear" w:color="auto" w:fill="FFFFFF"/>
            <w:vAlign w:val="bottom"/>
          </w:tcPr>
          <w:p w14:paraId="39980CB8" w14:textId="77777777" w:rsidR="0087601C" w:rsidRPr="006A1EC7" w:rsidRDefault="0087601C" w:rsidP="00D56051">
            <w:pPr>
              <w:rPr>
                <w:color w:val="264A60"/>
                <w:sz w:val="18"/>
              </w:rPr>
            </w:pPr>
          </w:p>
        </w:tc>
        <w:tc>
          <w:tcPr>
            <w:tcW w:w="1228" w:type="dxa"/>
            <w:gridSpan w:val="2"/>
            <w:vMerge/>
            <w:tcBorders>
              <w:top w:val="nil"/>
              <w:left w:val="nil"/>
              <w:bottom w:val="nil"/>
              <w:right w:val="single" w:sz="8" w:space="0" w:color="E0E0E0"/>
            </w:tcBorders>
            <w:shd w:val="clear" w:color="auto" w:fill="FFFFFF"/>
            <w:vAlign w:val="bottom"/>
          </w:tcPr>
          <w:p w14:paraId="192CC59D" w14:textId="77777777" w:rsidR="0087601C" w:rsidRPr="006A1EC7" w:rsidRDefault="0087601C" w:rsidP="00D56051">
            <w:pPr>
              <w:rPr>
                <w:color w:val="264A60"/>
                <w:sz w:val="18"/>
              </w:rPr>
            </w:pPr>
          </w:p>
        </w:tc>
        <w:tc>
          <w:tcPr>
            <w:tcW w:w="1228" w:type="dxa"/>
            <w:gridSpan w:val="2"/>
            <w:vMerge/>
            <w:tcBorders>
              <w:top w:val="nil"/>
              <w:left w:val="single" w:sz="8" w:space="0" w:color="E0E0E0"/>
              <w:bottom w:val="nil"/>
              <w:right w:val="single" w:sz="8" w:space="0" w:color="E0E0E0"/>
            </w:tcBorders>
            <w:shd w:val="clear" w:color="auto" w:fill="FFFFFF"/>
            <w:vAlign w:val="bottom"/>
          </w:tcPr>
          <w:p w14:paraId="65A5D88C" w14:textId="77777777" w:rsidR="0087601C" w:rsidRPr="006A1EC7" w:rsidRDefault="0087601C" w:rsidP="00D56051">
            <w:pPr>
              <w:rPr>
                <w:color w:val="264A60"/>
                <w:sz w:val="18"/>
              </w:rPr>
            </w:pPr>
          </w:p>
        </w:tc>
        <w:tc>
          <w:tcPr>
            <w:tcW w:w="1761" w:type="dxa"/>
            <w:gridSpan w:val="2"/>
            <w:vMerge/>
            <w:tcBorders>
              <w:top w:val="nil"/>
              <w:left w:val="single" w:sz="8" w:space="0" w:color="E0E0E0"/>
              <w:bottom w:val="nil"/>
              <w:right w:val="single" w:sz="8" w:space="0" w:color="E0E0E0"/>
            </w:tcBorders>
            <w:shd w:val="clear" w:color="auto" w:fill="FFFFFF"/>
            <w:vAlign w:val="bottom"/>
          </w:tcPr>
          <w:p w14:paraId="26715BC3" w14:textId="77777777" w:rsidR="0087601C" w:rsidRPr="006A1EC7" w:rsidRDefault="0087601C" w:rsidP="00D56051">
            <w:pPr>
              <w:rPr>
                <w:color w:val="264A60"/>
                <w:sz w:val="18"/>
              </w:rPr>
            </w:pPr>
          </w:p>
        </w:tc>
        <w:tc>
          <w:tcPr>
            <w:tcW w:w="1761" w:type="dxa"/>
            <w:gridSpan w:val="2"/>
            <w:vMerge/>
            <w:tcBorders>
              <w:top w:val="nil"/>
              <w:left w:val="single" w:sz="8" w:space="0" w:color="E0E0E0"/>
              <w:bottom w:val="nil"/>
              <w:right w:val="single" w:sz="8" w:space="0" w:color="E0E0E0"/>
            </w:tcBorders>
            <w:shd w:val="clear" w:color="auto" w:fill="FFFFFF"/>
            <w:vAlign w:val="bottom"/>
          </w:tcPr>
          <w:p w14:paraId="65DA06B4" w14:textId="77777777" w:rsidR="0087601C" w:rsidRPr="006A1EC7" w:rsidRDefault="0087601C" w:rsidP="00D56051">
            <w:pPr>
              <w:rPr>
                <w:color w:val="264A60"/>
                <w:sz w:val="18"/>
              </w:rPr>
            </w:pPr>
          </w:p>
        </w:tc>
        <w:tc>
          <w:tcPr>
            <w:tcW w:w="1761" w:type="dxa"/>
            <w:gridSpan w:val="2"/>
            <w:tcBorders>
              <w:top w:val="nil"/>
              <w:left w:val="single" w:sz="8" w:space="0" w:color="E0E0E0"/>
              <w:bottom w:val="single" w:sz="8" w:space="0" w:color="152935"/>
              <w:right w:val="single" w:sz="8" w:space="0" w:color="E0E0E0"/>
            </w:tcBorders>
            <w:shd w:val="clear" w:color="auto" w:fill="FFFFFF"/>
            <w:vAlign w:val="bottom"/>
          </w:tcPr>
          <w:p w14:paraId="78401070"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761" w:type="dxa"/>
            <w:tcBorders>
              <w:top w:val="nil"/>
              <w:left w:val="single" w:sz="8" w:space="0" w:color="E0E0E0"/>
              <w:bottom w:val="single" w:sz="8" w:space="0" w:color="152935"/>
              <w:right w:val="nil"/>
            </w:tcBorders>
            <w:shd w:val="clear" w:color="auto" w:fill="FFFFFF"/>
            <w:vAlign w:val="bottom"/>
          </w:tcPr>
          <w:p w14:paraId="4CC38BDA"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0977975D" w14:textId="77777777" w:rsidTr="00D56051">
        <w:trPr>
          <w:cantSplit/>
        </w:trPr>
        <w:tc>
          <w:tcPr>
            <w:tcW w:w="1687" w:type="dxa"/>
            <w:tcBorders>
              <w:top w:val="single" w:sz="8" w:space="0" w:color="152935"/>
              <w:left w:val="nil"/>
              <w:bottom w:val="single" w:sz="8" w:space="0" w:color="152935"/>
              <w:right w:val="nil"/>
            </w:tcBorders>
            <w:shd w:val="clear" w:color="auto" w:fill="E0E0E0"/>
          </w:tcPr>
          <w:p w14:paraId="158AD2CA" w14:textId="77777777" w:rsidR="0087601C" w:rsidRPr="006A1EC7" w:rsidRDefault="0087601C" w:rsidP="00D56051">
            <w:pPr>
              <w:spacing w:line="320" w:lineRule="atLeast"/>
              <w:ind w:left="60" w:right="60"/>
              <w:rPr>
                <w:color w:val="264A60"/>
                <w:sz w:val="18"/>
              </w:rPr>
            </w:pPr>
            <w:r w:rsidRPr="006A1EC7">
              <w:rPr>
                <w:color w:val="264A60"/>
                <w:sz w:val="18"/>
              </w:rPr>
              <w:t>Level of care</w:t>
            </w:r>
          </w:p>
        </w:tc>
        <w:tc>
          <w:tcPr>
            <w:tcW w:w="1228" w:type="dxa"/>
            <w:gridSpan w:val="2"/>
            <w:tcBorders>
              <w:top w:val="single" w:sz="8" w:space="0" w:color="152935"/>
              <w:left w:val="nil"/>
              <w:bottom w:val="single" w:sz="8" w:space="0" w:color="152935"/>
              <w:right w:val="single" w:sz="8" w:space="0" w:color="E0E0E0"/>
            </w:tcBorders>
            <w:shd w:val="clear" w:color="auto" w:fill="FFFFFF"/>
          </w:tcPr>
          <w:p w14:paraId="09C53EAB" w14:textId="77777777" w:rsidR="0087601C" w:rsidRPr="006A1EC7" w:rsidRDefault="0087601C" w:rsidP="00D56051">
            <w:pPr>
              <w:spacing w:line="320" w:lineRule="atLeast"/>
              <w:ind w:left="60" w:right="60"/>
              <w:jc w:val="right"/>
              <w:rPr>
                <w:color w:val="010205"/>
                <w:sz w:val="18"/>
              </w:rPr>
            </w:pPr>
            <w:r w:rsidRPr="006A1EC7">
              <w:rPr>
                <w:color w:val="010205"/>
                <w:sz w:val="18"/>
              </w:rPr>
              <w:t>-6.404</w:t>
            </w:r>
          </w:p>
        </w:tc>
        <w:tc>
          <w:tcPr>
            <w:tcW w:w="1228" w:type="dxa"/>
            <w:gridSpan w:val="2"/>
            <w:tcBorders>
              <w:top w:val="single" w:sz="8" w:space="0" w:color="152935"/>
              <w:left w:val="single" w:sz="8" w:space="0" w:color="E0E0E0"/>
              <w:bottom w:val="single" w:sz="8" w:space="0" w:color="152935"/>
              <w:right w:val="single" w:sz="8" w:space="0" w:color="E0E0E0"/>
            </w:tcBorders>
            <w:shd w:val="clear" w:color="auto" w:fill="FFFFFF"/>
          </w:tcPr>
          <w:p w14:paraId="6F01CAD5" w14:textId="77777777" w:rsidR="0087601C" w:rsidRPr="006A1EC7" w:rsidRDefault="0087601C" w:rsidP="00D56051">
            <w:pPr>
              <w:spacing w:line="320" w:lineRule="atLeast"/>
              <w:ind w:left="60" w:right="60"/>
              <w:jc w:val="right"/>
              <w:rPr>
                <w:color w:val="010205"/>
                <w:sz w:val="18"/>
              </w:rPr>
            </w:pPr>
            <w:r w:rsidRPr="006A1EC7">
              <w:rPr>
                <w:color w:val="010205"/>
                <w:sz w:val="18"/>
              </w:rPr>
              <w:t>36</w:t>
            </w:r>
          </w:p>
        </w:tc>
        <w:tc>
          <w:tcPr>
            <w:tcW w:w="1761" w:type="dxa"/>
            <w:gridSpan w:val="2"/>
            <w:tcBorders>
              <w:top w:val="single" w:sz="8" w:space="0" w:color="152935"/>
              <w:left w:val="single" w:sz="8" w:space="0" w:color="E0E0E0"/>
              <w:bottom w:val="single" w:sz="8" w:space="0" w:color="152935"/>
              <w:right w:val="single" w:sz="8" w:space="0" w:color="E0E0E0"/>
            </w:tcBorders>
            <w:shd w:val="clear" w:color="auto" w:fill="FFFFFF"/>
          </w:tcPr>
          <w:p w14:paraId="32CF4DBB"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c>
          <w:tcPr>
            <w:tcW w:w="1761" w:type="dxa"/>
            <w:gridSpan w:val="2"/>
            <w:tcBorders>
              <w:top w:val="single" w:sz="8" w:space="0" w:color="152935"/>
              <w:left w:val="single" w:sz="8" w:space="0" w:color="E0E0E0"/>
              <w:bottom w:val="single" w:sz="8" w:space="0" w:color="152935"/>
              <w:right w:val="single" w:sz="8" w:space="0" w:color="E0E0E0"/>
            </w:tcBorders>
            <w:shd w:val="clear" w:color="auto" w:fill="FFFFFF"/>
          </w:tcPr>
          <w:p w14:paraId="55E5DE9E" w14:textId="77777777" w:rsidR="0087601C" w:rsidRPr="006A1EC7" w:rsidRDefault="0087601C" w:rsidP="00D56051">
            <w:pPr>
              <w:spacing w:line="320" w:lineRule="atLeast"/>
              <w:ind w:left="60" w:right="60"/>
              <w:jc w:val="right"/>
              <w:rPr>
                <w:color w:val="010205"/>
                <w:sz w:val="18"/>
              </w:rPr>
            </w:pPr>
            <w:r w:rsidRPr="006A1EC7">
              <w:rPr>
                <w:color w:val="010205"/>
                <w:sz w:val="18"/>
              </w:rPr>
              <w:t>-.365</w:t>
            </w:r>
          </w:p>
        </w:tc>
        <w:tc>
          <w:tcPr>
            <w:tcW w:w="1761" w:type="dxa"/>
            <w:gridSpan w:val="2"/>
            <w:tcBorders>
              <w:top w:val="single" w:sz="8" w:space="0" w:color="152935"/>
              <w:left w:val="single" w:sz="8" w:space="0" w:color="E0E0E0"/>
              <w:bottom w:val="single" w:sz="8" w:space="0" w:color="152935"/>
              <w:right w:val="single" w:sz="8" w:space="0" w:color="E0E0E0"/>
            </w:tcBorders>
            <w:shd w:val="clear" w:color="auto" w:fill="FFFFFF"/>
          </w:tcPr>
          <w:p w14:paraId="6E9A2B83" w14:textId="77777777" w:rsidR="0087601C" w:rsidRPr="006A1EC7" w:rsidRDefault="0087601C" w:rsidP="00D56051">
            <w:pPr>
              <w:spacing w:line="320" w:lineRule="atLeast"/>
              <w:ind w:left="60" w:right="60"/>
              <w:jc w:val="right"/>
              <w:rPr>
                <w:color w:val="010205"/>
                <w:sz w:val="18"/>
              </w:rPr>
            </w:pPr>
            <w:r w:rsidRPr="006A1EC7">
              <w:rPr>
                <w:color w:val="010205"/>
                <w:sz w:val="18"/>
              </w:rPr>
              <w:t>-.48</w:t>
            </w:r>
          </w:p>
        </w:tc>
        <w:tc>
          <w:tcPr>
            <w:tcW w:w="1761" w:type="dxa"/>
            <w:tcBorders>
              <w:top w:val="single" w:sz="8" w:space="0" w:color="152935"/>
              <w:left w:val="single" w:sz="8" w:space="0" w:color="E0E0E0"/>
              <w:bottom w:val="single" w:sz="8" w:space="0" w:color="152935"/>
              <w:right w:val="nil"/>
            </w:tcBorders>
            <w:shd w:val="clear" w:color="auto" w:fill="FFFFFF"/>
          </w:tcPr>
          <w:p w14:paraId="2B8431CF" w14:textId="77777777" w:rsidR="0087601C" w:rsidRPr="006A1EC7" w:rsidRDefault="0087601C" w:rsidP="00D56051">
            <w:pPr>
              <w:spacing w:line="320" w:lineRule="atLeast"/>
              <w:ind w:left="60" w:right="60"/>
              <w:jc w:val="right"/>
              <w:rPr>
                <w:color w:val="010205"/>
                <w:sz w:val="18"/>
              </w:rPr>
            </w:pPr>
            <w:r w:rsidRPr="006A1EC7">
              <w:rPr>
                <w:color w:val="010205"/>
                <w:sz w:val="18"/>
              </w:rPr>
              <w:t>-.25</w:t>
            </w:r>
          </w:p>
        </w:tc>
      </w:tr>
    </w:tbl>
    <w:p w14:paraId="4BF67100" w14:textId="77777777" w:rsidR="0087601C" w:rsidRPr="006A1EC7" w:rsidRDefault="0087601C" w:rsidP="0087601C">
      <w:pPr>
        <w:spacing w:line="400" w:lineRule="atLeast"/>
        <w:rPr>
          <w:sz w:val="18"/>
        </w:rPr>
      </w:pPr>
    </w:p>
    <w:p w14:paraId="4859D8E7" w14:textId="77777777" w:rsidR="0087601C" w:rsidRPr="006A1EC7" w:rsidRDefault="0087601C" w:rsidP="0087601C">
      <w:pPr>
        <w:rPr>
          <w:sz w:val="18"/>
        </w:rPr>
      </w:pPr>
      <w:r w:rsidRPr="006A1EC7">
        <w:rPr>
          <w:sz w:val="20"/>
          <w:szCs w:val="26"/>
        </w:rPr>
        <w:t>T</w:t>
      </w:r>
    </w:p>
    <w:p w14:paraId="39E2EFD5" w14:textId="77777777" w:rsidR="0087601C" w:rsidRPr="006A1EC7" w:rsidRDefault="0087601C" w:rsidP="0087601C">
      <w:pPr>
        <w:spacing w:line="400" w:lineRule="atLeast"/>
        <w:rPr>
          <w:sz w:val="18"/>
        </w:rPr>
      </w:pPr>
    </w:p>
    <w:tbl>
      <w:tblPr>
        <w:tblW w:w="8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3"/>
        <w:gridCol w:w="1276"/>
        <w:gridCol w:w="1276"/>
        <w:gridCol w:w="1828"/>
        <w:gridCol w:w="1828"/>
      </w:tblGrid>
      <w:tr w:rsidR="0087601C" w:rsidRPr="006A1EC7" w14:paraId="6E097015" w14:textId="77777777" w:rsidTr="00D56051">
        <w:trPr>
          <w:cantSplit/>
        </w:trPr>
        <w:tc>
          <w:tcPr>
            <w:tcW w:w="8760" w:type="dxa"/>
            <w:gridSpan w:val="5"/>
            <w:tcBorders>
              <w:top w:val="nil"/>
              <w:left w:val="nil"/>
              <w:bottom w:val="nil"/>
              <w:right w:val="nil"/>
            </w:tcBorders>
            <w:shd w:val="clear" w:color="auto" w:fill="FFFFFF"/>
            <w:vAlign w:val="center"/>
          </w:tcPr>
          <w:p w14:paraId="52179705" w14:textId="77777777" w:rsidR="0087601C" w:rsidRPr="006A1EC7" w:rsidRDefault="0087601C" w:rsidP="00D56051">
            <w:pPr>
              <w:spacing w:line="320" w:lineRule="atLeast"/>
              <w:ind w:left="60" w:right="60"/>
              <w:jc w:val="center"/>
              <w:rPr>
                <w:color w:val="010205"/>
                <w:sz w:val="22"/>
                <w:szCs w:val="30"/>
              </w:rPr>
            </w:pPr>
          </w:p>
        </w:tc>
      </w:tr>
      <w:tr w:rsidR="0087601C" w:rsidRPr="006A1EC7" w14:paraId="4ACB4ACD" w14:textId="77777777" w:rsidTr="00D56051">
        <w:trPr>
          <w:cantSplit/>
        </w:trPr>
        <w:tc>
          <w:tcPr>
            <w:tcW w:w="2552" w:type="dxa"/>
            <w:tcBorders>
              <w:top w:val="nil"/>
              <w:left w:val="nil"/>
              <w:bottom w:val="single" w:sz="8" w:space="0" w:color="152935"/>
              <w:right w:val="nil"/>
            </w:tcBorders>
            <w:shd w:val="clear" w:color="auto" w:fill="FFFFFF"/>
            <w:vAlign w:val="bottom"/>
          </w:tcPr>
          <w:p w14:paraId="7B1DCA97" w14:textId="77777777" w:rsidR="0087601C" w:rsidRPr="006A1EC7" w:rsidRDefault="0087601C" w:rsidP="00D56051">
            <w:pPr>
              <w:rPr>
                <w:sz w:val="18"/>
              </w:rPr>
            </w:pPr>
          </w:p>
        </w:tc>
        <w:tc>
          <w:tcPr>
            <w:tcW w:w="1276" w:type="dxa"/>
            <w:tcBorders>
              <w:top w:val="nil"/>
              <w:left w:val="nil"/>
              <w:bottom w:val="single" w:sz="8" w:space="0" w:color="152935"/>
              <w:right w:val="single" w:sz="8" w:space="0" w:color="E0E0E0"/>
            </w:tcBorders>
            <w:shd w:val="clear" w:color="auto" w:fill="FFFFFF"/>
            <w:vAlign w:val="bottom"/>
          </w:tcPr>
          <w:p w14:paraId="40F1F186" w14:textId="77777777" w:rsidR="0087601C" w:rsidRPr="006A1EC7" w:rsidRDefault="0087601C" w:rsidP="00D56051">
            <w:pPr>
              <w:spacing w:line="320" w:lineRule="atLeast"/>
              <w:ind w:left="60" w:right="60"/>
              <w:jc w:val="center"/>
              <w:rPr>
                <w:color w:val="264A60"/>
                <w:sz w:val="18"/>
              </w:rPr>
            </w:pPr>
            <w:r w:rsidRPr="006A1EC7">
              <w:rPr>
                <w:color w:val="264A60"/>
                <w:sz w:val="18"/>
              </w:rPr>
              <w:t>N</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1CCB8676"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1828" w:type="dxa"/>
            <w:tcBorders>
              <w:top w:val="nil"/>
              <w:left w:val="single" w:sz="8" w:space="0" w:color="E0E0E0"/>
              <w:bottom w:val="single" w:sz="8" w:space="0" w:color="152935"/>
              <w:right w:val="single" w:sz="8" w:space="0" w:color="E0E0E0"/>
            </w:tcBorders>
            <w:shd w:val="clear" w:color="auto" w:fill="FFFFFF"/>
            <w:vAlign w:val="bottom"/>
          </w:tcPr>
          <w:p w14:paraId="46F21C1B"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1828" w:type="dxa"/>
            <w:tcBorders>
              <w:top w:val="nil"/>
              <w:left w:val="single" w:sz="8" w:space="0" w:color="E0E0E0"/>
              <w:bottom w:val="single" w:sz="8" w:space="0" w:color="152935"/>
              <w:right w:val="nil"/>
            </w:tcBorders>
            <w:shd w:val="clear" w:color="auto" w:fill="FFFFFF"/>
            <w:vAlign w:val="bottom"/>
          </w:tcPr>
          <w:p w14:paraId="512D1D56"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r>
      <w:tr w:rsidR="0087601C" w:rsidRPr="006A1EC7" w14:paraId="7FE8A3EA" w14:textId="77777777" w:rsidTr="00D56051">
        <w:trPr>
          <w:cantSplit/>
        </w:trPr>
        <w:tc>
          <w:tcPr>
            <w:tcW w:w="2552" w:type="dxa"/>
            <w:tcBorders>
              <w:top w:val="single" w:sz="8" w:space="0" w:color="152935"/>
              <w:left w:val="nil"/>
              <w:bottom w:val="single" w:sz="8" w:space="0" w:color="152935"/>
              <w:right w:val="nil"/>
            </w:tcBorders>
            <w:shd w:val="clear" w:color="auto" w:fill="E0E0E0"/>
          </w:tcPr>
          <w:p w14:paraId="74017D26" w14:textId="77777777" w:rsidR="0087601C" w:rsidRPr="006A1EC7" w:rsidRDefault="0087601C" w:rsidP="00D56051">
            <w:pPr>
              <w:spacing w:line="320" w:lineRule="atLeast"/>
              <w:ind w:left="60" w:right="60"/>
              <w:rPr>
                <w:color w:val="264A60"/>
                <w:sz w:val="18"/>
              </w:rPr>
            </w:pPr>
            <w:r w:rsidRPr="006A1EC7">
              <w:rPr>
                <w:color w:val="264A60"/>
                <w:sz w:val="18"/>
              </w:rPr>
              <w:t>T1Alessandro_Total</w:t>
            </w:r>
          </w:p>
        </w:tc>
        <w:tc>
          <w:tcPr>
            <w:tcW w:w="1276" w:type="dxa"/>
            <w:tcBorders>
              <w:top w:val="single" w:sz="8" w:space="0" w:color="152935"/>
              <w:left w:val="nil"/>
              <w:bottom w:val="single" w:sz="8" w:space="0" w:color="152935"/>
              <w:right w:val="single" w:sz="8" w:space="0" w:color="E0E0E0"/>
            </w:tcBorders>
            <w:shd w:val="clear" w:color="auto" w:fill="FFFFFF"/>
          </w:tcPr>
          <w:p w14:paraId="782B2379" w14:textId="77777777" w:rsidR="0087601C" w:rsidRPr="006A1EC7" w:rsidRDefault="0087601C" w:rsidP="00D56051">
            <w:pPr>
              <w:spacing w:line="320" w:lineRule="atLeast"/>
              <w:ind w:left="60" w:right="60"/>
              <w:jc w:val="right"/>
              <w:rPr>
                <w:color w:val="010205"/>
                <w:sz w:val="18"/>
              </w:rPr>
            </w:pPr>
            <w:r w:rsidRPr="006A1EC7">
              <w:rPr>
                <w:color w:val="010205"/>
                <w:sz w:val="18"/>
              </w:rPr>
              <w:t>24</w:t>
            </w:r>
          </w:p>
        </w:tc>
        <w:tc>
          <w:tcPr>
            <w:tcW w:w="1276" w:type="dxa"/>
            <w:tcBorders>
              <w:top w:val="single" w:sz="8" w:space="0" w:color="152935"/>
              <w:left w:val="single" w:sz="8" w:space="0" w:color="E0E0E0"/>
              <w:bottom w:val="single" w:sz="8" w:space="0" w:color="152935"/>
              <w:right w:val="single" w:sz="8" w:space="0" w:color="E0E0E0"/>
            </w:tcBorders>
            <w:shd w:val="clear" w:color="auto" w:fill="FFFFFF"/>
          </w:tcPr>
          <w:p w14:paraId="29FCBEC9" w14:textId="77777777" w:rsidR="0087601C" w:rsidRPr="006A1EC7" w:rsidRDefault="0087601C" w:rsidP="00D56051">
            <w:pPr>
              <w:spacing w:line="320" w:lineRule="atLeast"/>
              <w:ind w:left="60" w:right="60"/>
              <w:jc w:val="right"/>
              <w:rPr>
                <w:color w:val="010205"/>
                <w:sz w:val="18"/>
              </w:rPr>
            </w:pPr>
            <w:r w:rsidRPr="006A1EC7">
              <w:rPr>
                <w:color w:val="010205"/>
                <w:sz w:val="18"/>
              </w:rPr>
              <w:t>69.58</w:t>
            </w:r>
          </w:p>
        </w:tc>
        <w:tc>
          <w:tcPr>
            <w:tcW w:w="1828" w:type="dxa"/>
            <w:tcBorders>
              <w:top w:val="single" w:sz="8" w:space="0" w:color="152935"/>
              <w:left w:val="single" w:sz="8" w:space="0" w:color="E0E0E0"/>
              <w:bottom w:val="single" w:sz="8" w:space="0" w:color="152935"/>
              <w:right w:val="single" w:sz="8" w:space="0" w:color="E0E0E0"/>
            </w:tcBorders>
            <w:shd w:val="clear" w:color="auto" w:fill="FFFFFF"/>
          </w:tcPr>
          <w:p w14:paraId="602FF92A" w14:textId="77777777" w:rsidR="0087601C" w:rsidRPr="006A1EC7" w:rsidRDefault="0087601C" w:rsidP="00D56051">
            <w:pPr>
              <w:spacing w:line="320" w:lineRule="atLeast"/>
              <w:ind w:left="60" w:right="60"/>
              <w:jc w:val="right"/>
              <w:rPr>
                <w:color w:val="010205"/>
                <w:sz w:val="18"/>
              </w:rPr>
            </w:pPr>
            <w:r w:rsidRPr="006A1EC7">
              <w:rPr>
                <w:color w:val="010205"/>
                <w:sz w:val="18"/>
              </w:rPr>
              <w:t>3.438</w:t>
            </w:r>
          </w:p>
        </w:tc>
        <w:tc>
          <w:tcPr>
            <w:tcW w:w="1828" w:type="dxa"/>
            <w:tcBorders>
              <w:top w:val="single" w:sz="8" w:space="0" w:color="152935"/>
              <w:left w:val="single" w:sz="8" w:space="0" w:color="E0E0E0"/>
              <w:bottom w:val="single" w:sz="8" w:space="0" w:color="152935"/>
              <w:right w:val="nil"/>
            </w:tcBorders>
            <w:shd w:val="clear" w:color="auto" w:fill="FFFFFF"/>
          </w:tcPr>
          <w:p w14:paraId="2B76996D" w14:textId="77777777" w:rsidR="0087601C" w:rsidRPr="006A1EC7" w:rsidRDefault="0087601C" w:rsidP="00D56051">
            <w:pPr>
              <w:spacing w:line="320" w:lineRule="atLeast"/>
              <w:ind w:left="60" w:right="60"/>
              <w:jc w:val="right"/>
              <w:rPr>
                <w:color w:val="010205"/>
                <w:sz w:val="18"/>
              </w:rPr>
            </w:pPr>
            <w:r w:rsidRPr="006A1EC7">
              <w:rPr>
                <w:color w:val="010205"/>
                <w:sz w:val="18"/>
              </w:rPr>
              <w:t>.702</w:t>
            </w:r>
          </w:p>
        </w:tc>
      </w:tr>
    </w:tbl>
    <w:p w14:paraId="1AE5467D" w14:textId="77777777" w:rsidR="0087601C" w:rsidRPr="006A1EC7" w:rsidRDefault="0087601C" w:rsidP="0087601C">
      <w:pPr>
        <w:spacing w:line="400" w:lineRule="atLeast"/>
        <w:rPr>
          <w:sz w:val="18"/>
        </w:rPr>
      </w:pPr>
    </w:p>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0"/>
        <w:gridCol w:w="1150"/>
        <w:gridCol w:w="1149"/>
        <w:gridCol w:w="1647"/>
        <w:gridCol w:w="1647"/>
        <w:gridCol w:w="1647"/>
        <w:gridCol w:w="1647"/>
      </w:tblGrid>
      <w:tr w:rsidR="0087601C" w:rsidRPr="006A1EC7" w14:paraId="3DB89FFE" w14:textId="77777777" w:rsidTr="00D56051">
        <w:trPr>
          <w:cantSplit/>
        </w:trPr>
        <w:tc>
          <w:tcPr>
            <w:tcW w:w="2300" w:type="dxa"/>
            <w:vMerge w:val="restart"/>
            <w:tcBorders>
              <w:top w:val="nil"/>
              <w:left w:val="nil"/>
              <w:bottom w:val="nil"/>
              <w:right w:val="nil"/>
            </w:tcBorders>
            <w:shd w:val="clear" w:color="auto" w:fill="FFFFFF"/>
            <w:vAlign w:val="bottom"/>
          </w:tcPr>
          <w:p w14:paraId="68CDF443" w14:textId="77777777" w:rsidR="0087601C" w:rsidRPr="006A1EC7" w:rsidRDefault="0087601C" w:rsidP="00D56051">
            <w:pPr>
              <w:rPr>
                <w:sz w:val="18"/>
              </w:rPr>
            </w:pPr>
          </w:p>
        </w:tc>
        <w:tc>
          <w:tcPr>
            <w:tcW w:w="8887" w:type="dxa"/>
            <w:gridSpan w:val="6"/>
            <w:tcBorders>
              <w:top w:val="nil"/>
              <w:left w:val="nil"/>
              <w:bottom w:val="nil"/>
              <w:right w:val="nil"/>
            </w:tcBorders>
            <w:shd w:val="clear" w:color="auto" w:fill="FFFFFF"/>
            <w:vAlign w:val="bottom"/>
          </w:tcPr>
          <w:p w14:paraId="402099CA" w14:textId="77777777" w:rsidR="0087601C" w:rsidRPr="006A1EC7" w:rsidRDefault="0087601C" w:rsidP="00D56051">
            <w:pPr>
              <w:spacing w:line="320" w:lineRule="atLeast"/>
              <w:ind w:left="60" w:right="60"/>
              <w:jc w:val="center"/>
              <w:rPr>
                <w:color w:val="264A60"/>
                <w:sz w:val="18"/>
              </w:rPr>
            </w:pPr>
            <w:r w:rsidRPr="006A1EC7">
              <w:rPr>
                <w:color w:val="264A60"/>
                <w:sz w:val="18"/>
              </w:rPr>
              <w:t>Test Value = 67</w:t>
            </w:r>
          </w:p>
        </w:tc>
      </w:tr>
      <w:tr w:rsidR="0087601C" w:rsidRPr="006A1EC7" w14:paraId="0699536B" w14:textId="77777777" w:rsidTr="00D56051">
        <w:trPr>
          <w:cantSplit/>
        </w:trPr>
        <w:tc>
          <w:tcPr>
            <w:tcW w:w="2300" w:type="dxa"/>
            <w:vMerge/>
            <w:tcBorders>
              <w:top w:val="nil"/>
              <w:left w:val="nil"/>
              <w:bottom w:val="nil"/>
              <w:right w:val="nil"/>
            </w:tcBorders>
            <w:shd w:val="clear" w:color="auto" w:fill="FFFFFF"/>
            <w:vAlign w:val="bottom"/>
          </w:tcPr>
          <w:p w14:paraId="6EDEA34B" w14:textId="77777777" w:rsidR="0087601C" w:rsidRPr="006A1EC7" w:rsidRDefault="0087601C" w:rsidP="00D56051">
            <w:pPr>
              <w:rPr>
                <w:color w:val="264A60"/>
                <w:sz w:val="18"/>
              </w:rPr>
            </w:pPr>
          </w:p>
        </w:tc>
        <w:tc>
          <w:tcPr>
            <w:tcW w:w="1150" w:type="dxa"/>
            <w:vMerge w:val="restart"/>
            <w:tcBorders>
              <w:top w:val="nil"/>
              <w:left w:val="nil"/>
              <w:bottom w:val="nil"/>
              <w:right w:val="single" w:sz="8" w:space="0" w:color="E0E0E0"/>
            </w:tcBorders>
            <w:shd w:val="clear" w:color="auto" w:fill="FFFFFF"/>
            <w:vAlign w:val="bottom"/>
          </w:tcPr>
          <w:p w14:paraId="6E2B7425"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1149" w:type="dxa"/>
            <w:vMerge w:val="restart"/>
            <w:tcBorders>
              <w:top w:val="nil"/>
              <w:left w:val="single" w:sz="8" w:space="0" w:color="E0E0E0"/>
              <w:bottom w:val="nil"/>
              <w:right w:val="single" w:sz="8" w:space="0" w:color="E0E0E0"/>
            </w:tcBorders>
            <w:shd w:val="clear" w:color="auto" w:fill="FFFFFF"/>
            <w:vAlign w:val="bottom"/>
          </w:tcPr>
          <w:p w14:paraId="1413B20B"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1647" w:type="dxa"/>
            <w:vMerge w:val="restart"/>
            <w:tcBorders>
              <w:top w:val="nil"/>
              <w:left w:val="single" w:sz="8" w:space="0" w:color="E0E0E0"/>
              <w:bottom w:val="nil"/>
              <w:right w:val="single" w:sz="8" w:space="0" w:color="E0E0E0"/>
            </w:tcBorders>
            <w:shd w:val="clear" w:color="auto" w:fill="FFFFFF"/>
            <w:vAlign w:val="bottom"/>
          </w:tcPr>
          <w:p w14:paraId="52A21A8D"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c>
          <w:tcPr>
            <w:tcW w:w="1647" w:type="dxa"/>
            <w:vMerge w:val="restart"/>
            <w:tcBorders>
              <w:top w:val="nil"/>
              <w:left w:val="single" w:sz="8" w:space="0" w:color="E0E0E0"/>
              <w:bottom w:val="nil"/>
              <w:right w:val="single" w:sz="8" w:space="0" w:color="E0E0E0"/>
            </w:tcBorders>
            <w:shd w:val="clear" w:color="auto" w:fill="FFFFFF"/>
            <w:vAlign w:val="bottom"/>
          </w:tcPr>
          <w:p w14:paraId="2FE162CC" w14:textId="77777777" w:rsidR="0087601C" w:rsidRPr="006A1EC7" w:rsidRDefault="0087601C" w:rsidP="00D56051">
            <w:pPr>
              <w:spacing w:line="320" w:lineRule="atLeast"/>
              <w:ind w:left="60" w:right="60"/>
              <w:jc w:val="center"/>
              <w:rPr>
                <w:color w:val="264A60"/>
                <w:sz w:val="18"/>
              </w:rPr>
            </w:pPr>
            <w:r w:rsidRPr="006A1EC7">
              <w:rPr>
                <w:color w:val="264A60"/>
                <w:sz w:val="18"/>
              </w:rPr>
              <w:t>Mean Difference</w:t>
            </w:r>
          </w:p>
        </w:tc>
        <w:tc>
          <w:tcPr>
            <w:tcW w:w="3294" w:type="dxa"/>
            <w:gridSpan w:val="2"/>
            <w:tcBorders>
              <w:top w:val="nil"/>
              <w:left w:val="single" w:sz="8" w:space="0" w:color="E0E0E0"/>
              <w:bottom w:val="nil"/>
              <w:right w:val="nil"/>
            </w:tcBorders>
            <w:shd w:val="clear" w:color="auto" w:fill="FFFFFF"/>
            <w:vAlign w:val="bottom"/>
          </w:tcPr>
          <w:p w14:paraId="74980233"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r>
      <w:tr w:rsidR="0087601C" w:rsidRPr="006A1EC7" w14:paraId="31A4948F" w14:textId="77777777" w:rsidTr="00D56051">
        <w:trPr>
          <w:cantSplit/>
        </w:trPr>
        <w:tc>
          <w:tcPr>
            <w:tcW w:w="2300" w:type="dxa"/>
            <w:vMerge/>
            <w:tcBorders>
              <w:top w:val="nil"/>
              <w:left w:val="nil"/>
              <w:bottom w:val="nil"/>
              <w:right w:val="nil"/>
            </w:tcBorders>
            <w:shd w:val="clear" w:color="auto" w:fill="FFFFFF"/>
            <w:vAlign w:val="bottom"/>
          </w:tcPr>
          <w:p w14:paraId="4321F122" w14:textId="77777777" w:rsidR="0087601C" w:rsidRPr="006A1EC7" w:rsidRDefault="0087601C" w:rsidP="00D56051">
            <w:pPr>
              <w:rPr>
                <w:color w:val="264A60"/>
                <w:sz w:val="18"/>
              </w:rPr>
            </w:pPr>
          </w:p>
        </w:tc>
        <w:tc>
          <w:tcPr>
            <w:tcW w:w="1150" w:type="dxa"/>
            <w:vMerge/>
            <w:tcBorders>
              <w:top w:val="nil"/>
              <w:left w:val="nil"/>
              <w:bottom w:val="nil"/>
              <w:right w:val="single" w:sz="8" w:space="0" w:color="E0E0E0"/>
            </w:tcBorders>
            <w:shd w:val="clear" w:color="auto" w:fill="FFFFFF"/>
            <w:vAlign w:val="bottom"/>
          </w:tcPr>
          <w:p w14:paraId="082C8736" w14:textId="77777777" w:rsidR="0087601C" w:rsidRPr="006A1EC7" w:rsidRDefault="0087601C" w:rsidP="00D56051">
            <w:pPr>
              <w:rPr>
                <w:color w:val="264A60"/>
                <w:sz w:val="18"/>
              </w:rPr>
            </w:pPr>
          </w:p>
        </w:tc>
        <w:tc>
          <w:tcPr>
            <w:tcW w:w="1149" w:type="dxa"/>
            <w:vMerge/>
            <w:tcBorders>
              <w:top w:val="nil"/>
              <w:left w:val="single" w:sz="8" w:space="0" w:color="E0E0E0"/>
              <w:bottom w:val="nil"/>
              <w:right w:val="single" w:sz="8" w:space="0" w:color="E0E0E0"/>
            </w:tcBorders>
            <w:shd w:val="clear" w:color="auto" w:fill="FFFFFF"/>
            <w:vAlign w:val="bottom"/>
          </w:tcPr>
          <w:p w14:paraId="2F4BDEA3" w14:textId="77777777" w:rsidR="0087601C" w:rsidRPr="006A1EC7" w:rsidRDefault="0087601C" w:rsidP="00D56051">
            <w:pPr>
              <w:rPr>
                <w:color w:val="264A60"/>
                <w:sz w:val="18"/>
              </w:rPr>
            </w:pPr>
          </w:p>
        </w:tc>
        <w:tc>
          <w:tcPr>
            <w:tcW w:w="1647" w:type="dxa"/>
            <w:vMerge/>
            <w:tcBorders>
              <w:top w:val="nil"/>
              <w:left w:val="single" w:sz="8" w:space="0" w:color="E0E0E0"/>
              <w:bottom w:val="nil"/>
              <w:right w:val="single" w:sz="8" w:space="0" w:color="E0E0E0"/>
            </w:tcBorders>
            <w:shd w:val="clear" w:color="auto" w:fill="FFFFFF"/>
            <w:vAlign w:val="bottom"/>
          </w:tcPr>
          <w:p w14:paraId="0CA8D9A7" w14:textId="77777777" w:rsidR="0087601C" w:rsidRPr="006A1EC7" w:rsidRDefault="0087601C" w:rsidP="00D56051">
            <w:pPr>
              <w:rPr>
                <w:color w:val="264A60"/>
                <w:sz w:val="18"/>
              </w:rPr>
            </w:pPr>
          </w:p>
        </w:tc>
        <w:tc>
          <w:tcPr>
            <w:tcW w:w="1647" w:type="dxa"/>
            <w:vMerge/>
            <w:tcBorders>
              <w:top w:val="nil"/>
              <w:left w:val="single" w:sz="8" w:space="0" w:color="E0E0E0"/>
              <w:bottom w:val="nil"/>
              <w:right w:val="single" w:sz="8" w:space="0" w:color="E0E0E0"/>
            </w:tcBorders>
            <w:shd w:val="clear" w:color="auto" w:fill="FFFFFF"/>
            <w:vAlign w:val="bottom"/>
          </w:tcPr>
          <w:p w14:paraId="44B28541" w14:textId="77777777" w:rsidR="0087601C" w:rsidRPr="006A1EC7" w:rsidRDefault="0087601C" w:rsidP="00D56051">
            <w:pPr>
              <w:rPr>
                <w:color w:val="264A60"/>
                <w:sz w:val="18"/>
              </w:rPr>
            </w:pPr>
          </w:p>
        </w:tc>
        <w:tc>
          <w:tcPr>
            <w:tcW w:w="1647" w:type="dxa"/>
            <w:tcBorders>
              <w:top w:val="nil"/>
              <w:left w:val="single" w:sz="8" w:space="0" w:color="E0E0E0"/>
              <w:bottom w:val="single" w:sz="8" w:space="0" w:color="152935"/>
              <w:right w:val="single" w:sz="8" w:space="0" w:color="E0E0E0"/>
            </w:tcBorders>
            <w:shd w:val="clear" w:color="auto" w:fill="FFFFFF"/>
            <w:vAlign w:val="bottom"/>
          </w:tcPr>
          <w:p w14:paraId="0FAEE130"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647" w:type="dxa"/>
            <w:tcBorders>
              <w:top w:val="nil"/>
              <w:left w:val="single" w:sz="8" w:space="0" w:color="E0E0E0"/>
              <w:bottom w:val="single" w:sz="8" w:space="0" w:color="152935"/>
              <w:right w:val="nil"/>
            </w:tcBorders>
            <w:shd w:val="clear" w:color="auto" w:fill="FFFFFF"/>
            <w:vAlign w:val="bottom"/>
          </w:tcPr>
          <w:p w14:paraId="4301A85B"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r>
      <w:tr w:rsidR="0087601C" w:rsidRPr="006A1EC7" w14:paraId="6F15BC22" w14:textId="77777777" w:rsidTr="00D56051">
        <w:trPr>
          <w:cantSplit/>
        </w:trPr>
        <w:tc>
          <w:tcPr>
            <w:tcW w:w="2300" w:type="dxa"/>
            <w:tcBorders>
              <w:top w:val="single" w:sz="8" w:space="0" w:color="152935"/>
              <w:left w:val="nil"/>
              <w:bottom w:val="single" w:sz="8" w:space="0" w:color="152935"/>
              <w:right w:val="nil"/>
            </w:tcBorders>
            <w:shd w:val="clear" w:color="auto" w:fill="E0E0E0"/>
          </w:tcPr>
          <w:p w14:paraId="11E40233" w14:textId="77777777" w:rsidR="0087601C" w:rsidRPr="006A1EC7" w:rsidRDefault="0087601C" w:rsidP="00D56051">
            <w:pPr>
              <w:spacing w:line="320" w:lineRule="atLeast"/>
              <w:ind w:left="60" w:right="60"/>
              <w:rPr>
                <w:color w:val="264A60"/>
                <w:sz w:val="18"/>
              </w:rPr>
            </w:pPr>
            <w:r w:rsidRPr="006A1EC7">
              <w:rPr>
                <w:color w:val="264A60"/>
                <w:sz w:val="18"/>
              </w:rPr>
              <w:t>T1Alessandro_Total</w:t>
            </w:r>
          </w:p>
        </w:tc>
        <w:tc>
          <w:tcPr>
            <w:tcW w:w="1150" w:type="dxa"/>
            <w:tcBorders>
              <w:top w:val="single" w:sz="8" w:space="0" w:color="152935"/>
              <w:left w:val="nil"/>
              <w:bottom w:val="single" w:sz="8" w:space="0" w:color="152935"/>
              <w:right w:val="single" w:sz="8" w:space="0" w:color="E0E0E0"/>
            </w:tcBorders>
            <w:shd w:val="clear" w:color="auto" w:fill="FFFFFF"/>
          </w:tcPr>
          <w:p w14:paraId="7335269B" w14:textId="77777777" w:rsidR="0087601C" w:rsidRPr="006A1EC7" w:rsidRDefault="0087601C" w:rsidP="00D56051">
            <w:pPr>
              <w:spacing w:line="320" w:lineRule="atLeast"/>
              <w:ind w:left="60" w:right="60"/>
              <w:jc w:val="right"/>
              <w:rPr>
                <w:color w:val="010205"/>
                <w:sz w:val="18"/>
              </w:rPr>
            </w:pPr>
            <w:r w:rsidRPr="006A1EC7">
              <w:rPr>
                <w:color w:val="010205"/>
                <w:sz w:val="18"/>
              </w:rPr>
              <w:t>3.681</w:t>
            </w:r>
          </w:p>
        </w:tc>
        <w:tc>
          <w:tcPr>
            <w:tcW w:w="1149" w:type="dxa"/>
            <w:tcBorders>
              <w:top w:val="single" w:sz="8" w:space="0" w:color="152935"/>
              <w:left w:val="single" w:sz="8" w:space="0" w:color="E0E0E0"/>
              <w:bottom w:val="single" w:sz="8" w:space="0" w:color="152935"/>
              <w:right w:val="single" w:sz="8" w:space="0" w:color="E0E0E0"/>
            </w:tcBorders>
            <w:shd w:val="clear" w:color="auto" w:fill="FFFFFF"/>
          </w:tcPr>
          <w:p w14:paraId="5916FE78" w14:textId="77777777" w:rsidR="0087601C" w:rsidRPr="006A1EC7" w:rsidRDefault="0087601C" w:rsidP="00D56051">
            <w:pPr>
              <w:spacing w:line="320" w:lineRule="atLeast"/>
              <w:ind w:left="60" w:right="60"/>
              <w:jc w:val="right"/>
              <w:rPr>
                <w:color w:val="010205"/>
                <w:sz w:val="18"/>
              </w:rPr>
            </w:pPr>
            <w:r w:rsidRPr="006A1EC7">
              <w:rPr>
                <w:color w:val="010205"/>
                <w:sz w:val="18"/>
              </w:rPr>
              <w:t>23</w:t>
            </w:r>
          </w:p>
        </w:tc>
        <w:tc>
          <w:tcPr>
            <w:tcW w:w="1647" w:type="dxa"/>
            <w:tcBorders>
              <w:top w:val="single" w:sz="8" w:space="0" w:color="152935"/>
              <w:left w:val="single" w:sz="8" w:space="0" w:color="E0E0E0"/>
              <w:bottom w:val="single" w:sz="8" w:space="0" w:color="152935"/>
              <w:right w:val="single" w:sz="8" w:space="0" w:color="E0E0E0"/>
            </w:tcBorders>
            <w:shd w:val="clear" w:color="auto" w:fill="FFFFFF"/>
          </w:tcPr>
          <w:p w14:paraId="622D2CAA" w14:textId="77777777" w:rsidR="0087601C" w:rsidRPr="006A1EC7" w:rsidRDefault="0087601C" w:rsidP="00D56051">
            <w:pPr>
              <w:spacing w:line="320" w:lineRule="atLeast"/>
              <w:ind w:left="60" w:right="60"/>
              <w:jc w:val="right"/>
              <w:rPr>
                <w:color w:val="010205"/>
                <w:sz w:val="18"/>
              </w:rPr>
            </w:pPr>
            <w:r w:rsidRPr="006A1EC7">
              <w:rPr>
                <w:color w:val="010205"/>
                <w:sz w:val="18"/>
              </w:rPr>
              <w:t>.001</w:t>
            </w:r>
          </w:p>
        </w:tc>
        <w:tc>
          <w:tcPr>
            <w:tcW w:w="1647" w:type="dxa"/>
            <w:tcBorders>
              <w:top w:val="single" w:sz="8" w:space="0" w:color="152935"/>
              <w:left w:val="single" w:sz="8" w:space="0" w:color="E0E0E0"/>
              <w:bottom w:val="single" w:sz="8" w:space="0" w:color="152935"/>
              <w:right w:val="single" w:sz="8" w:space="0" w:color="E0E0E0"/>
            </w:tcBorders>
            <w:shd w:val="clear" w:color="auto" w:fill="FFFFFF"/>
          </w:tcPr>
          <w:p w14:paraId="7A17653F" w14:textId="77777777" w:rsidR="0087601C" w:rsidRPr="006A1EC7" w:rsidRDefault="0087601C" w:rsidP="00D56051">
            <w:pPr>
              <w:spacing w:line="320" w:lineRule="atLeast"/>
              <w:ind w:left="60" w:right="60"/>
              <w:jc w:val="right"/>
              <w:rPr>
                <w:color w:val="010205"/>
                <w:sz w:val="18"/>
              </w:rPr>
            </w:pPr>
            <w:r w:rsidRPr="006A1EC7">
              <w:rPr>
                <w:color w:val="010205"/>
                <w:sz w:val="18"/>
              </w:rPr>
              <w:t>2.583</w:t>
            </w:r>
          </w:p>
        </w:tc>
        <w:tc>
          <w:tcPr>
            <w:tcW w:w="1647" w:type="dxa"/>
            <w:tcBorders>
              <w:top w:val="single" w:sz="8" w:space="0" w:color="152935"/>
              <w:left w:val="single" w:sz="8" w:space="0" w:color="E0E0E0"/>
              <w:bottom w:val="single" w:sz="8" w:space="0" w:color="152935"/>
              <w:right w:val="single" w:sz="8" w:space="0" w:color="E0E0E0"/>
            </w:tcBorders>
            <w:shd w:val="clear" w:color="auto" w:fill="FFFFFF"/>
          </w:tcPr>
          <w:p w14:paraId="6E942CE0" w14:textId="77777777" w:rsidR="0087601C" w:rsidRPr="006A1EC7" w:rsidRDefault="0087601C" w:rsidP="00D56051">
            <w:pPr>
              <w:spacing w:line="320" w:lineRule="atLeast"/>
              <w:ind w:left="60" w:right="60"/>
              <w:jc w:val="right"/>
              <w:rPr>
                <w:color w:val="010205"/>
                <w:sz w:val="18"/>
              </w:rPr>
            </w:pPr>
            <w:r w:rsidRPr="006A1EC7">
              <w:rPr>
                <w:color w:val="010205"/>
                <w:sz w:val="18"/>
              </w:rPr>
              <w:t>1.13</w:t>
            </w:r>
          </w:p>
        </w:tc>
        <w:tc>
          <w:tcPr>
            <w:tcW w:w="1647" w:type="dxa"/>
            <w:tcBorders>
              <w:top w:val="single" w:sz="8" w:space="0" w:color="152935"/>
              <w:left w:val="single" w:sz="8" w:space="0" w:color="E0E0E0"/>
              <w:bottom w:val="single" w:sz="8" w:space="0" w:color="152935"/>
              <w:right w:val="nil"/>
            </w:tcBorders>
            <w:shd w:val="clear" w:color="auto" w:fill="FFFFFF"/>
          </w:tcPr>
          <w:p w14:paraId="458A8B7B" w14:textId="77777777" w:rsidR="0087601C" w:rsidRPr="006A1EC7" w:rsidRDefault="0087601C" w:rsidP="00D56051">
            <w:pPr>
              <w:spacing w:line="320" w:lineRule="atLeast"/>
              <w:ind w:left="60" w:right="60"/>
              <w:jc w:val="right"/>
              <w:rPr>
                <w:color w:val="010205"/>
                <w:sz w:val="18"/>
              </w:rPr>
            </w:pPr>
            <w:r w:rsidRPr="006A1EC7">
              <w:rPr>
                <w:color w:val="010205"/>
                <w:sz w:val="18"/>
              </w:rPr>
              <w:t>4.04</w:t>
            </w:r>
          </w:p>
        </w:tc>
      </w:tr>
    </w:tbl>
    <w:p w14:paraId="2FDF4503" w14:textId="77777777" w:rsidR="0087601C" w:rsidRPr="006A1EC7" w:rsidRDefault="0087601C" w:rsidP="0087601C">
      <w:pPr>
        <w:spacing w:line="400" w:lineRule="atLeast"/>
      </w:pPr>
    </w:p>
    <w:p w14:paraId="236743DB" w14:textId="77777777" w:rsidR="0087601C" w:rsidRPr="006A1EC7" w:rsidRDefault="0087601C" w:rsidP="0087601C">
      <w:pPr>
        <w:sectPr w:rsidR="0087601C" w:rsidRPr="006A1EC7" w:rsidSect="00D56051">
          <w:type w:val="nextColumn"/>
          <w:pgSz w:w="15840" w:h="12240" w:orient="landscape"/>
          <w:pgMar w:top="1440" w:right="1701" w:bottom="1440" w:left="1701" w:header="708" w:footer="708" w:gutter="0"/>
          <w:cols w:space="708"/>
          <w:docGrid w:linePitch="360"/>
        </w:sectPr>
      </w:pPr>
    </w:p>
    <w:p w14:paraId="453010CA" w14:textId="25CBF882" w:rsidR="0087601C" w:rsidRPr="006A1EC7" w:rsidRDefault="0087601C" w:rsidP="0087601C">
      <w:pPr>
        <w:pStyle w:val="Heading4"/>
        <w:rPr>
          <w:rFonts w:ascii="Times New Roman" w:hAnsi="Times New Roman" w:cs="Times New Roman"/>
        </w:rPr>
      </w:pPr>
      <w:bookmarkStart w:id="329" w:name="_Toc38821498"/>
      <w:r w:rsidRPr="006A1EC7">
        <w:rPr>
          <w:rFonts w:ascii="Times New Roman" w:hAnsi="Times New Roman" w:cs="Times New Roman"/>
        </w:rPr>
        <w:lastRenderedPageBreak/>
        <w:t>Appendix 7.9: Intra-rater reliability: Percentage Agreement Calculations</w:t>
      </w:r>
      <w:bookmarkEnd w:id="329"/>
      <w:r w:rsidRPr="006A1EC7">
        <w:rPr>
          <w:rFonts w:ascii="Times New Roman" w:hAnsi="Times New Roman" w:cs="Times New Roman"/>
        </w:rPr>
        <w:br/>
      </w:r>
    </w:p>
    <w:p w14:paraId="209DFB98" w14:textId="0CEC3F63" w:rsidR="0087601C" w:rsidRPr="006A1EC7" w:rsidRDefault="0087601C" w:rsidP="0087601C">
      <w:pPr>
        <w:pStyle w:val="Heading4"/>
        <w:rPr>
          <w:rFonts w:ascii="Times New Roman" w:hAnsi="Times New Roman" w:cs="Times New Roman"/>
        </w:rPr>
      </w:pPr>
      <w:bookmarkStart w:id="330" w:name="_Toc38821499"/>
      <w:r w:rsidRPr="006A1EC7">
        <w:rPr>
          <w:rFonts w:ascii="Times New Roman" w:hAnsi="Times New Roman" w:cs="Times New Roman"/>
        </w:rPr>
        <w:t>Appendix 7.9.1: Exact agreement</w:t>
      </w:r>
      <w:bookmarkEnd w:id="330"/>
    </w:p>
    <w:p w14:paraId="67C9BEE6" w14:textId="77777777" w:rsidR="0087601C" w:rsidRPr="006A1EC7" w:rsidRDefault="0087601C" w:rsidP="0087601C">
      <w:pPr>
        <w:rPr>
          <w:b/>
          <w:bCs/>
          <w:u w:val="single"/>
        </w:rPr>
      </w:pPr>
    </w:p>
    <w:p w14:paraId="41AD5EBD" w14:textId="77777777" w:rsidR="0087601C" w:rsidRPr="006A1EC7" w:rsidRDefault="0087601C" w:rsidP="0087601C"/>
    <w:p w14:paraId="331842B1" w14:textId="77777777" w:rsidR="0087601C" w:rsidRPr="006A1EC7" w:rsidRDefault="0087601C" w:rsidP="0087601C">
      <w:pPr>
        <w:rPr>
          <w:sz w:val="13"/>
          <w:szCs w:val="13"/>
        </w:rPr>
      </w:pPr>
    </w:p>
    <w:p w14:paraId="44C34576" w14:textId="77777777" w:rsidR="0087601C" w:rsidRPr="006A1EC7" w:rsidRDefault="0087601C" w:rsidP="0087601C">
      <w:pPr>
        <w:rPr>
          <w:sz w:val="13"/>
          <w:szCs w:val="13"/>
        </w:rPr>
      </w:pPr>
      <w:r w:rsidRPr="006A1EC7">
        <w:rPr>
          <w:sz w:val="13"/>
          <w:szCs w:val="13"/>
        </w:rPr>
        <w:t>1 – agreement T1/T2 rating of same judge</w:t>
      </w:r>
    </w:p>
    <w:p w14:paraId="124C8C72" w14:textId="77777777" w:rsidR="0087601C" w:rsidRPr="006A1EC7" w:rsidRDefault="0087601C" w:rsidP="0087601C">
      <w:pPr>
        <w:rPr>
          <w:sz w:val="13"/>
          <w:szCs w:val="13"/>
        </w:rPr>
      </w:pPr>
      <w:r w:rsidRPr="006A1EC7">
        <w:rPr>
          <w:sz w:val="13"/>
          <w:szCs w:val="13"/>
        </w:rPr>
        <w:t>0 – disagreement T1/T2 rating of same judge</w:t>
      </w:r>
    </w:p>
    <w:p w14:paraId="1DB4BD52" w14:textId="77777777" w:rsidR="0087601C" w:rsidRPr="006A1EC7" w:rsidRDefault="0087601C" w:rsidP="0087601C">
      <w:pPr>
        <w:rPr>
          <w:sz w:val="13"/>
          <w:szCs w:val="13"/>
        </w:rPr>
      </w:pPr>
    </w:p>
    <w:p w14:paraId="39CFA657" w14:textId="77777777" w:rsidR="0087601C" w:rsidRPr="006A1EC7" w:rsidRDefault="0087601C" w:rsidP="0087601C">
      <w:pPr>
        <w:rPr>
          <w:b/>
          <w:bCs/>
          <w:sz w:val="13"/>
          <w:szCs w:val="13"/>
          <w:u w:val="single"/>
        </w:rPr>
      </w:pPr>
      <w:r w:rsidRPr="006A1EC7">
        <w:rPr>
          <w:b/>
          <w:bCs/>
          <w:sz w:val="13"/>
          <w:szCs w:val="13"/>
          <w:u w:val="single"/>
        </w:rPr>
        <w:t>VIGNETTE 1: JOSHUA</w:t>
      </w:r>
    </w:p>
    <w:p w14:paraId="6E2D303E" w14:textId="77777777" w:rsidR="0087601C" w:rsidRPr="006A1EC7" w:rsidRDefault="0087601C" w:rsidP="0087601C">
      <w:pPr>
        <w:rPr>
          <w:sz w:val="13"/>
          <w:szCs w:val="13"/>
        </w:rPr>
      </w:pPr>
    </w:p>
    <w:tbl>
      <w:tblPr>
        <w:tblStyle w:val="TableGrid"/>
        <w:tblW w:w="0" w:type="auto"/>
        <w:tblLook w:val="04A0" w:firstRow="1" w:lastRow="0" w:firstColumn="1" w:lastColumn="0" w:noHBand="0" w:noVBand="1"/>
      </w:tblPr>
      <w:tblGrid>
        <w:gridCol w:w="759"/>
        <w:gridCol w:w="439"/>
        <w:gridCol w:w="439"/>
        <w:gridCol w:w="426"/>
        <w:gridCol w:w="439"/>
        <w:gridCol w:w="439"/>
        <w:gridCol w:w="415"/>
        <w:gridCol w:w="440"/>
        <w:gridCol w:w="422"/>
        <w:gridCol w:w="383"/>
        <w:gridCol w:w="429"/>
        <w:gridCol w:w="440"/>
        <w:gridCol w:w="383"/>
        <w:gridCol w:w="440"/>
        <w:gridCol w:w="440"/>
        <w:gridCol w:w="383"/>
        <w:gridCol w:w="440"/>
        <w:gridCol w:w="440"/>
        <w:gridCol w:w="383"/>
        <w:gridCol w:w="440"/>
        <w:gridCol w:w="440"/>
        <w:gridCol w:w="383"/>
        <w:gridCol w:w="440"/>
        <w:gridCol w:w="440"/>
        <w:gridCol w:w="383"/>
        <w:gridCol w:w="429"/>
        <w:gridCol w:w="429"/>
        <w:gridCol w:w="383"/>
        <w:gridCol w:w="495"/>
        <w:gridCol w:w="787"/>
      </w:tblGrid>
      <w:tr w:rsidR="00744A8E" w:rsidRPr="006A1EC7" w14:paraId="4591AB22" w14:textId="77777777" w:rsidTr="00D56051">
        <w:trPr>
          <w:trHeight w:val="558"/>
        </w:trPr>
        <w:tc>
          <w:tcPr>
            <w:tcW w:w="636" w:type="dxa"/>
          </w:tcPr>
          <w:p w14:paraId="56A0B627" w14:textId="77777777" w:rsidR="0087601C" w:rsidRPr="006A1EC7" w:rsidRDefault="0087601C" w:rsidP="00D56051">
            <w:pPr>
              <w:rPr>
                <w:sz w:val="13"/>
                <w:szCs w:val="13"/>
              </w:rPr>
            </w:pPr>
            <w:r w:rsidRPr="006A1EC7">
              <w:rPr>
                <w:sz w:val="13"/>
                <w:szCs w:val="13"/>
              </w:rPr>
              <w:t>Score given by judges (Time 1) (Time 2)</w:t>
            </w:r>
          </w:p>
        </w:tc>
        <w:tc>
          <w:tcPr>
            <w:tcW w:w="474" w:type="dxa"/>
            <w:shd w:val="clear" w:color="auto" w:fill="FFFF00"/>
          </w:tcPr>
          <w:p w14:paraId="6E78EB47" w14:textId="77777777" w:rsidR="0087601C" w:rsidRPr="006A1EC7" w:rsidRDefault="0087601C" w:rsidP="00D56051">
            <w:pPr>
              <w:rPr>
                <w:sz w:val="13"/>
                <w:szCs w:val="13"/>
              </w:rPr>
            </w:pPr>
            <w:r w:rsidRPr="006A1EC7">
              <w:rPr>
                <w:sz w:val="13"/>
                <w:szCs w:val="13"/>
              </w:rPr>
              <w:t>J1 (1)</w:t>
            </w:r>
          </w:p>
        </w:tc>
        <w:tc>
          <w:tcPr>
            <w:tcW w:w="474" w:type="dxa"/>
            <w:shd w:val="clear" w:color="auto" w:fill="FFFF00"/>
          </w:tcPr>
          <w:p w14:paraId="2FE6FF53" w14:textId="77777777" w:rsidR="0087601C" w:rsidRPr="006A1EC7" w:rsidRDefault="0087601C" w:rsidP="00D56051">
            <w:pPr>
              <w:rPr>
                <w:sz w:val="13"/>
                <w:szCs w:val="13"/>
              </w:rPr>
            </w:pPr>
            <w:r w:rsidRPr="006A1EC7">
              <w:rPr>
                <w:sz w:val="13"/>
                <w:szCs w:val="13"/>
              </w:rPr>
              <w:t>J1 (2)</w:t>
            </w:r>
          </w:p>
        </w:tc>
        <w:tc>
          <w:tcPr>
            <w:tcW w:w="467" w:type="dxa"/>
          </w:tcPr>
          <w:p w14:paraId="4BDDE8CC" w14:textId="77777777" w:rsidR="0087601C" w:rsidRPr="006A1EC7" w:rsidRDefault="0087601C" w:rsidP="00D56051">
            <w:pPr>
              <w:rPr>
                <w:sz w:val="13"/>
                <w:szCs w:val="13"/>
              </w:rPr>
            </w:pPr>
          </w:p>
        </w:tc>
        <w:tc>
          <w:tcPr>
            <w:tcW w:w="475" w:type="dxa"/>
            <w:shd w:val="clear" w:color="auto" w:fill="FFFF00"/>
          </w:tcPr>
          <w:p w14:paraId="1B38A531" w14:textId="77777777" w:rsidR="0087601C" w:rsidRPr="006A1EC7" w:rsidRDefault="0087601C" w:rsidP="00D56051">
            <w:pPr>
              <w:rPr>
                <w:sz w:val="13"/>
                <w:szCs w:val="13"/>
              </w:rPr>
            </w:pPr>
            <w:r w:rsidRPr="006A1EC7">
              <w:rPr>
                <w:sz w:val="13"/>
                <w:szCs w:val="13"/>
              </w:rPr>
              <w:t>J2 (1)</w:t>
            </w:r>
          </w:p>
        </w:tc>
        <w:tc>
          <w:tcPr>
            <w:tcW w:w="475" w:type="dxa"/>
            <w:shd w:val="clear" w:color="auto" w:fill="FFFF00"/>
          </w:tcPr>
          <w:p w14:paraId="6725FC6D" w14:textId="77777777" w:rsidR="0087601C" w:rsidRPr="006A1EC7" w:rsidRDefault="0087601C" w:rsidP="00D56051">
            <w:pPr>
              <w:rPr>
                <w:sz w:val="13"/>
                <w:szCs w:val="13"/>
              </w:rPr>
            </w:pPr>
            <w:r w:rsidRPr="006A1EC7">
              <w:rPr>
                <w:sz w:val="13"/>
                <w:szCs w:val="13"/>
              </w:rPr>
              <w:t>J2 (2)</w:t>
            </w:r>
          </w:p>
        </w:tc>
        <w:tc>
          <w:tcPr>
            <w:tcW w:w="450" w:type="dxa"/>
          </w:tcPr>
          <w:p w14:paraId="3751C135" w14:textId="77777777" w:rsidR="0087601C" w:rsidRPr="006A1EC7" w:rsidRDefault="0087601C" w:rsidP="00D56051">
            <w:pPr>
              <w:rPr>
                <w:sz w:val="13"/>
                <w:szCs w:val="13"/>
              </w:rPr>
            </w:pPr>
          </w:p>
        </w:tc>
        <w:tc>
          <w:tcPr>
            <w:tcW w:w="476" w:type="dxa"/>
            <w:shd w:val="clear" w:color="auto" w:fill="FFFF00"/>
          </w:tcPr>
          <w:p w14:paraId="566DDF66" w14:textId="77777777" w:rsidR="0087601C" w:rsidRPr="006A1EC7" w:rsidRDefault="0087601C" w:rsidP="00D56051">
            <w:pPr>
              <w:rPr>
                <w:sz w:val="13"/>
                <w:szCs w:val="13"/>
              </w:rPr>
            </w:pPr>
            <w:r w:rsidRPr="006A1EC7">
              <w:rPr>
                <w:sz w:val="13"/>
                <w:szCs w:val="13"/>
              </w:rPr>
              <w:t>J3 (1)</w:t>
            </w:r>
          </w:p>
        </w:tc>
        <w:tc>
          <w:tcPr>
            <w:tcW w:w="460" w:type="dxa"/>
            <w:shd w:val="clear" w:color="auto" w:fill="FFFF00"/>
          </w:tcPr>
          <w:p w14:paraId="50204164" w14:textId="77777777" w:rsidR="0087601C" w:rsidRPr="006A1EC7" w:rsidRDefault="0087601C" w:rsidP="00D56051">
            <w:pPr>
              <w:rPr>
                <w:sz w:val="13"/>
                <w:szCs w:val="13"/>
              </w:rPr>
            </w:pPr>
            <w:r w:rsidRPr="006A1EC7">
              <w:rPr>
                <w:sz w:val="13"/>
                <w:szCs w:val="13"/>
              </w:rPr>
              <w:t>J3 2)</w:t>
            </w:r>
          </w:p>
        </w:tc>
        <w:tc>
          <w:tcPr>
            <w:tcW w:w="402" w:type="dxa"/>
            <w:shd w:val="clear" w:color="auto" w:fill="auto"/>
          </w:tcPr>
          <w:p w14:paraId="00798468" w14:textId="77777777" w:rsidR="0087601C" w:rsidRPr="006A1EC7" w:rsidRDefault="0087601C" w:rsidP="00D56051">
            <w:pPr>
              <w:rPr>
                <w:sz w:val="13"/>
                <w:szCs w:val="13"/>
              </w:rPr>
            </w:pPr>
          </w:p>
        </w:tc>
        <w:tc>
          <w:tcPr>
            <w:tcW w:w="460" w:type="dxa"/>
            <w:shd w:val="clear" w:color="auto" w:fill="FFFF00"/>
          </w:tcPr>
          <w:p w14:paraId="50D92C8C" w14:textId="77777777" w:rsidR="0087601C" w:rsidRPr="006A1EC7" w:rsidRDefault="0087601C" w:rsidP="00D56051">
            <w:pPr>
              <w:rPr>
                <w:sz w:val="13"/>
                <w:szCs w:val="13"/>
              </w:rPr>
            </w:pPr>
            <w:r w:rsidRPr="006A1EC7">
              <w:rPr>
                <w:sz w:val="13"/>
                <w:szCs w:val="13"/>
              </w:rPr>
              <w:t>J4 (1)</w:t>
            </w:r>
          </w:p>
        </w:tc>
        <w:tc>
          <w:tcPr>
            <w:tcW w:w="476" w:type="dxa"/>
            <w:shd w:val="clear" w:color="auto" w:fill="FFFF00"/>
          </w:tcPr>
          <w:p w14:paraId="368EDB7D" w14:textId="77777777" w:rsidR="0087601C" w:rsidRPr="006A1EC7" w:rsidRDefault="0087601C" w:rsidP="00D56051">
            <w:pPr>
              <w:rPr>
                <w:sz w:val="13"/>
                <w:szCs w:val="13"/>
              </w:rPr>
            </w:pPr>
            <w:r w:rsidRPr="006A1EC7">
              <w:rPr>
                <w:sz w:val="13"/>
                <w:szCs w:val="13"/>
              </w:rPr>
              <w:t>J4 (2)</w:t>
            </w:r>
          </w:p>
        </w:tc>
        <w:tc>
          <w:tcPr>
            <w:tcW w:w="402" w:type="dxa"/>
          </w:tcPr>
          <w:p w14:paraId="21872D8B" w14:textId="77777777" w:rsidR="0087601C" w:rsidRPr="006A1EC7" w:rsidRDefault="0087601C" w:rsidP="00D56051">
            <w:pPr>
              <w:rPr>
                <w:sz w:val="13"/>
                <w:szCs w:val="13"/>
              </w:rPr>
            </w:pPr>
          </w:p>
        </w:tc>
        <w:tc>
          <w:tcPr>
            <w:tcW w:w="476" w:type="dxa"/>
            <w:shd w:val="clear" w:color="auto" w:fill="FFFF00"/>
          </w:tcPr>
          <w:p w14:paraId="59EAECE2" w14:textId="77777777" w:rsidR="0087601C" w:rsidRPr="006A1EC7" w:rsidRDefault="0087601C" w:rsidP="00D56051">
            <w:pPr>
              <w:rPr>
                <w:sz w:val="13"/>
                <w:szCs w:val="13"/>
              </w:rPr>
            </w:pPr>
            <w:r w:rsidRPr="006A1EC7">
              <w:rPr>
                <w:sz w:val="13"/>
                <w:szCs w:val="13"/>
              </w:rPr>
              <w:t>J5 (1)</w:t>
            </w:r>
          </w:p>
        </w:tc>
        <w:tc>
          <w:tcPr>
            <w:tcW w:w="476" w:type="dxa"/>
            <w:shd w:val="clear" w:color="auto" w:fill="FFFF00"/>
          </w:tcPr>
          <w:p w14:paraId="248E8D91" w14:textId="77777777" w:rsidR="0087601C" w:rsidRPr="006A1EC7" w:rsidRDefault="0087601C" w:rsidP="00D56051">
            <w:pPr>
              <w:rPr>
                <w:sz w:val="13"/>
                <w:szCs w:val="13"/>
              </w:rPr>
            </w:pPr>
            <w:r w:rsidRPr="006A1EC7">
              <w:rPr>
                <w:sz w:val="13"/>
                <w:szCs w:val="13"/>
              </w:rPr>
              <w:t>J5 (2)</w:t>
            </w:r>
          </w:p>
        </w:tc>
        <w:tc>
          <w:tcPr>
            <w:tcW w:w="402" w:type="dxa"/>
          </w:tcPr>
          <w:p w14:paraId="0BD9C9FF" w14:textId="77777777" w:rsidR="0087601C" w:rsidRPr="006A1EC7" w:rsidRDefault="0087601C" w:rsidP="00D56051">
            <w:pPr>
              <w:rPr>
                <w:sz w:val="13"/>
                <w:szCs w:val="13"/>
              </w:rPr>
            </w:pPr>
          </w:p>
        </w:tc>
        <w:tc>
          <w:tcPr>
            <w:tcW w:w="476" w:type="dxa"/>
            <w:shd w:val="clear" w:color="auto" w:fill="FFFF00"/>
          </w:tcPr>
          <w:p w14:paraId="3D26F8B4" w14:textId="77777777" w:rsidR="0087601C" w:rsidRPr="006A1EC7" w:rsidRDefault="0087601C" w:rsidP="00D56051">
            <w:pPr>
              <w:rPr>
                <w:sz w:val="13"/>
                <w:szCs w:val="13"/>
              </w:rPr>
            </w:pPr>
            <w:r w:rsidRPr="006A1EC7">
              <w:rPr>
                <w:sz w:val="13"/>
                <w:szCs w:val="13"/>
              </w:rPr>
              <w:t>J6 (1)</w:t>
            </w:r>
          </w:p>
        </w:tc>
        <w:tc>
          <w:tcPr>
            <w:tcW w:w="476" w:type="dxa"/>
            <w:shd w:val="clear" w:color="auto" w:fill="FFFF00"/>
          </w:tcPr>
          <w:p w14:paraId="1B1FECA8" w14:textId="77777777" w:rsidR="0087601C" w:rsidRPr="006A1EC7" w:rsidRDefault="0087601C" w:rsidP="00D56051">
            <w:pPr>
              <w:rPr>
                <w:sz w:val="13"/>
                <w:szCs w:val="13"/>
              </w:rPr>
            </w:pPr>
            <w:r w:rsidRPr="006A1EC7">
              <w:rPr>
                <w:sz w:val="13"/>
                <w:szCs w:val="13"/>
              </w:rPr>
              <w:t>J6 (2)</w:t>
            </w:r>
          </w:p>
        </w:tc>
        <w:tc>
          <w:tcPr>
            <w:tcW w:w="402" w:type="dxa"/>
          </w:tcPr>
          <w:p w14:paraId="32C6A5A6" w14:textId="77777777" w:rsidR="0087601C" w:rsidRPr="006A1EC7" w:rsidRDefault="0087601C" w:rsidP="00D56051">
            <w:pPr>
              <w:rPr>
                <w:sz w:val="13"/>
                <w:szCs w:val="13"/>
              </w:rPr>
            </w:pPr>
          </w:p>
        </w:tc>
        <w:tc>
          <w:tcPr>
            <w:tcW w:w="476" w:type="dxa"/>
            <w:shd w:val="clear" w:color="auto" w:fill="FFFF00"/>
          </w:tcPr>
          <w:p w14:paraId="09CDA920" w14:textId="77777777" w:rsidR="0087601C" w:rsidRPr="006A1EC7" w:rsidRDefault="0087601C" w:rsidP="00D56051">
            <w:pPr>
              <w:rPr>
                <w:sz w:val="13"/>
                <w:szCs w:val="13"/>
              </w:rPr>
            </w:pPr>
            <w:r w:rsidRPr="006A1EC7">
              <w:rPr>
                <w:sz w:val="13"/>
                <w:szCs w:val="13"/>
              </w:rPr>
              <w:t>J7 (1)</w:t>
            </w:r>
          </w:p>
        </w:tc>
        <w:tc>
          <w:tcPr>
            <w:tcW w:w="477" w:type="dxa"/>
            <w:shd w:val="clear" w:color="auto" w:fill="FFFF00"/>
          </w:tcPr>
          <w:p w14:paraId="31DDDF9B" w14:textId="77777777" w:rsidR="0087601C" w:rsidRPr="006A1EC7" w:rsidRDefault="0087601C" w:rsidP="00D56051">
            <w:pPr>
              <w:rPr>
                <w:sz w:val="13"/>
                <w:szCs w:val="13"/>
              </w:rPr>
            </w:pPr>
            <w:r w:rsidRPr="006A1EC7">
              <w:rPr>
                <w:sz w:val="13"/>
                <w:szCs w:val="13"/>
              </w:rPr>
              <w:t>J7 (2)</w:t>
            </w:r>
          </w:p>
        </w:tc>
        <w:tc>
          <w:tcPr>
            <w:tcW w:w="402" w:type="dxa"/>
          </w:tcPr>
          <w:p w14:paraId="27D812E1" w14:textId="77777777" w:rsidR="0087601C" w:rsidRPr="006A1EC7" w:rsidRDefault="0087601C" w:rsidP="00D56051">
            <w:pPr>
              <w:rPr>
                <w:sz w:val="13"/>
                <w:szCs w:val="13"/>
              </w:rPr>
            </w:pPr>
          </w:p>
        </w:tc>
        <w:tc>
          <w:tcPr>
            <w:tcW w:w="477" w:type="dxa"/>
            <w:shd w:val="clear" w:color="auto" w:fill="FFFF00"/>
          </w:tcPr>
          <w:p w14:paraId="275905DA" w14:textId="77777777" w:rsidR="0087601C" w:rsidRPr="006A1EC7" w:rsidRDefault="0087601C" w:rsidP="00D56051">
            <w:pPr>
              <w:rPr>
                <w:sz w:val="13"/>
                <w:szCs w:val="13"/>
              </w:rPr>
            </w:pPr>
            <w:r w:rsidRPr="006A1EC7">
              <w:rPr>
                <w:sz w:val="13"/>
                <w:szCs w:val="13"/>
              </w:rPr>
              <w:t>J8 (1)</w:t>
            </w:r>
          </w:p>
        </w:tc>
        <w:tc>
          <w:tcPr>
            <w:tcW w:w="477" w:type="dxa"/>
            <w:shd w:val="clear" w:color="auto" w:fill="FFFF00"/>
          </w:tcPr>
          <w:p w14:paraId="1D4233F2" w14:textId="77777777" w:rsidR="0087601C" w:rsidRPr="006A1EC7" w:rsidRDefault="0087601C" w:rsidP="00D56051">
            <w:pPr>
              <w:rPr>
                <w:sz w:val="13"/>
                <w:szCs w:val="13"/>
              </w:rPr>
            </w:pPr>
            <w:r w:rsidRPr="006A1EC7">
              <w:rPr>
                <w:sz w:val="13"/>
                <w:szCs w:val="13"/>
              </w:rPr>
              <w:t>J8 (2)</w:t>
            </w:r>
          </w:p>
        </w:tc>
        <w:tc>
          <w:tcPr>
            <w:tcW w:w="402" w:type="dxa"/>
          </w:tcPr>
          <w:p w14:paraId="0FCF83CA" w14:textId="77777777" w:rsidR="0087601C" w:rsidRPr="006A1EC7" w:rsidRDefault="0087601C" w:rsidP="00D56051">
            <w:pPr>
              <w:rPr>
                <w:sz w:val="13"/>
                <w:szCs w:val="13"/>
              </w:rPr>
            </w:pPr>
          </w:p>
        </w:tc>
        <w:tc>
          <w:tcPr>
            <w:tcW w:w="460" w:type="dxa"/>
            <w:shd w:val="clear" w:color="auto" w:fill="FFFF00"/>
          </w:tcPr>
          <w:p w14:paraId="26FF8AB1" w14:textId="77777777" w:rsidR="0087601C" w:rsidRPr="006A1EC7" w:rsidRDefault="0087601C" w:rsidP="00D56051">
            <w:pPr>
              <w:rPr>
                <w:sz w:val="13"/>
                <w:szCs w:val="13"/>
              </w:rPr>
            </w:pPr>
            <w:r w:rsidRPr="006A1EC7">
              <w:rPr>
                <w:sz w:val="13"/>
                <w:szCs w:val="13"/>
              </w:rPr>
              <w:t>J9 (1)</w:t>
            </w:r>
          </w:p>
        </w:tc>
        <w:tc>
          <w:tcPr>
            <w:tcW w:w="460" w:type="dxa"/>
            <w:shd w:val="clear" w:color="auto" w:fill="FFFF00"/>
          </w:tcPr>
          <w:p w14:paraId="34786585" w14:textId="77777777" w:rsidR="0087601C" w:rsidRPr="006A1EC7" w:rsidRDefault="0087601C" w:rsidP="00D56051">
            <w:pPr>
              <w:rPr>
                <w:sz w:val="13"/>
                <w:szCs w:val="13"/>
              </w:rPr>
            </w:pPr>
            <w:r w:rsidRPr="006A1EC7">
              <w:rPr>
                <w:sz w:val="13"/>
                <w:szCs w:val="13"/>
              </w:rPr>
              <w:t>J9 (2)</w:t>
            </w:r>
          </w:p>
        </w:tc>
        <w:tc>
          <w:tcPr>
            <w:tcW w:w="402" w:type="dxa"/>
            <w:shd w:val="clear" w:color="auto" w:fill="auto"/>
          </w:tcPr>
          <w:p w14:paraId="09DB6228" w14:textId="77777777" w:rsidR="0087601C" w:rsidRPr="006A1EC7" w:rsidRDefault="0087601C" w:rsidP="00D56051">
            <w:pPr>
              <w:rPr>
                <w:sz w:val="13"/>
                <w:szCs w:val="13"/>
              </w:rPr>
            </w:pPr>
          </w:p>
        </w:tc>
        <w:tc>
          <w:tcPr>
            <w:tcW w:w="552" w:type="dxa"/>
          </w:tcPr>
          <w:p w14:paraId="40514CE8" w14:textId="77777777" w:rsidR="0087601C" w:rsidRPr="006A1EC7" w:rsidRDefault="0087601C" w:rsidP="00D56051">
            <w:pPr>
              <w:rPr>
                <w:sz w:val="13"/>
                <w:szCs w:val="13"/>
              </w:rPr>
            </w:pPr>
          </w:p>
        </w:tc>
        <w:tc>
          <w:tcPr>
            <w:tcW w:w="530" w:type="dxa"/>
          </w:tcPr>
          <w:p w14:paraId="0A0038DA" w14:textId="77777777" w:rsidR="0087601C" w:rsidRPr="006A1EC7" w:rsidRDefault="0087601C" w:rsidP="00D56051">
            <w:pPr>
              <w:rPr>
                <w:sz w:val="13"/>
                <w:szCs w:val="13"/>
              </w:rPr>
            </w:pPr>
            <w:r w:rsidRPr="006A1EC7">
              <w:rPr>
                <w:sz w:val="13"/>
                <w:szCs w:val="13"/>
              </w:rPr>
              <w:t>Percentage agreement between Time 1 and Time 2, per subscale</w:t>
            </w:r>
          </w:p>
        </w:tc>
      </w:tr>
      <w:tr w:rsidR="00744A8E" w:rsidRPr="006A1EC7" w14:paraId="3CF260F3" w14:textId="77777777" w:rsidTr="00D56051">
        <w:trPr>
          <w:trHeight w:val="410"/>
        </w:trPr>
        <w:tc>
          <w:tcPr>
            <w:tcW w:w="636" w:type="dxa"/>
          </w:tcPr>
          <w:p w14:paraId="005F0A14" w14:textId="77777777" w:rsidR="0087601C" w:rsidRPr="006A1EC7" w:rsidRDefault="0087601C" w:rsidP="00D56051">
            <w:pPr>
              <w:rPr>
                <w:sz w:val="13"/>
                <w:szCs w:val="13"/>
              </w:rPr>
            </w:pPr>
            <w:r w:rsidRPr="006A1EC7">
              <w:rPr>
                <w:sz w:val="13"/>
                <w:szCs w:val="13"/>
              </w:rPr>
              <w:t>Subscales</w:t>
            </w:r>
          </w:p>
        </w:tc>
        <w:tc>
          <w:tcPr>
            <w:tcW w:w="474" w:type="dxa"/>
            <w:shd w:val="clear" w:color="auto" w:fill="FFFF00"/>
          </w:tcPr>
          <w:p w14:paraId="591242C2" w14:textId="77777777" w:rsidR="0087601C" w:rsidRPr="006A1EC7" w:rsidRDefault="0087601C" w:rsidP="00D56051">
            <w:pPr>
              <w:rPr>
                <w:sz w:val="13"/>
                <w:szCs w:val="13"/>
              </w:rPr>
            </w:pPr>
          </w:p>
        </w:tc>
        <w:tc>
          <w:tcPr>
            <w:tcW w:w="474" w:type="dxa"/>
            <w:shd w:val="clear" w:color="auto" w:fill="FFFF00"/>
          </w:tcPr>
          <w:p w14:paraId="2C97EDBD" w14:textId="77777777" w:rsidR="0087601C" w:rsidRPr="006A1EC7" w:rsidRDefault="0087601C" w:rsidP="00D56051">
            <w:pPr>
              <w:rPr>
                <w:sz w:val="13"/>
                <w:szCs w:val="13"/>
              </w:rPr>
            </w:pPr>
          </w:p>
        </w:tc>
        <w:tc>
          <w:tcPr>
            <w:tcW w:w="467" w:type="dxa"/>
          </w:tcPr>
          <w:p w14:paraId="5B8824AE" w14:textId="77777777" w:rsidR="0087601C" w:rsidRPr="006A1EC7" w:rsidRDefault="0087601C" w:rsidP="00D56051">
            <w:pPr>
              <w:rPr>
                <w:sz w:val="13"/>
                <w:szCs w:val="13"/>
              </w:rPr>
            </w:pPr>
          </w:p>
        </w:tc>
        <w:tc>
          <w:tcPr>
            <w:tcW w:w="475" w:type="dxa"/>
            <w:shd w:val="clear" w:color="auto" w:fill="FFFF00"/>
          </w:tcPr>
          <w:p w14:paraId="10F409D2" w14:textId="77777777" w:rsidR="0087601C" w:rsidRPr="006A1EC7" w:rsidRDefault="0087601C" w:rsidP="00D56051">
            <w:pPr>
              <w:rPr>
                <w:sz w:val="13"/>
                <w:szCs w:val="13"/>
              </w:rPr>
            </w:pPr>
          </w:p>
        </w:tc>
        <w:tc>
          <w:tcPr>
            <w:tcW w:w="475" w:type="dxa"/>
            <w:shd w:val="clear" w:color="auto" w:fill="FFFF00"/>
          </w:tcPr>
          <w:p w14:paraId="7D297243" w14:textId="77777777" w:rsidR="0087601C" w:rsidRPr="006A1EC7" w:rsidRDefault="0087601C" w:rsidP="00D56051">
            <w:pPr>
              <w:rPr>
                <w:sz w:val="13"/>
                <w:szCs w:val="13"/>
              </w:rPr>
            </w:pPr>
          </w:p>
        </w:tc>
        <w:tc>
          <w:tcPr>
            <w:tcW w:w="450" w:type="dxa"/>
          </w:tcPr>
          <w:p w14:paraId="3A115E4A" w14:textId="77777777" w:rsidR="0087601C" w:rsidRPr="006A1EC7" w:rsidRDefault="0087601C" w:rsidP="00D56051">
            <w:pPr>
              <w:rPr>
                <w:sz w:val="13"/>
                <w:szCs w:val="13"/>
              </w:rPr>
            </w:pPr>
          </w:p>
        </w:tc>
        <w:tc>
          <w:tcPr>
            <w:tcW w:w="476" w:type="dxa"/>
            <w:shd w:val="clear" w:color="auto" w:fill="FFFF00"/>
          </w:tcPr>
          <w:p w14:paraId="475B10BA" w14:textId="77777777" w:rsidR="0087601C" w:rsidRPr="006A1EC7" w:rsidRDefault="0087601C" w:rsidP="00D56051">
            <w:pPr>
              <w:rPr>
                <w:sz w:val="13"/>
                <w:szCs w:val="13"/>
              </w:rPr>
            </w:pPr>
          </w:p>
        </w:tc>
        <w:tc>
          <w:tcPr>
            <w:tcW w:w="460" w:type="dxa"/>
            <w:shd w:val="clear" w:color="auto" w:fill="FFFF00"/>
          </w:tcPr>
          <w:p w14:paraId="0B9D933A" w14:textId="77777777" w:rsidR="0087601C" w:rsidRPr="006A1EC7" w:rsidRDefault="0087601C" w:rsidP="00D56051">
            <w:pPr>
              <w:rPr>
                <w:sz w:val="13"/>
                <w:szCs w:val="13"/>
              </w:rPr>
            </w:pPr>
          </w:p>
        </w:tc>
        <w:tc>
          <w:tcPr>
            <w:tcW w:w="402" w:type="dxa"/>
            <w:shd w:val="clear" w:color="auto" w:fill="auto"/>
          </w:tcPr>
          <w:p w14:paraId="3725E1E0" w14:textId="77777777" w:rsidR="0087601C" w:rsidRPr="006A1EC7" w:rsidRDefault="0087601C" w:rsidP="00D56051">
            <w:pPr>
              <w:rPr>
                <w:sz w:val="13"/>
                <w:szCs w:val="13"/>
              </w:rPr>
            </w:pPr>
          </w:p>
        </w:tc>
        <w:tc>
          <w:tcPr>
            <w:tcW w:w="460" w:type="dxa"/>
            <w:shd w:val="clear" w:color="auto" w:fill="FFFF00"/>
          </w:tcPr>
          <w:p w14:paraId="435724FE" w14:textId="77777777" w:rsidR="0087601C" w:rsidRPr="006A1EC7" w:rsidRDefault="0087601C" w:rsidP="00D56051">
            <w:pPr>
              <w:rPr>
                <w:sz w:val="13"/>
                <w:szCs w:val="13"/>
              </w:rPr>
            </w:pPr>
          </w:p>
        </w:tc>
        <w:tc>
          <w:tcPr>
            <w:tcW w:w="476" w:type="dxa"/>
            <w:shd w:val="clear" w:color="auto" w:fill="FFFF00"/>
          </w:tcPr>
          <w:p w14:paraId="0132FD38" w14:textId="77777777" w:rsidR="0087601C" w:rsidRPr="006A1EC7" w:rsidRDefault="0087601C" w:rsidP="00D56051">
            <w:pPr>
              <w:rPr>
                <w:sz w:val="13"/>
                <w:szCs w:val="13"/>
              </w:rPr>
            </w:pPr>
          </w:p>
        </w:tc>
        <w:tc>
          <w:tcPr>
            <w:tcW w:w="402" w:type="dxa"/>
          </w:tcPr>
          <w:p w14:paraId="1C28F1C3" w14:textId="77777777" w:rsidR="0087601C" w:rsidRPr="006A1EC7" w:rsidRDefault="0087601C" w:rsidP="00D56051">
            <w:pPr>
              <w:rPr>
                <w:sz w:val="13"/>
                <w:szCs w:val="13"/>
              </w:rPr>
            </w:pPr>
          </w:p>
        </w:tc>
        <w:tc>
          <w:tcPr>
            <w:tcW w:w="476" w:type="dxa"/>
            <w:shd w:val="clear" w:color="auto" w:fill="FFFF00"/>
          </w:tcPr>
          <w:p w14:paraId="69CF83F4" w14:textId="77777777" w:rsidR="0087601C" w:rsidRPr="006A1EC7" w:rsidRDefault="0087601C" w:rsidP="00D56051">
            <w:pPr>
              <w:rPr>
                <w:sz w:val="13"/>
                <w:szCs w:val="13"/>
              </w:rPr>
            </w:pPr>
          </w:p>
        </w:tc>
        <w:tc>
          <w:tcPr>
            <w:tcW w:w="476" w:type="dxa"/>
            <w:shd w:val="clear" w:color="auto" w:fill="FFFF00"/>
          </w:tcPr>
          <w:p w14:paraId="5906233C" w14:textId="77777777" w:rsidR="0087601C" w:rsidRPr="006A1EC7" w:rsidRDefault="0087601C" w:rsidP="00D56051">
            <w:pPr>
              <w:rPr>
                <w:sz w:val="13"/>
                <w:szCs w:val="13"/>
              </w:rPr>
            </w:pPr>
          </w:p>
        </w:tc>
        <w:tc>
          <w:tcPr>
            <w:tcW w:w="402" w:type="dxa"/>
          </w:tcPr>
          <w:p w14:paraId="5B82930E" w14:textId="77777777" w:rsidR="0087601C" w:rsidRPr="006A1EC7" w:rsidRDefault="0087601C" w:rsidP="00D56051">
            <w:pPr>
              <w:rPr>
                <w:sz w:val="13"/>
                <w:szCs w:val="13"/>
              </w:rPr>
            </w:pPr>
          </w:p>
        </w:tc>
        <w:tc>
          <w:tcPr>
            <w:tcW w:w="476" w:type="dxa"/>
            <w:shd w:val="clear" w:color="auto" w:fill="FFFF00"/>
          </w:tcPr>
          <w:p w14:paraId="3B506D42" w14:textId="77777777" w:rsidR="0087601C" w:rsidRPr="006A1EC7" w:rsidRDefault="0087601C" w:rsidP="00D56051">
            <w:pPr>
              <w:rPr>
                <w:sz w:val="13"/>
                <w:szCs w:val="13"/>
              </w:rPr>
            </w:pPr>
          </w:p>
        </w:tc>
        <w:tc>
          <w:tcPr>
            <w:tcW w:w="476" w:type="dxa"/>
            <w:shd w:val="clear" w:color="auto" w:fill="FFFF00"/>
          </w:tcPr>
          <w:p w14:paraId="177C4968" w14:textId="77777777" w:rsidR="0087601C" w:rsidRPr="006A1EC7" w:rsidRDefault="0087601C" w:rsidP="00D56051">
            <w:pPr>
              <w:rPr>
                <w:sz w:val="13"/>
                <w:szCs w:val="13"/>
              </w:rPr>
            </w:pPr>
          </w:p>
        </w:tc>
        <w:tc>
          <w:tcPr>
            <w:tcW w:w="402" w:type="dxa"/>
          </w:tcPr>
          <w:p w14:paraId="1618D8C0" w14:textId="77777777" w:rsidR="0087601C" w:rsidRPr="006A1EC7" w:rsidRDefault="0087601C" w:rsidP="00D56051">
            <w:pPr>
              <w:rPr>
                <w:sz w:val="13"/>
                <w:szCs w:val="13"/>
              </w:rPr>
            </w:pPr>
          </w:p>
        </w:tc>
        <w:tc>
          <w:tcPr>
            <w:tcW w:w="476" w:type="dxa"/>
            <w:shd w:val="clear" w:color="auto" w:fill="FFFF00"/>
          </w:tcPr>
          <w:p w14:paraId="523FF98B" w14:textId="77777777" w:rsidR="0087601C" w:rsidRPr="006A1EC7" w:rsidRDefault="0087601C" w:rsidP="00D56051">
            <w:pPr>
              <w:rPr>
                <w:sz w:val="13"/>
                <w:szCs w:val="13"/>
              </w:rPr>
            </w:pPr>
          </w:p>
        </w:tc>
        <w:tc>
          <w:tcPr>
            <w:tcW w:w="477" w:type="dxa"/>
            <w:shd w:val="clear" w:color="auto" w:fill="FFFF00"/>
          </w:tcPr>
          <w:p w14:paraId="7B552162" w14:textId="77777777" w:rsidR="0087601C" w:rsidRPr="006A1EC7" w:rsidRDefault="0087601C" w:rsidP="00D56051">
            <w:pPr>
              <w:rPr>
                <w:sz w:val="13"/>
                <w:szCs w:val="13"/>
              </w:rPr>
            </w:pPr>
          </w:p>
        </w:tc>
        <w:tc>
          <w:tcPr>
            <w:tcW w:w="402" w:type="dxa"/>
          </w:tcPr>
          <w:p w14:paraId="0BEEAF48" w14:textId="77777777" w:rsidR="0087601C" w:rsidRPr="006A1EC7" w:rsidRDefault="0087601C" w:rsidP="00D56051">
            <w:pPr>
              <w:rPr>
                <w:sz w:val="13"/>
                <w:szCs w:val="13"/>
              </w:rPr>
            </w:pPr>
          </w:p>
        </w:tc>
        <w:tc>
          <w:tcPr>
            <w:tcW w:w="477" w:type="dxa"/>
            <w:shd w:val="clear" w:color="auto" w:fill="FFFF00"/>
          </w:tcPr>
          <w:p w14:paraId="5EC7083D" w14:textId="77777777" w:rsidR="0087601C" w:rsidRPr="006A1EC7" w:rsidRDefault="0087601C" w:rsidP="00D56051">
            <w:pPr>
              <w:rPr>
                <w:sz w:val="13"/>
                <w:szCs w:val="13"/>
              </w:rPr>
            </w:pPr>
          </w:p>
        </w:tc>
        <w:tc>
          <w:tcPr>
            <w:tcW w:w="477" w:type="dxa"/>
            <w:shd w:val="clear" w:color="auto" w:fill="FFFF00"/>
          </w:tcPr>
          <w:p w14:paraId="1493F703" w14:textId="77777777" w:rsidR="0087601C" w:rsidRPr="006A1EC7" w:rsidRDefault="0087601C" w:rsidP="00D56051">
            <w:pPr>
              <w:rPr>
                <w:sz w:val="13"/>
                <w:szCs w:val="13"/>
              </w:rPr>
            </w:pPr>
          </w:p>
        </w:tc>
        <w:tc>
          <w:tcPr>
            <w:tcW w:w="402" w:type="dxa"/>
          </w:tcPr>
          <w:p w14:paraId="0B77E252" w14:textId="77777777" w:rsidR="0087601C" w:rsidRPr="006A1EC7" w:rsidRDefault="0087601C" w:rsidP="00D56051">
            <w:pPr>
              <w:rPr>
                <w:sz w:val="13"/>
                <w:szCs w:val="13"/>
              </w:rPr>
            </w:pPr>
          </w:p>
        </w:tc>
        <w:tc>
          <w:tcPr>
            <w:tcW w:w="460" w:type="dxa"/>
            <w:shd w:val="clear" w:color="auto" w:fill="FFFF00"/>
          </w:tcPr>
          <w:p w14:paraId="1132080F" w14:textId="77777777" w:rsidR="0087601C" w:rsidRPr="006A1EC7" w:rsidRDefault="0087601C" w:rsidP="00D56051">
            <w:pPr>
              <w:rPr>
                <w:sz w:val="13"/>
                <w:szCs w:val="13"/>
              </w:rPr>
            </w:pPr>
          </w:p>
        </w:tc>
        <w:tc>
          <w:tcPr>
            <w:tcW w:w="460" w:type="dxa"/>
            <w:shd w:val="clear" w:color="auto" w:fill="FFFF00"/>
          </w:tcPr>
          <w:p w14:paraId="476BD7A1" w14:textId="77777777" w:rsidR="0087601C" w:rsidRPr="006A1EC7" w:rsidRDefault="0087601C" w:rsidP="00D56051">
            <w:pPr>
              <w:rPr>
                <w:sz w:val="13"/>
                <w:szCs w:val="13"/>
              </w:rPr>
            </w:pPr>
          </w:p>
        </w:tc>
        <w:tc>
          <w:tcPr>
            <w:tcW w:w="402" w:type="dxa"/>
            <w:shd w:val="clear" w:color="auto" w:fill="auto"/>
          </w:tcPr>
          <w:p w14:paraId="0F3C0D77" w14:textId="77777777" w:rsidR="0087601C" w:rsidRPr="006A1EC7" w:rsidRDefault="0087601C" w:rsidP="00D56051">
            <w:pPr>
              <w:rPr>
                <w:sz w:val="13"/>
                <w:szCs w:val="13"/>
              </w:rPr>
            </w:pPr>
          </w:p>
        </w:tc>
        <w:tc>
          <w:tcPr>
            <w:tcW w:w="552" w:type="dxa"/>
          </w:tcPr>
          <w:p w14:paraId="0DDD36C5" w14:textId="77777777" w:rsidR="0087601C" w:rsidRPr="006A1EC7" w:rsidRDefault="0087601C" w:rsidP="00D56051">
            <w:pPr>
              <w:rPr>
                <w:sz w:val="13"/>
                <w:szCs w:val="13"/>
              </w:rPr>
            </w:pPr>
          </w:p>
        </w:tc>
        <w:tc>
          <w:tcPr>
            <w:tcW w:w="530" w:type="dxa"/>
          </w:tcPr>
          <w:p w14:paraId="7A8AE14E" w14:textId="77777777" w:rsidR="0087601C" w:rsidRPr="006A1EC7" w:rsidRDefault="0087601C" w:rsidP="00D56051">
            <w:pPr>
              <w:rPr>
                <w:sz w:val="13"/>
                <w:szCs w:val="13"/>
              </w:rPr>
            </w:pPr>
          </w:p>
        </w:tc>
      </w:tr>
      <w:tr w:rsidR="00744A8E" w:rsidRPr="006A1EC7" w14:paraId="28BC7794" w14:textId="77777777" w:rsidTr="00D56051">
        <w:tc>
          <w:tcPr>
            <w:tcW w:w="636" w:type="dxa"/>
          </w:tcPr>
          <w:p w14:paraId="397E2E9B" w14:textId="77777777" w:rsidR="0087601C" w:rsidRPr="006A1EC7" w:rsidRDefault="0087601C" w:rsidP="00D56051">
            <w:pPr>
              <w:rPr>
                <w:sz w:val="13"/>
                <w:szCs w:val="13"/>
              </w:rPr>
            </w:pPr>
            <w:r w:rsidRPr="006A1EC7">
              <w:rPr>
                <w:sz w:val="13"/>
                <w:szCs w:val="13"/>
              </w:rPr>
              <w:t>FCE</w:t>
            </w:r>
          </w:p>
        </w:tc>
        <w:tc>
          <w:tcPr>
            <w:tcW w:w="474" w:type="dxa"/>
            <w:shd w:val="clear" w:color="auto" w:fill="FFFF00"/>
          </w:tcPr>
          <w:p w14:paraId="38CED277" w14:textId="77777777" w:rsidR="0087601C" w:rsidRPr="006A1EC7" w:rsidRDefault="0087601C" w:rsidP="00D56051">
            <w:pPr>
              <w:rPr>
                <w:sz w:val="13"/>
                <w:szCs w:val="13"/>
              </w:rPr>
            </w:pPr>
            <w:r w:rsidRPr="006A1EC7">
              <w:rPr>
                <w:sz w:val="13"/>
                <w:szCs w:val="13"/>
              </w:rPr>
              <w:t>3</w:t>
            </w:r>
          </w:p>
        </w:tc>
        <w:tc>
          <w:tcPr>
            <w:tcW w:w="474" w:type="dxa"/>
            <w:shd w:val="clear" w:color="auto" w:fill="FFFF00"/>
          </w:tcPr>
          <w:p w14:paraId="716CF71E" w14:textId="77777777" w:rsidR="0087601C" w:rsidRPr="006A1EC7" w:rsidRDefault="0087601C" w:rsidP="00D56051">
            <w:pPr>
              <w:rPr>
                <w:sz w:val="13"/>
                <w:szCs w:val="13"/>
              </w:rPr>
            </w:pPr>
            <w:r w:rsidRPr="006A1EC7">
              <w:rPr>
                <w:sz w:val="13"/>
                <w:szCs w:val="13"/>
              </w:rPr>
              <w:t>4</w:t>
            </w:r>
          </w:p>
        </w:tc>
        <w:tc>
          <w:tcPr>
            <w:tcW w:w="467" w:type="dxa"/>
          </w:tcPr>
          <w:p w14:paraId="7C513C92" w14:textId="77777777" w:rsidR="0087601C" w:rsidRPr="006A1EC7" w:rsidRDefault="0087601C" w:rsidP="00D56051">
            <w:pPr>
              <w:rPr>
                <w:sz w:val="13"/>
                <w:szCs w:val="13"/>
              </w:rPr>
            </w:pPr>
            <w:r w:rsidRPr="006A1EC7">
              <w:rPr>
                <w:sz w:val="13"/>
                <w:szCs w:val="13"/>
              </w:rPr>
              <w:t>0</w:t>
            </w:r>
          </w:p>
        </w:tc>
        <w:tc>
          <w:tcPr>
            <w:tcW w:w="475" w:type="dxa"/>
            <w:shd w:val="clear" w:color="auto" w:fill="FFFF00"/>
          </w:tcPr>
          <w:p w14:paraId="538DA4D9" w14:textId="77777777" w:rsidR="0087601C" w:rsidRPr="006A1EC7" w:rsidRDefault="0087601C" w:rsidP="00D56051">
            <w:pPr>
              <w:rPr>
                <w:sz w:val="13"/>
                <w:szCs w:val="13"/>
              </w:rPr>
            </w:pPr>
            <w:r w:rsidRPr="006A1EC7">
              <w:rPr>
                <w:sz w:val="13"/>
                <w:szCs w:val="13"/>
              </w:rPr>
              <w:t>4</w:t>
            </w:r>
          </w:p>
        </w:tc>
        <w:tc>
          <w:tcPr>
            <w:tcW w:w="475" w:type="dxa"/>
            <w:shd w:val="clear" w:color="auto" w:fill="FFFF00"/>
          </w:tcPr>
          <w:p w14:paraId="7BFA03C0" w14:textId="77777777" w:rsidR="0087601C" w:rsidRPr="006A1EC7" w:rsidRDefault="0087601C" w:rsidP="00D56051">
            <w:pPr>
              <w:rPr>
                <w:sz w:val="13"/>
                <w:szCs w:val="13"/>
              </w:rPr>
            </w:pPr>
            <w:r w:rsidRPr="006A1EC7">
              <w:rPr>
                <w:sz w:val="13"/>
                <w:szCs w:val="13"/>
              </w:rPr>
              <w:t>4</w:t>
            </w:r>
          </w:p>
        </w:tc>
        <w:tc>
          <w:tcPr>
            <w:tcW w:w="450" w:type="dxa"/>
          </w:tcPr>
          <w:p w14:paraId="416EE4AC"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56476124" w14:textId="77777777" w:rsidR="0087601C" w:rsidRPr="006A1EC7" w:rsidRDefault="0087601C" w:rsidP="00D56051">
            <w:pPr>
              <w:rPr>
                <w:sz w:val="13"/>
                <w:szCs w:val="13"/>
              </w:rPr>
            </w:pPr>
            <w:r w:rsidRPr="006A1EC7">
              <w:rPr>
                <w:sz w:val="13"/>
                <w:szCs w:val="13"/>
              </w:rPr>
              <w:t>4</w:t>
            </w:r>
          </w:p>
        </w:tc>
        <w:tc>
          <w:tcPr>
            <w:tcW w:w="460" w:type="dxa"/>
            <w:shd w:val="clear" w:color="auto" w:fill="FFFF00"/>
          </w:tcPr>
          <w:p w14:paraId="0B6686EF" w14:textId="77777777" w:rsidR="0087601C" w:rsidRPr="006A1EC7" w:rsidRDefault="0087601C" w:rsidP="00D56051">
            <w:pPr>
              <w:rPr>
                <w:sz w:val="13"/>
                <w:szCs w:val="13"/>
              </w:rPr>
            </w:pPr>
            <w:r w:rsidRPr="006A1EC7">
              <w:rPr>
                <w:sz w:val="13"/>
                <w:szCs w:val="13"/>
              </w:rPr>
              <w:t>4</w:t>
            </w:r>
          </w:p>
        </w:tc>
        <w:tc>
          <w:tcPr>
            <w:tcW w:w="402" w:type="dxa"/>
            <w:shd w:val="clear" w:color="auto" w:fill="auto"/>
          </w:tcPr>
          <w:p w14:paraId="77534507"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508C2550" w14:textId="77777777" w:rsidR="0087601C" w:rsidRPr="006A1EC7" w:rsidRDefault="0087601C" w:rsidP="00D56051">
            <w:pPr>
              <w:rPr>
                <w:sz w:val="13"/>
                <w:szCs w:val="13"/>
              </w:rPr>
            </w:pPr>
            <w:r w:rsidRPr="006A1EC7">
              <w:rPr>
                <w:sz w:val="13"/>
                <w:szCs w:val="13"/>
              </w:rPr>
              <w:t>2</w:t>
            </w:r>
          </w:p>
        </w:tc>
        <w:tc>
          <w:tcPr>
            <w:tcW w:w="476" w:type="dxa"/>
            <w:shd w:val="clear" w:color="auto" w:fill="FFFF00"/>
          </w:tcPr>
          <w:p w14:paraId="2B804D00" w14:textId="77777777" w:rsidR="0087601C" w:rsidRPr="006A1EC7" w:rsidRDefault="0087601C" w:rsidP="00D56051">
            <w:pPr>
              <w:rPr>
                <w:sz w:val="13"/>
                <w:szCs w:val="13"/>
              </w:rPr>
            </w:pPr>
            <w:r w:rsidRPr="006A1EC7">
              <w:rPr>
                <w:sz w:val="13"/>
                <w:szCs w:val="13"/>
              </w:rPr>
              <w:t>3</w:t>
            </w:r>
          </w:p>
        </w:tc>
        <w:tc>
          <w:tcPr>
            <w:tcW w:w="402" w:type="dxa"/>
          </w:tcPr>
          <w:p w14:paraId="7416B1CB"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25AFACD0"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5F8568F9" w14:textId="77777777" w:rsidR="0087601C" w:rsidRPr="006A1EC7" w:rsidRDefault="0087601C" w:rsidP="00D56051">
            <w:pPr>
              <w:rPr>
                <w:sz w:val="13"/>
                <w:szCs w:val="13"/>
              </w:rPr>
            </w:pPr>
            <w:r w:rsidRPr="006A1EC7">
              <w:rPr>
                <w:sz w:val="13"/>
                <w:szCs w:val="13"/>
              </w:rPr>
              <w:t>3</w:t>
            </w:r>
          </w:p>
        </w:tc>
        <w:tc>
          <w:tcPr>
            <w:tcW w:w="402" w:type="dxa"/>
          </w:tcPr>
          <w:p w14:paraId="1C190841"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075E5964"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49981882" w14:textId="77777777" w:rsidR="0087601C" w:rsidRPr="006A1EC7" w:rsidRDefault="0087601C" w:rsidP="00D56051">
            <w:pPr>
              <w:rPr>
                <w:sz w:val="13"/>
                <w:szCs w:val="13"/>
              </w:rPr>
            </w:pPr>
            <w:r w:rsidRPr="006A1EC7">
              <w:rPr>
                <w:sz w:val="13"/>
                <w:szCs w:val="13"/>
              </w:rPr>
              <w:t>3</w:t>
            </w:r>
          </w:p>
        </w:tc>
        <w:tc>
          <w:tcPr>
            <w:tcW w:w="402" w:type="dxa"/>
          </w:tcPr>
          <w:p w14:paraId="6AF1227E"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3FC531DC"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0B16A8F4" w14:textId="77777777" w:rsidR="0087601C" w:rsidRPr="006A1EC7" w:rsidRDefault="0087601C" w:rsidP="00D56051">
            <w:pPr>
              <w:rPr>
                <w:sz w:val="13"/>
                <w:szCs w:val="13"/>
              </w:rPr>
            </w:pPr>
            <w:r w:rsidRPr="006A1EC7">
              <w:rPr>
                <w:sz w:val="13"/>
                <w:szCs w:val="13"/>
              </w:rPr>
              <w:t>3</w:t>
            </w:r>
          </w:p>
        </w:tc>
        <w:tc>
          <w:tcPr>
            <w:tcW w:w="402" w:type="dxa"/>
          </w:tcPr>
          <w:p w14:paraId="7F5C5EEB"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5B26C1D"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78EA490F" w14:textId="77777777" w:rsidR="0087601C" w:rsidRPr="006A1EC7" w:rsidRDefault="0087601C" w:rsidP="00D56051">
            <w:pPr>
              <w:rPr>
                <w:sz w:val="13"/>
                <w:szCs w:val="13"/>
              </w:rPr>
            </w:pPr>
            <w:r w:rsidRPr="006A1EC7">
              <w:rPr>
                <w:sz w:val="13"/>
                <w:szCs w:val="13"/>
              </w:rPr>
              <w:t>3</w:t>
            </w:r>
          </w:p>
        </w:tc>
        <w:tc>
          <w:tcPr>
            <w:tcW w:w="402" w:type="dxa"/>
          </w:tcPr>
          <w:p w14:paraId="4F01AAF3"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0E0818B4" w14:textId="77777777" w:rsidR="0087601C" w:rsidRPr="006A1EC7" w:rsidRDefault="0087601C" w:rsidP="00D56051">
            <w:pPr>
              <w:rPr>
                <w:sz w:val="13"/>
                <w:szCs w:val="13"/>
              </w:rPr>
            </w:pPr>
            <w:r w:rsidRPr="006A1EC7">
              <w:rPr>
                <w:sz w:val="13"/>
                <w:szCs w:val="13"/>
              </w:rPr>
              <w:t>2</w:t>
            </w:r>
          </w:p>
        </w:tc>
        <w:tc>
          <w:tcPr>
            <w:tcW w:w="460" w:type="dxa"/>
            <w:shd w:val="clear" w:color="auto" w:fill="FFFF00"/>
          </w:tcPr>
          <w:p w14:paraId="67A85E7F" w14:textId="77777777" w:rsidR="0087601C" w:rsidRPr="006A1EC7" w:rsidRDefault="0087601C" w:rsidP="00D56051">
            <w:pPr>
              <w:rPr>
                <w:sz w:val="13"/>
                <w:szCs w:val="13"/>
              </w:rPr>
            </w:pPr>
            <w:r w:rsidRPr="006A1EC7">
              <w:rPr>
                <w:sz w:val="13"/>
                <w:szCs w:val="13"/>
              </w:rPr>
              <w:t>3</w:t>
            </w:r>
          </w:p>
        </w:tc>
        <w:tc>
          <w:tcPr>
            <w:tcW w:w="402" w:type="dxa"/>
            <w:shd w:val="clear" w:color="auto" w:fill="auto"/>
          </w:tcPr>
          <w:p w14:paraId="413E1550" w14:textId="77777777" w:rsidR="0087601C" w:rsidRPr="006A1EC7" w:rsidRDefault="0087601C" w:rsidP="00D56051">
            <w:pPr>
              <w:rPr>
                <w:sz w:val="13"/>
                <w:szCs w:val="13"/>
              </w:rPr>
            </w:pPr>
            <w:r w:rsidRPr="006A1EC7">
              <w:rPr>
                <w:sz w:val="13"/>
                <w:szCs w:val="13"/>
              </w:rPr>
              <w:t>0</w:t>
            </w:r>
          </w:p>
        </w:tc>
        <w:tc>
          <w:tcPr>
            <w:tcW w:w="552" w:type="dxa"/>
          </w:tcPr>
          <w:p w14:paraId="05C47C7A" w14:textId="77777777" w:rsidR="0087601C" w:rsidRPr="006A1EC7" w:rsidRDefault="0087601C" w:rsidP="00D56051">
            <w:pPr>
              <w:rPr>
                <w:sz w:val="13"/>
                <w:szCs w:val="13"/>
              </w:rPr>
            </w:pPr>
            <w:r w:rsidRPr="006A1EC7">
              <w:rPr>
                <w:sz w:val="13"/>
                <w:szCs w:val="13"/>
              </w:rPr>
              <w:t>4/9</w:t>
            </w:r>
          </w:p>
        </w:tc>
        <w:tc>
          <w:tcPr>
            <w:tcW w:w="530" w:type="dxa"/>
          </w:tcPr>
          <w:p w14:paraId="5DE802B3" w14:textId="77777777" w:rsidR="0087601C" w:rsidRPr="006A1EC7" w:rsidRDefault="0087601C" w:rsidP="00D56051">
            <w:pPr>
              <w:rPr>
                <w:sz w:val="13"/>
                <w:szCs w:val="13"/>
              </w:rPr>
            </w:pPr>
            <w:r w:rsidRPr="006A1EC7">
              <w:rPr>
                <w:sz w:val="13"/>
                <w:szCs w:val="13"/>
              </w:rPr>
              <w:t>44%</w:t>
            </w:r>
          </w:p>
        </w:tc>
      </w:tr>
      <w:tr w:rsidR="00744A8E" w:rsidRPr="006A1EC7" w14:paraId="46AD39F1" w14:textId="77777777" w:rsidTr="00D56051">
        <w:tc>
          <w:tcPr>
            <w:tcW w:w="636" w:type="dxa"/>
          </w:tcPr>
          <w:p w14:paraId="6144277B" w14:textId="77777777" w:rsidR="0087601C" w:rsidRPr="006A1EC7" w:rsidRDefault="0087601C" w:rsidP="00D56051">
            <w:pPr>
              <w:rPr>
                <w:sz w:val="13"/>
                <w:szCs w:val="13"/>
              </w:rPr>
            </w:pPr>
            <w:r w:rsidRPr="006A1EC7">
              <w:rPr>
                <w:sz w:val="13"/>
                <w:szCs w:val="13"/>
              </w:rPr>
              <w:t>EPY</w:t>
            </w:r>
          </w:p>
        </w:tc>
        <w:tc>
          <w:tcPr>
            <w:tcW w:w="474" w:type="dxa"/>
            <w:shd w:val="clear" w:color="auto" w:fill="FFFF00"/>
          </w:tcPr>
          <w:p w14:paraId="0EAB74CD" w14:textId="77777777" w:rsidR="0087601C" w:rsidRPr="006A1EC7" w:rsidRDefault="0087601C" w:rsidP="00D56051">
            <w:pPr>
              <w:rPr>
                <w:sz w:val="13"/>
                <w:szCs w:val="13"/>
              </w:rPr>
            </w:pPr>
            <w:r w:rsidRPr="006A1EC7">
              <w:rPr>
                <w:sz w:val="13"/>
                <w:szCs w:val="13"/>
              </w:rPr>
              <w:t>13</w:t>
            </w:r>
          </w:p>
        </w:tc>
        <w:tc>
          <w:tcPr>
            <w:tcW w:w="474" w:type="dxa"/>
            <w:shd w:val="clear" w:color="auto" w:fill="FFFF00"/>
          </w:tcPr>
          <w:p w14:paraId="62AC8B27" w14:textId="77777777" w:rsidR="0087601C" w:rsidRPr="006A1EC7" w:rsidRDefault="0087601C" w:rsidP="00D56051">
            <w:pPr>
              <w:rPr>
                <w:sz w:val="13"/>
                <w:szCs w:val="13"/>
              </w:rPr>
            </w:pPr>
            <w:r w:rsidRPr="006A1EC7">
              <w:rPr>
                <w:sz w:val="13"/>
                <w:szCs w:val="13"/>
              </w:rPr>
              <w:t>13</w:t>
            </w:r>
          </w:p>
        </w:tc>
        <w:tc>
          <w:tcPr>
            <w:tcW w:w="467" w:type="dxa"/>
          </w:tcPr>
          <w:p w14:paraId="1063373B"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494A80AA" w14:textId="77777777" w:rsidR="0087601C" w:rsidRPr="006A1EC7" w:rsidRDefault="0087601C" w:rsidP="00D56051">
            <w:pPr>
              <w:rPr>
                <w:sz w:val="13"/>
                <w:szCs w:val="13"/>
              </w:rPr>
            </w:pPr>
            <w:r w:rsidRPr="006A1EC7">
              <w:rPr>
                <w:sz w:val="13"/>
                <w:szCs w:val="13"/>
              </w:rPr>
              <w:t>13</w:t>
            </w:r>
          </w:p>
        </w:tc>
        <w:tc>
          <w:tcPr>
            <w:tcW w:w="475" w:type="dxa"/>
            <w:shd w:val="clear" w:color="auto" w:fill="FFFF00"/>
          </w:tcPr>
          <w:p w14:paraId="4A36D65E" w14:textId="77777777" w:rsidR="0087601C" w:rsidRPr="006A1EC7" w:rsidRDefault="0087601C" w:rsidP="00D56051">
            <w:pPr>
              <w:rPr>
                <w:sz w:val="13"/>
                <w:szCs w:val="13"/>
              </w:rPr>
            </w:pPr>
            <w:r w:rsidRPr="006A1EC7">
              <w:rPr>
                <w:sz w:val="13"/>
                <w:szCs w:val="13"/>
              </w:rPr>
              <w:t>12</w:t>
            </w:r>
          </w:p>
        </w:tc>
        <w:tc>
          <w:tcPr>
            <w:tcW w:w="450" w:type="dxa"/>
          </w:tcPr>
          <w:p w14:paraId="34CAC178"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616CF2F5" w14:textId="77777777" w:rsidR="0087601C" w:rsidRPr="006A1EC7" w:rsidRDefault="0087601C" w:rsidP="00D56051">
            <w:pPr>
              <w:rPr>
                <w:sz w:val="13"/>
                <w:szCs w:val="13"/>
              </w:rPr>
            </w:pPr>
            <w:r w:rsidRPr="006A1EC7">
              <w:rPr>
                <w:sz w:val="13"/>
                <w:szCs w:val="13"/>
              </w:rPr>
              <w:t>12</w:t>
            </w:r>
          </w:p>
        </w:tc>
        <w:tc>
          <w:tcPr>
            <w:tcW w:w="460" w:type="dxa"/>
            <w:shd w:val="clear" w:color="auto" w:fill="FFFF00"/>
          </w:tcPr>
          <w:p w14:paraId="2BB17D18" w14:textId="77777777" w:rsidR="0087601C" w:rsidRPr="006A1EC7" w:rsidRDefault="0087601C" w:rsidP="00D56051">
            <w:pPr>
              <w:rPr>
                <w:sz w:val="13"/>
                <w:szCs w:val="13"/>
              </w:rPr>
            </w:pPr>
            <w:r w:rsidRPr="006A1EC7">
              <w:rPr>
                <w:sz w:val="13"/>
                <w:szCs w:val="13"/>
              </w:rPr>
              <w:t>12</w:t>
            </w:r>
          </w:p>
        </w:tc>
        <w:tc>
          <w:tcPr>
            <w:tcW w:w="402" w:type="dxa"/>
            <w:shd w:val="clear" w:color="auto" w:fill="auto"/>
          </w:tcPr>
          <w:p w14:paraId="5318BE43"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747E12F" w14:textId="77777777" w:rsidR="0087601C" w:rsidRPr="006A1EC7" w:rsidRDefault="0087601C" w:rsidP="00D56051">
            <w:pPr>
              <w:rPr>
                <w:sz w:val="13"/>
                <w:szCs w:val="13"/>
              </w:rPr>
            </w:pPr>
            <w:r w:rsidRPr="006A1EC7">
              <w:rPr>
                <w:sz w:val="13"/>
                <w:szCs w:val="13"/>
              </w:rPr>
              <w:t>12</w:t>
            </w:r>
          </w:p>
        </w:tc>
        <w:tc>
          <w:tcPr>
            <w:tcW w:w="476" w:type="dxa"/>
            <w:shd w:val="clear" w:color="auto" w:fill="FFFF00"/>
          </w:tcPr>
          <w:p w14:paraId="1B96C7E8" w14:textId="77777777" w:rsidR="0087601C" w:rsidRPr="006A1EC7" w:rsidRDefault="0087601C" w:rsidP="00D56051">
            <w:pPr>
              <w:rPr>
                <w:sz w:val="13"/>
                <w:szCs w:val="13"/>
              </w:rPr>
            </w:pPr>
            <w:r w:rsidRPr="006A1EC7">
              <w:rPr>
                <w:sz w:val="13"/>
                <w:szCs w:val="13"/>
              </w:rPr>
              <w:t>13</w:t>
            </w:r>
          </w:p>
        </w:tc>
        <w:tc>
          <w:tcPr>
            <w:tcW w:w="402" w:type="dxa"/>
          </w:tcPr>
          <w:p w14:paraId="027FBE44"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79B2E5E8" w14:textId="77777777" w:rsidR="0087601C" w:rsidRPr="006A1EC7" w:rsidRDefault="0087601C" w:rsidP="00D56051">
            <w:pPr>
              <w:rPr>
                <w:sz w:val="13"/>
                <w:szCs w:val="13"/>
              </w:rPr>
            </w:pPr>
            <w:r w:rsidRPr="006A1EC7">
              <w:rPr>
                <w:sz w:val="13"/>
                <w:szCs w:val="13"/>
              </w:rPr>
              <w:t>13</w:t>
            </w:r>
          </w:p>
        </w:tc>
        <w:tc>
          <w:tcPr>
            <w:tcW w:w="476" w:type="dxa"/>
            <w:shd w:val="clear" w:color="auto" w:fill="FFFF00"/>
          </w:tcPr>
          <w:p w14:paraId="5F2ADFC1" w14:textId="77777777" w:rsidR="0087601C" w:rsidRPr="006A1EC7" w:rsidRDefault="0087601C" w:rsidP="00D56051">
            <w:pPr>
              <w:rPr>
                <w:sz w:val="13"/>
                <w:szCs w:val="13"/>
              </w:rPr>
            </w:pPr>
            <w:r w:rsidRPr="006A1EC7">
              <w:rPr>
                <w:sz w:val="13"/>
                <w:szCs w:val="13"/>
              </w:rPr>
              <w:t>12</w:t>
            </w:r>
          </w:p>
        </w:tc>
        <w:tc>
          <w:tcPr>
            <w:tcW w:w="402" w:type="dxa"/>
          </w:tcPr>
          <w:p w14:paraId="0AD6E43B"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70FE5B3C" w14:textId="77777777" w:rsidR="0087601C" w:rsidRPr="006A1EC7" w:rsidRDefault="0087601C" w:rsidP="00D56051">
            <w:pPr>
              <w:rPr>
                <w:sz w:val="13"/>
                <w:szCs w:val="13"/>
              </w:rPr>
            </w:pPr>
            <w:r w:rsidRPr="006A1EC7">
              <w:rPr>
                <w:sz w:val="13"/>
                <w:szCs w:val="13"/>
              </w:rPr>
              <w:t>12</w:t>
            </w:r>
          </w:p>
        </w:tc>
        <w:tc>
          <w:tcPr>
            <w:tcW w:w="476" w:type="dxa"/>
            <w:shd w:val="clear" w:color="auto" w:fill="FFFF00"/>
          </w:tcPr>
          <w:p w14:paraId="68FF08A7" w14:textId="77777777" w:rsidR="0087601C" w:rsidRPr="006A1EC7" w:rsidRDefault="0087601C" w:rsidP="00D56051">
            <w:pPr>
              <w:rPr>
                <w:sz w:val="13"/>
                <w:szCs w:val="13"/>
              </w:rPr>
            </w:pPr>
            <w:r w:rsidRPr="006A1EC7">
              <w:rPr>
                <w:sz w:val="13"/>
                <w:szCs w:val="13"/>
              </w:rPr>
              <w:t>13</w:t>
            </w:r>
          </w:p>
        </w:tc>
        <w:tc>
          <w:tcPr>
            <w:tcW w:w="402" w:type="dxa"/>
          </w:tcPr>
          <w:p w14:paraId="1AFBD240"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9BDA416" w14:textId="77777777" w:rsidR="0087601C" w:rsidRPr="006A1EC7" w:rsidRDefault="0087601C" w:rsidP="00D56051">
            <w:pPr>
              <w:rPr>
                <w:sz w:val="13"/>
                <w:szCs w:val="13"/>
              </w:rPr>
            </w:pPr>
            <w:r w:rsidRPr="006A1EC7">
              <w:rPr>
                <w:sz w:val="13"/>
                <w:szCs w:val="13"/>
              </w:rPr>
              <w:t>13</w:t>
            </w:r>
          </w:p>
        </w:tc>
        <w:tc>
          <w:tcPr>
            <w:tcW w:w="477" w:type="dxa"/>
            <w:shd w:val="clear" w:color="auto" w:fill="FFFF00"/>
          </w:tcPr>
          <w:p w14:paraId="0B4CBABC" w14:textId="77777777" w:rsidR="0087601C" w:rsidRPr="006A1EC7" w:rsidRDefault="0087601C" w:rsidP="00D56051">
            <w:pPr>
              <w:rPr>
                <w:sz w:val="13"/>
                <w:szCs w:val="13"/>
              </w:rPr>
            </w:pPr>
            <w:r w:rsidRPr="006A1EC7">
              <w:rPr>
                <w:sz w:val="13"/>
                <w:szCs w:val="13"/>
              </w:rPr>
              <w:t>13</w:t>
            </w:r>
          </w:p>
        </w:tc>
        <w:tc>
          <w:tcPr>
            <w:tcW w:w="402" w:type="dxa"/>
          </w:tcPr>
          <w:p w14:paraId="19A4708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47CACCD" w14:textId="77777777" w:rsidR="0087601C" w:rsidRPr="006A1EC7" w:rsidRDefault="0087601C" w:rsidP="00D56051">
            <w:pPr>
              <w:rPr>
                <w:sz w:val="13"/>
                <w:szCs w:val="13"/>
              </w:rPr>
            </w:pPr>
            <w:r w:rsidRPr="006A1EC7">
              <w:rPr>
                <w:sz w:val="13"/>
                <w:szCs w:val="13"/>
              </w:rPr>
              <w:t>13</w:t>
            </w:r>
          </w:p>
        </w:tc>
        <w:tc>
          <w:tcPr>
            <w:tcW w:w="477" w:type="dxa"/>
            <w:shd w:val="clear" w:color="auto" w:fill="FFFF00"/>
          </w:tcPr>
          <w:p w14:paraId="4DFE0731" w14:textId="77777777" w:rsidR="0087601C" w:rsidRPr="006A1EC7" w:rsidRDefault="0087601C" w:rsidP="00D56051">
            <w:pPr>
              <w:rPr>
                <w:sz w:val="13"/>
                <w:szCs w:val="13"/>
              </w:rPr>
            </w:pPr>
            <w:r w:rsidRPr="006A1EC7">
              <w:rPr>
                <w:sz w:val="13"/>
                <w:szCs w:val="13"/>
              </w:rPr>
              <w:t>13</w:t>
            </w:r>
          </w:p>
        </w:tc>
        <w:tc>
          <w:tcPr>
            <w:tcW w:w="402" w:type="dxa"/>
          </w:tcPr>
          <w:p w14:paraId="2566D106"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46D8E12" w14:textId="77777777" w:rsidR="0087601C" w:rsidRPr="006A1EC7" w:rsidRDefault="0087601C" w:rsidP="00D56051">
            <w:pPr>
              <w:rPr>
                <w:sz w:val="13"/>
                <w:szCs w:val="13"/>
              </w:rPr>
            </w:pPr>
            <w:r w:rsidRPr="006A1EC7">
              <w:rPr>
                <w:sz w:val="13"/>
                <w:szCs w:val="13"/>
              </w:rPr>
              <w:t>13</w:t>
            </w:r>
          </w:p>
        </w:tc>
        <w:tc>
          <w:tcPr>
            <w:tcW w:w="460" w:type="dxa"/>
            <w:shd w:val="clear" w:color="auto" w:fill="FFFF00"/>
          </w:tcPr>
          <w:p w14:paraId="29F03FE7" w14:textId="77777777" w:rsidR="0087601C" w:rsidRPr="006A1EC7" w:rsidRDefault="0087601C" w:rsidP="00D56051">
            <w:pPr>
              <w:rPr>
                <w:sz w:val="13"/>
                <w:szCs w:val="13"/>
              </w:rPr>
            </w:pPr>
            <w:r w:rsidRPr="006A1EC7">
              <w:rPr>
                <w:sz w:val="13"/>
                <w:szCs w:val="13"/>
              </w:rPr>
              <w:t>16</w:t>
            </w:r>
          </w:p>
        </w:tc>
        <w:tc>
          <w:tcPr>
            <w:tcW w:w="402" w:type="dxa"/>
            <w:shd w:val="clear" w:color="auto" w:fill="auto"/>
          </w:tcPr>
          <w:p w14:paraId="00D04209" w14:textId="77777777" w:rsidR="0087601C" w:rsidRPr="006A1EC7" w:rsidRDefault="0087601C" w:rsidP="00D56051">
            <w:pPr>
              <w:rPr>
                <w:sz w:val="13"/>
                <w:szCs w:val="13"/>
              </w:rPr>
            </w:pPr>
            <w:r w:rsidRPr="006A1EC7">
              <w:rPr>
                <w:sz w:val="13"/>
                <w:szCs w:val="13"/>
              </w:rPr>
              <w:t>0</w:t>
            </w:r>
          </w:p>
        </w:tc>
        <w:tc>
          <w:tcPr>
            <w:tcW w:w="552" w:type="dxa"/>
          </w:tcPr>
          <w:p w14:paraId="508200D3" w14:textId="77777777" w:rsidR="0087601C" w:rsidRPr="006A1EC7" w:rsidRDefault="0087601C" w:rsidP="00D56051">
            <w:pPr>
              <w:rPr>
                <w:sz w:val="13"/>
                <w:szCs w:val="13"/>
              </w:rPr>
            </w:pPr>
            <w:r w:rsidRPr="006A1EC7">
              <w:rPr>
                <w:sz w:val="13"/>
                <w:szCs w:val="13"/>
              </w:rPr>
              <w:t>4/9</w:t>
            </w:r>
          </w:p>
        </w:tc>
        <w:tc>
          <w:tcPr>
            <w:tcW w:w="530" w:type="dxa"/>
          </w:tcPr>
          <w:p w14:paraId="26668947" w14:textId="77777777" w:rsidR="0087601C" w:rsidRPr="006A1EC7" w:rsidRDefault="0087601C" w:rsidP="00D56051">
            <w:pPr>
              <w:rPr>
                <w:sz w:val="13"/>
                <w:szCs w:val="13"/>
              </w:rPr>
            </w:pPr>
            <w:r w:rsidRPr="006A1EC7">
              <w:rPr>
                <w:sz w:val="13"/>
                <w:szCs w:val="13"/>
              </w:rPr>
              <w:t>44%</w:t>
            </w:r>
          </w:p>
        </w:tc>
      </w:tr>
      <w:tr w:rsidR="00744A8E" w:rsidRPr="006A1EC7" w14:paraId="763107FA" w14:textId="77777777" w:rsidTr="00D56051">
        <w:tc>
          <w:tcPr>
            <w:tcW w:w="636" w:type="dxa"/>
          </w:tcPr>
          <w:p w14:paraId="7E94A186" w14:textId="77777777" w:rsidR="0087601C" w:rsidRPr="006A1EC7" w:rsidRDefault="0087601C" w:rsidP="00D56051">
            <w:pPr>
              <w:rPr>
                <w:sz w:val="13"/>
                <w:szCs w:val="13"/>
              </w:rPr>
            </w:pPr>
            <w:r w:rsidRPr="006A1EC7">
              <w:rPr>
                <w:sz w:val="13"/>
                <w:szCs w:val="13"/>
              </w:rPr>
              <w:t>GST</w:t>
            </w:r>
          </w:p>
        </w:tc>
        <w:tc>
          <w:tcPr>
            <w:tcW w:w="474" w:type="dxa"/>
            <w:shd w:val="clear" w:color="auto" w:fill="FFFF00"/>
          </w:tcPr>
          <w:p w14:paraId="27057CC1" w14:textId="77777777" w:rsidR="0087601C" w:rsidRPr="006A1EC7" w:rsidRDefault="0087601C" w:rsidP="00D56051">
            <w:pPr>
              <w:rPr>
                <w:sz w:val="13"/>
                <w:szCs w:val="13"/>
              </w:rPr>
            </w:pPr>
            <w:r w:rsidRPr="006A1EC7">
              <w:rPr>
                <w:sz w:val="13"/>
                <w:szCs w:val="13"/>
              </w:rPr>
              <w:t>18</w:t>
            </w:r>
          </w:p>
        </w:tc>
        <w:tc>
          <w:tcPr>
            <w:tcW w:w="474" w:type="dxa"/>
            <w:shd w:val="clear" w:color="auto" w:fill="FFFF00"/>
          </w:tcPr>
          <w:p w14:paraId="188FC152" w14:textId="77777777" w:rsidR="0087601C" w:rsidRPr="006A1EC7" w:rsidRDefault="0087601C" w:rsidP="00D56051">
            <w:pPr>
              <w:rPr>
                <w:sz w:val="13"/>
                <w:szCs w:val="13"/>
              </w:rPr>
            </w:pPr>
            <w:r w:rsidRPr="006A1EC7">
              <w:rPr>
                <w:sz w:val="13"/>
                <w:szCs w:val="13"/>
              </w:rPr>
              <w:t>18</w:t>
            </w:r>
          </w:p>
        </w:tc>
        <w:tc>
          <w:tcPr>
            <w:tcW w:w="467" w:type="dxa"/>
          </w:tcPr>
          <w:p w14:paraId="5DF82C05"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14BDB5BA" w14:textId="77777777" w:rsidR="0087601C" w:rsidRPr="006A1EC7" w:rsidRDefault="0087601C" w:rsidP="00D56051">
            <w:pPr>
              <w:rPr>
                <w:sz w:val="13"/>
                <w:szCs w:val="13"/>
              </w:rPr>
            </w:pPr>
            <w:r w:rsidRPr="006A1EC7">
              <w:rPr>
                <w:sz w:val="13"/>
                <w:szCs w:val="13"/>
              </w:rPr>
              <w:t>18</w:t>
            </w:r>
          </w:p>
        </w:tc>
        <w:tc>
          <w:tcPr>
            <w:tcW w:w="475" w:type="dxa"/>
            <w:shd w:val="clear" w:color="auto" w:fill="FFFF00"/>
          </w:tcPr>
          <w:p w14:paraId="4CF1685A" w14:textId="77777777" w:rsidR="0087601C" w:rsidRPr="006A1EC7" w:rsidRDefault="0087601C" w:rsidP="00D56051">
            <w:pPr>
              <w:rPr>
                <w:sz w:val="13"/>
                <w:szCs w:val="13"/>
              </w:rPr>
            </w:pPr>
            <w:r w:rsidRPr="006A1EC7">
              <w:rPr>
                <w:sz w:val="13"/>
                <w:szCs w:val="13"/>
              </w:rPr>
              <w:t>17</w:t>
            </w:r>
          </w:p>
        </w:tc>
        <w:tc>
          <w:tcPr>
            <w:tcW w:w="450" w:type="dxa"/>
          </w:tcPr>
          <w:p w14:paraId="643D1EFB"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17DA7EAB" w14:textId="77777777" w:rsidR="0087601C" w:rsidRPr="006A1EC7" w:rsidRDefault="0087601C" w:rsidP="00D56051">
            <w:pPr>
              <w:rPr>
                <w:sz w:val="13"/>
                <w:szCs w:val="13"/>
              </w:rPr>
            </w:pPr>
            <w:r w:rsidRPr="006A1EC7">
              <w:rPr>
                <w:sz w:val="13"/>
                <w:szCs w:val="13"/>
              </w:rPr>
              <w:t>18</w:t>
            </w:r>
          </w:p>
        </w:tc>
        <w:tc>
          <w:tcPr>
            <w:tcW w:w="460" w:type="dxa"/>
            <w:shd w:val="clear" w:color="auto" w:fill="FFFF00"/>
          </w:tcPr>
          <w:p w14:paraId="343A26C9" w14:textId="77777777" w:rsidR="0087601C" w:rsidRPr="006A1EC7" w:rsidRDefault="0087601C" w:rsidP="00D56051">
            <w:pPr>
              <w:rPr>
                <w:sz w:val="13"/>
                <w:szCs w:val="13"/>
              </w:rPr>
            </w:pPr>
            <w:r w:rsidRPr="006A1EC7">
              <w:rPr>
                <w:sz w:val="13"/>
                <w:szCs w:val="13"/>
              </w:rPr>
              <w:t>18</w:t>
            </w:r>
          </w:p>
        </w:tc>
        <w:tc>
          <w:tcPr>
            <w:tcW w:w="402" w:type="dxa"/>
            <w:shd w:val="clear" w:color="auto" w:fill="auto"/>
          </w:tcPr>
          <w:p w14:paraId="35EEBD7E"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22E867C3" w14:textId="77777777" w:rsidR="0087601C" w:rsidRPr="006A1EC7" w:rsidRDefault="0087601C" w:rsidP="00D56051">
            <w:pPr>
              <w:rPr>
                <w:sz w:val="13"/>
                <w:szCs w:val="13"/>
              </w:rPr>
            </w:pPr>
            <w:r w:rsidRPr="006A1EC7">
              <w:rPr>
                <w:sz w:val="13"/>
                <w:szCs w:val="13"/>
              </w:rPr>
              <w:t>17</w:t>
            </w:r>
          </w:p>
        </w:tc>
        <w:tc>
          <w:tcPr>
            <w:tcW w:w="476" w:type="dxa"/>
            <w:shd w:val="clear" w:color="auto" w:fill="FFFF00"/>
          </w:tcPr>
          <w:p w14:paraId="48E16746" w14:textId="77777777" w:rsidR="0087601C" w:rsidRPr="006A1EC7" w:rsidRDefault="0087601C" w:rsidP="00D56051">
            <w:pPr>
              <w:rPr>
                <w:sz w:val="13"/>
                <w:szCs w:val="13"/>
              </w:rPr>
            </w:pPr>
            <w:r w:rsidRPr="006A1EC7">
              <w:rPr>
                <w:sz w:val="13"/>
                <w:szCs w:val="13"/>
              </w:rPr>
              <w:t>17</w:t>
            </w:r>
          </w:p>
        </w:tc>
        <w:tc>
          <w:tcPr>
            <w:tcW w:w="402" w:type="dxa"/>
          </w:tcPr>
          <w:p w14:paraId="0A43D48E"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673E032E" w14:textId="77777777" w:rsidR="0087601C" w:rsidRPr="006A1EC7" w:rsidRDefault="0087601C" w:rsidP="00D56051">
            <w:pPr>
              <w:rPr>
                <w:sz w:val="13"/>
                <w:szCs w:val="13"/>
              </w:rPr>
            </w:pPr>
            <w:r w:rsidRPr="006A1EC7">
              <w:rPr>
                <w:sz w:val="13"/>
                <w:szCs w:val="13"/>
              </w:rPr>
              <w:t>18</w:t>
            </w:r>
          </w:p>
        </w:tc>
        <w:tc>
          <w:tcPr>
            <w:tcW w:w="476" w:type="dxa"/>
            <w:shd w:val="clear" w:color="auto" w:fill="FFFF00"/>
          </w:tcPr>
          <w:p w14:paraId="510CF35F" w14:textId="77777777" w:rsidR="0087601C" w:rsidRPr="006A1EC7" w:rsidRDefault="0087601C" w:rsidP="00D56051">
            <w:pPr>
              <w:rPr>
                <w:sz w:val="13"/>
                <w:szCs w:val="13"/>
              </w:rPr>
            </w:pPr>
            <w:r w:rsidRPr="006A1EC7">
              <w:rPr>
                <w:sz w:val="13"/>
                <w:szCs w:val="13"/>
              </w:rPr>
              <w:t>18</w:t>
            </w:r>
          </w:p>
        </w:tc>
        <w:tc>
          <w:tcPr>
            <w:tcW w:w="402" w:type="dxa"/>
          </w:tcPr>
          <w:p w14:paraId="78E1606B"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793CF210" w14:textId="77777777" w:rsidR="0087601C" w:rsidRPr="006A1EC7" w:rsidRDefault="0087601C" w:rsidP="00D56051">
            <w:pPr>
              <w:rPr>
                <w:sz w:val="13"/>
                <w:szCs w:val="13"/>
              </w:rPr>
            </w:pPr>
            <w:r w:rsidRPr="006A1EC7">
              <w:rPr>
                <w:sz w:val="13"/>
                <w:szCs w:val="13"/>
              </w:rPr>
              <w:t>15</w:t>
            </w:r>
          </w:p>
        </w:tc>
        <w:tc>
          <w:tcPr>
            <w:tcW w:w="476" w:type="dxa"/>
            <w:shd w:val="clear" w:color="auto" w:fill="FFFF00"/>
          </w:tcPr>
          <w:p w14:paraId="321F4022" w14:textId="77777777" w:rsidR="0087601C" w:rsidRPr="006A1EC7" w:rsidRDefault="0087601C" w:rsidP="00D56051">
            <w:pPr>
              <w:rPr>
                <w:sz w:val="13"/>
                <w:szCs w:val="13"/>
              </w:rPr>
            </w:pPr>
            <w:r w:rsidRPr="006A1EC7">
              <w:rPr>
                <w:sz w:val="13"/>
                <w:szCs w:val="13"/>
              </w:rPr>
              <w:t>18</w:t>
            </w:r>
          </w:p>
        </w:tc>
        <w:tc>
          <w:tcPr>
            <w:tcW w:w="402" w:type="dxa"/>
          </w:tcPr>
          <w:p w14:paraId="73EC169D"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32C8311" w14:textId="77777777" w:rsidR="0087601C" w:rsidRPr="006A1EC7" w:rsidRDefault="0087601C" w:rsidP="00D56051">
            <w:pPr>
              <w:rPr>
                <w:sz w:val="13"/>
                <w:szCs w:val="13"/>
              </w:rPr>
            </w:pPr>
            <w:r w:rsidRPr="006A1EC7">
              <w:rPr>
                <w:sz w:val="13"/>
                <w:szCs w:val="13"/>
              </w:rPr>
              <w:t>18</w:t>
            </w:r>
          </w:p>
        </w:tc>
        <w:tc>
          <w:tcPr>
            <w:tcW w:w="477" w:type="dxa"/>
            <w:shd w:val="clear" w:color="auto" w:fill="FFFF00"/>
          </w:tcPr>
          <w:p w14:paraId="1DACEABC" w14:textId="77777777" w:rsidR="0087601C" w:rsidRPr="006A1EC7" w:rsidRDefault="0087601C" w:rsidP="00D56051">
            <w:pPr>
              <w:rPr>
                <w:sz w:val="13"/>
                <w:szCs w:val="13"/>
              </w:rPr>
            </w:pPr>
            <w:r w:rsidRPr="006A1EC7">
              <w:rPr>
                <w:sz w:val="13"/>
                <w:szCs w:val="13"/>
              </w:rPr>
              <w:t>14</w:t>
            </w:r>
          </w:p>
        </w:tc>
        <w:tc>
          <w:tcPr>
            <w:tcW w:w="402" w:type="dxa"/>
          </w:tcPr>
          <w:p w14:paraId="0DB5F3A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8523BB2" w14:textId="77777777" w:rsidR="0087601C" w:rsidRPr="006A1EC7" w:rsidRDefault="0087601C" w:rsidP="00D56051">
            <w:pPr>
              <w:rPr>
                <w:sz w:val="13"/>
                <w:szCs w:val="13"/>
              </w:rPr>
            </w:pPr>
            <w:r w:rsidRPr="006A1EC7">
              <w:rPr>
                <w:sz w:val="13"/>
                <w:szCs w:val="13"/>
              </w:rPr>
              <w:t>20</w:t>
            </w:r>
          </w:p>
        </w:tc>
        <w:tc>
          <w:tcPr>
            <w:tcW w:w="477" w:type="dxa"/>
            <w:shd w:val="clear" w:color="auto" w:fill="FFFF00"/>
          </w:tcPr>
          <w:p w14:paraId="25C8DB35" w14:textId="77777777" w:rsidR="0087601C" w:rsidRPr="006A1EC7" w:rsidRDefault="0087601C" w:rsidP="00D56051">
            <w:pPr>
              <w:rPr>
                <w:sz w:val="13"/>
                <w:szCs w:val="13"/>
              </w:rPr>
            </w:pPr>
            <w:r w:rsidRPr="006A1EC7">
              <w:rPr>
                <w:sz w:val="13"/>
                <w:szCs w:val="13"/>
              </w:rPr>
              <w:t>16</w:t>
            </w:r>
          </w:p>
        </w:tc>
        <w:tc>
          <w:tcPr>
            <w:tcW w:w="402" w:type="dxa"/>
          </w:tcPr>
          <w:p w14:paraId="258E34EE"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5B915C89" w14:textId="77777777" w:rsidR="0087601C" w:rsidRPr="006A1EC7" w:rsidRDefault="0087601C" w:rsidP="00D56051">
            <w:pPr>
              <w:rPr>
                <w:sz w:val="13"/>
                <w:szCs w:val="13"/>
              </w:rPr>
            </w:pPr>
            <w:r w:rsidRPr="006A1EC7">
              <w:rPr>
                <w:sz w:val="13"/>
                <w:szCs w:val="13"/>
              </w:rPr>
              <w:t>16</w:t>
            </w:r>
          </w:p>
        </w:tc>
        <w:tc>
          <w:tcPr>
            <w:tcW w:w="460" w:type="dxa"/>
            <w:shd w:val="clear" w:color="auto" w:fill="FFFF00"/>
          </w:tcPr>
          <w:p w14:paraId="7297D7F2" w14:textId="77777777" w:rsidR="0087601C" w:rsidRPr="006A1EC7" w:rsidRDefault="0087601C" w:rsidP="00D56051">
            <w:pPr>
              <w:rPr>
                <w:sz w:val="13"/>
                <w:szCs w:val="13"/>
              </w:rPr>
            </w:pPr>
            <w:r w:rsidRPr="006A1EC7">
              <w:rPr>
                <w:sz w:val="13"/>
                <w:szCs w:val="13"/>
              </w:rPr>
              <w:t>16</w:t>
            </w:r>
          </w:p>
        </w:tc>
        <w:tc>
          <w:tcPr>
            <w:tcW w:w="402" w:type="dxa"/>
            <w:shd w:val="clear" w:color="auto" w:fill="auto"/>
          </w:tcPr>
          <w:p w14:paraId="4644597F" w14:textId="77777777" w:rsidR="0087601C" w:rsidRPr="006A1EC7" w:rsidRDefault="0087601C" w:rsidP="00D56051">
            <w:pPr>
              <w:rPr>
                <w:sz w:val="13"/>
                <w:szCs w:val="13"/>
              </w:rPr>
            </w:pPr>
            <w:r w:rsidRPr="006A1EC7">
              <w:rPr>
                <w:sz w:val="13"/>
                <w:szCs w:val="13"/>
              </w:rPr>
              <w:t>0</w:t>
            </w:r>
          </w:p>
        </w:tc>
        <w:tc>
          <w:tcPr>
            <w:tcW w:w="552" w:type="dxa"/>
          </w:tcPr>
          <w:p w14:paraId="472A3D45" w14:textId="77777777" w:rsidR="0087601C" w:rsidRPr="006A1EC7" w:rsidRDefault="0087601C" w:rsidP="00D56051">
            <w:pPr>
              <w:rPr>
                <w:sz w:val="13"/>
                <w:szCs w:val="13"/>
              </w:rPr>
            </w:pPr>
            <w:r w:rsidRPr="006A1EC7">
              <w:rPr>
                <w:sz w:val="13"/>
                <w:szCs w:val="13"/>
              </w:rPr>
              <w:t>4/9</w:t>
            </w:r>
          </w:p>
        </w:tc>
        <w:tc>
          <w:tcPr>
            <w:tcW w:w="530" w:type="dxa"/>
          </w:tcPr>
          <w:p w14:paraId="3A7D5BA1" w14:textId="77777777" w:rsidR="0087601C" w:rsidRPr="006A1EC7" w:rsidRDefault="0087601C" w:rsidP="00D56051">
            <w:pPr>
              <w:rPr>
                <w:sz w:val="13"/>
                <w:szCs w:val="13"/>
              </w:rPr>
            </w:pPr>
            <w:r w:rsidRPr="006A1EC7">
              <w:rPr>
                <w:sz w:val="13"/>
                <w:szCs w:val="13"/>
              </w:rPr>
              <w:t>44%</w:t>
            </w:r>
          </w:p>
        </w:tc>
      </w:tr>
      <w:tr w:rsidR="00744A8E" w:rsidRPr="006A1EC7" w14:paraId="018CE629" w14:textId="77777777" w:rsidTr="00D56051">
        <w:tc>
          <w:tcPr>
            <w:tcW w:w="636" w:type="dxa"/>
          </w:tcPr>
          <w:p w14:paraId="520BEF84" w14:textId="77777777" w:rsidR="0087601C" w:rsidRPr="006A1EC7" w:rsidRDefault="0087601C" w:rsidP="00D56051">
            <w:pPr>
              <w:rPr>
                <w:sz w:val="13"/>
                <w:szCs w:val="13"/>
              </w:rPr>
            </w:pPr>
            <w:r w:rsidRPr="006A1EC7">
              <w:rPr>
                <w:sz w:val="13"/>
                <w:szCs w:val="13"/>
              </w:rPr>
              <w:t>CRS</w:t>
            </w:r>
          </w:p>
        </w:tc>
        <w:tc>
          <w:tcPr>
            <w:tcW w:w="474" w:type="dxa"/>
            <w:shd w:val="clear" w:color="auto" w:fill="FFFF00"/>
          </w:tcPr>
          <w:p w14:paraId="2EF071CC" w14:textId="77777777" w:rsidR="0087601C" w:rsidRPr="006A1EC7" w:rsidRDefault="0087601C" w:rsidP="00D56051">
            <w:pPr>
              <w:rPr>
                <w:sz w:val="13"/>
                <w:szCs w:val="13"/>
              </w:rPr>
            </w:pPr>
            <w:r w:rsidRPr="006A1EC7">
              <w:rPr>
                <w:sz w:val="13"/>
                <w:szCs w:val="13"/>
              </w:rPr>
              <w:t>1</w:t>
            </w:r>
          </w:p>
        </w:tc>
        <w:tc>
          <w:tcPr>
            <w:tcW w:w="474" w:type="dxa"/>
            <w:shd w:val="clear" w:color="auto" w:fill="FFFF00"/>
          </w:tcPr>
          <w:p w14:paraId="594A6697" w14:textId="77777777" w:rsidR="0087601C" w:rsidRPr="006A1EC7" w:rsidRDefault="0087601C" w:rsidP="00D56051">
            <w:pPr>
              <w:rPr>
                <w:sz w:val="13"/>
                <w:szCs w:val="13"/>
              </w:rPr>
            </w:pPr>
            <w:r w:rsidRPr="006A1EC7">
              <w:rPr>
                <w:sz w:val="13"/>
                <w:szCs w:val="13"/>
              </w:rPr>
              <w:t>1</w:t>
            </w:r>
          </w:p>
        </w:tc>
        <w:tc>
          <w:tcPr>
            <w:tcW w:w="467" w:type="dxa"/>
          </w:tcPr>
          <w:p w14:paraId="164E93A3"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5F829374" w14:textId="77777777" w:rsidR="0087601C" w:rsidRPr="006A1EC7" w:rsidRDefault="0087601C" w:rsidP="00D56051">
            <w:pPr>
              <w:rPr>
                <w:sz w:val="13"/>
                <w:szCs w:val="13"/>
              </w:rPr>
            </w:pPr>
            <w:r w:rsidRPr="006A1EC7">
              <w:rPr>
                <w:sz w:val="13"/>
                <w:szCs w:val="13"/>
              </w:rPr>
              <w:t>0</w:t>
            </w:r>
          </w:p>
        </w:tc>
        <w:tc>
          <w:tcPr>
            <w:tcW w:w="475" w:type="dxa"/>
            <w:shd w:val="clear" w:color="auto" w:fill="FFFF00"/>
          </w:tcPr>
          <w:p w14:paraId="2F5FAEAB" w14:textId="77777777" w:rsidR="0087601C" w:rsidRPr="006A1EC7" w:rsidRDefault="0087601C" w:rsidP="00D56051">
            <w:pPr>
              <w:rPr>
                <w:sz w:val="13"/>
                <w:szCs w:val="13"/>
              </w:rPr>
            </w:pPr>
            <w:r w:rsidRPr="006A1EC7">
              <w:rPr>
                <w:sz w:val="13"/>
                <w:szCs w:val="13"/>
              </w:rPr>
              <w:t>1</w:t>
            </w:r>
          </w:p>
        </w:tc>
        <w:tc>
          <w:tcPr>
            <w:tcW w:w="450" w:type="dxa"/>
          </w:tcPr>
          <w:p w14:paraId="04BCB4AF"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566C59E4"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15C16223" w14:textId="77777777" w:rsidR="0087601C" w:rsidRPr="006A1EC7" w:rsidRDefault="0087601C" w:rsidP="00D56051">
            <w:pPr>
              <w:rPr>
                <w:sz w:val="13"/>
                <w:szCs w:val="13"/>
              </w:rPr>
            </w:pPr>
            <w:r w:rsidRPr="006A1EC7">
              <w:rPr>
                <w:sz w:val="13"/>
                <w:szCs w:val="13"/>
              </w:rPr>
              <w:t>0</w:t>
            </w:r>
          </w:p>
        </w:tc>
        <w:tc>
          <w:tcPr>
            <w:tcW w:w="402" w:type="dxa"/>
            <w:shd w:val="clear" w:color="auto" w:fill="auto"/>
          </w:tcPr>
          <w:p w14:paraId="36DE982E"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1480F0C9"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31A1FADB" w14:textId="77777777" w:rsidR="0087601C" w:rsidRPr="006A1EC7" w:rsidRDefault="0087601C" w:rsidP="00D56051">
            <w:pPr>
              <w:rPr>
                <w:sz w:val="13"/>
                <w:szCs w:val="13"/>
              </w:rPr>
            </w:pPr>
            <w:r w:rsidRPr="006A1EC7">
              <w:rPr>
                <w:sz w:val="13"/>
                <w:szCs w:val="13"/>
              </w:rPr>
              <w:t>0</w:t>
            </w:r>
          </w:p>
        </w:tc>
        <w:tc>
          <w:tcPr>
            <w:tcW w:w="402" w:type="dxa"/>
          </w:tcPr>
          <w:p w14:paraId="2E216100"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519314BE"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128F8B67" w14:textId="77777777" w:rsidR="0087601C" w:rsidRPr="006A1EC7" w:rsidRDefault="0087601C" w:rsidP="00D56051">
            <w:pPr>
              <w:rPr>
                <w:sz w:val="13"/>
                <w:szCs w:val="13"/>
              </w:rPr>
            </w:pPr>
            <w:r w:rsidRPr="006A1EC7">
              <w:rPr>
                <w:sz w:val="13"/>
                <w:szCs w:val="13"/>
              </w:rPr>
              <w:t>0</w:t>
            </w:r>
          </w:p>
        </w:tc>
        <w:tc>
          <w:tcPr>
            <w:tcW w:w="402" w:type="dxa"/>
          </w:tcPr>
          <w:p w14:paraId="27E3A1BF"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62C0E01F"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1C62E6E5" w14:textId="77777777" w:rsidR="0087601C" w:rsidRPr="006A1EC7" w:rsidRDefault="0087601C" w:rsidP="00D56051">
            <w:pPr>
              <w:rPr>
                <w:sz w:val="13"/>
                <w:szCs w:val="13"/>
              </w:rPr>
            </w:pPr>
            <w:r w:rsidRPr="006A1EC7">
              <w:rPr>
                <w:sz w:val="13"/>
                <w:szCs w:val="13"/>
              </w:rPr>
              <w:t>0</w:t>
            </w:r>
          </w:p>
        </w:tc>
        <w:tc>
          <w:tcPr>
            <w:tcW w:w="402" w:type="dxa"/>
          </w:tcPr>
          <w:p w14:paraId="1940ACAC"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612CEEEA"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3D67C33" w14:textId="77777777" w:rsidR="0087601C" w:rsidRPr="006A1EC7" w:rsidRDefault="0087601C" w:rsidP="00D56051">
            <w:pPr>
              <w:rPr>
                <w:sz w:val="13"/>
                <w:szCs w:val="13"/>
              </w:rPr>
            </w:pPr>
            <w:r w:rsidRPr="006A1EC7">
              <w:rPr>
                <w:sz w:val="13"/>
                <w:szCs w:val="13"/>
              </w:rPr>
              <w:t>0</w:t>
            </w:r>
          </w:p>
        </w:tc>
        <w:tc>
          <w:tcPr>
            <w:tcW w:w="402" w:type="dxa"/>
          </w:tcPr>
          <w:p w14:paraId="2667674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7F2C65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7B001D9" w14:textId="77777777" w:rsidR="0087601C" w:rsidRPr="006A1EC7" w:rsidRDefault="0087601C" w:rsidP="00D56051">
            <w:pPr>
              <w:rPr>
                <w:sz w:val="13"/>
                <w:szCs w:val="13"/>
              </w:rPr>
            </w:pPr>
            <w:r w:rsidRPr="006A1EC7">
              <w:rPr>
                <w:sz w:val="13"/>
                <w:szCs w:val="13"/>
              </w:rPr>
              <w:t>0</w:t>
            </w:r>
          </w:p>
        </w:tc>
        <w:tc>
          <w:tcPr>
            <w:tcW w:w="402" w:type="dxa"/>
          </w:tcPr>
          <w:p w14:paraId="6643C08A"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503E5EC0"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03C5C5D1" w14:textId="77777777" w:rsidR="0087601C" w:rsidRPr="006A1EC7" w:rsidRDefault="0087601C" w:rsidP="00D56051">
            <w:pPr>
              <w:rPr>
                <w:sz w:val="13"/>
                <w:szCs w:val="13"/>
              </w:rPr>
            </w:pPr>
            <w:r w:rsidRPr="006A1EC7">
              <w:rPr>
                <w:sz w:val="13"/>
                <w:szCs w:val="13"/>
              </w:rPr>
              <w:t>1</w:t>
            </w:r>
          </w:p>
        </w:tc>
        <w:tc>
          <w:tcPr>
            <w:tcW w:w="402" w:type="dxa"/>
            <w:shd w:val="clear" w:color="auto" w:fill="auto"/>
          </w:tcPr>
          <w:p w14:paraId="5542A323" w14:textId="77777777" w:rsidR="0087601C" w:rsidRPr="006A1EC7" w:rsidRDefault="0087601C" w:rsidP="00D56051">
            <w:pPr>
              <w:rPr>
                <w:sz w:val="13"/>
                <w:szCs w:val="13"/>
              </w:rPr>
            </w:pPr>
            <w:r w:rsidRPr="006A1EC7">
              <w:rPr>
                <w:sz w:val="13"/>
                <w:szCs w:val="13"/>
              </w:rPr>
              <w:t>0</w:t>
            </w:r>
          </w:p>
        </w:tc>
        <w:tc>
          <w:tcPr>
            <w:tcW w:w="552" w:type="dxa"/>
          </w:tcPr>
          <w:p w14:paraId="7879691A" w14:textId="77777777" w:rsidR="0087601C" w:rsidRPr="006A1EC7" w:rsidRDefault="0087601C" w:rsidP="00D56051">
            <w:pPr>
              <w:rPr>
                <w:sz w:val="13"/>
                <w:szCs w:val="13"/>
              </w:rPr>
            </w:pPr>
            <w:r w:rsidRPr="006A1EC7">
              <w:rPr>
                <w:sz w:val="13"/>
                <w:szCs w:val="13"/>
              </w:rPr>
              <w:t>5/9</w:t>
            </w:r>
          </w:p>
        </w:tc>
        <w:tc>
          <w:tcPr>
            <w:tcW w:w="530" w:type="dxa"/>
          </w:tcPr>
          <w:p w14:paraId="64C20028" w14:textId="77777777" w:rsidR="0087601C" w:rsidRPr="006A1EC7" w:rsidRDefault="0087601C" w:rsidP="00D56051">
            <w:pPr>
              <w:rPr>
                <w:sz w:val="13"/>
                <w:szCs w:val="13"/>
              </w:rPr>
            </w:pPr>
            <w:r w:rsidRPr="006A1EC7">
              <w:rPr>
                <w:sz w:val="13"/>
                <w:szCs w:val="13"/>
              </w:rPr>
              <w:t>56%</w:t>
            </w:r>
          </w:p>
        </w:tc>
      </w:tr>
      <w:tr w:rsidR="00744A8E" w:rsidRPr="006A1EC7" w14:paraId="35738425" w14:textId="77777777" w:rsidTr="00D56051">
        <w:tc>
          <w:tcPr>
            <w:tcW w:w="636" w:type="dxa"/>
          </w:tcPr>
          <w:p w14:paraId="15666E64" w14:textId="77777777" w:rsidR="0087601C" w:rsidRPr="006A1EC7" w:rsidRDefault="0087601C" w:rsidP="00D56051">
            <w:pPr>
              <w:rPr>
                <w:sz w:val="13"/>
                <w:szCs w:val="13"/>
              </w:rPr>
            </w:pPr>
            <w:r w:rsidRPr="006A1EC7">
              <w:rPr>
                <w:sz w:val="13"/>
                <w:szCs w:val="13"/>
              </w:rPr>
              <w:t>CNS</w:t>
            </w:r>
          </w:p>
        </w:tc>
        <w:tc>
          <w:tcPr>
            <w:tcW w:w="474" w:type="dxa"/>
            <w:shd w:val="clear" w:color="auto" w:fill="FFFF00"/>
          </w:tcPr>
          <w:p w14:paraId="15A5AE5A" w14:textId="77777777" w:rsidR="0087601C" w:rsidRPr="006A1EC7" w:rsidRDefault="0087601C" w:rsidP="00D56051">
            <w:pPr>
              <w:rPr>
                <w:sz w:val="13"/>
                <w:szCs w:val="13"/>
              </w:rPr>
            </w:pPr>
            <w:r w:rsidRPr="006A1EC7">
              <w:rPr>
                <w:sz w:val="13"/>
                <w:szCs w:val="13"/>
              </w:rPr>
              <w:t>12</w:t>
            </w:r>
          </w:p>
        </w:tc>
        <w:tc>
          <w:tcPr>
            <w:tcW w:w="474" w:type="dxa"/>
            <w:shd w:val="clear" w:color="auto" w:fill="FFFF00"/>
          </w:tcPr>
          <w:p w14:paraId="101E5E45" w14:textId="77777777" w:rsidR="0087601C" w:rsidRPr="006A1EC7" w:rsidRDefault="0087601C" w:rsidP="00D56051">
            <w:pPr>
              <w:rPr>
                <w:sz w:val="13"/>
                <w:szCs w:val="13"/>
              </w:rPr>
            </w:pPr>
            <w:r w:rsidRPr="006A1EC7">
              <w:rPr>
                <w:sz w:val="13"/>
                <w:szCs w:val="13"/>
              </w:rPr>
              <w:t>12</w:t>
            </w:r>
          </w:p>
        </w:tc>
        <w:tc>
          <w:tcPr>
            <w:tcW w:w="467" w:type="dxa"/>
          </w:tcPr>
          <w:p w14:paraId="7813354C"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13F09DF5" w14:textId="77777777" w:rsidR="0087601C" w:rsidRPr="006A1EC7" w:rsidRDefault="0087601C" w:rsidP="00D56051">
            <w:pPr>
              <w:rPr>
                <w:sz w:val="13"/>
                <w:szCs w:val="13"/>
              </w:rPr>
            </w:pPr>
            <w:r w:rsidRPr="006A1EC7">
              <w:rPr>
                <w:sz w:val="13"/>
                <w:szCs w:val="13"/>
              </w:rPr>
              <w:t>12</w:t>
            </w:r>
          </w:p>
        </w:tc>
        <w:tc>
          <w:tcPr>
            <w:tcW w:w="475" w:type="dxa"/>
            <w:shd w:val="clear" w:color="auto" w:fill="FFFF00"/>
          </w:tcPr>
          <w:p w14:paraId="10E88D1C" w14:textId="77777777" w:rsidR="0087601C" w:rsidRPr="006A1EC7" w:rsidRDefault="0087601C" w:rsidP="00D56051">
            <w:pPr>
              <w:rPr>
                <w:sz w:val="13"/>
                <w:szCs w:val="13"/>
              </w:rPr>
            </w:pPr>
            <w:r w:rsidRPr="006A1EC7">
              <w:rPr>
                <w:sz w:val="13"/>
                <w:szCs w:val="13"/>
              </w:rPr>
              <w:t>12</w:t>
            </w:r>
          </w:p>
        </w:tc>
        <w:tc>
          <w:tcPr>
            <w:tcW w:w="450" w:type="dxa"/>
          </w:tcPr>
          <w:p w14:paraId="447A1B20"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1B6F7E0F" w14:textId="77777777" w:rsidR="0087601C" w:rsidRPr="006A1EC7" w:rsidRDefault="0087601C" w:rsidP="00D56051">
            <w:pPr>
              <w:rPr>
                <w:sz w:val="13"/>
                <w:szCs w:val="13"/>
              </w:rPr>
            </w:pPr>
            <w:r w:rsidRPr="006A1EC7">
              <w:rPr>
                <w:sz w:val="13"/>
                <w:szCs w:val="13"/>
              </w:rPr>
              <w:t>12</w:t>
            </w:r>
          </w:p>
        </w:tc>
        <w:tc>
          <w:tcPr>
            <w:tcW w:w="460" w:type="dxa"/>
            <w:shd w:val="clear" w:color="auto" w:fill="FFFF00"/>
          </w:tcPr>
          <w:p w14:paraId="1F43BA5A" w14:textId="77777777" w:rsidR="0087601C" w:rsidRPr="006A1EC7" w:rsidRDefault="0087601C" w:rsidP="00D56051">
            <w:pPr>
              <w:rPr>
                <w:sz w:val="13"/>
                <w:szCs w:val="13"/>
              </w:rPr>
            </w:pPr>
            <w:r w:rsidRPr="006A1EC7">
              <w:rPr>
                <w:sz w:val="13"/>
                <w:szCs w:val="13"/>
              </w:rPr>
              <w:t>10</w:t>
            </w:r>
          </w:p>
        </w:tc>
        <w:tc>
          <w:tcPr>
            <w:tcW w:w="402" w:type="dxa"/>
            <w:shd w:val="clear" w:color="auto" w:fill="auto"/>
          </w:tcPr>
          <w:p w14:paraId="0450CB51"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2A9493E1" w14:textId="77777777" w:rsidR="0087601C" w:rsidRPr="006A1EC7" w:rsidRDefault="0087601C" w:rsidP="00D56051">
            <w:pPr>
              <w:rPr>
                <w:sz w:val="13"/>
                <w:szCs w:val="13"/>
              </w:rPr>
            </w:pPr>
            <w:r w:rsidRPr="006A1EC7">
              <w:rPr>
                <w:sz w:val="13"/>
                <w:szCs w:val="13"/>
              </w:rPr>
              <w:t>10</w:t>
            </w:r>
          </w:p>
        </w:tc>
        <w:tc>
          <w:tcPr>
            <w:tcW w:w="476" w:type="dxa"/>
            <w:shd w:val="clear" w:color="auto" w:fill="FFFF00"/>
          </w:tcPr>
          <w:p w14:paraId="20F9F415" w14:textId="77777777" w:rsidR="0087601C" w:rsidRPr="006A1EC7" w:rsidRDefault="0087601C" w:rsidP="00D56051">
            <w:pPr>
              <w:rPr>
                <w:sz w:val="13"/>
                <w:szCs w:val="13"/>
              </w:rPr>
            </w:pPr>
            <w:r w:rsidRPr="006A1EC7">
              <w:rPr>
                <w:sz w:val="13"/>
                <w:szCs w:val="13"/>
              </w:rPr>
              <w:t>11</w:t>
            </w:r>
          </w:p>
        </w:tc>
        <w:tc>
          <w:tcPr>
            <w:tcW w:w="402" w:type="dxa"/>
          </w:tcPr>
          <w:p w14:paraId="30159F33"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8892BA3" w14:textId="77777777" w:rsidR="0087601C" w:rsidRPr="006A1EC7" w:rsidRDefault="0087601C" w:rsidP="00D56051">
            <w:pPr>
              <w:rPr>
                <w:sz w:val="13"/>
                <w:szCs w:val="13"/>
              </w:rPr>
            </w:pPr>
            <w:r w:rsidRPr="006A1EC7">
              <w:rPr>
                <w:sz w:val="13"/>
                <w:szCs w:val="13"/>
              </w:rPr>
              <w:t>9</w:t>
            </w:r>
          </w:p>
        </w:tc>
        <w:tc>
          <w:tcPr>
            <w:tcW w:w="476" w:type="dxa"/>
            <w:shd w:val="clear" w:color="auto" w:fill="FFFF00"/>
          </w:tcPr>
          <w:p w14:paraId="515BEA53" w14:textId="77777777" w:rsidR="0087601C" w:rsidRPr="006A1EC7" w:rsidRDefault="0087601C" w:rsidP="00D56051">
            <w:pPr>
              <w:rPr>
                <w:sz w:val="13"/>
                <w:szCs w:val="13"/>
              </w:rPr>
            </w:pPr>
            <w:r w:rsidRPr="006A1EC7">
              <w:rPr>
                <w:sz w:val="13"/>
                <w:szCs w:val="13"/>
              </w:rPr>
              <w:t>14</w:t>
            </w:r>
          </w:p>
        </w:tc>
        <w:tc>
          <w:tcPr>
            <w:tcW w:w="402" w:type="dxa"/>
          </w:tcPr>
          <w:p w14:paraId="4E395163"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07F417A3" w14:textId="77777777" w:rsidR="0087601C" w:rsidRPr="006A1EC7" w:rsidRDefault="0087601C" w:rsidP="00D56051">
            <w:pPr>
              <w:rPr>
                <w:sz w:val="13"/>
                <w:szCs w:val="13"/>
              </w:rPr>
            </w:pPr>
            <w:r w:rsidRPr="006A1EC7">
              <w:rPr>
                <w:sz w:val="13"/>
                <w:szCs w:val="13"/>
              </w:rPr>
              <w:t>13</w:t>
            </w:r>
          </w:p>
        </w:tc>
        <w:tc>
          <w:tcPr>
            <w:tcW w:w="476" w:type="dxa"/>
            <w:shd w:val="clear" w:color="auto" w:fill="FFFF00"/>
          </w:tcPr>
          <w:p w14:paraId="3A3B856F" w14:textId="77777777" w:rsidR="0087601C" w:rsidRPr="006A1EC7" w:rsidRDefault="0087601C" w:rsidP="00D56051">
            <w:pPr>
              <w:rPr>
                <w:sz w:val="13"/>
                <w:szCs w:val="13"/>
              </w:rPr>
            </w:pPr>
            <w:r w:rsidRPr="006A1EC7">
              <w:rPr>
                <w:sz w:val="13"/>
                <w:szCs w:val="13"/>
              </w:rPr>
              <w:t>13</w:t>
            </w:r>
          </w:p>
        </w:tc>
        <w:tc>
          <w:tcPr>
            <w:tcW w:w="402" w:type="dxa"/>
          </w:tcPr>
          <w:p w14:paraId="187AB62A"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36AB1DA2" w14:textId="77777777" w:rsidR="0087601C" w:rsidRPr="006A1EC7" w:rsidRDefault="0087601C" w:rsidP="00D56051">
            <w:pPr>
              <w:rPr>
                <w:sz w:val="13"/>
                <w:szCs w:val="13"/>
              </w:rPr>
            </w:pPr>
            <w:r w:rsidRPr="006A1EC7">
              <w:rPr>
                <w:sz w:val="13"/>
                <w:szCs w:val="13"/>
              </w:rPr>
              <w:t>13</w:t>
            </w:r>
          </w:p>
        </w:tc>
        <w:tc>
          <w:tcPr>
            <w:tcW w:w="477" w:type="dxa"/>
            <w:shd w:val="clear" w:color="auto" w:fill="FFFF00"/>
          </w:tcPr>
          <w:p w14:paraId="5D9CA86A" w14:textId="77777777" w:rsidR="0087601C" w:rsidRPr="006A1EC7" w:rsidRDefault="0087601C" w:rsidP="00D56051">
            <w:pPr>
              <w:rPr>
                <w:sz w:val="13"/>
                <w:szCs w:val="13"/>
              </w:rPr>
            </w:pPr>
            <w:r w:rsidRPr="006A1EC7">
              <w:rPr>
                <w:sz w:val="13"/>
                <w:szCs w:val="13"/>
              </w:rPr>
              <w:t>13</w:t>
            </w:r>
          </w:p>
        </w:tc>
        <w:tc>
          <w:tcPr>
            <w:tcW w:w="402" w:type="dxa"/>
          </w:tcPr>
          <w:p w14:paraId="5DF5DF2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C7F6DB5" w14:textId="77777777" w:rsidR="0087601C" w:rsidRPr="006A1EC7" w:rsidRDefault="0087601C" w:rsidP="00D56051">
            <w:pPr>
              <w:rPr>
                <w:sz w:val="13"/>
                <w:szCs w:val="13"/>
              </w:rPr>
            </w:pPr>
            <w:r w:rsidRPr="006A1EC7">
              <w:rPr>
                <w:sz w:val="13"/>
                <w:szCs w:val="13"/>
              </w:rPr>
              <w:t>13</w:t>
            </w:r>
          </w:p>
        </w:tc>
        <w:tc>
          <w:tcPr>
            <w:tcW w:w="477" w:type="dxa"/>
            <w:shd w:val="clear" w:color="auto" w:fill="FFFF00"/>
          </w:tcPr>
          <w:p w14:paraId="7FA0809B" w14:textId="77777777" w:rsidR="0087601C" w:rsidRPr="006A1EC7" w:rsidRDefault="0087601C" w:rsidP="00D56051">
            <w:pPr>
              <w:rPr>
                <w:sz w:val="13"/>
                <w:szCs w:val="13"/>
              </w:rPr>
            </w:pPr>
            <w:r w:rsidRPr="006A1EC7">
              <w:rPr>
                <w:sz w:val="13"/>
                <w:szCs w:val="13"/>
              </w:rPr>
              <w:t>12</w:t>
            </w:r>
          </w:p>
        </w:tc>
        <w:tc>
          <w:tcPr>
            <w:tcW w:w="402" w:type="dxa"/>
          </w:tcPr>
          <w:p w14:paraId="4B72C1EE"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0C86989D" w14:textId="77777777" w:rsidR="0087601C" w:rsidRPr="006A1EC7" w:rsidRDefault="0087601C" w:rsidP="00D56051">
            <w:pPr>
              <w:rPr>
                <w:sz w:val="13"/>
                <w:szCs w:val="13"/>
              </w:rPr>
            </w:pPr>
            <w:r w:rsidRPr="006A1EC7">
              <w:rPr>
                <w:sz w:val="13"/>
                <w:szCs w:val="13"/>
              </w:rPr>
              <w:t>12</w:t>
            </w:r>
          </w:p>
        </w:tc>
        <w:tc>
          <w:tcPr>
            <w:tcW w:w="460" w:type="dxa"/>
            <w:shd w:val="clear" w:color="auto" w:fill="FFFF00"/>
          </w:tcPr>
          <w:p w14:paraId="229967A6" w14:textId="77777777" w:rsidR="0087601C" w:rsidRPr="006A1EC7" w:rsidRDefault="0087601C" w:rsidP="00D56051">
            <w:pPr>
              <w:rPr>
                <w:sz w:val="13"/>
                <w:szCs w:val="13"/>
              </w:rPr>
            </w:pPr>
            <w:r w:rsidRPr="006A1EC7">
              <w:rPr>
                <w:sz w:val="13"/>
                <w:szCs w:val="13"/>
              </w:rPr>
              <w:t>12</w:t>
            </w:r>
          </w:p>
        </w:tc>
        <w:tc>
          <w:tcPr>
            <w:tcW w:w="402" w:type="dxa"/>
            <w:shd w:val="clear" w:color="auto" w:fill="auto"/>
          </w:tcPr>
          <w:p w14:paraId="722A1003" w14:textId="77777777" w:rsidR="0087601C" w:rsidRPr="006A1EC7" w:rsidRDefault="0087601C" w:rsidP="00D56051">
            <w:pPr>
              <w:rPr>
                <w:sz w:val="13"/>
                <w:szCs w:val="13"/>
              </w:rPr>
            </w:pPr>
            <w:r w:rsidRPr="006A1EC7">
              <w:rPr>
                <w:sz w:val="13"/>
                <w:szCs w:val="13"/>
              </w:rPr>
              <w:t>1</w:t>
            </w:r>
          </w:p>
        </w:tc>
        <w:tc>
          <w:tcPr>
            <w:tcW w:w="552" w:type="dxa"/>
          </w:tcPr>
          <w:p w14:paraId="52B53295" w14:textId="77777777" w:rsidR="0087601C" w:rsidRPr="006A1EC7" w:rsidRDefault="0087601C" w:rsidP="00D56051">
            <w:pPr>
              <w:rPr>
                <w:sz w:val="13"/>
                <w:szCs w:val="13"/>
              </w:rPr>
            </w:pPr>
            <w:r w:rsidRPr="006A1EC7">
              <w:rPr>
                <w:sz w:val="13"/>
                <w:szCs w:val="13"/>
              </w:rPr>
              <w:t>5/9</w:t>
            </w:r>
          </w:p>
        </w:tc>
        <w:tc>
          <w:tcPr>
            <w:tcW w:w="530" w:type="dxa"/>
          </w:tcPr>
          <w:p w14:paraId="0C6262C3" w14:textId="77777777" w:rsidR="0087601C" w:rsidRPr="006A1EC7" w:rsidRDefault="0087601C" w:rsidP="00D56051">
            <w:pPr>
              <w:rPr>
                <w:sz w:val="13"/>
                <w:szCs w:val="13"/>
              </w:rPr>
            </w:pPr>
            <w:r w:rsidRPr="006A1EC7">
              <w:rPr>
                <w:sz w:val="13"/>
                <w:szCs w:val="13"/>
              </w:rPr>
              <w:t>56%</w:t>
            </w:r>
          </w:p>
        </w:tc>
      </w:tr>
      <w:tr w:rsidR="00744A8E" w:rsidRPr="006A1EC7" w14:paraId="7CAD24A9" w14:textId="77777777" w:rsidTr="00D56051">
        <w:tc>
          <w:tcPr>
            <w:tcW w:w="636" w:type="dxa"/>
          </w:tcPr>
          <w:p w14:paraId="2BA146DA" w14:textId="77777777" w:rsidR="0087601C" w:rsidRPr="006A1EC7" w:rsidRDefault="0087601C" w:rsidP="00D56051">
            <w:pPr>
              <w:rPr>
                <w:sz w:val="13"/>
                <w:szCs w:val="13"/>
              </w:rPr>
            </w:pPr>
            <w:r w:rsidRPr="006A1EC7">
              <w:rPr>
                <w:sz w:val="13"/>
                <w:szCs w:val="13"/>
              </w:rPr>
              <w:t>FUC</w:t>
            </w:r>
          </w:p>
        </w:tc>
        <w:tc>
          <w:tcPr>
            <w:tcW w:w="474" w:type="dxa"/>
            <w:shd w:val="clear" w:color="auto" w:fill="FFFF00"/>
          </w:tcPr>
          <w:p w14:paraId="6527D0A4" w14:textId="77777777" w:rsidR="0087601C" w:rsidRPr="006A1EC7" w:rsidRDefault="0087601C" w:rsidP="00D56051">
            <w:pPr>
              <w:rPr>
                <w:sz w:val="13"/>
                <w:szCs w:val="13"/>
              </w:rPr>
            </w:pPr>
            <w:r w:rsidRPr="006A1EC7">
              <w:rPr>
                <w:sz w:val="13"/>
                <w:szCs w:val="13"/>
              </w:rPr>
              <w:t>11</w:t>
            </w:r>
          </w:p>
        </w:tc>
        <w:tc>
          <w:tcPr>
            <w:tcW w:w="474" w:type="dxa"/>
            <w:shd w:val="clear" w:color="auto" w:fill="FFFF00"/>
          </w:tcPr>
          <w:p w14:paraId="437C0D4D" w14:textId="77777777" w:rsidR="0087601C" w:rsidRPr="006A1EC7" w:rsidRDefault="0087601C" w:rsidP="00D56051">
            <w:pPr>
              <w:rPr>
                <w:sz w:val="13"/>
                <w:szCs w:val="13"/>
              </w:rPr>
            </w:pPr>
            <w:r w:rsidRPr="006A1EC7">
              <w:rPr>
                <w:sz w:val="13"/>
                <w:szCs w:val="13"/>
              </w:rPr>
              <w:t>11</w:t>
            </w:r>
          </w:p>
        </w:tc>
        <w:tc>
          <w:tcPr>
            <w:tcW w:w="467" w:type="dxa"/>
          </w:tcPr>
          <w:p w14:paraId="09172821"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586B35B4" w14:textId="77777777" w:rsidR="0087601C" w:rsidRPr="006A1EC7" w:rsidRDefault="0087601C" w:rsidP="00D56051">
            <w:pPr>
              <w:rPr>
                <w:sz w:val="13"/>
                <w:szCs w:val="13"/>
              </w:rPr>
            </w:pPr>
            <w:r w:rsidRPr="006A1EC7">
              <w:rPr>
                <w:sz w:val="13"/>
                <w:szCs w:val="13"/>
              </w:rPr>
              <w:t>11</w:t>
            </w:r>
          </w:p>
        </w:tc>
        <w:tc>
          <w:tcPr>
            <w:tcW w:w="475" w:type="dxa"/>
            <w:shd w:val="clear" w:color="auto" w:fill="FFFF00"/>
          </w:tcPr>
          <w:p w14:paraId="23F831AE" w14:textId="77777777" w:rsidR="0087601C" w:rsidRPr="006A1EC7" w:rsidRDefault="0087601C" w:rsidP="00D56051">
            <w:pPr>
              <w:rPr>
                <w:sz w:val="13"/>
                <w:szCs w:val="13"/>
              </w:rPr>
            </w:pPr>
            <w:r w:rsidRPr="006A1EC7">
              <w:rPr>
                <w:sz w:val="13"/>
                <w:szCs w:val="13"/>
              </w:rPr>
              <w:t>11</w:t>
            </w:r>
          </w:p>
        </w:tc>
        <w:tc>
          <w:tcPr>
            <w:tcW w:w="450" w:type="dxa"/>
          </w:tcPr>
          <w:p w14:paraId="03969A49"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43A98D3B" w14:textId="77777777" w:rsidR="0087601C" w:rsidRPr="006A1EC7" w:rsidRDefault="0087601C" w:rsidP="00D56051">
            <w:pPr>
              <w:rPr>
                <w:sz w:val="13"/>
                <w:szCs w:val="13"/>
              </w:rPr>
            </w:pPr>
            <w:r w:rsidRPr="006A1EC7">
              <w:rPr>
                <w:sz w:val="13"/>
                <w:szCs w:val="13"/>
              </w:rPr>
              <w:t>11</w:t>
            </w:r>
          </w:p>
        </w:tc>
        <w:tc>
          <w:tcPr>
            <w:tcW w:w="460" w:type="dxa"/>
            <w:shd w:val="clear" w:color="auto" w:fill="FFFF00"/>
          </w:tcPr>
          <w:p w14:paraId="5A9BD870" w14:textId="77777777" w:rsidR="0087601C" w:rsidRPr="006A1EC7" w:rsidRDefault="0087601C" w:rsidP="00D56051">
            <w:pPr>
              <w:rPr>
                <w:sz w:val="13"/>
                <w:szCs w:val="13"/>
              </w:rPr>
            </w:pPr>
            <w:r w:rsidRPr="006A1EC7">
              <w:rPr>
                <w:sz w:val="13"/>
                <w:szCs w:val="13"/>
              </w:rPr>
              <w:t>11</w:t>
            </w:r>
          </w:p>
        </w:tc>
        <w:tc>
          <w:tcPr>
            <w:tcW w:w="402" w:type="dxa"/>
            <w:shd w:val="clear" w:color="auto" w:fill="auto"/>
          </w:tcPr>
          <w:p w14:paraId="27CB2FE2"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38F8B9DC" w14:textId="77777777" w:rsidR="0087601C" w:rsidRPr="006A1EC7" w:rsidRDefault="0087601C" w:rsidP="00D56051">
            <w:pPr>
              <w:rPr>
                <w:sz w:val="13"/>
                <w:szCs w:val="13"/>
              </w:rPr>
            </w:pPr>
            <w:r w:rsidRPr="006A1EC7">
              <w:rPr>
                <w:sz w:val="13"/>
                <w:szCs w:val="13"/>
              </w:rPr>
              <w:t>11</w:t>
            </w:r>
          </w:p>
        </w:tc>
        <w:tc>
          <w:tcPr>
            <w:tcW w:w="476" w:type="dxa"/>
            <w:shd w:val="clear" w:color="auto" w:fill="FFFF00"/>
          </w:tcPr>
          <w:p w14:paraId="38FEEEB6" w14:textId="77777777" w:rsidR="0087601C" w:rsidRPr="006A1EC7" w:rsidRDefault="0087601C" w:rsidP="00D56051">
            <w:pPr>
              <w:rPr>
                <w:sz w:val="13"/>
                <w:szCs w:val="13"/>
              </w:rPr>
            </w:pPr>
            <w:r w:rsidRPr="006A1EC7">
              <w:rPr>
                <w:sz w:val="13"/>
                <w:szCs w:val="13"/>
              </w:rPr>
              <w:t>11</w:t>
            </w:r>
          </w:p>
        </w:tc>
        <w:tc>
          <w:tcPr>
            <w:tcW w:w="402" w:type="dxa"/>
          </w:tcPr>
          <w:p w14:paraId="27188207"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72410C13" w14:textId="77777777" w:rsidR="0087601C" w:rsidRPr="006A1EC7" w:rsidRDefault="0087601C" w:rsidP="00D56051">
            <w:pPr>
              <w:rPr>
                <w:sz w:val="13"/>
                <w:szCs w:val="13"/>
              </w:rPr>
            </w:pPr>
            <w:r w:rsidRPr="006A1EC7">
              <w:rPr>
                <w:sz w:val="13"/>
                <w:szCs w:val="13"/>
              </w:rPr>
              <w:t>11</w:t>
            </w:r>
          </w:p>
        </w:tc>
        <w:tc>
          <w:tcPr>
            <w:tcW w:w="476" w:type="dxa"/>
            <w:shd w:val="clear" w:color="auto" w:fill="FFFF00"/>
          </w:tcPr>
          <w:p w14:paraId="44792452" w14:textId="77777777" w:rsidR="0087601C" w:rsidRPr="006A1EC7" w:rsidRDefault="0087601C" w:rsidP="00D56051">
            <w:pPr>
              <w:rPr>
                <w:sz w:val="13"/>
                <w:szCs w:val="13"/>
              </w:rPr>
            </w:pPr>
            <w:r w:rsidRPr="006A1EC7">
              <w:rPr>
                <w:sz w:val="13"/>
                <w:szCs w:val="13"/>
              </w:rPr>
              <w:t>11</w:t>
            </w:r>
          </w:p>
        </w:tc>
        <w:tc>
          <w:tcPr>
            <w:tcW w:w="402" w:type="dxa"/>
          </w:tcPr>
          <w:p w14:paraId="76733B85"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3DBF6670" w14:textId="77777777" w:rsidR="0087601C" w:rsidRPr="006A1EC7" w:rsidRDefault="0087601C" w:rsidP="00D56051">
            <w:pPr>
              <w:rPr>
                <w:sz w:val="13"/>
                <w:szCs w:val="13"/>
              </w:rPr>
            </w:pPr>
            <w:r w:rsidRPr="006A1EC7">
              <w:rPr>
                <w:sz w:val="13"/>
                <w:szCs w:val="13"/>
              </w:rPr>
              <w:t>11</w:t>
            </w:r>
          </w:p>
        </w:tc>
        <w:tc>
          <w:tcPr>
            <w:tcW w:w="476" w:type="dxa"/>
            <w:shd w:val="clear" w:color="auto" w:fill="FFFF00"/>
          </w:tcPr>
          <w:p w14:paraId="72C999BF" w14:textId="77777777" w:rsidR="0087601C" w:rsidRPr="006A1EC7" w:rsidRDefault="0087601C" w:rsidP="00D56051">
            <w:pPr>
              <w:rPr>
                <w:sz w:val="13"/>
                <w:szCs w:val="13"/>
              </w:rPr>
            </w:pPr>
            <w:r w:rsidRPr="006A1EC7">
              <w:rPr>
                <w:sz w:val="13"/>
                <w:szCs w:val="13"/>
              </w:rPr>
              <w:t>11</w:t>
            </w:r>
          </w:p>
        </w:tc>
        <w:tc>
          <w:tcPr>
            <w:tcW w:w="402" w:type="dxa"/>
          </w:tcPr>
          <w:p w14:paraId="3B1C2408"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419F1342"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0EB2A857" w14:textId="77777777" w:rsidR="0087601C" w:rsidRPr="006A1EC7" w:rsidRDefault="0087601C" w:rsidP="00D56051">
            <w:pPr>
              <w:rPr>
                <w:sz w:val="13"/>
                <w:szCs w:val="13"/>
              </w:rPr>
            </w:pPr>
            <w:r w:rsidRPr="006A1EC7">
              <w:rPr>
                <w:sz w:val="13"/>
                <w:szCs w:val="13"/>
              </w:rPr>
              <w:t>11</w:t>
            </w:r>
          </w:p>
        </w:tc>
        <w:tc>
          <w:tcPr>
            <w:tcW w:w="402" w:type="dxa"/>
          </w:tcPr>
          <w:p w14:paraId="76F0D18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FA2B2D6"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6FB37536" w14:textId="77777777" w:rsidR="0087601C" w:rsidRPr="006A1EC7" w:rsidRDefault="0087601C" w:rsidP="00D56051">
            <w:pPr>
              <w:rPr>
                <w:sz w:val="13"/>
                <w:szCs w:val="13"/>
              </w:rPr>
            </w:pPr>
            <w:r w:rsidRPr="006A1EC7">
              <w:rPr>
                <w:sz w:val="13"/>
                <w:szCs w:val="13"/>
              </w:rPr>
              <w:t>11</w:t>
            </w:r>
          </w:p>
        </w:tc>
        <w:tc>
          <w:tcPr>
            <w:tcW w:w="402" w:type="dxa"/>
          </w:tcPr>
          <w:p w14:paraId="52A47EAB"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0B9C4F40" w14:textId="77777777" w:rsidR="0087601C" w:rsidRPr="006A1EC7" w:rsidRDefault="0087601C" w:rsidP="00D56051">
            <w:pPr>
              <w:rPr>
                <w:sz w:val="13"/>
                <w:szCs w:val="13"/>
              </w:rPr>
            </w:pPr>
            <w:r w:rsidRPr="006A1EC7">
              <w:rPr>
                <w:sz w:val="13"/>
                <w:szCs w:val="13"/>
              </w:rPr>
              <w:t>11</w:t>
            </w:r>
          </w:p>
        </w:tc>
        <w:tc>
          <w:tcPr>
            <w:tcW w:w="460" w:type="dxa"/>
            <w:shd w:val="clear" w:color="auto" w:fill="FFFF00"/>
          </w:tcPr>
          <w:p w14:paraId="0698F7A9" w14:textId="77777777" w:rsidR="0087601C" w:rsidRPr="006A1EC7" w:rsidRDefault="0087601C" w:rsidP="00D56051">
            <w:pPr>
              <w:rPr>
                <w:sz w:val="13"/>
                <w:szCs w:val="13"/>
              </w:rPr>
            </w:pPr>
            <w:r w:rsidRPr="006A1EC7">
              <w:rPr>
                <w:sz w:val="13"/>
                <w:szCs w:val="13"/>
              </w:rPr>
              <w:t>11</w:t>
            </w:r>
          </w:p>
        </w:tc>
        <w:tc>
          <w:tcPr>
            <w:tcW w:w="402" w:type="dxa"/>
            <w:shd w:val="clear" w:color="auto" w:fill="auto"/>
          </w:tcPr>
          <w:p w14:paraId="3561C4B8" w14:textId="77777777" w:rsidR="0087601C" w:rsidRPr="006A1EC7" w:rsidRDefault="0087601C" w:rsidP="00D56051">
            <w:pPr>
              <w:rPr>
                <w:sz w:val="13"/>
                <w:szCs w:val="13"/>
              </w:rPr>
            </w:pPr>
            <w:r w:rsidRPr="006A1EC7">
              <w:rPr>
                <w:sz w:val="13"/>
                <w:szCs w:val="13"/>
              </w:rPr>
              <w:t>1</w:t>
            </w:r>
          </w:p>
        </w:tc>
        <w:tc>
          <w:tcPr>
            <w:tcW w:w="552" w:type="dxa"/>
          </w:tcPr>
          <w:p w14:paraId="02C494C6" w14:textId="77777777" w:rsidR="0087601C" w:rsidRPr="006A1EC7" w:rsidRDefault="0087601C" w:rsidP="00D56051">
            <w:pPr>
              <w:rPr>
                <w:sz w:val="13"/>
                <w:szCs w:val="13"/>
              </w:rPr>
            </w:pPr>
            <w:r w:rsidRPr="006A1EC7">
              <w:rPr>
                <w:sz w:val="13"/>
                <w:szCs w:val="13"/>
              </w:rPr>
              <w:t>9/9</w:t>
            </w:r>
          </w:p>
        </w:tc>
        <w:tc>
          <w:tcPr>
            <w:tcW w:w="530" w:type="dxa"/>
          </w:tcPr>
          <w:p w14:paraId="4A8C1FCF" w14:textId="77777777" w:rsidR="0087601C" w:rsidRPr="006A1EC7" w:rsidRDefault="0087601C" w:rsidP="00D56051">
            <w:pPr>
              <w:rPr>
                <w:sz w:val="13"/>
                <w:szCs w:val="13"/>
              </w:rPr>
            </w:pPr>
            <w:r w:rsidRPr="006A1EC7">
              <w:rPr>
                <w:sz w:val="13"/>
                <w:szCs w:val="13"/>
              </w:rPr>
              <w:t>100%</w:t>
            </w:r>
          </w:p>
        </w:tc>
      </w:tr>
      <w:tr w:rsidR="00744A8E" w:rsidRPr="006A1EC7" w14:paraId="781D52D0" w14:textId="77777777" w:rsidTr="00D56051">
        <w:tc>
          <w:tcPr>
            <w:tcW w:w="636" w:type="dxa"/>
          </w:tcPr>
          <w:p w14:paraId="19645DC9" w14:textId="77777777" w:rsidR="0087601C" w:rsidRPr="006A1EC7" w:rsidRDefault="0087601C" w:rsidP="00D56051">
            <w:pPr>
              <w:rPr>
                <w:sz w:val="13"/>
                <w:szCs w:val="13"/>
              </w:rPr>
            </w:pPr>
            <w:r w:rsidRPr="006A1EC7">
              <w:rPr>
                <w:sz w:val="13"/>
                <w:szCs w:val="13"/>
              </w:rPr>
              <w:t>IMU</w:t>
            </w:r>
          </w:p>
        </w:tc>
        <w:tc>
          <w:tcPr>
            <w:tcW w:w="474" w:type="dxa"/>
            <w:shd w:val="clear" w:color="auto" w:fill="FFFF00"/>
          </w:tcPr>
          <w:p w14:paraId="3A6E9B32" w14:textId="77777777" w:rsidR="0087601C" w:rsidRPr="006A1EC7" w:rsidRDefault="0087601C" w:rsidP="00D56051">
            <w:pPr>
              <w:rPr>
                <w:sz w:val="13"/>
                <w:szCs w:val="13"/>
              </w:rPr>
            </w:pPr>
            <w:r w:rsidRPr="006A1EC7">
              <w:rPr>
                <w:sz w:val="13"/>
                <w:szCs w:val="13"/>
              </w:rPr>
              <w:t>0</w:t>
            </w:r>
          </w:p>
        </w:tc>
        <w:tc>
          <w:tcPr>
            <w:tcW w:w="474" w:type="dxa"/>
            <w:shd w:val="clear" w:color="auto" w:fill="FFFF00"/>
          </w:tcPr>
          <w:p w14:paraId="4044A953" w14:textId="77777777" w:rsidR="0087601C" w:rsidRPr="006A1EC7" w:rsidRDefault="0087601C" w:rsidP="00D56051">
            <w:pPr>
              <w:rPr>
                <w:sz w:val="13"/>
                <w:szCs w:val="13"/>
              </w:rPr>
            </w:pPr>
            <w:r w:rsidRPr="006A1EC7">
              <w:rPr>
                <w:sz w:val="13"/>
                <w:szCs w:val="13"/>
              </w:rPr>
              <w:t>0</w:t>
            </w:r>
          </w:p>
        </w:tc>
        <w:tc>
          <w:tcPr>
            <w:tcW w:w="467" w:type="dxa"/>
          </w:tcPr>
          <w:p w14:paraId="2520BF07"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744D3C44" w14:textId="77777777" w:rsidR="0087601C" w:rsidRPr="006A1EC7" w:rsidRDefault="0087601C" w:rsidP="00D56051">
            <w:pPr>
              <w:rPr>
                <w:sz w:val="13"/>
                <w:szCs w:val="13"/>
              </w:rPr>
            </w:pPr>
            <w:r w:rsidRPr="006A1EC7">
              <w:rPr>
                <w:sz w:val="13"/>
                <w:szCs w:val="13"/>
              </w:rPr>
              <w:t>0</w:t>
            </w:r>
          </w:p>
        </w:tc>
        <w:tc>
          <w:tcPr>
            <w:tcW w:w="475" w:type="dxa"/>
            <w:shd w:val="clear" w:color="auto" w:fill="FFFF00"/>
          </w:tcPr>
          <w:p w14:paraId="520DFCE8" w14:textId="77777777" w:rsidR="0087601C" w:rsidRPr="006A1EC7" w:rsidRDefault="0087601C" w:rsidP="00D56051">
            <w:pPr>
              <w:rPr>
                <w:sz w:val="13"/>
                <w:szCs w:val="13"/>
              </w:rPr>
            </w:pPr>
            <w:r w:rsidRPr="006A1EC7">
              <w:rPr>
                <w:sz w:val="13"/>
                <w:szCs w:val="13"/>
              </w:rPr>
              <w:t>0</w:t>
            </w:r>
          </w:p>
        </w:tc>
        <w:tc>
          <w:tcPr>
            <w:tcW w:w="450" w:type="dxa"/>
          </w:tcPr>
          <w:p w14:paraId="7DAC2206"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4FA246E6"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1F86D62D" w14:textId="77777777" w:rsidR="0087601C" w:rsidRPr="006A1EC7" w:rsidRDefault="0087601C" w:rsidP="00D56051">
            <w:pPr>
              <w:rPr>
                <w:sz w:val="13"/>
                <w:szCs w:val="13"/>
              </w:rPr>
            </w:pPr>
            <w:r w:rsidRPr="006A1EC7">
              <w:rPr>
                <w:sz w:val="13"/>
                <w:szCs w:val="13"/>
              </w:rPr>
              <w:t>0</w:t>
            </w:r>
          </w:p>
        </w:tc>
        <w:tc>
          <w:tcPr>
            <w:tcW w:w="402" w:type="dxa"/>
            <w:shd w:val="clear" w:color="auto" w:fill="auto"/>
          </w:tcPr>
          <w:p w14:paraId="12D3300D"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4AE722F0"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20341E37" w14:textId="77777777" w:rsidR="0087601C" w:rsidRPr="006A1EC7" w:rsidRDefault="0087601C" w:rsidP="00D56051">
            <w:pPr>
              <w:rPr>
                <w:sz w:val="13"/>
                <w:szCs w:val="13"/>
              </w:rPr>
            </w:pPr>
            <w:r w:rsidRPr="006A1EC7">
              <w:rPr>
                <w:sz w:val="13"/>
                <w:szCs w:val="13"/>
              </w:rPr>
              <w:t>0</w:t>
            </w:r>
          </w:p>
        </w:tc>
        <w:tc>
          <w:tcPr>
            <w:tcW w:w="402" w:type="dxa"/>
          </w:tcPr>
          <w:p w14:paraId="0A77F355"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36BEC511"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F9AF810" w14:textId="77777777" w:rsidR="0087601C" w:rsidRPr="006A1EC7" w:rsidRDefault="0087601C" w:rsidP="00D56051">
            <w:pPr>
              <w:rPr>
                <w:sz w:val="13"/>
                <w:szCs w:val="13"/>
              </w:rPr>
            </w:pPr>
            <w:r w:rsidRPr="006A1EC7">
              <w:rPr>
                <w:sz w:val="13"/>
                <w:szCs w:val="13"/>
              </w:rPr>
              <w:t>0</w:t>
            </w:r>
          </w:p>
        </w:tc>
        <w:tc>
          <w:tcPr>
            <w:tcW w:w="402" w:type="dxa"/>
          </w:tcPr>
          <w:p w14:paraId="072B6451"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26B43D7C"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6BA79184" w14:textId="77777777" w:rsidR="0087601C" w:rsidRPr="006A1EC7" w:rsidRDefault="0087601C" w:rsidP="00D56051">
            <w:pPr>
              <w:rPr>
                <w:sz w:val="13"/>
                <w:szCs w:val="13"/>
              </w:rPr>
            </w:pPr>
            <w:r w:rsidRPr="006A1EC7">
              <w:rPr>
                <w:sz w:val="13"/>
                <w:szCs w:val="13"/>
              </w:rPr>
              <w:t>0</w:t>
            </w:r>
          </w:p>
        </w:tc>
        <w:tc>
          <w:tcPr>
            <w:tcW w:w="402" w:type="dxa"/>
          </w:tcPr>
          <w:p w14:paraId="16865C22"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3B893C79"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AE1C9AC" w14:textId="77777777" w:rsidR="0087601C" w:rsidRPr="006A1EC7" w:rsidRDefault="0087601C" w:rsidP="00D56051">
            <w:pPr>
              <w:rPr>
                <w:sz w:val="13"/>
                <w:szCs w:val="13"/>
              </w:rPr>
            </w:pPr>
            <w:r w:rsidRPr="006A1EC7">
              <w:rPr>
                <w:sz w:val="13"/>
                <w:szCs w:val="13"/>
              </w:rPr>
              <w:t>0</w:t>
            </w:r>
          </w:p>
        </w:tc>
        <w:tc>
          <w:tcPr>
            <w:tcW w:w="402" w:type="dxa"/>
          </w:tcPr>
          <w:p w14:paraId="63028B8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3B05F4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04557A7" w14:textId="77777777" w:rsidR="0087601C" w:rsidRPr="006A1EC7" w:rsidRDefault="0087601C" w:rsidP="00D56051">
            <w:pPr>
              <w:rPr>
                <w:sz w:val="13"/>
                <w:szCs w:val="13"/>
              </w:rPr>
            </w:pPr>
            <w:r w:rsidRPr="006A1EC7">
              <w:rPr>
                <w:sz w:val="13"/>
                <w:szCs w:val="13"/>
              </w:rPr>
              <w:t>0</w:t>
            </w:r>
          </w:p>
        </w:tc>
        <w:tc>
          <w:tcPr>
            <w:tcW w:w="402" w:type="dxa"/>
          </w:tcPr>
          <w:p w14:paraId="0F40888C"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39C32565"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0E7E78EC" w14:textId="77777777" w:rsidR="0087601C" w:rsidRPr="006A1EC7" w:rsidRDefault="0087601C" w:rsidP="00D56051">
            <w:pPr>
              <w:rPr>
                <w:sz w:val="13"/>
                <w:szCs w:val="13"/>
              </w:rPr>
            </w:pPr>
            <w:r w:rsidRPr="006A1EC7">
              <w:rPr>
                <w:sz w:val="13"/>
                <w:szCs w:val="13"/>
              </w:rPr>
              <w:t>0</w:t>
            </w:r>
          </w:p>
        </w:tc>
        <w:tc>
          <w:tcPr>
            <w:tcW w:w="402" w:type="dxa"/>
            <w:shd w:val="clear" w:color="auto" w:fill="auto"/>
          </w:tcPr>
          <w:p w14:paraId="24F1B86C" w14:textId="77777777" w:rsidR="0087601C" w:rsidRPr="006A1EC7" w:rsidRDefault="0087601C" w:rsidP="00D56051">
            <w:pPr>
              <w:rPr>
                <w:sz w:val="13"/>
                <w:szCs w:val="13"/>
              </w:rPr>
            </w:pPr>
            <w:r w:rsidRPr="006A1EC7">
              <w:rPr>
                <w:sz w:val="13"/>
                <w:szCs w:val="13"/>
              </w:rPr>
              <w:t>1</w:t>
            </w:r>
          </w:p>
        </w:tc>
        <w:tc>
          <w:tcPr>
            <w:tcW w:w="552" w:type="dxa"/>
          </w:tcPr>
          <w:p w14:paraId="683CD409" w14:textId="77777777" w:rsidR="0087601C" w:rsidRPr="006A1EC7" w:rsidRDefault="0087601C" w:rsidP="00D56051">
            <w:pPr>
              <w:rPr>
                <w:sz w:val="13"/>
                <w:szCs w:val="13"/>
              </w:rPr>
            </w:pPr>
            <w:r w:rsidRPr="006A1EC7">
              <w:rPr>
                <w:sz w:val="13"/>
                <w:szCs w:val="13"/>
              </w:rPr>
              <w:t>9/9</w:t>
            </w:r>
          </w:p>
        </w:tc>
        <w:tc>
          <w:tcPr>
            <w:tcW w:w="530" w:type="dxa"/>
          </w:tcPr>
          <w:p w14:paraId="009F3E15" w14:textId="77777777" w:rsidR="0087601C" w:rsidRPr="006A1EC7" w:rsidRDefault="0087601C" w:rsidP="00D56051">
            <w:pPr>
              <w:rPr>
                <w:sz w:val="13"/>
                <w:szCs w:val="13"/>
              </w:rPr>
            </w:pPr>
            <w:r w:rsidRPr="006A1EC7">
              <w:rPr>
                <w:sz w:val="13"/>
                <w:szCs w:val="13"/>
              </w:rPr>
              <w:t>100%</w:t>
            </w:r>
          </w:p>
        </w:tc>
      </w:tr>
      <w:tr w:rsidR="00744A8E" w:rsidRPr="006A1EC7" w14:paraId="3576185B" w14:textId="77777777" w:rsidTr="00D56051">
        <w:tc>
          <w:tcPr>
            <w:tcW w:w="636" w:type="dxa"/>
          </w:tcPr>
          <w:p w14:paraId="17FEF5B2" w14:textId="77777777" w:rsidR="0087601C" w:rsidRPr="006A1EC7" w:rsidRDefault="0087601C" w:rsidP="00D56051">
            <w:pPr>
              <w:rPr>
                <w:sz w:val="13"/>
                <w:szCs w:val="13"/>
              </w:rPr>
            </w:pPr>
            <w:r w:rsidRPr="006A1EC7">
              <w:rPr>
                <w:sz w:val="13"/>
                <w:szCs w:val="13"/>
              </w:rPr>
              <w:t>SLP</w:t>
            </w:r>
          </w:p>
        </w:tc>
        <w:tc>
          <w:tcPr>
            <w:tcW w:w="474" w:type="dxa"/>
            <w:shd w:val="clear" w:color="auto" w:fill="FFFF00"/>
          </w:tcPr>
          <w:p w14:paraId="2B245D8B" w14:textId="77777777" w:rsidR="0087601C" w:rsidRPr="006A1EC7" w:rsidRDefault="0087601C" w:rsidP="00D56051">
            <w:pPr>
              <w:rPr>
                <w:sz w:val="13"/>
                <w:szCs w:val="13"/>
              </w:rPr>
            </w:pPr>
            <w:r w:rsidRPr="006A1EC7">
              <w:rPr>
                <w:sz w:val="13"/>
                <w:szCs w:val="13"/>
              </w:rPr>
              <w:t>0</w:t>
            </w:r>
          </w:p>
        </w:tc>
        <w:tc>
          <w:tcPr>
            <w:tcW w:w="474" w:type="dxa"/>
            <w:shd w:val="clear" w:color="auto" w:fill="FFFF00"/>
          </w:tcPr>
          <w:p w14:paraId="2D2579F6" w14:textId="77777777" w:rsidR="0087601C" w:rsidRPr="006A1EC7" w:rsidRDefault="0087601C" w:rsidP="00D56051">
            <w:pPr>
              <w:rPr>
                <w:sz w:val="13"/>
                <w:szCs w:val="13"/>
              </w:rPr>
            </w:pPr>
            <w:r w:rsidRPr="006A1EC7">
              <w:rPr>
                <w:sz w:val="13"/>
                <w:szCs w:val="13"/>
              </w:rPr>
              <w:t>0</w:t>
            </w:r>
          </w:p>
        </w:tc>
        <w:tc>
          <w:tcPr>
            <w:tcW w:w="467" w:type="dxa"/>
          </w:tcPr>
          <w:p w14:paraId="11C48B64"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3C243792" w14:textId="77777777" w:rsidR="0087601C" w:rsidRPr="006A1EC7" w:rsidRDefault="0087601C" w:rsidP="00D56051">
            <w:pPr>
              <w:rPr>
                <w:sz w:val="13"/>
                <w:szCs w:val="13"/>
              </w:rPr>
            </w:pPr>
            <w:r w:rsidRPr="006A1EC7">
              <w:rPr>
                <w:sz w:val="13"/>
                <w:szCs w:val="13"/>
              </w:rPr>
              <w:t>0</w:t>
            </w:r>
          </w:p>
        </w:tc>
        <w:tc>
          <w:tcPr>
            <w:tcW w:w="475" w:type="dxa"/>
            <w:shd w:val="clear" w:color="auto" w:fill="FFFF00"/>
          </w:tcPr>
          <w:p w14:paraId="5474B760" w14:textId="77777777" w:rsidR="0087601C" w:rsidRPr="006A1EC7" w:rsidRDefault="0087601C" w:rsidP="00D56051">
            <w:pPr>
              <w:rPr>
                <w:sz w:val="13"/>
                <w:szCs w:val="13"/>
              </w:rPr>
            </w:pPr>
            <w:r w:rsidRPr="006A1EC7">
              <w:rPr>
                <w:sz w:val="13"/>
                <w:szCs w:val="13"/>
              </w:rPr>
              <w:t>0</w:t>
            </w:r>
          </w:p>
        </w:tc>
        <w:tc>
          <w:tcPr>
            <w:tcW w:w="450" w:type="dxa"/>
          </w:tcPr>
          <w:p w14:paraId="1CABC7D3"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051DBD5A"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60F5D50C" w14:textId="77777777" w:rsidR="0087601C" w:rsidRPr="006A1EC7" w:rsidRDefault="0087601C" w:rsidP="00D56051">
            <w:pPr>
              <w:rPr>
                <w:sz w:val="13"/>
                <w:szCs w:val="13"/>
              </w:rPr>
            </w:pPr>
            <w:r w:rsidRPr="006A1EC7">
              <w:rPr>
                <w:sz w:val="13"/>
                <w:szCs w:val="13"/>
              </w:rPr>
              <w:t>0</w:t>
            </w:r>
          </w:p>
        </w:tc>
        <w:tc>
          <w:tcPr>
            <w:tcW w:w="402" w:type="dxa"/>
            <w:shd w:val="clear" w:color="auto" w:fill="auto"/>
          </w:tcPr>
          <w:p w14:paraId="51FB25C5"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2AE4CC70"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26839E4F" w14:textId="77777777" w:rsidR="0087601C" w:rsidRPr="006A1EC7" w:rsidRDefault="0087601C" w:rsidP="00D56051">
            <w:pPr>
              <w:rPr>
                <w:sz w:val="13"/>
                <w:szCs w:val="13"/>
              </w:rPr>
            </w:pPr>
            <w:r w:rsidRPr="006A1EC7">
              <w:rPr>
                <w:sz w:val="13"/>
                <w:szCs w:val="13"/>
              </w:rPr>
              <w:t>0</w:t>
            </w:r>
          </w:p>
        </w:tc>
        <w:tc>
          <w:tcPr>
            <w:tcW w:w="402" w:type="dxa"/>
          </w:tcPr>
          <w:p w14:paraId="225D0A54"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6661F2E2"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56AFB50C" w14:textId="77777777" w:rsidR="0087601C" w:rsidRPr="006A1EC7" w:rsidRDefault="0087601C" w:rsidP="00D56051">
            <w:pPr>
              <w:rPr>
                <w:sz w:val="13"/>
                <w:szCs w:val="13"/>
              </w:rPr>
            </w:pPr>
            <w:r w:rsidRPr="006A1EC7">
              <w:rPr>
                <w:sz w:val="13"/>
                <w:szCs w:val="13"/>
              </w:rPr>
              <w:t>0</w:t>
            </w:r>
          </w:p>
        </w:tc>
        <w:tc>
          <w:tcPr>
            <w:tcW w:w="402" w:type="dxa"/>
          </w:tcPr>
          <w:p w14:paraId="2DC16B3F"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703C1A37"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CC69103" w14:textId="77777777" w:rsidR="0087601C" w:rsidRPr="006A1EC7" w:rsidRDefault="0087601C" w:rsidP="00D56051">
            <w:pPr>
              <w:rPr>
                <w:sz w:val="13"/>
                <w:szCs w:val="13"/>
              </w:rPr>
            </w:pPr>
            <w:r w:rsidRPr="006A1EC7">
              <w:rPr>
                <w:sz w:val="13"/>
                <w:szCs w:val="13"/>
              </w:rPr>
              <w:t>0</w:t>
            </w:r>
          </w:p>
        </w:tc>
        <w:tc>
          <w:tcPr>
            <w:tcW w:w="402" w:type="dxa"/>
          </w:tcPr>
          <w:p w14:paraId="78B6029E"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798F6221"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CB47A36" w14:textId="77777777" w:rsidR="0087601C" w:rsidRPr="006A1EC7" w:rsidRDefault="0087601C" w:rsidP="00D56051">
            <w:pPr>
              <w:rPr>
                <w:sz w:val="13"/>
                <w:szCs w:val="13"/>
              </w:rPr>
            </w:pPr>
            <w:r w:rsidRPr="006A1EC7">
              <w:rPr>
                <w:sz w:val="13"/>
                <w:szCs w:val="13"/>
              </w:rPr>
              <w:t>0</w:t>
            </w:r>
          </w:p>
        </w:tc>
        <w:tc>
          <w:tcPr>
            <w:tcW w:w="402" w:type="dxa"/>
          </w:tcPr>
          <w:p w14:paraId="02C1249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6A56675"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25879C9" w14:textId="77777777" w:rsidR="0087601C" w:rsidRPr="006A1EC7" w:rsidRDefault="0087601C" w:rsidP="00D56051">
            <w:pPr>
              <w:rPr>
                <w:sz w:val="13"/>
                <w:szCs w:val="13"/>
              </w:rPr>
            </w:pPr>
            <w:r w:rsidRPr="006A1EC7">
              <w:rPr>
                <w:sz w:val="13"/>
                <w:szCs w:val="13"/>
              </w:rPr>
              <w:t>0</w:t>
            </w:r>
          </w:p>
        </w:tc>
        <w:tc>
          <w:tcPr>
            <w:tcW w:w="402" w:type="dxa"/>
          </w:tcPr>
          <w:p w14:paraId="2744F85A"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1BF8507E"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2034A34E" w14:textId="77777777" w:rsidR="0087601C" w:rsidRPr="006A1EC7" w:rsidRDefault="0087601C" w:rsidP="00D56051">
            <w:pPr>
              <w:rPr>
                <w:sz w:val="13"/>
                <w:szCs w:val="13"/>
              </w:rPr>
            </w:pPr>
            <w:r w:rsidRPr="006A1EC7">
              <w:rPr>
                <w:sz w:val="13"/>
                <w:szCs w:val="13"/>
              </w:rPr>
              <w:t>0</w:t>
            </w:r>
          </w:p>
        </w:tc>
        <w:tc>
          <w:tcPr>
            <w:tcW w:w="402" w:type="dxa"/>
            <w:shd w:val="clear" w:color="auto" w:fill="auto"/>
          </w:tcPr>
          <w:p w14:paraId="1E699D49" w14:textId="77777777" w:rsidR="0087601C" w:rsidRPr="006A1EC7" w:rsidRDefault="0087601C" w:rsidP="00D56051">
            <w:pPr>
              <w:rPr>
                <w:sz w:val="13"/>
                <w:szCs w:val="13"/>
              </w:rPr>
            </w:pPr>
            <w:r w:rsidRPr="006A1EC7">
              <w:rPr>
                <w:sz w:val="13"/>
                <w:szCs w:val="13"/>
              </w:rPr>
              <w:t>1</w:t>
            </w:r>
          </w:p>
        </w:tc>
        <w:tc>
          <w:tcPr>
            <w:tcW w:w="552" w:type="dxa"/>
          </w:tcPr>
          <w:p w14:paraId="54C3CAF7" w14:textId="77777777" w:rsidR="0087601C" w:rsidRPr="006A1EC7" w:rsidRDefault="0087601C" w:rsidP="00D56051">
            <w:pPr>
              <w:rPr>
                <w:sz w:val="13"/>
                <w:szCs w:val="13"/>
              </w:rPr>
            </w:pPr>
            <w:r w:rsidRPr="006A1EC7">
              <w:rPr>
                <w:sz w:val="13"/>
                <w:szCs w:val="13"/>
              </w:rPr>
              <w:t>9/9</w:t>
            </w:r>
          </w:p>
        </w:tc>
        <w:tc>
          <w:tcPr>
            <w:tcW w:w="530" w:type="dxa"/>
          </w:tcPr>
          <w:p w14:paraId="764E5093" w14:textId="77777777" w:rsidR="0087601C" w:rsidRPr="006A1EC7" w:rsidRDefault="0087601C" w:rsidP="00D56051">
            <w:pPr>
              <w:rPr>
                <w:sz w:val="13"/>
                <w:szCs w:val="13"/>
              </w:rPr>
            </w:pPr>
            <w:r w:rsidRPr="006A1EC7">
              <w:rPr>
                <w:sz w:val="13"/>
                <w:szCs w:val="13"/>
              </w:rPr>
              <w:t>100%</w:t>
            </w:r>
          </w:p>
        </w:tc>
      </w:tr>
      <w:tr w:rsidR="00744A8E" w:rsidRPr="006A1EC7" w14:paraId="5FD96788" w14:textId="77777777" w:rsidTr="00D56051">
        <w:tc>
          <w:tcPr>
            <w:tcW w:w="636" w:type="dxa"/>
          </w:tcPr>
          <w:p w14:paraId="0E9125C4" w14:textId="77777777" w:rsidR="0087601C" w:rsidRPr="006A1EC7" w:rsidRDefault="0087601C" w:rsidP="00D56051">
            <w:pPr>
              <w:rPr>
                <w:sz w:val="13"/>
                <w:szCs w:val="13"/>
              </w:rPr>
            </w:pPr>
            <w:r w:rsidRPr="006A1EC7">
              <w:rPr>
                <w:sz w:val="13"/>
                <w:szCs w:val="13"/>
              </w:rPr>
              <w:t>CRE</w:t>
            </w:r>
          </w:p>
        </w:tc>
        <w:tc>
          <w:tcPr>
            <w:tcW w:w="474" w:type="dxa"/>
            <w:shd w:val="clear" w:color="auto" w:fill="FFFF00"/>
          </w:tcPr>
          <w:p w14:paraId="71628759" w14:textId="77777777" w:rsidR="0087601C" w:rsidRPr="006A1EC7" w:rsidRDefault="0087601C" w:rsidP="00D56051">
            <w:pPr>
              <w:rPr>
                <w:sz w:val="13"/>
                <w:szCs w:val="13"/>
              </w:rPr>
            </w:pPr>
            <w:r w:rsidRPr="006A1EC7">
              <w:rPr>
                <w:sz w:val="13"/>
                <w:szCs w:val="13"/>
              </w:rPr>
              <w:t>2</w:t>
            </w:r>
          </w:p>
        </w:tc>
        <w:tc>
          <w:tcPr>
            <w:tcW w:w="474" w:type="dxa"/>
            <w:shd w:val="clear" w:color="auto" w:fill="FFFF00"/>
          </w:tcPr>
          <w:p w14:paraId="6BEF558B" w14:textId="77777777" w:rsidR="0087601C" w:rsidRPr="006A1EC7" w:rsidRDefault="0087601C" w:rsidP="00D56051">
            <w:pPr>
              <w:rPr>
                <w:sz w:val="13"/>
                <w:szCs w:val="13"/>
              </w:rPr>
            </w:pPr>
            <w:r w:rsidRPr="006A1EC7">
              <w:rPr>
                <w:sz w:val="13"/>
                <w:szCs w:val="13"/>
              </w:rPr>
              <w:t>2</w:t>
            </w:r>
          </w:p>
        </w:tc>
        <w:tc>
          <w:tcPr>
            <w:tcW w:w="467" w:type="dxa"/>
          </w:tcPr>
          <w:p w14:paraId="57B1AB35"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5601F7E1" w14:textId="77777777" w:rsidR="0087601C" w:rsidRPr="006A1EC7" w:rsidRDefault="0087601C" w:rsidP="00D56051">
            <w:pPr>
              <w:rPr>
                <w:sz w:val="13"/>
                <w:szCs w:val="13"/>
              </w:rPr>
            </w:pPr>
            <w:r w:rsidRPr="006A1EC7">
              <w:rPr>
                <w:sz w:val="13"/>
                <w:szCs w:val="13"/>
              </w:rPr>
              <w:t>2</w:t>
            </w:r>
          </w:p>
        </w:tc>
        <w:tc>
          <w:tcPr>
            <w:tcW w:w="475" w:type="dxa"/>
            <w:shd w:val="clear" w:color="auto" w:fill="FFFF00"/>
          </w:tcPr>
          <w:p w14:paraId="248F5499" w14:textId="77777777" w:rsidR="0087601C" w:rsidRPr="006A1EC7" w:rsidRDefault="0087601C" w:rsidP="00D56051">
            <w:pPr>
              <w:rPr>
                <w:sz w:val="13"/>
                <w:szCs w:val="13"/>
              </w:rPr>
            </w:pPr>
            <w:r w:rsidRPr="006A1EC7">
              <w:rPr>
                <w:sz w:val="13"/>
                <w:szCs w:val="13"/>
              </w:rPr>
              <w:t>2</w:t>
            </w:r>
          </w:p>
        </w:tc>
        <w:tc>
          <w:tcPr>
            <w:tcW w:w="450" w:type="dxa"/>
          </w:tcPr>
          <w:p w14:paraId="29AD2D9A"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73BB3360" w14:textId="77777777" w:rsidR="0087601C" w:rsidRPr="006A1EC7" w:rsidRDefault="0087601C" w:rsidP="00D56051">
            <w:pPr>
              <w:rPr>
                <w:sz w:val="13"/>
                <w:szCs w:val="13"/>
              </w:rPr>
            </w:pPr>
            <w:r w:rsidRPr="006A1EC7">
              <w:rPr>
                <w:sz w:val="13"/>
                <w:szCs w:val="13"/>
              </w:rPr>
              <w:t>2</w:t>
            </w:r>
          </w:p>
        </w:tc>
        <w:tc>
          <w:tcPr>
            <w:tcW w:w="460" w:type="dxa"/>
            <w:shd w:val="clear" w:color="auto" w:fill="FFFF00"/>
          </w:tcPr>
          <w:p w14:paraId="6FAEE02F" w14:textId="77777777" w:rsidR="0087601C" w:rsidRPr="006A1EC7" w:rsidRDefault="0087601C" w:rsidP="00D56051">
            <w:pPr>
              <w:rPr>
                <w:sz w:val="13"/>
                <w:szCs w:val="13"/>
              </w:rPr>
            </w:pPr>
            <w:r w:rsidRPr="006A1EC7">
              <w:rPr>
                <w:sz w:val="13"/>
                <w:szCs w:val="13"/>
              </w:rPr>
              <w:t>2</w:t>
            </w:r>
          </w:p>
        </w:tc>
        <w:tc>
          <w:tcPr>
            <w:tcW w:w="402" w:type="dxa"/>
            <w:shd w:val="clear" w:color="auto" w:fill="auto"/>
          </w:tcPr>
          <w:p w14:paraId="22DB6416"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559B60F4"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4E35CFD" w14:textId="77777777" w:rsidR="0087601C" w:rsidRPr="006A1EC7" w:rsidRDefault="0087601C" w:rsidP="00D56051">
            <w:pPr>
              <w:rPr>
                <w:sz w:val="13"/>
                <w:szCs w:val="13"/>
              </w:rPr>
            </w:pPr>
            <w:r w:rsidRPr="006A1EC7">
              <w:rPr>
                <w:sz w:val="13"/>
                <w:szCs w:val="13"/>
              </w:rPr>
              <w:t>2</w:t>
            </w:r>
          </w:p>
        </w:tc>
        <w:tc>
          <w:tcPr>
            <w:tcW w:w="402" w:type="dxa"/>
          </w:tcPr>
          <w:p w14:paraId="61732269"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18FC0172" w14:textId="77777777" w:rsidR="0087601C" w:rsidRPr="006A1EC7" w:rsidRDefault="0087601C" w:rsidP="00D56051">
            <w:pPr>
              <w:rPr>
                <w:sz w:val="13"/>
                <w:szCs w:val="13"/>
              </w:rPr>
            </w:pPr>
            <w:r w:rsidRPr="006A1EC7">
              <w:rPr>
                <w:sz w:val="13"/>
                <w:szCs w:val="13"/>
              </w:rPr>
              <w:t>2</w:t>
            </w:r>
          </w:p>
        </w:tc>
        <w:tc>
          <w:tcPr>
            <w:tcW w:w="476" w:type="dxa"/>
            <w:shd w:val="clear" w:color="auto" w:fill="FFFF00"/>
          </w:tcPr>
          <w:p w14:paraId="16D02A17" w14:textId="77777777" w:rsidR="0087601C" w:rsidRPr="006A1EC7" w:rsidRDefault="0087601C" w:rsidP="00D56051">
            <w:pPr>
              <w:rPr>
                <w:sz w:val="13"/>
                <w:szCs w:val="13"/>
              </w:rPr>
            </w:pPr>
            <w:r w:rsidRPr="006A1EC7">
              <w:rPr>
                <w:sz w:val="13"/>
                <w:szCs w:val="13"/>
              </w:rPr>
              <w:t>1</w:t>
            </w:r>
          </w:p>
        </w:tc>
        <w:tc>
          <w:tcPr>
            <w:tcW w:w="402" w:type="dxa"/>
          </w:tcPr>
          <w:p w14:paraId="4AEB6642"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3BECAC4" w14:textId="77777777" w:rsidR="0087601C" w:rsidRPr="006A1EC7" w:rsidRDefault="0087601C" w:rsidP="00D56051">
            <w:pPr>
              <w:rPr>
                <w:sz w:val="13"/>
                <w:szCs w:val="13"/>
              </w:rPr>
            </w:pPr>
            <w:r w:rsidRPr="006A1EC7">
              <w:rPr>
                <w:sz w:val="13"/>
                <w:szCs w:val="13"/>
              </w:rPr>
              <w:t>2</w:t>
            </w:r>
          </w:p>
        </w:tc>
        <w:tc>
          <w:tcPr>
            <w:tcW w:w="476" w:type="dxa"/>
            <w:shd w:val="clear" w:color="auto" w:fill="FFFF00"/>
          </w:tcPr>
          <w:p w14:paraId="0975A469" w14:textId="77777777" w:rsidR="0087601C" w:rsidRPr="006A1EC7" w:rsidRDefault="0087601C" w:rsidP="00D56051">
            <w:pPr>
              <w:rPr>
                <w:sz w:val="13"/>
                <w:szCs w:val="13"/>
              </w:rPr>
            </w:pPr>
            <w:r w:rsidRPr="006A1EC7">
              <w:rPr>
                <w:sz w:val="13"/>
                <w:szCs w:val="13"/>
              </w:rPr>
              <w:t>2</w:t>
            </w:r>
          </w:p>
        </w:tc>
        <w:tc>
          <w:tcPr>
            <w:tcW w:w="402" w:type="dxa"/>
          </w:tcPr>
          <w:p w14:paraId="01311682"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53391BD8"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50EE0429" w14:textId="77777777" w:rsidR="0087601C" w:rsidRPr="006A1EC7" w:rsidRDefault="0087601C" w:rsidP="00D56051">
            <w:pPr>
              <w:rPr>
                <w:sz w:val="13"/>
                <w:szCs w:val="13"/>
              </w:rPr>
            </w:pPr>
            <w:r w:rsidRPr="006A1EC7">
              <w:rPr>
                <w:sz w:val="13"/>
                <w:szCs w:val="13"/>
              </w:rPr>
              <w:t>2</w:t>
            </w:r>
          </w:p>
        </w:tc>
        <w:tc>
          <w:tcPr>
            <w:tcW w:w="402" w:type="dxa"/>
          </w:tcPr>
          <w:p w14:paraId="5622844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53909B6"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783638E5" w14:textId="77777777" w:rsidR="0087601C" w:rsidRPr="006A1EC7" w:rsidRDefault="0087601C" w:rsidP="00D56051">
            <w:pPr>
              <w:rPr>
                <w:sz w:val="13"/>
                <w:szCs w:val="13"/>
              </w:rPr>
            </w:pPr>
            <w:r w:rsidRPr="006A1EC7">
              <w:rPr>
                <w:sz w:val="13"/>
                <w:szCs w:val="13"/>
              </w:rPr>
              <w:t>2</w:t>
            </w:r>
          </w:p>
        </w:tc>
        <w:tc>
          <w:tcPr>
            <w:tcW w:w="402" w:type="dxa"/>
          </w:tcPr>
          <w:p w14:paraId="5331A8B8"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33227AAE" w14:textId="77777777" w:rsidR="0087601C" w:rsidRPr="006A1EC7" w:rsidRDefault="0087601C" w:rsidP="00D56051">
            <w:pPr>
              <w:rPr>
                <w:sz w:val="13"/>
                <w:szCs w:val="13"/>
              </w:rPr>
            </w:pPr>
            <w:r w:rsidRPr="006A1EC7">
              <w:rPr>
                <w:sz w:val="13"/>
                <w:szCs w:val="13"/>
              </w:rPr>
              <w:t>2</w:t>
            </w:r>
          </w:p>
        </w:tc>
        <w:tc>
          <w:tcPr>
            <w:tcW w:w="460" w:type="dxa"/>
            <w:shd w:val="clear" w:color="auto" w:fill="FFFF00"/>
          </w:tcPr>
          <w:p w14:paraId="4CC924E6" w14:textId="77777777" w:rsidR="0087601C" w:rsidRPr="006A1EC7" w:rsidRDefault="0087601C" w:rsidP="00D56051">
            <w:pPr>
              <w:rPr>
                <w:sz w:val="13"/>
                <w:szCs w:val="13"/>
              </w:rPr>
            </w:pPr>
            <w:r w:rsidRPr="006A1EC7">
              <w:rPr>
                <w:sz w:val="13"/>
                <w:szCs w:val="13"/>
              </w:rPr>
              <w:t>1</w:t>
            </w:r>
          </w:p>
        </w:tc>
        <w:tc>
          <w:tcPr>
            <w:tcW w:w="402" w:type="dxa"/>
            <w:shd w:val="clear" w:color="auto" w:fill="auto"/>
          </w:tcPr>
          <w:p w14:paraId="5B997487" w14:textId="77777777" w:rsidR="0087601C" w:rsidRPr="006A1EC7" w:rsidRDefault="0087601C" w:rsidP="00D56051">
            <w:pPr>
              <w:rPr>
                <w:sz w:val="13"/>
                <w:szCs w:val="13"/>
              </w:rPr>
            </w:pPr>
            <w:r w:rsidRPr="006A1EC7">
              <w:rPr>
                <w:sz w:val="13"/>
                <w:szCs w:val="13"/>
              </w:rPr>
              <w:t>0</w:t>
            </w:r>
          </w:p>
        </w:tc>
        <w:tc>
          <w:tcPr>
            <w:tcW w:w="552" w:type="dxa"/>
          </w:tcPr>
          <w:p w14:paraId="29184B3E" w14:textId="77777777" w:rsidR="0087601C" w:rsidRPr="006A1EC7" w:rsidRDefault="0087601C" w:rsidP="00D56051">
            <w:pPr>
              <w:rPr>
                <w:sz w:val="13"/>
                <w:szCs w:val="13"/>
              </w:rPr>
            </w:pPr>
            <w:r w:rsidRPr="006A1EC7">
              <w:rPr>
                <w:sz w:val="13"/>
                <w:szCs w:val="13"/>
              </w:rPr>
              <w:t>6/9</w:t>
            </w:r>
          </w:p>
        </w:tc>
        <w:tc>
          <w:tcPr>
            <w:tcW w:w="530" w:type="dxa"/>
          </w:tcPr>
          <w:p w14:paraId="240B4817" w14:textId="77777777" w:rsidR="0087601C" w:rsidRPr="006A1EC7" w:rsidRDefault="0087601C" w:rsidP="00D56051">
            <w:pPr>
              <w:rPr>
                <w:sz w:val="13"/>
                <w:szCs w:val="13"/>
              </w:rPr>
            </w:pPr>
            <w:r w:rsidRPr="006A1EC7">
              <w:rPr>
                <w:sz w:val="13"/>
                <w:szCs w:val="13"/>
              </w:rPr>
              <w:t>67%</w:t>
            </w:r>
          </w:p>
        </w:tc>
      </w:tr>
      <w:tr w:rsidR="00744A8E" w:rsidRPr="006A1EC7" w14:paraId="3BA4F5D2" w14:textId="77777777" w:rsidTr="00D56051">
        <w:tc>
          <w:tcPr>
            <w:tcW w:w="636" w:type="dxa"/>
          </w:tcPr>
          <w:p w14:paraId="3265A9B1" w14:textId="77777777" w:rsidR="0087601C" w:rsidRPr="006A1EC7" w:rsidRDefault="0087601C" w:rsidP="00D56051">
            <w:pPr>
              <w:rPr>
                <w:sz w:val="13"/>
                <w:szCs w:val="13"/>
              </w:rPr>
            </w:pPr>
            <w:r w:rsidRPr="006A1EC7">
              <w:rPr>
                <w:sz w:val="13"/>
                <w:szCs w:val="13"/>
              </w:rPr>
              <w:t>TTL</w:t>
            </w:r>
          </w:p>
        </w:tc>
        <w:tc>
          <w:tcPr>
            <w:tcW w:w="474" w:type="dxa"/>
            <w:shd w:val="clear" w:color="auto" w:fill="FFFF00"/>
          </w:tcPr>
          <w:p w14:paraId="012BCA9D" w14:textId="77777777" w:rsidR="0087601C" w:rsidRPr="006A1EC7" w:rsidRDefault="0087601C" w:rsidP="00D56051">
            <w:pPr>
              <w:rPr>
                <w:sz w:val="13"/>
                <w:szCs w:val="13"/>
              </w:rPr>
            </w:pPr>
            <w:r w:rsidRPr="006A1EC7">
              <w:rPr>
                <w:sz w:val="13"/>
                <w:szCs w:val="13"/>
              </w:rPr>
              <w:t>60</w:t>
            </w:r>
          </w:p>
        </w:tc>
        <w:tc>
          <w:tcPr>
            <w:tcW w:w="474" w:type="dxa"/>
            <w:shd w:val="clear" w:color="auto" w:fill="FFFF00"/>
          </w:tcPr>
          <w:p w14:paraId="08089E50" w14:textId="77777777" w:rsidR="0087601C" w:rsidRPr="006A1EC7" w:rsidRDefault="0087601C" w:rsidP="00D56051">
            <w:pPr>
              <w:rPr>
                <w:sz w:val="13"/>
                <w:szCs w:val="13"/>
              </w:rPr>
            </w:pPr>
            <w:r w:rsidRPr="006A1EC7">
              <w:rPr>
                <w:sz w:val="13"/>
                <w:szCs w:val="13"/>
              </w:rPr>
              <w:t>61</w:t>
            </w:r>
          </w:p>
        </w:tc>
        <w:tc>
          <w:tcPr>
            <w:tcW w:w="467" w:type="dxa"/>
          </w:tcPr>
          <w:p w14:paraId="4DAE1C29" w14:textId="77777777" w:rsidR="0087601C" w:rsidRPr="006A1EC7" w:rsidRDefault="0087601C" w:rsidP="00D56051">
            <w:pPr>
              <w:rPr>
                <w:sz w:val="13"/>
                <w:szCs w:val="13"/>
              </w:rPr>
            </w:pPr>
            <w:r w:rsidRPr="006A1EC7">
              <w:rPr>
                <w:sz w:val="13"/>
                <w:szCs w:val="13"/>
              </w:rPr>
              <w:t>0</w:t>
            </w:r>
          </w:p>
        </w:tc>
        <w:tc>
          <w:tcPr>
            <w:tcW w:w="475" w:type="dxa"/>
            <w:shd w:val="clear" w:color="auto" w:fill="FFFF00"/>
          </w:tcPr>
          <w:p w14:paraId="2B7B1F9C" w14:textId="77777777" w:rsidR="0087601C" w:rsidRPr="006A1EC7" w:rsidRDefault="0087601C" w:rsidP="00D56051">
            <w:pPr>
              <w:rPr>
                <w:sz w:val="13"/>
                <w:szCs w:val="13"/>
              </w:rPr>
            </w:pPr>
            <w:r w:rsidRPr="006A1EC7">
              <w:rPr>
                <w:sz w:val="13"/>
                <w:szCs w:val="13"/>
              </w:rPr>
              <w:t>60</w:t>
            </w:r>
          </w:p>
        </w:tc>
        <w:tc>
          <w:tcPr>
            <w:tcW w:w="475" w:type="dxa"/>
            <w:shd w:val="clear" w:color="auto" w:fill="FFFF00"/>
          </w:tcPr>
          <w:p w14:paraId="2D786336" w14:textId="77777777" w:rsidR="0087601C" w:rsidRPr="006A1EC7" w:rsidRDefault="0087601C" w:rsidP="00D56051">
            <w:pPr>
              <w:rPr>
                <w:sz w:val="13"/>
                <w:szCs w:val="13"/>
              </w:rPr>
            </w:pPr>
            <w:r w:rsidRPr="006A1EC7">
              <w:rPr>
                <w:sz w:val="13"/>
                <w:szCs w:val="13"/>
              </w:rPr>
              <w:t>59</w:t>
            </w:r>
          </w:p>
        </w:tc>
        <w:tc>
          <w:tcPr>
            <w:tcW w:w="450" w:type="dxa"/>
          </w:tcPr>
          <w:p w14:paraId="7E82E9A7"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7F4AA01A" w14:textId="77777777" w:rsidR="0087601C" w:rsidRPr="006A1EC7" w:rsidRDefault="0087601C" w:rsidP="00D56051">
            <w:pPr>
              <w:rPr>
                <w:sz w:val="13"/>
                <w:szCs w:val="13"/>
              </w:rPr>
            </w:pPr>
            <w:r w:rsidRPr="006A1EC7">
              <w:rPr>
                <w:sz w:val="13"/>
                <w:szCs w:val="13"/>
              </w:rPr>
              <w:t>59</w:t>
            </w:r>
          </w:p>
        </w:tc>
        <w:tc>
          <w:tcPr>
            <w:tcW w:w="460" w:type="dxa"/>
            <w:shd w:val="clear" w:color="auto" w:fill="FFFF00"/>
          </w:tcPr>
          <w:p w14:paraId="6CED1023" w14:textId="77777777" w:rsidR="0087601C" w:rsidRPr="006A1EC7" w:rsidRDefault="0087601C" w:rsidP="00D56051">
            <w:pPr>
              <w:rPr>
                <w:sz w:val="13"/>
                <w:szCs w:val="13"/>
              </w:rPr>
            </w:pPr>
            <w:r w:rsidRPr="006A1EC7">
              <w:rPr>
                <w:sz w:val="13"/>
                <w:szCs w:val="13"/>
              </w:rPr>
              <w:t>57</w:t>
            </w:r>
          </w:p>
        </w:tc>
        <w:tc>
          <w:tcPr>
            <w:tcW w:w="402" w:type="dxa"/>
            <w:shd w:val="clear" w:color="auto" w:fill="auto"/>
          </w:tcPr>
          <w:p w14:paraId="5D90F0F2"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1C7852DA" w14:textId="77777777" w:rsidR="0087601C" w:rsidRPr="006A1EC7" w:rsidRDefault="0087601C" w:rsidP="00D56051">
            <w:pPr>
              <w:rPr>
                <w:sz w:val="13"/>
                <w:szCs w:val="13"/>
              </w:rPr>
            </w:pPr>
            <w:r w:rsidRPr="006A1EC7">
              <w:rPr>
                <w:sz w:val="13"/>
                <w:szCs w:val="13"/>
              </w:rPr>
              <w:t>57</w:t>
            </w:r>
          </w:p>
        </w:tc>
        <w:tc>
          <w:tcPr>
            <w:tcW w:w="476" w:type="dxa"/>
            <w:shd w:val="clear" w:color="auto" w:fill="FFFF00"/>
          </w:tcPr>
          <w:p w14:paraId="4F0F2DFE" w14:textId="77777777" w:rsidR="0087601C" w:rsidRPr="006A1EC7" w:rsidRDefault="0087601C" w:rsidP="00D56051">
            <w:pPr>
              <w:rPr>
                <w:sz w:val="13"/>
                <w:szCs w:val="13"/>
              </w:rPr>
            </w:pPr>
            <w:r w:rsidRPr="006A1EC7">
              <w:rPr>
                <w:sz w:val="13"/>
                <w:szCs w:val="13"/>
              </w:rPr>
              <w:t>57</w:t>
            </w:r>
          </w:p>
        </w:tc>
        <w:tc>
          <w:tcPr>
            <w:tcW w:w="402" w:type="dxa"/>
          </w:tcPr>
          <w:p w14:paraId="146436FA"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639DD628" w14:textId="77777777" w:rsidR="0087601C" w:rsidRPr="006A1EC7" w:rsidRDefault="0087601C" w:rsidP="00D56051">
            <w:pPr>
              <w:rPr>
                <w:sz w:val="13"/>
                <w:szCs w:val="13"/>
              </w:rPr>
            </w:pPr>
            <w:r w:rsidRPr="006A1EC7">
              <w:rPr>
                <w:sz w:val="13"/>
                <w:szCs w:val="13"/>
              </w:rPr>
              <w:t>57</w:t>
            </w:r>
          </w:p>
        </w:tc>
        <w:tc>
          <w:tcPr>
            <w:tcW w:w="476" w:type="dxa"/>
            <w:shd w:val="clear" w:color="auto" w:fill="FFFF00"/>
          </w:tcPr>
          <w:p w14:paraId="392DA55B" w14:textId="77777777" w:rsidR="0087601C" w:rsidRPr="006A1EC7" w:rsidRDefault="0087601C" w:rsidP="00D56051">
            <w:pPr>
              <w:rPr>
                <w:sz w:val="13"/>
                <w:szCs w:val="13"/>
              </w:rPr>
            </w:pPr>
            <w:r w:rsidRPr="006A1EC7">
              <w:rPr>
                <w:sz w:val="13"/>
                <w:szCs w:val="13"/>
              </w:rPr>
              <w:t>59</w:t>
            </w:r>
          </w:p>
        </w:tc>
        <w:tc>
          <w:tcPr>
            <w:tcW w:w="402" w:type="dxa"/>
          </w:tcPr>
          <w:p w14:paraId="272D7252"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15877A99" w14:textId="77777777" w:rsidR="0087601C" w:rsidRPr="006A1EC7" w:rsidRDefault="0087601C" w:rsidP="00D56051">
            <w:pPr>
              <w:rPr>
                <w:sz w:val="13"/>
                <w:szCs w:val="13"/>
              </w:rPr>
            </w:pPr>
            <w:r w:rsidRPr="006A1EC7">
              <w:rPr>
                <w:sz w:val="13"/>
                <w:szCs w:val="13"/>
              </w:rPr>
              <w:t>56</w:t>
            </w:r>
          </w:p>
        </w:tc>
        <w:tc>
          <w:tcPr>
            <w:tcW w:w="476" w:type="dxa"/>
            <w:shd w:val="clear" w:color="auto" w:fill="FFFF00"/>
          </w:tcPr>
          <w:p w14:paraId="09770C03" w14:textId="77777777" w:rsidR="0087601C" w:rsidRPr="006A1EC7" w:rsidRDefault="0087601C" w:rsidP="00D56051">
            <w:pPr>
              <w:rPr>
                <w:sz w:val="13"/>
                <w:szCs w:val="13"/>
              </w:rPr>
            </w:pPr>
            <w:r w:rsidRPr="006A1EC7">
              <w:rPr>
                <w:sz w:val="13"/>
                <w:szCs w:val="13"/>
              </w:rPr>
              <w:t>60</w:t>
            </w:r>
          </w:p>
        </w:tc>
        <w:tc>
          <w:tcPr>
            <w:tcW w:w="402" w:type="dxa"/>
          </w:tcPr>
          <w:p w14:paraId="37148D0E"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2A74343E" w14:textId="77777777" w:rsidR="0087601C" w:rsidRPr="006A1EC7" w:rsidRDefault="0087601C" w:rsidP="00D56051">
            <w:pPr>
              <w:rPr>
                <w:sz w:val="13"/>
                <w:szCs w:val="13"/>
              </w:rPr>
            </w:pPr>
            <w:r w:rsidRPr="006A1EC7">
              <w:rPr>
                <w:sz w:val="13"/>
                <w:szCs w:val="13"/>
              </w:rPr>
              <w:t>61</w:t>
            </w:r>
          </w:p>
        </w:tc>
        <w:tc>
          <w:tcPr>
            <w:tcW w:w="477" w:type="dxa"/>
            <w:shd w:val="clear" w:color="auto" w:fill="FFFF00"/>
          </w:tcPr>
          <w:p w14:paraId="4705066A" w14:textId="77777777" w:rsidR="0087601C" w:rsidRPr="006A1EC7" w:rsidRDefault="0087601C" w:rsidP="00D56051">
            <w:pPr>
              <w:rPr>
                <w:sz w:val="13"/>
                <w:szCs w:val="13"/>
              </w:rPr>
            </w:pPr>
            <w:r w:rsidRPr="006A1EC7">
              <w:rPr>
                <w:sz w:val="13"/>
                <w:szCs w:val="13"/>
              </w:rPr>
              <w:t>56</w:t>
            </w:r>
          </w:p>
        </w:tc>
        <w:tc>
          <w:tcPr>
            <w:tcW w:w="402" w:type="dxa"/>
          </w:tcPr>
          <w:p w14:paraId="26D3ECD2"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B3105BD" w14:textId="77777777" w:rsidR="0087601C" w:rsidRPr="006A1EC7" w:rsidRDefault="0087601C" w:rsidP="00D56051">
            <w:pPr>
              <w:rPr>
                <w:sz w:val="13"/>
                <w:szCs w:val="13"/>
              </w:rPr>
            </w:pPr>
            <w:r w:rsidRPr="006A1EC7">
              <w:rPr>
                <w:sz w:val="13"/>
                <w:szCs w:val="13"/>
              </w:rPr>
              <w:t>64</w:t>
            </w:r>
          </w:p>
        </w:tc>
        <w:tc>
          <w:tcPr>
            <w:tcW w:w="477" w:type="dxa"/>
            <w:shd w:val="clear" w:color="auto" w:fill="FFFF00"/>
          </w:tcPr>
          <w:p w14:paraId="12B5E826" w14:textId="77777777" w:rsidR="0087601C" w:rsidRPr="006A1EC7" w:rsidRDefault="0087601C" w:rsidP="00D56051">
            <w:pPr>
              <w:rPr>
                <w:sz w:val="13"/>
                <w:szCs w:val="13"/>
              </w:rPr>
            </w:pPr>
            <w:r w:rsidRPr="006A1EC7">
              <w:rPr>
                <w:sz w:val="13"/>
                <w:szCs w:val="13"/>
              </w:rPr>
              <w:t>60</w:t>
            </w:r>
          </w:p>
        </w:tc>
        <w:tc>
          <w:tcPr>
            <w:tcW w:w="402" w:type="dxa"/>
          </w:tcPr>
          <w:p w14:paraId="6797AE07"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40FC3389" w14:textId="77777777" w:rsidR="0087601C" w:rsidRPr="006A1EC7" w:rsidRDefault="0087601C" w:rsidP="00D56051">
            <w:pPr>
              <w:rPr>
                <w:sz w:val="13"/>
                <w:szCs w:val="13"/>
              </w:rPr>
            </w:pPr>
            <w:r w:rsidRPr="006A1EC7">
              <w:rPr>
                <w:sz w:val="13"/>
                <w:szCs w:val="13"/>
              </w:rPr>
              <w:t>56</w:t>
            </w:r>
          </w:p>
        </w:tc>
        <w:tc>
          <w:tcPr>
            <w:tcW w:w="460" w:type="dxa"/>
            <w:shd w:val="clear" w:color="auto" w:fill="FFFF00"/>
          </w:tcPr>
          <w:p w14:paraId="2651E550" w14:textId="77777777" w:rsidR="0087601C" w:rsidRPr="006A1EC7" w:rsidRDefault="0087601C" w:rsidP="00D56051">
            <w:pPr>
              <w:rPr>
                <w:sz w:val="13"/>
                <w:szCs w:val="13"/>
              </w:rPr>
            </w:pPr>
            <w:r w:rsidRPr="006A1EC7">
              <w:rPr>
                <w:sz w:val="13"/>
                <w:szCs w:val="13"/>
              </w:rPr>
              <w:t>60</w:t>
            </w:r>
          </w:p>
        </w:tc>
        <w:tc>
          <w:tcPr>
            <w:tcW w:w="402" w:type="dxa"/>
            <w:shd w:val="clear" w:color="auto" w:fill="auto"/>
          </w:tcPr>
          <w:p w14:paraId="2ED70009" w14:textId="77777777" w:rsidR="0087601C" w:rsidRPr="006A1EC7" w:rsidRDefault="0087601C" w:rsidP="00D56051">
            <w:pPr>
              <w:rPr>
                <w:sz w:val="13"/>
                <w:szCs w:val="13"/>
              </w:rPr>
            </w:pPr>
            <w:r w:rsidRPr="006A1EC7">
              <w:rPr>
                <w:sz w:val="13"/>
                <w:szCs w:val="13"/>
              </w:rPr>
              <w:t>0</w:t>
            </w:r>
          </w:p>
        </w:tc>
        <w:tc>
          <w:tcPr>
            <w:tcW w:w="552" w:type="dxa"/>
          </w:tcPr>
          <w:p w14:paraId="0929282C" w14:textId="77777777" w:rsidR="0087601C" w:rsidRPr="006A1EC7" w:rsidRDefault="0087601C" w:rsidP="00D56051">
            <w:pPr>
              <w:rPr>
                <w:sz w:val="13"/>
                <w:szCs w:val="13"/>
              </w:rPr>
            </w:pPr>
            <w:r w:rsidRPr="006A1EC7">
              <w:rPr>
                <w:sz w:val="13"/>
                <w:szCs w:val="13"/>
              </w:rPr>
              <w:t>1/9</w:t>
            </w:r>
          </w:p>
        </w:tc>
        <w:tc>
          <w:tcPr>
            <w:tcW w:w="530" w:type="dxa"/>
          </w:tcPr>
          <w:p w14:paraId="0AF6DDBB" w14:textId="77777777" w:rsidR="0087601C" w:rsidRPr="006A1EC7" w:rsidRDefault="0087601C" w:rsidP="00D56051">
            <w:pPr>
              <w:rPr>
                <w:sz w:val="13"/>
                <w:szCs w:val="13"/>
              </w:rPr>
            </w:pPr>
            <w:r w:rsidRPr="006A1EC7">
              <w:rPr>
                <w:sz w:val="13"/>
                <w:szCs w:val="13"/>
              </w:rPr>
              <w:t>11%</w:t>
            </w:r>
          </w:p>
        </w:tc>
      </w:tr>
      <w:tr w:rsidR="00744A8E" w:rsidRPr="006A1EC7" w14:paraId="684D9E9F" w14:textId="77777777" w:rsidTr="00D56051">
        <w:tc>
          <w:tcPr>
            <w:tcW w:w="636" w:type="dxa"/>
          </w:tcPr>
          <w:p w14:paraId="42775D8B" w14:textId="77777777" w:rsidR="0087601C" w:rsidRPr="006A1EC7" w:rsidRDefault="0087601C" w:rsidP="00D56051">
            <w:pPr>
              <w:rPr>
                <w:sz w:val="13"/>
                <w:szCs w:val="13"/>
              </w:rPr>
            </w:pPr>
            <w:r w:rsidRPr="006A1EC7">
              <w:rPr>
                <w:sz w:val="13"/>
                <w:szCs w:val="13"/>
              </w:rPr>
              <w:t>Percent agreement between Time 1 and Time 2 (%), total</w:t>
            </w:r>
          </w:p>
        </w:tc>
        <w:tc>
          <w:tcPr>
            <w:tcW w:w="474" w:type="dxa"/>
            <w:shd w:val="clear" w:color="auto" w:fill="FFFF00"/>
          </w:tcPr>
          <w:p w14:paraId="784C78AE" w14:textId="77777777" w:rsidR="0087601C" w:rsidRPr="006A1EC7" w:rsidRDefault="0087601C" w:rsidP="00D56051">
            <w:pPr>
              <w:rPr>
                <w:sz w:val="13"/>
                <w:szCs w:val="13"/>
              </w:rPr>
            </w:pPr>
          </w:p>
        </w:tc>
        <w:tc>
          <w:tcPr>
            <w:tcW w:w="474" w:type="dxa"/>
            <w:shd w:val="clear" w:color="auto" w:fill="FFFF00"/>
          </w:tcPr>
          <w:p w14:paraId="28BEAD97" w14:textId="77777777" w:rsidR="0087601C" w:rsidRPr="006A1EC7" w:rsidRDefault="0087601C" w:rsidP="00D56051">
            <w:pPr>
              <w:rPr>
                <w:sz w:val="13"/>
                <w:szCs w:val="13"/>
              </w:rPr>
            </w:pPr>
          </w:p>
        </w:tc>
        <w:tc>
          <w:tcPr>
            <w:tcW w:w="467" w:type="dxa"/>
          </w:tcPr>
          <w:p w14:paraId="36162F6E" w14:textId="77777777" w:rsidR="0087601C" w:rsidRPr="006A1EC7" w:rsidRDefault="0087601C" w:rsidP="00D56051">
            <w:pPr>
              <w:rPr>
                <w:sz w:val="13"/>
                <w:szCs w:val="13"/>
              </w:rPr>
            </w:pPr>
            <w:r w:rsidRPr="006A1EC7">
              <w:rPr>
                <w:sz w:val="13"/>
                <w:szCs w:val="13"/>
              </w:rPr>
              <w:t>80</w:t>
            </w:r>
          </w:p>
        </w:tc>
        <w:tc>
          <w:tcPr>
            <w:tcW w:w="475" w:type="dxa"/>
            <w:shd w:val="clear" w:color="auto" w:fill="FFFF00"/>
          </w:tcPr>
          <w:p w14:paraId="0C2663EF" w14:textId="77777777" w:rsidR="0087601C" w:rsidRPr="006A1EC7" w:rsidRDefault="0087601C" w:rsidP="00D56051">
            <w:pPr>
              <w:rPr>
                <w:sz w:val="13"/>
                <w:szCs w:val="13"/>
              </w:rPr>
            </w:pPr>
          </w:p>
        </w:tc>
        <w:tc>
          <w:tcPr>
            <w:tcW w:w="475" w:type="dxa"/>
            <w:shd w:val="clear" w:color="auto" w:fill="FFFF00"/>
          </w:tcPr>
          <w:p w14:paraId="37D47A8D" w14:textId="77777777" w:rsidR="0087601C" w:rsidRPr="006A1EC7" w:rsidRDefault="0087601C" w:rsidP="00D56051">
            <w:pPr>
              <w:rPr>
                <w:sz w:val="13"/>
                <w:szCs w:val="13"/>
              </w:rPr>
            </w:pPr>
          </w:p>
        </w:tc>
        <w:tc>
          <w:tcPr>
            <w:tcW w:w="450" w:type="dxa"/>
          </w:tcPr>
          <w:p w14:paraId="6D6E4BEF" w14:textId="77777777" w:rsidR="0087601C" w:rsidRPr="006A1EC7" w:rsidRDefault="0087601C" w:rsidP="00D56051">
            <w:pPr>
              <w:rPr>
                <w:sz w:val="13"/>
                <w:szCs w:val="13"/>
              </w:rPr>
            </w:pPr>
            <w:r w:rsidRPr="006A1EC7">
              <w:rPr>
                <w:sz w:val="13"/>
                <w:szCs w:val="13"/>
              </w:rPr>
              <w:t>60</w:t>
            </w:r>
          </w:p>
        </w:tc>
        <w:tc>
          <w:tcPr>
            <w:tcW w:w="476" w:type="dxa"/>
            <w:shd w:val="clear" w:color="auto" w:fill="FFFF00"/>
          </w:tcPr>
          <w:p w14:paraId="3B64126D" w14:textId="77777777" w:rsidR="0087601C" w:rsidRPr="006A1EC7" w:rsidRDefault="0087601C" w:rsidP="00D56051">
            <w:pPr>
              <w:rPr>
                <w:sz w:val="13"/>
                <w:szCs w:val="13"/>
              </w:rPr>
            </w:pPr>
          </w:p>
        </w:tc>
        <w:tc>
          <w:tcPr>
            <w:tcW w:w="460" w:type="dxa"/>
            <w:shd w:val="clear" w:color="auto" w:fill="FFFF00"/>
          </w:tcPr>
          <w:p w14:paraId="0923AA28" w14:textId="77777777" w:rsidR="0087601C" w:rsidRPr="006A1EC7" w:rsidRDefault="0087601C" w:rsidP="00D56051">
            <w:pPr>
              <w:rPr>
                <w:sz w:val="13"/>
                <w:szCs w:val="13"/>
              </w:rPr>
            </w:pPr>
          </w:p>
        </w:tc>
        <w:tc>
          <w:tcPr>
            <w:tcW w:w="402" w:type="dxa"/>
            <w:shd w:val="clear" w:color="auto" w:fill="auto"/>
          </w:tcPr>
          <w:p w14:paraId="384369BE" w14:textId="77777777" w:rsidR="0087601C" w:rsidRPr="006A1EC7" w:rsidRDefault="0087601C" w:rsidP="00D56051">
            <w:pPr>
              <w:rPr>
                <w:sz w:val="13"/>
                <w:szCs w:val="13"/>
              </w:rPr>
            </w:pPr>
            <w:r w:rsidRPr="006A1EC7">
              <w:rPr>
                <w:sz w:val="13"/>
                <w:szCs w:val="13"/>
              </w:rPr>
              <w:t>80</w:t>
            </w:r>
          </w:p>
        </w:tc>
        <w:tc>
          <w:tcPr>
            <w:tcW w:w="460" w:type="dxa"/>
            <w:shd w:val="clear" w:color="auto" w:fill="FFFF00"/>
          </w:tcPr>
          <w:p w14:paraId="0D3C741F" w14:textId="77777777" w:rsidR="0087601C" w:rsidRPr="006A1EC7" w:rsidRDefault="0087601C" w:rsidP="00D56051">
            <w:pPr>
              <w:rPr>
                <w:sz w:val="13"/>
                <w:szCs w:val="13"/>
              </w:rPr>
            </w:pPr>
          </w:p>
        </w:tc>
        <w:tc>
          <w:tcPr>
            <w:tcW w:w="476" w:type="dxa"/>
            <w:shd w:val="clear" w:color="auto" w:fill="FFFF00"/>
          </w:tcPr>
          <w:p w14:paraId="633F716C" w14:textId="77777777" w:rsidR="0087601C" w:rsidRPr="006A1EC7" w:rsidRDefault="0087601C" w:rsidP="00D56051">
            <w:pPr>
              <w:rPr>
                <w:sz w:val="13"/>
                <w:szCs w:val="13"/>
              </w:rPr>
            </w:pPr>
          </w:p>
        </w:tc>
        <w:tc>
          <w:tcPr>
            <w:tcW w:w="402" w:type="dxa"/>
          </w:tcPr>
          <w:p w14:paraId="13EF23DD" w14:textId="77777777" w:rsidR="0087601C" w:rsidRPr="006A1EC7" w:rsidRDefault="0087601C" w:rsidP="00D56051">
            <w:pPr>
              <w:rPr>
                <w:sz w:val="13"/>
                <w:szCs w:val="13"/>
              </w:rPr>
            </w:pPr>
            <w:r w:rsidRPr="006A1EC7">
              <w:rPr>
                <w:sz w:val="13"/>
                <w:szCs w:val="13"/>
              </w:rPr>
              <w:t>60</w:t>
            </w:r>
          </w:p>
        </w:tc>
        <w:tc>
          <w:tcPr>
            <w:tcW w:w="476" w:type="dxa"/>
            <w:shd w:val="clear" w:color="auto" w:fill="FFFF00"/>
          </w:tcPr>
          <w:p w14:paraId="583F90C7" w14:textId="77777777" w:rsidR="0087601C" w:rsidRPr="006A1EC7" w:rsidRDefault="0087601C" w:rsidP="00D56051">
            <w:pPr>
              <w:rPr>
                <w:sz w:val="13"/>
                <w:szCs w:val="13"/>
              </w:rPr>
            </w:pPr>
          </w:p>
        </w:tc>
        <w:tc>
          <w:tcPr>
            <w:tcW w:w="476" w:type="dxa"/>
            <w:shd w:val="clear" w:color="auto" w:fill="FFFF00"/>
          </w:tcPr>
          <w:p w14:paraId="19A204AD" w14:textId="77777777" w:rsidR="0087601C" w:rsidRPr="006A1EC7" w:rsidRDefault="0087601C" w:rsidP="00D56051">
            <w:pPr>
              <w:rPr>
                <w:sz w:val="13"/>
                <w:szCs w:val="13"/>
              </w:rPr>
            </w:pPr>
          </w:p>
        </w:tc>
        <w:tc>
          <w:tcPr>
            <w:tcW w:w="402" w:type="dxa"/>
          </w:tcPr>
          <w:p w14:paraId="779A2747" w14:textId="77777777" w:rsidR="0087601C" w:rsidRPr="006A1EC7" w:rsidRDefault="0087601C" w:rsidP="00D56051">
            <w:pPr>
              <w:rPr>
                <w:sz w:val="13"/>
                <w:szCs w:val="13"/>
              </w:rPr>
            </w:pPr>
            <w:r w:rsidRPr="006A1EC7">
              <w:rPr>
                <w:sz w:val="13"/>
                <w:szCs w:val="13"/>
              </w:rPr>
              <w:t>50</w:t>
            </w:r>
          </w:p>
        </w:tc>
        <w:tc>
          <w:tcPr>
            <w:tcW w:w="476" w:type="dxa"/>
            <w:shd w:val="clear" w:color="auto" w:fill="FFFF00"/>
          </w:tcPr>
          <w:p w14:paraId="6FE1C51A" w14:textId="77777777" w:rsidR="0087601C" w:rsidRPr="006A1EC7" w:rsidRDefault="0087601C" w:rsidP="00D56051">
            <w:pPr>
              <w:rPr>
                <w:sz w:val="13"/>
                <w:szCs w:val="13"/>
              </w:rPr>
            </w:pPr>
          </w:p>
        </w:tc>
        <w:tc>
          <w:tcPr>
            <w:tcW w:w="476" w:type="dxa"/>
            <w:shd w:val="clear" w:color="auto" w:fill="FFFF00"/>
          </w:tcPr>
          <w:p w14:paraId="43536F74" w14:textId="77777777" w:rsidR="0087601C" w:rsidRPr="006A1EC7" w:rsidRDefault="0087601C" w:rsidP="00D56051">
            <w:pPr>
              <w:rPr>
                <w:sz w:val="13"/>
                <w:szCs w:val="13"/>
              </w:rPr>
            </w:pPr>
          </w:p>
        </w:tc>
        <w:tc>
          <w:tcPr>
            <w:tcW w:w="402" w:type="dxa"/>
          </w:tcPr>
          <w:p w14:paraId="72E79C77" w14:textId="77777777" w:rsidR="0087601C" w:rsidRPr="006A1EC7" w:rsidRDefault="0087601C" w:rsidP="00D56051">
            <w:pPr>
              <w:rPr>
                <w:sz w:val="13"/>
                <w:szCs w:val="13"/>
              </w:rPr>
            </w:pPr>
            <w:r w:rsidRPr="006A1EC7">
              <w:rPr>
                <w:sz w:val="13"/>
                <w:szCs w:val="13"/>
              </w:rPr>
              <w:t>70</w:t>
            </w:r>
          </w:p>
        </w:tc>
        <w:tc>
          <w:tcPr>
            <w:tcW w:w="476" w:type="dxa"/>
            <w:shd w:val="clear" w:color="auto" w:fill="FFFF00"/>
          </w:tcPr>
          <w:p w14:paraId="3A6A6D94" w14:textId="77777777" w:rsidR="0087601C" w:rsidRPr="006A1EC7" w:rsidRDefault="0087601C" w:rsidP="00D56051">
            <w:pPr>
              <w:rPr>
                <w:sz w:val="13"/>
                <w:szCs w:val="13"/>
              </w:rPr>
            </w:pPr>
          </w:p>
        </w:tc>
        <w:tc>
          <w:tcPr>
            <w:tcW w:w="477" w:type="dxa"/>
            <w:shd w:val="clear" w:color="auto" w:fill="FFFF00"/>
          </w:tcPr>
          <w:p w14:paraId="1FFA936B" w14:textId="77777777" w:rsidR="0087601C" w:rsidRPr="006A1EC7" w:rsidRDefault="0087601C" w:rsidP="00D56051">
            <w:pPr>
              <w:rPr>
                <w:sz w:val="13"/>
                <w:szCs w:val="13"/>
              </w:rPr>
            </w:pPr>
          </w:p>
        </w:tc>
        <w:tc>
          <w:tcPr>
            <w:tcW w:w="402" w:type="dxa"/>
          </w:tcPr>
          <w:p w14:paraId="6AF642BD" w14:textId="77777777" w:rsidR="0087601C" w:rsidRPr="006A1EC7" w:rsidRDefault="0087601C" w:rsidP="00D56051">
            <w:pPr>
              <w:rPr>
                <w:sz w:val="13"/>
                <w:szCs w:val="13"/>
              </w:rPr>
            </w:pPr>
            <w:r w:rsidRPr="006A1EC7">
              <w:rPr>
                <w:sz w:val="13"/>
                <w:szCs w:val="13"/>
              </w:rPr>
              <w:t>70</w:t>
            </w:r>
          </w:p>
        </w:tc>
        <w:tc>
          <w:tcPr>
            <w:tcW w:w="477" w:type="dxa"/>
            <w:shd w:val="clear" w:color="auto" w:fill="FFFF00"/>
          </w:tcPr>
          <w:p w14:paraId="046B48D2" w14:textId="77777777" w:rsidR="0087601C" w:rsidRPr="006A1EC7" w:rsidRDefault="0087601C" w:rsidP="00D56051">
            <w:pPr>
              <w:rPr>
                <w:sz w:val="13"/>
                <w:szCs w:val="13"/>
              </w:rPr>
            </w:pPr>
          </w:p>
        </w:tc>
        <w:tc>
          <w:tcPr>
            <w:tcW w:w="477" w:type="dxa"/>
            <w:shd w:val="clear" w:color="auto" w:fill="FFFF00"/>
          </w:tcPr>
          <w:p w14:paraId="22D55305" w14:textId="77777777" w:rsidR="0087601C" w:rsidRPr="006A1EC7" w:rsidRDefault="0087601C" w:rsidP="00D56051">
            <w:pPr>
              <w:rPr>
                <w:sz w:val="13"/>
                <w:szCs w:val="13"/>
              </w:rPr>
            </w:pPr>
          </w:p>
        </w:tc>
        <w:tc>
          <w:tcPr>
            <w:tcW w:w="402" w:type="dxa"/>
          </w:tcPr>
          <w:p w14:paraId="6CDE992A" w14:textId="77777777" w:rsidR="0087601C" w:rsidRPr="006A1EC7" w:rsidRDefault="0087601C" w:rsidP="00D56051">
            <w:pPr>
              <w:rPr>
                <w:sz w:val="13"/>
                <w:szCs w:val="13"/>
              </w:rPr>
            </w:pPr>
            <w:r w:rsidRPr="006A1EC7">
              <w:rPr>
                <w:sz w:val="13"/>
                <w:szCs w:val="13"/>
              </w:rPr>
              <w:t>50</w:t>
            </w:r>
          </w:p>
        </w:tc>
        <w:tc>
          <w:tcPr>
            <w:tcW w:w="460" w:type="dxa"/>
            <w:shd w:val="clear" w:color="auto" w:fill="FFFF00"/>
          </w:tcPr>
          <w:p w14:paraId="32A6E2DC" w14:textId="77777777" w:rsidR="0087601C" w:rsidRPr="006A1EC7" w:rsidRDefault="0087601C" w:rsidP="00D56051">
            <w:pPr>
              <w:rPr>
                <w:sz w:val="13"/>
                <w:szCs w:val="13"/>
              </w:rPr>
            </w:pPr>
          </w:p>
        </w:tc>
        <w:tc>
          <w:tcPr>
            <w:tcW w:w="460" w:type="dxa"/>
            <w:shd w:val="clear" w:color="auto" w:fill="FFFF00"/>
          </w:tcPr>
          <w:p w14:paraId="4759DC7A" w14:textId="77777777" w:rsidR="0087601C" w:rsidRPr="006A1EC7" w:rsidRDefault="0087601C" w:rsidP="00D56051">
            <w:pPr>
              <w:rPr>
                <w:sz w:val="13"/>
                <w:szCs w:val="13"/>
              </w:rPr>
            </w:pPr>
          </w:p>
        </w:tc>
        <w:tc>
          <w:tcPr>
            <w:tcW w:w="402" w:type="dxa"/>
            <w:shd w:val="clear" w:color="auto" w:fill="auto"/>
          </w:tcPr>
          <w:p w14:paraId="5D6C03E5" w14:textId="77777777" w:rsidR="0087601C" w:rsidRPr="006A1EC7" w:rsidRDefault="0087601C" w:rsidP="00D56051">
            <w:pPr>
              <w:rPr>
                <w:sz w:val="13"/>
                <w:szCs w:val="13"/>
              </w:rPr>
            </w:pPr>
            <w:r w:rsidRPr="006A1EC7">
              <w:rPr>
                <w:sz w:val="13"/>
                <w:szCs w:val="13"/>
              </w:rPr>
              <w:t>40</w:t>
            </w:r>
          </w:p>
        </w:tc>
        <w:tc>
          <w:tcPr>
            <w:tcW w:w="552" w:type="dxa"/>
          </w:tcPr>
          <w:p w14:paraId="13DE3E49" w14:textId="77777777" w:rsidR="0087601C" w:rsidRPr="006A1EC7" w:rsidRDefault="0087601C" w:rsidP="00D56051">
            <w:pPr>
              <w:rPr>
                <w:sz w:val="13"/>
                <w:szCs w:val="13"/>
              </w:rPr>
            </w:pPr>
          </w:p>
        </w:tc>
        <w:tc>
          <w:tcPr>
            <w:tcW w:w="530" w:type="dxa"/>
          </w:tcPr>
          <w:p w14:paraId="5008450B" w14:textId="77777777" w:rsidR="0087601C" w:rsidRPr="006A1EC7" w:rsidRDefault="0087601C" w:rsidP="00D56051">
            <w:pPr>
              <w:rPr>
                <w:sz w:val="13"/>
                <w:szCs w:val="13"/>
              </w:rPr>
            </w:pPr>
          </w:p>
        </w:tc>
      </w:tr>
    </w:tbl>
    <w:p w14:paraId="04CB1B9F" w14:textId="77777777" w:rsidR="0087601C" w:rsidRPr="006A1EC7" w:rsidRDefault="0087601C" w:rsidP="0087601C">
      <w:pPr>
        <w:rPr>
          <w:sz w:val="13"/>
          <w:szCs w:val="13"/>
        </w:rPr>
      </w:pPr>
    </w:p>
    <w:p w14:paraId="7EEF5EC7" w14:textId="77777777" w:rsidR="0087601C" w:rsidRPr="006A1EC7" w:rsidRDefault="0087601C" w:rsidP="0087601C">
      <w:pPr>
        <w:rPr>
          <w:b/>
          <w:bCs/>
          <w:sz w:val="13"/>
          <w:szCs w:val="13"/>
          <w:u w:val="single"/>
        </w:rPr>
      </w:pPr>
    </w:p>
    <w:p w14:paraId="4013E517" w14:textId="77777777" w:rsidR="0087601C" w:rsidRPr="006A1EC7" w:rsidRDefault="0087601C" w:rsidP="0087601C">
      <w:pPr>
        <w:rPr>
          <w:b/>
          <w:bCs/>
          <w:sz w:val="13"/>
          <w:szCs w:val="13"/>
          <w:u w:val="single"/>
        </w:rPr>
      </w:pPr>
      <w:r w:rsidRPr="006A1EC7">
        <w:rPr>
          <w:b/>
          <w:bCs/>
          <w:sz w:val="13"/>
          <w:szCs w:val="13"/>
          <w:u w:val="single"/>
        </w:rPr>
        <w:t>VIGNETTE 2: BRONAGH</w:t>
      </w:r>
    </w:p>
    <w:p w14:paraId="5648734E" w14:textId="77777777" w:rsidR="0087601C" w:rsidRPr="006A1EC7" w:rsidRDefault="0087601C" w:rsidP="0087601C">
      <w:pPr>
        <w:rPr>
          <w:sz w:val="13"/>
          <w:szCs w:val="13"/>
        </w:rPr>
      </w:pPr>
    </w:p>
    <w:tbl>
      <w:tblPr>
        <w:tblStyle w:val="TableGrid"/>
        <w:tblW w:w="0" w:type="auto"/>
        <w:tblLook w:val="04A0" w:firstRow="1" w:lastRow="0" w:firstColumn="1" w:lastColumn="0" w:noHBand="0" w:noVBand="1"/>
      </w:tblPr>
      <w:tblGrid>
        <w:gridCol w:w="898"/>
        <w:gridCol w:w="384"/>
        <w:gridCol w:w="384"/>
        <w:gridCol w:w="374"/>
        <w:gridCol w:w="384"/>
        <w:gridCol w:w="384"/>
        <w:gridCol w:w="374"/>
        <w:gridCol w:w="384"/>
        <w:gridCol w:w="374"/>
        <w:gridCol w:w="374"/>
        <w:gridCol w:w="383"/>
        <w:gridCol w:w="383"/>
        <w:gridCol w:w="374"/>
        <w:gridCol w:w="383"/>
        <w:gridCol w:w="383"/>
        <w:gridCol w:w="374"/>
        <w:gridCol w:w="383"/>
        <w:gridCol w:w="383"/>
        <w:gridCol w:w="374"/>
        <w:gridCol w:w="383"/>
        <w:gridCol w:w="383"/>
        <w:gridCol w:w="374"/>
        <w:gridCol w:w="383"/>
        <w:gridCol w:w="383"/>
        <w:gridCol w:w="374"/>
        <w:gridCol w:w="383"/>
        <w:gridCol w:w="383"/>
        <w:gridCol w:w="374"/>
        <w:gridCol w:w="397"/>
        <w:gridCol w:w="397"/>
        <w:gridCol w:w="374"/>
        <w:gridCol w:w="586"/>
        <w:gridCol w:w="520"/>
      </w:tblGrid>
      <w:tr w:rsidR="00744A8E" w:rsidRPr="006A1EC7" w14:paraId="642AF0CC" w14:textId="77777777" w:rsidTr="00D56051">
        <w:trPr>
          <w:trHeight w:val="558"/>
        </w:trPr>
        <w:tc>
          <w:tcPr>
            <w:tcW w:w="1004" w:type="dxa"/>
          </w:tcPr>
          <w:p w14:paraId="347C49E8" w14:textId="77777777" w:rsidR="0087601C" w:rsidRPr="006A1EC7" w:rsidRDefault="0087601C" w:rsidP="00D56051">
            <w:pPr>
              <w:rPr>
                <w:sz w:val="13"/>
                <w:szCs w:val="13"/>
              </w:rPr>
            </w:pPr>
          </w:p>
        </w:tc>
        <w:tc>
          <w:tcPr>
            <w:tcW w:w="396" w:type="dxa"/>
            <w:shd w:val="clear" w:color="auto" w:fill="FFFF00"/>
          </w:tcPr>
          <w:p w14:paraId="1F2C2991" w14:textId="77777777" w:rsidR="0087601C" w:rsidRPr="006A1EC7" w:rsidRDefault="0087601C" w:rsidP="00D56051">
            <w:pPr>
              <w:rPr>
                <w:sz w:val="13"/>
                <w:szCs w:val="13"/>
              </w:rPr>
            </w:pPr>
            <w:r w:rsidRPr="006A1EC7">
              <w:rPr>
                <w:sz w:val="13"/>
                <w:szCs w:val="13"/>
              </w:rPr>
              <w:t>J1 (1)</w:t>
            </w:r>
          </w:p>
        </w:tc>
        <w:tc>
          <w:tcPr>
            <w:tcW w:w="396" w:type="dxa"/>
            <w:shd w:val="clear" w:color="auto" w:fill="FFFF00"/>
          </w:tcPr>
          <w:p w14:paraId="7C4362CF" w14:textId="77777777" w:rsidR="0087601C" w:rsidRPr="006A1EC7" w:rsidRDefault="0087601C" w:rsidP="00D56051">
            <w:pPr>
              <w:rPr>
                <w:sz w:val="13"/>
                <w:szCs w:val="13"/>
              </w:rPr>
            </w:pPr>
            <w:r w:rsidRPr="006A1EC7">
              <w:rPr>
                <w:sz w:val="13"/>
                <w:szCs w:val="13"/>
              </w:rPr>
              <w:t>J1 (2)</w:t>
            </w:r>
          </w:p>
        </w:tc>
        <w:tc>
          <w:tcPr>
            <w:tcW w:w="396" w:type="dxa"/>
          </w:tcPr>
          <w:p w14:paraId="403295D0" w14:textId="77777777" w:rsidR="0087601C" w:rsidRPr="006A1EC7" w:rsidRDefault="0087601C" w:rsidP="00D56051">
            <w:pPr>
              <w:rPr>
                <w:sz w:val="13"/>
                <w:szCs w:val="13"/>
              </w:rPr>
            </w:pPr>
          </w:p>
        </w:tc>
        <w:tc>
          <w:tcPr>
            <w:tcW w:w="396" w:type="dxa"/>
            <w:shd w:val="clear" w:color="auto" w:fill="FFFF00"/>
          </w:tcPr>
          <w:p w14:paraId="6FAA14B7" w14:textId="77777777" w:rsidR="0087601C" w:rsidRPr="006A1EC7" w:rsidRDefault="0087601C" w:rsidP="00D56051">
            <w:pPr>
              <w:rPr>
                <w:sz w:val="13"/>
                <w:szCs w:val="13"/>
              </w:rPr>
            </w:pPr>
            <w:r w:rsidRPr="006A1EC7">
              <w:rPr>
                <w:sz w:val="13"/>
                <w:szCs w:val="13"/>
              </w:rPr>
              <w:t>J2 (1)</w:t>
            </w:r>
          </w:p>
        </w:tc>
        <w:tc>
          <w:tcPr>
            <w:tcW w:w="396" w:type="dxa"/>
            <w:shd w:val="clear" w:color="auto" w:fill="FFFF00"/>
          </w:tcPr>
          <w:p w14:paraId="6AE9AD9C" w14:textId="77777777" w:rsidR="0087601C" w:rsidRPr="006A1EC7" w:rsidRDefault="0087601C" w:rsidP="00D56051">
            <w:pPr>
              <w:rPr>
                <w:sz w:val="13"/>
                <w:szCs w:val="13"/>
              </w:rPr>
            </w:pPr>
            <w:r w:rsidRPr="006A1EC7">
              <w:rPr>
                <w:sz w:val="13"/>
                <w:szCs w:val="13"/>
              </w:rPr>
              <w:t>J2 (2)</w:t>
            </w:r>
          </w:p>
        </w:tc>
        <w:tc>
          <w:tcPr>
            <w:tcW w:w="396" w:type="dxa"/>
          </w:tcPr>
          <w:p w14:paraId="21B620B3" w14:textId="77777777" w:rsidR="0087601C" w:rsidRPr="006A1EC7" w:rsidRDefault="0087601C" w:rsidP="00D56051">
            <w:pPr>
              <w:rPr>
                <w:sz w:val="13"/>
                <w:szCs w:val="13"/>
              </w:rPr>
            </w:pPr>
          </w:p>
        </w:tc>
        <w:tc>
          <w:tcPr>
            <w:tcW w:w="396" w:type="dxa"/>
            <w:shd w:val="clear" w:color="auto" w:fill="FFFF00"/>
          </w:tcPr>
          <w:p w14:paraId="63114393" w14:textId="77777777" w:rsidR="0087601C" w:rsidRPr="006A1EC7" w:rsidRDefault="0087601C" w:rsidP="00D56051">
            <w:pPr>
              <w:rPr>
                <w:sz w:val="13"/>
                <w:szCs w:val="13"/>
              </w:rPr>
            </w:pPr>
            <w:r w:rsidRPr="006A1EC7">
              <w:rPr>
                <w:sz w:val="13"/>
                <w:szCs w:val="13"/>
              </w:rPr>
              <w:t>J3 (1)</w:t>
            </w:r>
          </w:p>
        </w:tc>
        <w:tc>
          <w:tcPr>
            <w:tcW w:w="396" w:type="dxa"/>
            <w:shd w:val="clear" w:color="auto" w:fill="FFFF00"/>
          </w:tcPr>
          <w:p w14:paraId="285A425C" w14:textId="77777777" w:rsidR="0087601C" w:rsidRPr="006A1EC7" w:rsidRDefault="0087601C" w:rsidP="00D56051">
            <w:pPr>
              <w:rPr>
                <w:sz w:val="13"/>
                <w:szCs w:val="13"/>
              </w:rPr>
            </w:pPr>
            <w:r w:rsidRPr="006A1EC7">
              <w:rPr>
                <w:sz w:val="13"/>
                <w:szCs w:val="13"/>
              </w:rPr>
              <w:t>J3 2)</w:t>
            </w:r>
          </w:p>
        </w:tc>
        <w:tc>
          <w:tcPr>
            <w:tcW w:w="396" w:type="dxa"/>
            <w:shd w:val="clear" w:color="auto" w:fill="auto"/>
          </w:tcPr>
          <w:p w14:paraId="29B082BD" w14:textId="77777777" w:rsidR="0087601C" w:rsidRPr="006A1EC7" w:rsidRDefault="0087601C" w:rsidP="00D56051">
            <w:pPr>
              <w:rPr>
                <w:sz w:val="13"/>
                <w:szCs w:val="13"/>
              </w:rPr>
            </w:pPr>
          </w:p>
        </w:tc>
        <w:tc>
          <w:tcPr>
            <w:tcW w:w="395" w:type="dxa"/>
            <w:shd w:val="clear" w:color="auto" w:fill="FFFF00"/>
          </w:tcPr>
          <w:p w14:paraId="739452CA" w14:textId="77777777" w:rsidR="0087601C" w:rsidRPr="006A1EC7" w:rsidRDefault="0087601C" w:rsidP="00D56051">
            <w:pPr>
              <w:rPr>
                <w:sz w:val="13"/>
                <w:szCs w:val="13"/>
              </w:rPr>
            </w:pPr>
            <w:r w:rsidRPr="006A1EC7">
              <w:rPr>
                <w:sz w:val="13"/>
                <w:szCs w:val="13"/>
              </w:rPr>
              <w:t>J4 (1)</w:t>
            </w:r>
          </w:p>
        </w:tc>
        <w:tc>
          <w:tcPr>
            <w:tcW w:w="395" w:type="dxa"/>
            <w:shd w:val="clear" w:color="auto" w:fill="FFFF00"/>
          </w:tcPr>
          <w:p w14:paraId="1C391030" w14:textId="77777777" w:rsidR="0087601C" w:rsidRPr="006A1EC7" w:rsidRDefault="0087601C" w:rsidP="00D56051">
            <w:pPr>
              <w:rPr>
                <w:sz w:val="13"/>
                <w:szCs w:val="13"/>
              </w:rPr>
            </w:pPr>
            <w:r w:rsidRPr="006A1EC7">
              <w:rPr>
                <w:sz w:val="13"/>
                <w:szCs w:val="13"/>
              </w:rPr>
              <w:t>J4 (2)</w:t>
            </w:r>
          </w:p>
        </w:tc>
        <w:tc>
          <w:tcPr>
            <w:tcW w:w="395" w:type="dxa"/>
          </w:tcPr>
          <w:p w14:paraId="542EBE34" w14:textId="77777777" w:rsidR="0087601C" w:rsidRPr="006A1EC7" w:rsidRDefault="0087601C" w:rsidP="00D56051">
            <w:pPr>
              <w:rPr>
                <w:sz w:val="13"/>
                <w:szCs w:val="13"/>
              </w:rPr>
            </w:pPr>
          </w:p>
        </w:tc>
        <w:tc>
          <w:tcPr>
            <w:tcW w:w="395" w:type="dxa"/>
            <w:shd w:val="clear" w:color="auto" w:fill="FFFF00"/>
          </w:tcPr>
          <w:p w14:paraId="2043B6A5" w14:textId="77777777" w:rsidR="0087601C" w:rsidRPr="006A1EC7" w:rsidRDefault="0087601C" w:rsidP="00D56051">
            <w:pPr>
              <w:rPr>
                <w:sz w:val="13"/>
                <w:szCs w:val="13"/>
              </w:rPr>
            </w:pPr>
            <w:r w:rsidRPr="006A1EC7">
              <w:rPr>
                <w:sz w:val="13"/>
                <w:szCs w:val="13"/>
              </w:rPr>
              <w:t>J5 (1)</w:t>
            </w:r>
          </w:p>
        </w:tc>
        <w:tc>
          <w:tcPr>
            <w:tcW w:w="395" w:type="dxa"/>
            <w:shd w:val="clear" w:color="auto" w:fill="FFFF00"/>
          </w:tcPr>
          <w:p w14:paraId="60C2A50A" w14:textId="77777777" w:rsidR="0087601C" w:rsidRPr="006A1EC7" w:rsidRDefault="0087601C" w:rsidP="00D56051">
            <w:pPr>
              <w:rPr>
                <w:sz w:val="13"/>
                <w:szCs w:val="13"/>
              </w:rPr>
            </w:pPr>
            <w:r w:rsidRPr="006A1EC7">
              <w:rPr>
                <w:sz w:val="13"/>
                <w:szCs w:val="13"/>
              </w:rPr>
              <w:t>J5 (2)</w:t>
            </w:r>
          </w:p>
        </w:tc>
        <w:tc>
          <w:tcPr>
            <w:tcW w:w="395" w:type="dxa"/>
          </w:tcPr>
          <w:p w14:paraId="26426D51" w14:textId="77777777" w:rsidR="0087601C" w:rsidRPr="006A1EC7" w:rsidRDefault="0087601C" w:rsidP="00D56051">
            <w:pPr>
              <w:rPr>
                <w:sz w:val="13"/>
                <w:szCs w:val="13"/>
              </w:rPr>
            </w:pPr>
          </w:p>
        </w:tc>
        <w:tc>
          <w:tcPr>
            <w:tcW w:w="395" w:type="dxa"/>
            <w:shd w:val="clear" w:color="auto" w:fill="FFFF00"/>
          </w:tcPr>
          <w:p w14:paraId="5D68797E" w14:textId="77777777" w:rsidR="0087601C" w:rsidRPr="006A1EC7" w:rsidRDefault="0087601C" w:rsidP="00D56051">
            <w:pPr>
              <w:rPr>
                <w:sz w:val="13"/>
                <w:szCs w:val="13"/>
              </w:rPr>
            </w:pPr>
            <w:r w:rsidRPr="006A1EC7">
              <w:rPr>
                <w:sz w:val="13"/>
                <w:szCs w:val="13"/>
              </w:rPr>
              <w:t>J6 (1)</w:t>
            </w:r>
          </w:p>
        </w:tc>
        <w:tc>
          <w:tcPr>
            <w:tcW w:w="395" w:type="dxa"/>
            <w:shd w:val="clear" w:color="auto" w:fill="FFFF00"/>
          </w:tcPr>
          <w:p w14:paraId="0C09B20A" w14:textId="77777777" w:rsidR="0087601C" w:rsidRPr="006A1EC7" w:rsidRDefault="0087601C" w:rsidP="00D56051">
            <w:pPr>
              <w:rPr>
                <w:sz w:val="13"/>
                <w:szCs w:val="13"/>
              </w:rPr>
            </w:pPr>
            <w:r w:rsidRPr="006A1EC7">
              <w:rPr>
                <w:sz w:val="13"/>
                <w:szCs w:val="13"/>
              </w:rPr>
              <w:t>J6 (2)</w:t>
            </w:r>
          </w:p>
        </w:tc>
        <w:tc>
          <w:tcPr>
            <w:tcW w:w="395" w:type="dxa"/>
          </w:tcPr>
          <w:p w14:paraId="6AFFE63F" w14:textId="77777777" w:rsidR="0087601C" w:rsidRPr="006A1EC7" w:rsidRDefault="0087601C" w:rsidP="00D56051">
            <w:pPr>
              <w:rPr>
                <w:sz w:val="13"/>
                <w:szCs w:val="13"/>
              </w:rPr>
            </w:pPr>
          </w:p>
        </w:tc>
        <w:tc>
          <w:tcPr>
            <w:tcW w:w="395" w:type="dxa"/>
            <w:shd w:val="clear" w:color="auto" w:fill="FFFF00"/>
          </w:tcPr>
          <w:p w14:paraId="7630FD10" w14:textId="77777777" w:rsidR="0087601C" w:rsidRPr="006A1EC7" w:rsidRDefault="0087601C" w:rsidP="00D56051">
            <w:pPr>
              <w:rPr>
                <w:sz w:val="13"/>
                <w:szCs w:val="13"/>
              </w:rPr>
            </w:pPr>
            <w:r w:rsidRPr="006A1EC7">
              <w:rPr>
                <w:sz w:val="13"/>
                <w:szCs w:val="13"/>
              </w:rPr>
              <w:t>J7 (1)</w:t>
            </w:r>
          </w:p>
        </w:tc>
        <w:tc>
          <w:tcPr>
            <w:tcW w:w="395" w:type="dxa"/>
            <w:shd w:val="clear" w:color="auto" w:fill="FFFF00"/>
          </w:tcPr>
          <w:p w14:paraId="50694A85" w14:textId="77777777" w:rsidR="0087601C" w:rsidRPr="006A1EC7" w:rsidRDefault="0087601C" w:rsidP="00D56051">
            <w:pPr>
              <w:rPr>
                <w:sz w:val="13"/>
                <w:szCs w:val="13"/>
              </w:rPr>
            </w:pPr>
            <w:r w:rsidRPr="006A1EC7">
              <w:rPr>
                <w:sz w:val="13"/>
                <w:szCs w:val="13"/>
              </w:rPr>
              <w:t>J7 (2)</w:t>
            </w:r>
          </w:p>
        </w:tc>
        <w:tc>
          <w:tcPr>
            <w:tcW w:w="395" w:type="dxa"/>
          </w:tcPr>
          <w:p w14:paraId="725CA5F5" w14:textId="77777777" w:rsidR="0087601C" w:rsidRPr="006A1EC7" w:rsidRDefault="0087601C" w:rsidP="00D56051">
            <w:pPr>
              <w:rPr>
                <w:sz w:val="13"/>
                <w:szCs w:val="13"/>
              </w:rPr>
            </w:pPr>
          </w:p>
        </w:tc>
        <w:tc>
          <w:tcPr>
            <w:tcW w:w="395" w:type="dxa"/>
            <w:shd w:val="clear" w:color="auto" w:fill="FFFF00"/>
          </w:tcPr>
          <w:p w14:paraId="67579971" w14:textId="77777777" w:rsidR="0087601C" w:rsidRPr="006A1EC7" w:rsidRDefault="0087601C" w:rsidP="00D56051">
            <w:pPr>
              <w:rPr>
                <w:sz w:val="13"/>
                <w:szCs w:val="13"/>
              </w:rPr>
            </w:pPr>
            <w:r w:rsidRPr="006A1EC7">
              <w:rPr>
                <w:sz w:val="13"/>
                <w:szCs w:val="13"/>
              </w:rPr>
              <w:t>J8 (1)</w:t>
            </w:r>
          </w:p>
        </w:tc>
        <w:tc>
          <w:tcPr>
            <w:tcW w:w="395" w:type="dxa"/>
            <w:shd w:val="clear" w:color="auto" w:fill="FFFF00"/>
          </w:tcPr>
          <w:p w14:paraId="26A6848E" w14:textId="77777777" w:rsidR="0087601C" w:rsidRPr="006A1EC7" w:rsidRDefault="0087601C" w:rsidP="00D56051">
            <w:pPr>
              <w:rPr>
                <w:sz w:val="13"/>
                <w:szCs w:val="13"/>
              </w:rPr>
            </w:pPr>
            <w:r w:rsidRPr="006A1EC7">
              <w:rPr>
                <w:sz w:val="13"/>
                <w:szCs w:val="13"/>
              </w:rPr>
              <w:t>J8 (2)</w:t>
            </w:r>
          </w:p>
        </w:tc>
        <w:tc>
          <w:tcPr>
            <w:tcW w:w="395" w:type="dxa"/>
          </w:tcPr>
          <w:p w14:paraId="5D3802C4" w14:textId="77777777" w:rsidR="0087601C" w:rsidRPr="006A1EC7" w:rsidRDefault="0087601C" w:rsidP="00D56051">
            <w:pPr>
              <w:rPr>
                <w:sz w:val="13"/>
                <w:szCs w:val="13"/>
              </w:rPr>
            </w:pPr>
          </w:p>
        </w:tc>
        <w:tc>
          <w:tcPr>
            <w:tcW w:w="395" w:type="dxa"/>
            <w:shd w:val="clear" w:color="auto" w:fill="FFFF00"/>
          </w:tcPr>
          <w:p w14:paraId="48CF0879" w14:textId="77777777" w:rsidR="0087601C" w:rsidRPr="006A1EC7" w:rsidRDefault="0087601C" w:rsidP="00D56051">
            <w:pPr>
              <w:rPr>
                <w:sz w:val="13"/>
                <w:szCs w:val="13"/>
              </w:rPr>
            </w:pPr>
            <w:r w:rsidRPr="006A1EC7">
              <w:rPr>
                <w:sz w:val="13"/>
                <w:szCs w:val="13"/>
              </w:rPr>
              <w:t>J9 (1)</w:t>
            </w:r>
          </w:p>
        </w:tc>
        <w:tc>
          <w:tcPr>
            <w:tcW w:w="395" w:type="dxa"/>
            <w:shd w:val="clear" w:color="auto" w:fill="FFFF00"/>
          </w:tcPr>
          <w:p w14:paraId="4984D9AE" w14:textId="77777777" w:rsidR="0087601C" w:rsidRPr="006A1EC7" w:rsidRDefault="0087601C" w:rsidP="00D56051">
            <w:pPr>
              <w:rPr>
                <w:sz w:val="13"/>
                <w:szCs w:val="13"/>
              </w:rPr>
            </w:pPr>
            <w:r w:rsidRPr="006A1EC7">
              <w:rPr>
                <w:sz w:val="13"/>
                <w:szCs w:val="13"/>
              </w:rPr>
              <w:t>J9 (2)</w:t>
            </w:r>
          </w:p>
        </w:tc>
        <w:tc>
          <w:tcPr>
            <w:tcW w:w="395" w:type="dxa"/>
            <w:shd w:val="clear" w:color="auto" w:fill="auto"/>
          </w:tcPr>
          <w:p w14:paraId="089FCC3E" w14:textId="77777777" w:rsidR="0087601C" w:rsidRPr="006A1EC7" w:rsidRDefault="0087601C" w:rsidP="00D56051">
            <w:pPr>
              <w:rPr>
                <w:sz w:val="13"/>
                <w:szCs w:val="13"/>
              </w:rPr>
            </w:pPr>
          </w:p>
        </w:tc>
        <w:tc>
          <w:tcPr>
            <w:tcW w:w="396" w:type="dxa"/>
            <w:shd w:val="clear" w:color="auto" w:fill="FFFF00"/>
          </w:tcPr>
          <w:p w14:paraId="756B2CCE" w14:textId="77777777" w:rsidR="0087601C" w:rsidRPr="006A1EC7" w:rsidRDefault="0087601C" w:rsidP="00D56051">
            <w:pPr>
              <w:rPr>
                <w:sz w:val="13"/>
                <w:szCs w:val="13"/>
              </w:rPr>
            </w:pPr>
            <w:r w:rsidRPr="006A1EC7">
              <w:rPr>
                <w:sz w:val="13"/>
                <w:szCs w:val="13"/>
              </w:rPr>
              <w:t>J10 (1)</w:t>
            </w:r>
          </w:p>
        </w:tc>
        <w:tc>
          <w:tcPr>
            <w:tcW w:w="396" w:type="dxa"/>
            <w:shd w:val="clear" w:color="auto" w:fill="FFFF00"/>
          </w:tcPr>
          <w:p w14:paraId="2BA2C336" w14:textId="77777777" w:rsidR="0087601C" w:rsidRPr="006A1EC7" w:rsidRDefault="0087601C" w:rsidP="00D56051">
            <w:pPr>
              <w:rPr>
                <w:sz w:val="13"/>
                <w:szCs w:val="13"/>
              </w:rPr>
            </w:pPr>
            <w:r w:rsidRPr="006A1EC7">
              <w:rPr>
                <w:sz w:val="13"/>
                <w:szCs w:val="13"/>
              </w:rPr>
              <w:t>J10 (2)</w:t>
            </w:r>
          </w:p>
        </w:tc>
        <w:tc>
          <w:tcPr>
            <w:tcW w:w="395" w:type="dxa"/>
          </w:tcPr>
          <w:p w14:paraId="1E27C982" w14:textId="77777777" w:rsidR="0087601C" w:rsidRPr="006A1EC7" w:rsidRDefault="0087601C" w:rsidP="00D56051">
            <w:pPr>
              <w:rPr>
                <w:sz w:val="13"/>
                <w:szCs w:val="13"/>
              </w:rPr>
            </w:pPr>
          </w:p>
        </w:tc>
        <w:tc>
          <w:tcPr>
            <w:tcW w:w="643" w:type="dxa"/>
            <w:shd w:val="clear" w:color="auto" w:fill="auto"/>
          </w:tcPr>
          <w:p w14:paraId="776A405D" w14:textId="77777777" w:rsidR="0087601C" w:rsidRPr="006A1EC7" w:rsidRDefault="0087601C" w:rsidP="00D56051">
            <w:pPr>
              <w:rPr>
                <w:sz w:val="13"/>
                <w:szCs w:val="13"/>
              </w:rPr>
            </w:pPr>
          </w:p>
        </w:tc>
        <w:tc>
          <w:tcPr>
            <w:tcW w:w="221" w:type="dxa"/>
            <w:shd w:val="clear" w:color="auto" w:fill="auto"/>
          </w:tcPr>
          <w:p w14:paraId="42341C35" w14:textId="77777777" w:rsidR="0087601C" w:rsidRPr="006A1EC7" w:rsidRDefault="0087601C" w:rsidP="00D56051">
            <w:pPr>
              <w:rPr>
                <w:sz w:val="13"/>
                <w:szCs w:val="13"/>
              </w:rPr>
            </w:pPr>
          </w:p>
        </w:tc>
      </w:tr>
      <w:tr w:rsidR="00744A8E" w:rsidRPr="006A1EC7" w14:paraId="7BB6A381" w14:textId="77777777" w:rsidTr="00D56051">
        <w:tc>
          <w:tcPr>
            <w:tcW w:w="1004" w:type="dxa"/>
          </w:tcPr>
          <w:p w14:paraId="5E64B041" w14:textId="77777777" w:rsidR="0087601C" w:rsidRPr="006A1EC7" w:rsidRDefault="0087601C" w:rsidP="00D56051">
            <w:pPr>
              <w:rPr>
                <w:sz w:val="13"/>
                <w:szCs w:val="13"/>
              </w:rPr>
            </w:pPr>
            <w:r w:rsidRPr="006A1EC7">
              <w:rPr>
                <w:sz w:val="13"/>
                <w:szCs w:val="13"/>
              </w:rPr>
              <w:t>FCE</w:t>
            </w:r>
          </w:p>
        </w:tc>
        <w:tc>
          <w:tcPr>
            <w:tcW w:w="396" w:type="dxa"/>
            <w:shd w:val="clear" w:color="auto" w:fill="FFFF00"/>
          </w:tcPr>
          <w:p w14:paraId="57CA87E7"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0FCC7E0A" w14:textId="77777777" w:rsidR="0087601C" w:rsidRPr="006A1EC7" w:rsidRDefault="0087601C" w:rsidP="00D56051">
            <w:pPr>
              <w:rPr>
                <w:sz w:val="13"/>
                <w:szCs w:val="13"/>
              </w:rPr>
            </w:pPr>
            <w:r w:rsidRPr="006A1EC7">
              <w:rPr>
                <w:sz w:val="13"/>
                <w:szCs w:val="13"/>
              </w:rPr>
              <w:t>1</w:t>
            </w:r>
          </w:p>
        </w:tc>
        <w:tc>
          <w:tcPr>
            <w:tcW w:w="396" w:type="dxa"/>
          </w:tcPr>
          <w:p w14:paraId="330C064C"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6F5A6214"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79719C9D" w14:textId="77777777" w:rsidR="0087601C" w:rsidRPr="006A1EC7" w:rsidRDefault="0087601C" w:rsidP="00D56051">
            <w:pPr>
              <w:rPr>
                <w:sz w:val="13"/>
                <w:szCs w:val="13"/>
              </w:rPr>
            </w:pPr>
            <w:r w:rsidRPr="006A1EC7">
              <w:rPr>
                <w:sz w:val="13"/>
                <w:szCs w:val="13"/>
              </w:rPr>
              <w:t>1</w:t>
            </w:r>
          </w:p>
        </w:tc>
        <w:tc>
          <w:tcPr>
            <w:tcW w:w="396" w:type="dxa"/>
          </w:tcPr>
          <w:p w14:paraId="16921CE9"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7E6BE371"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0C016D3A" w14:textId="77777777" w:rsidR="0087601C" w:rsidRPr="006A1EC7" w:rsidRDefault="0087601C" w:rsidP="00D56051">
            <w:pPr>
              <w:rPr>
                <w:sz w:val="13"/>
                <w:szCs w:val="13"/>
              </w:rPr>
            </w:pPr>
            <w:r w:rsidRPr="006A1EC7">
              <w:rPr>
                <w:sz w:val="13"/>
                <w:szCs w:val="13"/>
              </w:rPr>
              <w:t>1</w:t>
            </w:r>
          </w:p>
        </w:tc>
        <w:tc>
          <w:tcPr>
            <w:tcW w:w="396" w:type="dxa"/>
            <w:shd w:val="clear" w:color="auto" w:fill="auto"/>
          </w:tcPr>
          <w:p w14:paraId="2DC7F142"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6A7F4ABD"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306325BA" w14:textId="77777777" w:rsidR="0087601C" w:rsidRPr="006A1EC7" w:rsidRDefault="0087601C" w:rsidP="00D56051">
            <w:pPr>
              <w:rPr>
                <w:sz w:val="13"/>
                <w:szCs w:val="13"/>
              </w:rPr>
            </w:pPr>
            <w:r w:rsidRPr="006A1EC7">
              <w:rPr>
                <w:sz w:val="13"/>
                <w:szCs w:val="13"/>
              </w:rPr>
              <w:t>1</w:t>
            </w:r>
          </w:p>
        </w:tc>
        <w:tc>
          <w:tcPr>
            <w:tcW w:w="395" w:type="dxa"/>
          </w:tcPr>
          <w:p w14:paraId="66AB2E14"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5013A97B"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1D59A2F6" w14:textId="77777777" w:rsidR="0087601C" w:rsidRPr="006A1EC7" w:rsidRDefault="0087601C" w:rsidP="00D56051">
            <w:pPr>
              <w:rPr>
                <w:sz w:val="13"/>
                <w:szCs w:val="13"/>
              </w:rPr>
            </w:pPr>
            <w:r w:rsidRPr="006A1EC7">
              <w:rPr>
                <w:sz w:val="13"/>
                <w:szCs w:val="13"/>
              </w:rPr>
              <w:t>1</w:t>
            </w:r>
          </w:p>
        </w:tc>
        <w:tc>
          <w:tcPr>
            <w:tcW w:w="395" w:type="dxa"/>
          </w:tcPr>
          <w:p w14:paraId="12CD7197"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6E8B6680" w14:textId="77777777" w:rsidR="0087601C" w:rsidRPr="006A1EC7" w:rsidRDefault="0087601C" w:rsidP="00D56051">
            <w:pPr>
              <w:rPr>
                <w:sz w:val="13"/>
                <w:szCs w:val="13"/>
              </w:rPr>
            </w:pPr>
            <w:r w:rsidRPr="006A1EC7">
              <w:rPr>
                <w:sz w:val="13"/>
                <w:szCs w:val="13"/>
              </w:rPr>
              <w:t>2</w:t>
            </w:r>
          </w:p>
        </w:tc>
        <w:tc>
          <w:tcPr>
            <w:tcW w:w="395" w:type="dxa"/>
            <w:shd w:val="clear" w:color="auto" w:fill="FFFF00"/>
          </w:tcPr>
          <w:p w14:paraId="74E822A0" w14:textId="77777777" w:rsidR="0087601C" w:rsidRPr="006A1EC7" w:rsidRDefault="0087601C" w:rsidP="00D56051">
            <w:pPr>
              <w:rPr>
                <w:sz w:val="13"/>
                <w:szCs w:val="13"/>
              </w:rPr>
            </w:pPr>
            <w:r w:rsidRPr="006A1EC7">
              <w:rPr>
                <w:sz w:val="13"/>
                <w:szCs w:val="13"/>
              </w:rPr>
              <w:t>1</w:t>
            </w:r>
          </w:p>
        </w:tc>
        <w:tc>
          <w:tcPr>
            <w:tcW w:w="395" w:type="dxa"/>
          </w:tcPr>
          <w:p w14:paraId="08854426"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7B940832"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790B4E50" w14:textId="77777777" w:rsidR="0087601C" w:rsidRPr="006A1EC7" w:rsidRDefault="0087601C" w:rsidP="00D56051">
            <w:pPr>
              <w:rPr>
                <w:sz w:val="13"/>
                <w:szCs w:val="13"/>
              </w:rPr>
            </w:pPr>
            <w:r w:rsidRPr="006A1EC7">
              <w:rPr>
                <w:sz w:val="13"/>
                <w:szCs w:val="13"/>
              </w:rPr>
              <w:t>1</w:t>
            </w:r>
          </w:p>
        </w:tc>
        <w:tc>
          <w:tcPr>
            <w:tcW w:w="395" w:type="dxa"/>
          </w:tcPr>
          <w:p w14:paraId="41C83F7C"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3A384B98"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1CB8CE01" w14:textId="77777777" w:rsidR="0087601C" w:rsidRPr="006A1EC7" w:rsidRDefault="0087601C" w:rsidP="00D56051">
            <w:pPr>
              <w:rPr>
                <w:sz w:val="13"/>
                <w:szCs w:val="13"/>
              </w:rPr>
            </w:pPr>
            <w:r w:rsidRPr="006A1EC7">
              <w:rPr>
                <w:sz w:val="13"/>
                <w:szCs w:val="13"/>
              </w:rPr>
              <w:t>1</w:t>
            </w:r>
          </w:p>
        </w:tc>
        <w:tc>
          <w:tcPr>
            <w:tcW w:w="395" w:type="dxa"/>
          </w:tcPr>
          <w:p w14:paraId="78C3B049"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064EDC01"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1A5AD307" w14:textId="77777777" w:rsidR="0087601C" w:rsidRPr="006A1EC7" w:rsidRDefault="0087601C" w:rsidP="00D56051">
            <w:pPr>
              <w:rPr>
                <w:sz w:val="13"/>
                <w:szCs w:val="13"/>
              </w:rPr>
            </w:pPr>
            <w:r w:rsidRPr="006A1EC7">
              <w:rPr>
                <w:sz w:val="13"/>
                <w:szCs w:val="13"/>
              </w:rPr>
              <w:t>1</w:t>
            </w:r>
          </w:p>
        </w:tc>
        <w:tc>
          <w:tcPr>
            <w:tcW w:w="395" w:type="dxa"/>
            <w:shd w:val="clear" w:color="auto" w:fill="auto"/>
          </w:tcPr>
          <w:p w14:paraId="295E8405"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29FB6A71"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2D2F347D" w14:textId="77777777" w:rsidR="0087601C" w:rsidRPr="006A1EC7" w:rsidRDefault="0087601C" w:rsidP="00D56051">
            <w:pPr>
              <w:rPr>
                <w:sz w:val="13"/>
                <w:szCs w:val="13"/>
              </w:rPr>
            </w:pPr>
            <w:r w:rsidRPr="006A1EC7">
              <w:rPr>
                <w:sz w:val="13"/>
                <w:szCs w:val="13"/>
              </w:rPr>
              <w:t>1</w:t>
            </w:r>
          </w:p>
        </w:tc>
        <w:tc>
          <w:tcPr>
            <w:tcW w:w="395" w:type="dxa"/>
          </w:tcPr>
          <w:p w14:paraId="06FD652C" w14:textId="77777777" w:rsidR="0087601C" w:rsidRPr="006A1EC7" w:rsidRDefault="0087601C" w:rsidP="00D56051">
            <w:pPr>
              <w:rPr>
                <w:sz w:val="13"/>
                <w:szCs w:val="13"/>
              </w:rPr>
            </w:pPr>
            <w:r w:rsidRPr="006A1EC7">
              <w:rPr>
                <w:sz w:val="13"/>
                <w:szCs w:val="13"/>
              </w:rPr>
              <w:t>1</w:t>
            </w:r>
          </w:p>
        </w:tc>
        <w:tc>
          <w:tcPr>
            <w:tcW w:w="643" w:type="dxa"/>
            <w:shd w:val="clear" w:color="auto" w:fill="auto"/>
          </w:tcPr>
          <w:p w14:paraId="421F0095" w14:textId="77777777" w:rsidR="0087601C" w:rsidRPr="006A1EC7" w:rsidRDefault="0087601C" w:rsidP="00D56051">
            <w:pPr>
              <w:rPr>
                <w:sz w:val="13"/>
                <w:szCs w:val="13"/>
              </w:rPr>
            </w:pPr>
            <w:r w:rsidRPr="006A1EC7">
              <w:rPr>
                <w:sz w:val="13"/>
                <w:szCs w:val="13"/>
              </w:rPr>
              <w:t>9/10</w:t>
            </w:r>
          </w:p>
        </w:tc>
        <w:tc>
          <w:tcPr>
            <w:tcW w:w="221" w:type="dxa"/>
            <w:shd w:val="clear" w:color="auto" w:fill="auto"/>
          </w:tcPr>
          <w:p w14:paraId="3A66256D" w14:textId="77777777" w:rsidR="0087601C" w:rsidRPr="006A1EC7" w:rsidRDefault="0087601C" w:rsidP="00D56051">
            <w:pPr>
              <w:rPr>
                <w:sz w:val="13"/>
                <w:szCs w:val="13"/>
              </w:rPr>
            </w:pPr>
            <w:r w:rsidRPr="006A1EC7">
              <w:rPr>
                <w:sz w:val="13"/>
                <w:szCs w:val="13"/>
              </w:rPr>
              <w:t>90%</w:t>
            </w:r>
          </w:p>
        </w:tc>
      </w:tr>
      <w:tr w:rsidR="00744A8E" w:rsidRPr="006A1EC7" w14:paraId="61286EAF" w14:textId="77777777" w:rsidTr="00D56051">
        <w:tc>
          <w:tcPr>
            <w:tcW w:w="1004" w:type="dxa"/>
          </w:tcPr>
          <w:p w14:paraId="28AB950F" w14:textId="77777777" w:rsidR="0087601C" w:rsidRPr="006A1EC7" w:rsidRDefault="0087601C" w:rsidP="00D56051">
            <w:pPr>
              <w:rPr>
                <w:sz w:val="13"/>
                <w:szCs w:val="13"/>
              </w:rPr>
            </w:pPr>
            <w:r w:rsidRPr="006A1EC7">
              <w:rPr>
                <w:sz w:val="13"/>
                <w:szCs w:val="13"/>
              </w:rPr>
              <w:lastRenderedPageBreak/>
              <w:t>EPY</w:t>
            </w:r>
          </w:p>
        </w:tc>
        <w:tc>
          <w:tcPr>
            <w:tcW w:w="396" w:type="dxa"/>
            <w:shd w:val="clear" w:color="auto" w:fill="FFFF00"/>
          </w:tcPr>
          <w:p w14:paraId="59822A67"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71A195F8" w14:textId="77777777" w:rsidR="0087601C" w:rsidRPr="006A1EC7" w:rsidRDefault="0087601C" w:rsidP="00D56051">
            <w:pPr>
              <w:rPr>
                <w:sz w:val="13"/>
                <w:szCs w:val="13"/>
              </w:rPr>
            </w:pPr>
            <w:r w:rsidRPr="006A1EC7">
              <w:rPr>
                <w:sz w:val="13"/>
                <w:szCs w:val="13"/>
              </w:rPr>
              <w:t>1</w:t>
            </w:r>
          </w:p>
        </w:tc>
        <w:tc>
          <w:tcPr>
            <w:tcW w:w="396" w:type="dxa"/>
          </w:tcPr>
          <w:p w14:paraId="5F034227"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1B0DC423"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7A2A30C1" w14:textId="77777777" w:rsidR="0087601C" w:rsidRPr="006A1EC7" w:rsidRDefault="0087601C" w:rsidP="00D56051">
            <w:pPr>
              <w:rPr>
                <w:sz w:val="13"/>
                <w:szCs w:val="13"/>
              </w:rPr>
            </w:pPr>
            <w:r w:rsidRPr="006A1EC7">
              <w:rPr>
                <w:sz w:val="13"/>
                <w:szCs w:val="13"/>
              </w:rPr>
              <w:t>1</w:t>
            </w:r>
          </w:p>
        </w:tc>
        <w:tc>
          <w:tcPr>
            <w:tcW w:w="396" w:type="dxa"/>
          </w:tcPr>
          <w:p w14:paraId="3F9D453D"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0F760902"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3E444F05" w14:textId="77777777" w:rsidR="0087601C" w:rsidRPr="006A1EC7" w:rsidRDefault="0087601C" w:rsidP="00D56051">
            <w:pPr>
              <w:rPr>
                <w:sz w:val="13"/>
                <w:szCs w:val="13"/>
              </w:rPr>
            </w:pPr>
            <w:r w:rsidRPr="006A1EC7">
              <w:rPr>
                <w:sz w:val="13"/>
                <w:szCs w:val="13"/>
              </w:rPr>
              <w:t>1</w:t>
            </w:r>
          </w:p>
        </w:tc>
        <w:tc>
          <w:tcPr>
            <w:tcW w:w="396" w:type="dxa"/>
            <w:shd w:val="clear" w:color="auto" w:fill="auto"/>
          </w:tcPr>
          <w:p w14:paraId="5D983C9F"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345A7661" w14:textId="77777777" w:rsidR="0087601C" w:rsidRPr="006A1EC7" w:rsidRDefault="0087601C" w:rsidP="00D56051">
            <w:pPr>
              <w:rPr>
                <w:sz w:val="13"/>
                <w:szCs w:val="13"/>
              </w:rPr>
            </w:pPr>
            <w:r w:rsidRPr="006A1EC7">
              <w:rPr>
                <w:sz w:val="13"/>
                <w:szCs w:val="13"/>
              </w:rPr>
              <w:t>4</w:t>
            </w:r>
          </w:p>
        </w:tc>
        <w:tc>
          <w:tcPr>
            <w:tcW w:w="395" w:type="dxa"/>
            <w:shd w:val="clear" w:color="auto" w:fill="FFFF00"/>
          </w:tcPr>
          <w:p w14:paraId="0D7C402E" w14:textId="77777777" w:rsidR="0087601C" w:rsidRPr="006A1EC7" w:rsidRDefault="0087601C" w:rsidP="00D56051">
            <w:pPr>
              <w:rPr>
                <w:sz w:val="13"/>
                <w:szCs w:val="13"/>
              </w:rPr>
            </w:pPr>
            <w:r w:rsidRPr="006A1EC7">
              <w:rPr>
                <w:sz w:val="13"/>
                <w:szCs w:val="13"/>
              </w:rPr>
              <w:t>4</w:t>
            </w:r>
          </w:p>
        </w:tc>
        <w:tc>
          <w:tcPr>
            <w:tcW w:w="395" w:type="dxa"/>
          </w:tcPr>
          <w:p w14:paraId="72B6EF7D"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6F0E72E3"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185A5EA3" w14:textId="77777777" w:rsidR="0087601C" w:rsidRPr="006A1EC7" w:rsidRDefault="0087601C" w:rsidP="00D56051">
            <w:pPr>
              <w:rPr>
                <w:sz w:val="13"/>
                <w:szCs w:val="13"/>
              </w:rPr>
            </w:pPr>
            <w:r w:rsidRPr="006A1EC7">
              <w:rPr>
                <w:sz w:val="13"/>
                <w:szCs w:val="13"/>
              </w:rPr>
              <w:t>1</w:t>
            </w:r>
          </w:p>
        </w:tc>
        <w:tc>
          <w:tcPr>
            <w:tcW w:w="395" w:type="dxa"/>
          </w:tcPr>
          <w:p w14:paraId="5DED438B"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72450B67"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5DD35B70" w14:textId="77777777" w:rsidR="0087601C" w:rsidRPr="006A1EC7" w:rsidRDefault="0087601C" w:rsidP="00D56051">
            <w:pPr>
              <w:rPr>
                <w:sz w:val="13"/>
                <w:szCs w:val="13"/>
              </w:rPr>
            </w:pPr>
            <w:r w:rsidRPr="006A1EC7">
              <w:rPr>
                <w:sz w:val="13"/>
                <w:szCs w:val="13"/>
              </w:rPr>
              <w:t>1</w:t>
            </w:r>
          </w:p>
        </w:tc>
        <w:tc>
          <w:tcPr>
            <w:tcW w:w="395" w:type="dxa"/>
          </w:tcPr>
          <w:p w14:paraId="1067BC9E"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76BBC692" w14:textId="77777777" w:rsidR="0087601C" w:rsidRPr="006A1EC7" w:rsidRDefault="0087601C" w:rsidP="00D56051">
            <w:pPr>
              <w:rPr>
                <w:sz w:val="13"/>
                <w:szCs w:val="13"/>
              </w:rPr>
            </w:pPr>
            <w:r w:rsidRPr="006A1EC7">
              <w:rPr>
                <w:sz w:val="13"/>
                <w:szCs w:val="13"/>
              </w:rPr>
              <w:t>4</w:t>
            </w:r>
          </w:p>
        </w:tc>
        <w:tc>
          <w:tcPr>
            <w:tcW w:w="395" w:type="dxa"/>
            <w:shd w:val="clear" w:color="auto" w:fill="FFFF00"/>
          </w:tcPr>
          <w:p w14:paraId="1CBDD2B1" w14:textId="77777777" w:rsidR="0087601C" w:rsidRPr="006A1EC7" w:rsidRDefault="0087601C" w:rsidP="00D56051">
            <w:pPr>
              <w:rPr>
                <w:sz w:val="13"/>
                <w:szCs w:val="13"/>
              </w:rPr>
            </w:pPr>
            <w:r w:rsidRPr="006A1EC7">
              <w:rPr>
                <w:sz w:val="13"/>
                <w:szCs w:val="13"/>
              </w:rPr>
              <w:t>4</w:t>
            </w:r>
          </w:p>
        </w:tc>
        <w:tc>
          <w:tcPr>
            <w:tcW w:w="395" w:type="dxa"/>
          </w:tcPr>
          <w:p w14:paraId="39488952"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2EC8F165" w14:textId="77777777" w:rsidR="0087601C" w:rsidRPr="006A1EC7" w:rsidRDefault="0087601C" w:rsidP="00D56051">
            <w:pPr>
              <w:rPr>
                <w:sz w:val="13"/>
                <w:szCs w:val="13"/>
              </w:rPr>
            </w:pPr>
            <w:r w:rsidRPr="006A1EC7">
              <w:rPr>
                <w:sz w:val="13"/>
                <w:szCs w:val="13"/>
              </w:rPr>
              <w:t>2</w:t>
            </w:r>
          </w:p>
        </w:tc>
        <w:tc>
          <w:tcPr>
            <w:tcW w:w="395" w:type="dxa"/>
            <w:shd w:val="clear" w:color="auto" w:fill="FFFF00"/>
          </w:tcPr>
          <w:p w14:paraId="6DE18B07" w14:textId="77777777" w:rsidR="0087601C" w:rsidRPr="006A1EC7" w:rsidRDefault="0087601C" w:rsidP="00D56051">
            <w:pPr>
              <w:rPr>
                <w:sz w:val="13"/>
                <w:szCs w:val="13"/>
              </w:rPr>
            </w:pPr>
            <w:r w:rsidRPr="006A1EC7">
              <w:rPr>
                <w:sz w:val="13"/>
                <w:szCs w:val="13"/>
              </w:rPr>
              <w:t>1</w:t>
            </w:r>
          </w:p>
        </w:tc>
        <w:tc>
          <w:tcPr>
            <w:tcW w:w="395" w:type="dxa"/>
          </w:tcPr>
          <w:p w14:paraId="009F757F"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006B369F"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2C1B2F0E" w14:textId="77777777" w:rsidR="0087601C" w:rsidRPr="006A1EC7" w:rsidRDefault="0087601C" w:rsidP="00D56051">
            <w:pPr>
              <w:rPr>
                <w:sz w:val="13"/>
                <w:szCs w:val="13"/>
              </w:rPr>
            </w:pPr>
            <w:r w:rsidRPr="006A1EC7">
              <w:rPr>
                <w:sz w:val="13"/>
                <w:szCs w:val="13"/>
              </w:rPr>
              <w:t>1</w:t>
            </w:r>
          </w:p>
        </w:tc>
        <w:tc>
          <w:tcPr>
            <w:tcW w:w="395" w:type="dxa"/>
            <w:shd w:val="clear" w:color="auto" w:fill="auto"/>
          </w:tcPr>
          <w:p w14:paraId="29E90164"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6AE72797"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40E6AE46" w14:textId="77777777" w:rsidR="0087601C" w:rsidRPr="006A1EC7" w:rsidRDefault="0087601C" w:rsidP="00D56051">
            <w:pPr>
              <w:rPr>
                <w:sz w:val="13"/>
                <w:szCs w:val="13"/>
              </w:rPr>
            </w:pPr>
            <w:r w:rsidRPr="006A1EC7">
              <w:rPr>
                <w:sz w:val="13"/>
                <w:szCs w:val="13"/>
              </w:rPr>
              <w:t>1</w:t>
            </w:r>
          </w:p>
        </w:tc>
        <w:tc>
          <w:tcPr>
            <w:tcW w:w="395" w:type="dxa"/>
          </w:tcPr>
          <w:p w14:paraId="6CB89090" w14:textId="77777777" w:rsidR="0087601C" w:rsidRPr="006A1EC7" w:rsidRDefault="0087601C" w:rsidP="00D56051">
            <w:pPr>
              <w:rPr>
                <w:sz w:val="13"/>
                <w:szCs w:val="13"/>
              </w:rPr>
            </w:pPr>
            <w:r w:rsidRPr="006A1EC7">
              <w:rPr>
                <w:sz w:val="13"/>
                <w:szCs w:val="13"/>
              </w:rPr>
              <w:t>1</w:t>
            </w:r>
          </w:p>
        </w:tc>
        <w:tc>
          <w:tcPr>
            <w:tcW w:w="643" w:type="dxa"/>
            <w:shd w:val="clear" w:color="auto" w:fill="auto"/>
          </w:tcPr>
          <w:p w14:paraId="7F8EDC0B" w14:textId="77777777" w:rsidR="0087601C" w:rsidRPr="006A1EC7" w:rsidRDefault="0087601C" w:rsidP="00D56051">
            <w:pPr>
              <w:rPr>
                <w:sz w:val="13"/>
                <w:szCs w:val="13"/>
              </w:rPr>
            </w:pPr>
            <w:r w:rsidRPr="006A1EC7">
              <w:rPr>
                <w:sz w:val="13"/>
                <w:szCs w:val="13"/>
              </w:rPr>
              <w:t>9/10</w:t>
            </w:r>
          </w:p>
        </w:tc>
        <w:tc>
          <w:tcPr>
            <w:tcW w:w="221" w:type="dxa"/>
            <w:shd w:val="clear" w:color="auto" w:fill="auto"/>
          </w:tcPr>
          <w:p w14:paraId="269C9C64" w14:textId="77777777" w:rsidR="0087601C" w:rsidRPr="006A1EC7" w:rsidRDefault="0087601C" w:rsidP="00D56051">
            <w:pPr>
              <w:rPr>
                <w:sz w:val="13"/>
                <w:szCs w:val="13"/>
              </w:rPr>
            </w:pPr>
            <w:r w:rsidRPr="006A1EC7">
              <w:rPr>
                <w:sz w:val="13"/>
                <w:szCs w:val="13"/>
              </w:rPr>
              <w:t>90%</w:t>
            </w:r>
          </w:p>
        </w:tc>
      </w:tr>
      <w:tr w:rsidR="00744A8E" w:rsidRPr="006A1EC7" w14:paraId="26C5D4C3" w14:textId="77777777" w:rsidTr="00D56051">
        <w:tc>
          <w:tcPr>
            <w:tcW w:w="1004" w:type="dxa"/>
          </w:tcPr>
          <w:p w14:paraId="672B1EEA" w14:textId="77777777" w:rsidR="0087601C" w:rsidRPr="006A1EC7" w:rsidRDefault="0087601C" w:rsidP="00D56051">
            <w:pPr>
              <w:rPr>
                <w:sz w:val="13"/>
                <w:szCs w:val="13"/>
              </w:rPr>
            </w:pPr>
            <w:r w:rsidRPr="006A1EC7">
              <w:rPr>
                <w:sz w:val="13"/>
                <w:szCs w:val="13"/>
              </w:rPr>
              <w:t>GST</w:t>
            </w:r>
          </w:p>
        </w:tc>
        <w:tc>
          <w:tcPr>
            <w:tcW w:w="396" w:type="dxa"/>
            <w:shd w:val="clear" w:color="auto" w:fill="FFFF00"/>
          </w:tcPr>
          <w:p w14:paraId="7C4DF40F" w14:textId="77777777" w:rsidR="0087601C" w:rsidRPr="006A1EC7" w:rsidRDefault="0087601C" w:rsidP="00D56051">
            <w:pPr>
              <w:rPr>
                <w:sz w:val="13"/>
                <w:szCs w:val="13"/>
              </w:rPr>
            </w:pPr>
            <w:r w:rsidRPr="006A1EC7">
              <w:rPr>
                <w:sz w:val="13"/>
                <w:szCs w:val="13"/>
              </w:rPr>
              <w:t>8</w:t>
            </w:r>
          </w:p>
        </w:tc>
        <w:tc>
          <w:tcPr>
            <w:tcW w:w="396" w:type="dxa"/>
            <w:shd w:val="clear" w:color="auto" w:fill="FFFF00"/>
          </w:tcPr>
          <w:p w14:paraId="5598E9B8" w14:textId="77777777" w:rsidR="0087601C" w:rsidRPr="006A1EC7" w:rsidRDefault="0087601C" w:rsidP="00D56051">
            <w:pPr>
              <w:rPr>
                <w:sz w:val="13"/>
                <w:szCs w:val="13"/>
              </w:rPr>
            </w:pPr>
            <w:r w:rsidRPr="006A1EC7">
              <w:rPr>
                <w:sz w:val="13"/>
                <w:szCs w:val="13"/>
              </w:rPr>
              <w:t>7</w:t>
            </w:r>
          </w:p>
        </w:tc>
        <w:tc>
          <w:tcPr>
            <w:tcW w:w="396" w:type="dxa"/>
          </w:tcPr>
          <w:p w14:paraId="664B24DD"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6BD21723" w14:textId="77777777" w:rsidR="0087601C" w:rsidRPr="006A1EC7" w:rsidRDefault="0087601C" w:rsidP="00D56051">
            <w:pPr>
              <w:rPr>
                <w:sz w:val="13"/>
                <w:szCs w:val="13"/>
              </w:rPr>
            </w:pPr>
            <w:r w:rsidRPr="006A1EC7">
              <w:rPr>
                <w:sz w:val="13"/>
                <w:szCs w:val="13"/>
              </w:rPr>
              <w:t>11</w:t>
            </w:r>
          </w:p>
        </w:tc>
        <w:tc>
          <w:tcPr>
            <w:tcW w:w="396" w:type="dxa"/>
            <w:shd w:val="clear" w:color="auto" w:fill="FFFF00"/>
          </w:tcPr>
          <w:p w14:paraId="75CE8648" w14:textId="77777777" w:rsidR="0087601C" w:rsidRPr="006A1EC7" w:rsidRDefault="0087601C" w:rsidP="00D56051">
            <w:pPr>
              <w:rPr>
                <w:sz w:val="13"/>
                <w:szCs w:val="13"/>
              </w:rPr>
            </w:pPr>
            <w:r w:rsidRPr="006A1EC7">
              <w:rPr>
                <w:sz w:val="13"/>
                <w:szCs w:val="13"/>
              </w:rPr>
              <w:t>5</w:t>
            </w:r>
          </w:p>
        </w:tc>
        <w:tc>
          <w:tcPr>
            <w:tcW w:w="396" w:type="dxa"/>
          </w:tcPr>
          <w:p w14:paraId="0F028001"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6DF565FA" w14:textId="77777777" w:rsidR="0087601C" w:rsidRPr="006A1EC7" w:rsidRDefault="0087601C" w:rsidP="00D56051">
            <w:pPr>
              <w:rPr>
                <w:sz w:val="13"/>
                <w:szCs w:val="13"/>
              </w:rPr>
            </w:pPr>
            <w:r w:rsidRPr="006A1EC7">
              <w:rPr>
                <w:sz w:val="13"/>
                <w:szCs w:val="13"/>
              </w:rPr>
              <w:t>7</w:t>
            </w:r>
          </w:p>
        </w:tc>
        <w:tc>
          <w:tcPr>
            <w:tcW w:w="396" w:type="dxa"/>
            <w:shd w:val="clear" w:color="auto" w:fill="FFFF00"/>
          </w:tcPr>
          <w:p w14:paraId="7A5609D3" w14:textId="77777777" w:rsidR="0087601C" w:rsidRPr="006A1EC7" w:rsidRDefault="0087601C" w:rsidP="00D56051">
            <w:pPr>
              <w:rPr>
                <w:sz w:val="13"/>
                <w:szCs w:val="13"/>
              </w:rPr>
            </w:pPr>
            <w:r w:rsidRPr="006A1EC7">
              <w:rPr>
                <w:sz w:val="13"/>
                <w:szCs w:val="13"/>
              </w:rPr>
              <w:t>8</w:t>
            </w:r>
          </w:p>
        </w:tc>
        <w:tc>
          <w:tcPr>
            <w:tcW w:w="396" w:type="dxa"/>
            <w:shd w:val="clear" w:color="auto" w:fill="auto"/>
          </w:tcPr>
          <w:p w14:paraId="51C3D3F8"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60A7B5B9" w14:textId="77777777" w:rsidR="0087601C" w:rsidRPr="006A1EC7" w:rsidRDefault="0087601C" w:rsidP="00D56051">
            <w:pPr>
              <w:rPr>
                <w:sz w:val="13"/>
                <w:szCs w:val="13"/>
              </w:rPr>
            </w:pPr>
            <w:r w:rsidRPr="006A1EC7">
              <w:rPr>
                <w:sz w:val="13"/>
                <w:szCs w:val="13"/>
              </w:rPr>
              <w:t>8</w:t>
            </w:r>
          </w:p>
        </w:tc>
        <w:tc>
          <w:tcPr>
            <w:tcW w:w="395" w:type="dxa"/>
            <w:shd w:val="clear" w:color="auto" w:fill="FFFF00"/>
          </w:tcPr>
          <w:p w14:paraId="1CF351E0" w14:textId="77777777" w:rsidR="0087601C" w:rsidRPr="006A1EC7" w:rsidRDefault="0087601C" w:rsidP="00D56051">
            <w:pPr>
              <w:rPr>
                <w:sz w:val="13"/>
                <w:szCs w:val="13"/>
              </w:rPr>
            </w:pPr>
            <w:r w:rsidRPr="006A1EC7">
              <w:rPr>
                <w:sz w:val="13"/>
                <w:szCs w:val="13"/>
              </w:rPr>
              <w:t>6</w:t>
            </w:r>
          </w:p>
        </w:tc>
        <w:tc>
          <w:tcPr>
            <w:tcW w:w="395" w:type="dxa"/>
          </w:tcPr>
          <w:p w14:paraId="3D98C5C8"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28E86778" w14:textId="77777777" w:rsidR="0087601C" w:rsidRPr="006A1EC7" w:rsidRDefault="0087601C" w:rsidP="00D56051">
            <w:pPr>
              <w:rPr>
                <w:sz w:val="13"/>
                <w:szCs w:val="13"/>
              </w:rPr>
            </w:pPr>
            <w:r w:rsidRPr="006A1EC7">
              <w:rPr>
                <w:sz w:val="13"/>
                <w:szCs w:val="13"/>
              </w:rPr>
              <w:t>8</w:t>
            </w:r>
          </w:p>
        </w:tc>
        <w:tc>
          <w:tcPr>
            <w:tcW w:w="395" w:type="dxa"/>
            <w:shd w:val="clear" w:color="auto" w:fill="FFFF00"/>
          </w:tcPr>
          <w:p w14:paraId="76D629F4" w14:textId="77777777" w:rsidR="0087601C" w:rsidRPr="006A1EC7" w:rsidRDefault="0087601C" w:rsidP="00D56051">
            <w:pPr>
              <w:rPr>
                <w:sz w:val="13"/>
                <w:szCs w:val="13"/>
              </w:rPr>
            </w:pPr>
            <w:r w:rsidRPr="006A1EC7">
              <w:rPr>
                <w:sz w:val="13"/>
                <w:szCs w:val="13"/>
              </w:rPr>
              <w:t>10</w:t>
            </w:r>
          </w:p>
        </w:tc>
        <w:tc>
          <w:tcPr>
            <w:tcW w:w="395" w:type="dxa"/>
          </w:tcPr>
          <w:p w14:paraId="11145ACC"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54EBFFFA" w14:textId="77777777" w:rsidR="0087601C" w:rsidRPr="006A1EC7" w:rsidRDefault="0087601C" w:rsidP="00D56051">
            <w:pPr>
              <w:rPr>
                <w:sz w:val="13"/>
                <w:szCs w:val="13"/>
              </w:rPr>
            </w:pPr>
            <w:r w:rsidRPr="006A1EC7">
              <w:rPr>
                <w:sz w:val="13"/>
                <w:szCs w:val="13"/>
              </w:rPr>
              <w:t>9</w:t>
            </w:r>
          </w:p>
        </w:tc>
        <w:tc>
          <w:tcPr>
            <w:tcW w:w="395" w:type="dxa"/>
            <w:shd w:val="clear" w:color="auto" w:fill="FFFF00"/>
          </w:tcPr>
          <w:p w14:paraId="7CC7F8AD" w14:textId="77777777" w:rsidR="0087601C" w:rsidRPr="006A1EC7" w:rsidRDefault="0087601C" w:rsidP="00D56051">
            <w:pPr>
              <w:rPr>
                <w:sz w:val="13"/>
                <w:szCs w:val="13"/>
              </w:rPr>
            </w:pPr>
            <w:r w:rsidRPr="006A1EC7">
              <w:rPr>
                <w:sz w:val="13"/>
                <w:szCs w:val="13"/>
              </w:rPr>
              <w:t>8</w:t>
            </w:r>
          </w:p>
        </w:tc>
        <w:tc>
          <w:tcPr>
            <w:tcW w:w="395" w:type="dxa"/>
          </w:tcPr>
          <w:p w14:paraId="1E9C0367"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623B5850" w14:textId="77777777" w:rsidR="0087601C" w:rsidRPr="006A1EC7" w:rsidRDefault="0087601C" w:rsidP="00D56051">
            <w:pPr>
              <w:rPr>
                <w:sz w:val="13"/>
                <w:szCs w:val="13"/>
              </w:rPr>
            </w:pPr>
            <w:r w:rsidRPr="006A1EC7">
              <w:rPr>
                <w:sz w:val="13"/>
                <w:szCs w:val="13"/>
              </w:rPr>
              <w:t>8</w:t>
            </w:r>
          </w:p>
        </w:tc>
        <w:tc>
          <w:tcPr>
            <w:tcW w:w="395" w:type="dxa"/>
            <w:shd w:val="clear" w:color="auto" w:fill="FFFF00"/>
          </w:tcPr>
          <w:p w14:paraId="19B7E35C" w14:textId="77777777" w:rsidR="0087601C" w:rsidRPr="006A1EC7" w:rsidRDefault="0087601C" w:rsidP="00D56051">
            <w:pPr>
              <w:rPr>
                <w:sz w:val="13"/>
                <w:szCs w:val="13"/>
              </w:rPr>
            </w:pPr>
            <w:r w:rsidRPr="006A1EC7">
              <w:rPr>
                <w:sz w:val="13"/>
                <w:szCs w:val="13"/>
              </w:rPr>
              <w:t>7</w:t>
            </w:r>
          </w:p>
        </w:tc>
        <w:tc>
          <w:tcPr>
            <w:tcW w:w="395" w:type="dxa"/>
          </w:tcPr>
          <w:p w14:paraId="3E9A0249"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35567766" w14:textId="77777777" w:rsidR="0087601C" w:rsidRPr="006A1EC7" w:rsidRDefault="0087601C" w:rsidP="00D56051">
            <w:pPr>
              <w:rPr>
                <w:sz w:val="13"/>
                <w:szCs w:val="13"/>
              </w:rPr>
            </w:pPr>
            <w:r w:rsidRPr="006A1EC7">
              <w:rPr>
                <w:sz w:val="13"/>
                <w:szCs w:val="13"/>
              </w:rPr>
              <w:t>9</w:t>
            </w:r>
          </w:p>
        </w:tc>
        <w:tc>
          <w:tcPr>
            <w:tcW w:w="395" w:type="dxa"/>
            <w:shd w:val="clear" w:color="auto" w:fill="FFFF00"/>
          </w:tcPr>
          <w:p w14:paraId="512F4577" w14:textId="77777777" w:rsidR="0087601C" w:rsidRPr="006A1EC7" w:rsidRDefault="0087601C" w:rsidP="00D56051">
            <w:pPr>
              <w:rPr>
                <w:sz w:val="13"/>
                <w:szCs w:val="13"/>
              </w:rPr>
            </w:pPr>
            <w:r w:rsidRPr="006A1EC7">
              <w:rPr>
                <w:sz w:val="13"/>
                <w:szCs w:val="13"/>
              </w:rPr>
              <w:t>10</w:t>
            </w:r>
          </w:p>
        </w:tc>
        <w:tc>
          <w:tcPr>
            <w:tcW w:w="395" w:type="dxa"/>
          </w:tcPr>
          <w:p w14:paraId="1D88D607"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25877E52" w14:textId="77777777" w:rsidR="0087601C" w:rsidRPr="006A1EC7" w:rsidRDefault="0087601C" w:rsidP="00D56051">
            <w:pPr>
              <w:rPr>
                <w:sz w:val="13"/>
                <w:szCs w:val="13"/>
              </w:rPr>
            </w:pPr>
            <w:r w:rsidRPr="006A1EC7">
              <w:rPr>
                <w:sz w:val="13"/>
                <w:szCs w:val="13"/>
              </w:rPr>
              <w:t>10</w:t>
            </w:r>
          </w:p>
        </w:tc>
        <w:tc>
          <w:tcPr>
            <w:tcW w:w="395" w:type="dxa"/>
            <w:shd w:val="clear" w:color="auto" w:fill="FFFF00"/>
          </w:tcPr>
          <w:p w14:paraId="5A05D6F8" w14:textId="77777777" w:rsidR="0087601C" w:rsidRPr="006A1EC7" w:rsidRDefault="0087601C" w:rsidP="00D56051">
            <w:pPr>
              <w:rPr>
                <w:sz w:val="13"/>
                <w:szCs w:val="13"/>
              </w:rPr>
            </w:pPr>
            <w:r w:rsidRPr="006A1EC7">
              <w:rPr>
                <w:sz w:val="13"/>
                <w:szCs w:val="13"/>
              </w:rPr>
              <w:t>8</w:t>
            </w:r>
          </w:p>
        </w:tc>
        <w:tc>
          <w:tcPr>
            <w:tcW w:w="395" w:type="dxa"/>
            <w:shd w:val="clear" w:color="auto" w:fill="auto"/>
          </w:tcPr>
          <w:p w14:paraId="2D14D75D"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1396DA83" w14:textId="77777777" w:rsidR="0087601C" w:rsidRPr="006A1EC7" w:rsidRDefault="0087601C" w:rsidP="00D56051">
            <w:pPr>
              <w:rPr>
                <w:sz w:val="13"/>
                <w:szCs w:val="13"/>
              </w:rPr>
            </w:pPr>
            <w:r w:rsidRPr="006A1EC7">
              <w:rPr>
                <w:sz w:val="13"/>
                <w:szCs w:val="13"/>
              </w:rPr>
              <w:t>10</w:t>
            </w:r>
          </w:p>
        </w:tc>
        <w:tc>
          <w:tcPr>
            <w:tcW w:w="396" w:type="dxa"/>
            <w:shd w:val="clear" w:color="auto" w:fill="FFFF00"/>
          </w:tcPr>
          <w:p w14:paraId="1D499142" w14:textId="77777777" w:rsidR="0087601C" w:rsidRPr="006A1EC7" w:rsidRDefault="0087601C" w:rsidP="00D56051">
            <w:pPr>
              <w:rPr>
                <w:sz w:val="13"/>
                <w:szCs w:val="13"/>
              </w:rPr>
            </w:pPr>
            <w:r w:rsidRPr="006A1EC7">
              <w:rPr>
                <w:sz w:val="13"/>
                <w:szCs w:val="13"/>
              </w:rPr>
              <w:t>9</w:t>
            </w:r>
          </w:p>
        </w:tc>
        <w:tc>
          <w:tcPr>
            <w:tcW w:w="395" w:type="dxa"/>
          </w:tcPr>
          <w:p w14:paraId="2A565743" w14:textId="77777777" w:rsidR="0087601C" w:rsidRPr="006A1EC7" w:rsidRDefault="0087601C" w:rsidP="00D56051">
            <w:pPr>
              <w:rPr>
                <w:sz w:val="13"/>
                <w:szCs w:val="13"/>
              </w:rPr>
            </w:pPr>
            <w:r w:rsidRPr="006A1EC7">
              <w:rPr>
                <w:sz w:val="13"/>
                <w:szCs w:val="13"/>
              </w:rPr>
              <w:t>0</w:t>
            </w:r>
          </w:p>
        </w:tc>
        <w:tc>
          <w:tcPr>
            <w:tcW w:w="643" w:type="dxa"/>
            <w:shd w:val="clear" w:color="auto" w:fill="auto"/>
          </w:tcPr>
          <w:p w14:paraId="4D5E675A" w14:textId="77777777" w:rsidR="0087601C" w:rsidRPr="006A1EC7" w:rsidRDefault="0087601C" w:rsidP="00D56051">
            <w:pPr>
              <w:rPr>
                <w:sz w:val="13"/>
                <w:szCs w:val="13"/>
              </w:rPr>
            </w:pPr>
            <w:r w:rsidRPr="006A1EC7">
              <w:rPr>
                <w:sz w:val="13"/>
                <w:szCs w:val="13"/>
              </w:rPr>
              <w:t>0/10</w:t>
            </w:r>
          </w:p>
        </w:tc>
        <w:tc>
          <w:tcPr>
            <w:tcW w:w="221" w:type="dxa"/>
            <w:shd w:val="clear" w:color="auto" w:fill="auto"/>
          </w:tcPr>
          <w:p w14:paraId="39AFC282" w14:textId="77777777" w:rsidR="0087601C" w:rsidRPr="006A1EC7" w:rsidRDefault="0087601C" w:rsidP="00D56051">
            <w:pPr>
              <w:rPr>
                <w:sz w:val="13"/>
                <w:szCs w:val="13"/>
              </w:rPr>
            </w:pPr>
            <w:r w:rsidRPr="006A1EC7">
              <w:rPr>
                <w:sz w:val="13"/>
                <w:szCs w:val="13"/>
              </w:rPr>
              <w:t>0%</w:t>
            </w:r>
          </w:p>
        </w:tc>
      </w:tr>
      <w:tr w:rsidR="00744A8E" w:rsidRPr="006A1EC7" w14:paraId="20908A5A" w14:textId="77777777" w:rsidTr="00D56051">
        <w:tc>
          <w:tcPr>
            <w:tcW w:w="1004" w:type="dxa"/>
          </w:tcPr>
          <w:p w14:paraId="0E800706" w14:textId="77777777" w:rsidR="0087601C" w:rsidRPr="006A1EC7" w:rsidRDefault="0087601C" w:rsidP="00D56051">
            <w:pPr>
              <w:rPr>
                <w:sz w:val="13"/>
                <w:szCs w:val="13"/>
              </w:rPr>
            </w:pPr>
            <w:r w:rsidRPr="006A1EC7">
              <w:rPr>
                <w:sz w:val="13"/>
                <w:szCs w:val="13"/>
              </w:rPr>
              <w:t>CRS</w:t>
            </w:r>
          </w:p>
        </w:tc>
        <w:tc>
          <w:tcPr>
            <w:tcW w:w="396" w:type="dxa"/>
            <w:shd w:val="clear" w:color="auto" w:fill="FFFF00"/>
          </w:tcPr>
          <w:p w14:paraId="609A1DE9" w14:textId="77777777" w:rsidR="0087601C" w:rsidRPr="006A1EC7" w:rsidRDefault="0087601C" w:rsidP="00D56051">
            <w:pPr>
              <w:rPr>
                <w:sz w:val="13"/>
                <w:szCs w:val="13"/>
              </w:rPr>
            </w:pPr>
            <w:r w:rsidRPr="006A1EC7">
              <w:rPr>
                <w:sz w:val="13"/>
                <w:szCs w:val="13"/>
              </w:rPr>
              <w:t>3</w:t>
            </w:r>
          </w:p>
        </w:tc>
        <w:tc>
          <w:tcPr>
            <w:tcW w:w="396" w:type="dxa"/>
            <w:shd w:val="clear" w:color="auto" w:fill="FFFF00"/>
          </w:tcPr>
          <w:p w14:paraId="137A5E58" w14:textId="77777777" w:rsidR="0087601C" w:rsidRPr="006A1EC7" w:rsidRDefault="0087601C" w:rsidP="00D56051">
            <w:pPr>
              <w:rPr>
                <w:sz w:val="13"/>
                <w:szCs w:val="13"/>
              </w:rPr>
            </w:pPr>
            <w:r w:rsidRPr="006A1EC7">
              <w:rPr>
                <w:sz w:val="13"/>
                <w:szCs w:val="13"/>
              </w:rPr>
              <w:t>3</w:t>
            </w:r>
          </w:p>
        </w:tc>
        <w:tc>
          <w:tcPr>
            <w:tcW w:w="396" w:type="dxa"/>
          </w:tcPr>
          <w:p w14:paraId="5882229F"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137700A3" w14:textId="77777777" w:rsidR="0087601C" w:rsidRPr="006A1EC7" w:rsidRDefault="0087601C" w:rsidP="00D56051">
            <w:pPr>
              <w:rPr>
                <w:sz w:val="13"/>
                <w:szCs w:val="13"/>
              </w:rPr>
            </w:pPr>
            <w:r w:rsidRPr="006A1EC7">
              <w:rPr>
                <w:sz w:val="13"/>
                <w:szCs w:val="13"/>
              </w:rPr>
              <w:t>3</w:t>
            </w:r>
          </w:p>
        </w:tc>
        <w:tc>
          <w:tcPr>
            <w:tcW w:w="396" w:type="dxa"/>
            <w:shd w:val="clear" w:color="auto" w:fill="FFFF00"/>
          </w:tcPr>
          <w:p w14:paraId="57601CA5" w14:textId="77777777" w:rsidR="0087601C" w:rsidRPr="006A1EC7" w:rsidRDefault="0087601C" w:rsidP="00D56051">
            <w:pPr>
              <w:rPr>
                <w:sz w:val="13"/>
                <w:szCs w:val="13"/>
              </w:rPr>
            </w:pPr>
            <w:r w:rsidRPr="006A1EC7">
              <w:rPr>
                <w:sz w:val="13"/>
                <w:szCs w:val="13"/>
              </w:rPr>
              <w:t>3</w:t>
            </w:r>
          </w:p>
        </w:tc>
        <w:tc>
          <w:tcPr>
            <w:tcW w:w="396" w:type="dxa"/>
          </w:tcPr>
          <w:p w14:paraId="1D37BEF5"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7EA58EBF" w14:textId="77777777" w:rsidR="0087601C" w:rsidRPr="006A1EC7" w:rsidRDefault="0087601C" w:rsidP="00D56051">
            <w:pPr>
              <w:rPr>
                <w:sz w:val="13"/>
                <w:szCs w:val="13"/>
              </w:rPr>
            </w:pPr>
            <w:r w:rsidRPr="006A1EC7">
              <w:rPr>
                <w:sz w:val="13"/>
                <w:szCs w:val="13"/>
              </w:rPr>
              <w:t>3</w:t>
            </w:r>
          </w:p>
        </w:tc>
        <w:tc>
          <w:tcPr>
            <w:tcW w:w="396" w:type="dxa"/>
            <w:shd w:val="clear" w:color="auto" w:fill="FFFF00"/>
          </w:tcPr>
          <w:p w14:paraId="30623C1C" w14:textId="77777777" w:rsidR="0087601C" w:rsidRPr="006A1EC7" w:rsidRDefault="0087601C" w:rsidP="00D56051">
            <w:pPr>
              <w:rPr>
                <w:sz w:val="13"/>
                <w:szCs w:val="13"/>
              </w:rPr>
            </w:pPr>
            <w:r w:rsidRPr="006A1EC7">
              <w:rPr>
                <w:sz w:val="13"/>
                <w:szCs w:val="13"/>
              </w:rPr>
              <w:t>3</w:t>
            </w:r>
          </w:p>
        </w:tc>
        <w:tc>
          <w:tcPr>
            <w:tcW w:w="396" w:type="dxa"/>
            <w:shd w:val="clear" w:color="auto" w:fill="auto"/>
          </w:tcPr>
          <w:p w14:paraId="43A8C86D"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3D1DD7A9" w14:textId="77777777" w:rsidR="0087601C" w:rsidRPr="006A1EC7" w:rsidRDefault="0087601C" w:rsidP="00D56051">
            <w:pPr>
              <w:rPr>
                <w:sz w:val="13"/>
                <w:szCs w:val="13"/>
              </w:rPr>
            </w:pPr>
            <w:r w:rsidRPr="006A1EC7">
              <w:rPr>
                <w:sz w:val="13"/>
                <w:szCs w:val="13"/>
              </w:rPr>
              <w:t>4</w:t>
            </w:r>
          </w:p>
        </w:tc>
        <w:tc>
          <w:tcPr>
            <w:tcW w:w="395" w:type="dxa"/>
            <w:shd w:val="clear" w:color="auto" w:fill="FFFF00"/>
          </w:tcPr>
          <w:p w14:paraId="3CE754F9" w14:textId="77777777" w:rsidR="0087601C" w:rsidRPr="006A1EC7" w:rsidRDefault="0087601C" w:rsidP="00D56051">
            <w:pPr>
              <w:rPr>
                <w:sz w:val="13"/>
                <w:szCs w:val="13"/>
              </w:rPr>
            </w:pPr>
            <w:r w:rsidRPr="006A1EC7">
              <w:rPr>
                <w:sz w:val="13"/>
                <w:szCs w:val="13"/>
              </w:rPr>
              <w:t>3</w:t>
            </w:r>
          </w:p>
        </w:tc>
        <w:tc>
          <w:tcPr>
            <w:tcW w:w="395" w:type="dxa"/>
          </w:tcPr>
          <w:p w14:paraId="11B3A17D"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3346E166"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4141C73E" w14:textId="77777777" w:rsidR="0087601C" w:rsidRPr="006A1EC7" w:rsidRDefault="0087601C" w:rsidP="00D56051">
            <w:pPr>
              <w:rPr>
                <w:sz w:val="13"/>
                <w:szCs w:val="13"/>
              </w:rPr>
            </w:pPr>
            <w:r w:rsidRPr="006A1EC7">
              <w:rPr>
                <w:sz w:val="13"/>
                <w:szCs w:val="13"/>
              </w:rPr>
              <w:t>3</w:t>
            </w:r>
          </w:p>
        </w:tc>
        <w:tc>
          <w:tcPr>
            <w:tcW w:w="395" w:type="dxa"/>
          </w:tcPr>
          <w:p w14:paraId="1385706A"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013652A7"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1C0D705D" w14:textId="77777777" w:rsidR="0087601C" w:rsidRPr="006A1EC7" w:rsidRDefault="0087601C" w:rsidP="00D56051">
            <w:pPr>
              <w:rPr>
                <w:sz w:val="13"/>
                <w:szCs w:val="13"/>
              </w:rPr>
            </w:pPr>
            <w:r w:rsidRPr="006A1EC7">
              <w:rPr>
                <w:sz w:val="13"/>
                <w:szCs w:val="13"/>
              </w:rPr>
              <w:t>3</w:t>
            </w:r>
          </w:p>
        </w:tc>
        <w:tc>
          <w:tcPr>
            <w:tcW w:w="395" w:type="dxa"/>
          </w:tcPr>
          <w:p w14:paraId="4A9C7342"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6EFE774A"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33333EFB" w14:textId="77777777" w:rsidR="0087601C" w:rsidRPr="006A1EC7" w:rsidRDefault="0087601C" w:rsidP="00D56051">
            <w:pPr>
              <w:rPr>
                <w:sz w:val="13"/>
                <w:szCs w:val="13"/>
              </w:rPr>
            </w:pPr>
            <w:r w:rsidRPr="006A1EC7">
              <w:rPr>
                <w:sz w:val="13"/>
                <w:szCs w:val="13"/>
              </w:rPr>
              <w:t>4</w:t>
            </w:r>
          </w:p>
        </w:tc>
        <w:tc>
          <w:tcPr>
            <w:tcW w:w="395" w:type="dxa"/>
          </w:tcPr>
          <w:p w14:paraId="5003E8A4"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4100C407"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556D2253" w14:textId="77777777" w:rsidR="0087601C" w:rsidRPr="006A1EC7" w:rsidRDefault="0087601C" w:rsidP="00D56051">
            <w:pPr>
              <w:rPr>
                <w:sz w:val="13"/>
                <w:szCs w:val="13"/>
              </w:rPr>
            </w:pPr>
            <w:r w:rsidRPr="006A1EC7">
              <w:rPr>
                <w:sz w:val="13"/>
                <w:szCs w:val="13"/>
              </w:rPr>
              <w:t>4</w:t>
            </w:r>
          </w:p>
        </w:tc>
        <w:tc>
          <w:tcPr>
            <w:tcW w:w="395" w:type="dxa"/>
          </w:tcPr>
          <w:p w14:paraId="56CAA590"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373E763B"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724A8501" w14:textId="77777777" w:rsidR="0087601C" w:rsidRPr="006A1EC7" w:rsidRDefault="0087601C" w:rsidP="00D56051">
            <w:pPr>
              <w:rPr>
                <w:sz w:val="13"/>
                <w:szCs w:val="13"/>
              </w:rPr>
            </w:pPr>
            <w:r w:rsidRPr="006A1EC7">
              <w:rPr>
                <w:sz w:val="13"/>
                <w:szCs w:val="13"/>
              </w:rPr>
              <w:t>3</w:t>
            </w:r>
          </w:p>
        </w:tc>
        <w:tc>
          <w:tcPr>
            <w:tcW w:w="395" w:type="dxa"/>
            <w:shd w:val="clear" w:color="auto" w:fill="auto"/>
          </w:tcPr>
          <w:p w14:paraId="2FDD73D2"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5DB10DE3" w14:textId="77777777" w:rsidR="0087601C" w:rsidRPr="006A1EC7" w:rsidRDefault="0087601C" w:rsidP="00D56051">
            <w:pPr>
              <w:rPr>
                <w:sz w:val="13"/>
                <w:szCs w:val="13"/>
              </w:rPr>
            </w:pPr>
            <w:r w:rsidRPr="006A1EC7">
              <w:rPr>
                <w:sz w:val="13"/>
                <w:szCs w:val="13"/>
              </w:rPr>
              <w:t>3</w:t>
            </w:r>
          </w:p>
        </w:tc>
        <w:tc>
          <w:tcPr>
            <w:tcW w:w="396" w:type="dxa"/>
            <w:shd w:val="clear" w:color="auto" w:fill="FFFF00"/>
          </w:tcPr>
          <w:p w14:paraId="6C6EAC0E" w14:textId="77777777" w:rsidR="0087601C" w:rsidRPr="006A1EC7" w:rsidRDefault="0087601C" w:rsidP="00D56051">
            <w:pPr>
              <w:rPr>
                <w:sz w:val="13"/>
                <w:szCs w:val="13"/>
              </w:rPr>
            </w:pPr>
            <w:r w:rsidRPr="006A1EC7">
              <w:rPr>
                <w:sz w:val="13"/>
                <w:szCs w:val="13"/>
              </w:rPr>
              <w:t>3</w:t>
            </w:r>
          </w:p>
        </w:tc>
        <w:tc>
          <w:tcPr>
            <w:tcW w:w="395" w:type="dxa"/>
          </w:tcPr>
          <w:p w14:paraId="6CCB992F" w14:textId="77777777" w:rsidR="0087601C" w:rsidRPr="006A1EC7" w:rsidRDefault="0087601C" w:rsidP="00D56051">
            <w:pPr>
              <w:rPr>
                <w:sz w:val="13"/>
                <w:szCs w:val="13"/>
              </w:rPr>
            </w:pPr>
            <w:r w:rsidRPr="006A1EC7">
              <w:rPr>
                <w:sz w:val="13"/>
                <w:szCs w:val="13"/>
              </w:rPr>
              <w:t>1</w:t>
            </w:r>
          </w:p>
        </w:tc>
        <w:tc>
          <w:tcPr>
            <w:tcW w:w="643" w:type="dxa"/>
            <w:shd w:val="clear" w:color="auto" w:fill="auto"/>
          </w:tcPr>
          <w:p w14:paraId="59C082E7" w14:textId="77777777" w:rsidR="0087601C" w:rsidRPr="006A1EC7" w:rsidRDefault="0087601C" w:rsidP="00D56051">
            <w:pPr>
              <w:rPr>
                <w:sz w:val="13"/>
                <w:szCs w:val="13"/>
              </w:rPr>
            </w:pPr>
            <w:r w:rsidRPr="006A1EC7">
              <w:rPr>
                <w:sz w:val="13"/>
                <w:szCs w:val="13"/>
              </w:rPr>
              <w:t>6/10</w:t>
            </w:r>
          </w:p>
        </w:tc>
        <w:tc>
          <w:tcPr>
            <w:tcW w:w="221" w:type="dxa"/>
            <w:shd w:val="clear" w:color="auto" w:fill="auto"/>
          </w:tcPr>
          <w:p w14:paraId="496AC83C" w14:textId="77777777" w:rsidR="0087601C" w:rsidRPr="006A1EC7" w:rsidRDefault="0087601C" w:rsidP="00D56051">
            <w:pPr>
              <w:rPr>
                <w:sz w:val="13"/>
                <w:szCs w:val="13"/>
              </w:rPr>
            </w:pPr>
            <w:r w:rsidRPr="006A1EC7">
              <w:rPr>
                <w:sz w:val="13"/>
                <w:szCs w:val="13"/>
              </w:rPr>
              <w:t>60%</w:t>
            </w:r>
          </w:p>
        </w:tc>
      </w:tr>
      <w:tr w:rsidR="00744A8E" w:rsidRPr="006A1EC7" w14:paraId="3B673FC0" w14:textId="77777777" w:rsidTr="00D56051">
        <w:tc>
          <w:tcPr>
            <w:tcW w:w="1004" w:type="dxa"/>
          </w:tcPr>
          <w:p w14:paraId="64186F64" w14:textId="77777777" w:rsidR="0087601C" w:rsidRPr="006A1EC7" w:rsidRDefault="0087601C" w:rsidP="00D56051">
            <w:pPr>
              <w:rPr>
                <w:sz w:val="13"/>
                <w:szCs w:val="13"/>
              </w:rPr>
            </w:pPr>
            <w:r w:rsidRPr="006A1EC7">
              <w:rPr>
                <w:sz w:val="13"/>
                <w:szCs w:val="13"/>
              </w:rPr>
              <w:t>CNS</w:t>
            </w:r>
          </w:p>
        </w:tc>
        <w:tc>
          <w:tcPr>
            <w:tcW w:w="396" w:type="dxa"/>
            <w:shd w:val="clear" w:color="auto" w:fill="FFFF00"/>
          </w:tcPr>
          <w:p w14:paraId="18764139"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0BB0DEC8" w14:textId="77777777" w:rsidR="0087601C" w:rsidRPr="006A1EC7" w:rsidRDefault="0087601C" w:rsidP="00D56051">
            <w:pPr>
              <w:rPr>
                <w:sz w:val="13"/>
                <w:szCs w:val="13"/>
              </w:rPr>
            </w:pPr>
            <w:r w:rsidRPr="006A1EC7">
              <w:rPr>
                <w:sz w:val="13"/>
                <w:szCs w:val="13"/>
              </w:rPr>
              <w:t>1</w:t>
            </w:r>
          </w:p>
        </w:tc>
        <w:tc>
          <w:tcPr>
            <w:tcW w:w="396" w:type="dxa"/>
          </w:tcPr>
          <w:p w14:paraId="1B5F658A"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35C73287"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35EA4540" w14:textId="77777777" w:rsidR="0087601C" w:rsidRPr="006A1EC7" w:rsidRDefault="0087601C" w:rsidP="00D56051">
            <w:pPr>
              <w:rPr>
                <w:sz w:val="13"/>
                <w:szCs w:val="13"/>
              </w:rPr>
            </w:pPr>
            <w:r w:rsidRPr="006A1EC7">
              <w:rPr>
                <w:sz w:val="13"/>
                <w:szCs w:val="13"/>
              </w:rPr>
              <w:t>0</w:t>
            </w:r>
          </w:p>
        </w:tc>
        <w:tc>
          <w:tcPr>
            <w:tcW w:w="396" w:type="dxa"/>
          </w:tcPr>
          <w:p w14:paraId="776F8AC7"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0D2BEF07"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697DA766" w14:textId="77777777" w:rsidR="0087601C" w:rsidRPr="006A1EC7" w:rsidRDefault="0087601C" w:rsidP="00D56051">
            <w:pPr>
              <w:rPr>
                <w:sz w:val="13"/>
                <w:szCs w:val="13"/>
              </w:rPr>
            </w:pPr>
            <w:r w:rsidRPr="006A1EC7">
              <w:rPr>
                <w:sz w:val="13"/>
                <w:szCs w:val="13"/>
              </w:rPr>
              <w:t>1</w:t>
            </w:r>
          </w:p>
        </w:tc>
        <w:tc>
          <w:tcPr>
            <w:tcW w:w="396" w:type="dxa"/>
            <w:shd w:val="clear" w:color="auto" w:fill="auto"/>
          </w:tcPr>
          <w:p w14:paraId="148BD551"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53832F0F"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6AB139D9" w14:textId="77777777" w:rsidR="0087601C" w:rsidRPr="006A1EC7" w:rsidRDefault="0087601C" w:rsidP="00D56051">
            <w:pPr>
              <w:rPr>
                <w:sz w:val="13"/>
                <w:szCs w:val="13"/>
              </w:rPr>
            </w:pPr>
            <w:r w:rsidRPr="006A1EC7">
              <w:rPr>
                <w:sz w:val="13"/>
                <w:szCs w:val="13"/>
              </w:rPr>
              <w:t>0</w:t>
            </w:r>
          </w:p>
        </w:tc>
        <w:tc>
          <w:tcPr>
            <w:tcW w:w="395" w:type="dxa"/>
          </w:tcPr>
          <w:p w14:paraId="2C052D26"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5DA1D32F"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242F9DC0" w14:textId="77777777" w:rsidR="0087601C" w:rsidRPr="006A1EC7" w:rsidRDefault="0087601C" w:rsidP="00D56051">
            <w:pPr>
              <w:rPr>
                <w:sz w:val="13"/>
                <w:szCs w:val="13"/>
              </w:rPr>
            </w:pPr>
            <w:r w:rsidRPr="006A1EC7">
              <w:rPr>
                <w:sz w:val="13"/>
                <w:szCs w:val="13"/>
              </w:rPr>
              <w:t>1</w:t>
            </w:r>
          </w:p>
        </w:tc>
        <w:tc>
          <w:tcPr>
            <w:tcW w:w="395" w:type="dxa"/>
          </w:tcPr>
          <w:p w14:paraId="51C382E6"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54819B94"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0B3A576F" w14:textId="77777777" w:rsidR="0087601C" w:rsidRPr="006A1EC7" w:rsidRDefault="0087601C" w:rsidP="00D56051">
            <w:pPr>
              <w:rPr>
                <w:sz w:val="13"/>
                <w:szCs w:val="13"/>
              </w:rPr>
            </w:pPr>
            <w:r w:rsidRPr="006A1EC7">
              <w:rPr>
                <w:sz w:val="13"/>
                <w:szCs w:val="13"/>
              </w:rPr>
              <w:t>1</w:t>
            </w:r>
          </w:p>
        </w:tc>
        <w:tc>
          <w:tcPr>
            <w:tcW w:w="395" w:type="dxa"/>
          </w:tcPr>
          <w:p w14:paraId="5838E88F"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1A3E885F"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6C0276DB" w14:textId="77777777" w:rsidR="0087601C" w:rsidRPr="006A1EC7" w:rsidRDefault="0087601C" w:rsidP="00D56051">
            <w:pPr>
              <w:rPr>
                <w:sz w:val="13"/>
                <w:szCs w:val="13"/>
              </w:rPr>
            </w:pPr>
            <w:r w:rsidRPr="006A1EC7">
              <w:rPr>
                <w:sz w:val="13"/>
                <w:szCs w:val="13"/>
              </w:rPr>
              <w:t>0</w:t>
            </w:r>
          </w:p>
        </w:tc>
        <w:tc>
          <w:tcPr>
            <w:tcW w:w="395" w:type="dxa"/>
          </w:tcPr>
          <w:p w14:paraId="3596A14D"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6EB6D69E"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77546ED2" w14:textId="77777777" w:rsidR="0087601C" w:rsidRPr="006A1EC7" w:rsidRDefault="0087601C" w:rsidP="00D56051">
            <w:pPr>
              <w:rPr>
                <w:sz w:val="13"/>
                <w:szCs w:val="13"/>
              </w:rPr>
            </w:pPr>
            <w:r w:rsidRPr="006A1EC7">
              <w:rPr>
                <w:sz w:val="13"/>
                <w:szCs w:val="13"/>
              </w:rPr>
              <w:t>0</w:t>
            </w:r>
          </w:p>
        </w:tc>
        <w:tc>
          <w:tcPr>
            <w:tcW w:w="395" w:type="dxa"/>
          </w:tcPr>
          <w:p w14:paraId="7D2C5F34"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2A4D43E8"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7132D20D" w14:textId="77777777" w:rsidR="0087601C" w:rsidRPr="006A1EC7" w:rsidRDefault="0087601C" w:rsidP="00D56051">
            <w:pPr>
              <w:rPr>
                <w:sz w:val="13"/>
                <w:szCs w:val="13"/>
              </w:rPr>
            </w:pPr>
            <w:r w:rsidRPr="006A1EC7">
              <w:rPr>
                <w:sz w:val="13"/>
                <w:szCs w:val="13"/>
              </w:rPr>
              <w:t>0</w:t>
            </w:r>
          </w:p>
        </w:tc>
        <w:tc>
          <w:tcPr>
            <w:tcW w:w="395" w:type="dxa"/>
            <w:shd w:val="clear" w:color="auto" w:fill="auto"/>
          </w:tcPr>
          <w:p w14:paraId="45B13475"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3A365089"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50BC5E0D" w14:textId="77777777" w:rsidR="0087601C" w:rsidRPr="006A1EC7" w:rsidRDefault="0087601C" w:rsidP="00D56051">
            <w:pPr>
              <w:rPr>
                <w:sz w:val="13"/>
                <w:szCs w:val="13"/>
              </w:rPr>
            </w:pPr>
            <w:r w:rsidRPr="006A1EC7">
              <w:rPr>
                <w:sz w:val="13"/>
                <w:szCs w:val="13"/>
              </w:rPr>
              <w:t>0</w:t>
            </w:r>
          </w:p>
        </w:tc>
        <w:tc>
          <w:tcPr>
            <w:tcW w:w="395" w:type="dxa"/>
          </w:tcPr>
          <w:p w14:paraId="65710119" w14:textId="77777777" w:rsidR="0087601C" w:rsidRPr="006A1EC7" w:rsidRDefault="0087601C" w:rsidP="00D56051">
            <w:pPr>
              <w:rPr>
                <w:sz w:val="13"/>
                <w:szCs w:val="13"/>
              </w:rPr>
            </w:pPr>
            <w:r w:rsidRPr="006A1EC7">
              <w:rPr>
                <w:sz w:val="13"/>
                <w:szCs w:val="13"/>
              </w:rPr>
              <w:t>0</w:t>
            </w:r>
          </w:p>
        </w:tc>
        <w:tc>
          <w:tcPr>
            <w:tcW w:w="643" w:type="dxa"/>
            <w:shd w:val="clear" w:color="auto" w:fill="auto"/>
          </w:tcPr>
          <w:p w14:paraId="3B43F6E5" w14:textId="77777777" w:rsidR="0087601C" w:rsidRPr="006A1EC7" w:rsidRDefault="0087601C" w:rsidP="00D56051">
            <w:pPr>
              <w:rPr>
                <w:sz w:val="13"/>
                <w:szCs w:val="13"/>
              </w:rPr>
            </w:pPr>
            <w:r w:rsidRPr="006A1EC7">
              <w:rPr>
                <w:sz w:val="13"/>
                <w:szCs w:val="13"/>
              </w:rPr>
              <w:t>4/10</w:t>
            </w:r>
          </w:p>
        </w:tc>
        <w:tc>
          <w:tcPr>
            <w:tcW w:w="221" w:type="dxa"/>
            <w:shd w:val="clear" w:color="auto" w:fill="auto"/>
          </w:tcPr>
          <w:p w14:paraId="39638EBA" w14:textId="77777777" w:rsidR="0087601C" w:rsidRPr="006A1EC7" w:rsidRDefault="0087601C" w:rsidP="00D56051">
            <w:pPr>
              <w:rPr>
                <w:sz w:val="13"/>
                <w:szCs w:val="13"/>
              </w:rPr>
            </w:pPr>
            <w:r w:rsidRPr="006A1EC7">
              <w:rPr>
                <w:sz w:val="13"/>
                <w:szCs w:val="13"/>
              </w:rPr>
              <w:t>40%</w:t>
            </w:r>
          </w:p>
        </w:tc>
      </w:tr>
      <w:tr w:rsidR="00744A8E" w:rsidRPr="006A1EC7" w14:paraId="2583A6FA" w14:textId="77777777" w:rsidTr="00D56051">
        <w:tc>
          <w:tcPr>
            <w:tcW w:w="1004" w:type="dxa"/>
          </w:tcPr>
          <w:p w14:paraId="03057BD9" w14:textId="77777777" w:rsidR="0087601C" w:rsidRPr="006A1EC7" w:rsidRDefault="0087601C" w:rsidP="00D56051">
            <w:pPr>
              <w:rPr>
                <w:sz w:val="13"/>
                <w:szCs w:val="13"/>
              </w:rPr>
            </w:pPr>
            <w:r w:rsidRPr="006A1EC7">
              <w:rPr>
                <w:sz w:val="13"/>
                <w:szCs w:val="13"/>
              </w:rPr>
              <w:t>FUC</w:t>
            </w:r>
          </w:p>
        </w:tc>
        <w:tc>
          <w:tcPr>
            <w:tcW w:w="396" w:type="dxa"/>
            <w:shd w:val="clear" w:color="auto" w:fill="FFFF00"/>
          </w:tcPr>
          <w:p w14:paraId="046CF82C" w14:textId="77777777" w:rsidR="0087601C" w:rsidRPr="006A1EC7" w:rsidRDefault="0087601C" w:rsidP="00D56051">
            <w:pPr>
              <w:rPr>
                <w:sz w:val="13"/>
                <w:szCs w:val="13"/>
              </w:rPr>
            </w:pPr>
            <w:r w:rsidRPr="006A1EC7">
              <w:rPr>
                <w:sz w:val="13"/>
                <w:szCs w:val="13"/>
              </w:rPr>
              <w:t>2</w:t>
            </w:r>
          </w:p>
        </w:tc>
        <w:tc>
          <w:tcPr>
            <w:tcW w:w="396" w:type="dxa"/>
            <w:shd w:val="clear" w:color="auto" w:fill="FFFF00"/>
          </w:tcPr>
          <w:p w14:paraId="63795646" w14:textId="77777777" w:rsidR="0087601C" w:rsidRPr="006A1EC7" w:rsidRDefault="0087601C" w:rsidP="00D56051">
            <w:pPr>
              <w:rPr>
                <w:sz w:val="13"/>
                <w:szCs w:val="13"/>
              </w:rPr>
            </w:pPr>
            <w:r w:rsidRPr="006A1EC7">
              <w:rPr>
                <w:sz w:val="13"/>
                <w:szCs w:val="13"/>
              </w:rPr>
              <w:t>3</w:t>
            </w:r>
          </w:p>
        </w:tc>
        <w:tc>
          <w:tcPr>
            <w:tcW w:w="396" w:type="dxa"/>
          </w:tcPr>
          <w:p w14:paraId="40EFA54B"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44A5120D" w14:textId="77777777" w:rsidR="0087601C" w:rsidRPr="006A1EC7" w:rsidRDefault="0087601C" w:rsidP="00D56051">
            <w:pPr>
              <w:rPr>
                <w:sz w:val="13"/>
                <w:szCs w:val="13"/>
              </w:rPr>
            </w:pPr>
            <w:r w:rsidRPr="006A1EC7">
              <w:rPr>
                <w:sz w:val="13"/>
                <w:szCs w:val="13"/>
              </w:rPr>
              <w:t>4</w:t>
            </w:r>
          </w:p>
        </w:tc>
        <w:tc>
          <w:tcPr>
            <w:tcW w:w="396" w:type="dxa"/>
            <w:shd w:val="clear" w:color="auto" w:fill="FFFF00"/>
          </w:tcPr>
          <w:p w14:paraId="0BB25478" w14:textId="77777777" w:rsidR="0087601C" w:rsidRPr="006A1EC7" w:rsidRDefault="0087601C" w:rsidP="00D56051">
            <w:pPr>
              <w:rPr>
                <w:sz w:val="13"/>
                <w:szCs w:val="13"/>
              </w:rPr>
            </w:pPr>
            <w:r w:rsidRPr="006A1EC7">
              <w:rPr>
                <w:sz w:val="13"/>
                <w:szCs w:val="13"/>
              </w:rPr>
              <w:t>3</w:t>
            </w:r>
          </w:p>
        </w:tc>
        <w:tc>
          <w:tcPr>
            <w:tcW w:w="396" w:type="dxa"/>
          </w:tcPr>
          <w:p w14:paraId="535F279B"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047F3F00" w14:textId="77777777" w:rsidR="0087601C" w:rsidRPr="006A1EC7" w:rsidRDefault="0087601C" w:rsidP="00D56051">
            <w:pPr>
              <w:rPr>
                <w:sz w:val="13"/>
                <w:szCs w:val="13"/>
              </w:rPr>
            </w:pPr>
            <w:r w:rsidRPr="006A1EC7">
              <w:rPr>
                <w:sz w:val="13"/>
                <w:szCs w:val="13"/>
              </w:rPr>
              <w:t>4</w:t>
            </w:r>
          </w:p>
        </w:tc>
        <w:tc>
          <w:tcPr>
            <w:tcW w:w="396" w:type="dxa"/>
            <w:shd w:val="clear" w:color="auto" w:fill="FFFF00"/>
          </w:tcPr>
          <w:p w14:paraId="20A0A6BD" w14:textId="77777777" w:rsidR="0087601C" w:rsidRPr="006A1EC7" w:rsidRDefault="0087601C" w:rsidP="00D56051">
            <w:pPr>
              <w:rPr>
                <w:sz w:val="13"/>
                <w:szCs w:val="13"/>
              </w:rPr>
            </w:pPr>
            <w:r w:rsidRPr="006A1EC7">
              <w:rPr>
                <w:sz w:val="13"/>
                <w:szCs w:val="13"/>
              </w:rPr>
              <w:t>3</w:t>
            </w:r>
          </w:p>
        </w:tc>
        <w:tc>
          <w:tcPr>
            <w:tcW w:w="396" w:type="dxa"/>
            <w:shd w:val="clear" w:color="auto" w:fill="auto"/>
          </w:tcPr>
          <w:p w14:paraId="4E295BEE"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23B886F0" w14:textId="77777777" w:rsidR="0087601C" w:rsidRPr="006A1EC7" w:rsidRDefault="0087601C" w:rsidP="00D56051">
            <w:pPr>
              <w:rPr>
                <w:sz w:val="13"/>
                <w:szCs w:val="13"/>
              </w:rPr>
            </w:pPr>
            <w:r w:rsidRPr="006A1EC7">
              <w:rPr>
                <w:sz w:val="13"/>
                <w:szCs w:val="13"/>
              </w:rPr>
              <w:t>5</w:t>
            </w:r>
          </w:p>
        </w:tc>
        <w:tc>
          <w:tcPr>
            <w:tcW w:w="395" w:type="dxa"/>
            <w:shd w:val="clear" w:color="auto" w:fill="FFFF00"/>
          </w:tcPr>
          <w:p w14:paraId="791D77FB" w14:textId="77777777" w:rsidR="0087601C" w:rsidRPr="006A1EC7" w:rsidRDefault="0087601C" w:rsidP="00D56051">
            <w:pPr>
              <w:rPr>
                <w:sz w:val="13"/>
                <w:szCs w:val="13"/>
              </w:rPr>
            </w:pPr>
            <w:r w:rsidRPr="006A1EC7">
              <w:rPr>
                <w:sz w:val="13"/>
                <w:szCs w:val="13"/>
              </w:rPr>
              <w:t>4</w:t>
            </w:r>
          </w:p>
        </w:tc>
        <w:tc>
          <w:tcPr>
            <w:tcW w:w="395" w:type="dxa"/>
          </w:tcPr>
          <w:p w14:paraId="7A90CD5E"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202392A6"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0FBDBBC1" w14:textId="77777777" w:rsidR="0087601C" w:rsidRPr="006A1EC7" w:rsidRDefault="0087601C" w:rsidP="00D56051">
            <w:pPr>
              <w:rPr>
                <w:sz w:val="13"/>
                <w:szCs w:val="13"/>
              </w:rPr>
            </w:pPr>
            <w:r w:rsidRPr="006A1EC7">
              <w:rPr>
                <w:sz w:val="13"/>
                <w:szCs w:val="13"/>
              </w:rPr>
              <w:t>4</w:t>
            </w:r>
          </w:p>
        </w:tc>
        <w:tc>
          <w:tcPr>
            <w:tcW w:w="395" w:type="dxa"/>
          </w:tcPr>
          <w:p w14:paraId="7CD89F98"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1D6F8B2C"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5B3AE1B0" w14:textId="77777777" w:rsidR="0087601C" w:rsidRPr="006A1EC7" w:rsidRDefault="0087601C" w:rsidP="00D56051">
            <w:pPr>
              <w:rPr>
                <w:sz w:val="13"/>
                <w:szCs w:val="13"/>
              </w:rPr>
            </w:pPr>
            <w:r w:rsidRPr="006A1EC7">
              <w:rPr>
                <w:sz w:val="13"/>
                <w:szCs w:val="13"/>
              </w:rPr>
              <w:t>2</w:t>
            </w:r>
          </w:p>
        </w:tc>
        <w:tc>
          <w:tcPr>
            <w:tcW w:w="395" w:type="dxa"/>
          </w:tcPr>
          <w:p w14:paraId="7CF0FA72"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43C4DBA1"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722A7ED6" w14:textId="77777777" w:rsidR="0087601C" w:rsidRPr="006A1EC7" w:rsidRDefault="0087601C" w:rsidP="00D56051">
            <w:pPr>
              <w:rPr>
                <w:sz w:val="13"/>
                <w:szCs w:val="13"/>
              </w:rPr>
            </w:pPr>
            <w:r w:rsidRPr="006A1EC7">
              <w:rPr>
                <w:sz w:val="13"/>
                <w:szCs w:val="13"/>
              </w:rPr>
              <w:t>2</w:t>
            </w:r>
          </w:p>
        </w:tc>
        <w:tc>
          <w:tcPr>
            <w:tcW w:w="395" w:type="dxa"/>
          </w:tcPr>
          <w:p w14:paraId="6350BF4B"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2BC77B49"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1ED16D99" w14:textId="77777777" w:rsidR="0087601C" w:rsidRPr="006A1EC7" w:rsidRDefault="0087601C" w:rsidP="00D56051">
            <w:pPr>
              <w:rPr>
                <w:sz w:val="13"/>
                <w:szCs w:val="13"/>
              </w:rPr>
            </w:pPr>
            <w:r w:rsidRPr="006A1EC7">
              <w:rPr>
                <w:sz w:val="13"/>
                <w:szCs w:val="13"/>
              </w:rPr>
              <w:t>3</w:t>
            </w:r>
          </w:p>
        </w:tc>
        <w:tc>
          <w:tcPr>
            <w:tcW w:w="395" w:type="dxa"/>
          </w:tcPr>
          <w:p w14:paraId="63664465"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655AD146" w14:textId="77777777" w:rsidR="0087601C" w:rsidRPr="006A1EC7" w:rsidRDefault="0087601C" w:rsidP="00D56051">
            <w:pPr>
              <w:rPr>
                <w:sz w:val="13"/>
                <w:szCs w:val="13"/>
              </w:rPr>
            </w:pPr>
            <w:r w:rsidRPr="006A1EC7">
              <w:rPr>
                <w:sz w:val="13"/>
                <w:szCs w:val="13"/>
              </w:rPr>
              <w:t>3</w:t>
            </w:r>
          </w:p>
        </w:tc>
        <w:tc>
          <w:tcPr>
            <w:tcW w:w="395" w:type="dxa"/>
            <w:shd w:val="clear" w:color="auto" w:fill="FFFF00"/>
          </w:tcPr>
          <w:p w14:paraId="681B4A90" w14:textId="77777777" w:rsidR="0087601C" w:rsidRPr="006A1EC7" w:rsidRDefault="0087601C" w:rsidP="00D56051">
            <w:pPr>
              <w:rPr>
                <w:sz w:val="13"/>
                <w:szCs w:val="13"/>
              </w:rPr>
            </w:pPr>
            <w:r w:rsidRPr="006A1EC7">
              <w:rPr>
                <w:sz w:val="13"/>
                <w:szCs w:val="13"/>
              </w:rPr>
              <w:t>4</w:t>
            </w:r>
          </w:p>
        </w:tc>
        <w:tc>
          <w:tcPr>
            <w:tcW w:w="395" w:type="dxa"/>
            <w:shd w:val="clear" w:color="auto" w:fill="auto"/>
          </w:tcPr>
          <w:p w14:paraId="7A0851DF"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2C39D6DE" w14:textId="77777777" w:rsidR="0087601C" w:rsidRPr="006A1EC7" w:rsidRDefault="0087601C" w:rsidP="00D56051">
            <w:pPr>
              <w:rPr>
                <w:sz w:val="13"/>
                <w:szCs w:val="13"/>
              </w:rPr>
            </w:pPr>
            <w:r w:rsidRPr="006A1EC7">
              <w:rPr>
                <w:sz w:val="13"/>
                <w:szCs w:val="13"/>
              </w:rPr>
              <w:t>3</w:t>
            </w:r>
          </w:p>
        </w:tc>
        <w:tc>
          <w:tcPr>
            <w:tcW w:w="396" w:type="dxa"/>
            <w:shd w:val="clear" w:color="auto" w:fill="FFFF00"/>
          </w:tcPr>
          <w:p w14:paraId="41F4CA0E" w14:textId="77777777" w:rsidR="0087601C" w:rsidRPr="006A1EC7" w:rsidRDefault="0087601C" w:rsidP="00D56051">
            <w:pPr>
              <w:rPr>
                <w:sz w:val="13"/>
                <w:szCs w:val="13"/>
              </w:rPr>
            </w:pPr>
            <w:r w:rsidRPr="006A1EC7">
              <w:rPr>
                <w:sz w:val="13"/>
                <w:szCs w:val="13"/>
              </w:rPr>
              <w:t>3</w:t>
            </w:r>
          </w:p>
        </w:tc>
        <w:tc>
          <w:tcPr>
            <w:tcW w:w="395" w:type="dxa"/>
          </w:tcPr>
          <w:p w14:paraId="66F858E5" w14:textId="77777777" w:rsidR="0087601C" w:rsidRPr="006A1EC7" w:rsidRDefault="0087601C" w:rsidP="00D56051">
            <w:pPr>
              <w:rPr>
                <w:sz w:val="13"/>
                <w:szCs w:val="13"/>
              </w:rPr>
            </w:pPr>
            <w:r w:rsidRPr="006A1EC7">
              <w:rPr>
                <w:sz w:val="13"/>
                <w:szCs w:val="13"/>
              </w:rPr>
              <w:t>1</w:t>
            </w:r>
          </w:p>
        </w:tc>
        <w:tc>
          <w:tcPr>
            <w:tcW w:w="643" w:type="dxa"/>
            <w:shd w:val="clear" w:color="auto" w:fill="auto"/>
          </w:tcPr>
          <w:p w14:paraId="607732EA" w14:textId="77777777" w:rsidR="0087601C" w:rsidRPr="006A1EC7" w:rsidRDefault="0087601C" w:rsidP="00D56051">
            <w:pPr>
              <w:rPr>
                <w:sz w:val="13"/>
                <w:szCs w:val="13"/>
              </w:rPr>
            </w:pPr>
            <w:r w:rsidRPr="006A1EC7">
              <w:rPr>
                <w:sz w:val="13"/>
                <w:szCs w:val="13"/>
              </w:rPr>
              <w:t>2/10</w:t>
            </w:r>
          </w:p>
        </w:tc>
        <w:tc>
          <w:tcPr>
            <w:tcW w:w="221" w:type="dxa"/>
            <w:shd w:val="clear" w:color="auto" w:fill="auto"/>
          </w:tcPr>
          <w:p w14:paraId="57E92029" w14:textId="77777777" w:rsidR="0087601C" w:rsidRPr="006A1EC7" w:rsidRDefault="0087601C" w:rsidP="00D56051">
            <w:pPr>
              <w:rPr>
                <w:sz w:val="13"/>
                <w:szCs w:val="13"/>
              </w:rPr>
            </w:pPr>
            <w:r w:rsidRPr="006A1EC7">
              <w:rPr>
                <w:sz w:val="13"/>
                <w:szCs w:val="13"/>
              </w:rPr>
              <w:t>20%</w:t>
            </w:r>
          </w:p>
        </w:tc>
      </w:tr>
      <w:tr w:rsidR="00744A8E" w:rsidRPr="006A1EC7" w14:paraId="412F5910" w14:textId="77777777" w:rsidTr="00D56051">
        <w:tc>
          <w:tcPr>
            <w:tcW w:w="1004" w:type="dxa"/>
          </w:tcPr>
          <w:p w14:paraId="46A995BE" w14:textId="77777777" w:rsidR="0087601C" w:rsidRPr="006A1EC7" w:rsidRDefault="0087601C" w:rsidP="00D56051">
            <w:pPr>
              <w:rPr>
                <w:sz w:val="13"/>
                <w:szCs w:val="13"/>
              </w:rPr>
            </w:pPr>
            <w:r w:rsidRPr="006A1EC7">
              <w:rPr>
                <w:sz w:val="13"/>
                <w:szCs w:val="13"/>
              </w:rPr>
              <w:t>IMU</w:t>
            </w:r>
          </w:p>
        </w:tc>
        <w:tc>
          <w:tcPr>
            <w:tcW w:w="396" w:type="dxa"/>
            <w:shd w:val="clear" w:color="auto" w:fill="FFFF00"/>
          </w:tcPr>
          <w:p w14:paraId="72E27A74"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7580AB93" w14:textId="77777777" w:rsidR="0087601C" w:rsidRPr="006A1EC7" w:rsidRDefault="0087601C" w:rsidP="00D56051">
            <w:pPr>
              <w:rPr>
                <w:sz w:val="13"/>
                <w:szCs w:val="13"/>
              </w:rPr>
            </w:pPr>
            <w:r w:rsidRPr="006A1EC7">
              <w:rPr>
                <w:sz w:val="13"/>
                <w:szCs w:val="13"/>
              </w:rPr>
              <w:t>0</w:t>
            </w:r>
          </w:p>
        </w:tc>
        <w:tc>
          <w:tcPr>
            <w:tcW w:w="396" w:type="dxa"/>
          </w:tcPr>
          <w:p w14:paraId="644314EB"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7C867893"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4DCC8D3F" w14:textId="77777777" w:rsidR="0087601C" w:rsidRPr="006A1EC7" w:rsidRDefault="0087601C" w:rsidP="00D56051">
            <w:pPr>
              <w:rPr>
                <w:sz w:val="13"/>
                <w:szCs w:val="13"/>
              </w:rPr>
            </w:pPr>
            <w:r w:rsidRPr="006A1EC7">
              <w:rPr>
                <w:sz w:val="13"/>
                <w:szCs w:val="13"/>
              </w:rPr>
              <w:t>0</w:t>
            </w:r>
          </w:p>
        </w:tc>
        <w:tc>
          <w:tcPr>
            <w:tcW w:w="396" w:type="dxa"/>
          </w:tcPr>
          <w:p w14:paraId="3B538ED1"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0F9AB51B"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3D2283BB" w14:textId="77777777" w:rsidR="0087601C" w:rsidRPr="006A1EC7" w:rsidRDefault="0087601C" w:rsidP="00D56051">
            <w:pPr>
              <w:rPr>
                <w:sz w:val="13"/>
                <w:szCs w:val="13"/>
              </w:rPr>
            </w:pPr>
            <w:r w:rsidRPr="006A1EC7">
              <w:rPr>
                <w:sz w:val="13"/>
                <w:szCs w:val="13"/>
              </w:rPr>
              <w:t>0</w:t>
            </w:r>
          </w:p>
        </w:tc>
        <w:tc>
          <w:tcPr>
            <w:tcW w:w="396" w:type="dxa"/>
            <w:shd w:val="clear" w:color="auto" w:fill="auto"/>
          </w:tcPr>
          <w:p w14:paraId="70247C3D"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42BF3229"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3BF42E6E" w14:textId="77777777" w:rsidR="0087601C" w:rsidRPr="006A1EC7" w:rsidRDefault="0087601C" w:rsidP="00D56051">
            <w:pPr>
              <w:rPr>
                <w:sz w:val="13"/>
                <w:szCs w:val="13"/>
              </w:rPr>
            </w:pPr>
            <w:r w:rsidRPr="006A1EC7">
              <w:rPr>
                <w:sz w:val="13"/>
                <w:szCs w:val="13"/>
              </w:rPr>
              <w:t>0</w:t>
            </w:r>
          </w:p>
        </w:tc>
        <w:tc>
          <w:tcPr>
            <w:tcW w:w="395" w:type="dxa"/>
          </w:tcPr>
          <w:p w14:paraId="21A5FC24"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77C6C42C"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1F60B6AF" w14:textId="77777777" w:rsidR="0087601C" w:rsidRPr="006A1EC7" w:rsidRDefault="0087601C" w:rsidP="00D56051">
            <w:pPr>
              <w:rPr>
                <w:sz w:val="13"/>
                <w:szCs w:val="13"/>
              </w:rPr>
            </w:pPr>
            <w:r w:rsidRPr="006A1EC7">
              <w:rPr>
                <w:sz w:val="13"/>
                <w:szCs w:val="13"/>
              </w:rPr>
              <w:t>0</w:t>
            </w:r>
          </w:p>
        </w:tc>
        <w:tc>
          <w:tcPr>
            <w:tcW w:w="395" w:type="dxa"/>
          </w:tcPr>
          <w:p w14:paraId="5C4D2439"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167397F2"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6B98CE57" w14:textId="77777777" w:rsidR="0087601C" w:rsidRPr="006A1EC7" w:rsidRDefault="0087601C" w:rsidP="00D56051">
            <w:pPr>
              <w:rPr>
                <w:sz w:val="13"/>
                <w:szCs w:val="13"/>
              </w:rPr>
            </w:pPr>
            <w:r w:rsidRPr="006A1EC7">
              <w:rPr>
                <w:sz w:val="13"/>
                <w:szCs w:val="13"/>
              </w:rPr>
              <w:t>0</w:t>
            </w:r>
          </w:p>
        </w:tc>
        <w:tc>
          <w:tcPr>
            <w:tcW w:w="395" w:type="dxa"/>
          </w:tcPr>
          <w:p w14:paraId="6030DEFB"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4DE73B4B"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3ADA8C9B" w14:textId="77777777" w:rsidR="0087601C" w:rsidRPr="006A1EC7" w:rsidRDefault="0087601C" w:rsidP="00D56051">
            <w:pPr>
              <w:rPr>
                <w:sz w:val="13"/>
                <w:szCs w:val="13"/>
              </w:rPr>
            </w:pPr>
            <w:r w:rsidRPr="006A1EC7">
              <w:rPr>
                <w:sz w:val="13"/>
                <w:szCs w:val="13"/>
              </w:rPr>
              <w:t>0</w:t>
            </w:r>
          </w:p>
        </w:tc>
        <w:tc>
          <w:tcPr>
            <w:tcW w:w="395" w:type="dxa"/>
          </w:tcPr>
          <w:p w14:paraId="6D50E069"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52BE0EA2"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60444BAB" w14:textId="77777777" w:rsidR="0087601C" w:rsidRPr="006A1EC7" w:rsidRDefault="0087601C" w:rsidP="00D56051">
            <w:pPr>
              <w:rPr>
                <w:sz w:val="13"/>
                <w:szCs w:val="13"/>
              </w:rPr>
            </w:pPr>
            <w:r w:rsidRPr="006A1EC7">
              <w:rPr>
                <w:sz w:val="13"/>
                <w:szCs w:val="13"/>
              </w:rPr>
              <w:t>0</w:t>
            </w:r>
          </w:p>
        </w:tc>
        <w:tc>
          <w:tcPr>
            <w:tcW w:w="395" w:type="dxa"/>
          </w:tcPr>
          <w:p w14:paraId="3717D1C3"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27D6FC3C"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7D974DD4" w14:textId="77777777" w:rsidR="0087601C" w:rsidRPr="006A1EC7" w:rsidRDefault="0087601C" w:rsidP="00D56051">
            <w:pPr>
              <w:rPr>
                <w:sz w:val="13"/>
                <w:szCs w:val="13"/>
              </w:rPr>
            </w:pPr>
            <w:r w:rsidRPr="006A1EC7">
              <w:rPr>
                <w:sz w:val="13"/>
                <w:szCs w:val="13"/>
              </w:rPr>
              <w:t>0</w:t>
            </w:r>
          </w:p>
        </w:tc>
        <w:tc>
          <w:tcPr>
            <w:tcW w:w="395" w:type="dxa"/>
            <w:shd w:val="clear" w:color="auto" w:fill="auto"/>
          </w:tcPr>
          <w:p w14:paraId="3091BB86"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61D3C0BF"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13963AA7" w14:textId="77777777" w:rsidR="0087601C" w:rsidRPr="006A1EC7" w:rsidRDefault="0087601C" w:rsidP="00D56051">
            <w:pPr>
              <w:rPr>
                <w:sz w:val="13"/>
                <w:szCs w:val="13"/>
              </w:rPr>
            </w:pPr>
            <w:r w:rsidRPr="006A1EC7">
              <w:rPr>
                <w:sz w:val="13"/>
                <w:szCs w:val="13"/>
              </w:rPr>
              <w:t>0</w:t>
            </w:r>
          </w:p>
        </w:tc>
        <w:tc>
          <w:tcPr>
            <w:tcW w:w="395" w:type="dxa"/>
          </w:tcPr>
          <w:p w14:paraId="0554D54A" w14:textId="77777777" w:rsidR="0087601C" w:rsidRPr="006A1EC7" w:rsidRDefault="0087601C" w:rsidP="00D56051">
            <w:pPr>
              <w:rPr>
                <w:sz w:val="13"/>
                <w:szCs w:val="13"/>
              </w:rPr>
            </w:pPr>
            <w:r w:rsidRPr="006A1EC7">
              <w:rPr>
                <w:sz w:val="13"/>
                <w:szCs w:val="13"/>
              </w:rPr>
              <w:t>1</w:t>
            </w:r>
          </w:p>
        </w:tc>
        <w:tc>
          <w:tcPr>
            <w:tcW w:w="643" w:type="dxa"/>
            <w:shd w:val="clear" w:color="auto" w:fill="auto"/>
          </w:tcPr>
          <w:p w14:paraId="22872956" w14:textId="77777777" w:rsidR="0087601C" w:rsidRPr="006A1EC7" w:rsidRDefault="0087601C" w:rsidP="00D56051">
            <w:pPr>
              <w:rPr>
                <w:sz w:val="13"/>
                <w:szCs w:val="13"/>
              </w:rPr>
            </w:pPr>
            <w:r w:rsidRPr="006A1EC7">
              <w:rPr>
                <w:sz w:val="13"/>
                <w:szCs w:val="13"/>
              </w:rPr>
              <w:t>10/10</w:t>
            </w:r>
          </w:p>
        </w:tc>
        <w:tc>
          <w:tcPr>
            <w:tcW w:w="221" w:type="dxa"/>
            <w:shd w:val="clear" w:color="auto" w:fill="auto"/>
          </w:tcPr>
          <w:p w14:paraId="36499D96" w14:textId="77777777" w:rsidR="0087601C" w:rsidRPr="006A1EC7" w:rsidRDefault="0087601C" w:rsidP="00D56051">
            <w:pPr>
              <w:rPr>
                <w:sz w:val="13"/>
                <w:szCs w:val="13"/>
              </w:rPr>
            </w:pPr>
            <w:r w:rsidRPr="006A1EC7">
              <w:rPr>
                <w:sz w:val="13"/>
                <w:szCs w:val="13"/>
              </w:rPr>
              <w:t>100%</w:t>
            </w:r>
          </w:p>
        </w:tc>
      </w:tr>
      <w:tr w:rsidR="00744A8E" w:rsidRPr="006A1EC7" w14:paraId="2CE26CCA" w14:textId="77777777" w:rsidTr="00D56051">
        <w:tc>
          <w:tcPr>
            <w:tcW w:w="1004" w:type="dxa"/>
          </w:tcPr>
          <w:p w14:paraId="50787EEC" w14:textId="77777777" w:rsidR="0087601C" w:rsidRPr="006A1EC7" w:rsidRDefault="0087601C" w:rsidP="00D56051">
            <w:pPr>
              <w:rPr>
                <w:sz w:val="13"/>
                <w:szCs w:val="13"/>
              </w:rPr>
            </w:pPr>
            <w:r w:rsidRPr="006A1EC7">
              <w:rPr>
                <w:sz w:val="13"/>
                <w:szCs w:val="13"/>
              </w:rPr>
              <w:t>SLP</w:t>
            </w:r>
          </w:p>
        </w:tc>
        <w:tc>
          <w:tcPr>
            <w:tcW w:w="396" w:type="dxa"/>
            <w:shd w:val="clear" w:color="auto" w:fill="FFFF00"/>
          </w:tcPr>
          <w:p w14:paraId="39AA01D8" w14:textId="77777777" w:rsidR="0087601C" w:rsidRPr="006A1EC7" w:rsidRDefault="0087601C" w:rsidP="00D56051">
            <w:pPr>
              <w:rPr>
                <w:sz w:val="13"/>
                <w:szCs w:val="13"/>
              </w:rPr>
            </w:pPr>
            <w:r w:rsidRPr="006A1EC7">
              <w:rPr>
                <w:sz w:val="13"/>
                <w:szCs w:val="13"/>
              </w:rPr>
              <w:t>2</w:t>
            </w:r>
          </w:p>
        </w:tc>
        <w:tc>
          <w:tcPr>
            <w:tcW w:w="396" w:type="dxa"/>
            <w:shd w:val="clear" w:color="auto" w:fill="FFFF00"/>
          </w:tcPr>
          <w:p w14:paraId="4A159AB4" w14:textId="77777777" w:rsidR="0087601C" w:rsidRPr="006A1EC7" w:rsidRDefault="0087601C" w:rsidP="00D56051">
            <w:pPr>
              <w:rPr>
                <w:sz w:val="13"/>
                <w:szCs w:val="13"/>
              </w:rPr>
            </w:pPr>
            <w:r w:rsidRPr="006A1EC7">
              <w:rPr>
                <w:sz w:val="13"/>
                <w:szCs w:val="13"/>
              </w:rPr>
              <w:t>1</w:t>
            </w:r>
          </w:p>
        </w:tc>
        <w:tc>
          <w:tcPr>
            <w:tcW w:w="396" w:type="dxa"/>
          </w:tcPr>
          <w:p w14:paraId="39DCC00F"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64C0E307"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56D26CBE" w14:textId="77777777" w:rsidR="0087601C" w:rsidRPr="006A1EC7" w:rsidRDefault="0087601C" w:rsidP="00D56051">
            <w:pPr>
              <w:rPr>
                <w:sz w:val="13"/>
                <w:szCs w:val="13"/>
              </w:rPr>
            </w:pPr>
            <w:r w:rsidRPr="006A1EC7">
              <w:rPr>
                <w:sz w:val="13"/>
                <w:szCs w:val="13"/>
              </w:rPr>
              <w:t>1</w:t>
            </w:r>
          </w:p>
        </w:tc>
        <w:tc>
          <w:tcPr>
            <w:tcW w:w="396" w:type="dxa"/>
          </w:tcPr>
          <w:p w14:paraId="61A28FC3"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34720468"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151FD816" w14:textId="77777777" w:rsidR="0087601C" w:rsidRPr="006A1EC7" w:rsidRDefault="0087601C" w:rsidP="00D56051">
            <w:pPr>
              <w:rPr>
                <w:sz w:val="13"/>
                <w:szCs w:val="13"/>
              </w:rPr>
            </w:pPr>
            <w:r w:rsidRPr="006A1EC7">
              <w:rPr>
                <w:sz w:val="13"/>
                <w:szCs w:val="13"/>
              </w:rPr>
              <w:t>0</w:t>
            </w:r>
          </w:p>
        </w:tc>
        <w:tc>
          <w:tcPr>
            <w:tcW w:w="396" w:type="dxa"/>
            <w:shd w:val="clear" w:color="auto" w:fill="auto"/>
          </w:tcPr>
          <w:p w14:paraId="01B1705B"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0F2FF48E" w14:textId="77777777" w:rsidR="0087601C" w:rsidRPr="006A1EC7" w:rsidRDefault="0087601C" w:rsidP="00D56051">
            <w:pPr>
              <w:rPr>
                <w:sz w:val="13"/>
                <w:szCs w:val="13"/>
              </w:rPr>
            </w:pPr>
            <w:r w:rsidRPr="006A1EC7">
              <w:rPr>
                <w:sz w:val="13"/>
                <w:szCs w:val="13"/>
              </w:rPr>
              <w:t>2</w:t>
            </w:r>
          </w:p>
        </w:tc>
        <w:tc>
          <w:tcPr>
            <w:tcW w:w="395" w:type="dxa"/>
            <w:shd w:val="clear" w:color="auto" w:fill="FFFF00"/>
          </w:tcPr>
          <w:p w14:paraId="3DC5A67B" w14:textId="77777777" w:rsidR="0087601C" w:rsidRPr="006A1EC7" w:rsidRDefault="0087601C" w:rsidP="00D56051">
            <w:pPr>
              <w:rPr>
                <w:sz w:val="13"/>
                <w:szCs w:val="13"/>
              </w:rPr>
            </w:pPr>
            <w:r w:rsidRPr="006A1EC7">
              <w:rPr>
                <w:sz w:val="13"/>
                <w:szCs w:val="13"/>
              </w:rPr>
              <w:t>2</w:t>
            </w:r>
          </w:p>
        </w:tc>
        <w:tc>
          <w:tcPr>
            <w:tcW w:w="395" w:type="dxa"/>
          </w:tcPr>
          <w:p w14:paraId="6290A4AF"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620AABE8" w14:textId="77777777" w:rsidR="0087601C" w:rsidRPr="006A1EC7" w:rsidRDefault="0087601C" w:rsidP="00D56051">
            <w:pPr>
              <w:rPr>
                <w:sz w:val="13"/>
                <w:szCs w:val="13"/>
              </w:rPr>
            </w:pPr>
            <w:r w:rsidRPr="006A1EC7">
              <w:rPr>
                <w:sz w:val="13"/>
                <w:szCs w:val="13"/>
              </w:rPr>
              <w:t>2</w:t>
            </w:r>
          </w:p>
        </w:tc>
        <w:tc>
          <w:tcPr>
            <w:tcW w:w="395" w:type="dxa"/>
            <w:shd w:val="clear" w:color="auto" w:fill="FFFF00"/>
          </w:tcPr>
          <w:p w14:paraId="4E71D76B" w14:textId="77777777" w:rsidR="0087601C" w:rsidRPr="006A1EC7" w:rsidRDefault="0087601C" w:rsidP="00D56051">
            <w:pPr>
              <w:rPr>
                <w:sz w:val="13"/>
                <w:szCs w:val="13"/>
              </w:rPr>
            </w:pPr>
            <w:r w:rsidRPr="006A1EC7">
              <w:rPr>
                <w:sz w:val="13"/>
                <w:szCs w:val="13"/>
              </w:rPr>
              <w:t>2</w:t>
            </w:r>
          </w:p>
        </w:tc>
        <w:tc>
          <w:tcPr>
            <w:tcW w:w="395" w:type="dxa"/>
          </w:tcPr>
          <w:p w14:paraId="0062128B"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4D6E1CD6" w14:textId="77777777" w:rsidR="0087601C" w:rsidRPr="006A1EC7" w:rsidRDefault="0087601C" w:rsidP="00D56051">
            <w:pPr>
              <w:rPr>
                <w:sz w:val="13"/>
                <w:szCs w:val="13"/>
              </w:rPr>
            </w:pPr>
            <w:r w:rsidRPr="006A1EC7">
              <w:rPr>
                <w:sz w:val="13"/>
                <w:szCs w:val="13"/>
              </w:rPr>
              <w:t>2</w:t>
            </w:r>
          </w:p>
        </w:tc>
        <w:tc>
          <w:tcPr>
            <w:tcW w:w="395" w:type="dxa"/>
            <w:shd w:val="clear" w:color="auto" w:fill="FFFF00"/>
          </w:tcPr>
          <w:p w14:paraId="14551C62" w14:textId="77777777" w:rsidR="0087601C" w:rsidRPr="006A1EC7" w:rsidRDefault="0087601C" w:rsidP="00D56051">
            <w:pPr>
              <w:rPr>
                <w:sz w:val="13"/>
                <w:szCs w:val="13"/>
              </w:rPr>
            </w:pPr>
            <w:r w:rsidRPr="006A1EC7">
              <w:rPr>
                <w:sz w:val="13"/>
                <w:szCs w:val="13"/>
              </w:rPr>
              <w:t>2</w:t>
            </w:r>
          </w:p>
        </w:tc>
        <w:tc>
          <w:tcPr>
            <w:tcW w:w="395" w:type="dxa"/>
          </w:tcPr>
          <w:p w14:paraId="202E86EA"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33FA7209"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29F5917F" w14:textId="77777777" w:rsidR="0087601C" w:rsidRPr="006A1EC7" w:rsidRDefault="0087601C" w:rsidP="00D56051">
            <w:pPr>
              <w:rPr>
                <w:sz w:val="13"/>
                <w:szCs w:val="13"/>
              </w:rPr>
            </w:pPr>
            <w:r w:rsidRPr="006A1EC7">
              <w:rPr>
                <w:sz w:val="13"/>
                <w:szCs w:val="13"/>
              </w:rPr>
              <w:t>1</w:t>
            </w:r>
          </w:p>
        </w:tc>
        <w:tc>
          <w:tcPr>
            <w:tcW w:w="395" w:type="dxa"/>
          </w:tcPr>
          <w:p w14:paraId="4CDB80E4"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1BEC76CF" w14:textId="77777777" w:rsidR="0087601C" w:rsidRPr="006A1EC7" w:rsidRDefault="0087601C" w:rsidP="00D56051">
            <w:pPr>
              <w:rPr>
                <w:sz w:val="13"/>
                <w:szCs w:val="13"/>
              </w:rPr>
            </w:pPr>
            <w:r w:rsidRPr="006A1EC7">
              <w:rPr>
                <w:sz w:val="13"/>
                <w:szCs w:val="13"/>
              </w:rPr>
              <w:t>2</w:t>
            </w:r>
          </w:p>
        </w:tc>
        <w:tc>
          <w:tcPr>
            <w:tcW w:w="395" w:type="dxa"/>
            <w:shd w:val="clear" w:color="auto" w:fill="FFFF00"/>
          </w:tcPr>
          <w:p w14:paraId="59969DB8" w14:textId="77777777" w:rsidR="0087601C" w:rsidRPr="006A1EC7" w:rsidRDefault="0087601C" w:rsidP="00D56051">
            <w:pPr>
              <w:rPr>
                <w:sz w:val="13"/>
                <w:szCs w:val="13"/>
              </w:rPr>
            </w:pPr>
            <w:r w:rsidRPr="006A1EC7">
              <w:rPr>
                <w:sz w:val="13"/>
                <w:szCs w:val="13"/>
              </w:rPr>
              <w:t>1</w:t>
            </w:r>
          </w:p>
        </w:tc>
        <w:tc>
          <w:tcPr>
            <w:tcW w:w="395" w:type="dxa"/>
          </w:tcPr>
          <w:p w14:paraId="022D705E"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243C756E" w14:textId="77777777" w:rsidR="0087601C" w:rsidRPr="006A1EC7" w:rsidRDefault="0087601C" w:rsidP="00D56051">
            <w:pPr>
              <w:rPr>
                <w:sz w:val="13"/>
                <w:szCs w:val="13"/>
              </w:rPr>
            </w:pPr>
            <w:r w:rsidRPr="006A1EC7">
              <w:rPr>
                <w:sz w:val="13"/>
                <w:szCs w:val="13"/>
              </w:rPr>
              <w:t>2</w:t>
            </w:r>
          </w:p>
        </w:tc>
        <w:tc>
          <w:tcPr>
            <w:tcW w:w="395" w:type="dxa"/>
            <w:shd w:val="clear" w:color="auto" w:fill="FFFF00"/>
          </w:tcPr>
          <w:p w14:paraId="3E71C80B" w14:textId="77777777" w:rsidR="0087601C" w:rsidRPr="006A1EC7" w:rsidRDefault="0087601C" w:rsidP="00D56051">
            <w:pPr>
              <w:rPr>
                <w:sz w:val="13"/>
                <w:szCs w:val="13"/>
              </w:rPr>
            </w:pPr>
            <w:r w:rsidRPr="006A1EC7">
              <w:rPr>
                <w:sz w:val="13"/>
                <w:szCs w:val="13"/>
              </w:rPr>
              <w:t>0</w:t>
            </w:r>
          </w:p>
        </w:tc>
        <w:tc>
          <w:tcPr>
            <w:tcW w:w="395" w:type="dxa"/>
            <w:shd w:val="clear" w:color="auto" w:fill="auto"/>
          </w:tcPr>
          <w:p w14:paraId="2E1418A0"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540188AB"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59E4DA17" w14:textId="77777777" w:rsidR="0087601C" w:rsidRPr="006A1EC7" w:rsidRDefault="0087601C" w:rsidP="00D56051">
            <w:pPr>
              <w:rPr>
                <w:sz w:val="13"/>
                <w:szCs w:val="13"/>
              </w:rPr>
            </w:pPr>
            <w:r w:rsidRPr="006A1EC7">
              <w:rPr>
                <w:sz w:val="13"/>
                <w:szCs w:val="13"/>
              </w:rPr>
              <w:t>0</w:t>
            </w:r>
          </w:p>
        </w:tc>
        <w:tc>
          <w:tcPr>
            <w:tcW w:w="395" w:type="dxa"/>
          </w:tcPr>
          <w:p w14:paraId="3B8F999E" w14:textId="77777777" w:rsidR="0087601C" w:rsidRPr="006A1EC7" w:rsidRDefault="0087601C" w:rsidP="00D56051">
            <w:pPr>
              <w:rPr>
                <w:sz w:val="13"/>
                <w:szCs w:val="13"/>
              </w:rPr>
            </w:pPr>
            <w:r w:rsidRPr="006A1EC7">
              <w:rPr>
                <w:sz w:val="13"/>
                <w:szCs w:val="13"/>
              </w:rPr>
              <w:t>0</w:t>
            </w:r>
          </w:p>
        </w:tc>
        <w:tc>
          <w:tcPr>
            <w:tcW w:w="643" w:type="dxa"/>
            <w:shd w:val="clear" w:color="auto" w:fill="auto"/>
          </w:tcPr>
          <w:p w14:paraId="0F052682" w14:textId="77777777" w:rsidR="0087601C" w:rsidRPr="006A1EC7" w:rsidRDefault="0087601C" w:rsidP="00D56051">
            <w:pPr>
              <w:rPr>
                <w:sz w:val="13"/>
                <w:szCs w:val="13"/>
              </w:rPr>
            </w:pPr>
            <w:r w:rsidRPr="006A1EC7">
              <w:rPr>
                <w:sz w:val="13"/>
                <w:szCs w:val="13"/>
              </w:rPr>
              <w:t>6/10</w:t>
            </w:r>
          </w:p>
        </w:tc>
        <w:tc>
          <w:tcPr>
            <w:tcW w:w="221" w:type="dxa"/>
            <w:shd w:val="clear" w:color="auto" w:fill="auto"/>
          </w:tcPr>
          <w:p w14:paraId="53A2F01D" w14:textId="77777777" w:rsidR="0087601C" w:rsidRPr="006A1EC7" w:rsidRDefault="0087601C" w:rsidP="00D56051">
            <w:pPr>
              <w:rPr>
                <w:sz w:val="13"/>
                <w:szCs w:val="13"/>
              </w:rPr>
            </w:pPr>
            <w:r w:rsidRPr="006A1EC7">
              <w:rPr>
                <w:sz w:val="13"/>
                <w:szCs w:val="13"/>
              </w:rPr>
              <w:t>60%</w:t>
            </w:r>
          </w:p>
        </w:tc>
      </w:tr>
      <w:tr w:rsidR="00744A8E" w:rsidRPr="006A1EC7" w14:paraId="4141D58A" w14:textId="77777777" w:rsidTr="00D56051">
        <w:tc>
          <w:tcPr>
            <w:tcW w:w="1004" w:type="dxa"/>
          </w:tcPr>
          <w:p w14:paraId="05745C93" w14:textId="77777777" w:rsidR="0087601C" w:rsidRPr="006A1EC7" w:rsidRDefault="0087601C" w:rsidP="00D56051">
            <w:pPr>
              <w:rPr>
                <w:sz w:val="13"/>
                <w:szCs w:val="13"/>
              </w:rPr>
            </w:pPr>
            <w:r w:rsidRPr="006A1EC7">
              <w:rPr>
                <w:sz w:val="13"/>
                <w:szCs w:val="13"/>
              </w:rPr>
              <w:t>CRE</w:t>
            </w:r>
          </w:p>
        </w:tc>
        <w:tc>
          <w:tcPr>
            <w:tcW w:w="396" w:type="dxa"/>
            <w:shd w:val="clear" w:color="auto" w:fill="FFFF00"/>
          </w:tcPr>
          <w:p w14:paraId="5C10290D"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7303B3A8" w14:textId="77777777" w:rsidR="0087601C" w:rsidRPr="006A1EC7" w:rsidRDefault="0087601C" w:rsidP="00D56051">
            <w:pPr>
              <w:rPr>
                <w:sz w:val="13"/>
                <w:szCs w:val="13"/>
              </w:rPr>
            </w:pPr>
            <w:r w:rsidRPr="006A1EC7">
              <w:rPr>
                <w:sz w:val="13"/>
                <w:szCs w:val="13"/>
              </w:rPr>
              <w:t>1</w:t>
            </w:r>
          </w:p>
        </w:tc>
        <w:tc>
          <w:tcPr>
            <w:tcW w:w="396" w:type="dxa"/>
          </w:tcPr>
          <w:p w14:paraId="70102F5C"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37F5DC07"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6E06B8E7" w14:textId="77777777" w:rsidR="0087601C" w:rsidRPr="006A1EC7" w:rsidRDefault="0087601C" w:rsidP="00D56051">
            <w:pPr>
              <w:rPr>
                <w:sz w:val="13"/>
                <w:szCs w:val="13"/>
              </w:rPr>
            </w:pPr>
            <w:r w:rsidRPr="006A1EC7">
              <w:rPr>
                <w:sz w:val="13"/>
                <w:szCs w:val="13"/>
              </w:rPr>
              <w:t>1</w:t>
            </w:r>
          </w:p>
        </w:tc>
        <w:tc>
          <w:tcPr>
            <w:tcW w:w="396" w:type="dxa"/>
          </w:tcPr>
          <w:p w14:paraId="12F0773F"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2E1B7325"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6E1D2250" w14:textId="77777777" w:rsidR="0087601C" w:rsidRPr="006A1EC7" w:rsidRDefault="0087601C" w:rsidP="00D56051">
            <w:pPr>
              <w:rPr>
                <w:sz w:val="13"/>
                <w:szCs w:val="13"/>
              </w:rPr>
            </w:pPr>
            <w:r w:rsidRPr="006A1EC7">
              <w:rPr>
                <w:sz w:val="13"/>
                <w:szCs w:val="13"/>
              </w:rPr>
              <w:t>1</w:t>
            </w:r>
          </w:p>
        </w:tc>
        <w:tc>
          <w:tcPr>
            <w:tcW w:w="396" w:type="dxa"/>
            <w:shd w:val="clear" w:color="auto" w:fill="auto"/>
          </w:tcPr>
          <w:p w14:paraId="6EBA4907"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7B907605"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700C8DFB" w14:textId="77777777" w:rsidR="0087601C" w:rsidRPr="006A1EC7" w:rsidRDefault="0087601C" w:rsidP="00D56051">
            <w:pPr>
              <w:rPr>
                <w:sz w:val="13"/>
                <w:szCs w:val="13"/>
              </w:rPr>
            </w:pPr>
            <w:r w:rsidRPr="006A1EC7">
              <w:rPr>
                <w:sz w:val="13"/>
                <w:szCs w:val="13"/>
              </w:rPr>
              <w:t>1</w:t>
            </w:r>
          </w:p>
        </w:tc>
        <w:tc>
          <w:tcPr>
            <w:tcW w:w="395" w:type="dxa"/>
          </w:tcPr>
          <w:p w14:paraId="2CAFD33E"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7047AB24"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087D7812" w14:textId="77777777" w:rsidR="0087601C" w:rsidRPr="006A1EC7" w:rsidRDefault="0087601C" w:rsidP="00D56051">
            <w:pPr>
              <w:rPr>
                <w:sz w:val="13"/>
                <w:szCs w:val="13"/>
              </w:rPr>
            </w:pPr>
            <w:r w:rsidRPr="006A1EC7">
              <w:rPr>
                <w:sz w:val="13"/>
                <w:szCs w:val="13"/>
              </w:rPr>
              <w:t>1</w:t>
            </w:r>
          </w:p>
        </w:tc>
        <w:tc>
          <w:tcPr>
            <w:tcW w:w="395" w:type="dxa"/>
          </w:tcPr>
          <w:p w14:paraId="507404E8"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0DED253B"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5DB9FFF4" w14:textId="77777777" w:rsidR="0087601C" w:rsidRPr="006A1EC7" w:rsidRDefault="0087601C" w:rsidP="00D56051">
            <w:pPr>
              <w:rPr>
                <w:sz w:val="13"/>
                <w:szCs w:val="13"/>
              </w:rPr>
            </w:pPr>
            <w:r w:rsidRPr="006A1EC7">
              <w:rPr>
                <w:sz w:val="13"/>
                <w:szCs w:val="13"/>
              </w:rPr>
              <w:t>0</w:t>
            </w:r>
          </w:p>
        </w:tc>
        <w:tc>
          <w:tcPr>
            <w:tcW w:w="395" w:type="dxa"/>
          </w:tcPr>
          <w:p w14:paraId="439D2455"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7E87B1E8"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36C11A1A" w14:textId="77777777" w:rsidR="0087601C" w:rsidRPr="006A1EC7" w:rsidRDefault="0087601C" w:rsidP="00D56051">
            <w:pPr>
              <w:rPr>
                <w:sz w:val="13"/>
                <w:szCs w:val="13"/>
              </w:rPr>
            </w:pPr>
            <w:r w:rsidRPr="006A1EC7">
              <w:rPr>
                <w:sz w:val="13"/>
                <w:szCs w:val="13"/>
              </w:rPr>
              <w:t>1</w:t>
            </w:r>
          </w:p>
        </w:tc>
        <w:tc>
          <w:tcPr>
            <w:tcW w:w="395" w:type="dxa"/>
          </w:tcPr>
          <w:p w14:paraId="291324FF"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5E7F2466"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4EA44E1F" w14:textId="77777777" w:rsidR="0087601C" w:rsidRPr="006A1EC7" w:rsidRDefault="0087601C" w:rsidP="00D56051">
            <w:pPr>
              <w:rPr>
                <w:sz w:val="13"/>
                <w:szCs w:val="13"/>
              </w:rPr>
            </w:pPr>
            <w:r w:rsidRPr="006A1EC7">
              <w:rPr>
                <w:sz w:val="13"/>
                <w:szCs w:val="13"/>
              </w:rPr>
              <w:t>0</w:t>
            </w:r>
          </w:p>
        </w:tc>
        <w:tc>
          <w:tcPr>
            <w:tcW w:w="395" w:type="dxa"/>
          </w:tcPr>
          <w:p w14:paraId="1055D8C7"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4869F1C8"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236D54EF" w14:textId="77777777" w:rsidR="0087601C" w:rsidRPr="006A1EC7" w:rsidRDefault="0087601C" w:rsidP="00D56051">
            <w:pPr>
              <w:rPr>
                <w:sz w:val="13"/>
                <w:szCs w:val="13"/>
              </w:rPr>
            </w:pPr>
            <w:r w:rsidRPr="006A1EC7">
              <w:rPr>
                <w:sz w:val="13"/>
                <w:szCs w:val="13"/>
              </w:rPr>
              <w:t>1</w:t>
            </w:r>
          </w:p>
        </w:tc>
        <w:tc>
          <w:tcPr>
            <w:tcW w:w="395" w:type="dxa"/>
            <w:shd w:val="clear" w:color="auto" w:fill="auto"/>
          </w:tcPr>
          <w:p w14:paraId="34600F0B"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642DF801" w14:textId="77777777" w:rsidR="0087601C" w:rsidRPr="006A1EC7" w:rsidRDefault="0087601C" w:rsidP="00D56051">
            <w:pPr>
              <w:rPr>
                <w:sz w:val="13"/>
                <w:szCs w:val="13"/>
              </w:rPr>
            </w:pPr>
            <w:r w:rsidRPr="006A1EC7">
              <w:rPr>
                <w:sz w:val="13"/>
                <w:szCs w:val="13"/>
              </w:rPr>
              <w:t>1</w:t>
            </w:r>
          </w:p>
        </w:tc>
        <w:tc>
          <w:tcPr>
            <w:tcW w:w="396" w:type="dxa"/>
            <w:shd w:val="clear" w:color="auto" w:fill="FFFF00"/>
          </w:tcPr>
          <w:p w14:paraId="5290247D" w14:textId="77777777" w:rsidR="0087601C" w:rsidRPr="006A1EC7" w:rsidRDefault="0087601C" w:rsidP="00D56051">
            <w:pPr>
              <w:rPr>
                <w:sz w:val="13"/>
                <w:szCs w:val="13"/>
              </w:rPr>
            </w:pPr>
            <w:r w:rsidRPr="006A1EC7">
              <w:rPr>
                <w:sz w:val="13"/>
                <w:szCs w:val="13"/>
              </w:rPr>
              <w:t>1</w:t>
            </w:r>
          </w:p>
        </w:tc>
        <w:tc>
          <w:tcPr>
            <w:tcW w:w="395" w:type="dxa"/>
          </w:tcPr>
          <w:p w14:paraId="7ED4BF59" w14:textId="77777777" w:rsidR="0087601C" w:rsidRPr="006A1EC7" w:rsidRDefault="0087601C" w:rsidP="00D56051">
            <w:pPr>
              <w:rPr>
                <w:sz w:val="13"/>
                <w:szCs w:val="13"/>
              </w:rPr>
            </w:pPr>
            <w:r w:rsidRPr="006A1EC7">
              <w:rPr>
                <w:sz w:val="13"/>
                <w:szCs w:val="13"/>
              </w:rPr>
              <w:t>1</w:t>
            </w:r>
          </w:p>
        </w:tc>
        <w:tc>
          <w:tcPr>
            <w:tcW w:w="643" w:type="dxa"/>
            <w:shd w:val="clear" w:color="auto" w:fill="auto"/>
          </w:tcPr>
          <w:p w14:paraId="42BDC7C5" w14:textId="77777777" w:rsidR="0087601C" w:rsidRPr="006A1EC7" w:rsidRDefault="0087601C" w:rsidP="00D56051">
            <w:pPr>
              <w:rPr>
                <w:sz w:val="13"/>
                <w:szCs w:val="13"/>
              </w:rPr>
            </w:pPr>
            <w:r w:rsidRPr="006A1EC7">
              <w:rPr>
                <w:sz w:val="13"/>
                <w:szCs w:val="13"/>
              </w:rPr>
              <w:t>9/10</w:t>
            </w:r>
          </w:p>
        </w:tc>
        <w:tc>
          <w:tcPr>
            <w:tcW w:w="221" w:type="dxa"/>
            <w:shd w:val="clear" w:color="auto" w:fill="auto"/>
          </w:tcPr>
          <w:p w14:paraId="05A5B5F3" w14:textId="77777777" w:rsidR="0087601C" w:rsidRPr="006A1EC7" w:rsidRDefault="0087601C" w:rsidP="00D56051">
            <w:pPr>
              <w:rPr>
                <w:sz w:val="13"/>
                <w:szCs w:val="13"/>
              </w:rPr>
            </w:pPr>
            <w:r w:rsidRPr="006A1EC7">
              <w:rPr>
                <w:sz w:val="13"/>
                <w:szCs w:val="13"/>
              </w:rPr>
              <w:t>90%</w:t>
            </w:r>
          </w:p>
        </w:tc>
      </w:tr>
      <w:tr w:rsidR="00744A8E" w:rsidRPr="006A1EC7" w14:paraId="155FEF9C" w14:textId="77777777" w:rsidTr="00D56051">
        <w:tc>
          <w:tcPr>
            <w:tcW w:w="1004" w:type="dxa"/>
          </w:tcPr>
          <w:p w14:paraId="15A9D3B2" w14:textId="77777777" w:rsidR="0087601C" w:rsidRPr="006A1EC7" w:rsidRDefault="0087601C" w:rsidP="00D56051">
            <w:pPr>
              <w:rPr>
                <w:sz w:val="13"/>
                <w:szCs w:val="13"/>
              </w:rPr>
            </w:pPr>
            <w:r w:rsidRPr="006A1EC7">
              <w:rPr>
                <w:sz w:val="13"/>
                <w:szCs w:val="13"/>
              </w:rPr>
              <w:t>TTL</w:t>
            </w:r>
          </w:p>
        </w:tc>
        <w:tc>
          <w:tcPr>
            <w:tcW w:w="396" w:type="dxa"/>
            <w:shd w:val="clear" w:color="auto" w:fill="FFFF00"/>
          </w:tcPr>
          <w:p w14:paraId="2F2B0EDC" w14:textId="77777777" w:rsidR="0087601C" w:rsidRPr="006A1EC7" w:rsidRDefault="0087601C" w:rsidP="00D56051">
            <w:pPr>
              <w:rPr>
                <w:sz w:val="13"/>
                <w:szCs w:val="13"/>
              </w:rPr>
            </w:pPr>
            <w:r w:rsidRPr="006A1EC7">
              <w:rPr>
                <w:sz w:val="13"/>
                <w:szCs w:val="13"/>
              </w:rPr>
              <w:t>19</w:t>
            </w:r>
          </w:p>
        </w:tc>
        <w:tc>
          <w:tcPr>
            <w:tcW w:w="396" w:type="dxa"/>
            <w:shd w:val="clear" w:color="auto" w:fill="FFFF00"/>
          </w:tcPr>
          <w:p w14:paraId="21E5D46E" w14:textId="77777777" w:rsidR="0087601C" w:rsidRPr="006A1EC7" w:rsidRDefault="0087601C" w:rsidP="00D56051">
            <w:pPr>
              <w:rPr>
                <w:sz w:val="13"/>
                <w:szCs w:val="13"/>
              </w:rPr>
            </w:pPr>
            <w:r w:rsidRPr="006A1EC7">
              <w:rPr>
                <w:sz w:val="13"/>
                <w:szCs w:val="13"/>
              </w:rPr>
              <w:t>18</w:t>
            </w:r>
          </w:p>
        </w:tc>
        <w:tc>
          <w:tcPr>
            <w:tcW w:w="396" w:type="dxa"/>
          </w:tcPr>
          <w:p w14:paraId="091356E2"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45F8C430" w14:textId="77777777" w:rsidR="0087601C" w:rsidRPr="006A1EC7" w:rsidRDefault="0087601C" w:rsidP="00D56051">
            <w:pPr>
              <w:rPr>
                <w:sz w:val="13"/>
                <w:szCs w:val="13"/>
              </w:rPr>
            </w:pPr>
            <w:r w:rsidRPr="006A1EC7">
              <w:rPr>
                <w:sz w:val="13"/>
                <w:szCs w:val="13"/>
              </w:rPr>
              <w:t>23</w:t>
            </w:r>
          </w:p>
        </w:tc>
        <w:tc>
          <w:tcPr>
            <w:tcW w:w="396" w:type="dxa"/>
            <w:shd w:val="clear" w:color="auto" w:fill="FFFF00"/>
          </w:tcPr>
          <w:p w14:paraId="738B4618" w14:textId="77777777" w:rsidR="0087601C" w:rsidRPr="006A1EC7" w:rsidRDefault="0087601C" w:rsidP="00D56051">
            <w:pPr>
              <w:rPr>
                <w:sz w:val="13"/>
                <w:szCs w:val="13"/>
              </w:rPr>
            </w:pPr>
            <w:r w:rsidRPr="006A1EC7">
              <w:rPr>
                <w:sz w:val="13"/>
                <w:szCs w:val="13"/>
              </w:rPr>
              <w:t>15</w:t>
            </w:r>
          </w:p>
        </w:tc>
        <w:tc>
          <w:tcPr>
            <w:tcW w:w="396" w:type="dxa"/>
          </w:tcPr>
          <w:p w14:paraId="410CECB2"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27E14ABF" w14:textId="77777777" w:rsidR="0087601C" w:rsidRPr="006A1EC7" w:rsidRDefault="0087601C" w:rsidP="00D56051">
            <w:pPr>
              <w:rPr>
                <w:sz w:val="13"/>
                <w:szCs w:val="13"/>
              </w:rPr>
            </w:pPr>
            <w:r w:rsidRPr="006A1EC7">
              <w:rPr>
                <w:sz w:val="13"/>
                <w:szCs w:val="13"/>
              </w:rPr>
              <w:t>18</w:t>
            </w:r>
          </w:p>
        </w:tc>
        <w:tc>
          <w:tcPr>
            <w:tcW w:w="396" w:type="dxa"/>
            <w:shd w:val="clear" w:color="auto" w:fill="FFFF00"/>
          </w:tcPr>
          <w:p w14:paraId="08FD5250" w14:textId="77777777" w:rsidR="0087601C" w:rsidRPr="006A1EC7" w:rsidRDefault="0087601C" w:rsidP="00D56051">
            <w:pPr>
              <w:rPr>
                <w:sz w:val="13"/>
                <w:szCs w:val="13"/>
              </w:rPr>
            </w:pPr>
            <w:r w:rsidRPr="006A1EC7">
              <w:rPr>
                <w:sz w:val="13"/>
                <w:szCs w:val="13"/>
              </w:rPr>
              <w:t>18</w:t>
            </w:r>
          </w:p>
        </w:tc>
        <w:tc>
          <w:tcPr>
            <w:tcW w:w="396" w:type="dxa"/>
            <w:shd w:val="clear" w:color="auto" w:fill="auto"/>
          </w:tcPr>
          <w:p w14:paraId="794B8121" w14:textId="77777777" w:rsidR="0087601C" w:rsidRPr="006A1EC7" w:rsidRDefault="0087601C" w:rsidP="00D56051">
            <w:pPr>
              <w:rPr>
                <w:sz w:val="13"/>
                <w:szCs w:val="13"/>
              </w:rPr>
            </w:pPr>
            <w:r w:rsidRPr="006A1EC7">
              <w:rPr>
                <w:sz w:val="13"/>
                <w:szCs w:val="13"/>
              </w:rPr>
              <w:t>1</w:t>
            </w:r>
          </w:p>
        </w:tc>
        <w:tc>
          <w:tcPr>
            <w:tcW w:w="395" w:type="dxa"/>
            <w:shd w:val="clear" w:color="auto" w:fill="FFFF00"/>
          </w:tcPr>
          <w:p w14:paraId="60A5C66C" w14:textId="77777777" w:rsidR="0087601C" w:rsidRPr="006A1EC7" w:rsidRDefault="0087601C" w:rsidP="00D56051">
            <w:pPr>
              <w:rPr>
                <w:sz w:val="13"/>
                <w:szCs w:val="13"/>
              </w:rPr>
            </w:pPr>
            <w:r w:rsidRPr="006A1EC7">
              <w:rPr>
                <w:sz w:val="13"/>
                <w:szCs w:val="13"/>
              </w:rPr>
              <w:t>25</w:t>
            </w:r>
          </w:p>
        </w:tc>
        <w:tc>
          <w:tcPr>
            <w:tcW w:w="395" w:type="dxa"/>
            <w:shd w:val="clear" w:color="auto" w:fill="FFFF00"/>
          </w:tcPr>
          <w:p w14:paraId="52BA0BC1" w14:textId="77777777" w:rsidR="0087601C" w:rsidRPr="006A1EC7" w:rsidRDefault="0087601C" w:rsidP="00D56051">
            <w:pPr>
              <w:rPr>
                <w:sz w:val="13"/>
                <w:szCs w:val="13"/>
              </w:rPr>
            </w:pPr>
            <w:r w:rsidRPr="006A1EC7">
              <w:rPr>
                <w:sz w:val="13"/>
                <w:szCs w:val="13"/>
              </w:rPr>
              <w:t>21</w:t>
            </w:r>
          </w:p>
        </w:tc>
        <w:tc>
          <w:tcPr>
            <w:tcW w:w="395" w:type="dxa"/>
          </w:tcPr>
          <w:p w14:paraId="4661C1E1"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2F57BB9E" w14:textId="77777777" w:rsidR="0087601C" w:rsidRPr="006A1EC7" w:rsidRDefault="0087601C" w:rsidP="00D56051">
            <w:pPr>
              <w:rPr>
                <w:sz w:val="13"/>
                <w:szCs w:val="13"/>
              </w:rPr>
            </w:pPr>
            <w:r w:rsidRPr="006A1EC7">
              <w:rPr>
                <w:sz w:val="13"/>
                <w:szCs w:val="13"/>
              </w:rPr>
              <w:t>22</w:t>
            </w:r>
          </w:p>
        </w:tc>
        <w:tc>
          <w:tcPr>
            <w:tcW w:w="395" w:type="dxa"/>
            <w:shd w:val="clear" w:color="auto" w:fill="FFFF00"/>
          </w:tcPr>
          <w:p w14:paraId="53C55EEF" w14:textId="77777777" w:rsidR="0087601C" w:rsidRPr="006A1EC7" w:rsidRDefault="0087601C" w:rsidP="00D56051">
            <w:pPr>
              <w:rPr>
                <w:sz w:val="13"/>
                <w:szCs w:val="13"/>
              </w:rPr>
            </w:pPr>
            <w:r w:rsidRPr="006A1EC7">
              <w:rPr>
                <w:sz w:val="13"/>
                <w:szCs w:val="13"/>
              </w:rPr>
              <w:t>23</w:t>
            </w:r>
          </w:p>
        </w:tc>
        <w:tc>
          <w:tcPr>
            <w:tcW w:w="395" w:type="dxa"/>
          </w:tcPr>
          <w:p w14:paraId="55D7DC0D"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5521C7C5" w14:textId="77777777" w:rsidR="0087601C" w:rsidRPr="006A1EC7" w:rsidRDefault="0087601C" w:rsidP="00D56051">
            <w:pPr>
              <w:rPr>
                <w:sz w:val="13"/>
                <w:szCs w:val="13"/>
              </w:rPr>
            </w:pPr>
            <w:r w:rsidRPr="006A1EC7">
              <w:rPr>
                <w:sz w:val="13"/>
                <w:szCs w:val="13"/>
              </w:rPr>
              <w:t>21</w:t>
            </w:r>
          </w:p>
        </w:tc>
        <w:tc>
          <w:tcPr>
            <w:tcW w:w="395" w:type="dxa"/>
            <w:shd w:val="clear" w:color="auto" w:fill="FFFF00"/>
          </w:tcPr>
          <w:p w14:paraId="0BF9C3BC" w14:textId="77777777" w:rsidR="0087601C" w:rsidRPr="006A1EC7" w:rsidRDefault="0087601C" w:rsidP="00D56051">
            <w:pPr>
              <w:rPr>
                <w:sz w:val="13"/>
                <w:szCs w:val="13"/>
              </w:rPr>
            </w:pPr>
            <w:r w:rsidRPr="006A1EC7">
              <w:rPr>
                <w:sz w:val="13"/>
                <w:szCs w:val="13"/>
              </w:rPr>
              <w:t>18</w:t>
            </w:r>
          </w:p>
        </w:tc>
        <w:tc>
          <w:tcPr>
            <w:tcW w:w="395" w:type="dxa"/>
          </w:tcPr>
          <w:p w14:paraId="07D6BDBF"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5439EF93" w14:textId="77777777" w:rsidR="0087601C" w:rsidRPr="006A1EC7" w:rsidRDefault="0087601C" w:rsidP="00D56051">
            <w:pPr>
              <w:rPr>
                <w:sz w:val="13"/>
                <w:szCs w:val="13"/>
              </w:rPr>
            </w:pPr>
            <w:r w:rsidRPr="006A1EC7">
              <w:rPr>
                <w:sz w:val="13"/>
                <w:szCs w:val="13"/>
              </w:rPr>
              <w:t>21</w:t>
            </w:r>
          </w:p>
        </w:tc>
        <w:tc>
          <w:tcPr>
            <w:tcW w:w="395" w:type="dxa"/>
            <w:shd w:val="clear" w:color="auto" w:fill="FFFF00"/>
          </w:tcPr>
          <w:p w14:paraId="4DA8B42A" w14:textId="77777777" w:rsidR="0087601C" w:rsidRPr="006A1EC7" w:rsidRDefault="0087601C" w:rsidP="00D56051">
            <w:pPr>
              <w:rPr>
                <w:sz w:val="13"/>
                <w:szCs w:val="13"/>
              </w:rPr>
            </w:pPr>
            <w:r w:rsidRPr="006A1EC7">
              <w:rPr>
                <w:sz w:val="13"/>
                <w:szCs w:val="13"/>
              </w:rPr>
              <w:t>20</w:t>
            </w:r>
          </w:p>
        </w:tc>
        <w:tc>
          <w:tcPr>
            <w:tcW w:w="395" w:type="dxa"/>
          </w:tcPr>
          <w:p w14:paraId="5C14A053"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1E576DAA" w14:textId="77777777" w:rsidR="0087601C" w:rsidRPr="006A1EC7" w:rsidRDefault="0087601C" w:rsidP="00D56051">
            <w:pPr>
              <w:rPr>
                <w:sz w:val="13"/>
                <w:szCs w:val="13"/>
              </w:rPr>
            </w:pPr>
            <w:r w:rsidRPr="006A1EC7">
              <w:rPr>
                <w:sz w:val="13"/>
                <w:szCs w:val="13"/>
              </w:rPr>
              <w:t>21</w:t>
            </w:r>
          </w:p>
        </w:tc>
        <w:tc>
          <w:tcPr>
            <w:tcW w:w="395" w:type="dxa"/>
            <w:shd w:val="clear" w:color="auto" w:fill="FFFF00"/>
          </w:tcPr>
          <w:p w14:paraId="1B16E09C" w14:textId="77777777" w:rsidR="0087601C" w:rsidRPr="006A1EC7" w:rsidRDefault="0087601C" w:rsidP="00D56051">
            <w:pPr>
              <w:rPr>
                <w:sz w:val="13"/>
                <w:szCs w:val="13"/>
              </w:rPr>
            </w:pPr>
            <w:r w:rsidRPr="006A1EC7">
              <w:rPr>
                <w:sz w:val="13"/>
                <w:szCs w:val="13"/>
              </w:rPr>
              <w:t>20</w:t>
            </w:r>
          </w:p>
        </w:tc>
        <w:tc>
          <w:tcPr>
            <w:tcW w:w="395" w:type="dxa"/>
          </w:tcPr>
          <w:p w14:paraId="57B38FF2" w14:textId="77777777" w:rsidR="0087601C" w:rsidRPr="006A1EC7" w:rsidRDefault="0087601C" w:rsidP="00D56051">
            <w:pPr>
              <w:rPr>
                <w:sz w:val="13"/>
                <w:szCs w:val="13"/>
              </w:rPr>
            </w:pPr>
            <w:r w:rsidRPr="006A1EC7">
              <w:rPr>
                <w:sz w:val="13"/>
                <w:szCs w:val="13"/>
              </w:rPr>
              <w:t>0</w:t>
            </w:r>
          </w:p>
        </w:tc>
        <w:tc>
          <w:tcPr>
            <w:tcW w:w="395" w:type="dxa"/>
            <w:shd w:val="clear" w:color="auto" w:fill="FFFF00"/>
          </w:tcPr>
          <w:p w14:paraId="1EA61780" w14:textId="77777777" w:rsidR="0087601C" w:rsidRPr="006A1EC7" w:rsidRDefault="0087601C" w:rsidP="00D56051">
            <w:pPr>
              <w:rPr>
                <w:sz w:val="13"/>
                <w:szCs w:val="13"/>
              </w:rPr>
            </w:pPr>
            <w:r w:rsidRPr="006A1EC7">
              <w:rPr>
                <w:sz w:val="13"/>
                <w:szCs w:val="13"/>
              </w:rPr>
              <w:t>23</w:t>
            </w:r>
          </w:p>
        </w:tc>
        <w:tc>
          <w:tcPr>
            <w:tcW w:w="395" w:type="dxa"/>
            <w:shd w:val="clear" w:color="auto" w:fill="FFFF00"/>
          </w:tcPr>
          <w:p w14:paraId="64E04225" w14:textId="77777777" w:rsidR="0087601C" w:rsidRPr="006A1EC7" w:rsidRDefault="0087601C" w:rsidP="00D56051">
            <w:pPr>
              <w:rPr>
                <w:sz w:val="13"/>
                <w:szCs w:val="13"/>
              </w:rPr>
            </w:pPr>
            <w:r w:rsidRPr="006A1EC7">
              <w:rPr>
                <w:sz w:val="13"/>
                <w:szCs w:val="13"/>
              </w:rPr>
              <w:t>18</w:t>
            </w:r>
          </w:p>
        </w:tc>
        <w:tc>
          <w:tcPr>
            <w:tcW w:w="395" w:type="dxa"/>
            <w:shd w:val="clear" w:color="auto" w:fill="auto"/>
          </w:tcPr>
          <w:p w14:paraId="0A566B93" w14:textId="77777777" w:rsidR="0087601C" w:rsidRPr="006A1EC7" w:rsidRDefault="0087601C" w:rsidP="00D56051">
            <w:pPr>
              <w:rPr>
                <w:sz w:val="13"/>
                <w:szCs w:val="13"/>
              </w:rPr>
            </w:pPr>
            <w:r w:rsidRPr="006A1EC7">
              <w:rPr>
                <w:sz w:val="13"/>
                <w:szCs w:val="13"/>
              </w:rPr>
              <w:t>0</w:t>
            </w:r>
          </w:p>
        </w:tc>
        <w:tc>
          <w:tcPr>
            <w:tcW w:w="396" w:type="dxa"/>
            <w:shd w:val="clear" w:color="auto" w:fill="FFFF00"/>
          </w:tcPr>
          <w:p w14:paraId="3069899F" w14:textId="77777777" w:rsidR="0087601C" w:rsidRPr="006A1EC7" w:rsidRDefault="0087601C" w:rsidP="00D56051">
            <w:pPr>
              <w:rPr>
                <w:sz w:val="13"/>
                <w:szCs w:val="13"/>
              </w:rPr>
            </w:pPr>
            <w:r w:rsidRPr="006A1EC7">
              <w:rPr>
                <w:sz w:val="13"/>
                <w:szCs w:val="13"/>
              </w:rPr>
              <w:t>21</w:t>
            </w:r>
          </w:p>
        </w:tc>
        <w:tc>
          <w:tcPr>
            <w:tcW w:w="396" w:type="dxa"/>
            <w:shd w:val="clear" w:color="auto" w:fill="FFFF00"/>
          </w:tcPr>
          <w:p w14:paraId="5BD15A79" w14:textId="77777777" w:rsidR="0087601C" w:rsidRPr="006A1EC7" w:rsidRDefault="0087601C" w:rsidP="00D56051">
            <w:pPr>
              <w:rPr>
                <w:sz w:val="13"/>
                <w:szCs w:val="13"/>
              </w:rPr>
            </w:pPr>
            <w:r w:rsidRPr="006A1EC7">
              <w:rPr>
                <w:sz w:val="13"/>
                <w:szCs w:val="13"/>
              </w:rPr>
              <w:t>18</w:t>
            </w:r>
          </w:p>
        </w:tc>
        <w:tc>
          <w:tcPr>
            <w:tcW w:w="395" w:type="dxa"/>
          </w:tcPr>
          <w:p w14:paraId="0988B944" w14:textId="77777777" w:rsidR="0087601C" w:rsidRPr="006A1EC7" w:rsidRDefault="0087601C" w:rsidP="00D56051">
            <w:pPr>
              <w:rPr>
                <w:sz w:val="13"/>
                <w:szCs w:val="13"/>
              </w:rPr>
            </w:pPr>
            <w:r w:rsidRPr="006A1EC7">
              <w:rPr>
                <w:sz w:val="13"/>
                <w:szCs w:val="13"/>
              </w:rPr>
              <w:t>0</w:t>
            </w:r>
          </w:p>
        </w:tc>
        <w:tc>
          <w:tcPr>
            <w:tcW w:w="643" w:type="dxa"/>
            <w:shd w:val="clear" w:color="auto" w:fill="auto"/>
          </w:tcPr>
          <w:p w14:paraId="5D3808FE" w14:textId="77777777" w:rsidR="0087601C" w:rsidRPr="006A1EC7" w:rsidRDefault="0087601C" w:rsidP="00D56051">
            <w:pPr>
              <w:rPr>
                <w:sz w:val="13"/>
                <w:szCs w:val="13"/>
              </w:rPr>
            </w:pPr>
            <w:r w:rsidRPr="006A1EC7">
              <w:rPr>
                <w:sz w:val="13"/>
                <w:szCs w:val="13"/>
              </w:rPr>
              <w:t>1/10</w:t>
            </w:r>
          </w:p>
        </w:tc>
        <w:tc>
          <w:tcPr>
            <w:tcW w:w="221" w:type="dxa"/>
            <w:shd w:val="clear" w:color="auto" w:fill="auto"/>
          </w:tcPr>
          <w:p w14:paraId="49BDE751" w14:textId="77777777" w:rsidR="0087601C" w:rsidRPr="006A1EC7" w:rsidRDefault="0087601C" w:rsidP="00D56051">
            <w:pPr>
              <w:rPr>
                <w:sz w:val="13"/>
                <w:szCs w:val="13"/>
              </w:rPr>
            </w:pPr>
            <w:r w:rsidRPr="006A1EC7">
              <w:rPr>
                <w:sz w:val="13"/>
                <w:szCs w:val="13"/>
              </w:rPr>
              <w:t>10%</w:t>
            </w:r>
          </w:p>
        </w:tc>
      </w:tr>
      <w:tr w:rsidR="00744A8E" w:rsidRPr="006A1EC7" w14:paraId="1E25357D" w14:textId="77777777" w:rsidTr="00D56051">
        <w:tc>
          <w:tcPr>
            <w:tcW w:w="1004" w:type="dxa"/>
          </w:tcPr>
          <w:p w14:paraId="1C77FDB4" w14:textId="77777777" w:rsidR="0087601C" w:rsidRPr="006A1EC7" w:rsidRDefault="0087601C" w:rsidP="00D56051">
            <w:pPr>
              <w:rPr>
                <w:sz w:val="13"/>
                <w:szCs w:val="13"/>
              </w:rPr>
            </w:pPr>
            <w:r w:rsidRPr="006A1EC7">
              <w:rPr>
                <w:sz w:val="13"/>
                <w:szCs w:val="13"/>
              </w:rPr>
              <w:t>Percent agreement (%)</w:t>
            </w:r>
          </w:p>
        </w:tc>
        <w:tc>
          <w:tcPr>
            <w:tcW w:w="396" w:type="dxa"/>
            <w:shd w:val="clear" w:color="auto" w:fill="FFFF00"/>
          </w:tcPr>
          <w:p w14:paraId="424CA78D" w14:textId="77777777" w:rsidR="0087601C" w:rsidRPr="006A1EC7" w:rsidRDefault="0087601C" w:rsidP="00D56051">
            <w:pPr>
              <w:rPr>
                <w:sz w:val="13"/>
                <w:szCs w:val="13"/>
              </w:rPr>
            </w:pPr>
          </w:p>
        </w:tc>
        <w:tc>
          <w:tcPr>
            <w:tcW w:w="396" w:type="dxa"/>
            <w:shd w:val="clear" w:color="auto" w:fill="FFFF00"/>
          </w:tcPr>
          <w:p w14:paraId="11C498CD" w14:textId="77777777" w:rsidR="0087601C" w:rsidRPr="006A1EC7" w:rsidRDefault="0087601C" w:rsidP="00D56051">
            <w:pPr>
              <w:rPr>
                <w:sz w:val="13"/>
                <w:szCs w:val="13"/>
              </w:rPr>
            </w:pPr>
          </w:p>
        </w:tc>
        <w:tc>
          <w:tcPr>
            <w:tcW w:w="396" w:type="dxa"/>
          </w:tcPr>
          <w:p w14:paraId="3E26BC60" w14:textId="77777777" w:rsidR="0087601C" w:rsidRPr="006A1EC7" w:rsidRDefault="0087601C" w:rsidP="00D56051">
            <w:pPr>
              <w:rPr>
                <w:sz w:val="13"/>
                <w:szCs w:val="13"/>
              </w:rPr>
            </w:pPr>
            <w:r w:rsidRPr="006A1EC7">
              <w:rPr>
                <w:sz w:val="13"/>
                <w:szCs w:val="13"/>
              </w:rPr>
              <w:t>60</w:t>
            </w:r>
          </w:p>
        </w:tc>
        <w:tc>
          <w:tcPr>
            <w:tcW w:w="396" w:type="dxa"/>
            <w:shd w:val="clear" w:color="auto" w:fill="FFFF00"/>
          </w:tcPr>
          <w:p w14:paraId="6F1588C9" w14:textId="77777777" w:rsidR="0087601C" w:rsidRPr="006A1EC7" w:rsidRDefault="0087601C" w:rsidP="00D56051">
            <w:pPr>
              <w:rPr>
                <w:sz w:val="13"/>
                <w:szCs w:val="13"/>
              </w:rPr>
            </w:pPr>
          </w:p>
        </w:tc>
        <w:tc>
          <w:tcPr>
            <w:tcW w:w="396" w:type="dxa"/>
            <w:shd w:val="clear" w:color="auto" w:fill="FFFF00"/>
          </w:tcPr>
          <w:p w14:paraId="282D8606" w14:textId="77777777" w:rsidR="0087601C" w:rsidRPr="006A1EC7" w:rsidRDefault="0087601C" w:rsidP="00D56051">
            <w:pPr>
              <w:rPr>
                <w:sz w:val="13"/>
                <w:szCs w:val="13"/>
              </w:rPr>
            </w:pPr>
          </w:p>
        </w:tc>
        <w:tc>
          <w:tcPr>
            <w:tcW w:w="396" w:type="dxa"/>
          </w:tcPr>
          <w:p w14:paraId="757B6985" w14:textId="77777777" w:rsidR="0087601C" w:rsidRPr="006A1EC7" w:rsidRDefault="0087601C" w:rsidP="00D56051">
            <w:pPr>
              <w:rPr>
                <w:sz w:val="13"/>
                <w:szCs w:val="13"/>
              </w:rPr>
            </w:pPr>
            <w:r w:rsidRPr="006A1EC7">
              <w:rPr>
                <w:sz w:val="13"/>
                <w:szCs w:val="13"/>
              </w:rPr>
              <w:t>60</w:t>
            </w:r>
          </w:p>
        </w:tc>
        <w:tc>
          <w:tcPr>
            <w:tcW w:w="396" w:type="dxa"/>
            <w:shd w:val="clear" w:color="auto" w:fill="FFFF00"/>
          </w:tcPr>
          <w:p w14:paraId="1A8C0F40" w14:textId="77777777" w:rsidR="0087601C" w:rsidRPr="006A1EC7" w:rsidRDefault="0087601C" w:rsidP="00D56051">
            <w:pPr>
              <w:rPr>
                <w:sz w:val="13"/>
                <w:szCs w:val="13"/>
              </w:rPr>
            </w:pPr>
          </w:p>
        </w:tc>
        <w:tc>
          <w:tcPr>
            <w:tcW w:w="396" w:type="dxa"/>
            <w:shd w:val="clear" w:color="auto" w:fill="FFFF00"/>
          </w:tcPr>
          <w:p w14:paraId="0A31CE83" w14:textId="77777777" w:rsidR="0087601C" w:rsidRPr="006A1EC7" w:rsidRDefault="0087601C" w:rsidP="00D56051">
            <w:pPr>
              <w:rPr>
                <w:sz w:val="13"/>
                <w:szCs w:val="13"/>
              </w:rPr>
            </w:pPr>
          </w:p>
        </w:tc>
        <w:tc>
          <w:tcPr>
            <w:tcW w:w="396" w:type="dxa"/>
            <w:shd w:val="clear" w:color="auto" w:fill="auto"/>
          </w:tcPr>
          <w:p w14:paraId="33CC3D46" w14:textId="77777777" w:rsidR="0087601C" w:rsidRPr="006A1EC7" w:rsidRDefault="0087601C" w:rsidP="00D56051">
            <w:pPr>
              <w:rPr>
                <w:sz w:val="13"/>
                <w:szCs w:val="13"/>
              </w:rPr>
            </w:pPr>
            <w:r w:rsidRPr="006A1EC7">
              <w:rPr>
                <w:sz w:val="13"/>
                <w:szCs w:val="13"/>
              </w:rPr>
              <w:t>80</w:t>
            </w:r>
          </w:p>
        </w:tc>
        <w:tc>
          <w:tcPr>
            <w:tcW w:w="395" w:type="dxa"/>
            <w:shd w:val="clear" w:color="auto" w:fill="FFFF00"/>
          </w:tcPr>
          <w:p w14:paraId="3D577D6C" w14:textId="77777777" w:rsidR="0087601C" w:rsidRPr="006A1EC7" w:rsidRDefault="0087601C" w:rsidP="00D56051">
            <w:pPr>
              <w:rPr>
                <w:sz w:val="13"/>
                <w:szCs w:val="13"/>
              </w:rPr>
            </w:pPr>
          </w:p>
        </w:tc>
        <w:tc>
          <w:tcPr>
            <w:tcW w:w="395" w:type="dxa"/>
            <w:shd w:val="clear" w:color="auto" w:fill="FFFF00"/>
          </w:tcPr>
          <w:p w14:paraId="60736DA7" w14:textId="77777777" w:rsidR="0087601C" w:rsidRPr="006A1EC7" w:rsidRDefault="0087601C" w:rsidP="00D56051">
            <w:pPr>
              <w:rPr>
                <w:sz w:val="13"/>
                <w:szCs w:val="13"/>
              </w:rPr>
            </w:pPr>
          </w:p>
        </w:tc>
        <w:tc>
          <w:tcPr>
            <w:tcW w:w="395" w:type="dxa"/>
          </w:tcPr>
          <w:p w14:paraId="47427C34" w14:textId="77777777" w:rsidR="0087601C" w:rsidRPr="006A1EC7" w:rsidRDefault="0087601C" w:rsidP="00D56051">
            <w:pPr>
              <w:rPr>
                <w:sz w:val="13"/>
                <w:szCs w:val="13"/>
              </w:rPr>
            </w:pPr>
            <w:r w:rsidRPr="006A1EC7">
              <w:rPr>
                <w:sz w:val="13"/>
                <w:szCs w:val="13"/>
              </w:rPr>
              <w:t>60</w:t>
            </w:r>
          </w:p>
        </w:tc>
        <w:tc>
          <w:tcPr>
            <w:tcW w:w="395" w:type="dxa"/>
            <w:shd w:val="clear" w:color="auto" w:fill="FFFF00"/>
          </w:tcPr>
          <w:p w14:paraId="5CA3BD3E" w14:textId="77777777" w:rsidR="0087601C" w:rsidRPr="006A1EC7" w:rsidRDefault="0087601C" w:rsidP="00D56051">
            <w:pPr>
              <w:rPr>
                <w:sz w:val="13"/>
                <w:szCs w:val="13"/>
              </w:rPr>
            </w:pPr>
          </w:p>
        </w:tc>
        <w:tc>
          <w:tcPr>
            <w:tcW w:w="395" w:type="dxa"/>
            <w:shd w:val="clear" w:color="auto" w:fill="FFFF00"/>
          </w:tcPr>
          <w:p w14:paraId="109FD203" w14:textId="77777777" w:rsidR="0087601C" w:rsidRPr="006A1EC7" w:rsidRDefault="0087601C" w:rsidP="00D56051">
            <w:pPr>
              <w:rPr>
                <w:sz w:val="13"/>
                <w:szCs w:val="13"/>
              </w:rPr>
            </w:pPr>
          </w:p>
        </w:tc>
        <w:tc>
          <w:tcPr>
            <w:tcW w:w="395" w:type="dxa"/>
          </w:tcPr>
          <w:p w14:paraId="5E487270" w14:textId="77777777" w:rsidR="0087601C" w:rsidRPr="006A1EC7" w:rsidRDefault="0087601C" w:rsidP="00D56051">
            <w:pPr>
              <w:rPr>
                <w:sz w:val="13"/>
                <w:szCs w:val="13"/>
              </w:rPr>
            </w:pPr>
            <w:r w:rsidRPr="006A1EC7">
              <w:rPr>
                <w:sz w:val="13"/>
                <w:szCs w:val="13"/>
              </w:rPr>
              <w:t>60</w:t>
            </w:r>
          </w:p>
        </w:tc>
        <w:tc>
          <w:tcPr>
            <w:tcW w:w="395" w:type="dxa"/>
            <w:shd w:val="clear" w:color="auto" w:fill="FFFF00"/>
          </w:tcPr>
          <w:p w14:paraId="1C5B191E" w14:textId="77777777" w:rsidR="0087601C" w:rsidRPr="006A1EC7" w:rsidRDefault="0087601C" w:rsidP="00D56051">
            <w:pPr>
              <w:rPr>
                <w:sz w:val="13"/>
                <w:szCs w:val="13"/>
              </w:rPr>
            </w:pPr>
          </w:p>
        </w:tc>
        <w:tc>
          <w:tcPr>
            <w:tcW w:w="395" w:type="dxa"/>
            <w:shd w:val="clear" w:color="auto" w:fill="FFFF00"/>
          </w:tcPr>
          <w:p w14:paraId="6DDF52FC" w14:textId="77777777" w:rsidR="0087601C" w:rsidRPr="006A1EC7" w:rsidRDefault="0087601C" w:rsidP="00D56051">
            <w:pPr>
              <w:rPr>
                <w:sz w:val="13"/>
                <w:szCs w:val="13"/>
              </w:rPr>
            </w:pPr>
          </w:p>
        </w:tc>
        <w:tc>
          <w:tcPr>
            <w:tcW w:w="395" w:type="dxa"/>
          </w:tcPr>
          <w:p w14:paraId="2B7F8B81" w14:textId="77777777" w:rsidR="0087601C" w:rsidRPr="006A1EC7" w:rsidRDefault="0087601C" w:rsidP="00D56051">
            <w:pPr>
              <w:rPr>
                <w:sz w:val="13"/>
                <w:szCs w:val="13"/>
              </w:rPr>
            </w:pPr>
            <w:r w:rsidRPr="006A1EC7">
              <w:rPr>
                <w:sz w:val="13"/>
                <w:szCs w:val="13"/>
              </w:rPr>
              <w:t>40</w:t>
            </w:r>
          </w:p>
        </w:tc>
        <w:tc>
          <w:tcPr>
            <w:tcW w:w="395" w:type="dxa"/>
            <w:shd w:val="clear" w:color="auto" w:fill="FFFF00"/>
          </w:tcPr>
          <w:p w14:paraId="57179460" w14:textId="77777777" w:rsidR="0087601C" w:rsidRPr="006A1EC7" w:rsidRDefault="0087601C" w:rsidP="00D56051">
            <w:pPr>
              <w:rPr>
                <w:sz w:val="13"/>
                <w:szCs w:val="13"/>
              </w:rPr>
            </w:pPr>
          </w:p>
        </w:tc>
        <w:tc>
          <w:tcPr>
            <w:tcW w:w="395" w:type="dxa"/>
            <w:shd w:val="clear" w:color="auto" w:fill="FFFF00"/>
          </w:tcPr>
          <w:p w14:paraId="3EA40FC6" w14:textId="77777777" w:rsidR="0087601C" w:rsidRPr="006A1EC7" w:rsidRDefault="0087601C" w:rsidP="00D56051">
            <w:pPr>
              <w:rPr>
                <w:sz w:val="13"/>
                <w:szCs w:val="13"/>
              </w:rPr>
            </w:pPr>
          </w:p>
        </w:tc>
        <w:tc>
          <w:tcPr>
            <w:tcW w:w="395" w:type="dxa"/>
          </w:tcPr>
          <w:p w14:paraId="36FE0429" w14:textId="77777777" w:rsidR="0087601C" w:rsidRPr="006A1EC7" w:rsidRDefault="0087601C" w:rsidP="00D56051">
            <w:pPr>
              <w:rPr>
                <w:sz w:val="13"/>
                <w:szCs w:val="13"/>
              </w:rPr>
            </w:pPr>
            <w:r w:rsidRPr="006A1EC7">
              <w:rPr>
                <w:sz w:val="13"/>
                <w:szCs w:val="13"/>
              </w:rPr>
              <w:t>60</w:t>
            </w:r>
          </w:p>
        </w:tc>
        <w:tc>
          <w:tcPr>
            <w:tcW w:w="395" w:type="dxa"/>
            <w:shd w:val="clear" w:color="auto" w:fill="FFFF00"/>
          </w:tcPr>
          <w:p w14:paraId="49F25B95" w14:textId="77777777" w:rsidR="0087601C" w:rsidRPr="006A1EC7" w:rsidRDefault="0087601C" w:rsidP="00D56051">
            <w:pPr>
              <w:rPr>
                <w:sz w:val="13"/>
                <w:szCs w:val="13"/>
              </w:rPr>
            </w:pPr>
          </w:p>
        </w:tc>
        <w:tc>
          <w:tcPr>
            <w:tcW w:w="395" w:type="dxa"/>
            <w:shd w:val="clear" w:color="auto" w:fill="FFFF00"/>
          </w:tcPr>
          <w:p w14:paraId="71B02FED" w14:textId="77777777" w:rsidR="0087601C" w:rsidRPr="006A1EC7" w:rsidRDefault="0087601C" w:rsidP="00D56051">
            <w:pPr>
              <w:rPr>
                <w:sz w:val="13"/>
                <w:szCs w:val="13"/>
              </w:rPr>
            </w:pPr>
          </w:p>
        </w:tc>
        <w:tc>
          <w:tcPr>
            <w:tcW w:w="395" w:type="dxa"/>
          </w:tcPr>
          <w:p w14:paraId="0F2B9E46" w14:textId="77777777" w:rsidR="0087601C" w:rsidRPr="006A1EC7" w:rsidRDefault="0087601C" w:rsidP="00D56051">
            <w:pPr>
              <w:rPr>
                <w:sz w:val="13"/>
                <w:szCs w:val="13"/>
              </w:rPr>
            </w:pPr>
            <w:r w:rsidRPr="006A1EC7">
              <w:rPr>
                <w:sz w:val="13"/>
                <w:szCs w:val="13"/>
              </w:rPr>
              <w:t>40</w:t>
            </w:r>
          </w:p>
        </w:tc>
        <w:tc>
          <w:tcPr>
            <w:tcW w:w="395" w:type="dxa"/>
            <w:shd w:val="clear" w:color="auto" w:fill="FFFF00"/>
          </w:tcPr>
          <w:p w14:paraId="17638A9F" w14:textId="77777777" w:rsidR="0087601C" w:rsidRPr="006A1EC7" w:rsidRDefault="0087601C" w:rsidP="00D56051">
            <w:pPr>
              <w:rPr>
                <w:sz w:val="13"/>
                <w:szCs w:val="13"/>
              </w:rPr>
            </w:pPr>
          </w:p>
        </w:tc>
        <w:tc>
          <w:tcPr>
            <w:tcW w:w="395" w:type="dxa"/>
            <w:shd w:val="clear" w:color="auto" w:fill="FFFF00"/>
          </w:tcPr>
          <w:p w14:paraId="60C9A929" w14:textId="77777777" w:rsidR="0087601C" w:rsidRPr="006A1EC7" w:rsidRDefault="0087601C" w:rsidP="00D56051">
            <w:pPr>
              <w:rPr>
                <w:sz w:val="13"/>
                <w:szCs w:val="13"/>
              </w:rPr>
            </w:pPr>
          </w:p>
        </w:tc>
        <w:tc>
          <w:tcPr>
            <w:tcW w:w="395" w:type="dxa"/>
            <w:shd w:val="clear" w:color="auto" w:fill="auto"/>
          </w:tcPr>
          <w:p w14:paraId="336B7AF6" w14:textId="77777777" w:rsidR="0087601C" w:rsidRPr="006A1EC7" w:rsidRDefault="0087601C" w:rsidP="00D56051">
            <w:pPr>
              <w:rPr>
                <w:sz w:val="13"/>
                <w:szCs w:val="13"/>
              </w:rPr>
            </w:pPr>
            <w:r w:rsidRPr="006A1EC7">
              <w:rPr>
                <w:sz w:val="13"/>
                <w:szCs w:val="13"/>
              </w:rPr>
              <w:t>40</w:t>
            </w:r>
          </w:p>
        </w:tc>
        <w:tc>
          <w:tcPr>
            <w:tcW w:w="396" w:type="dxa"/>
            <w:shd w:val="clear" w:color="auto" w:fill="FFFF00"/>
          </w:tcPr>
          <w:p w14:paraId="3D590CE1" w14:textId="77777777" w:rsidR="0087601C" w:rsidRPr="006A1EC7" w:rsidRDefault="0087601C" w:rsidP="00D56051">
            <w:pPr>
              <w:rPr>
                <w:sz w:val="13"/>
                <w:szCs w:val="13"/>
              </w:rPr>
            </w:pPr>
          </w:p>
        </w:tc>
        <w:tc>
          <w:tcPr>
            <w:tcW w:w="396" w:type="dxa"/>
            <w:shd w:val="clear" w:color="auto" w:fill="FFFF00"/>
          </w:tcPr>
          <w:p w14:paraId="1C4FE197" w14:textId="77777777" w:rsidR="0087601C" w:rsidRPr="006A1EC7" w:rsidRDefault="0087601C" w:rsidP="00D56051">
            <w:pPr>
              <w:rPr>
                <w:sz w:val="13"/>
                <w:szCs w:val="13"/>
              </w:rPr>
            </w:pPr>
          </w:p>
        </w:tc>
        <w:tc>
          <w:tcPr>
            <w:tcW w:w="395" w:type="dxa"/>
          </w:tcPr>
          <w:p w14:paraId="3F8E2D21" w14:textId="77777777" w:rsidR="0087601C" w:rsidRPr="006A1EC7" w:rsidRDefault="0087601C" w:rsidP="00D56051">
            <w:pPr>
              <w:rPr>
                <w:sz w:val="13"/>
                <w:szCs w:val="13"/>
              </w:rPr>
            </w:pPr>
            <w:r w:rsidRPr="006A1EC7">
              <w:rPr>
                <w:sz w:val="13"/>
                <w:szCs w:val="13"/>
              </w:rPr>
              <w:t>60</w:t>
            </w:r>
          </w:p>
        </w:tc>
        <w:tc>
          <w:tcPr>
            <w:tcW w:w="643" w:type="dxa"/>
            <w:shd w:val="clear" w:color="auto" w:fill="auto"/>
          </w:tcPr>
          <w:p w14:paraId="4C662B92" w14:textId="77777777" w:rsidR="0087601C" w:rsidRPr="006A1EC7" w:rsidRDefault="0087601C" w:rsidP="00D56051">
            <w:pPr>
              <w:rPr>
                <w:sz w:val="13"/>
                <w:szCs w:val="13"/>
              </w:rPr>
            </w:pPr>
          </w:p>
        </w:tc>
        <w:tc>
          <w:tcPr>
            <w:tcW w:w="221" w:type="dxa"/>
            <w:shd w:val="clear" w:color="auto" w:fill="auto"/>
          </w:tcPr>
          <w:p w14:paraId="06A25F0D" w14:textId="77777777" w:rsidR="0087601C" w:rsidRPr="006A1EC7" w:rsidRDefault="0087601C" w:rsidP="00D56051">
            <w:pPr>
              <w:rPr>
                <w:sz w:val="13"/>
                <w:szCs w:val="13"/>
              </w:rPr>
            </w:pPr>
          </w:p>
        </w:tc>
      </w:tr>
    </w:tbl>
    <w:p w14:paraId="1481C5FE" w14:textId="77777777" w:rsidR="0087601C" w:rsidRPr="006A1EC7" w:rsidRDefault="0087601C" w:rsidP="0087601C">
      <w:pPr>
        <w:rPr>
          <w:b/>
          <w:bCs/>
          <w:sz w:val="13"/>
          <w:szCs w:val="13"/>
        </w:rPr>
      </w:pPr>
    </w:p>
    <w:p w14:paraId="519562FC" w14:textId="77777777" w:rsidR="0087601C" w:rsidRPr="006A1EC7" w:rsidRDefault="0087601C" w:rsidP="0087601C">
      <w:pPr>
        <w:rPr>
          <w:b/>
          <w:bCs/>
          <w:sz w:val="13"/>
          <w:szCs w:val="13"/>
        </w:rPr>
      </w:pPr>
    </w:p>
    <w:p w14:paraId="6B0342D9" w14:textId="77777777" w:rsidR="0087601C" w:rsidRPr="006A1EC7" w:rsidRDefault="0087601C" w:rsidP="0087601C">
      <w:pPr>
        <w:rPr>
          <w:b/>
          <w:bCs/>
          <w:sz w:val="13"/>
          <w:szCs w:val="13"/>
        </w:rPr>
      </w:pPr>
      <w:r w:rsidRPr="006A1EC7">
        <w:rPr>
          <w:b/>
          <w:bCs/>
          <w:sz w:val="13"/>
          <w:szCs w:val="13"/>
        </w:rPr>
        <w:t>VIGNETTE 3: EMMA</w:t>
      </w:r>
    </w:p>
    <w:p w14:paraId="77286ED9" w14:textId="77777777" w:rsidR="0087601C" w:rsidRPr="006A1EC7" w:rsidRDefault="0087601C" w:rsidP="0087601C">
      <w:pPr>
        <w:rPr>
          <w:b/>
          <w:bCs/>
          <w:sz w:val="13"/>
          <w:szCs w:val="13"/>
        </w:rPr>
      </w:pPr>
    </w:p>
    <w:tbl>
      <w:tblPr>
        <w:tblStyle w:val="TableGrid"/>
        <w:tblW w:w="0" w:type="auto"/>
        <w:tblLook w:val="04A0" w:firstRow="1" w:lastRow="0" w:firstColumn="1" w:lastColumn="0" w:noHBand="0" w:noVBand="1"/>
      </w:tblPr>
      <w:tblGrid>
        <w:gridCol w:w="758"/>
        <w:gridCol w:w="476"/>
        <w:gridCol w:w="476"/>
        <w:gridCol w:w="477"/>
        <w:gridCol w:w="477"/>
        <w:gridCol w:w="477"/>
        <w:gridCol w:w="458"/>
        <w:gridCol w:w="477"/>
        <w:gridCol w:w="406"/>
        <w:gridCol w:w="455"/>
        <w:gridCol w:w="439"/>
        <w:gridCol w:w="477"/>
        <w:gridCol w:w="455"/>
        <w:gridCol w:w="1562"/>
        <w:gridCol w:w="2410"/>
      </w:tblGrid>
      <w:tr w:rsidR="0087601C" w:rsidRPr="006A1EC7" w14:paraId="5F799EB8" w14:textId="77777777" w:rsidTr="00D56051">
        <w:trPr>
          <w:trHeight w:val="558"/>
        </w:trPr>
        <w:tc>
          <w:tcPr>
            <w:tcW w:w="636" w:type="dxa"/>
          </w:tcPr>
          <w:p w14:paraId="653169F3" w14:textId="77777777" w:rsidR="0087601C" w:rsidRPr="006A1EC7" w:rsidRDefault="0087601C" w:rsidP="00D56051">
            <w:pPr>
              <w:rPr>
                <w:sz w:val="13"/>
                <w:szCs w:val="13"/>
              </w:rPr>
            </w:pPr>
          </w:p>
        </w:tc>
        <w:tc>
          <w:tcPr>
            <w:tcW w:w="476" w:type="dxa"/>
            <w:shd w:val="clear" w:color="auto" w:fill="FFFF00"/>
          </w:tcPr>
          <w:p w14:paraId="33BA7781" w14:textId="77777777" w:rsidR="0087601C" w:rsidRPr="006A1EC7" w:rsidRDefault="0087601C" w:rsidP="00D56051">
            <w:pPr>
              <w:rPr>
                <w:sz w:val="13"/>
                <w:szCs w:val="13"/>
              </w:rPr>
            </w:pPr>
            <w:r w:rsidRPr="006A1EC7">
              <w:rPr>
                <w:sz w:val="13"/>
                <w:szCs w:val="13"/>
              </w:rPr>
              <w:t>J1 (1)</w:t>
            </w:r>
          </w:p>
        </w:tc>
        <w:tc>
          <w:tcPr>
            <w:tcW w:w="476" w:type="dxa"/>
            <w:shd w:val="clear" w:color="auto" w:fill="FFFF00"/>
          </w:tcPr>
          <w:p w14:paraId="13875CBE" w14:textId="77777777" w:rsidR="0087601C" w:rsidRPr="006A1EC7" w:rsidRDefault="0087601C" w:rsidP="00D56051">
            <w:pPr>
              <w:rPr>
                <w:sz w:val="13"/>
                <w:szCs w:val="13"/>
              </w:rPr>
            </w:pPr>
            <w:r w:rsidRPr="006A1EC7">
              <w:rPr>
                <w:sz w:val="13"/>
                <w:szCs w:val="13"/>
              </w:rPr>
              <w:t>J1 (2)</w:t>
            </w:r>
          </w:p>
        </w:tc>
        <w:tc>
          <w:tcPr>
            <w:tcW w:w="477" w:type="dxa"/>
          </w:tcPr>
          <w:p w14:paraId="4AFDA66F" w14:textId="77777777" w:rsidR="0087601C" w:rsidRPr="006A1EC7" w:rsidRDefault="0087601C" w:rsidP="00D56051">
            <w:pPr>
              <w:rPr>
                <w:sz w:val="13"/>
                <w:szCs w:val="13"/>
              </w:rPr>
            </w:pPr>
          </w:p>
        </w:tc>
        <w:tc>
          <w:tcPr>
            <w:tcW w:w="477" w:type="dxa"/>
            <w:shd w:val="clear" w:color="auto" w:fill="FFFF00"/>
          </w:tcPr>
          <w:p w14:paraId="7FE6E01D" w14:textId="77777777" w:rsidR="0087601C" w:rsidRPr="006A1EC7" w:rsidRDefault="0087601C" w:rsidP="00D56051">
            <w:pPr>
              <w:rPr>
                <w:sz w:val="13"/>
                <w:szCs w:val="13"/>
              </w:rPr>
            </w:pPr>
            <w:r w:rsidRPr="006A1EC7">
              <w:rPr>
                <w:sz w:val="13"/>
                <w:szCs w:val="13"/>
              </w:rPr>
              <w:t>J2 (1)</w:t>
            </w:r>
          </w:p>
        </w:tc>
        <w:tc>
          <w:tcPr>
            <w:tcW w:w="477" w:type="dxa"/>
            <w:shd w:val="clear" w:color="auto" w:fill="FFFF00"/>
          </w:tcPr>
          <w:p w14:paraId="5730B909" w14:textId="77777777" w:rsidR="0087601C" w:rsidRPr="006A1EC7" w:rsidRDefault="0087601C" w:rsidP="00D56051">
            <w:pPr>
              <w:rPr>
                <w:sz w:val="13"/>
                <w:szCs w:val="13"/>
              </w:rPr>
            </w:pPr>
            <w:r w:rsidRPr="006A1EC7">
              <w:rPr>
                <w:sz w:val="13"/>
                <w:szCs w:val="13"/>
              </w:rPr>
              <w:t>J2 (2)</w:t>
            </w:r>
          </w:p>
        </w:tc>
        <w:tc>
          <w:tcPr>
            <w:tcW w:w="458" w:type="dxa"/>
          </w:tcPr>
          <w:p w14:paraId="03377BE5" w14:textId="77777777" w:rsidR="0087601C" w:rsidRPr="006A1EC7" w:rsidRDefault="0087601C" w:rsidP="00D56051">
            <w:pPr>
              <w:rPr>
                <w:sz w:val="13"/>
                <w:szCs w:val="13"/>
              </w:rPr>
            </w:pPr>
          </w:p>
        </w:tc>
        <w:tc>
          <w:tcPr>
            <w:tcW w:w="477" w:type="dxa"/>
            <w:shd w:val="clear" w:color="auto" w:fill="FFFF00"/>
          </w:tcPr>
          <w:p w14:paraId="0298A9B5" w14:textId="77777777" w:rsidR="0087601C" w:rsidRPr="006A1EC7" w:rsidRDefault="0087601C" w:rsidP="00D56051">
            <w:pPr>
              <w:rPr>
                <w:sz w:val="13"/>
                <w:szCs w:val="13"/>
              </w:rPr>
            </w:pPr>
            <w:r w:rsidRPr="006A1EC7">
              <w:rPr>
                <w:sz w:val="13"/>
                <w:szCs w:val="13"/>
              </w:rPr>
              <w:t>J3 (1)</w:t>
            </w:r>
          </w:p>
        </w:tc>
        <w:tc>
          <w:tcPr>
            <w:tcW w:w="406" w:type="dxa"/>
            <w:shd w:val="clear" w:color="auto" w:fill="FFFF00"/>
          </w:tcPr>
          <w:p w14:paraId="35B329FF" w14:textId="77777777" w:rsidR="0087601C" w:rsidRPr="006A1EC7" w:rsidRDefault="0087601C" w:rsidP="00D56051">
            <w:pPr>
              <w:rPr>
                <w:sz w:val="13"/>
                <w:szCs w:val="13"/>
              </w:rPr>
            </w:pPr>
            <w:r w:rsidRPr="006A1EC7">
              <w:rPr>
                <w:sz w:val="13"/>
                <w:szCs w:val="13"/>
              </w:rPr>
              <w:t>J3 2)</w:t>
            </w:r>
          </w:p>
        </w:tc>
        <w:tc>
          <w:tcPr>
            <w:tcW w:w="406" w:type="dxa"/>
            <w:shd w:val="clear" w:color="auto" w:fill="auto"/>
          </w:tcPr>
          <w:p w14:paraId="355EF0AD" w14:textId="77777777" w:rsidR="0087601C" w:rsidRPr="006A1EC7" w:rsidRDefault="0087601C" w:rsidP="00D56051">
            <w:pPr>
              <w:rPr>
                <w:sz w:val="13"/>
                <w:szCs w:val="13"/>
              </w:rPr>
            </w:pPr>
          </w:p>
        </w:tc>
        <w:tc>
          <w:tcPr>
            <w:tcW w:w="439" w:type="dxa"/>
            <w:shd w:val="clear" w:color="auto" w:fill="FFFF00"/>
          </w:tcPr>
          <w:p w14:paraId="1643F544" w14:textId="77777777" w:rsidR="0087601C" w:rsidRPr="006A1EC7" w:rsidRDefault="0087601C" w:rsidP="00D56051">
            <w:pPr>
              <w:rPr>
                <w:sz w:val="13"/>
                <w:szCs w:val="13"/>
              </w:rPr>
            </w:pPr>
            <w:r w:rsidRPr="006A1EC7">
              <w:rPr>
                <w:sz w:val="13"/>
                <w:szCs w:val="13"/>
              </w:rPr>
              <w:t>J4 (1)</w:t>
            </w:r>
          </w:p>
        </w:tc>
        <w:tc>
          <w:tcPr>
            <w:tcW w:w="477" w:type="dxa"/>
            <w:shd w:val="clear" w:color="auto" w:fill="FFFF00"/>
          </w:tcPr>
          <w:p w14:paraId="4824F211" w14:textId="77777777" w:rsidR="0087601C" w:rsidRPr="006A1EC7" w:rsidRDefault="0087601C" w:rsidP="00D56051">
            <w:pPr>
              <w:rPr>
                <w:sz w:val="13"/>
                <w:szCs w:val="13"/>
              </w:rPr>
            </w:pPr>
            <w:r w:rsidRPr="006A1EC7">
              <w:rPr>
                <w:sz w:val="13"/>
                <w:szCs w:val="13"/>
              </w:rPr>
              <w:t>J4 (2)</w:t>
            </w:r>
          </w:p>
        </w:tc>
        <w:tc>
          <w:tcPr>
            <w:tcW w:w="406" w:type="dxa"/>
          </w:tcPr>
          <w:p w14:paraId="4C675123" w14:textId="77777777" w:rsidR="0087601C" w:rsidRPr="006A1EC7" w:rsidRDefault="0087601C" w:rsidP="00D56051">
            <w:pPr>
              <w:rPr>
                <w:sz w:val="13"/>
                <w:szCs w:val="13"/>
              </w:rPr>
            </w:pPr>
          </w:p>
        </w:tc>
        <w:tc>
          <w:tcPr>
            <w:tcW w:w="1562" w:type="dxa"/>
            <w:shd w:val="clear" w:color="auto" w:fill="auto"/>
          </w:tcPr>
          <w:p w14:paraId="32A09930" w14:textId="77777777" w:rsidR="0087601C" w:rsidRPr="006A1EC7" w:rsidRDefault="0087601C" w:rsidP="00D56051">
            <w:pPr>
              <w:rPr>
                <w:sz w:val="13"/>
                <w:szCs w:val="13"/>
              </w:rPr>
            </w:pPr>
          </w:p>
        </w:tc>
        <w:tc>
          <w:tcPr>
            <w:tcW w:w="2410" w:type="dxa"/>
            <w:shd w:val="clear" w:color="auto" w:fill="auto"/>
          </w:tcPr>
          <w:p w14:paraId="56218860" w14:textId="77777777" w:rsidR="0087601C" w:rsidRPr="006A1EC7" w:rsidRDefault="0087601C" w:rsidP="00D56051">
            <w:pPr>
              <w:rPr>
                <w:sz w:val="13"/>
                <w:szCs w:val="13"/>
              </w:rPr>
            </w:pPr>
          </w:p>
        </w:tc>
      </w:tr>
      <w:tr w:rsidR="0087601C" w:rsidRPr="006A1EC7" w14:paraId="397FB681" w14:textId="77777777" w:rsidTr="00D56051">
        <w:tc>
          <w:tcPr>
            <w:tcW w:w="636" w:type="dxa"/>
          </w:tcPr>
          <w:p w14:paraId="57CADC7F" w14:textId="77777777" w:rsidR="0087601C" w:rsidRPr="006A1EC7" w:rsidRDefault="0087601C" w:rsidP="00D56051">
            <w:pPr>
              <w:rPr>
                <w:sz w:val="13"/>
                <w:szCs w:val="13"/>
              </w:rPr>
            </w:pPr>
            <w:r w:rsidRPr="006A1EC7">
              <w:rPr>
                <w:sz w:val="13"/>
                <w:szCs w:val="13"/>
              </w:rPr>
              <w:t>FCE</w:t>
            </w:r>
          </w:p>
        </w:tc>
        <w:tc>
          <w:tcPr>
            <w:tcW w:w="476" w:type="dxa"/>
            <w:shd w:val="clear" w:color="auto" w:fill="FFFF00"/>
          </w:tcPr>
          <w:p w14:paraId="1C79E44F"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0B385AF5" w14:textId="77777777" w:rsidR="0087601C" w:rsidRPr="006A1EC7" w:rsidRDefault="0087601C" w:rsidP="00D56051">
            <w:pPr>
              <w:rPr>
                <w:sz w:val="13"/>
                <w:szCs w:val="13"/>
              </w:rPr>
            </w:pPr>
            <w:r w:rsidRPr="006A1EC7">
              <w:rPr>
                <w:sz w:val="13"/>
                <w:szCs w:val="13"/>
              </w:rPr>
              <w:t>0</w:t>
            </w:r>
          </w:p>
        </w:tc>
        <w:tc>
          <w:tcPr>
            <w:tcW w:w="477" w:type="dxa"/>
          </w:tcPr>
          <w:p w14:paraId="0C061B9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15CEDE8"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451FC1C3" w14:textId="77777777" w:rsidR="0087601C" w:rsidRPr="006A1EC7" w:rsidRDefault="0087601C" w:rsidP="00D56051">
            <w:pPr>
              <w:rPr>
                <w:sz w:val="13"/>
                <w:szCs w:val="13"/>
              </w:rPr>
            </w:pPr>
            <w:r w:rsidRPr="006A1EC7">
              <w:rPr>
                <w:sz w:val="13"/>
                <w:szCs w:val="13"/>
              </w:rPr>
              <w:t>0</w:t>
            </w:r>
          </w:p>
        </w:tc>
        <w:tc>
          <w:tcPr>
            <w:tcW w:w="458" w:type="dxa"/>
          </w:tcPr>
          <w:p w14:paraId="6E591F91"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C1CF3AF"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2DBD8413"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5A809E59" w14:textId="77777777" w:rsidR="0087601C" w:rsidRPr="006A1EC7" w:rsidRDefault="0087601C" w:rsidP="00D56051">
            <w:pPr>
              <w:rPr>
                <w:sz w:val="13"/>
                <w:szCs w:val="13"/>
              </w:rPr>
            </w:pPr>
            <w:r w:rsidRPr="006A1EC7">
              <w:rPr>
                <w:sz w:val="13"/>
                <w:szCs w:val="13"/>
              </w:rPr>
              <w:t>1</w:t>
            </w:r>
          </w:p>
        </w:tc>
        <w:tc>
          <w:tcPr>
            <w:tcW w:w="439" w:type="dxa"/>
            <w:shd w:val="clear" w:color="auto" w:fill="FFFF00"/>
          </w:tcPr>
          <w:p w14:paraId="1347A72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EE56A4D" w14:textId="77777777" w:rsidR="0087601C" w:rsidRPr="006A1EC7" w:rsidRDefault="0087601C" w:rsidP="00D56051">
            <w:pPr>
              <w:rPr>
                <w:sz w:val="13"/>
                <w:szCs w:val="13"/>
              </w:rPr>
            </w:pPr>
            <w:r w:rsidRPr="006A1EC7">
              <w:rPr>
                <w:sz w:val="13"/>
                <w:szCs w:val="13"/>
              </w:rPr>
              <w:t>0</w:t>
            </w:r>
          </w:p>
        </w:tc>
        <w:tc>
          <w:tcPr>
            <w:tcW w:w="406" w:type="dxa"/>
          </w:tcPr>
          <w:p w14:paraId="022BD69B" w14:textId="77777777" w:rsidR="0087601C" w:rsidRPr="006A1EC7" w:rsidRDefault="0087601C" w:rsidP="00D56051">
            <w:pPr>
              <w:rPr>
                <w:sz w:val="13"/>
                <w:szCs w:val="13"/>
              </w:rPr>
            </w:pPr>
            <w:r w:rsidRPr="006A1EC7">
              <w:rPr>
                <w:sz w:val="13"/>
                <w:szCs w:val="13"/>
              </w:rPr>
              <w:t>1</w:t>
            </w:r>
          </w:p>
        </w:tc>
        <w:tc>
          <w:tcPr>
            <w:tcW w:w="1562" w:type="dxa"/>
            <w:shd w:val="clear" w:color="auto" w:fill="auto"/>
          </w:tcPr>
          <w:p w14:paraId="66D4A87C" w14:textId="77777777" w:rsidR="0087601C" w:rsidRPr="006A1EC7" w:rsidRDefault="0087601C" w:rsidP="00D56051">
            <w:pPr>
              <w:rPr>
                <w:sz w:val="13"/>
                <w:szCs w:val="13"/>
              </w:rPr>
            </w:pPr>
            <w:r w:rsidRPr="006A1EC7">
              <w:rPr>
                <w:sz w:val="13"/>
                <w:szCs w:val="13"/>
              </w:rPr>
              <w:t>4/4</w:t>
            </w:r>
          </w:p>
        </w:tc>
        <w:tc>
          <w:tcPr>
            <w:tcW w:w="2410" w:type="dxa"/>
            <w:shd w:val="clear" w:color="auto" w:fill="auto"/>
          </w:tcPr>
          <w:p w14:paraId="07509563" w14:textId="77777777" w:rsidR="0087601C" w:rsidRPr="006A1EC7" w:rsidRDefault="0087601C" w:rsidP="00D56051">
            <w:pPr>
              <w:rPr>
                <w:sz w:val="13"/>
                <w:szCs w:val="13"/>
              </w:rPr>
            </w:pPr>
            <w:r w:rsidRPr="006A1EC7">
              <w:rPr>
                <w:sz w:val="13"/>
                <w:szCs w:val="13"/>
              </w:rPr>
              <w:t>100%</w:t>
            </w:r>
          </w:p>
        </w:tc>
      </w:tr>
      <w:tr w:rsidR="0087601C" w:rsidRPr="006A1EC7" w14:paraId="51FDA88B" w14:textId="77777777" w:rsidTr="00D56051">
        <w:tc>
          <w:tcPr>
            <w:tcW w:w="636" w:type="dxa"/>
          </w:tcPr>
          <w:p w14:paraId="73894DE6" w14:textId="77777777" w:rsidR="0087601C" w:rsidRPr="006A1EC7" w:rsidRDefault="0087601C" w:rsidP="00D56051">
            <w:pPr>
              <w:rPr>
                <w:sz w:val="13"/>
                <w:szCs w:val="13"/>
              </w:rPr>
            </w:pPr>
            <w:r w:rsidRPr="006A1EC7">
              <w:rPr>
                <w:sz w:val="13"/>
                <w:szCs w:val="13"/>
              </w:rPr>
              <w:t>EPY</w:t>
            </w:r>
          </w:p>
        </w:tc>
        <w:tc>
          <w:tcPr>
            <w:tcW w:w="476" w:type="dxa"/>
            <w:shd w:val="clear" w:color="auto" w:fill="FFFF00"/>
          </w:tcPr>
          <w:p w14:paraId="757E64FE" w14:textId="77777777" w:rsidR="0087601C" w:rsidRPr="006A1EC7" w:rsidRDefault="0087601C" w:rsidP="00D56051">
            <w:pPr>
              <w:rPr>
                <w:sz w:val="13"/>
                <w:szCs w:val="13"/>
              </w:rPr>
            </w:pPr>
            <w:r w:rsidRPr="006A1EC7">
              <w:rPr>
                <w:sz w:val="13"/>
                <w:szCs w:val="13"/>
              </w:rPr>
              <w:t>10</w:t>
            </w:r>
          </w:p>
        </w:tc>
        <w:tc>
          <w:tcPr>
            <w:tcW w:w="476" w:type="dxa"/>
            <w:shd w:val="clear" w:color="auto" w:fill="FFFF00"/>
          </w:tcPr>
          <w:p w14:paraId="0CF5489B" w14:textId="77777777" w:rsidR="0087601C" w:rsidRPr="006A1EC7" w:rsidRDefault="0087601C" w:rsidP="00D56051">
            <w:pPr>
              <w:rPr>
                <w:sz w:val="13"/>
                <w:szCs w:val="13"/>
              </w:rPr>
            </w:pPr>
            <w:r w:rsidRPr="006A1EC7">
              <w:rPr>
                <w:sz w:val="13"/>
                <w:szCs w:val="13"/>
              </w:rPr>
              <w:t>10</w:t>
            </w:r>
          </w:p>
        </w:tc>
        <w:tc>
          <w:tcPr>
            <w:tcW w:w="477" w:type="dxa"/>
          </w:tcPr>
          <w:p w14:paraId="38EF1E2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8658335"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79676071" w14:textId="77777777" w:rsidR="0087601C" w:rsidRPr="006A1EC7" w:rsidRDefault="0087601C" w:rsidP="00D56051">
            <w:pPr>
              <w:rPr>
                <w:sz w:val="13"/>
                <w:szCs w:val="13"/>
              </w:rPr>
            </w:pPr>
            <w:r w:rsidRPr="006A1EC7">
              <w:rPr>
                <w:sz w:val="13"/>
                <w:szCs w:val="13"/>
              </w:rPr>
              <w:t>11</w:t>
            </w:r>
          </w:p>
        </w:tc>
        <w:tc>
          <w:tcPr>
            <w:tcW w:w="458" w:type="dxa"/>
          </w:tcPr>
          <w:p w14:paraId="0DEBC73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9473020" w14:textId="77777777" w:rsidR="0087601C" w:rsidRPr="006A1EC7" w:rsidRDefault="0087601C" w:rsidP="00D56051">
            <w:pPr>
              <w:rPr>
                <w:sz w:val="13"/>
                <w:szCs w:val="13"/>
              </w:rPr>
            </w:pPr>
            <w:r w:rsidRPr="006A1EC7">
              <w:rPr>
                <w:sz w:val="13"/>
                <w:szCs w:val="13"/>
              </w:rPr>
              <w:t>10</w:t>
            </w:r>
          </w:p>
        </w:tc>
        <w:tc>
          <w:tcPr>
            <w:tcW w:w="406" w:type="dxa"/>
            <w:shd w:val="clear" w:color="auto" w:fill="FFFF00"/>
          </w:tcPr>
          <w:p w14:paraId="2B0E019C" w14:textId="77777777" w:rsidR="0087601C" w:rsidRPr="006A1EC7" w:rsidRDefault="0087601C" w:rsidP="00D56051">
            <w:pPr>
              <w:rPr>
                <w:sz w:val="13"/>
                <w:szCs w:val="13"/>
              </w:rPr>
            </w:pPr>
            <w:r w:rsidRPr="006A1EC7">
              <w:rPr>
                <w:sz w:val="13"/>
                <w:szCs w:val="13"/>
              </w:rPr>
              <w:t>12</w:t>
            </w:r>
          </w:p>
        </w:tc>
        <w:tc>
          <w:tcPr>
            <w:tcW w:w="406" w:type="dxa"/>
            <w:shd w:val="clear" w:color="auto" w:fill="auto"/>
          </w:tcPr>
          <w:p w14:paraId="53608A2C"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39A1A548" w14:textId="77777777" w:rsidR="0087601C" w:rsidRPr="006A1EC7" w:rsidRDefault="0087601C" w:rsidP="00D56051">
            <w:pPr>
              <w:rPr>
                <w:sz w:val="13"/>
                <w:szCs w:val="13"/>
              </w:rPr>
            </w:pPr>
            <w:r w:rsidRPr="006A1EC7">
              <w:rPr>
                <w:sz w:val="13"/>
                <w:szCs w:val="13"/>
              </w:rPr>
              <w:t>9</w:t>
            </w:r>
          </w:p>
        </w:tc>
        <w:tc>
          <w:tcPr>
            <w:tcW w:w="477" w:type="dxa"/>
            <w:shd w:val="clear" w:color="auto" w:fill="FFFF00"/>
          </w:tcPr>
          <w:p w14:paraId="094E9932" w14:textId="77777777" w:rsidR="0087601C" w:rsidRPr="006A1EC7" w:rsidRDefault="0087601C" w:rsidP="00D56051">
            <w:pPr>
              <w:rPr>
                <w:sz w:val="13"/>
                <w:szCs w:val="13"/>
              </w:rPr>
            </w:pPr>
            <w:r w:rsidRPr="006A1EC7">
              <w:rPr>
                <w:sz w:val="13"/>
                <w:szCs w:val="13"/>
              </w:rPr>
              <w:t>9</w:t>
            </w:r>
          </w:p>
        </w:tc>
        <w:tc>
          <w:tcPr>
            <w:tcW w:w="406" w:type="dxa"/>
          </w:tcPr>
          <w:p w14:paraId="2757C511" w14:textId="77777777" w:rsidR="0087601C" w:rsidRPr="006A1EC7" w:rsidRDefault="0087601C" w:rsidP="00D56051">
            <w:pPr>
              <w:rPr>
                <w:sz w:val="13"/>
                <w:szCs w:val="13"/>
              </w:rPr>
            </w:pPr>
            <w:r w:rsidRPr="006A1EC7">
              <w:rPr>
                <w:sz w:val="13"/>
                <w:szCs w:val="13"/>
              </w:rPr>
              <w:t>1</w:t>
            </w:r>
          </w:p>
        </w:tc>
        <w:tc>
          <w:tcPr>
            <w:tcW w:w="1562" w:type="dxa"/>
            <w:shd w:val="clear" w:color="auto" w:fill="auto"/>
          </w:tcPr>
          <w:p w14:paraId="6D2FF5F7" w14:textId="77777777" w:rsidR="0087601C" w:rsidRPr="006A1EC7" w:rsidRDefault="0087601C" w:rsidP="00D56051">
            <w:pPr>
              <w:rPr>
                <w:sz w:val="13"/>
                <w:szCs w:val="13"/>
              </w:rPr>
            </w:pPr>
            <w:r w:rsidRPr="006A1EC7">
              <w:rPr>
                <w:sz w:val="13"/>
                <w:szCs w:val="13"/>
              </w:rPr>
              <w:t>3 / 4</w:t>
            </w:r>
          </w:p>
        </w:tc>
        <w:tc>
          <w:tcPr>
            <w:tcW w:w="2410" w:type="dxa"/>
            <w:shd w:val="clear" w:color="auto" w:fill="auto"/>
          </w:tcPr>
          <w:p w14:paraId="63FBE7EF" w14:textId="77777777" w:rsidR="0087601C" w:rsidRPr="006A1EC7" w:rsidRDefault="0087601C" w:rsidP="00D56051">
            <w:pPr>
              <w:rPr>
                <w:sz w:val="13"/>
                <w:szCs w:val="13"/>
              </w:rPr>
            </w:pPr>
            <w:r w:rsidRPr="006A1EC7">
              <w:rPr>
                <w:sz w:val="13"/>
                <w:szCs w:val="13"/>
              </w:rPr>
              <w:t>75%</w:t>
            </w:r>
          </w:p>
        </w:tc>
      </w:tr>
      <w:tr w:rsidR="0087601C" w:rsidRPr="006A1EC7" w14:paraId="039CF642" w14:textId="77777777" w:rsidTr="00D56051">
        <w:tc>
          <w:tcPr>
            <w:tcW w:w="636" w:type="dxa"/>
          </w:tcPr>
          <w:p w14:paraId="0B37CBD8" w14:textId="77777777" w:rsidR="0087601C" w:rsidRPr="006A1EC7" w:rsidRDefault="0087601C" w:rsidP="00D56051">
            <w:pPr>
              <w:rPr>
                <w:sz w:val="13"/>
                <w:szCs w:val="13"/>
              </w:rPr>
            </w:pPr>
            <w:r w:rsidRPr="006A1EC7">
              <w:rPr>
                <w:sz w:val="13"/>
                <w:szCs w:val="13"/>
              </w:rPr>
              <w:t>GST</w:t>
            </w:r>
          </w:p>
        </w:tc>
        <w:tc>
          <w:tcPr>
            <w:tcW w:w="476" w:type="dxa"/>
            <w:shd w:val="clear" w:color="auto" w:fill="FFFF00"/>
          </w:tcPr>
          <w:p w14:paraId="7693CDCB" w14:textId="77777777" w:rsidR="0087601C" w:rsidRPr="006A1EC7" w:rsidRDefault="0087601C" w:rsidP="00D56051">
            <w:pPr>
              <w:rPr>
                <w:sz w:val="13"/>
                <w:szCs w:val="13"/>
              </w:rPr>
            </w:pPr>
            <w:r w:rsidRPr="006A1EC7">
              <w:rPr>
                <w:sz w:val="13"/>
                <w:szCs w:val="13"/>
              </w:rPr>
              <w:t>18</w:t>
            </w:r>
          </w:p>
        </w:tc>
        <w:tc>
          <w:tcPr>
            <w:tcW w:w="476" w:type="dxa"/>
            <w:shd w:val="clear" w:color="auto" w:fill="FFFF00"/>
          </w:tcPr>
          <w:p w14:paraId="1F4AEB05" w14:textId="77777777" w:rsidR="0087601C" w:rsidRPr="006A1EC7" w:rsidRDefault="0087601C" w:rsidP="00D56051">
            <w:pPr>
              <w:rPr>
                <w:sz w:val="13"/>
                <w:szCs w:val="13"/>
              </w:rPr>
            </w:pPr>
            <w:r w:rsidRPr="006A1EC7">
              <w:rPr>
                <w:sz w:val="13"/>
                <w:szCs w:val="13"/>
              </w:rPr>
              <w:t>21</w:t>
            </w:r>
          </w:p>
        </w:tc>
        <w:tc>
          <w:tcPr>
            <w:tcW w:w="477" w:type="dxa"/>
          </w:tcPr>
          <w:p w14:paraId="1826E57A"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73E37D0" w14:textId="77777777" w:rsidR="0087601C" w:rsidRPr="006A1EC7" w:rsidRDefault="0087601C" w:rsidP="00D56051">
            <w:pPr>
              <w:rPr>
                <w:sz w:val="13"/>
                <w:szCs w:val="13"/>
              </w:rPr>
            </w:pPr>
            <w:r w:rsidRPr="006A1EC7">
              <w:rPr>
                <w:sz w:val="13"/>
                <w:szCs w:val="13"/>
              </w:rPr>
              <w:t>17</w:t>
            </w:r>
          </w:p>
        </w:tc>
        <w:tc>
          <w:tcPr>
            <w:tcW w:w="477" w:type="dxa"/>
            <w:shd w:val="clear" w:color="auto" w:fill="FFFF00"/>
          </w:tcPr>
          <w:p w14:paraId="18EFECC6" w14:textId="77777777" w:rsidR="0087601C" w:rsidRPr="006A1EC7" w:rsidRDefault="0087601C" w:rsidP="00D56051">
            <w:pPr>
              <w:rPr>
                <w:sz w:val="13"/>
                <w:szCs w:val="13"/>
              </w:rPr>
            </w:pPr>
            <w:r w:rsidRPr="006A1EC7">
              <w:rPr>
                <w:sz w:val="13"/>
                <w:szCs w:val="13"/>
              </w:rPr>
              <w:t>19</w:t>
            </w:r>
          </w:p>
        </w:tc>
        <w:tc>
          <w:tcPr>
            <w:tcW w:w="458" w:type="dxa"/>
          </w:tcPr>
          <w:p w14:paraId="475B22F9"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E598965" w14:textId="77777777" w:rsidR="0087601C" w:rsidRPr="006A1EC7" w:rsidRDefault="0087601C" w:rsidP="00D56051">
            <w:pPr>
              <w:rPr>
                <w:sz w:val="13"/>
                <w:szCs w:val="13"/>
              </w:rPr>
            </w:pPr>
            <w:r w:rsidRPr="006A1EC7">
              <w:rPr>
                <w:sz w:val="13"/>
                <w:szCs w:val="13"/>
              </w:rPr>
              <w:t>21</w:t>
            </w:r>
          </w:p>
        </w:tc>
        <w:tc>
          <w:tcPr>
            <w:tcW w:w="406" w:type="dxa"/>
            <w:shd w:val="clear" w:color="auto" w:fill="FFFF00"/>
          </w:tcPr>
          <w:p w14:paraId="1BF8A07D" w14:textId="77777777" w:rsidR="0087601C" w:rsidRPr="006A1EC7" w:rsidRDefault="0087601C" w:rsidP="00D56051">
            <w:pPr>
              <w:rPr>
                <w:sz w:val="13"/>
                <w:szCs w:val="13"/>
              </w:rPr>
            </w:pPr>
            <w:r w:rsidRPr="006A1EC7">
              <w:rPr>
                <w:sz w:val="13"/>
                <w:szCs w:val="13"/>
              </w:rPr>
              <w:t>14</w:t>
            </w:r>
          </w:p>
        </w:tc>
        <w:tc>
          <w:tcPr>
            <w:tcW w:w="406" w:type="dxa"/>
            <w:shd w:val="clear" w:color="auto" w:fill="auto"/>
          </w:tcPr>
          <w:p w14:paraId="2C31A91D"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08317EE0" w14:textId="77777777" w:rsidR="0087601C" w:rsidRPr="006A1EC7" w:rsidRDefault="0087601C" w:rsidP="00D56051">
            <w:pPr>
              <w:rPr>
                <w:sz w:val="13"/>
                <w:szCs w:val="13"/>
              </w:rPr>
            </w:pPr>
            <w:r w:rsidRPr="006A1EC7">
              <w:rPr>
                <w:sz w:val="13"/>
                <w:szCs w:val="13"/>
              </w:rPr>
              <w:t>18</w:t>
            </w:r>
          </w:p>
        </w:tc>
        <w:tc>
          <w:tcPr>
            <w:tcW w:w="477" w:type="dxa"/>
            <w:shd w:val="clear" w:color="auto" w:fill="FFFF00"/>
          </w:tcPr>
          <w:p w14:paraId="6DDD19D5" w14:textId="77777777" w:rsidR="0087601C" w:rsidRPr="006A1EC7" w:rsidRDefault="0087601C" w:rsidP="00D56051">
            <w:pPr>
              <w:rPr>
                <w:sz w:val="13"/>
                <w:szCs w:val="13"/>
              </w:rPr>
            </w:pPr>
            <w:r w:rsidRPr="006A1EC7">
              <w:rPr>
                <w:sz w:val="13"/>
                <w:szCs w:val="13"/>
              </w:rPr>
              <w:t>10</w:t>
            </w:r>
          </w:p>
        </w:tc>
        <w:tc>
          <w:tcPr>
            <w:tcW w:w="406" w:type="dxa"/>
          </w:tcPr>
          <w:p w14:paraId="56350500" w14:textId="77777777" w:rsidR="0087601C" w:rsidRPr="006A1EC7" w:rsidRDefault="0087601C" w:rsidP="00D56051">
            <w:pPr>
              <w:rPr>
                <w:sz w:val="13"/>
                <w:szCs w:val="13"/>
              </w:rPr>
            </w:pPr>
            <w:r w:rsidRPr="006A1EC7">
              <w:rPr>
                <w:sz w:val="13"/>
                <w:szCs w:val="13"/>
              </w:rPr>
              <w:t>0</w:t>
            </w:r>
          </w:p>
        </w:tc>
        <w:tc>
          <w:tcPr>
            <w:tcW w:w="1562" w:type="dxa"/>
            <w:shd w:val="clear" w:color="auto" w:fill="auto"/>
          </w:tcPr>
          <w:p w14:paraId="4B0DBE52" w14:textId="77777777" w:rsidR="0087601C" w:rsidRPr="006A1EC7" w:rsidRDefault="0087601C" w:rsidP="00D56051">
            <w:pPr>
              <w:rPr>
                <w:sz w:val="13"/>
                <w:szCs w:val="13"/>
              </w:rPr>
            </w:pPr>
            <w:r w:rsidRPr="006A1EC7">
              <w:rPr>
                <w:sz w:val="13"/>
                <w:szCs w:val="13"/>
              </w:rPr>
              <w:t>0/4</w:t>
            </w:r>
          </w:p>
        </w:tc>
        <w:tc>
          <w:tcPr>
            <w:tcW w:w="2410" w:type="dxa"/>
            <w:shd w:val="clear" w:color="auto" w:fill="auto"/>
          </w:tcPr>
          <w:p w14:paraId="694B2A26" w14:textId="77777777" w:rsidR="0087601C" w:rsidRPr="006A1EC7" w:rsidRDefault="0087601C" w:rsidP="00D56051">
            <w:pPr>
              <w:rPr>
                <w:sz w:val="13"/>
                <w:szCs w:val="13"/>
              </w:rPr>
            </w:pPr>
            <w:r w:rsidRPr="006A1EC7">
              <w:rPr>
                <w:sz w:val="13"/>
                <w:szCs w:val="13"/>
              </w:rPr>
              <w:t>0%</w:t>
            </w:r>
          </w:p>
        </w:tc>
      </w:tr>
      <w:tr w:rsidR="0087601C" w:rsidRPr="006A1EC7" w14:paraId="3C2A5ECB" w14:textId="77777777" w:rsidTr="00D56051">
        <w:tc>
          <w:tcPr>
            <w:tcW w:w="636" w:type="dxa"/>
          </w:tcPr>
          <w:p w14:paraId="379FFE85" w14:textId="77777777" w:rsidR="0087601C" w:rsidRPr="006A1EC7" w:rsidRDefault="0087601C" w:rsidP="00D56051">
            <w:pPr>
              <w:rPr>
                <w:sz w:val="13"/>
                <w:szCs w:val="13"/>
              </w:rPr>
            </w:pPr>
            <w:r w:rsidRPr="006A1EC7">
              <w:rPr>
                <w:sz w:val="13"/>
                <w:szCs w:val="13"/>
              </w:rPr>
              <w:t>CRS</w:t>
            </w:r>
          </w:p>
        </w:tc>
        <w:tc>
          <w:tcPr>
            <w:tcW w:w="476" w:type="dxa"/>
            <w:shd w:val="clear" w:color="auto" w:fill="FFFF00"/>
          </w:tcPr>
          <w:p w14:paraId="0FF4052B" w14:textId="77777777" w:rsidR="0087601C" w:rsidRPr="006A1EC7" w:rsidRDefault="0087601C" w:rsidP="00D56051">
            <w:pPr>
              <w:rPr>
                <w:sz w:val="13"/>
                <w:szCs w:val="13"/>
              </w:rPr>
            </w:pPr>
            <w:r w:rsidRPr="006A1EC7">
              <w:rPr>
                <w:sz w:val="13"/>
                <w:szCs w:val="13"/>
              </w:rPr>
              <w:t>4</w:t>
            </w:r>
          </w:p>
        </w:tc>
        <w:tc>
          <w:tcPr>
            <w:tcW w:w="476" w:type="dxa"/>
            <w:shd w:val="clear" w:color="auto" w:fill="FFFF00"/>
          </w:tcPr>
          <w:p w14:paraId="1F76F5B9" w14:textId="77777777" w:rsidR="0087601C" w:rsidRPr="006A1EC7" w:rsidRDefault="0087601C" w:rsidP="00D56051">
            <w:pPr>
              <w:rPr>
                <w:sz w:val="13"/>
                <w:szCs w:val="13"/>
              </w:rPr>
            </w:pPr>
            <w:r w:rsidRPr="006A1EC7">
              <w:rPr>
                <w:sz w:val="13"/>
                <w:szCs w:val="13"/>
              </w:rPr>
              <w:t>4</w:t>
            </w:r>
          </w:p>
        </w:tc>
        <w:tc>
          <w:tcPr>
            <w:tcW w:w="477" w:type="dxa"/>
          </w:tcPr>
          <w:p w14:paraId="31BD8F6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0332A0C"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55E10113" w14:textId="77777777" w:rsidR="0087601C" w:rsidRPr="006A1EC7" w:rsidRDefault="0087601C" w:rsidP="00D56051">
            <w:pPr>
              <w:rPr>
                <w:sz w:val="13"/>
                <w:szCs w:val="13"/>
              </w:rPr>
            </w:pPr>
            <w:r w:rsidRPr="006A1EC7">
              <w:rPr>
                <w:sz w:val="13"/>
                <w:szCs w:val="13"/>
              </w:rPr>
              <w:t>4</w:t>
            </w:r>
          </w:p>
        </w:tc>
        <w:tc>
          <w:tcPr>
            <w:tcW w:w="458" w:type="dxa"/>
          </w:tcPr>
          <w:p w14:paraId="33F3134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F36D79F" w14:textId="77777777" w:rsidR="0087601C" w:rsidRPr="006A1EC7" w:rsidRDefault="0087601C" w:rsidP="00D56051">
            <w:pPr>
              <w:rPr>
                <w:sz w:val="13"/>
                <w:szCs w:val="13"/>
              </w:rPr>
            </w:pPr>
            <w:r w:rsidRPr="006A1EC7">
              <w:rPr>
                <w:sz w:val="13"/>
                <w:szCs w:val="13"/>
              </w:rPr>
              <w:t>4</w:t>
            </w:r>
          </w:p>
        </w:tc>
        <w:tc>
          <w:tcPr>
            <w:tcW w:w="406" w:type="dxa"/>
            <w:shd w:val="clear" w:color="auto" w:fill="FFFF00"/>
          </w:tcPr>
          <w:p w14:paraId="45FA9FEA" w14:textId="77777777" w:rsidR="0087601C" w:rsidRPr="006A1EC7" w:rsidRDefault="0087601C" w:rsidP="00D56051">
            <w:pPr>
              <w:rPr>
                <w:sz w:val="13"/>
                <w:szCs w:val="13"/>
              </w:rPr>
            </w:pPr>
            <w:r w:rsidRPr="006A1EC7">
              <w:rPr>
                <w:sz w:val="13"/>
                <w:szCs w:val="13"/>
              </w:rPr>
              <w:t>4</w:t>
            </w:r>
          </w:p>
        </w:tc>
        <w:tc>
          <w:tcPr>
            <w:tcW w:w="406" w:type="dxa"/>
            <w:shd w:val="clear" w:color="auto" w:fill="auto"/>
          </w:tcPr>
          <w:p w14:paraId="3AD5B3D7" w14:textId="77777777" w:rsidR="0087601C" w:rsidRPr="006A1EC7" w:rsidRDefault="0087601C" w:rsidP="00D56051">
            <w:pPr>
              <w:rPr>
                <w:sz w:val="13"/>
                <w:szCs w:val="13"/>
              </w:rPr>
            </w:pPr>
            <w:r w:rsidRPr="006A1EC7">
              <w:rPr>
                <w:sz w:val="13"/>
                <w:szCs w:val="13"/>
              </w:rPr>
              <w:t>1</w:t>
            </w:r>
          </w:p>
        </w:tc>
        <w:tc>
          <w:tcPr>
            <w:tcW w:w="439" w:type="dxa"/>
            <w:shd w:val="clear" w:color="auto" w:fill="FFFF00"/>
          </w:tcPr>
          <w:p w14:paraId="33612529"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30DB5882" w14:textId="77777777" w:rsidR="0087601C" w:rsidRPr="006A1EC7" w:rsidRDefault="0087601C" w:rsidP="00D56051">
            <w:pPr>
              <w:rPr>
                <w:sz w:val="13"/>
                <w:szCs w:val="13"/>
              </w:rPr>
            </w:pPr>
            <w:r w:rsidRPr="006A1EC7">
              <w:rPr>
                <w:sz w:val="13"/>
                <w:szCs w:val="13"/>
              </w:rPr>
              <w:t>1</w:t>
            </w:r>
          </w:p>
        </w:tc>
        <w:tc>
          <w:tcPr>
            <w:tcW w:w="406" w:type="dxa"/>
          </w:tcPr>
          <w:p w14:paraId="69DF390F" w14:textId="77777777" w:rsidR="0087601C" w:rsidRPr="006A1EC7" w:rsidRDefault="0087601C" w:rsidP="00D56051">
            <w:pPr>
              <w:rPr>
                <w:sz w:val="13"/>
                <w:szCs w:val="13"/>
              </w:rPr>
            </w:pPr>
            <w:r w:rsidRPr="006A1EC7">
              <w:rPr>
                <w:sz w:val="13"/>
                <w:szCs w:val="13"/>
              </w:rPr>
              <w:t>0</w:t>
            </w:r>
          </w:p>
        </w:tc>
        <w:tc>
          <w:tcPr>
            <w:tcW w:w="1562" w:type="dxa"/>
            <w:shd w:val="clear" w:color="auto" w:fill="auto"/>
          </w:tcPr>
          <w:p w14:paraId="339CD961" w14:textId="77777777" w:rsidR="0087601C" w:rsidRPr="006A1EC7" w:rsidRDefault="0087601C" w:rsidP="00D56051">
            <w:pPr>
              <w:rPr>
                <w:sz w:val="13"/>
                <w:szCs w:val="13"/>
              </w:rPr>
            </w:pPr>
            <w:r w:rsidRPr="006A1EC7">
              <w:rPr>
                <w:sz w:val="13"/>
                <w:szCs w:val="13"/>
              </w:rPr>
              <w:t>3 / 4</w:t>
            </w:r>
          </w:p>
        </w:tc>
        <w:tc>
          <w:tcPr>
            <w:tcW w:w="2410" w:type="dxa"/>
            <w:shd w:val="clear" w:color="auto" w:fill="auto"/>
          </w:tcPr>
          <w:p w14:paraId="234C2B6B" w14:textId="77777777" w:rsidR="0087601C" w:rsidRPr="006A1EC7" w:rsidRDefault="0087601C" w:rsidP="00D56051">
            <w:pPr>
              <w:rPr>
                <w:sz w:val="13"/>
                <w:szCs w:val="13"/>
              </w:rPr>
            </w:pPr>
            <w:r w:rsidRPr="006A1EC7">
              <w:rPr>
                <w:sz w:val="13"/>
                <w:szCs w:val="13"/>
              </w:rPr>
              <w:t>75%</w:t>
            </w:r>
          </w:p>
        </w:tc>
      </w:tr>
      <w:tr w:rsidR="0087601C" w:rsidRPr="006A1EC7" w14:paraId="02A283FF" w14:textId="77777777" w:rsidTr="00D56051">
        <w:tc>
          <w:tcPr>
            <w:tcW w:w="636" w:type="dxa"/>
          </w:tcPr>
          <w:p w14:paraId="4083710E" w14:textId="77777777" w:rsidR="0087601C" w:rsidRPr="006A1EC7" w:rsidRDefault="0087601C" w:rsidP="00D56051">
            <w:pPr>
              <w:rPr>
                <w:sz w:val="13"/>
                <w:szCs w:val="13"/>
              </w:rPr>
            </w:pPr>
            <w:r w:rsidRPr="006A1EC7">
              <w:rPr>
                <w:sz w:val="13"/>
                <w:szCs w:val="13"/>
              </w:rPr>
              <w:t>CNS</w:t>
            </w:r>
          </w:p>
        </w:tc>
        <w:tc>
          <w:tcPr>
            <w:tcW w:w="476" w:type="dxa"/>
            <w:shd w:val="clear" w:color="auto" w:fill="FFFF00"/>
          </w:tcPr>
          <w:p w14:paraId="0D9501BA" w14:textId="77777777" w:rsidR="0087601C" w:rsidRPr="006A1EC7" w:rsidRDefault="0087601C" w:rsidP="00D56051">
            <w:pPr>
              <w:rPr>
                <w:sz w:val="13"/>
                <w:szCs w:val="13"/>
              </w:rPr>
            </w:pPr>
            <w:r w:rsidRPr="006A1EC7">
              <w:rPr>
                <w:sz w:val="13"/>
                <w:szCs w:val="13"/>
              </w:rPr>
              <w:t>2</w:t>
            </w:r>
          </w:p>
        </w:tc>
        <w:tc>
          <w:tcPr>
            <w:tcW w:w="476" w:type="dxa"/>
            <w:shd w:val="clear" w:color="auto" w:fill="FFFF00"/>
          </w:tcPr>
          <w:p w14:paraId="286FF5AB" w14:textId="77777777" w:rsidR="0087601C" w:rsidRPr="006A1EC7" w:rsidRDefault="0087601C" w:rsidP="00D56051">
            <w:pPr>
              <w:rPr>
                <w:sz w:val="13"/>
                <w:szCs w:val="13"/>
              </w:rPr>
            </w:pPr>
            <w:r w:rsidRPr="006A1EC7">
              <w:rPr>
                <w:sz w:val="13"/>
                <w:szCs w:val="13"/>
              </w:rPr>
              <w:t>2</w:t>
            </w:r>
          </w:p>
        </w:tc>
        <w:tc>
          <w:tcPr>
            <w:tcW w:w="477" w:type="dxa"/>
          </w:tcPr>
          <w:p w14:paraId="6A30645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D85E818"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7525CB0A" w14:textId="77777777" w:rsidR="0087601C" w:rsidRPr="006A1EC7" w:rsidRDefault="0087601C" w:rsidP="00D56051">
            <w:pPr>
              <w:rPr>
                <w:sz w:val="13"/>
                <w:szCs w:val="13"/>
              </w:rPr>
            </w:pPr>
            <w:r w:rsidRPr="006A1EC7">
              <w:rPr>
                <w:sz w:val="13"/>
                <w:szCs w:val="13"/>
              </w:rPr>
              <w:t>1</w:t>
            </w:r>
          </w:p>
        </w:tc>
        <w:tc>
          <w:tcPr>
            <w:tcW w:w="458" w:type="dxa"/>
          </w:tcPr>
          <w:p w14:paraId="45EB352B"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B639A3F" w14:textId="77777777" w:rsidR="0087601C" w:rsidRPr="006A1EC7" w:rsidRDefault="0087601C" w:rsidP="00D56051">
            <w:pPr>
              <w:rPr>
                <w:sz w:val="13"/>
                <w:szCs w:val="13"/>
              </w:rPr>
            </w:pPr>
            <w:r w:rsidRPr="006A1EC7">
              <w:rPr>
                <w:sz w:val="13"/>
                <w:szCs w:val="13"/>
              </w:rPr>
              <w:t>2</w:t>
            </w:r>
          </w:p>
        </w:tc>
        <w:tc>
          <w:tcPr>
            <w:tcW w:w="406" w:type="dxa"/>
            <w:shd w:val="clear" w:color="auto" w:fill="FFFF00"/>
          </w:tcPr>
          <w:p w14:paraId="672144BE"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02570F8F"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60FC8EF4"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540514B6" w14:textId="77777777" w:rsidR="0087601C" w:rsidRPr="006A1EC7" w:rsidRDefault="0087601C" w:rsidP="00D56051">
            <w:pPr>
              <w:rPr>
                <w:sz w:val="13"/>
                <w:szCs w:val="13"/>
              </w:rPr>
            </w:pPr>
            <w:r w:rsidRPr="006A1EC7">
              <w:rPr>
                <w:sz w:val="13"/>
                <w:szCs w:val="13"/>
              </w:rPr>
              <w:t>1</w:t>
            </w:r>
          </w:p>
        </w:tc>
        <w:tc>
          <w:tcPr>
            <w:tcW w:w="406" w:type="dxa"/>
          </w:tcPr>
          <w:p w14:paraId="61F87470" w14:textId="77777777" w:rsidR="0087601C" w:rsidRPr="006A1EC7" w:rsidRDefault="0087601C" w:rsidP="00D56051">
            <w:pPr>
              <w:rPr>
                <w:sz w:val="13"/>
                <w:szCs w:val="13"/>
              </w:rPr>
            </w:pPr>
            <w:r w:rsidRPr="006A1EC7">
              <w:rPr>
                <w:sz w:val="13"/>
                <w:szCs w:val="13"/>
              </w:rPr>
              <w:t>0</w:t>
            </w:r>
          </w:p>
        </w:tc>
        <w:tc>
          <w:tcPr>
            <w:tcW w:w="1562" w:type="dxa"/>
            <w:shd w:val="clear" w:color="auto" w:fill="auto"/>
          </w:tcPr>
          <w:p w14:paraId="1397E33A" w14:textId="77777777" w:rsidR="0087601C" w:rsidRPr="006A1EC7" w:rsidRDefault="0087601C" w:rsidP="00D56051">
            <w:pPr>
              <w:rPr>
                <w:sz w:val="13"/>
                <w:szCs w:val="13"/>
              </w:rPr>
            </w:pPr>
            <w:r w:rsidRPr="006A1EC7">
              <w:rPr>
                <w:sz w:val="13"/>
                <w:szCs w:val="13"/>
              </w:rPr>
              <w:t>¼</w:t>
            </w:r>
          </w:p>
        </w:tc>
        <w:tc>
          <w:tcPr>
            <w:tcW w:w="2410" w:type="dxa"/>
            <w:shd w:val="clear" w:color="auto" w:fill="auto"/>
          </w:tcPr>
          <w:p w14:paraId="44F4E92F" w14:textId="77777777" w:rsidR="0087601C" w:rsidRPr="006A1EC7" w:rsidRDefault="0087601C" w:rsidP="00D56051">
            <w:pPr>
              <w:rPr>
                <w:sz w:val="13"/>
                <w:szCs w:val="13"/>
              </w:rPr>
            </w:pPr>
            <w:r w:rsidRPr="006A1EC7">
              <w:rPr>
                <w:sz w:val="13"/>
                <w:szCs w:val="13"/>
              </w:rPr>
              <w:t>25%</w:t>
            </w:r>
          </w:p>
        </w:tc>
      </w:tr>
      <w:tr w:rsidR="0087601C" w:rsidRPr="006A1EC7" w14:paraId="1A218F60" w14:textId="77777777" w:rsidTr="00D56051">
        <w:tc>
          <w:tcPr>
            <w:tcW w:w="636" w:type="dxa"/>
          </w:tcPr>
          <w:p w14:paraId="2FAE91E6" w14:textId="77777777" w:rsidR="0087601C" w:rsidRPr="006A1EC7" w:rsidRDefault="0087601C" w:rsidP="00D56051">
            <w:pPr>
              <w:rPr>
                <w:sz w:val="13"/>
                <w:szCs w:val="13"/>
              </w:rPr>
            </w:pPr>
            <w:r w:rsidRPr="006A1EC7">
              <w:rPr>
                <w:sz w:val="13"/>
                <w:szCs w:val="13"/>
              </w:rPr>
              <w:t>FUC</w:t>
            </w:r>
          </w:p>
        </w:tc>
        <w:tc>
          <w:tcPr>
            <w:tcW w:w="476" w:type="dxa"/>
            <w:shd w:val="clear" w:color="auto" w:fill="FFFF00"/>
          </w:tcPr>
          <w:p w14:paraId="571FEA3D" w14:textId="77777777" w:rsidR="0087601C" w:rsidRPr="006A1EC7" w:rsidRDefault="0087601C" w:rsidP="00D56051">
            <w:pPr>
              <w:rPr>
                <w:sz w:val="13"/>
                <w:szCs w:val="13"/>
              </w:rPr>
            </w:pPr>
            <w:r w:rsidRPr="006A1EC7">
              <w:rPr>
                <w:sz w:val="13"/>
                <w:szCs w:val="13"/>
              </w:rPr>
              <w:t>8</w:t>
            </w:r>
          </w:p>
        </w:tc>
        <w:tc>
          <w:tcPr>
            <w:tcW w:w="476" w:type="dxa"/>
            <w:shd w:val="clear" w:color="auto" w:fill="FFFF00"/>
          </w:tcPr>
          <w:p w14:paraId="7E6A1427" w14:textId="77777777" w:rsidR="0087601C" w:rsidRPr="006A1EC7" w:rsidRDefault="0087601C" w:rsidP="00D56051">
            <w:pPr>
              <w:rPr>
                <w:sz w:val="13"/>
                <w:szCs w:val="13"/>
              </w:rPr>
            </w:pPr>
            <w:r w:rsidRPr="006A1EC7">
              <w:rPr>
                <w:sz w:val="13"/>
                <w:szCs w:val="13"/>
              </w:rPr>
              <w:t>11</w:t>
            </w:r>
          </w:p>
        </w:tc>
        <w:tc>
          <w:tcPr>
            <w:tcW w:w="477" w:type="dxa"/>
          </w:tcPr>
          <w:p w14:paraId="46940EE2"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90BD18A"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15726205" w14:textId="77777777" w:rsidR="0087601C" w:rsidRPr="006A1EC7" w:rsidRDefault="0087601C" w:rsidP="00D56051">
            <w:pPr>
              <w:rPr>
                <w:sz w:val="13"/>
                <w:szCs w:val="13"/>
              </w:rPr>
            </w:pPr>
            <w:r w:rsidRPr="006A1EC7">
              <w:rPr>
                <w:sz w:val="13"/>
                <w:szCs w:val="13"/>
              </w:rPr>
              <w:t>11</w:t>
            </w:r>
          </w:p>
        </w:tc>
        <w:tc>
          <w:tcPr>
            <w:tcW w:w="458" w:type="dxa"/>
          </w:tcPr>
          <w:p w14:paraId="602706D9"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43E930A" w14:textId="77777777" w:rsidR="0087601C" w:rsidRPr="006A1EC7" w:rsidRDefault="0087601C" w:rsidP="00D56051">
            <w:pPr>
              <w:rPr>
                <w:sz w:val="13"/>
                <w:szCs w:val="13"/>
              </w:rPr>
            </w:pPr>
            <w:r w:rsidRPr="006A1EC7">
              <w:rPr>
                <w:sz w:val="13"/>
                <w:szCs w:val="13"/>
              </w:rPr>
              <w:t>10</w:t>
            </w:r>
          </w:p>
        </w:tc>
        <w:tc>
          <w:tcPr>
            <w:tcW w:w="406" w:type="dxa"/>
            <w:shd w:val="clear" w:color="auto" w:fill="FFFF00"/>
          </w:tcPr>
          <w:p w14:paraId="7F9BC929"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168124A1"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7366FC57" w14:textId="77777777" w:rsidR="0087601C" w:rsidRPr="006A1EC7" w:rsidRDefault="0087601C" w:rsidP="00D56051">
            <w:pPr>
              <w:rPr>
                <w:sz w:val="13"/>
                <w:szCs w:val="13"/>
              </w:rPr>
            </w:pPr>
            <w:r w:rsidRPr="006A1EC7">
              <w:rPr>
                <w:sz w:val="13"/>
                <w:szCs w:val="13"/>
              </w:rPr>
              <w:t>10</w:t>
            </w:r>
          </w:p>
        </w:tc>
        <w:tc>
          <w:tcPr>
            <w:tcW w:w="477" w:type="dxa"/>
            <w:shd w:val="clear" w:color="auto" w:fill="FFFF00"/>
          </w:tcPr>
          <w:p w14:paraId="50EB9D3A" w14:textId="77777777" w:rsidR="0087601C" w:rsidRPr="006A1EC7" w:rsidRDefault="0087601C" w:rsidP="00D56051">
            <w:pPr>
              <w:rPr>
                <w:sz w:val="13"/>
                <w:szCs w:val="13"/>
              </w:rPr>
            </w:pPr>
            <w:r w:rsidRPr="006A1EC7">
              <w:rPr>
                <w:sz w:val="13"/>
                <w:szCs w:val="13"/>
              </w:rPr>
              <w:t>8</w:t>
            </w:r>
          </w:p>
        </w:tc>
        <w:tc>
          <w:tcPr>
            <w:tcW w:w="406" w:type="dxa"/>
          </w:tcPr>
          <w:p w14:paraId="79FB8B37" w14:textId="77777777" w:rsidR="0087601C" w:rsidRPr="006A1EC7" w:rsidRDefault="0087601C" w:rsidP="00D56051">
            <w:pPr>
              <w:rPr>
                <w:sz w:val="13"/>
                <w:szCs w:val="13"/>
              </w:rPr>
            </w:pPr>
            <w:r w:rsidRPr="006A1EC7">
              <w:rPr>
                <w:sz w:val="13"/>
                <w:szCs w:val="13"/>
              </w:rPr>
              <w:t>0</w:t>
            </w:r>
          </w:p>
        </w:tc>
        <w:tc>
          <w:tcPr>
            <w:tcW w:w="1562" w:type="dxa"/>
            <w:shd w:val="clear" w:color="auto" w:fill="auto"/>
          </w:tcPr>
          <w:p w14:paraId="4218B252" w14:textId="77777777" w:rsidR="0087601C" w:rsidRPr="006A1EC7" w:rsidRDefault="0087601C" w:rsidP="00D56051">
            <w:pPr>
              <w:rPr>
                <w:sz w:val="13"/>
                <w:szCs w:val="13"/>
              </w:rPr>
            </w:pPr>
            <w:r w:rsidRPr="006A1EC7">
              <w:rPr>
                <w:sz w:val="13"/>
                <w:szCs w:val="13"/>
              </w:rPr>
              <w:t>¼</w:t>
            </w:r>
          </w:p>
        </w:tc>
        <w:tc>
          <w:tcPr>
            <w:tcW w:w="2410" w:type="dxa"/>
            <w:shd w:val="clear" w:color="auto" w:fill="auto"/>
          </w:tcPr>
          <w:p w14:paraId="487DB8A6" w14:textId="77777777" w:rsidR="0087601C" w:rsidRPr="006A1EC7" w:rsidRDefault="0087601C" w:rsidP="00D56051">
            <w:pPr>
              <w:rPr>
                <w:sz w:val="13"/>
                <w:szCs w:val="13"/>
              </w:rPr>
            </w:pPr>
            <w:r w:rsidRPr="006A1EC7">
              <w:rPr>
                <w:sz w:val="13"/>
                <w:szCs w:val="13"/>
              </w:rPr>
              <w:t>25%</w:t>
            </w:r>
          </w:p>
        </w:tc>
      </w:tr>
      <w:tr w:rsidR="0087601C" w:rsidRPr="006A1EC7" w14:paraId="76B25F42" w14:textId="77777777" w:rsidTr="00D56051">
        <w:tc>
          <w:tcPr>
            <w:tcW w:w="636" w:type="dxa"/>
          </w:tcPr>
          <w:p w14:paraId="14860BE7" w14:textId="77777777" w:rsidR="0087601C" w:rsidRPr="006A1EC7" w:rsidRDefault="0087601C" w:rsidP="00D56051">
            <w:pPr>
              <w:rPr>
                <w:sz w:val="13"/>
                <w:szCs w:val="13"/>
              </w:rPr>
            </w:pPr>
            <w:r w:rsidRPr="006A1EC7">
              <w:rPr>
                <w:sz w:val="13"/>
                <w:szCs w:val="13"/>
              </w:rPr>
              <w:t>IMU</w:t>
            </w:r>
          </w:p>
        </w:tc>
        <w:tc>
          <w:tcPr>
            <w:tcW w:w="476" w:type="dxa"/>
            <w:shd w:val="clear" w:color="auto" w:fill="FFFF00"/>
          </w:tcPr>
          <w:p w14:paraId="75834EF8" w14:textId="77777777" w:rsidR="0087601C" w:rsidRPr="006A1EC7" w:rsidRDefault="0087601C" w:rsidP="00D56051">
            <w:pPr>
              <w:rPr>
                <w:sz w:val="13"/>
                <w:szCs w:val="13"/>
              </w:rPr>
            </w:pPr>
            <w:r w:rsidRPr="006A1EC7">
              <w:rPr>
                <w:sz w:val="13"/>
                <w:szCs w:val="13"/>
              </w:rPr>
              <w:t>5</w:t>
            </w:r>
          </w:p>
        </w:tc>
        <w:tc>
          <w:tcPr>
            <w:tcW w:w="476" w:type="dxa"/>
            <w:shd w:val="clear" w:color="auto" w:fill="FFFF00"/>
          </w:tcPr>
          <w:p w14:paraId="497966D2" w14:textId="77777777" w:rsidR="0087601C" w:rsidRPr="006A1EC7" w:rsidRDefault="0087601C" w:rsidP="00D56051">
            <w:pPr>
              <w:rPr>
                <w:sz w:val="13"/>
                <w:szCs w:val="13"/>
              </w:rPr>
            </w:pPr>
            <w:r w:rsidRPr="006A1EC7">
              <w:rPr>
                <w:sz w:val="13"/>
                <w:szCs w:val="13"/>
              </w:rPr>
              <w:t>5</w:t>
            </w:r>
          </w:p>
        </w:tc>
        <w:tc>
          <w:tcPr>
            <w:tcW w:w="477" w:type="dxa"/>
          </w:tcPr>
          <w:p w14:paraId="516A615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924A196"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0D58020A" w14:textId="77777777" w:rsidR="0087601C" w:rsidRPr="006A1EC7" w:rsidRDefault="0087601C" w:rsidP="00D56051">
            <w:pPr>
              <w:rPr>
                <w:sz w:val="13"/>
                <w:szCs w:val="13"/>
              </w:rPr>
            </w:pPr>
            <w:r w:rsidRPr="006A1EC7">
              <w:rPr>
                <w:sz w:val="13"/>
                <w:szCs w:val="13"/>
              </w:rPr>
              <w:t>0</w:t>
            </w:r>
          </w:p>
        </w:tc>
        <w:tc>
          <w:tcPr>
            <w:tcW w:w="458" w:type="dxa"/>
          </w:tcPr>
          <w:p w14:paraId="0452E791"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B8A6669"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0787C7F4"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7F0E8E37" w14:textId="77777777" w:rsidR="0087601C" w:rsidRPr="006A1EC7" w:rsidRDefault="0087601C" w:rsidP="00D56051">
            <w:pPr>
              <w:rPr>
                <w:sz w:val="13"/>
                <w:szCs w:val="13"/>
              </w:rPr>
            </w:pPr>
            <w:r w:rsidRPr="006A1EC7">
              <w:rPr>
                <w:sz w:val="13"/>
                <w:szCs w:val="13"/>
              </w:rPr>
              <w:t>1</w:t>
            </w:r>
          </w:p>
        </w:tc>
        <w:tc>
          <w:tcPr>
            <w:tcW w:w="439" w:type="dxa"/>
            <w:shd w:val="clear" w:color="auto" w:fill="FFFF00"/>
          </w:tcPr>
          <w:p w14:paraId="6C72C51F"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A011AE5" w14:textId="77777777" w:rsidR="0087601C" w:rsidRPr="006A1EC7" w:rsidRDefault="0087601C" w:rsidP="00D56051">
            <w:pPr>
              <w:rPr>
                <w:sz w:val="13"/>
                <w:szCs w:val="13"/>
              </w:rPr>
            </w:pPr>
            <w:r w:rsidRPr="006A1EC7">
              <w:rPr>
                <w:sz w:val="13"/>
                <w:szCs w:val="13"/>
              </w:rPr>
              <w:t>0</w:t>
            </w:r>
          </w:p>
        </w:tc>
        <w:tc>
          <w:tcPr>
            <w:tcW w:w="406" w:type="dxa"/>
          </w:tcPr>
          <w:p w14:paraId="67717491" w14:textId="77777777" w:rsidR="0087601C" w:rsidRPr="006A1EC7" w:rsidRDefault="0087601C" w:rsidP="00D56051">
            <w:pPr>
              <w:rPr>
                <w:sz w:val="13"/>
                <w:szCs w:val="13"/>
              </w:rPr>
            </w:pPr>
            <w:r w:rsidRPr="006A1EC7">
              <w:rPr>
                <w:sz w:val="13"/>
                <w:szCs w:val="13"/>
              </w:rPr>
              <w:t>0</w:t>
            </w:r>
          </w:p>
        </w:tc>
        <w:tc>
          <w:tcPr>
            <w:tcW w:w="1562" w:type="dxa"/>
            <w:shd w:val="clear" w:color="auto" w:fill="auto"/>
          </w:tcPr>
          <w:p w14:paraId="0691D36B" w14:textId="77777777" w:rsidR="0087601C" w:rsidRPr="006A1EC7" w:rsidRDefault="0087601C" w:rsidP="00D56051">
            <w:pPr>
              <w:rPr>
                <w:sz w:val="13"/>
                <w:szCs w:val="13"/>
              </w:rPr>
            </w:pPr>
            <w:r w:rsidRPr="006A1EC7">
              <w:rPr>
                <w:sz w:val="13"/>
                <w:szCs w:val="13"/>
              </w:rPr>
              <w:t>2/4</w:t>
            </w:r>
          </w:p>
        </w:tc>
        <w:tc>
          <w:tcPr>
            <w:tcW w:w="2410" w:type="dxa"/>
            <w:shd w:val="clear" w:color="auto" w:fill="auto"/>
          </w:tcPr>
          <w:p w14:paraId="23686333" w14:textId="77777777" w:rsidR="0087601C" w:rsidRPr="006A1EC7" w:rsidRDefault="0087601C" w:rsidP="00D56051">
            <w:pPr>
              <w:rPr>
                <w:sz w:val="13"/>
                <w:szCs w:val="13"/>
              </w:rPr>
            </w:pPr>
            <w:r w:rsidRPr="006A1EC7">
              <w:rPr>
                <w:sz w:val="13"/>
                <w:szCs w:val="13"/>
              </w:rPr>
              <w:t>50%</w:t>
            </w:r>
          </w:p>
        </w:tc>
      </w:tr>
      <w:tr w:rsidR="0087601C" w:rsidRPr="006A1EC7" w14:paraId="47F6EE24" w14:textId="77777777" w:rsidTr="00D56051">
        <w:tc>
          <w:tcPr>
            <w:tcW w:w="636" w:type="dxa"/>
          </w:tcPr>
          <w:p w14:paraId="33FD6EF9" w14:textId="77777777" w:rsidR="0087601C" w:rsidRPr="006A1EC7" w:rsidRDefault="0087601C" w:rsidP="00D56051">
            <w:pPr>
              <w:rPr>
                <w:sz w:val="13"/>
                <w:szCs w:val="13"/>
              </w:rPr>
            </w:pPr>
            <w:r w:rsidRPr="006A1EC7">
              <w:rPr>
                <w:sz w:val="13"/>
                <w:szCs w:val="13"/>
              </w:rPr>
              <w:t>SLP</w:t>
            </w:r>
          </w:p>
        </w:tc>
        <w:tc>
          <w:tcPr>
            <w:tcW w:w="476" w:type="dxa"/>
            <w:shd w:val="clear" w:color="auto" w:fill="FFFF00"/>
          </w:tcPr>
          <w:p w14:paraId="1C971403"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6AE76A7D" w14:textId="77777777" w:rsidR="0087601C" w:rsidRPr="006A1EC7" w:rsidRDefault="0087601C" w:rsidP="00D56051">
            <w:pPr>
              <w:rPr>
                <w:sz w:val="13"/>
                <w:szCs w:val="13"/>
              </w:rPr>
            </w:pPr>
            <w:r w:rsidRPr="006A1EC7">
              <w:rPr>
                <w:sz w:val="13"/>
                <w:szCs w:val="13"/>
              </w:rPr>
              <w:t>0</w:t>
            </w:r>
          </w:p>
        </w:tc>
        <w:tc>
          <w:tcPr>
            <w:tcW w:w="477" w:type="dxa"/>
          </w:tcPr>
          <w:p w14:paraId="4AED2E7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81CDBE9"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62D2819" w14:textId="77777777" w:rsidR="0087601C" w:rsidRPr="006A1EC7" w:rsidRDefault="0087601C" w:rsidP="00D56051">
            <w:pPr>
              <w:rPr>
                <w:sz w:val="13"/>
                <w:szCs w:val="13"/>
              </w:rPr>
            </w:pPr>
            <w:r w:rsidRPr="006A1EC7">
              <w:rPr>
                <w:sz w:val="13"/>
                <w:szCs w:val="13"/>
              </w:rPr>
              <w:t>0</w:t>
            </w:r>
          </w:p>
        </w:tc>
        <w:tc>
          <w:tcPr>
            <w:tcW w:w="458" w:type="dxa"/>
          </w:tcPr>
          <w:p w14:paraId="1D68389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250268A"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17E3579F"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07A5404A" w14:textId="77777777" w:rsidR="0087601C" w:rsidRPr="006A1EC7" w:rsidRDefault="0087601C" w:rsidP="00D56051">
            <w:pPr>
              <w:rPr>
                <w:sz w:val="13"/>
                <w:szCs w:val="13"/>
              </w:rPr>
            </w:pPr>
            <w:r w:rsidRPr="006A1EC7">
              <w:rPr>
                <w:sz w:val="13"/>
                <w:szCs w:val="13"/>
              </w:rPr>
              <w:t>1</w:t>
            </w:r>
          </w:p>
        </w:tc>
        <w:tc>
          <w:tcPr>
            <w:tcW w:w="439" w:type="dxa"/>
            <w:shd w:val="clear" w:color="auto" w:fill="FFFF00"/>
          </w:tcPr>
          <w:p w14:paraId="699FFBF8"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399255ED" w14:textId="77777777" w:rsidR="0087601C" w:rsidRPr="006A1EC7" w:rsidRDefault="0087601C" w:rsidP="00D56051">
            <w:pPr>
              <w:rPr>
                <w:sz w:val="13"/>
                <w:szCs w:val="13"/>
              </w:rPr>
            </w:pPr>
            <w:r w:rsidRPr="006A1EC7">
              <w:rPr>
                <w:sz w:val="13"/>
                <w:szCs w:val="13"/>
              </w:rPr>
              <w:t>0</w:t>
            </w:r>
          </w:p>
        </w:tc>
        <w:tc>
          <w:tcPr>
            <w:tcW w:w="406" w:type="dxa"/>
          </w:tcPr>
          <w:p w14:paraId="3DF7301A" w14:textId="77777777" w:rsidR="0087601C" w:rsidRPr="006A1EC7" w:rsidRDefault="0087601C" w:rsidP="00D56051">
            <w:pPr>
              <w:rPr>
                <w:sz w:val="13"/>
                <w:szCs w:val="13"/>
              </w:rPr>
            </w:pPr>
            <w:r w:rsidRPr="006A1EC7">
              <w:rPr>
                <w:sz w:val="13"/>
                <w:szCs w:val="13"/>
              </w:rPr>
              <w:t>0</w:t>
            </w:r>
          </w:p>
        </w:tc>
        <w:tc>
          <w:tcPr>
            <w:tcW w:w="1562" w:type="dxa"/>
            <w:shd w:val="clear" w:color="auto" w:fill="auto"/>
          </w:tcPr>
          <w:p w14:paraId="4EFD2877" w14:textId="77777777" w:rsidR="0087601C" w:rsidRPr="006A1EC7" w:rsidRDefault="0087601C" w:rsidP="00D56051">
            <w:pPr>
              <w:rPr>
                <w:sz w:val="13"/>
                <w:szCs w:val="13"/>
              </w:rPr>
            </w:pPr>
            <w:r w:rsidRPr="006A1EC7">
              <w:rPr>
                <w:sz w:val="13"/>
                <w:szCs w:val="13"/>
              </w:rPr>
              <w:t>¾</w:t>
            </w:r>
          </w:p>
        </w:tc>
        <w:tc>
          <w:tcPr>
            <w:tcW w:w="2410" w:type="dxa"/>
            <w:shd w:val="clear" w:color="auto" w:fill="auto"/>
          </w:tcPr>
          <w:p w14:paraId="610640F5" w14:textId="77777777" w:rsidR="0087601C" w:rsidRPr="006A1EC7" w:rsidRDefault="0087601C" w:rsidP="00D56051">
            <w:pPr>
              <w:rPr>
                <w:sz w:val="13"/>
                <w:szCs w:val="13"/>
              </w:rPr>
            </w:pPr>
            <w:r w:rsidRPr="006A1EC7">
              <w:rPr>
                <w:sz w:val="13"/>
                <w:szCs w:val="13"/>
              </w:rPr>
              <w:t>75%</w:t>
            </w:r>
          </w:p>
        </w:tc>
      </w:tr>
      <w:tr w:rsidR="0087601C" w:rsidRPr="006A1EC7" w14:paraId="7D89E193" w14:textId="77777777" w:rsidTr="00D56051">
        <w:tc>
          <w:tcPr>
            <w:tcW w:w="636" w:type="dxa"/>
          </w:tcPr>
          <w:p w14:paraId="671AAD92" w14:textId="77777777" w:rsidR="0087601C" w:rsidRPr="006A1EC7" w:rsidRDefault="0087601C" w:rsidP="00D56051">
            <w:pPr>
              <w:rPr>
                <w:sz w:val="13"/>
                <w:szCs w:val="13"/>
              </w:rPr>
            </w:pPr>
            <w:r w:rsidRPr="006A1EC7">
              <w:rPr>
                <w:sz w:val="13"/>
                <w:szCs w:val="13"/>
              </w:rPr>
              <w:t>CRE</w:t>
            </w:r>
          </w:p>
        </w:tc>
        <w:tc>
          <w:tcPr>
            <w:tcW w:w="476" w:type="dxa"/>
            <w:shd w:val="clear" w:color="auto" w:fill="FFFF00"/>
          </w:tcPr>
          <w:p w14:paraId="0581B9B9" w14:textId="77777777" w:rsidR="0087601C" w:rsidRPr="006A1EC7" w:rsidRDefault="0087601C" w:rsidP="00D56051">
            <w:pPr>
              <w:rPr>
                <w:sz w:val="13"/>
                <w:szCs w:val="13"/>
              </w:rPr>
            </w:pPr>
            <w:r w:rsidRPr="006A1EC7">
              <w:rPr>
                <w:sz w:val="13"/>
                <w:szCs w:val="13"/>
              </w:rPr>
              <w:t>2</w:t>
            </w:r>
          </w:p>
        </w:tc>
        <w:tc>
          <w:tcPr>
            <w:tcW w:w="476" w:type="dxa"/>
            <w:shd w:val="clear" w:color="auto" w:fill="FFFF00"/>
          </w:tcPr>
          <w:p w14:paraId="5CBE8F19" w14:textId="77777777" w:rsidR="0087601C" w:rsidRPr="006A1EC7" w:rsidRDefault="0087601C" w:rsidP="00D56051">
            <w:pPr>
              <w:rPr>
                <w:sz w:val="13"/>
                <w:szCs w:val="13"/>
              </w:rPr>
            </w:pPr>
            <w:r w:rsidRPr="006A1EC7">
              <w:rPr>
                <w:sz w:val="13"/>
                <w:szCs w:val="13"/>
              </w:rPr>
              <w:t>2</w:t>
            </w:r>
          </w:p>
        </w:tc>
        <w:tc>
          <w:tcPr>
            <w:tcW w:w="477" w:type="dxa"/>
          </w:tcPr>
          <w:p w14:paraId="1584A85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D3A1D65"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598669BB" w14:textId="77777777" w:rsidR="0087601C" w:rsidRPr="006A1EC7" w:rsidRDefault="0087601C" w:rsidP="00D56051">
            <w:pPr>
              <w:rPr>
                <w:sz w:val="13"/>
                <w:szCs w:val="13"/>
              </w:rPr>
            </w:pPr>
            <w:r w:rsidRPr="006A1EC7">
              <w:rPr>
                <w:sz w:val="13"/>
                <w:szCs w:val="13"/>
              </w:rPr>
              <w:t>2</w:t>
            </w:r>
          </w:p>
        </w:tc>
        <w:tc>
          <w:tcPr>
            <w:tcW w:w="458" w:type="dxa"/>
          </w:tcPr>
          <w:p w14:paraId="1493141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9755738" w14:textId="77777777" w:rsidR="0087601C" w:rsidRPr="006A1EC7" w:rsidRDefault="0087601C" w:rsidP="00D56051">
            <w:pPr>
              <w:rPr>
                <w:sz w:val="13"/>
                <w:szCs w:val="13"/>
              </w:rPr>
            </w:pPr>
            <w:r w:rsidRPr="006A1EC7">
              <w:rPr>
                <w:sz w:val="13"/>
                <w:szCs w:val="13"/>
              </w:rPr>
              <w:t>2</w:t>
            </w:r>
          </w:p>
        </w:tc>
        <w:tc>
          <w:tcPr>
            <w:tcW w:w="406" w:type="dxa"/>
            <w:shd w:val="clear" w:color="auto" w:fill="FFFF00"/>
          </w:tcPr>
          <w:p w14:paraId="559FDC07" w14:textId="77777777" w:rsidR="0087601C" w:rsidRPr="006A1EC7" w:rsidRDefault="0087601C" w:rsidP="00D56051">
            <w:pPr>
              <w:rPr>
                <w:sz w:val="13"/>
                <w:szCs w:val="13"/>
              </w:rPr>
            </w:pPr>
            <w:r w:rsidRPr="006A1EC7">
              <w:rPr>
                <w:sz w:val="13"/>
                <w:szCs w:val="13"/>
              </w:rPr>
              <w:t>2</w:t>
            </w:r>
          </w:p>
        </w:tc>
        <w:tc>
          <w:tcPr>
            <w:tcW w:w="406" w:type="dxa"/>
            <w:shd w:val="clear" w:color="auto" w:fill="auto"/>
          </w:tcPr>
          <w:p w14:paraId="70C8ECD4" w14:textId="77777777" w:rsidR="0087601C" w:rsidRPr="006A1EC7" w:rsidRDefault="0087601C" w:rsidP="00D56051">
            <w:pPr>
              <w:rPr>
                <w:sz w:val="13"/>
                <w:szCs w:val="13"/>
              </w:rPr>
            </w:pPr>
            <w:r w:rsidRPr="006A1EC7">
              <w:rPr>
                <w:sz w:val="13"/>
                <w:szCs w:val="13"/>
              </w:rPr>
              <w:t>1</w:t>
            </w:r>
          </w:p>
        </w:tc>
        <w:tc>
          <w:tcPr>
            <w:tcW w:w="439" w:type="dxa"/>
            <w:shd w:val="clear" w:color="auto" w:fill="FFFF00"/>
          </w:tcPr>
          <w:p w14:paraId="67327D9F"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170A194D" w14:textId="77777777" w:rsidR="0087601C" w:rsidRPr="006A1EC7" w:rsidRDefault="0087601C" w:rsidP="00D56051">
            <w:pPr>
              <w:rPr>
                <w:sz w:val="13"/>
                <w:szCs w:val="13"/>
              </w:rPr>
            </w:pPr>
            <w:r w:rsidRPr="006A1EC7">
              <w:rPr>
                <w:sz w:val="13"/>
                <w:szCs w:val="13"/>
              </w:rPr>
              <w:t>2</w:t>
            </w:r>
          </w:p>
        </w:tc>
        <w:tc>
          <w:tcPr>
            <w:tcW w:w="406" w:type="dxa"/>
          </w:tcPr>
          <w:p w14:paraId="79795EF5" w14:textId="77777777" w:rsidR="0087601C" w:rsidRPr="006A1EC7" w:rsidRDefault="0087601C" w:rsidP="00D56051">
            <w:pPr>
              <w:rPr>
                <w:sz w:val="13"/>
                <w:szCs w:val="13"/>
              </w:rPr>
            </w:pPr>
            <w:r w:rsidRPr="006A1EC7">
              <w:rPr>
                <w:sz w:val="13"/>
                <w:szCs w:val="13"/>
              </w:rPr>
              <w:t>0</w:t>
            </w:r>
          </w:p>
        </w:tc>
        <w:tc>
          <w:tcPr>
            <w:tcW w:w="1562" w:type="dxa"/>
            <w:shd w:val="clear" w:color="auto" w:fill="auto"/>
          </w:tcPr>
          <w:p w14:paraId="403CE1DA" w14:textId="77777777" w:rsidR="0087601C" w:rsidRPr="006A1EC7" w:rsidRDefault="0087601C" w:rsidP="00D56051">
            <w:pPr>
              <w:rPr>
                <w:sz w:val="13"/>
                <w:szCs w:val="13"/>
              </w:rPr>
            </w:pPr>
            <w:r w:rsidRPr="006A1EC7">
              <w:rPr>
                <w:sz w:val="13"/>
                <w:szCs w:val="13"/>
              </w:rPr>
              <w:t>¾</w:t>
            </w:r>
          </w:p>
        </w:tc>
        <w:tc>
          <w:tcPr>
            <w:tcW w:w="2410" w:type="dxa"/>
            <w:shd w:val="clear" w:color="auto" w:fill="auto"/>
          </w:tcPr>
          <w:p w14:paraId="7AB143FB" w14:textId="77777777" w:rsidR="0087601C" w:rsidRPr="006A1EC7" w:rsidRDefault="0087601C" w:rsidP="00D56051">
            <w:pPr>
              <w:rPr>
                <w:sz w:val="13"/>
                <w:szCs w:val="13"/>
              </w:rPr>
            </w:pPr>
            <w:r w:rsidRPr="006A1EC7">
              <w:rPr>
                <w:sz w:val="13"/>
                <w:szCs w:val="13"/>
              </w:rPr>
              <w:t>75%</w:t>
            </w:r>
          </w:p>
        </w:tc>
      </w:tr>
      <w:tr w:rsidR="0087601C" w:rsidRPr="006A1EC7" w14:paraId="47C94125" w14:textId="77777777" w:rsidTr="00D56051">
        <w:tc>
          <w:tcPr>
            <w:tcW w:w="636" w:type="dxa"/>
          </w:tcPr>
          <w:p w14:paraId="2D9FCC19" w14:textId="77777777" w:rsidR="0087601C" w:rsidRPr="006A1EC7" w:rsidRDefault="0087601C" w:rsidP="00D56051">
            <w:pPr>
              <w:rPr>
                <w:sz w:val="13"/>
                <w:szCs w:val="13"/>
              </w:rPr>
            </w:pPr>
            <w:r w:rsidRPr="006A1EC7">
              <w:rPr>
                <w:sz w:val="13"/>
                <w:szCs w:val="13"/>
              </w:rPr>
              <w:t>TTL</w:t>
            </w:r>
          </w:p>
        </w:tc>
        <w:tc>
          <w:tcPr>
            <w:tcW w:w="476" w:type="dxa"/>
            <w:shd w:val="clear" w:color="auto" w:fill="FFFF00"/>
          </w:tcPr>
          <w:p w14:paraId="6665B31F" w14:textId="77777777" w:rsidR="0087601C" w:rsidRPr="006A1EC7" w:rsidRDefault="0087601C" w:rsidP="00D56051">
            <w:pPr>
              <w:rPr>
                <w:sz w:val="13"/>
                <w:szCs w:val="13"/>
              </w:rPr>
            </w:pPr>
            <w:r w:rsidRPr="006A1EC7">
              <w:rPr>
                <w:sz w:val="13"/>
                <w:szCs w:val="13"/>
              </w:rPr>
              <w:t>49</w:t>
            </w:r>
          </w:p>
        </w:tc>
        <w:tc>
          <w:tcPr>
            <w:tcW w:w="476" w:type="dxa"/>
            <w:shd w:val="clear" w:color="auto" w:fill="FFFF00"/>
          </w:tcPr>
          <w:p w14:paraId="66959682" w14:textId="77777777" w:rsidR="0087601C" w:rsidRPr="006A1EC7" w:rsidRDefault="0087601C" w:rsidP="00D56051">
            <w:pPr>
              <w:rPr>
                <w:sz w:val="13"/>
                <w:szCs w:val="13"/>
              </w:rPr>
            </w:pPr>
            <w:r w:rsidRPr="006A1EC7">
              <w:rPr>
                <w:sz w:val="13"/>
                <w:szCs w:val="13"/>
              </w:rPr>
              <w:t>55</w:t>
            </w:r>
          </w:p>
        </w:tc>
        <w:tc>
          <w:tcPr>
            <w:tcW w:w="477" w:type="dxa"/>
          </w:tcPr>
          <w:p w14:paraId="13BBE8CC"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ADE9F58" w14:textId="77777777" w:rsidR="0087601C" w:rsidRPr="006A1EC7" w:rsidRDefault="0087601C" w:rsidP="00D56051">
            <w:pPr>
              <w:rPr>
                <w:sz w:val="13"/>
                <w:szCs w:val="13"/>
              </w:rPr>
            </w:pPr>
            <w:r w:rsidRPr="006A1EC7">
              <w:rPr>
                <w:sz w:val="13"/>
                <w:szCs w:val="13"/>
              </w:rPr>
              <w:t>50</w:t>
            </w:r>
          </w:p>
        </w:tc>
        <w:tc>
          <w:tcPr>
            <w:tcW w:w="477" w:type="dxa"/>
            <w:shd w:val="clear" w:color="auto" w:fill="FFFF00"/>
          </w:tcPr>
          <w:p w14:paraId="3993C684" w14:textId="77777777" w:rsidR="0087601C" w:rsidRPr="006A1EC7" w:rsidRDefault="0087601C" w:rsidP="00D56051">
            <w:pPr>
              <w:rPr>
                <w:sz w:val="13"/>
                <w:szCs w:val="13"/>
              </w:rPr>
            </w:pPr>
            <w:r w:rsidRPr="006A1EC7">
              <w:rPr>
                <w:sz w:val="13"/>
                <w:szCs w:val="13"/>
              </w:rPr>
              <w:t>48</w:t>
            </w:r>
          </w:p>
        </w:tc>
        <w:tc>
          <w:tcPr>
            <w:tcW w:w="458" w:type="dxa"/>
          </w:tcPr>
          <w:p w14:paraId="75337DBB"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36B6F96" w14:textId="77777777" w:rsidR="0087601C" w:rsidRPr="006A1EC7" w:rsidRDefault="0087601C" w:rsidP="00D56051">
            <w:pPr>
              <w:rPr>
                <w:sz w:val="13"/>
                <w:szCs w:val="13"/>
              </w:rPr>
            </w:pPr>
            <w:r w:rsidRPr="006A1EC7">
              <w:rPr>
                <w:sz w:val="13"/>
                <w:szCs w:val="13"/>
              </w:rPr>
              <w:t>59</w:t>
            </w:r>
          </w:p>
        </w:tc>
        <w:tc>
          <w:tcPr>
            <w:tcW w:w="406" w:type="dxa"/>
            <w:shd w:val="clear" w:color="auto" w:fill="FFFF00"/>
          </w:tcPr>
          <w:p w14:paraId="5BA4A2AF"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56020191"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26030A65" w14:textId="77777777" w:rsidR="0087601C" w:rsidRPr="006A1EC7" w:rsidRDefault="0087601C" w:rsidP="00D56051">
            <w:pPr>
              <w:rPr>
                <w:sz w:val="13"/>
                <w:szCs w:val="13"/>
              </w:rPr>
            </w:pPr>
            <w:r w:rsidRPr="006A1EC7">
              <w:rPr>
                <w:sz w:val="13"/>
                <w:szCs w:val="13"/>
              </w:rPr>
              <w:t>49</w:t>
            </w:r>
          </w:p>
        </w:tc>
        <w:tc>
          <w:tcPr>
            <w:tcW w:w="477" w:type="dxa"/>
            <w:shd w:val="clear" w:color="auto" w:fill="FFFF00"/>
          </w:tcPr>
          <w:p w14:paraId="5DB27BB0" w14:textId="77777777" w:rsidR="0087601C" w:rsidRPr="006A1EC7" w:rsidRDefault="0087601C" w:rsidP="00D56051">
            <w:pPr>
              <w:rPr>
                <w:sz w:val="13"/>
                <w:szCs w:val="13"/>
              </w:rPr>
            </w:pPr>
            <w:r w:rsidRPr="006A1EC7">
              <w:rPr>
                <w:sz w:val="13"/>
                <w:szCs w:val="13"/>
              </w:rPr>
              <w:t>31</w:t>
            </w:r>
          </w:p>
        </w:tc>
        <w:tc>
          <w:tcPr>
            <w:tcW w:w="406" w:type="dxa"/>
          </w:tcPr>
          <w:p w14:paraId="233FF537" w14:textId="77777777" w:rsidR="0087601C" w:rsidRPr="006A1EC7" w:rsidRDefault="0087601C" w:rsidP="00D56051">
            <w:pPr>
              <w:rPr>
                <w:sz w:val="13"/>
                <w:szCs w:val="13"/>
              </w:rPr>
            </w:pPr>
            <w:r w:rsidRPr="006A1EC7">
              <w:rPr>
                <w:sz w:val="13"/>
                <w:szCs w:val="13"/>
              </w:rPr>
              <w:t>0</w:t>
            </w:r>
          </w:p>
        </w:tc>
        <w:tc>
          <w:tcPr>
            <w:tcW w:w="1562" w:type="dxa"/>
            <w:shd w:val="clear" w:color="auto" w:fill="auto"/>
          </w:tcPr>
          <w:p w14:paraId="67AF167F" w14:textId="77777777" w:rsidR="0087601C" w:rsidRPr="006A1EC7" w:rsidRDefault="0087601C" w:rsidP="00D56051">
            <w:pPr>
              <w:rPr>
                <w:sz w:val="13"/>
                <w:szCs w:val="13"/>
              </w:rPr>
            </w:pPr>
            <w:r w:rsidRPr="006A1EC7">
              <w:rPr>
                <w:sz w:val="13"/>
                <w:szCs w:val="13"/>
              </w:rPr>
              <w:t>0/4</w:t>
            </w:r>
          </w:p>
        </w:tc>
        <w:tc>
          <w:tcPr>
            <w:tcW w:w="2410" w:type="dxa"/>
            <w:shd w:val="clear" w:color="auto" w:fill="auto"/>
          </w:tcPr>
          <w:p w14:paraId="42FEE5F8" w14:textId="77777777" w:rsidR="0087601C" w:rsidRPr="006A1EC7" w:rsidRDefault="0087601C" w:rsidP="00D56051">
            <w:pPr>
              <w:rPr>
                <w:sz w:val="13"/>
                <w:szCs w:val="13"/>
              </w:rPr>
            </w:pPr>
            <w:r w:rsidRPr="006A1EC7">
              <w:rPr>
                <w:sz w:val="13"/>
                <w:szCs w:val="13"/>
              </w:rPr>
              <w:t>0%</w:t>
            </w:r>
          </w:p>
        </w:tc>
      </w:tr>
      <w:tr w:rsidR="0087601C" w:rsidRPr="006A1EC7" w14:paraId="63B2D0B7" w14:textId="77777777" w:rsidTr="00D56051">
        <w:tc>
          <w:tcPr>
            <w:tcW w:w="636" w:type="dxa"/>
          </w:tcPr>
          <w:p w14:paraId="0ED5116B" w14:textId="77777777" w:rsidR="0087601C" w:rsidRPr="006A1EC7" w:rsidRDefault="0087601C" w:rsidP="00D56051">
            <w:pPr>
              <w:rPr>
                <w:sz w:val="13"/>
                <w:szCs w:val="13"/>
              </w:rPr>
            </w:pPr>
            <w:r w:rsidRPr="006A1EC7">
              <w:rPr>
                <w:sz w:val="13"/>
                <w:szCs w:val="13"/>
              </w:rPr>
              <w:t>Percent agreement (%)</w:t>
            </w:r>
          </w:p>
        </w:tc>
        <w:tc>
          <w:tcPr>
            <w:tcW w:w="476" w:type="dxa"/>
            <w:shd w:val="clear" w:color="auto" w:fill="FFFF00"/>
          </w:tcPr>
          <w:p w14:paraId="1F09FBB5" w14:textId="77777777" w:rsidR="0087601C" w:rsidRPr="006A1EC7" w:rsidRDefault="0087601C" w:rsidP="00D56051">
            <w:pPr>
              <w:rPr>
                <w:sz w:val="13"/>
                <w:szCs w:val="13"/>
              </w:rPr>
            </w:pPr>
          </w:p>
        </w:tc>
        <w:tc>
          <w:tcPr>
            <w:tcW w:w="476" w:type="dxa"/>
            <w:shd w:val="clear" w:color="auto" w:fill="FFFF00"/>
          </w:tcPr>
          <w:p w14:paraId="5D0A0D51" w14:textId="77777777" w:rsidR="0087601C" w:rsidRPr="006A1EC7" w:rsidRDefault="0087601C" w:rsidP="00D56051">
            <w:pPr>
              <w:rPr>
                <w:sz w:val="13"/>
                <w:szCs w:val="13"/>
              </w:rPr>
            </w:pPr>
          </w:p>
        </w:tc>
        <w:tc>
          <w:tcPr>
            <w:tcW w:w="477" w:type="dxa"/>
          </w:tcPr>
          <w:p w14:paraId="65ADCFF7" w14:textId="77777777" w:rsidR="0087601C" w:rsidRPr="006A1EC7" w:rsidRDefault="0087601C" w:rsidP="00D56051">
            <w:pPr>
              <w:rPr>
                <w:sz w:val="13"/>
                <w:szCs w:val="13"/>
              </w:rPr>
            </w:pPr>
            <w:r w:rsidRPr="006A1EC7">
              <w:rPr>
                <w:sz w:val="13"/>
                <w:szCs w:val="13"/>
              </w:rPr>
              <w:t>70%</w:t>
            </w:r>
          </w:p>
        </w:tc>
        <w:tc>
          <w:tcPr>
            <w:tcW w:w="477" w:type="dxa"/>
            <w:shd w:val="clear" w:color="auto" w:fill="FFFF00"/>
          </w:tcPr>
          <w:p w14:paraId="58101404" w14:textId="77777777" w:rsidR="0087601C" w:rsidRPr="006A1EC7" w:rsidRDefault="0087601C" w:rsidP="00D56051">
            <w:pPr>
              <w:rPr>
                <w:sz w:val="13"/>
                <w:szCs w:val="13"/>
              </w:rPr>
            </w:pPr>
          </w:p>
        </w:tc>
        <w:tc>
          <w:tcPr>
            <w:tcW w:w="477" w:type="dxa"/>
            <w:shd w:val="clear" w:color="auto" w:fill="FFFF00"/>
          </w:tcPr>
          <w:p w14:paraId="7BDCBCC2" w14:textId="77777777" w:rsidR="0087601C" w:rsidRPr="006A1EC7" w:rsidRDefault="0087601C" w:rsidP="00D56051">
            <w:pPr>
              <w:rPr>
                <w:sz w:val="13"/>
                <w:szCs w:val="13"/>
              </w:rPr>
            </w:pPr>
          </w:p>
        </w:tc>
        <w:tc>
          <w:tcPr>
            <w:tcW w:w="458" w:type="dxa"/>
          </w:tcPr>
          <w:p w14:paraId="5E42607A" w14:textId="77777777" w:rsidR="0087601C" w:rsidRPr="006A1EC7" w:rsidRDefault="0087601C" w:rsidP="00D56051">
            <w:pPr>
              <w:rPr>
                <w:sz w:val="13"/>
                <w:szCs w:val="13"/>
              </w:rPr>
            </w:pPr>
            <w:r w:rsidRPr="006A1EC7">
              <w:rPr>
                <w:sz w:val="13"/>
                <w:szCs w:val="13"/>
              </w:rPr>
              <w:t>60%</w:t>
            </w:r>
          </w:p>
        </w:tc>
        <w:tc>
          <w:tcPr>
            <w:tcW w:w="477" w:type="dxa"/>
            <w:shd w:val="clear" w:color="auto" w:fill="FFFF00"/>
          </w:tcPr>
          <w:p w14:paraId="337C07DB" w14:textId="77777777" w:rsidR="0087601C" w:rsidRPr="006A1EC7" w:rsidRDefault="0087601C" w:rsidP="00D56051">
            <w:pPr>
              <w:rPr>
                <w:sz w:val="13"/>
                <w:szCs w:val="13"/>
              </w:rPr>
            </w:pPr>
          </w:p>
        </w:tc>
        <w:tc>
          <w:tcPr>
            <w:tcW w:w="406" w:type="dxa"/>
            <w:shd w:val="clear" w:color="auto" w:fill="FFFF00"/>
          </w:tcPr>
          <w:p w14:paraId="384626BD" w14:textId="77777777" w:rsidR="0087601C" w:rsidRPr="006A1EC7" w:rsidRDefault="0087601C" w:rsidP="00D56051">
            <w:pPr>
              <w:rPr>
                <w:sz w:val="13"/>
                <w:szCs w:val="13"/>
              </w:rPr>
            </w:pPr>
          </w:p>
        </w:tc>
        <w:tc>
          <w:tcPr>
            <w:tcW w:w="406" w:type="dxa"/>
            <w:shd w:val="clear" w:color="auto" w:fill="auto"/>
          </w:tcPr>
          <w:p w14:paraId="7648F3C1" w14:textId="77777777" w:rsidR="0087601C" w:rsidRPr="006A1EC7" w:rsidRDefault="0087601C" w:rsidP="00D56051">
            <w:pPr>
              <w:rPr>
                <w:sz w:val="13"/>
                <w:szCs w:val="13"/>
              </w:rPr>
            </w:pPr>
            <w:r w:rsidRPr="006A1EC7">
              <w:rPr>
                <w:sz w:val="13"/>
                <w:szCs w:val="13"/>
              </w:rPr>
              <w:t>50%</w:t>
            </w:r>
          </w:p>
        </w:tc>
        <w:tc>
          <w:tcPr>
            <w:tcW w:w="439" w:type="dxa"/>
            <w:shd w:val="clear" w:color="auto" w:fill="FFFF00"/>
          </w:tcPr>
          <w:p w14:paraId="67BC1DCF" w14:textId="77777777" w:rsidR="0087601C" w:rsidRPr="006A1EC7" w:rsidRDefault="0087601C" w:rsidP="00D56051">
            <w:pPr>
              <w:rPr>
                <w:sz w:val="13"/>
                <w:szCs w:val="13"/>
              </w:rPr>
            </w:pPr>
          </w:p>
        </w:tc>
        <w:tc>
          <w:tcPr>
            <w:tcW w:w="477" w:type="dxa"/>
            <w:shd w:val="clear" w:color="auto" w:fill="FFFF00"/>
          </w:tcPr>
          <w:p w14:paraId="36D08137" w14:textId="77777777" w:rsidR="0087601C" w:rsidRPr="006A1EC7" w:rsidRDefault="0087601C" w:rsidP="00D56051">
            <w:pPr>
              <w:rPr>
                <w:sz w:val="13"/>
                <w:szCs w:val="13"/>
              </w:rPr>
            </w:pPr>
          </w:p>
        </w:tc>
        <w:tc>
          <w:tcPr>
            <w:tcW w:w="406" w:type="dxa"/>
          </w:tcPr>
          <w:p w14:paraId="77F9EDD9" w14:textId="77777777" w:rsidR="0087601C" w:rsidRPr="006A1EC7" w:rsidRDefault="0087601C" w:rsidP="00D56051">
            <w:pPr>
              <w:rPr>
                <w:sz w:val="13"/>
                <w:szCs w:val="13"/>
              </w:rPr>
            </w:pPr>
            <w:r w:rsidRPr="006A1EC7">
              <w:rPr>
                <w:sz w:val="13"/>
                <w:szCs w:val="13"/>
              </w:rPr>
              <w:t>20%</w:t>
            </w:r>
          </w:p>
        </w:tc>
        <w:tc>
          <w:tcPr>
            <w:tcW w:w="1562" w:type="dxa"/>
            <w:shd w:val="clear" w:color="auto" w:fill="auto"/>
          </w:tcPr>
          <w:p w14:paraId="4A2699FD" w14:textId="77777777" w:rsidR="0087601C" w:rsidRPr="006A1EC7" w:rsidRDefault="0087601C" w:rsidP="00D56051">
            <w:pPr>
              <w:rPr>
                <w:sz w:val="13"/>
                <w:szCs w:val="13"/>
              </w:rPr>
            </w:pPr>
          </w:p>
        </w:tc>
        <w:tc>
          <w:tcPr>
            <w:tcW w:w="2410" w:type="dxa"/>
            <w:shd w:val="clear" w:color="auto" w:fill="auto"/>
          </w:tcPr>
          <w:p w14:paraId="45EE5800" w14:textId="77777777" w:rsidR="0087601C" w:rsidRPr="006A1EC7" w:rsidRDefault="0087601C" w:rsidP="00D56051">
            <w:pPr>
              <w:rPr>
                <w:sz w:val="13"/>
                <w:szCs w:val="13"/>
              </w:rPr>
            </w:pPr>
          </w:p>
        </w:tc>
      </w:tr>
    </w:tbl>
    <w:p w14:paraId="5DFDD8B7" w14:textId="77777777" w:rsidR="0087601C" w:rsidRPr="006A1EC7" w:rsidRDefault="0087601C" w:rsidP="0087601C">
      <w:pPr>
        <w:rPr>
          <w:b/>
          <w:bCs/>
          <w:sz w:val="13"/>
          <w:szCs w:val="13"/>
        </w:rPr>
      </w:pPr>
    </w:p>
    <w:p w14:paraId="6E6FD552" w14:textId="77777777" w:rsidR="0087601C" w:rsidRPr="006A1EC7" w:rsidRDefault="0087601C" w:rsidP="0087601C">
      <w:pPr>
        <w:rPr>
          <w:b/>
          <w:bCs/>
          <w:sz w:val="13"/>
          <w:szCs w:val="13"/>
        </w:rPr>
      </w:pPr>
      <w:r w:rsidRPr="006A1EC7">
        <w:rPr>
          <w:b/>
          <w:bCs/>
          <w:sz w:val="13"/>
          <w:szCs w:val="13"/>
        </w:rPr>
        <w:t>VIGNETTE 4: FINEEN</w:t>
      </w:r>
    </w:p>
    <w:p w14:paraId="535799C2" w14:textId="77777777" w:rsidR="0087601C" w:rsidRPr="006A1EC7" w:rsidRDefault="0087601C" w:rsidP="0087601C">
      <w:pPr>
        <w:rPr>
          <w:b/>
          <w:bCs/>
          <w:sz w:val="13"/>
          <w:szCs w:val="13"/>
        </w:rPr>
      </w:pPr>
    </w:p>
    <w:tbl>
      <w:tblPr>
        <w:tblStyle w:val="TableGrid"/>
        <w:tblW w:w="0" w:type="auto"/>
        <w:tblLook w:val="04A0" w:firstRow="1" w:lastRow="0" w:firstColumn="1" w:lastColumn="0" w:noHBand="0" w:noVBand="1"/>
      </w:tblPr>
      <w:tblGrid>
        <w:gridCol w:w="758"/>
        <w:gridCol w:w="475"/>
        <w:gridCol w:w="475"/>
        <w:gridCol w:w="472"/>
        <w:gridCol w:w="476"/>
        <w:gridCol w:w="476"/>
        <w:gridCol w:w="454"/>
        <w:gridCol w:w="477"/>
        <w:gridCol w:w="460"/>
        <w:gridCol w:w="403"/>
        <w:gridCol w:w="460"/>
        <w:gridCol w:w="477"/>
        <w:gridCol w:w="403"/>
        <w:gridCol w:w="477"/>
        <w:gridCol w:w="477"/>
        <w:gridCol w:w="403"/>
        <w:gridCol w:w="477"/>
        <w:gridCol w:w="477"/>
        <w:gridCol w:w="403"/>
        <w:gridCol w:w="477"/>
        <w:gridCol w:w="478"/>
        <w:gridCol w:w="403"/>
        <w:gridCol w:w="478"/>
        <w:gridCol w:w="478"/>
        <w:gridCol w:w="403"/>
        <w:gridCol w:w="403"/>
        <w:gridCol w:w="411"/>
      </w:tblGrid>
      <w:tr w:rsidR="0087601C" w:rsidRPr="006A1EC7" w14:paraId="412C36C2" w14:textId="77777777" w:rsidTr="00D56051">
        <w:trPr>
          <w:trHeight w:val="558"/>
        </w:trPr>
        <w:tc>
          <w:tcPr>
            <w:tcW w:w="636" w:type="dxa"/>
          </w:tcPr>
          <w:p w14:paraId="62B281C3" w14:textId="77777777" w:rsidR="0087601C" w:rsidRPr="006A1EC7" w:rsidRDefault="0087601C" w:rsidP="00D56051">
            <w:pPr>
              <w:rPr>
                <w:sz w:val="13"/>
                <w:szCs w:val="13"/>
              </w:rPr>
            </w:pPr>
          </w:p>
        </w:tc>
        <w:tc>
          <w:tcPr>
            <w:tcW w:w="475" w:type="dxa"/>
            <w:shd w:val="clear" w:color="auto" w:fill="FFFF00"/>
          </w:tcPr>
          <w:p w14:paraId="75291152" w14:textId="77777777" w:rsidR="0087601C" w:rsidRPr="006A1EC7" w:rsidRDefault="0087601C" w:rsidP="00D56051">
            <w:pPr>
              <w:rPr>
                <w:sz w:val="13"/>
                <w:szCs w:val="13"/>
              </w:rPr>
            </w:pPr>
            <w:r w:rsidRPr="006A1EC7">
              <w:rPr>
                <w:sz w:val="13"/>
                <w:szCs w:val="13"/>
              </w:rPr>
              <w:t>J1 (1)</w:t>
            </w:r>
          </w:p>
        </w:tc>
        <w:tc>
          <w:tcPr>
            <w:tcW w:w="475" w:type="dxa"/>
            <w:shd w:val="clear" w:color="auto" w:fill="FFFF00"/>
          </w:tcPr>
          <w:p w14:paraId="438A5DD1" w14:textId="77777777" w:rsidR="0087601C" w:rsidRPr="006A1EC7" w:rsidRDefault="0087601C" w:rsidP="00D56051">
            <w:pPr>
              <w:rPr>
                <w:sz w:val="13"/>
                <w:szCs w:val="13"/>
              </w:rPr>
            </w:pPr>
            <w:r w:rsidRPr="006A1EC7">
              <w:rPr>
                <w:sz w:val="13"/>
                <w:szCs w:val="13"/>
              </w:rPr>
              <w:t>J1 (2)</w:t>
            </w:r>
          </w:p>
        </w:tc>
        <w:tc>
          <w:tcPr>
            <w:tcW w:w="472" w:type="dxa"/>
          </w:tcPr>
          <w:p w14:paraId="2E3DEB7A" w14:textId="77777777" w:rsidR="0087601C" w:rsidRPr="006A1EC7" w:rsidRDefault="0087601C" w:rsidP="00D56051">
            <w:pPr>
              <w:rPr>
                <w:sz w:val="13"/>
                <w:szCs w:val="13"/>
              </w:rPr>
            </w:pPr>
          </w:p>
        </w:tc>
        <w:tc>
          <w:tcPr>
            <w:tcW w:w="476" w:type="dxa"/>
            <w:shd w:val="clear" w:color="auto" w:fill="FFFF00"/>
          </w:tcPr>
          <w:p w14:paraId="187F64EA" w14:textId="77777777" w:rsidR="0087601C" w:rsidRPr="006A1EC7" w:rsidRDefault="0087601C" w:rsidP="00D56051">
            <w:pPr>
              <w:rPr>
                <w:sz w:val="13"/>
                <w:szCs w:val="13"/>
              </w:rPr>
            </w:pPr>
            <w:r w:rsidRPr="006A1EC7">
              <w:rPr>
                <w:sz w:val="13"/>
                <w:szCs w:val="13"/>
              </w:rPr>
              <w:t>J2 (1)</w:t>
            </w:r>
          </w:p>
        </w:tc>
        <w:tc>
          <w:tcPr>
            <w:tcW w:w="476" w:type="dxa"/>
            <w:shd w:val="clear" w:color="auto" w:fill="FFFF00"/>
          </w:tcPr>
          <w:p w14:paraId="6A4F2452" w14:textId="77777777" w:rsidR="0087601C" w:rsidRPr="006A1EC7" w:rsidRDefault="0087601C" w:rsidP="00D56051">
            <w:pPr>
              <w:rPr>
                <w:sz w:val="13"/>
                <w:szCs w:val="13"/>
              </w:rPr>
            </w:pPr>
            <w:r w:rsidRPr="006A1EC7">
              <w:rPr>
                <w:sz w:val="13"/>
                <w:szCs w:val="13"/>
              </w:rPr>
              <w:t>J2 (2)</w:t>
            </w:r>
          </w:p>
        </w:tc>
        <w:tc>
          <w:tcPr>
            <w:tcW w:w="454" w:type="dxa"/>
          </w:tcPr>
          <w:p w14:paraId="79314A48" w14:textId="77777777" w:rsidR="0087601C" w:rsidRPr="006A1EC7" w:rsidRDefault="0087601C" w:rsidP="00D56051">
            <w:pPr>
              <w:rPr>
                <w:sz w:val="13"/>
                <w:szCs w:val="13"/>
              </w:rPr>
            </w:pPr>
          </w:p>
        </w:tc>
        <w:tc>
          <w:tcPr>
            <w:tcW w:w="477" w:type="dxa"/>
            <w:shd w:val="clear" w:color="auto" w:fill="FFFF00"/>
          </w:tcPr>
          <w:p w14:paraId="72FBACF5" w14:textId="77777777" w:rsidR="0087601C" w:rsidRPr="006A1EC7" w:rsidRDefault="0087601C" w:rsidP="00D56051">
            <w:pPr>
              <w:rPr>
                <w:sz w:val="13"/>
                <w:szCs w:val="13"/>
              </w:rPr>
            </w:pPr>
            <w:r w:rsidRPr="006A1EC7">
              <w:rPr>
                <w:sz w:val="13"/>
                <w:szCs w:val="13"/>
              </w:rPr>
              <w:t>J3 (1)</w:t>
            </w:r>
          </w:p>
        </w:tc>
        <w:tc>
          <w:tcPr>
            <w:tcW w:w="460" w:type="dxa"/>
            <w:shd w:val="clear" w:color="auto" w:fill="FFFF00"/>
          </w:tcPr>
          <w:p w14:paraId="3C271622" w14:textId="77777777" w:rsidR="0087601C" w:rsidRPr="006A1EC7" w:rsidRDefault="0087601C" w:rsidP="00D56051">
            <w:pPr>
              <w:rPr>
                <w:sz w:val="13"/>
                <w:szCs w:val="13"/>
              </w:rPr>
            </w:pPr>
            <w:r w:rsidRPr="006A1EC7">
              <w:rPr>
                <w:sz w:val="13"/>
                <w:szCs w:val="13"/>
              </w:rPr>
              <w:t>J3 2)</w:t>
            </w:r>
          </w:p>
        </w:tc>
        <w:tc>
          <w:tcPr>
            <w:tcW w:w="403" w:type="dxa"/>
            <w:shd w:val="clear" w:color="auto" w:fill="auto"/>
          </w:tcPr>
          <w:p w14:paraId="4288FC2E" w14:textId="77777777" w:rsidR="0087601C" w:rsidRPr="006A1EC7" w:rsidRDefault="0087601C" w:rsidP="00D56051">
            <w:pPr>
              <w:rPr>
                <w:sz w:val="13"/>
                <w:szCs w:val="13"/>
              </w:rPr>
            </w:pPr>
          </w:p>
        </w:tc>
        <w:tc>
          <w:tcPr>
            <w:tcW w:w="460" w:type="dxa"/>
            <w:shd w:val="clear" w:color="auto" w:fill="FFFF00"/>
          </w:tcPr>
          <w:p w14:paraId="1C3F44C8" w14:textId="77777777" w:rsidR="0087601C" w:rsidRPr="006A1EC7" w:rsidRDefault="0087601C" w:rsidP="00D56051">
            <w:pPr>
              <w:rPr>
                <w:sz w:val="13"/>
                <w:szCs w:val="13"/>
              </w:rPr>
            </w:pPr>
            <w:r w:rsidRPr="006A1EC7">
              <w:rPr>
                <w:sz w:val="13"/>
                <w:szCs w:val="13"/>
              </w:rPr>
              <w:t>J4 (1)</w:t>
            </w:r>
          </w:p>
        </w:tc>
        <w:tc>
          <w:tcPr>
            <w:tcW w:w="477" w:type="dxa"/>
            <w:shd w:val="clear" w:color="auto" w:fill="FFFF00"/>
          </w:tcPr>
          <w:p w14:paraId="423E7EDA" w14:textId="77777777" w:rsidR="0087601C" w:rsidRPr="006A1EC7" w:rsidRDefault="0087601C" w:rsidP="00D56051">
            <w:pPr>
              <w:rPr>
                <w:sz w:val="13"/>
                <w:szCs w:val="13"/>
              </w:rPr>
            </w:pPr>
            <w:r w:rsidRPr="006A1EC7">
              <w:rPr>
                <w:sz w:val="13"/>
                <w:szCs w:val="13"/>
              </w:rPr>
              <w:t>J4 (2)</w:t>
            </w:r>
          </w:p>
        </w:tc>
        <w:tc>
          <w:tcPr>
            <w:tcW w:w="403" w:type="dxa"/>
          </w:tcPr>
          <w:p w14:paraId="729554FF" w14:textId="77777777" w:rsidR="0087601C" w:rsidRPr="006A1EC7" w:rsidRDefault="0087601C" w:rsidP="00D56051">
            <w:pPr>
              <w:rPr>
                <w:sz w:val="13"/>
                <w:szCs w:val="13"/>
              </w:rPr>
            </w:pPr>
          </w:p>
        </w:tc>
        <w:tc>
          <w:tcPr>
            <w:tcW w:w="477" w:type="dxa"/>
            <w:shd w:val="clear" w:color="auto" w:fill="FFFF00"/>
          </w:tcPr>
          <w:p w14:paraId="65EAB8BD" w14:textId="77777777" w:rsidR="0087601C" w:rsidRPr="006A1EC7" w:rsidRDefault="0087601C" w:rsidP="00D56051">
            <w:pPr>
              <w:rPr>
                <w:sz w:val="13"/>
                <w:szCs w:val="13"/>
              </w:rPr>
            </w:pPr>
            <w:r w:rsidRPr="006A1EC7">
              <w:rPr>
                <w:sz w:val="13"/>
                <w:szCs w:val="13"/>
              </w:rPr>
              <w:t>J5 (1)</w:t>
            </w:r>
          </w:p>
        </w:tc>
        <w:tc>
          <w:tcPr>
            <w:tcW w:w="477" w:type="dxa"/>
            <w:shd w:val="clear" w:color="auto" w:fill="FFFF00"/>
          </w:tcPr>
          <w:p w14:paraId="78BE1F78" w14:textId="77777777" w:rsidR="0087601C" w:rsidRPr="006A1EC7" w:rsidRDefault="0087601C" w:rsidP="00D56051">
            <w:pPr>
              <w:rPr>
                <w:sz w:val="13"/>
                <w:szCs w:val="13"/>
              </w:rPr>
            </w:pPr>
            <w:r w:rsidRPr="006A1EC7">
              <w:rPr>
                <w:sz w:val="13"/>
                <w:szCs w:val="13"/>
              </w:rPr>
              <w:t>J5 (2)</w:t>
            </w:r>
          </w:p>
        </w:tc>
        <w:tc>
          <w:tcPr>
            <w:tcW w:w="403" w:type="dxa"/>
          </w:tcPr>
          <w:p w14:paraId="30CA459E" w14:textId="77777777" w:rsidR="0087601C" w:rsidRPr="006A1EC7" w:rsidRDefault="0087601C" w:rsidP="00D56051">
            <w:pPr>
              <w:rPr>
                <w:sz w:val="13"/>
                <w:szCs w:val="13"/>
              </w:rPr>
            </w:pPr>
          </w:p>
        </w:tc>
        <w:tc>
          <w:tcPr>
            <w:tcW w:w="477" w:type="dxa"/>
            <w:shd w:val="clear" w:color="auto" w:fill="FFFF00"/>
          </w:tcPr>
          <w:p w14:paraId="5ADD7E29" w14:textId="77777777" w:rsidR="0087601C" w:rsidRPr="006A1EC7" w:rsidRDefault="0087601C" w:rsidP="00D56051">
            <w:pPr>
              <w:rPr>
                <w:sz w:val="13"/>
                <w:szCs w:val="13"/>
              </w:rPr>
            </w:pPr>
            <w:r w:rsidRPr="006A1EC7">
              <w:rPr>
                <w:sz w:val="13"/>
                <w:szCs w:val="13"/>
              </w:rPr>
              <w:t>J6 (1)</w:t>
            </w:r>
          </w:p>
        </w:tc>
        <w:tc>
          <w:tcPr>
            <w:tcW w:w="477" w:type="dxa"/>
            <w:shd w:val="clear" w:color="auto" w:fill="FFFF00"/>
          </w:tcPr>
          <w:p w14:paraId="7E3DDAD5" w14:textId="77777777" w:rsidR="0087601C" w:rsidRPr="006A1EC7" w:rsidRDefault="0087601C" w:rsidP="00D56051">
            <w:pPr>
              <w:rPr>
                <w:sz w:val="13"/>
                <w:szCs w:val="13"/>
              </w:rPr>
            </w:pPr>
            <w:r w:rsidRPr="006A1EC7">
              <w:rPr>
                <w:sz w:val="13"/>
                <w:szCs w:val="13"/>
              </w:rPr>
              <w:t>J6 (2)</w:t>
            </w:r>
          </w:p>
        </w:tc>
        <w:tc>
          <w:tcPr>
            <w:tcW w:w="403" w:type="dxa"/>
          </w:tcPr>
          <w:p w14:paraId="26012BD2" w14:textId="77777777" w:rsidR="0087601C" w:rsidRPr="006A1EC7" w:rsidRDefault="0087601C" w:rsidP="00D56051">
            <w:pPr>
              <w:rPr>
                <w:sz w:val="13"/>
                <w:szCs w:val="13"/>
              </w:rPr>
            </w:pPr>
          </w:p>
        </w:tc>
        <w:tc>
          <w:tcPr>
            <w:tcW w:w="477" w:type="dxa"/>
            <w:shd w:val="clear" w:color="auto" w:fill="FFFF00"/>
          </w:tcPr>
          <w:p w14:paraId="15FAD64F" w14:textId="77777777" w:rsidR="0087601C" w:rsidRPr="006A1EC7" w:rsidRDefault="0087601C" w:rsidP="00D56051">
            <w:pPr>
              <w:rPr>
                <w:sz w:val="13"/>
                <w:szCs w:val="13"/>
              </w:rPr>
            </w:pPr>
            <w:r w:rsidRPr="006A1EC7">
              <w:rPr>
                <w:sz w:val="13"/>
                <w:szCs w:val="13"/>
              </w:rPr>
              <w:t>J7 (1)</w:t>
            </w:r>
          </w:p>
        </w:tc>
        <w:tc>
          <w:tcPr>
            <w:tcW w:w="478" w:type="dxa"/>
            <w:shd w:val="clear" w:color="auto" w:fill="FFFF00"/>
          </w:tcPr>
          <w:p w14:paraId="52FC3EF5" w14:textId="77777777" w:rsidR="0087601C" w:rsidRPr="006A1EC7" w:rsidRDefault="0087601C" w:rsidP="00D56051">
            <w:pPr>
              <w:rPr>
                <w:sz w:val="13"/>
                <w:szCs w:val="13"/>
              </w:rPr>
            </w:pPr>
            <w:r w:rsidRPr="006A1EC7">
              <w:rPr>
                <w:sz w:val="13"/>
                <w:szCs w:val="13"/>
              </w:rPr>
              <w:t>J7 (2)</w:t>
            </w:r>
          </w:p>
        </w:tc>
        <w:tc>
          <w:tcPr>
            <w:tcW w:w="403" w:type="dxa"/>
          </w:tcPr>
          <w:p w14:paraId="320827EE" w14:textId="77777777" w:rsidR="0087601C" w:rsidRPr="006A1EC7" w:rsidRDefault="0087601C" w:rsidP="00D56051">
            <w:pPr>
              <w:rPr>
                <w:sz w:val="13"/>
                <w:szCs w:val="13"/>
              </w:rPr>
            </w:pPr>
          </w:p>
        </w:tc>
        <w:tc>
          <w:tcPr>
            <w:tcW w:w="478" w:type="dxa"/>
            <w:shd w:val="clear" w:color="auto" w:fill="FFFF00"/>
          </w:tcPr>
          <w:p w14:paraId="7DF090A7" w14:textId="77777777" w:rsidR="0087601C" w:rsidRPr="006A1EC7" w:rsidRDefault="0087601C" w:rsidP="00D56051">
            <w:pPr>
              <w:rPr>
                <w:sz w:val="13"/>
                <w:szCs w:val="13"/>
              </w:rPr>
            </w:pPr>
            <w:r w:rsidRPr="006A1EC7">
              <w:rPr>
                <w:sz w:val="13"/>
                <w:szCs w:val="13"/>
              </w:rPr>
              <w:t>J8 (1)</w:t>
            </w:r>
          </w:p>
        </w:tc>
        <w:tc>
          <w:tcPr>
            <w:tcW w:w="478" w:type="dxa"/>
            <w:shd w:val="clear" w:color="auto" w:fill="FFFF00"/>
          </w:tcPr>
          <w:p w14:paraId="10EA438B" w14:textId="77777777" w:rsidR="0087601C" w:rsidRPr="006A1EC7" w:rsidRDefault="0087601C" w:rsidP="00D56051">
            <w:pPr>
              <w:rPr>
                <w:sz w:val="13"/>
                <w:szCs w:val="13"/>
              </w:rPr>
            </w:pPr>
            <w:r w:rsidRPr="006A1EC7">
              <w:rPr>
                <w:sz w:val="13"/>
                <w:szCs w:val="13"/>
              </w:rPr>
              <w:t>J8 (2)</w:t>
            </w:r>
          </w:p>
        </w:tc>
        <w:tc>
          <w:tcPr>
            <w:tcW w:w="403" w:type="dxa"/>
          </w:tcPr>
          <w:p w14:paraId="062DDC21" w14:textId="77777777" w:rsidR="0087601C" w:rsidRPr="006A1EC7" w:rsidRDefault="0087601C" w:rsidP="00D56051">
            <w:pPr>
              <w:rPr>
                <w:sz w:val="13"/>
                <w:szCs w:val="13"/>
              </w:rPr>
            </w:pPr>
          </w:p>
        </w:tc>
        <w:tc>
          <w:tcPr>
            <w:tcW w:w="403" w:type="dxa"/>
            <w:shd w:val="clear" w:color="auto" w:fill="auto"/>
          </w:tcPr>
          <w:p w14:paraId="28628D0C" w14:textId="77777777" w:rsidR="0087601C" w:rsidRPr="006A1EC7" w:rsidRDefault="0087601C" w:rsidP="00D56051">
            <w:pPr>
              <w:rPr>
                <w:sz w:val="13"/>
                <w:szCs w:val="13"/>
              </w:rPr>
            </w:pPr>
          </w:p>
        </w:tc>
        <w:tc>
          <w:tcPr>
            <w:tcW w:w="403" w:type="dxa"/>
            <w:shd w:val="clear" w:color="auto" w:fill="auto"/>
          </w:tcPr>
          <w:p w14:paraId="67C9BB88" w14:textId="77777777" w:rsidR="0087601C" w:rsidRPr="006A1EC7" w:rsidRDefault="0087601C" w:rsidP="00D56051">
            <w:pPr>
              <w:rPr>
                <w:sz w:val="13"/>
                <w:szCs w:val="13"/>
              </w:rPr>
            </w:pPr>
          </w:p>
        </w:tc>
      </w:tr>
      <w:tr w:rsidR="0087601C" w:rsidRPr="006A1EC7" w14:paraId="6CBF4B45" w14:textId="77777777" w:rsidTr="00D56051">
        <w:tc>
          <w:tcPr>
            <w:tcW w:w="636" w:type="dxa"/>
          </w:tcPr>
          <w:p w14:paraId="583D8EF6" w14:textId="77777777" w:rsidR="0087601C" w:rsidRPr="006A1EC7" w:rsidRDefault="0087601C" w:rsidP="00D56051">
            <w:pPr>
              <w:rPr>
                <w:sz w:val="13"/>
                <w:szCs w:val="13"/>
              </w:rPr>
            </w:pPr>
            <w:r w:rsidRPr="006A1EC7">
              <w:rPr>
                <w:sz w:val="13"/>
                <w:szCs w:val="13"/>
              </w:rPr>
              <w:t>FCE</w:t>
            </w:r>
          </w:p>
        </w:tc>
        <w:tc>
          <w:tcPr>
            <w:tcW w:w="475" w:type="dxa"/>
            <w:shd w:val="clear" w:color="auto" w:fill="FFFF00"/>
          </w:tcPr>
          <w:p w14:paraId="4CA24F14" w14:textId="77777777" w:rsidR="0087601C" w:rsidRPr="006A1EC7" w:rsidRDefault="0087601C" w:rsidP="00D56051">
            <w:pPr>
              <w:rPr>
                <w:sz w:val="13"/>
                <w:szCs w:val="13"/>
              </w:rPr>
            </w:pPr>
            <w:r w:rsidRPr="006A1EC7">
              <w:rPr>
                <w:sz w:val="13"/>
                <w:szCs w:val="13"/>
              </w:rPr>
              <w:t>3</w:t>
            </w:r>
          </w:p>
        </w:tc>
        <w:tc>
          <w:tcPr>
            <w:tcW w:w="475" w:type="dxa"/>
            <w:shd w:val="clear" w:color="auto" w:fill="FFFF00"/>
          </w:tcPr>
          <w:p w14:paraId="09C098B2" w14:textId="77777777" w:rsidR="0087601C" w:rsidRPr="006A1EC7" w:rsidRDefault="0087601C" w:rsidP="00D56051">
            <w:pPr>
              <w:rPr>
                <w:sz w:val="13"/>
                <w:szCs w:val="13"/>
              </w:rPr>
            </w:pPr>
            <w:r w:rsidRPr="006A1EC7">
              <w:rPr>
                <w:sz w:val="13"/>
                <w:szCs w:val="13"/>
              </w:rPr>
              <w:t>2</w:t>
            </w:r>
          </w:p>
        </w:tc>
        <w:tc>
          <w:tcPr>
            <w:tcW w:w="472" w:type="dxa"/>
          </w:tcPr>
          <w:p w14:paraId="3CAEA3C1"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12CCFAB5"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5CBAB231" w14:textId="77777777" w:rsidR="0087601C" w:rsidRPr="006A1EC7" w:rsidRDefault="0087601C" w:rsidP="00D56051">
            <w:pPr>
              <w:rPr>
                <w:sz w:val="13"/>
                <w:szCs w:val="13"/>
              </w:rPr>
            </w:pPr>
            <w:r w:rsidRPr="006A1EC7">
              <w:rPr>
                <w:sz w:val="13"/>
                <w:szCs w:val="13"/>
              </w:rPr>
              <w:t>2</w:t>
            </w:r>
          </w:p>
        </w:tc>
        <w:tc>
          <w:tcPr>
            <w:tcW w:w="454" w:type="dxa"/>
          </w:tcPr>
          <w:p w14:paraId="0152E3BC"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3F76648" w14:textId="77777777" w:rsidR="0087601C" w:rsidRPr="006A1EC7" w:rsidRDefault="0087601C" w:rsidP="00D56051">
            <w:pPr>
              <w:rPr>
                <w:sz w:val="13"/>
                <w:szCs w:val="13"/>
              </w:rPr>
            </w:pPr>
            <w:r w:rsidRPr="006A1EC7">
              <w:rPr>
                <w:sz w:val="13"/>
                <w:szCs w:val="13"/>
              </w:rPr>
              <w:t>3</w:t>
            </w:r>
          </w:p>
        </w:tc>
        <w:tc>
          <w:tcPr>
            <w:tcW w:w="460" w:type="dxa"/>
            <w:shd w:val="clear" w:color="auto" w:fill="FFFF00"/>
          </w:tcPr>
          <w:p w14:paraId="251BC0D6" w14:textId="77777777" w:rsidR="0087601C" w:rsidRPr="006A1EC7" w:rsidRDefault="0087601C" w:rsidP="00D56051">
            <w:pPr>
              <w:rPr>
                <w:sz w:val="13"/>
                <w:szCs w:val="13"/>
              </w:rPr>
            </w:pPr>
            <w:r w:rsidRPr="006A1EC7">
              <w:rPr>
                <w:sz w:val="13"/>
                <w:szCs w:val="13"/>
              </w:rPr>
              <w:t>3</w:t>
            </w:r>
          </w:p>
        </w:tc>
        <w:tc>
          <w:tcPr>
            <w:tcW w:w="403" w:type="dxa"/>
            <w:shd w:val="clear" w:color="auto" w:fill="auto"/>
          </w:tcPr>
          <w:p w14:paraId="34C1872B"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F6B43A6"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510F3F00" w14:textId="77777777" w:rsidR="0087601C" w:rsidRPr="006A1EC7" w:rsidRDefault="0087601C" w:rsidP="00D56051">
            <w:pPr>
              <w:rPr>
                <w:sz w:val="13"/>
                <w:szCs w:val="13"/>
              </w:rPr>
            </w:pPr>
            <w:r w:rsidRPr="006A1EC7">
              <w:rPr>
                <w:sz w:val="13"/>
                <w:szCs w:val="13"/>
              </w:rPr>
              <w:t>2</w:t>
            </w:r>
          </w:p>
        </w:tc>
        <w:tc>
          <w:tcPr>
            <w:tcW w:w="403" w:type="dxa"/>
          </w:tcPr>
          <w:p w14:paraId="50F0BB0A"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E4458E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F129F4E" w14:textId="77777777" w:rsidR="0087601C" w:rsidRPr="006A1EC7" w:rsidRDefault="0087601C" w:rsidP="00D56051">
            <w:pPr>
              <w:rPr>
                <w:sz w:val="13"/>
                <w:szCs w:val="13"/>
              </w:rPr>
            </w:pPr>
            <w:r w:rsidRPr="006A1EC7">
              <w:rPr>
                <w:sz w:val="13"/>
                <w:szCs w:val="13"/>
              </w:rPr>
              <w:t>1</w:t>
            </w:r>
          </w:p>
        </w:tc>
        <w:tc>
          <w:tcPr>
            <w:tcW w:w="403" w:type="dxa"/>
          </w:tcPr>
          <w:p w14:paraId="68765EE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024CA5F"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3E74664B" w14:textId="77777777" w:rsidR="0087601C" w:rsidRPr="006A1EC7" w:rsidRDefault="0087601C" w:rsidP="00D56051">
            <w:pPr>
              <w:rPr>
                <w:sz w:val="13"/>
                <w:szCs w:val="13"/>
              </w:rPr>
            </w:pPr>
            <w:r w:rsidRPr="006A1EC7">
              <w:rPr>
                <w:sz w:val="13"/>
                <w:szCs w:val="13"/>
              </w:rPr>
              <w:t>1</w:t>
            </w:r>
          </w:p>
        </w:tc>
        <w:tc>
          <w:tcPr>
            <w:tcW w:w="403" w:type="dxa"/>
          </w:tcPr>
          <w:p w14:paraId="1285258A"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8FDCDE4"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5BD0647D" w14:textId="77777777" w:rsidR="0087601C" w:rsidRPr="006A1EC7" w:rsidRDefault="0087601C" w:rsidP="00D56051">
            <w:pPr>
              <w:rPr>
                <w:sz w:val="13"/>
                <w:szCs w:val="13"/>
              </w:rPr>
            </w:pPr>
            <w:r w:rsidRPr="006A1EC7">
              <w:rPr>
                <w:sz w:val="13"/>
                <w:szCs w:val="13"/>
              </w:rPr>
              <w:t>2</w:t>
            </w:r>
          </w:p>
        </w:tc>
        <w:tc>
          <w:tcPr>
            <w:tcW w:w="403" w:type="dxa"/>
          </w:tcPr>
          <w:p w14:paraId="64AC063F"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36787BE0" w14:textId="77777777" w:rsidR="0087601C" w:rsidRPr="006A1EC7" w:rsidRDefault="0087601C" w:rsidP="00D56051">
            <w:pPr>
              <w:rPr>
                <w:sz w:val="13"/>
                <w:szCs w:val="13"/>
              </w:rPr>
            </w:pPr>
            <w:r w:rsidRPr="006A1EC7">
              <w:rPr>
                <w:sz w:val="13"/>
                <w:szCs w:val="13"/>
              </w:rPr>
              <w:t>2</w:t>
            </w:r>
          </w:p>
        </w:tc>
        <w:tc>
          <w:tcPr>
            <w:tcW w:w="478" w:type="dxa"/>
            <w:shd w:val="clear" w:color="auto" w:fill="FFFF00"/>
          </w:tcPr>
          <w:p w14:paraId="473503CF" w14:textId="77777777" w:rsidR="0087601C" w:rsidRPr="006A1EC7" w:rsidRDefault="0087601C" w:rsidP="00D56051">
            <w:pPr>
              <w:rPr>
                <w:sz w:val="13"/>
                <w:szCs w:val="13"/>
              </w:rPr>
            </w:pPr>
            <w:r w:rsidRPr="006A1EC7">
              <w:rPr>
                <w:sz w:val="13"/>
                <w:szCs w:val="13"/>
              </w:rPr>
              <w:t>3</w:t>
            </w:r>
          </w:p>
        </w:tc>
        <w:tc>
          <w:tcPr>
            <w:tcW w:w="403" w:type="dxa"/>
          </w:tcPr>
          <w:p w14:paraId="57E00852"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48AC0FC0" w14:textId="77777777" w:rsidR="0087601C" w:rsidRPr="006A1EC7" w:rsidRDefault="0087601C" w:rsidP="00D56051">
            <w:pPr>
              <w:rPr>
                <w:sz w:val="13"/>
                <w:szCs w:val="13"/>
              </w:rPr>
            </w:pPr>
            <w:r w:rsidRPr="006A1EC7">
              <w:rPr>
                <w:sz w:val="13"/>
                <w:szCs w:val="13"/>
              </w:rPr>
              <w:t>2/8</w:t>
            </w:r>
          </w:p>
        </w:tc>
        <w:tc>
          <w:tcPr>
            <w:tcW w:w="403" w:type="dxa"/>
            <w:shd w:val="clear" w:color="auto" w:fill="auto"/>
          </w:tcPr>
          <w:p w14:paraId="0BE50A0D" w14:textId="77777777" w:rsidR="0087601C" w:rsidRPr="006A1EC7" w:rsidRDefault="0087601C" w:rsidP="00D56051">
            <w:pPr>
              <w:rPr>
                <w:sz w:val="13"/>
                <w:szCs w:val="13"/>
              </w:rPr>
            </w:pPr>
            <w:r w:rsidRPr="006A1EC7">
              <w:rPr>
                <w:sz w:val="13"/>
                <w:szCs w:val="13"/>
              </w:rPr>
              <w:t>25</w:t>
            </w:r>
          </w:p>
        </w:tc>
      </w:tr>
      <w:tr w:rsidR="0087601C" w:rsidRPr="006A1EC7" w14:paraId="53FF3D06" w14:textId="77777777" w:rsidTr="00D56051">
        <w:tc>
          <w:tcPr>
            <w:tcW w:w="636" w:type="dxa"/>
          </w:tcPr>
          <w:p w14:paraId="01B778E7" w14:textId="77777777" w:rsidR="0087601C" w:rsidRPr="006A1EC7" w:rsidRDefault="0087601C" w:rsidP="00D56051">
            <w:pPr>
              <w:rPr>
                <w:sz w:val="13"/>
                <w:szCs w:val="13"/>
              </w:rPr>
            </w:pPr>
            <w:r w:rsidRPr="006A1EC7">
              <w:rPr>
                <w:sz w:val="13"/>
                <w:szCs w:val="13"/>
              </w:rPr>
              <w:t>EPY</w:t>
            </w:r>
          </w:p>
        </w:tc>
        <w:tc>
          <w:tcPr>
            <w:tcW w:w="475" w:type="dxa"/>
            <w:shd w:val="clear" w:color="auto" w:fill="FFFF00"/>
          </w:tcPr>
          <w:p w14:paraId="76A5D982" w14:textId="77777777" w:rsidR="0087601C" w:rsidRPr="006A1EC7" w:rsidRDefault="0087601C" w:rsidP="00D56051">
            <w:pPr>
              <w:rPr>
                <w:sz w:val="13"/>
                <w:szCs w:val="13"/>
              </w:rPr>
            </w:pPr>
            <w:r w:rsidRPr="006A1EC7">
              <w:rPr>
                <w:sz w:val="13"/>
                <w:szCs w:val="13"/>
              </w:rPr>
              <w:t>0</w:t>
            </w:r>
          </w:p>
        </w:tc>
        <w:tc>
          <w:tcPr>
            <w:tcW w:w="475" w:type="dxa"/>
            <w:shd w:val="clear" w:color="auto" w:fill="FFFF00"/>
          </w:tcPr>
          <w:p w14:paraId="539634C8" w14:textId="77777777" w:rsidR="0087601C" w:rsidRPr="006A1EC7" w:rsidRDefault="0087601C" w:rsidP="00D56051">
            <w:pPr>
              <w:rPr>
                <w:sz w:val="13"/>
                <w:szCs w:val="13"/>
              </w:rPr>
            </w:pPr>
            <w:r w:rsidRPr="006A1EC7">
              <w:rPr>
                <w:sz w:val="13"/>
                <w:szCs w:val="13"/>
              </w:rPr>
              <w:t>0</w:t>
            </w:r>
          </w:p>
        </w:tc>
        <w:tc>
          <w:tcPr>
            <w:tcW w:w="472" w:type="dxa"/>
          </w:tcPr>
          <w:p w14:paraId="4473C46F"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28439FC1"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5548941" w14:textId="77777777" w:rsidR="0087601C" w:rsidRPr="006A1EC7" w:rsidRDefault="0087601C" w:rsidP="00D56051">
            <w:pPr>
              <w:rPr>
                <w:sz w:val="13"/>
                <w:szCs w:val="13"/>
              </w:rPr>
            </w:pPr>
            <w:r w:rsidRPr="006A1EC7">
              <w:rPr>
                <w:sz w:val="13"/>
                <w:szCs w:val="13"/>
              </w:rPr>
              <w:t>0</w:t>
            </w:r>
          </w:p>
        </w:tc>
        <w:tc>
          <w:tcPr>
            <w:tcW w:w="454" w:type="dxa"/>
          </w:tcPr>
          <w:p w14:paraId="572249C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975E003"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1A1FC92E"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5075A760"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4CA2FA85"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371A8B2" w14:textId="77777777" w:rsidR="0087601C" w:rsidRPr="006A1EC7" w:rsidRDefault="0087601C" w:rsidP="00D56051">
            <w:pPr>
              <w:rPr>
                <w:sz w:val="13"/>
                <w:szCs w:val="13"/>
              </w:rPr>
            </w:pPr>
            <w:r w:rsidRPr="006A1EC7">
              <w:rPr>
                <w:sz w:val="13"/>
                <w:szCs w:val="13"/>
              </w:rPr>
              <w:t>0</w:t>
            </w:r>
          </w:p>
        </w:tc>
        <w:tc>
          <w:tcPr>
            <w:tcW w:w="403" w:type="dxa"/>
          </w:tcPr>
          <w:p w14:paraId="5A61691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60A5D11"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6A145B8" w14:textId="77777777" w:rsidR="0087601C" w:rsidRPr="006A1EC7" w:rsidRDefault="0087601C" w:rsidP="00D56051">
            <w:pPr>
              <w:rPr>
                <w:sz w:val="13"/>
                <w:szCs w:val="13"/>
              </w:rPr>
            </w:pPr>
            <w:r w:rsidRPr="006A1EC7">
              <w:rPr>
                <w:sz w:val="13"/>
                <w:szCs w:val="13"/>
              </w:rPr>
              <w:t>0</w:t>
            </w:r>
          </w:p>
        </w:tc>
        <w:tc>
          <w:tcPr>
            <w:tcW w:w="403" w:type="dxa"/>
          </w:tcPr>
          <w:p w14:paraId="63FC76F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76BBFE2"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BAD341E" w14:textId="77777777" w:rsidR="0087601C" w:rsidRPr="006A1EC7" w:rsidRDefault="0087601C" w:rsidP="00D56051">
            <w:pPr>
              <w:rPr>
                <w:sz w:val="13"/>
                <w:szCs w:val="13"/>
              </w:rPr>
            </w:pPr>
            <w:r w:rsidRPr="006A1EC7">
              <w:rPr>
                <w:sz w:val="13"/>
                <w:szCs w:val="13"/>
              </w:rPr>
              <w:t>0</w:t>
            </w:r>
          </w:p>
        </w:tc>
        <w:tc>
          <w:tcPr>
            <w:tcW w:w="403" w:type="dxa"/>
          </w:tcPr>
          <w:p w14:paraId="2EB535C5"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8DC9C5B"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42674E70" w14:textId="77777777" w:rsidR="0087601C" w:rsidRPr="006A1EC7" w:rsidRDefault="0087601C" w:rsidP="00D56051">
            <w:pPr>
              <w:rPr>
                <w:sz w:val="13"/>
                <w:szCs w:val="13"/>
              </w:rPr>
            </w:pPr>
            <w:r w:rsidRPr="006A1EC7">
              <w:rPr>
                <w:sz w:val="13"/>
                <w:szCs w:val="13"/>
              </w:rPr>
              <w:t>0</w:t>
            </w:r>
          </w:p>
        </w:tc>
        <w:tc>
          <w:tcPr>
            <w:tcW w:w="403" w:type="dxa"/>
          </w:tcPr>
          <w:p w14:paraId="1038F070"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736CB2AE"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2C0FADAE" w14:textId="77777777" w:rsidR="0087601C" w:rsidRPr="006A1EC7" w:rsidRDefault="0087601C" w:rsidP="00D56051">
            <w:pPr>
              <w:rPr>
                <w:sz w:val="13"/>
                <w:szCs w:val="13"/>
              </w:rPr>
            </w:pPr>
            <w:r w:rsidRPr="006A1EC7">
              <w:rPr>
                <w:sz w:val="13"/>
                <w:szCs w:val="13"/>
              </w:rPr>
              <w:t>0</w:t>
            </w:r>
          </w:p>
        </w:tc>
        <w:tc>
          <w:tcPr>
            <w:tcW w:w="403" w:type="dxa"/>
          </w:tcPr>
          <w:p w14:paraId="7086B869"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7B5D89EE" w14:textId="77777777" w:rsidR="0087601C" w:rsidRPr="006A1EC7" w:rsidRDefault="0087601C" w:rsidP="00D56051">
            <w:pPr>
              <w:rPr>
                <w:sz w:val="13"/>
                <w:szCs w:val="13"/>
              </w:rPr>
            </w:pPr>
            <w:r w:rsidRPr="006A1EC7">
              <w:rPr>
                <w:sz w:val="13"/>
                <w:szCs w:val="13"/>
              </w:rPr>
              <w:t>8/8</w:t>
            </w:r>
          </w:p>
        </w:tc>
        <w:tc>
          <w:tcPr>
            <w:tcW w:w="403" w:type="dxa"/>
            <w:shd w:val="clear" w:color="auto" w:fill="auto"/>
          </w:tcPr>
          <w:p w14:paraId="4E815DFB" w14:textId="77777777" w:rsidR="0087601C" w:rsidRPr="006A1EC7" w:rsidRDefault="0087601C" w:rsidP="00D56051">
            <w:pPr>
              <w:rPr>
                <w:sz w:val="13"/>
                <w:szCs w:val="13"/>
              </w:rPr>
            </w:pPr>
            <w:r w:rsidRPr="006A1EC7">
              <w:rPr>
                <w:sz w:val="13"/>
                <w:szCs w:val="13"/>
              </w:rPr>
              <w:t>100</w:t>
            </w:r>
          </w:p>
        </w:tc>
      </w:tr>
      <w:tr w:rsidR="0087601C" w:rsidRPr="006A1EC7" w14:paraId="35C5AF25" w14:textId="77777777" w:rsidTr="00D56051">
        <w:tc>
          <w:tcPr>
            <w:tcW w:w="636" w:type="dxa"/>
          </w:tcPr>
          <w:p w14:paraId="01D4FD07" w14:textId="77777777" w:rsidR="0087601C" w:rsidRPr="006A1EC7" w:rsidRDefault="0087601C" w:rsidP="00D56051">
            <w:pPr>
              <w:rPr>
                <w:sz w:val="13"/>
                <w:szCs w:val="13"/>
              </w:rPr>
            </w:pPr>
            <w:r w:rsidRPr="006A1EC7">
              <w:rPr>
                <w:sz w:val="13"/>
                <w:szCs w:val="13"/>
              </w:rPr>
              <w:t>GST</w:t>
            </w:r>
          </w:p>
        </w:tc>
        <w:tc>
          <w:tcPr>
            <w:tcW w:w="475" w:type="dxa"/>
            <w:shd w:val="clear" w:color="auto" w:fill="FFFF00"/>
          </w:tcPr>
          <w:p w14:paraId="62FBB3F5" w14:textId="77777777" w:rsidR="0087601C" w:rsidRPr="006A1EC7" w:rsidRDefault="0087601C" w:rsidP="00D56051">
            <w:pPr>
              <w:rPr>
                <w:sz w:val="13"/>
                <w:szCs w:val="13"/>
              </w:rPr>
            </w:pPr>
            <w:r w:rsidRPr="006A1EC7">
              <w:rPr>
                <w:sz w:val="13"/>
                <w:szCs w:val="13"/>
              </w:rPr>
              <w:t>6</w:t>
            </w:r>
          </w:p>
        </w:tc>
        <w:tc>
          <w:tcPr>
            <w:tcW w:w="475" w:type="dxa"/>
            <w:shd w:val="clear" w:color="auto" w:fill="FFFF00"/>
          </w:tcPr>
          <w:p w14:paraId="6D33A39B" w14:textId="77777777" w:rsidR="0087601C" w:rsidRPr="006A1EC7" w:rsidRDefault="0087601C" w:rsidP="00D56051">
            <w:pPr>
              <w:rPr>
                <w:sz w:val="13"/>
                <w:szCs w:val="13"/>
              </w:rPr>
            </w:pPr>
            <w:r w:rsidRPr="006A1EC7">
              <w:rPr>
                <w:sz w:val="13"/>
                <w:szCs w:val="13"/>
              </w:rPr>
              <w:t>6</w:t>
            </w:r>
          </w:p>
        </w:tc>
        <w:tc>
          <w:tcPr>
            <w:tcW w:w="472" w:type="dxa"/>
          </w:tcPr>
          <w:p w14:paraId="71186DD6"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513AA6BF"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521BDEE7" w14:textId="77777777" w:rsidR="0087601C" w:rsidRPr="006A1EC7" w:rsidRDefault="0087601C" w:rsidP="00D56051">
            <w:pPr>
              <w:rPr>
                <w:sz w:val="13"/>
                <w:szCs w:val="13"/>
              </w:rPr>
            </w:pPr>
            <w:r w:rsidRPr="006A1EC7">
              <w:rPr>
                <w:sz w:val="13"/>
                <w:szCs w:val="13"/>
              </w:rPr>
              <w:t>2</w:t>
            </w:r>
          </w:p>
        </w:tc>
        <w:tc>
          <w:tcPr>
            <w:tcW w:w="454" w:type="dxa"/>
          </w:tcPr>
          <w:p w14:paraId="124324E1"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4EA80DD" w14:textId="77777777" w:rsidR="0087601C" w:rsidRPr="006A1EC7" w:rsidRDefault="0087601C" w:rsidP="00D56051">
            <w:pPr>
              <w:rPr>
                <w:sz w:val="13"/>
                <w:szCs w:val="13"/>
              </w:rPr>
            </w:pPr>
            <w:r w:rsidRPr="006A1EC7">
              <w:rPr>
                <w:sz w:val="13"/>
                <w:szCs w:val="13"/>
              </w:rPr>
              <w:t>4</w:t>
            </w:r>
          </w:p>
        </w:tc>
        <w:tc>
          <w:tcPr>
            <w:tcW w:w="460" w:type="dxa"/>
            <w:shd w:val="clear" w:color="auto" w:fill="FFFF00"/>
          </w:tcPr>
          <w:p w14:paraId="235E6FCF" w14:textId="77777777" w:rsidR="0087601C" w:rsidRPr="006A1EC7" w:rsidRDefault="0087601C" w:rsidP="00D56051">
            <w:pPr>
              <w:rPr>
                <w:sz w:val="13"/>
                <w:szCs w:val="13"/>
              </w:rPr>
            </w:pPr>
            <w:r w:rsidRPr="006A1EC7">
              <w:rPr>
                <w:sz w:val="13"/>
                <w:szCs w:val="13"/>
              </w:rPr>
              <w:t>3</w:t>
            </w:r>
          </w:p>
        </w:tc>
        <w:tc>
          <w:tcPr>
            <w:tcW w:w="403" w:type="dxa"/>
            <w:shd w:val="clear" w:color="auto" w:fill="auto"/>
          </w:tcPr>
          <w:p w14:paraId="78F423A6"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49089423" w14:textId="77777777" w:rsidR="0087601C" w:rsidRPr="006A1EC7" w:rsidRDefault="0087601C" w:rsidP="00D56051">
            <w:pPr>
              <w:rPr>
                <w:sz w:val="13"/>
                <w:szCs w:val="13"/>
              </w:rPr>
            </w:pPr>
            <w:r w:rsidRPr="006A1EC7">
              <w:rPr>
                <w:sz w:val="13"/>
                <w:szCs w:val="13"/>
              </w:rPr>
              <w:t>8</w:t>
            </w:r>
          </w:p>
        </w:tc>
        <w:tc>
          <w:tcPr>
            <w:tcW w:w="477" w:type="dxa"/>
            <w:shd w:val="clear" w:color="auto" w:fill="FFFF00"/>
          </w:tcPr>
          <w:p w14:paraId="6927CDDE" w14:textId="77777777" w:rsidR="0087601C" w:rsidRPr="006A1EC7" w:rsidRDefault="0087601C" w:rsidP="00D56051">
            <w:pPr>
              <w:rPr>
                <w:sz w:val="13"/>
                <w:szCs w:val="13"/>
              </w:rPr>
            </w:pPr>
            <w:r w:rsidRPr="006A1EC7">
              <w:rPr>
                <w:sz w:val="13"/>
                <w:szCs w:val="13"/>
              </w:rPr>
              <w:t>7</w:t>
            </w:r>
          </w:p>
        </w:tc>
        <w:tc>
          <w:tcPr>
            <w:tcW w:w="403" w:type="dxa"/>
          </w:tcPr>
          <w:p w14:paraId="37119E9B"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9FE7BCC" w14:textId="77777777" w:rsidR="0087601C" w:rsidRPr="006A1EC7" w:rsidRDefault="0087601C" w:rsidP="00D56051">
            <w:pPr>
              <w:rPr>
                <w:sz w:val="13"/>
                <w:szCs w:val="13"/>
              </w:rPr>
            </w:pPr>
            <w:r w:rsidRPr="006A1EC7">
              <w:rPr>
                <w:sz w:val="13"/>
                <w:szCs w:val="13"/>
              </w:rPr>
              <w:t>6</w:t>
            </w:r>
          </w:p>
        </w:tc>
        <w:tc>
          <w:tcPr>
            <w:tcW w:w="477" w:type="dxa"/>
            <w:shd w:val="clear" w:color="auto" w:fill="FFFF00"/>
          </w:tcPr>
          <w:p w14:paraId="72E012A1" w14:textId="77777777" w:rsidR="0087601C" w:rsidRPr="006A1EC7" w:rsidRDefault="0087601C" w:rsidP="00D56051">
            <w:pPr>
              <w:rPr>
                <w:sz w:val="13"/>
                <w:szCs w:val="13"/>
              </w:rPr>
            </w:pPr>
            <w:r w:rsidRPr="006A1EC7">
              <w:rPr>
                <w:sz w:val="13"/>
                <w:szCs w:val="13"/>
              </w:rPr>
              <w:t>5</w:t>
            </w:r>
          </w:p>
        </w:tc>
        <w:tc>
          <w:tcPr>
            <w:tcW w:w="403" w:type="dxa"/>
          </w:tcPr>
          <w:p w14:paraId="19379C4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57432E2"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55D0B3B5" w14:textId="77777777" w:rsidR="0087601C" w:rsidRPr="006A1EC7" w:rsidRDefault="0087601C" w:rsidP="00D56051">
            <w:pPr>
              <w:rPr>
                <w:sz w:val="13"/>
                <w:szCs w:val="13"/>
              </w:rPr>
            </w:pPr>
            <w:r w:rsidRPr="006A1EC7">
              <w:rPr>
                <w:sz w:val="13"/>
                <w:szCs w:val="13"/>
              </w:rPr>
              <w:t>5</w:t>
            </w:r>
          </w:p>
        </w:tc>
        <w:tc>
          <w:tcPr>
            <w:tcW w:w="403" w:type="dxa"/>
          </w:tcPr>
          <w:p w14:paraId="428B1C04"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DBEA98E"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467BA033" w14:textId="77777777" w:rsidR="0087601C" w:rsidRPr="006A1EC7" w:rsidRDefault="0087601C" w:rsidP="00D56051">
            <w:pPr>
              <w:rPr>
                <w:sz w:val="13"/>
                <w:szCs w:val="13"/>
              </w:rPr>
            </w:pPr>
            <w:r w:rsidRPr="006A1EC7">
              <w:rPr>
                <w:sz w:val="13"/>
                <w:szCs w:val="13"/>
              </w:rPr>
              <w:t>6</w:t>
            </w:r>
          </w:p>
        </w:tc>
        <w:tc>
          <w:tcPr>
            <w:tcW w:w="403" w:type="dxa"/>
          </w:tcPr>
          <w:p w14:paraId="0FBDA8DC"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7A03BBB6"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7C45335E" w14:textId="77777777" w:rsidR="0087601C" w:rsidRPr="006A1EC7" w:rsidRDefault="0087601C" w:rsidP="00D56051">
            <w:pPr>
              <w:rPr>
                <w:sz w:val="13"/>
                <w:szCs w:val="13"/>
              </w:rPr>
            </w:pPr>
            <w:r w:rsidRPr="006A1EC7">
              <w:rPr>
                <w:sz w:val="13"/>
                <w:szCs w:val="13"/>
              </w:rPr>
              <w:t>5</w:t>
            </w:r>
          </w:p>
        </w:tc>
        <w:tc>
          <w:tcPr>
            <w:tcW w:w="403" w:type="dxa"/>
          </w:tcPr>
          <w:p w14:paraId="05D09FE7"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2F93130C" w14:textId="77777777" w:rsidR="0087601C" w:rsidRPr="006A1EC7" w:rsidRDefault="0087601C" w:rsidP="00D56051">
            <w:pPr>
              <w:rPr>
                <w:sz w:val="13"/>
                <w:szCs w:val="13"/>
              </w:rPr>
            </w:pPr>
            <w:r w:rsidRPr="006A1EC7">
              <w:rPr>
                <w:sz w:val="13"/>
                <w:szCs w:val="13"/>
              </w:rPr>
              <w:t>2/8</w:t>
            </w:r>
          </w:p>
        </w:tc>
        <w:tc>
          <w:tcPr>
            <w:tcW w:w="403" w:type="dxa"/>
            <w:shd w:val="clear" w:color="auto" w:fill="auto"/>
          </w:tcPr>
          <w:p w14:paraId="384E7AB1" w14:textId="77777777" w:rsidR="0087601C" w:rsidRPr="006A1EC7" w:rsidRDefault="0087601C" w:rsidP="00D56051">
            <w:pPr>
              <w:rPr>
                <w:sz w:val="13"/>
                <w:szCs w:val="13"/>
              </w:rPr>
            </w:pPr>
            <w:r w:rsidRPr="006A1EC7">
              <w:rPr>
                <w:sz w:val="13"/>
                <w:szCs w:val="13"/>
              </w:rPr>
              <w:t>25</w:t>
            </w:r>
          </w:p>
        </w:tc>
      </w:tr>
      <w:tr w:rsidR="0087601C" w:rsidRPr="006A1EC7" w14:paraId="36B5CF72" w14:textId="77777777" w:rsidTr="00D56051">
        <w:tc>
          <w:tcPr>
            <w:tcW w:w="636" w:type="dxa"/>
          </w:tcPr>
          <w:p w14:paraId="7BDCE5EB" w14:textId="77777777" w:rsidR="0087601C" w:rsidRPr="006A1EC7" w:rsidRDefault="0087601C" w:rsidP="00D56051">
            <w:pPr>
              <w:rPr>
                <w:sz w:val="13"/>
                <w:szCs w:val="13"/>
              </w:rPr>
            </w:pPr>
            <w:r w:rsidRPr="006A1EC7">
              <w:rPr>
                <w:sz w:val="13"/>
                <w:szCs w:val="13"/>
              </w:rPr>
              <w:t>CRS</w:t>
            </w:r>
          </w:p>
        </w:tc>
        <w:tc>
          <w:tcPr>
            <w:tcW w:w="475" w:type="dxa"/>
            <w:shd w:val="clear" w:color="auto" w:fill="FFFF00"/>
          </w:tcPr>
          <w:p w14:paraId="646D7383" w14:textId="77777777" w:rsidR="0087601C" w:rsidRPr="006A1EC7" w:rsidRDefault="0087601C" w:rsidP="00D56051">
            <w:pPr>
              <w:rPr>
                <w:sz w:val="13"/>
                <w:szCs w:val="13"/>
              </w:rPr>
            </w:pPr>
            <w:r w:rsidRPr="006A1EC7">
              <w:rPr>
                <w:sz w:val="13"/>
                <w:szCs w:val="13"/>
              </w:rPr>
              <w:t>4</w:t>
            </w:r>
          </w:p>
        </w:tc>
        <w:tc>
          <w:tcPr>
            <w:tcW w:w="475" w:type="dxa"/>
            <w:shd w:val="clear" w:color="auto" w:fill="FFFF00"/>
          </w:tcPr>
          <w:p w14:paraId="55F54E44" w14:textId="77777777" w:rsidR="0087601C" w:rsidRPr="006A1EC7" w:rsidRDefault="0087601C" w:rsidP="00D56051">
            <w:pPr>
              <w:rPr>
                <w:sz w:val="13"/>
                <w:szCs w:val="13"/>
              </w:rPr>
            </w:pPr>
            <w:r w:rsidRPr="006A1EC7">
              <w:rPr>
                <w:sz w:val="13"/>
                <w:szCs w:val="13"/>
              </w:rPr>
              <w:t>4</w:t>
            </w:r>
          </w:p>
        </w:tc>
        <w:tc>
          <w:tcPr>
            <w:tcW w:w="472" w:type="dxa"/>
          </w:tcPr>
          <w:p w14:paraId="3EC87333"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2AF845F8" w14:textId="77777777" w:rsidR="0087601C" w:rsidRPr="006A1EC7" w:rsidRDefault="0087601C" w:rsidP="00D56051">
            <w:pPr>
              <w:rPr>
                <w:sz w:val="13"/>
                <w:szCs w:val="13"/>
              </w:rPr>
            </w:pPr>
            <w:r w:rsidRPr="006A1EC7">
              <w:rPr>
                <w:sz w:val="13"/>
                <w:szCs w:val="13"/>
              </w:rPr>
              <w:t>4</w:t>
            </w:r>
          </w:p>
        </w:tc>
        <w:tc>
          <w:tcPr>
            <w:tcW w:w="476" w:type="dxa"/>
            <w:shd w:val="clear" w:color="auto" w:fill="FFFF00"/>
          </w:tcPr>
          <w:p w14:paraId="11A0F7CA" w14:textId="77777777" w:rsidR="0087601C" w:rsidRPr="006A1EC7" w:rsidRDefault="0087601C" w:rsidP="00D56051">
            <w:pPr>
              <w:rPr>
                <w:sz w:val="13"/>
                <w:szCs w:val="13"/>
              </w:rPr>
            </w:pPr>
            <w:r w:rsidRPr="006A1EC7">
              <w:rPr>
                <w:sz w:val="13"/>
                <w:szCs w:val="13"/>
              </w:rPr>
              <w:t>4</w:t>
            </w:r>
          </w:p>
        </w:tc>
        <w:tc>
          <w:tcPr>
            <w:tcW w:w="454" w:type="dxa"/>
          </w:tcPr>
          <w:p w14:paraId="674EB8C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214880F" w14:textId="77777777" w:rsidR="0087601C" w:rsidRPr="006A1EC7" w:rsidRDefault="0087601C" w:rsidP="00D56051">
            <w:pPr>
              <w:rPr>
                <w:sz w:val="13"/>
                <w:szCs w:val="13"/>
              </w:rPr>
            </w:pPr>
            <w:r w:rsidRPr="006A1EC7">
              <w:rPr>
                <w:sz w:val="13"/>
                <w:szCs w:val="13"/>
              </w:rPr>
              <w:t>5</w:t>
            </w:r>
          </w:p>
        </w:tc>
        <w:tc>
          <w:tcPr>
            <w:tcW w:w="460" w:type="dxa"/>
            <w:shd w:val="clear" w:color="auto" w:fill="FFFF00"/>
          </w:tcPr>
          <w:p w14:paraId="78B47D64" w14:textId="77777777" w:rsidR="0087601C" w:rsidRPr="006A1EC7" w:rsidRDefault="0087601C" w:rsidP="00D56051">
            <w:pPr>
              <w:rPr>
                <w:sz w:val="13"/>
                <w:szCs w:val="13"/>
              </w:rPr>
            </w:pPr>
            <w:r w:rsidRPr="006A1EC7">
              <w:rPr>
                <w:sz w:val="13"/>
                <w:szCs w:val="13"/>
              </w:rPr>
              <w:t>6</w:t>
            </w:r>
          </w:p>
        </w:tc>
        <w:tc>
          <w:tcPr>
            <w:tcW w:w="403" w:type="dxa"/>
            <w:shd w:val="clear" w:color="auto" w:fill="auto"/>
          </w:tcPr>
          <w:p w14:paraId="3F3B4C48"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60EA2FCF"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1339073F" w14:textId="77777777" w:rsidR="0087601C" w:rsidRPr="006A1EC7" w:rsidRDefault="0087601C" w:rsidP="00D56051">
            <w:pPr>
              <w:rPr>
                <w:sz w:val="13"/>
                <w:szCs w:val="13"/>
              </w:rPr>
            </w:pPr>
            <w:r w:rsidRPr="006A1EC7">
              <w:rPr>
                <w:sz w:val="13"/>
                <w:szCs w:val="13"/>
              </w:rPr>
              <w:t>5</w:t>
            </w:r>
          </w:p>
        </w:tc>
        <w:tc>
          <w:tcPr>
            <w:tcW w:w="403" w:type="dxa"/>
          </w:tcPr>
          <w:p w14:paraId="0DD7B6B5"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78907C9"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4EFC6F2E" w14:textId="77777777" w:rsidR="0087601C" w:rsidRPr="006A1EC7" w:rsidRDefault="0087601C" w:rsidP="00D56051">
            <w:pPr>
              <w:rPr>
                <w:sz w:val="13"/>
                <w:szCs w:val="13"/>
              </w:rPr>
            </w:pPr>
            <w:r w:rsidRPr="006A1EC7">
              <w:rPr>
                <w:sz w:val="13"/>
                <w:szCs w:val="13"/>
              </w:rPr>
              <w:t>5</w:t>
            </w:r>
          </w:p>
        </w:tc>
        <w:tc>
          <w:tcPr>
            <w:tcW w:w="403" w:type="dxa"/>
          </w:tcPr>
          <w:p w14:paraId="4542044A"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0AB56CA"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182D36F0" w14:textId="77777777" w:rsidR="0087601C" w:rsidRPr="006A1EC7" w:rsidRDefault="0087601C" w:rsidP="00D56051">
            <w:pPr>
              <w:rPr>
                <w:sz w:val="13"/>
                <w:szCs w:val="13"/>
              </w:rPr>
            </w:pPr>
            <w:r w:rsidRPr="006A1EC7">
              <w:rPr>
                <w:sz w:val="13"/>
                <w:szCs w:val="13"/>
              </w:rPr>
              <w:t>4</w:t>
            </w:r>
          </w:p>
        </w:tc>
        <w:tc>
          <w:tcPr>
            <w:tcW w:w="403" w:type="dxa"/>
          </w:tcPr>
          <w:p w14:paraId="19A14778"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B3F757F"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2C8B7E1A" w14:textId="77777777" w:rsidR="0087601C" w:rsidRPr="006A1EC7" w:rsidRDefault="0087601C" w:rsidP="00D56051">
            <w:pPr>
              <w:rPr>
                <w:sz w:val="13"/>
                <w:szCs w:val="13"/>
              </w:rPr>
            </w:pPr>
            <w:r w:rsidRPr="006A1EC7">
              <w:rPr>
                <w:sz w:val="13"/>
                <w:szCs w:val="13"/>
              </w:rPr>
              <w:t>5</w:t>
            </w:r>
          </w:p>
        </w:tc>
        <w:tc>
          <w:tcPr>
            <w:tcW w:w="403" w:type="dxa"/>
          </w:tcPr>
          <w:p w14:paraId="7E7173AC"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616F9195"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1030E3F6" w14:textId="77777777" w:rsidR="0087601C" w:rsidRPr="006A1EC7" w:rsidRDefault="0087601C" w:rsidP="00D56051">
            <w:pPr>
              <w:rPr>
                <w:sz w:val="13"/>
                <w:szCs w:val="13"/>
              </w:rPr>
            </w:pPr>
            <w:r w:rsidRPr="006A1EC7">
              <w:rPr>
                <w:sz w:val="13"/>
                <w:szCs w:val="13"/>
              </w:rPr>
              <w:t>3</w:t>
            </w:r>
          </w:p>
        </w:tc>
        <w:tc>
          <w:tcPr>
            <w:tcW w:w="403" w:type="dxa"/>
          </w:tcPr>
          <w:p w14:paraId="3EA61E3F"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05E3347A" w14:textId="77777777" w:rsidR="0087601C" w:rsidRPr="006A1EC7" w:rsidRDefault="0087601C" w:rsidP="00D56051">
            <w:pPr>
              <w:rPr>
                <w:sz w:val="13"/>
                <w:szCs w:val="13"/>
              </w:rPr>
            </w:pPr>
            <w:r w:rsidRPr="006A1EC7">
              <w:rPr>
                <w:sz w:val="13"/>
                <w:szCs w:val="13"/>
              </w:rPr>
              <w:t>3/8</w:t>
            </w:r>
          </w:p>
        </w:tc>
        <w:tc>
          <w:tcPr>
            <w:tcW w:w="403" w:type="dxa"/>
            <w:shd w:val="clear" w:color="auto" w:fill="auto"/>
          </w:tcPr>
          <w:p w14:paraId="7860DAC6" w14:textId="77777777" w:rsidR="0087601C" w:rsidRPr="006A1EC7" w:rsidRDefault="0087601C" w:rsidP="00D56051">
            <w:pPr>
              <w:rPr>
                <w:sz w:val="13"/>
                <w:szCs w:val="13"/>
              </w:rPr>
            </w:pPr>
            <w:r w:rsidRPr="006A1EC7">
              <w:rPr>
                <w:sz w:val="13"/>
                <w:szCs w:val="13"/>
              </w:rPr>
              <w:t>38</w:t>
            </w:r>
          </w:p>
        </w:tc>
      </w:tr>
      <w:tr w:rsidR="0087601C" w:rsidRPr="006A1EC7" w14:paraId="4600C6C4" w14:textId="77777777" w:rsidTr="00D56051">
        <w:tc>
          <w:tcPr>
            <w:tcW w:w="636" w:type="dxa"/>
          </w:tcPr>
          <w:p w14:paraId="77E42971" w14:textId="77777777" w:rsidR="0087601C" w:rsidRPr="006A1EC7" w:rsidRDefault="0087601C" w:rsidP="00D56051">
            <w:pPr>
              <w:rPr>
                <w:sz w:val="13"/>
                <w:szCs w:val="13"/>
              </w:rPr>
            </w:pPr>
            <w:r w:rsidRPr="006A1EC7">
              <w:rPr>
                <w:sz w:val="13"/>
                <w:szCs w:val="13"/>
              </w:rPr>
              <w:lastRenderedPageBreak/>
              <w:t>CNS</w:t>
            </w:r>
          </w:p>
        </w:tc>
        <w:tc>
          <w:tcPr>
            <w:tcW w:w="475" w:type="dxa"/>
            <w:shd w:val="clear" w:color="auto" w:fill="FFFF00"/>
          </w:tcPr>
          <w:p w14:paraId="0716DCE0" w14:textId="77777777" w:rsidR="0087601C" w:rsidRPr="006A1EC7" w:rsidRDefault="0087601C" w:rsidP="00D56051">
            <w:pPr>
              <w:rPr>
                <w:sz w:val="13"/>
                <w:szCs w:val="13"/>
              </w:rPr>
            </w:pPr>
            <w:r w:rsidRPr="006A1EC7">
              <w:rPr>
                <w:sz w:val="13"/>
                <w:szCs w:val="13"/>
              </w:rPr>
              <w:t>4</w:t>
            </w:r>
          </w:p>
        </w:tc>
        <w:tc>
          <w:tcPr>
            <w:tcW w:w="475" w:type="dxa"/>
            <w:shd w:val="clear" w:color="auto" w:fill="FFFF00"/>
          </w:tcPr>
          <w:p w14:paraId="13242491" w14:textId="77777777" w:rsidR="0087601C" w:rsidRPr="006A1EC7" w:rsidRDefault="0087601C" w:rsidP="00D56051">
            <w:pPr>
              <w:rPr>
                <w:sz w:val="13"/>
                <w:szCs w:val="13"/>
              </w:rPr>
            </w:pPr>
            <w:r w:rsidRPr="006A1EC7">
              <w:rPr>
                <w:sz w:val="13"/>
                <w:szCs w:val="13"/>
              </w:rPr>
              <w:t>3</w:t>
            </w:r>
          </w:p>
        </w:tc>
        <w:tc>
          <w:tcPr>
            <w:tcW w:w="472" w:type="dxa"/>
          </w:tcPr>
          <w:p w14:paraId="6C9B8213"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24DA03F9" w14:textId="77777777" w:rsidR="0087601C" w:rsidRPr="006A1EC7" w:rsidRDefault="0087601C" w:rsidP="00D56051">
            <w:pPr>
              <w:rPr>
                <w:sz w:val="13"/>
                <w:szCs w:val="13"/>
              </w:rPr>
            </w:pPr>
            <w:r w:rsidRPr="006A1EC7">
              <w:rPr>
                <w:sz w:val="13"/>
                <w:szCs w:val="13"/>
              </w:rPr>
              <w:t>4</w:t>
            </w:r>
          </w:p>
        </w:tc>
        <w:tc>
          <w:tcPr>
            <w:tcW w:w="476" w:type="dxa"/>
            <w:shd w:val="clear" w:color="auto" w:fill="FFFF00"/>
          </w:tcPr>
          <w:p w14:paraId="5AD71EAE" w14:textId="77777777" w:rsidR="0087601C" w:rsidRPr="006A1EC7" w:rsidRDefault="0087601C" w:rsidP="00D56051">
            <w:pPr>
              <w:rPr>
                <w:sz w:val="13"/>
                <w:szCs w:val="13"/>
              </w:rPr>
            </w:pPr>
            <w:r w:rsidRPr="006A1EC7">
              <w:rPr>
                <w:sz w:val="13"/>
                <w:szCs w:val="13"/>
              </w:rPr>
              <w:t>4</w:t>
            </w:r>
          </w:p>
        </w:tc>
        <w:tc>
          <w:tcPr>
            <w:tcW w:w="454" w:type="dxa"/>
          </w:tcPr>
          <w:p w14:paraId="09C0CE09"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4ACD40F" w14:textId="77777777" w:rsidR="0087601C" w:rsidRPr="006A1EC7" w:rsidRDefault="0087601C" w:rsidP="00D56051">
            <w:pPr>
              <w:rPr>
                <w:sz w:val="13"/>
                <w:szCs w:val="13"/>
              </w:rPr>
            </w:pPr>
            <w:r w:rsidRPr="006A1EC7">
              <w:rPr>
                <w:sz w:val="13"/>
                <w:szCs w:val="13"/>
              </w:rPr>
              <w:t>7</w:t>
            </w:r>
          </w:p>
        </w:tc>
        <w:tc>
          <w:tcPr>
            <w:tcW w:w="460" w:type="dxa"/>
            <w:shd w:val="clear" w:color="auto" w:fill="FFFF00"/>
          </w:tcPr>
          <w:p w14:paraId="35502468" w14:textId="77777777" w:rsidR="0087601C" w:rsidRPr="006A1EC7" w:rsidRDefault="0087601C" w:rsidP="00D56051">
            <w:pPr>
              <w:rPr>
                <w:sz w:val="13"/>
                <w:szCs w:val="13"/>
              </w:rPr>
            </w:pPr>
            <w:r w:rsidRPr="006A1EC7">
              <w:rPr>
                <w:sz w:val="13"/>
                <w:szCs w:val="13"/>
              </w:rPr>
              <w:t>5</w:t>
            </w:r>
          </w:p>
        </w:tc>
        <w:tc>
          <w:tcPr>
            <w:tcW w:w="403" w:type="dxa"/>
            <w:shd w:val="clear" w:color="auto" w:fill="auto"/>
          </w:tcPr>
          <w:p w14:paraId="5E918544"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0FB27997"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4CEF614F" w14:textId="77777777" w:rsidR="0087601C" w:rsidRPr="006A1EC7" w:rsidRDefault="0087601C" w:rsidP="00D56051">
            <w:pPr>
              <w:rPr>
                <w:sz w:val="13"/>
                <w:szCs w:val="13"/>
              </w:rPr>
            </w:pPr>
            <w:r w:rsidRPr="006A1EC7">
              <w:rPr>
                <w:sz w:val="13"/>
                <w:szCs w:val="13"/>
              </w:rPr>
              <w:t>5</w:t>
            </w:r>
          </w:p>
        </w:tc>
        <w:tc>
          <w:tcPr>
            <w:tcW w:w="403" w:type="dxa"/>
          </w:tcPr>
          <w:p w14:paraId="1674EA2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E483EA0"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54975325" w14:textId="77777777" w:rsidR="0087601C" w:rsidRPr="006A1EC7" w:rsidRDefault="0087601C" w:rsidP="00D56051">
            <w:pPr>
              <w:rPr>
                <w:sz w:val="13"/>
                <w:szCs w:val="13"/>
              </w:rPr>
            </w:pPr>
            <w:r w:rsidRPr="006A1EC7">
              <w:rPr>
                <w:sz w:val="13"/>
                <w:szCs w:val="13"/>
              </w:rPr>
              <w:t>5</w:t>
            </w:r>
          </w:p>
        </w:tc>
        <w:tc>
          <w:tcPr>
            <w:tcW w:w="403" w:type="dxa"/>
          </w:tcPr>
          <w:p w14:paraId="4C5D962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D56E6C2"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49DF72F9" w14:textId="77777777" w:rsidR="0087601C" w:rsidRPr="006A1EC7" w:rsidRDefault="0087601C" w:rsidP="00D56051">
            <w:pPr>
              <w:rPr>
                <w:sz w:val="13"/>
                <w:szCs w:val="13"/>
              </w:rPr>
            </w:pPr>
            <w:r w:rsidRPr="006A1EC7">
              <w:rPr>
                <w:sz w:val="13"/>
                <w:szCs w:val="13"/>
              </w:rPr>
              <w:t>1</w:t>
            </w:r>
          </w:p>
        </w:tc>
        <w:tc>
          <w:tcPr>
            <w:tcW w:w="403" w:type="dxa"/>
          </w:tcPr>
          <w:p w14:paraId="1C4A93C6"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413DA2F"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38A63350" w14:textId="77777777" w:rsidR="0087601C" w:rsidRPr="006A1EC7" w:rsidRDefault="0087601C" w:rsidP="00D56051">
            <w:pPr>
              <w:rPr>
                <w:sz w:val="13"/>
                <w:szCs w:val="13"/>
              </w:rPr>
            </w:pPr>
            <w:r w:rsidRPr="006A1EC7">
              <w:rPr>
                <w:sz w:val="13"/>
                <w:szCs w:val="13"/>
              </w:rPr>
              <w:t>5</w:t>
            </w:r>
          </w:p>
        </w:tc>
        <w:tc>
          <w:tcPr>
            <w:tcW w:w="403" w:type="dxa"/>
          </w:tcPr>
          <w:p w14:paraId="5B0B4FD0"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5C01D0E7" w14:textId="77777777" w:rsidR="0087601C" w:rsidRPr="006A1EC7" w:rsidRDefault="0087601C" w:rsidP="00D56051">
            <w:pPr>
              <w:rPr>
                <w:sz w:val="13"/>
                <w:szCs w:val="13"/>
              </w:rPr>
            </w:pPr>
            <w:r w:rsidRPr="006A1EC7">
              <w:rPr>
                <w:sz w:val="13"/>
                <w:szCs w:val="13"/>
              </w:rPr>
              <w:t>4</w:t>
            </w:r>
          </w:p>
        </w:tc>
        <w:tc>
          <w:tcPr>
            <w:tcW w:w="478" w:type="dxa"/>
            <w:shd w:val="clear" w:color="auto" w:fill="FFFF00"/>
          </w:tcPr>
          <w:p w14:paraId="4CB80ECD" w14:textId="77777777" w:rsidR="0087601C" w:rsidRPr="006A1EC7" w:rsidRDefault="0087601C" w:rsidP="00D56051">
            <w:pPr>
              <w:rPr>
                <w:sz w:val="13"/>
                <w:szCs w:val="13"/>
              </w:rPr>
            </w:pPr>
            <w:r w:rsidRPr="006A1EC7">
              <w:rPr>
                <w:sz w:val="13"/>
                <w:szCs w:val="13"/>
              </w:rPr>
              <w:t>5</w:t>
            </w:r>
          </w:p>
        </w:tc>
        <w:tc>
          <w:tcPr>
            <w:tcW w:w="403" w:type="dxa"/>
          </w:tcPr>
          <w:p w14:paraId="4C1CA2FE"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01A5BFEC" w14:textId="77777777" w:rsidR="0087601C" w:rsidRPr="006A1EC7" w:rsidRDefault="0087601C" w:rsidP="00D56051">
            <w:pPr>
              <w:rPr>
                <w:sz w:val="13"/>
                <w:szCs w:val="13"/>
              </w:rPr>
            </w:pPr>
            <w:r w:rsidRPr="006A1EC7">
              <w:rPr>
                <w:sz w:val="13"/>
                <w:szCs w:val="13"/>
              </w:rPr>
              <w:t>4/8</w:t>
            </w:r>
          </w:p>
        </w:tc>
        <w:tc>
          <w:tcPr>
            <w:tcW w:w="403" w:type="dxa"/>
            <w:shd w:val="clear" w:color="auto" w:fill="auto"/>
          </w:tcPr>
          <w:p w14:paraId="4EC06573" w14:textId="77777777" w:rsidR="0087601C" w:rsidRPr="006A1EC7" w:rsidRDefault="0087601C" w:rsidP="00D56051">
            <w:pPr>
              <w:rPr>
                <w:sz w:val="13"/>
                <w:szCs w:val="13"/>
              </w:rPr>
            </w:pPr>
            <w:r w:rsidRPr="006A1EC7">
              <w:rPr>
                <w:sz w:val="13"/>
                <w:szCs w:val="13"/>
              </w:rPr>
              <w:t>50</w:t>
            </w:r>
          </w:p>
        </w:tc>
      </w:tr>
      <w:tr w:rsidR="0087601C" w:rsidRPr="006A1EC7" w14:paraId="14B4C4CE" w14:textId="77777777" w:rsidTr="00D56051">
        <w:tc>
          <w:tcPr>
            <w:tcW w:w="636" w:type="dxa"/>
          </w:tcPr>
          <w:p w14:paraId="26D63847" w14:textId="77777777" w:rsidR="0087601C" w:rsidRPr="006A1EC7" w:rsidRDefault="0087601C" w:rsidP="00D56051">
            <w:pPr>
              <w:rPr>
                <w:sz w:val="13"/>
                <w:szCs w:val="13"/>
              </w:rPr>
            </w:pPr>
            <w:r w:rsidRPr="006A1EC7">
              <w:rPr>
                <w:sz w:val="13"/>
                <w:szCs w:val="13"/>
              </w:rPr>
              <w:t>FUC</w:t>
            </w:r>
          </w:p>
        </w:tc>
        <w:tc>
          <w:tcPr>
            <w:tcW w:w="475" w:type="dxa"/>
            <w:shd w:val="clear" w:color="auto" w:fill="FFFF00"/>
          </w:tcPr>
          <w:p w14:paraId="0339C4ED" w14:textId="77777777" w:rsidR="0087601C" w:rsidRPr="006A1EC7" w:rsidRDefault="0087601C" w:rsidP="00D56051">
            <w:pPr>
              <w:rPr>
                <w:sz w:val="13"/>
                <w:szCs w:val="13"/>
              </w:rPr>
            </w:pPr>
            <w:r w:rsidRPr="006A1EC7">
              <w:rPr>
                <w:sz w:val="13"/>
                <w:szCs w:val="13"/>
              </w:rPr>
              <w:t>3</w:t>
            </w:r>
          </w:p>
        </w:tc>
        <w:tc>
          <w:tcPr>
            <w:tcW w:w="475" w:type="dxa"/>
            <w:shd w:val="clear" w:color="auto" w:fill="FFFF00"/>
          </w:tcPr>
          <w:p w14:paraId="5A44765D" w14:textId="77777777" w:rsidR="0087601C" w:rsidRPr="006A1EC7" w:rsidRDefault="0087601C" w:rsidP="00D56051">
            <w:pPr>
              <w:rPr>
                <w:sz w:val="13"/>
                <w:szCs w:val="13"/>
              </w:rPr>
            </w:pPr>
            <w:r w:rsidRPr="006A1EC7">
              <w:rPr>
                <w:sz w:val="13"/>
                <w:szCs w:val="13"/>
              </w:rPr>
              <w:t>4</w:t>
            </w:r>
          </w:p>
        </w:tc>
        <w:tc>
          <w:tcPr>
            <w:tcW w:w="472" w:type="dxa"/>
          </w:tcPr>
          <w:p w14:paraId="0F7DA575"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6241318C" w14:textId="77777777" w:rsidR="0087601C" w:rsidRPr="006A1EC7" w:rsidRDefault="0087601C" w:rsidP="00D56051">
            <w:pPr>
              <w:rPr>
                <w:sz w:val="13"/>
                <w:szCs w:val="13"/>
              </w:rPr>
            </w:pPr>
            <w:r w:rsidRPr="006A1EC7">
              <w:rPr>
                <w:sz w:val="13"/>
                <w:szCs w:val="13"/>
              </w:rPr>
              <w:t>5</w:t>
            </w:r>
          </w:p>
        </w:tc>
        <w:tc>
          <w:tcPr>
            <w:tcW w:w="476" w:type="dxa"/>
            <w:shd w:val="clear" w:color="auto" w:fill="FFFF00"/>
          </w:tcPr>
          <w:p w14:paraId="7A16C2F7" w14:textId="77777777" w:rsidR="0087601C" w:rsidRPr="006A1EC7" w:rsidRDefault="0087601C" w:rsidP="00D56051">
            <w:pPr>
              <w:rPr>
                <w:sz w:val="13"/>
                <w:szCs w:val="13"/>
              </w:rPr>
            </w:pPr>
            <w:r w:rsidRPr="006A1EC7">
              <w:rPr>
                <w:sz w:val="13"/>
                <w:szCs w:val="13"/>
              </w:rPr>
              <w:t>5</w:t>
            </w:r>
          </w:p>
        </w:tc>
        <w:tc>
          <w:tcPr>
            <w:tcW w:w="454" w:type="dxa"/>
          </w:tcPr>
          <w:p w14:paraId="5642684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CA75105" w14:textId="77777777" w:rsidR="0087601C" w:rsidRPr="006A1EC7" w:rsidRDefault="0087601C" w:rsidP="00D56051">
            <w:pPr>
              <w:rPr>
                <w:sz w:val="13"/>
                <w:szCs w:val="13"/>
              </w:rPr>
            </w:pPr>
            <w:r w:rsidRPr="006A1EC7">
              <w:rPr>
                <w:sz w:val="13"/>
                <w:szCs w:val="13"/>
              </w:rPr>
              <w:t>5</w:t>
            </w:r>
          </w:p>
        </w:tc>
        <w:tc>
          <w:tcPr>
            <w:tcW w:w="460" w:type="dxa"/>
            <w:shd w:val="clear" w:color="auto" w:fill="FFFF00"/>
          </w:tcPr>
          <w:p w14:paraId="49DC15DE" w14:textId="77777777" w:rsidR="0087601C" w:rsidRPr="006A1EC7" w:rsidRDefault="0087601C" w:rsidP="00D56051">
            <w:pPr>
              <w:rPr>
                <w:sz w:val="13"/>
                <w:szCs w:val="13"/>
              </w:rPr>
            </w:pPr>
            <w:r w:rsidRPr="006A1EC7">
              <w:rPr>
                <w:sz w:val="13"/>
                <w:szCs w:val="13"/>
              </w:rPr>
              <w:t>4</w:t>
            </w:r>
          </w:p>
        </w:tc>
        <w:tc>
          <w:tcPr>
            <w:tcW w:w="403" w:type="dxa"/>
            <w:shd w:val="clear" w:color="auto" w:fill="auto"/>
          </w:tcPr>
          <w:p w14:paraId="1B3FB274"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75ADC695"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26A8360B" w14:textId="77777777" w:rsidR="0087601C" w:rsidRPr="006A1EC7" w:rsidRDefault="0087601C" w:rsidP="00D56051">
            <w:pPr>
              <w:rPr>
                <w:sz w:val="13"/>
                <w:szCs w:val="13"/>
              </w:rPr>
            </w:pPr>
            <w:r w:rsidRPr="006A1EC7">
              <w:rPr>
                <w:sz w:val="13"/>
                <w:szCs w:val="13"/>
              </w:rPr>
              <w:t>5</w:t>
            </w:r>
          </w:p>
        </w:tc>
        <w:tc>
          <w:tcPr>
            <w:tcW w:w="403" w:type="dxa"/>
          </w:tcPr>
          <w:p w14:paraId="1E2E1DD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A3B6C69"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04BAF7E7" w14:textId="77777777" w:rsidR="0087601C" w:rsidRPr="006A1EC7" w:rsidRDefault="0087601C" w:rsidP="00D56051">
            <w:pPr>
              <w:rPr>
                <w:sz w:val="13"/>
                <w:szCs w:val="13"/>
              </w:rPr>
            </w:pPr>
            <w:r w:rsidRPr="006A1EC7">
              <w:rPr>
                <w:sz w:val="13"/>
                <w:szCs w:val="13"/>
              </w:rPr>
              <w:t>3</w:t>
            </w:r>
          </w:p>
        </w:tc>
        <w:tc>
          <w:tcPr>
            <w:tcW w:w="403" w:type="dxa"/>
          </w:tcPr>
          <w:p w14:paraId="13C500C8"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7BBC46A"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496ABC1F" w14:textId="77777777" w:rsidR="0087601C" w:rsidRPr="006A1EC7" w:rsidRDefault="0087601C" w:rsidP="00D56051">
            <w:pPr>
              <w:rPr>
                <w:sz w:val="13"/>
                <w:szCs w:val="13"/>
              </w:rPr>
            </w:pPr>
            <w:r w:rsidRPr="006A1EC7">
              <w:rPr>
                <w:sz w:val="13"/>
                <w:szCs w:val="13"/>
              </w:rPr>
              <w:t>0</w:t>
            </w:r>
          </w:p>
        </w:tc>
        <w:tc>
          <w:tcPr>
            <w:tcW w:w="403" w:type="dxa"/>
          </w:tcPr>
          <w:p w14:paraId="1EBFD225"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FEDA9F6"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1B9E1803" w14:textId="77777777" w:rsidR="0087601C" w:rsidRPr="006A1EC7" w:rsidRDefault="0087601C" w:rsidP="00D56051">
            <w:pPr>
              <w:rPr>
                <w:sz w:val="13"/>
                <w:szCs w:val="13"/>
              </w:rPr>
            </w:pPr>
            <w:r w:rsidRPr="006A1EC7">
              <w:rPr>
                <w:sz w:val="13"/>
                <w:szCs w:val="13"/>
              </w:rPr>
              <w:t>5</w:t>
            </w:r>
          </w:p>
        </w:tc>
        <w:tc>
          <w:tcPr>
            <w:tcW w:w="403" w:type="dxa"/>
          </w:tcPr>
          <w:p w14:paraId="1B0BF62C"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34EFA99C"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694AA547" w14:textId="77777777" w:rsidR="0087601C" w:rsidRPr="006A1EC7" w:rsidRDefault="0087601C" w:rsidP="00D56051">
            <w:pPr>
              <w:rPr>
                <w:sz w:val="13"/>
                <w:szCs w:val="13"/>
              </w:rPr>
            </w:pPr>
            <w:r w:rsidRPr="006A1EC7">
              <w:rPr>
                <w:sz w:val="13"/>
                <w:szCs w:val="13"/>
              </w:rPr>
              <w:t>1</w:t>
            </w:r>
          </w:p>
        </w:tc>
        <w:tc>
          <w:tcPr>
            <w:tcW w:w="403" w:type="dxa"/>
          </w:tcPr>
          <w:p w14:paraId="6FB38C4D"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561A5B4F" w14:textId="77777777" w:rsidR="0087601C" w:rsidRPr="006A1EC7" w:rsidRDefault="0087601C" w:rsidP="00D56051">
            <w:pPr>
              <w:rPr>
                <w:sz w:val="13"/>
                <w:szCs w:val="13"/>
              </w:rPr>
            </w:pPr>
            <w:r w:rsidRPr="006A1EC7">
              <w:rPr>
                <w:sz w:val="13"/>
                <w:szCs w:val="13"/>
              </w:rPr>
              <w:t>2/8</w:t>
            </w:r>
          </w:p>
        </w:tc>
        <w:tc>
          <w:tcPr>
            <w:tcW w:w="403" w:type="dxa"/>
            <w:shd w:val="clear" w:color="auto" w:fill="auto"/>
          </w:tcPr>
          <w:p w14:paraId="4C2DD0EC" w14:textId="77777777" w:rsidR="0087601C" w:rsidRPr="006A1EC7" w:rsidRDefault="0087601C" w:rsidP="00D56051">
            <w:pPr>
              <w:rPr>
                <w:sz w:val="13"/>
                <w:szCs w:val="13"/>
              </w:rPr>
            </w:pPr>
            <w:r w:rsidRPr="006A1EC7">
              <w:rPr>
                <w:sz w:val="13"/>
                <w:szCs w:val="13"/>
              </w:rPr>
              <w:t>25</w:t>
            </w:r>
          </w:p>
        </w:tc>
      </w:tr>
      <w:tr w:rsidR="0087601C" w:rsidRPr="006A1EC7" w14:paraId="24C51AD3" w14:textId="77777777" w:rsidTr="00D56051">
        <w:tc>
          <w:tcPr>
            <w:tcW w:w="636" w:type="dxa"/>
          </w:tcPr>
          <w:p w14:paraId="75EEC8DB" w14:textId="77777777" w:rsidR="0087601C" w:rsidRPr="006A1EC7" w:rsidRDefault="0087601C" w:rsidP="00D56051">
            <w:pPr>
              <w:rPr>
                <w:sz w:val="13"/>
                <w:szCs w:val="13"/>
              </w:rPr>
            </w:pPr>
            <w:r w:rsidRPr="006A1EC7">
              <w:rPr>
                <w:sz w:val="13"/>
                <w:szCs w:val="13"/>
              </w:rPr>
              <w:t>IMU</w:t>
            </w:r>
          </w:p>
        </w:tc>
        <w:tc>
          <w:tcPr>
            <w:tcW w:w="475" w:type="dxa"/>
            <w:shd w:val="clear" w:color="auto" w:fill="FFFF00"/>
          </w:tcPr>
          <w:p w14:paraId="649C7856" w14:textId="77777777" w:rsidR="0087601C" w:rsidRPr="006A1EC7" w:rsidRDefault="0087601C" w:rsidP="00D56051">
            <w:pPr>
              <w:rPr>
                <w:sz w:val="13"/>
                <w:szCs w:val="13"/>
              </w:rPr>
            </w:pPr>
            <w:r w:rsidRPr="006A1EC7">
              <w:rPr>
                <w:sz w:val="13"/>
                <w:szCs w:val="13"/>
              </w:rPr>
              <w:t>5</w:t>
            </w:r>
          </w:p>
        </w:tc>
        <w:tc>
          <w:tcPr>
            <w:tcW w:w="475" w:type="dxa"/>
            <w:shd w:val="clear" w:color="auto" w:fill="FFFF00"/>
          </w:tcPr>
          <w:p w14:paraId="61C161F8" w14:textId="77777777" w:rsidR="0087601C" w:rsidRPr="006A1EC7" w:rsidRDefault="0087601C" w:rsidP="00D56051">
            <w:pPr>
              <w:rPr>
                <w:sz w:val="13"/>
                <w:szCs w:val="13"/>
              </w:rPr>
            </w:pPr>
            <w:r w:rsidRPr="006A1EC7">
              <w:rPr>
                <w:sz w:val="13"/>
                <w:szCs w:val="13"/>
              </w:rPr>
              <w:t>5</w:t>
            </w:r>
          </w:p>
        </w:tc>
        <w:tc>
          <w:tcPr>
            <w:tcW w:w="472" w:type="dxa"/>
          </w:tcPr>
          <w:p w14:paraId="52D8420E"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4D6B008E" w14:textId="77777777" w:rsidR="0087601C" w:rsidRPr="006A1EC7" w:rsidRDefault="0087601C" w:rsidP="00D56051">
            <w:pPr>
              <w:rPr>
                <w:sz w:val="13"/>
                <w:szCs w:val="13"/>
              </w:rPr>
            </w:pPr>
            <w:r w:rsidRPr="006A1EC7">
              <w:rPr>
                <w:sz w:val="13"/>
                <w:szCs w:val="13"/>
              </w:rPr>
              <w:t>5</w:t>
            </w:r>
          </w:p>
        </w:tc>
        <w:tc>
          <w:tcPr>
            <w:tcW w:w="476" w:type="dxa"/>
            <w:shd w:val="clear" w:color="auto" w:fill="FFFF00"/>
          </w:tcPr>
          <w:p w14:paraId="1D012FE3" w14:textId="77777777" w:rsidR="0087601C" w:rsidRPr="006A1EC7" w:rsidRDefault="0087601C" w:rsidP="00D56051">
            <w:pPr>
              <w:rPr>
                <w:sz w:val="13"/>
                <w:szCs w:val="13"/>
              </w:rPr>
            </w:pPr>
            <w:r w:rsidRPr="006A1EC7">
              <w:rPr>
                <w:sz w:val="13"/>
                <w:szCs w:val="13"/>
              </w:rPr>
              <w:t>5</w:t>
            </w:r>
          </w:p>
        </w:tc>
        <w:tc>
          <w:tcPr>
            <w:tcW w:w="454" w:type="dxa"/>
          </w:tcPr>
          <w:p w14:paraId="5196EB4F"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5CE195B" w14:textId="77777777" w:rsidR="0087601C" w:rsidRPr="006A1EC7" w:rsidRDefault="0087601C" w:rsidP="00D56051">
            <w:pPr>
              <w:rPr>
                <w:sz w:val="13"/>
                <w:szCs w:val="13"/>
              </w:rPr>
            </w:pPr>
            <w:r w:rsidRPr="006A1EC7">
              <w:rPr>
                <w:sz w:val="13"/>
                <w:szCs w:val="13"/>
              </w:rPr>
              <w:t>5</w:t>
            </w:r>
          </w:p>
        </w:tc>
        <w:tc>
          <w:tcPr>
            <w:tcW w:w="460" w:type="dxa"/>
            <w:shd w:val="clear" w:color="auto" w:fill="FFFF00"/>
          </w:tcPr>
          <w:p w14:paraId="6EAF81DC" w14:textId="77777777" w:rsidR="0087601C" w:rsidRPr="006A1EC7" w:rsidRDefault="0087601C" w:rsidP="00D56051">
            <w:pPr>
              <w:rPr>
                <w:sz w:val="13"/>
                <w:szCs w:val="13"/>
              </w:rPr>
            </w:pPr>
            <w:r w:rsidRPr="006A1EC7">
              <w:rPr>
                <w:sz w:val="13"/>
                <w:szCs w:val="13"/>
              </w:rPr>
              <w:t>5</w:t>
            </w:r>
          </w:p>
        </w:tc>
        <w:tc>
          <w:tcPr>
            <w:tcW w:w="403" w:type="dxa"/>
            <w:shd w:val="clear" w:color="auto" w:fill="auto"/>
          </w:tcPr>
          <w:p w14:paraId="5E15D1E7"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062263DD"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705DB9B3" w14:textId="77777777" w:rsidR="0087601C" w:rsidRPr="006A1EC7" w:rsidRDefault="0087601C" w:rsidP="00D56051">
            <w:pPr>
              <w:rPr>
                <w:sz w:val="13"/>
                <w:szCs w:val="13"/>
              </w:rPr>
            </w:pPr>
            <w:r w:rsidRPr="006A1EC7">
              <w:rPr>
                <w:sz w:val="13"/>
                <w:szCs w:val="13"/>
              </w:rPr>
              <w:t>0</w:t>
            </w:r>
          </w:p>
        </w:tc>
        <w:tc>
          <w:tcPr>
            <w:tcW w:w="403" w:type="dxa"/>
          </w:tcPr>
          <w:p w14:paraId="56A9EC81"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4FE30108"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52AB6686" w14:textId="77777777" w:rsidR="0087601C" w:rsidRPr="006A1EC7" w:rsidRDefault="0087601C" w:rsidP="00D56051">
            <w:pPr>
              <w:rPr>
                <w:sz w:val="13"/>
                <w:szCs w:val="13"/>
              </w:rPr>
            </w:pPr>
            <w:r w:rsidRPr="006A1EC7">
              <w:rPr>
                <w:sz w:val="13"/>
                <w:szCs w:val="13"/>
              </w:rPr>
              <w:t>0</w:t>
            </w:r>
          </w:p>
        </w:tc>
        <w:tc>
          <w:tcPr>
            <w:tcW w:w="403" w:type="dxa"/>
          </w:tcPr>
          <w:p w14:paraId="1488FB9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629CD8A"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6CBF0B9C" w14:textId="77777777" w:rsidR="0087601C" w:rsidRPr="006A1EC7" w:rsidRDefault="0087601C" w:rsidP="00D56051">
            <w:pPr>
              <w:rPr>
                <w:sz w:val="13"/>
                <w:szCs w:val="13"/>
              </w:rPr>
            </w:pPr>
            <w:r w:rsidRPr="006A1EC7">
              <w:rPr>
                <w:sz w:val="13"/>
                <w:szCs w:val="13"/>
              </w:rPr>
              <w:t>5</w:t>
            </w:r>
          </w:p>
        </w:tc>
        <w:tc>
          <w:tcPr>
            <w:tcW w:w="403" w:type="dxa"/>
          </w:tcPr>
          <w:p w14:paraId="782D4FC3"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D59E1D9"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7C3A4554" w14:textId="77777777" w:rsidR="0087601C" w:rsidRPr="006A1EC7" w:rsidRDefault="0087601C" w:rsidP="00D56051">
            <w:pPr>
              <w:rPr>
                <w:sz w:val="13"/>
                <w:szCs w:val="13"/>
              </w:rPr>
            </w:pPr>
            <w:r w:rsidRPr="006A1EC7">
              <w:rPr>
                <w:sz w:val="13"/>
                <w:szCs w:val="13"/>
              </w:rPr>
              <w:t>3</w:t>
            </w:r>
          </w:p>
        </w:tc>
        <w:tc>
          <w:tcPr>
            <w:tcW w:w="403" w:type="dxa"/>
          </w:tcPr>
          <w:p w14:paraId="62829F53"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48271E13"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1FB9A076" w14:textId="77777777" w:rsidR="0087601C" w:rsidRPr="006A1EC7" w:rsidRDefault="0087601C" w:rsidP="00D56051">
            <w:pPr>
              <w:rPr>
                <w:sz w:val="13"/>
                <w:szCs w:val="13"/>
              </w:rPr>
            </w:pPr>
            <w:r w:rsidRPr="006A1EC7">
              <w:rPr>
                <w:sz w:val="13"/>
                <w:szCs w:val="13"/>
              </w:rPr>
              <w:t>0</w:t>
            </w:r>
          </w:p>
        </w:tc>
        <w:tc>
          <w:tcPr>
            <w:tcW w:w="403" w:type="dxa"/>
          </w:tcPr>
          <w:p w14:paraId="2F4D9560"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4E685ACB" w14:textId="77777777" w:rsidR="0087601C" w:rsidRPr="006A1EC7" w:rsidRDefault="0087601C" w:rsidP="00D56051">
            <w:pPr>
              <w:rPr>
                <w:sz w:val="13"/>
                <w:szCs w:val="13"/>
              </w:rPr>
            </w:pPr>
            <w:r w:rsidRPr="006A1EC7">
              <w:rPr>
                <w:sz w:val="13"/>
                <w:szCs w:val="13"/>
              </w:rPr>
              <w:t>5/8</w:t>
            </w:r>
          </w:p>
        </w:tc>
        <w:tc>
          <w:tcPr>
            <w:tcW w:w="403" w:type="dxa"/>
            <w:shd w:val="clear" w:color="auto" w:fill="auto"/>
          </w:tcPr>
          <w:p w14:paraId="146FEC33" w14:textId="77777777" w:rsidR="0087601C" w:rsidRPr="006A1EC7" w:rsidRDefault="0087601C" w:rsidP="00D56051">
            <w:pPr>
              <w:rPr>
                <w:sz w:val="13"/>
                <w:szCs w:val="13"/>
              </w:rPr>
            </w:pPr>
            <w:r w:rsidRPr="006A1EC7">
              <w:rPr>
                <w:sz w:val="13"/>
                <w:szCs w:val="13"/>
              </w:rPr>
              <w:t>63</w:t>
            </w:r>
          </w:p>
        </w:tc>
      </w:tr>
      <w:tr w:rsidR="0087601C" w:rsidRPr="006A1EC7" w14:paraId="06BCFA14" w14:textId="77777777" w:rsidTr="00D56051">
        <w:tc>
          <w:tcPr>
            <w:tcW w:w="636" w:type="dxa"/>
          </w:tcPr>
          <w:p w14:paraId="38A2D044" w14:textId="77777777" w:rsidR="0087601C" w:rsidRPr="006A1EC7" w:rsidRDefault="0087601C" w:rsidP="00D56051">
            <w:pPr>
              <w:rPr>
                <w:sz w:val="13"/>
                <w:szCs w:val="13"/>
              </w:rPr>
            </w:pPr>
            <w:r w:rsidRPr="006A1EC7">
              <w:rPr>
                <w:sz w:val="13"/>
                <w:szCs w:val="13"/>
              </w:rPr>
              <w:t>SLP</w:t>
            </w:r>
          </w:p>
        </w:tc>
        <w:tc>
          <w:tcPr>
            <w:tcW w:w="475" w:type="dxa"/>
            <w:shd w:val="clear" w:color="auto" w:fill="FFFF00"/>
          </w:tcPr>
          <w:p w14:paraId="591CA2B5" w14:textId="77777777" w:rsidR="0087601C" w:rsidRPr="006A1EC7" w:rsidRDefault="0087601C" w:rsidP="00D56051">
            <w:pPr>
              <w:rPr>
                <w:sz w:val="13"/>
                <w:szCs w:val="13"/>
              </w:rPr>
            </w:pPr>
            <w:r w:rsidRPr="006A1EC7">
              <w:rPr>
                <w:sz w:val="13"/>
                <w:szCs w:val="13"/>
              </w:rPr>
              <w:t>2</w:t>
            </w:r>
          </w:p>
        </w:tc>
        <w:tc>
          <w:tcPr>
            <w:tcW w:w="475" w:type="dxa"/>
            <w:shd w:val="clear" w:color="auto" w:fill="FFFF00"/>
          </w:tcPr>
          <w:p w14:paraId="3A9AEA12" w14:textId="77777777" w:rsidR="0087601C" w:rsidRPr="006A1EC7" w:rsidRDefault="0087601C" w:rsidP="00D56051">
            <w:pPr>
              <w:rPr>
                <w:sz w:val="13"/>
                <w:szCs w:val="13"/>
              </w:rPr>
            </w:pPr>
            <w:r w:rsidRPr="006A1EC7">
              <w:rPr>
                <w:sz w:val="13"/>
                <w:szCs w:val="13"/>
              </w:rPr>
              <w:t>2</w:t>
            </w:r>
          </w:p>
        </w:tc>
        <w:tc>
          <w:tcPr>
            <w:tcW w:w="472" w:type="dxa"/>
          </w:tcPr>
          <w:p w14:paraId="64129917"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3887FE6B"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54381A66" w14:textId="77777777" w:rsidR="0087601C" w:rsidRPr="006A1EC7" w:rsidRDefault="0087601C" w:rsidP="00D56051">
            <w:pPr>
              <w:rPr>
                <w:sz w:val="13"/>
                <w:szCs w:val="13"/>
              </w:rPr>
            </w:pPr>
            <w:r w:rsidRPr="006A1EC7">
              <w:rPr>
                <w:sz w:val="13"/>
                <w:szCs w:val="13"/>
              </w:rPr>
              <w:t>0</w:t>
            </w:r>
          </w:p>
        </w:tc>
        <w:tc>
          <w:tcPr>
            <w:tcW w:w="454" w:type="dxa"/>
          </w:tcPr>
          <w:p w14:paraId="0759987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33BE0A9" w14:textId="77777777" w:rsidR="0087601C" w:rsidRPr="006A1EC7" w:rsidRDefault="0087601C" w:rsidP="00D56051">
            <w:pPr>
              <w:rPr>
                <w:sz w:val="13"/>
                <w:szCs w:val="13"/>
              </w:rPr>
            </w:pPr>
            <w:r w:rsidRPr="006A1EC7">
              <w:rPr>
                <w:sz w:val="13"/>
                <w:szCs w:val="13"/>
              </w:rPr>
              <w:t>2</w:t>
            </w:r>
          </w:p>
        </w:tc>
        <w:tc>
          <w:tcPr>
            <w:tcW w:w="460" w:type="dxa"/>
            <w:shd w:val="clear" w:color="auto" w:fill="FFFF00"/>
          </w:tcPr>
          <w:p w14:paraId="7B26606C" w14:textId="77777777" w:rsidR="0087601C" w:rsidRPr="006A1EC7" w:rsidRDefault="0087601C" w:rsidP="00D56051">
            <w:pPr>
              <w:rPr>
                <w:sz w:val="13"/>
                <w:szCs w:val="13"/>
              </w:rPr>
            </w:pPr>
            <w:r w:rsidRPr="006A1EC7">
              <w:rPr>
                <w:sz w:val="13"/>
                <w:szCs w:val="13"/>
              </w:rPr>
              <w:t>2</w:t>
            </w:r>
          </w:p>
        </w:tc>
        <w:tc>
          <w:tcPr>
            <w:tcW w:w="403" w:type="dxa"/>
            <w:shd w:val="clear" w:color="auto" w:fill="auto"/>
          </w:tcPr>
          <w:p w14:paraId="0A4E15CF"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0A7625D"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60758484" w14:textId="77777777" w:rsidR="0087601C" w:rsidRPr="006A1EC7" w:rsidRDefault="0087601C" w:rsidP="00D56051">
            <w:pPr>
              <w:rPr>
                <w:sz w:val="13"/>
                <w:szCs w:val="13"/>
              </w:rPr>
            </w:pPr>
            <w:r w:rsidRPr="006A1EC7">
              <w:rPr>
                <w:sz w:val="13"/>
                <w:szCs w:val="13"/>
              </w:rPr>
              <w:t>2</w:t>
            </w:r>
          </w:p>
        </w:tc>
        <w:tc>
          <w:tcPr>
            <w:tcW w:w="403" w:type="dxa"/>
          </w:tcPr>
          <w:p w14:paraId="1769AA2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BB23B3E"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0F978A86" w14:textId="77777777" w:rsidR="0087601C" w:rsidRPr="006A1EC7" w:rsidRDefault="0087601C" w:rsidP="00D56051">
            <w:pPr>
              <w:rPr>
                <w:sz w:val="13"/>
                <w:szCs w:val="13"/>
              </w:rPr>
            </w:pPr>
            <w:r w:rsidRPr="006A1EC7">
              <w:rPr>
                <w:sz w:val="13"/>
                <w:szCs w:val="13"/>
              </w:rPr>
              <w:t>2</w:t>
            </w:r>
          </w:p>
        </w:tc>
        <w:tc>
          <w:tcPr>
            <w:tcW w:w="403" w:type="dxa"/>
          </w:tcPr>
          <w:p w14:paraId="43A9F7B8"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A911ACB"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BBDCC7D" w14:textId="77777777" w:rsidR="0087601C" w:rsidRPr="006A1EC7" w:rsidRDefault="0087601C" w:rsidP="00D56051">
            <w:pPr>
              <w:rPr>
                <w:sz w:val="13"/>
                <w:szCs w:val="13"/>
              </w:rPr>
            </w:pPr>
            <w:r w:rsidRPr="006A1EC7">
              <w:rPr>
                <w:sz w:val="13"/>
                <w:szCs w:val="13"/>
              </w:rPr>
              <w:t>2</w:t>
            </w:r>
          </w:p>
        </w:tc>
        <w:tc>
          <w:tcPr>
            <w:tcW w:w="403" w:type="dxa"/>
          </w:tcPr>
          <w:p w14:paraId="1B5AC316"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3FAD725"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491C6A1A" w14:textId="77777777" w:rsidR="0087601C" w:rsidRPr="006A1EC7" w:rsidRDefault="0087601C" w:rsidP="00D56051">
            <w:pPr>
              <w:rPr>
                <w:sz w:val="13"/>
                <w:szCs w:val="13"/>
              </w:rPr>
            </w:pPr>
            <w:r w:rsidRPr="006A1EC7">
              <w:rPr>
                <w:sz w:val="13"/>
                <w:szCs w:val="13"/>
              </w:rPr>
              <w:t>2</w:t>
            </w:r>
          </w:p>
        </w:tc>
        <w:tc>
          <w:tcPr>
            <w:tcW w:w="403" w:type="dxa"/>
          </w:tcPr>
          <w:p w14:paraId="621F421B"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6437FDC4"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530F40FD" w14:textId="77777777" w:rsidR="0087601C" w:rsidRPr="006A1EC7" w:rsidRDefault="0087601C" w:rsidP="00D56051">
            <w:pPr>
              <w:rPr>
                <w:sz w:val="13"/>
                <w:szCs w:val="13"/>
              </w:rPr>
            </w:pPr>
            <w:r w:rsidRPr="006A1EC7">
              <w:rPr>
                <w:sz w:val="13"/>
                <w:szCs w:val="13"/>
              </w:rPr>
              <w:t>3</w:t>
            </w:r>
          </w:p>
        </w:tc>
        <w:tc>
          <w:tcPr>
            <w:tcW w:w="403" w:type="dxa"/>
          </w:tcPr>
          <w:p w14:paraId="0B3CFC43"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3DA63B5B" w14:textId="77777777" w:rsidR="0087601C" w:rsidRPr="006A1EC7" w:rsidRDefault="0087601C" w:rsidP="00D56051">
            <w:pPr>
              <w:rPr>
                <w:sz w:val="13"/>
                <w:szCs w:val="13"/>
              </w:rPr>
            </w:pPr>
            <w:r w:rsidRPr="006A1EC7">
              <w:rPr>
                <w:sz w:val="13"/>
                <w:szCs w:val="13"/>
              </w:rPr>
              <w:t>5/8</w:t>
            </w:r>
          </w:p>
        </w:tc>
        <w:tc>
          <w:tcPr>
            <w:tcW w:w="403" w:type="dxa"/>
            <w:shd w:val="clear" w:color="auto" w:fill="auto"/>
          </w:tcPr>
          <w:p w14:paraId="2D3FE18F" w14:textId="77777777" w:rsidR="0087601C" w:rsidRPr="006A1EC7" w:rsidRDefault="0087601C" w:rsidP="00D56051">
            <w:pPr>
              <w:rPr>
                <w:sz w:val="13"/>
                <w:szCs w:val="13"/>
              </w:rPr>
            </w:pPr>
            <w:r w:rsidRPr="006A1EC7">
              <w:rPr>
                <w:sz w:val="13"/>
                <w:szCs w:val="13"/>
              </w:rPr>
              <w:t>63</w:t>
            </w:r>
          </w:p>
        </w:tc>
      </w:tr>
      <w:tr w:rsidR="0087601C" w:rsidRPr="006A1EC7" w14:paraId="6990CA2F" w14:textId="77777777" w:rsidTr="00D56051">
        <w:tc>
          <w:tcPr>
            <w:tcW w:w="636" w:type="dxa"/>
          </w:tcPr>
          <w:p w14:paraId="1AD27D8D" w14:textId="77777777" w:rsidR="0087601C" w:rsidRPr="006A1EC7" w:rsidRDefault="0087601C" w:rsidP="00D56051">
            <w:pPr>
              <w:rPr>
                <w:sz w:val="13"/>
                <w:szCs w:val="13"/>
              </w:rPr>
            </w:pPr>
            <w:r w:rsidRPr="006A1EC7">
              <w:rPr>
                <w:sz w:val="13"/>
                <w:szCs w:val="13"/>
              </w:rPr>
              <w:t>CRE</w:t>
            </w:r>
          </w:p>
        </w:tc>
        <w:tc>
          <w:tcPr>
            <w:tcW w:w="475" w:type="dxa"/>
            <w:shd w:val="clear" w:color="auto" w:fill="FFFF00"/>
          </w:tcPr>
          <w:p w14:paraId="18274B1D"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3679568D" w14:textId="77777777" w:rsidR="0087601C" w:rsidRPr="006A1EC7" w:rsidRDefault="0087601C" w:rsidP="00D56051">
            <w:pPr>
              <w:rPr>
                <w:sz w:val="13"/>
                <w:szCs w:val="13"/>
              </w:rPr>
            </w:pPr>
            <w:r w:rsidRPr="006A1EC7">
              <w:rPr>
                <w:sz w:val="13"/>
                <w:szCs w:val="13"/>
              </w:rPr>
              <w:t>1</w:t>
            </w:r>
          </w:p>
        </w:tc>
        <w:tc>
          <w:tcPr>
            <w:tcW w:w="472" w:type="dxa"/>
          </w:tcPr>
          <w:p w14:paraId="67FA2FD8"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040A5C65"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1C8749E3" w14:textId="77777777" w:rsidR="0087601C" w:rsidRPr="006A1EC7" w:rsidRDefault="0087601C" w:rsidP="00D56051">
            <w:pPr>
              <w:rPr>
                <w:sz w:val="13"/>
                <w:szCs w:val="13"/>
              </w:rPr>
            </w:pPr>
            <w:r w:rsidRPr="006A1EC7">
              <w:rPr>
                <w:sz w:val="13"/>
                <w:szCs w:val="13"/>
              </w:rPr>
              <w:t>1</w:t>
            </w:r>
          </w:p>
        </w:tc>
        <w:tc>
          <w:tcPr>
            <w:tcW w:w="454" w:type="dxa"/>
          </w:tcPr>
          <w:p w14:paraId="0D2A4FF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B4ADA60"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1A86352"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63F747CF"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208AB65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4817E19" w14:textId="77777777" w:rsidR="0087601C" w:rsidRPr="006A1EC7" w:rsidRDefault="0087601C" w:rsidP="00D56051">
            <w:pPr>
              <w:rPr>
                <w:sz w:val="13"/>
                <w:szCs w:val="13"/>
              </w:rPr>
            </w:pPr>
            <w:r w:rsidRPr="006A1EC7">
              <w:rPr>
                <w:sz w:val="13"/>
                <w:szCs w:val="13"/>
              </w:rPr>
              <w:t>1</w:t>
            </w:r>
          </w:p>
        </w:tc>
        <w:tc>
          <w:tcPr>
            <w:tcW w:w="403" w:type="dxa"/>
          </w:tcPr>
          <w:p w14:paraId="76CF46C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8DBBF0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13D1F60" w14:textId="77777777" w:rsidR="0087601C" w:rsidRPr="006A1EC7" w:rsidRDefault="0087601C" w:rsidP="00D56051">
            <w:pPr>
              <w:rPr>
                <w:sz w:val="13"/>
                <w:szCs w:val="13"/>
              </w:rPr>
            </w:pPr>
            <w:r w:rsidRPr="006A1EC7">
              <w:rPr>
                <w:sz w:val="13"/>
                <w:szCs w:val="13"/>
              </w:rPr>
              <w:t>1</w:t>
            </w:r>
          </w:p>
        </w:tc>
        <w:tc>
          <w:tcPr>
            <w:tcW w:w="403" w:type="dxa"/>
          </w:tcPr>
          <w:p w14:paraId="50E994E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C02DCB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4D9BD5C" w14:textId="77777777" w:rsidR="0087601C" w:rsidRPr="006A1EC7" w:rsidRDefault="0087601C" w:rsidP="00D56051">
            <w:pPr>
              <w:rPr>
                <w:sz w:val="13"/>
                <w:szCs w:val="13"/>
              </w:rPr>
            </w:pPr>
            <w:r w:rsidRPr="006A1EC7">
              <w:rPr>
                <w:sz w:val="13"/>
                <w:szCs w:val="13"/>
              </w:rPr>
              <w:t>1</w:t>
            </w:r>
          </w:p>
        </w:tc>
        <w:tc>
          <w:tcPr>
            <w:tcW w:w="403" w:type="dxa"/>
          </w:tcPr>
          <w:p w14:paraId="30422F5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61EE9EE"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1B013AB0" w14:textId="77777777" w:rsidR="0087601C" w:rsidRPr="006A1EC7" w:rsidRDefault="0087601C" w:rsidP="00D56051">
            <w:pPr>
              <w:rPr>
                <w:sz w:val="13"/>
                <w:szCs w:val="13"/>
              </w:rPr>
            </w:pPr>
            <w:r w:rsidRPr="006A1EC7">
              <w:rPr>
                <w:sz w:val="13"/>
                <w:szCs w:val="13"/>
              </w:rPr>
              <w:t>1</w:t>
            </w:r>
          </w:p>
        </w:tc>
        <w:tc>
          <w:tcPr>
            <w:tcW w:w="403" w:type="dxa"/>
          </w:tcPr>
          <w:p w14:paraId="193522B8"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2681A9D6"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575D4B09" w14:textId="77777777" w:rsidR="0087601C" w:rsidRPr="006A1EC7" w:rsidRDefault="0087601C" w:rsidP="00D56051">
            <w:pPr>
              <w:rPr>
                <w:sz w:val="13"/>
                <w:szCs w:val="13"/>
              </w:rPr>
            </w:pPr>
            <w:r w:rsidRPr="006A1EC7">
              <w:rPr>
                <w:sz w:val="13"/>
                <w:szCs w:val="13"/>
              </w:rPr>
              <w:t>1</w:t>
            </w:r>
          </w:p>
        </w:tc>
        <w:tc>
          <w:tcPr>
            <w:tcW w:w="403" w:type="dxa"/>
          </w:tcPr>
          <w:p w14:paraId="31147F5F"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7A6736F3" w14:textId="77777777" w:rsidR="0087601C" w:rsidRPr="006A1EC7" w:rsidRDefault="0087601C" w:rsidP="00D56051">
            <w:pPr>
              <w:rPr>
                <w:sz w:val="13"/>
                <w:szCs w:val="13"/>
              </w:rPr>
            </w:pPr>
            <w:r w:rsidRPr="006A1EC7">
              <w:rPr>
                <w:sz w:val="13"/>
                <w:szCs w:val="13"/>
              </w:rPr>
              <w:t>8/8</w:t>
            </w:r>
          </w:p>
        </w:tc>
        <w:tc>
          <w:tcPr>
            <w:tcW w:w="403" w:type="dxa"/>
            <w:shd w:val="clear" w:color="auto" w:fill="auto"/>
          </w:tcPr>
          <w:p w14:paraId="64B40781" w14:textId="77777777" w:rsidR="0087601C" w:rsidRPr="006A1EC7" w:rsidRDefault="0087601C" w:rsidP="00D56051">
            <w:pPr>
              <w:rPr>
                <w:sz w:val="13"/>
                <w:szCs w:val="13"/>
              </w:rPr>
            </w:pPr>
            <w:r w:rsidRPr="006A1EC7">
              <w:rPr>
                <w:sz w:val="13"/>
                <w:szCs w:val="13"/>
              </w:rPr>
              <w:t>100</w:t>
            </w:r>
          </w:p>
        </w:tc>
      </w:tr>
      <w:tr w:rsidR="0087601C" w:rsidRPr="006A1EC7" w14:paraId="3FAFB12A" w14:textId="77777777" w:rsidTr="00D56051">
        <w:tc>
          <w:tcPr>
            <w:tcW w:w="636" w:type="dxa"/>
          </w:tcPr>
          <w:p w14:paraId="72A9639C" w14:textId="77777777" w:rsidR="0087601C" w:rsidRPr="006A1EC7" w:rsidRDefault="0087601C" w:rsidP="00D56051">
            <w:pPr>
              <w:rPr>
                <w:sz w:val="13"/>
                <w:szCs w:val="13"/>
              </w:rPr>
            </w:pPr>
            <w:r w:rsidRPr="006A1EC7">
              <w:rPr>
                <w:sz w:val="13"/>
                <w:szCs w:val="13"/>
              </w:rPr>
              <w:t>TTL</w:t>
            </w:r>
          </w:p>
        </w:tc>
        <w:tc>
          <w:tcPr>
            <w:tcW w:w="475" w:type="dxa"/>
            <w:shd w:val="clear" w:color="auto" w:fill="FFFF00"/>
          </w:tcPr>
          <w:p w14:paraId="675F3F25" w14:textId="77777777" w:rsidR="0087601C" w:rsidRPr="006A1EC7" w:rsidRDefault="0087601C" w:rsidP="00D56051">
            <w:pPr>
              <w:rPr>
                <w:sz w:val="13"/>
                <w:szCs w:val="13"/>
              </w:rPr>
            </w:pPr>
            <w:r w:rsidRPr="006A1EC7">
              <w:rPr>
                <w:sz w:val="13"/>
                <w:szCs w:val="13"/>
              </w:rPr>
              <w:t>28</w:t>
            </w:r>
          </w:p>
        </w:tc>
        <w:tc>
          <w:tcPr>
            <w:tcW w:w="475" w:type="dxa"/>
            <w:shd w:val="clear" w:color="auto" w:fill="FFFF00"/>
          </w:tcPr>
          <w:p w14:paraId="4C0668CD" w14:textId="77777777" w:rsidR="0087601C" w:rsidRPr="006A1EC7" w:rsidRDefault="0087601C" w:rsidP="00D56051">
            <w:pPr>
              <w:rPr>
                <w:sz w:val="13"/>
                <w:szCs w:val="13"/>
              </w:rPr>
            </w:pPr>
            <w:r w:rsidRPr="006A1EC7">
              <w:rPr>
                <w:sz w:val="13"/>
                <w:szCs w:val="13"/>
              </w:rPr>
              <w:t>27</w:t>
            </w:r>
          </w:p>
        </w:tc>
        <w:tc>
          <w:tcPr>
            <w:tcW w:w="472" w:type="dxa"/>
          </w:tcPr>
          <w:p w14:paraId="2CEF4BB4"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7337F9F3" w14:textId="77777777" w:rsidR="0087601C" w:rsidRPr="006A1EC7" w:rsidRDefault="0087601C" w:rsidP="00D56051">
            <w:pPr>
              <w:rPr>
                <w:sz w:val="13"/>
                <w:szCs w:val="13"/>
              </w:rPr>
            </w:pPr>
            <w:r w:rsidRPr="006A1EC7">
              <w:rPr>
                <w:sz w:val="13"/>
                <w:szCs w:val="13"/>
              </w:rPr>
              <w:t>25</w:t>
            </w:r>
          </w:p>
        </w:tc>
        <w:tc>
          <w:tcPr>
            <w:tcW w:w="476" w:type="dxa"/>
            <w:shd w:val="clear" w:color="auto" w:fill="FFFF00"/>
          </w:tcPr>
          <w:p w14:paraId="457CDD02" w14:textId="77777777" w:rsidR="0087601C" w:rsidRPr="006A1EC7" w:rsidRDefault="0087601C" w:rsidP="00D56051">
            <w:pPr>
              <w:rPr>
                <w:sz w:val="13"/>
                <w:szCs w:val="13"/>
              </w:rPr>
            </w:pPr>
            <w:r w:rsidRPr="006A1EC7">
              <w:rPr>
                <w:sz w:val="13"/>
                <w:szCs w:val="13"/>
              </w:rPr>
              <w:t>23</w:t>
            </w:r>
          </w:p>
        </w:tc>
        <w:tc>
          <w:tcPr>
            <w:tcW w:w="454" w:type="dxa"/>
          </w:tcPr>
          <w:p w14:paraId="623767C5"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294ECCD" w14:textId="77777777" w:rsidR="0087601C" w:rsidRPr="006A1EC7" w:rsidRDefault="0087601C" w:rsidP="00D56051">
            <w:pPr>
              <w:rPr>
                <w:sz w:val="13"/>
                <w:szCs w:val="13"/>
              </w:rPr>
            </w:pPr>
            <w:r w:rsidRPr="006A1EC7">
              <w:rPr>
                <w:sz w:val="13"/>
                <w:szCs w:val="13"/>
              </w:rPr>
              <w:t>32</w:t>
            </w:r>
          </w:p>
        </w:tc>
        <w:tc>
          <w:tcPr>
            <w:tcW w:w="460" w:type="dxa"/>
            <w:shd w:val="clear" w:color="auto" w:fill="FFFF00"/>
          </w:tcPr>
          <w:p w14:paraId="264D2E18" w14:textId="77777777" w:rsidR="0087601C" w:rsidRPr="006A1EC7" w:rsidRDefault="0087601C" w:rsidP="00D56051">
            <w:pPr>
              <w:rPr>
                <w:sz w:val="13"/>
                <w:szCs w:val="13"/>
              </w:rPr>
            </w:pPr>
            <w:r w:rsidRPr="006A1EC7">
              <w:rPr>
                <w:sz w:val="13"/>
                <w:szCs w:val="13"/>
              </w:rPr>
              <w:t>29</w:t>
            </w:r>
          </w:p>
        </w:tc>
        <w:tc>
          <w:tcPr>
            <w:tcW w:w="403" w:type="dxa"/>
            <w:shd w:val="clear" w:color="auto" w:fill="auto"/>
          </w:tcPr>
          <w:p w14:paraId="79EE1C58"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3EC253B4" w14:textId="77777777" w:rsidR="0087601C" w:rsidRPr="006A1EC7" w:rsidRDefault="0087601C" w:rsidP="00D56051">
            <w:pPr>
              <w:rPr>
                <w:sz w:val="13"/>
                <w:szCs w:val="13"/>
              </w:rPr>
            </w:pPr>
            <w:r w:rsidRPr="006A1EC7">
              <w:rPr>
                <w:sz w:val="13"/>
                <w:szCs w:val="13"/>
              </w:rPr>
              <w:t>33</w:t>
            </w:r>
          </w:p>
        </w:tc>
        <w:tc>
          <w:tcPr>
            <w:tcW w:w="477" w:type="dxa"/>
            <w:shd w:val="clear" w:color="auto" w:fill="FFFF00"/>
          </w:tcPr>
          <w:p w14:paraId="4012046C" w14:textId="77777777" w:rsidR="0087601C" w:rsidRPr="006A1EC7" w:rsidRDefault="0087601C" w:rsidP="00D56051">
            <w:pPr>
              <w:rPr>
                <w:sz w:val="13"/>
                <w:szCs w:val="13"/>
              </w:rPr>
            </w:pPr>
            <w:r w:rsidRPr="006A1EC7">
              <w:rPr>
                <w:sz w:val="13"/>
                <w:szCs w:val="13"/>
              </w:rPr>
              <w:t>27</w:t>
            </w:r>
          </w:p>
        </w:tc>
        <w:tc>
          <w:tcPr>
            <w:tcW w:w="403" w:type="dxa"/>
          </w:tcPr>
          <w:p w14:paraId="0E406985"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81CD554" w14:textId="77777777" w:rsidR="0087601C" w:rsidRPr="006A1EC7" w:rsidRDefault="0087601C" w:rsidP="00D56051">
            <w:pPr>
              <w:rPr>
                <w:sz w:val="13"/>
                <w:szCs w:val="13"/>
              </w:rPr>
            </w:pPr>
            <w:r w:rsidRPr="006A1EC7">
              <w:rPr>
                <w:sz w:val="13"/>
                <w:szCs w:val="13"/>
              </w:rPr>
              <w:t>30</w:t>
            </w:r>
          </w:p>
        </w:tc>
        <w:tc>
          <w:tcPr>
            <w:tcW w:w="477" w:type="dxa"/>
            <w:shd w:val="clear" w:color="auto" w:fill="FFFF00"/>
          </w:tcPr>
          <w:p w14:paraId="6530D254" w14:textId="77777777" w:rsidR="0087601C" w:rsidRPr="006A1EC7" w:rsidRDefault="0087601C" w:rsidP="00D56051">
            <w:pPr>
              <w:rPr>
                <w:sz w:val="13"/>
                <w:szCs w:val="13"/>
              </w:rPr>
            </w:pPr>
            <w:r w:rsidRPr="006A1EC7">
              <w:rPr>
                <w:sz w:val="13"/>
                <w:szCs w:val="13"/>
              </w:rPr>
              <w:t>22</w:t>
            </w:r>
          </w:p>
        </w:tc>
        <w:tc>
          <w:tcPr>
            <w:tcW w:w="403" w:type="dxa"/>
          </w:tcPr>
          <w:p w14:paraId="1D01C00D"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7317CE6" w14:textId="77777777" w:rsidR="0087601C" w:rsidRPr="006A1EC7" w:rsidRDefault="0087601C" w:rsidP="00D56051">
            <w:pPr>
              <w:rPr>
                <w:sz w:val="13"/>
                <w:szCs w:val="13"/>
              </w:rPr>
            </w:pPr>
            <w:r w:rsidRPr="006A1EC7">
              <w:rPr>
                <w:sz w:val="13"/>
                <w:szCs w:val="13"/>
              </w:rPr>
              <w:t>27</w:t>
            </w:r>
          </w:p>
        </w:tc>
        <w:tc>
          <w:tcPr>
            <w:tcW w:w="477" w:type="dxa"/>
            <w:shd w:val="clear" w:color="auto" w:fill="FFFF00"/>
          </w:tcPr>
          <w:p w14:paraId="70917D03" w14:textId="77777777" w:rsidR="0087601C" w:rsidRPr="006A1EC7" w:rsidRDefault="0087601C" w:rsidP="00D56051">
            <w:pPr>
              <w:rPr>
                <w:sz w:val="13"/>
                <w:szCs w:val="13"/>
              </w:rPr>
            </w:pPr>
            <w:r w:rsidRPr="006A1EC7">
              <w:rPr>
                <w:sz w:val="13"/>
                <w:szCs w:val="13"/>
              </w:rPr>
              <w:t>19</w:t>
            </w:r>
          </w:p>
        </w:tc>
        <w:tc>
          <w:tcPr>
            <w:tcW w:w="403" w:type="dxa"/>
          </w:tcPr>
          <w:p w14:paraId="1875C6CA"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9580008" w14:textId="77777777" w:rsidR="0087601C" w:rsidRPr="006A1EC7" w:rsidRDefault="0087601C" w:rsidP="00D56051">
            <w:pPr>
              <w:rPr>
                <w:sz w:val="13"/>
                <w:szCs w:val="13"/>
              </w:rPr>
            </w:pPr>
            <w:r w:rsidRPr="006A1EC7">
              <w:rPr>
                <w:sz w:val="13"/>
                <w:szCs w:val="13"/>
              </w:rPr>
              <w:t>25</w:t>
            </w:r>
          </w:p>
        </w:tc>
        <w:tc>
          <w:tcPr>
            <w:tcW w:w="478" w:type="dxa"/>
            <w:shd w:val="clear" w:color="auto" w:fill="FFFF00"/>
          </w:tcPr>
          <w:p w14:paraId="40062C24" w14:textId="77777777" w:rsidR="0087601C" w:rsidRPr="006A1EC7" w:rsidRDefault="0087601C" w:rsidP="00D56051">
            <w:pPr>
              <w:rPr>
                <w:sz w:val="13"/>
                <w:szCs w:val="13"/>
              </w:rPr>
            </w:pPr>
            <w:r w:rsidRPr="006A1EC7">
              <w:rPr>
                <w:sz w:val="13"/>
                <w:szCs w:val="13"/>
              </w:rPr>
              <w:t>29</w:t>
            </w:r>
          </w:p>
        </w:tc>
        <w:tc>
          <w:tcPr>
            <w:tcW w:w="403" w:type="dxa"/>
          </w:tcPr>
          <w:p w14:paraId="47D83705"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4CC3A1C4" w14:textId="77777777" w:rsidR="0087601C" w:rsidRPr="006A1EC7" w:rsidRDefault="0087601C" w:rsidP="00D56051">
            <w:pPr>
              <w:rPr>
                <w:sz w:val="13"/>
                <w:szCs w:val="13"/>
              </w:rPr>
            </w:pPr>
            <w:r w:rsidRPr="006A1EC7">
              <w:rPr>
                <w:sz w:val="13"/>
                <w:szCs w:val="13"/>
              </w:rPr>
              <w:t>23</w:t>
            </w:r>
          </w:p>
        </w:tc>
        <w:tc>
          <w:tcPr>
            <w:tcW w:w="478" w:type="dxa"/>
            <w:shd w:val="clear" w:color="auto" w:fill="FFFF00"/>
          </w:tcPr>
          <w:p w14:paraId="0821CC13" w14:textId="77777777" w:rsidR="0087601C" w:rsidRPr="006A1EC7" w:rsidRDefault="0087601C" w:rsidP="00D56051">
            <w:pPr>
              <w:rPr>
                <w:sz w:val="13"/>
                <w:szCs w:val="13"/>
              </w:rPr>
            </w:pPr>
            <w:r w:rsidRPr="006A1EC7">
              <w:rPr>
                <w:sz w:val="13"/>
                <w:szCs w:val="13"/>
              </w:rPr>
              <w:t>21</w:t>
            </w:r>
          </w:p>
        </w:tc>
        <w:tc>
          <w:tcPr>
            <w:tcW w:w="403" w:type="dxa"/>
          </w:tcPr>
          <w:p w14:paraId="139EAFA6"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49C5365E" w14:textId="77777777" w:rsidR="0087601C" w:rsidRPr="006A1EC7" w:rsidRDefault="0087601C" w:rsidP="00D56051">
            <w:pPr>
              <w:rPr>
                <w:sz w:val="13"/>
                <w:szCs w:val="13"/>
              </w:rPr>
            </w:pPr>
            <w:r w:rsidRPr="006A1EC7">
              <w:rPr>
                <w:sz w:val="13"/>
                <w:szCs w:val="13"/>
              </w:rPr>
              <w:t>0/8</w:t>
            </w:r>
          </w:p>
        </w:tc>
        <w:tc>
          <w:tcPr>
            <w:tcW w:w="403" w:type="dxa"/>
            <w:shd w:val="clear" w:color="auto" w:fill="auto"/>
          </w:tcPr>
          <w:p w14:paraId="2DC37D6E" w14:textId="77777777" w:rsidR="0087601C" w:rsidRPr="006A1EC7" w:rsidRDefault="0087601C" w:rsidP="00D56051">
            <w:pPr>
              <w:rPr>
                <w:sz w:val="13"/>
                <w:szCs w:val="13"/>
              </w:rPr>
            </w:pPr>
            <w:r w:rsidRPr="006A1EC7">
              <w:rPr>
                <w:sz w:val="13"/>
                <w:szCs w:val="13"/>
              </w:rPr>
              <w:t>0</w:t>
            </w:r>
          </w:p>
        </w:tc>
      </w:tr>
      <w:tr w:rsidR="0087601C" w:rsidRPr="006A1EC7" w14:paraId="4B26BC87" w14:textId="77777777" w:rsidTr="00D56051">
        <w:tc>
          <w:tcPr>
            <w:tcW w:w="636" w:type="dxa"/>
          </w:tcPr>
          <w:p w14:paraId="522C67AE" w14:textId="77777777" w:rsidR="0087601C" w:rsidRPr="006A1EC7" w:rsidRDefault="0087601C" w:rsidP="00D56051">
            <w:pPr>
              <w:rPr>
                <w:sz w:val="13"/>
                <w:szCs w:val="13"/>
              </w:rPr>
            </w:pPr>
            <w:r w:rsidRPr="006A1EC7">
              <w:rPr>
                <w:sz w:val="13"/>
                <w:szCs w:val="13"/>
              </w:rPr>
              <w:t>Percent agreement (%)</w:t>
            </w:r>
          </w:p>
        </w:tc>
        <w:tc>
          <w:tcPr>
            <w:tcW w:w="475" w:type="dxa"/>
            <w:shd w:val="clear" w:color="auto" w:fill="FFFF00"/>
          </w:tcPr>
          <w:p w14:paraId="0C926CBC" w14:textId="77777777" w:rsidR="0087601C" w:rsidRPr="006A1EC7" w:rsidRDefault="0087601C" w:rsidP="00D56051">
            <w:pPr>
              <w:rPr>
                <w:sz w:val="13"/>
                <w:szCs w:val="13"/>
              </w:rPr>
            </w:pPr>
          </w:p>
        </w:tc>
        <w:tc>
          <w:tcPr>
            <w:tcW w:w="475" w:type="dxa"/>
            <w:shd w:val="clear" w:color="auto" w:fill="FFFF00"/>
          </w:tcPr>
          <w:p w14:paraId="686218B3" w14:textId="77777777" w:rsidR="0087601C" w:rsidRPr="006A1EC7" w:rsidRDefault="0087601C" w:rsidP="00D56051">
            <w:pPr>
              <w:rPr>
                <w:sz w:val="13"/>
                <w:szCs w:val="13"/>
              </w:rPr>
            </w:pPr>
          </w:p>
        </w:tc>
        <w:tc>
          <w:tcPr>
            <w:tcW w:w="472" w:type="dxa"/>
          </w:tcPr>
          <w:p w14:paraId="165A71E8" w14:textId="77777777" w:rsidR="0087601C" w:rsidRPr="006A1EC7" w:rsidRDefault="0087601C" w:rsidP="00D56051">
            <w:pPr>
              <w:rPr>
                <w:sz w:val="13"/>
                <w:szCs w:val="13"/>
              </w:rPr>
            </w:pPr>
            <w:r w:rsidRPr="006A1EC7">
              <w:rPr>
                <w:sz w:val="13"/>
                <w:szCs w:val="13"/>
              </w:rPr>
              <w:t>60</w:t>
            </w:r>
          </w:p>
        </w:tc>
        <w:tc>
          <w:tcPr>
            <w:tcW w:w="476" w:type="dxa"/>
            <w:shd w:val="clear" w:color="auto" w:fill="FFFF00"/>
          </w:tcPr>
          <w:p w14:paraId="26D093D2" w14:textId="77777777" w:rsidR="0087601C" w:rsidRPr="006A1EC7" w:rsidRDefault="0087601C" w:rsidP="00D56051">
            <w:pPr>
              <w:rPr>
                <w:sz w:val="13"/>
                <w:szCs w:val="13"/>
              </w:rPr>
            </w:pPr>
          </w:p>
        </w:tc>
        <w:tc>
          <w:tcPr>
            <w:tcW w:w="476" w:type="dxa"/>
            <w:shd w:val="clear" w:color="auto" w:fill="FFFF00"/>
          </w:tcPr>
          <w:p w14:paraId="2AC39E28" w14:textId="77777777" w:rsidR="0087601C" w:rsidRPr="006A1EC7" w:rsidRDefault="0087601C" w:rsidP="00D56051">
            <w:pPr>
              <w:rPr>
                <w:sz w:val="13"/>
                <w:szCs w:val="13"/>
              </w:rPr>
            </w:pPr>
          </w:p>
        </w:tc>
        <w:tc>
          <w:tcPr>
            <w:tcW w:w="454" w:type="dxa"/>
          </w:tcPr>
          <w:p w14:paraId="2D972738" w14:textId="77777777" w:rsidR="0087601C" w:rsidRPr="006A1EC7" w:rsidRDefault="0087601C" w:rsidP="00D56051">
            <w:pPr>
              <w:rPr>
                <w:sz w:val="13"/>
                <w:szCs w:val="13"/>
              </w:rPr>
            </w:pPr>
            <w:r w:rsidRPr="006A1EC7">
              <w:rPr>
                <w:sz w:val="13"/>
                <w:szCs w:val="13"/>
              </w:rPr>
              <w:t>70</w:t>
            </w:r>
          </w:p>
        </w:tc>
        <w:tc>
          <w:tcPr>
            <w:tcW w:w="477" w:type="dxa"/>
            <w:shd w:val="clear" w:color="auto" w:fill="FFFF00"/>
          </w:tcPr>
          <w:p w14:paraId="1AC85C26" w14:textId="77777777" w:rsidR="0087601C" w:rsidRPr="006A1EC7" w:rsidRDefault="0087601C" w:rsidP="00D56051">
            <w:pPr>
              <w:rPr>
                <w:sz w:val="13"/>
                <w:szCs w:val="13"/>
              </w:rPr>
            </w:pPr>
          </w:p>
        </w:tc>
        <w:tc>
          <w:tcPr>
            <w:tcW w:w="460" w:type="dxa"/>
            <w:shd w:val="clear" w:color="auto" w:fill="FFFF00"/>
          </w:tcPr>
          <w:p w14:paraId="1383D840" w14:textId="77777777" w:rsidR="0087601C" w:rsidRPr="006A1EC7" w:rsidRDefault="0087601C" w:rsidP="00D56051">
            <w:pPr>
              <w:rPr>
                <w:sz w:val="13"/>
                <w:szCs w:val="13"/>
              </w:rPr>
            </w:pPr>
          </w:p>
        </w:tc>
        <w:tc>
          <w:tcPr>
            <w:tcW w:w="403" w:type="dxa"/>
            <w:shd w:val="clear" w:color="auto" w:fill="auto"/>
          </w:tcPr>
          <w:p w14:paraId="440BDCCD" w14:textId="77777777" w:rsidR="0087601C" w:rsidRPr="006A1EC7" w:rsidRDefault="0087601C" w:rsidP="00D56051">
            <w:pPr>
              <w:rPr>
                <w:sz w:val="13"/>
                <w:szCs w:val="13"/>
              </w:rPr>
            </w:pPr>
            <w:r w:rsidRPr="006A1EC7">
              <w:rPr>
                <w:sz w:val="13"/>
                <w:szCs w:val="13"/>
              </w:rPr>
              <w:t>50</w:t>
            </w:r>
          </w:p>
        </w:tc>
        <w:tc>
          <w:tcPr>
            <w:tcW w:w="460" w:type="dxa"/>
            <w:shd w:val="clear" w:color="auto" w:fill="FFFF00"/>
          </w:tcPr>
          <w:p w14:paraId="16227E3D" w14:textId="77777777" w:rsidR="0087601C" w:rsidRPr="006A1EC7" w:rsidRDefault="0087601C" w:rsidP="00D56051">
            <w:pPr>
              <w:rPr>
                <w:sz w:val="13"/>
                <w:szCs w:val="13"/>
              </w:rPr>
            </w:pPr>
          </w:p>
        </w:tc>
        <w:tc>
          <w:tcPr>
            <w:tcW w:w="477" w:type="dxa"/>
            <w:shd w:val="clear" w:color="auto" w:fill="FFFF00"/>
          </w:tcPr>
          <w:p w14:paraId="4451B4DD" w14:textId="77777777" w:rsidR="0087601C" w:rsidRPr="006A1EC7" w:rsidRDefault="0087601C" w:rsidP="00D56051">
            <w:pPr>
              <w:rPr>
                <w:sz w:val="13"/>
                <w:szCs w:val="13"/>
              </w:rPr>
            </w:pPr>
          </w:p>
        </w:tc>
        <w:tc>
          <w:tcPr>
            <w:tcW w:w="403" w:type="dxa"/>
          </w:tcPr>
          <w:p w14:paraId="0D945FCD" w14:textId="77777777" w:rsidR="0087601C" w:rsidRPr="006A1EC7" w:rsidRDefault="0087601C" w:rsidP="00D56051">
            <w:pPr>
              <w:rPr>
                <w:sz w:val="13"/>
                <w:szCs w:val="13"/>
              </w:rPr>
            </w:pPr>
            <w:r w:rsidRPr="006A1EC7">
              <w:rPr>
                <w:sz w:val="13"/>
                <w:szCs w:val="13"/>
              </w:rPr>
              <w:t>50</w:t>
            </w:r>
          </w:p>
        </w:tc>
        <w:tc>
          <w:tcPr>
            <w:tcW w:w="477" w:type="dxa"/>
            <w:shd w:val="clear" w:color="auto" w:fill="FFFF00"/>
          </w:tcPr>
          <w:p w14:paraId="102BE2F7" w14:textId="77777777" w:rsidR="0087601C" w:rsidRPr="006A1EC7" w:rsidRDefault="0087601C" w:rsidP="00D56051">
            <w:pPr>
              <w:rPr>
                <w:sz w:val="13"/>
                <w:szCs w:val="13"/>
              </w:rPr>
            </w:pPr>
          </w:p>
        </w:tc>
        <w:tc>
          <w:tcPr>
            <w:tcW w:w="477" w:type="dxa"/>
            <w:shd w:val="clear" w:color="auto" w:fill="FFFF00"/>
          </w:tcPr>
          <w:p w14:paraId="7EAEC6A3" w14:textId="77777777" w:rsidR="0087601C" w:rsidRPr="006A1EC7" w:rsidRDefault="0087601C" w:rsidP="00D56051">
            <w:pPr>
              <w:rPr>
                <w:sz w:val="13"/>
                <w:szCs w:val="13"/>
              </w:rPr>
            </w:pPr>
          </w:p>
        </w:tc>
        <w:tc>
          <w:tcPr>
            <w:tcW w:w="403" w:type="dxa"/>
          </w:tcPr>
          <w:p w14:paraId="1207622A" w14:textId="77777777" w:rsidR="0087601C" w:rsidRPr="006A1EC7" w:rsidRDefault="0087601C" w:rsidP="00D56051">
            <w:pPr>
              <w:rPr>
                <w:sz w:val="13"/>
                <w:szCs w:val="13"/>
              </w:rPr>
            </w:pPr>
            <w:r w:rsidRPr="006A1EC7">
              <w:rPr>
                <w:sz w:val="13"/>
                <w:szCs w:val="13"/>
              </w:rPr>
              <w:t>40</w:t>
            </w:r>
          </w:p>
        </w:tc>
        <w:tc>
          <w:tcPr>
            <w:tcW w:w="477" w:type="dxa"/>
            <w:shd w:val="clear" w:color="auto" w:fill="FFFF00"/>
          </w:tcPr>
          <w:p w14:paraId="404D9DFB" w14:textId="77777777" w:rsidR="0087601C" w:rsidRPr="006A1EC7" w:rsidRDefault="0087601C" w:rsidP="00D56051">
            <w:pPr>
              <w:rPr>
                <w:sz w:val="13"/>
                <w:szCs w:val="13"/>
              </w:rPr>
            </w:pPr>
          </w:p>
        </w:tc>
        <w:tc>
          <w:tcPr>
            <w:tcW w:w="477" w:type="dxa"/>
            <w:shd w:val="clear" w:color="auto" w:fill="FFFF00"/>
          </w:tcPr>
          <w:p w14:paraId="7CB26CEA" w14:textId="77777777" w:rsidR="0087601C" w:rsidRPr="006A1EC7" w:rsidRDefault="0087601C" w:rsidP="00D56051">
            <w:pPr>
              <w:rPr>
                <w:sz w:val="13"/>
                <w:szCs w:val="13"/>
              </w:rPr>
            </w:pPr>
          </w:p>
        </w:tc>
        <w:tc>
          <w:tcPr>
            <w:tcW w:w="403" w:type="dxa"/>
          </w:tcPr>
          <w:p w14:paraId="640938D4" w14:textId="77777777" w:rsidR="0087601C" w:rsidRPr="006A1EC7" w:rsidRDefault="0087601C" w:rsidP="00D56051">
            <w:pPr>
              <w:rPr>
                <w:sz w:val="13"/>
                <w:szCs w:val="13"/>
              </w:rPr>
            </w:pPr>
            <w:r w:rsidRPr="006A1EC7">
              <w:rPr>
                <w:sz w:val="13"/>
                <w:szCs w:val="13"/>
              </w:rPr>
              <w:t>30</w:t>
            </w:r>
          </w:p>
        </w:tc>
        <w:tc>
          <w:tcPr>
            <w:tcW w:w="477" w:type="dxa"/>
            <w:shd w:val="clear" w:color="auto" w:fill="FFFF00"/>
          </w:tcPr>
          <w:p w14:paraId="50D6058A" w14:textId="77777777" w:rsidR="0087601C" w:rsidRPr="006A1EC7" w:rsidRDefault="0087601C" w:rsidP="00D56051">
            <w:pPr>
              <w:rPr>
                <w:sz w:val="13"/>
                <w:szCs w:val="13"/>
              </w:rPr>
            </w:pPr>
          </w:p>
        </w:tc>
        <w:tc>
          <w:tcPr>
            <w:tcW w:w="478" w:type="dxa"/>
            <w:shd w:val="clear" w:color="auto" w:fill="FFFF00"/>
          </w:tcPr>
          <w:p w14:paraId="3D9F67E2" w14:textId="77777777" w:rsidR="0087601C" w:rsidRPr="006A1EC7" w:rsidRDefault="0087601C" w:rsidP="00D56051">
            <w:pPr>
              <w:rPr>
                <w:sz w:val="13"/>
                <w:szCs w:val="13"/>
              </w:rPr>
            </w:pPr>
          </w:p>
        </w:tc>
        <w:tc>
          <w:tcPr>
            <w:tcW w:w="403" w:type="dxa"/>
          </w:tcPr>
          <w:p w14:paraId="27612065" w14:textId="77777777" w:rsidR="0087601C" w:rsidRPr="006A1EC7" w:rsidRDefault="0087601C" w:rsidP="00D56051">
            <w:pPr>
              <w:rPr>
                <w:sz w:val="13"/>
                <w:szCs w:val="13"/>
              </w:rPr>
            </w:pPr>
            <w:r w:rsidRPr="006A1EC7">
              <w:rPr>
                <w:sz w:val="13"/>
                <w:szCs w:val="13"/>
              </w:rPr>
              <w:t>40</w:t>
            </w:r>
          </w:p>
        </w:tc>
        <w:tc>
          <w:tcPr>
            <w:tcW w:w="478" w:type="dxa"/>
            <w:shd w:val="clear" w:color="auto" w:fill="FFFF00"/>
          </w:tcPr>
          <w:p w14:paraId="54248D9E" w14:textId="77777777" w:rsidR="0087601C" w:rsidRPr="006A1EC7" w:rsidRDefault="0087601C" w:rsidP="00D56051">
            <w:pPr>
              <w:rPr>
                <w:sz w:val="13"/>
                <w:szCs w:val="13"/>
              </w:rPr>
            </w:pPr>
          </w:p>
        </w:tc>
        <w:tc>
          <w:tcPr>
            <w:tcW w:w="478" w:type="dxa"/>
            <w:shd w:val="clear" w:color="auto" w:fill="FFFF00"/>
          </w:tcPr>
          <w:p w14:paraId="1959D8D1" w14:textId="77777777" w:rsidR="0087601C" w:rsidRPr="006A1EC7" w:rsidRDefault="0087601C" w:rsidP="00D56051">
            <w:pPr>
              <w:rPr>
                <w:sz w:val="13"/>
                <w:szCs w:val="13"/>
              </w:rPr>
            </w:pPr>
          </w:p>
        </w:tc>
        <w:tc>
          <w:tcPr>
            <w:tcW w:w="403" w:type="dxa"/>
          </w:tcPr>
          <w:p w14:paraId="26DF8B6A" w14:textId="77777777" w:rsidR="0087601C" w:rsidRPr="006A1EC7" w:rsidRDefault="0087601C" w:rsidP="00D56051">
            <w:pPr>
              <w:rPr>
                <w:sz w:val="13"/>
                <w:szCs w:val="13"/>
              </w:rPr>
            </w:pPr>
            <w:r w:rsidRPr="006A1EC7">
              <w:rPr>
                <w:sz w:val="13"/>
                <w:szCs w:val="13"/>
              </w:rPr>
              <w:t>50</w:t>
            </w:r>
          </w:p>
        </w:tc>
        <w:tc>
          <w:tcPr>
            <w:tcW w:w="403" w:type="dxa"/>
            <w:shd w:val="clear" w:color="auto" w:fill="auto"/>
          </w:tcPr>
          <w:p w14:paraId="68F431E7" w14:textId="77777777" w:rsidR="0087601C" w:rsidRPr="006A1EC7" w:rsidRDefault="0087601C" w:rsidP="00D56051">
            <w:pPr>
              <w:rPr>
                <w:sz w:val="13"/>
                <w:szCs w:val="13"/>
              </w:rPr>
            </w:pPr>
          </w:p>
        </w:tc>
        <w:tc>
          <w:tcPr>
            <w:tcW w:w="403" w:type="dxa"/>
            <w:shd w:val="clear" w:color="auto" w:fill="auto"/>
          </w:tcPr>
          <w:p w14:paraId="7B2B674C" w14:textId="77777777" w:rsidR="0087601C" w:rsidRPr="006A1EC7" w:rsidRDefault="0087601C" w:rsidP="00D56051">
            <w:pPr>
              <w:rPr>
                <w:sz w:val="13"/>
                <w:szCs w:val="13"/>
              </w:rPr>
            </w:pPr>
          </w:p>
        </w:tc>
      </w:tr>
    </w:tbl>
    <w:p w14:paraId="281B72DE" w14:textId="77777777" w:rsidR="0087601C" w:rsidRPr="006A1EC7" w:rsidRDefault="0087601C" w:rsidP="0087601C">
      <w:pPr>
        <w:rPr>
          <w:b/>
          <w:bCs/>
          <w:sz w:val="13"/>
          <w:szCs w:val="13"/>
        </w:rPr>
      </w:pPr>
    </w:p>
    <w:p w14:paraId="401270BC" w14:textId="77777777" w:rsidR="0087601C" w:rsidRPr="006A1EC7" w:rsidRDefault="0087601C" w:rsidP="0087601C">
      <w:pPr>
        <w:rPr>
          <w:b/>
          <w:bCs/>
          <w:sz w:val="13"/>
          <w:szCs w:val="13"/>
        </w:rPr>
      </w:pPr>
    </w:p>
    <w:p w14:paraId="1E7BBE15" w14:textId="77777777" w:rsidR="0087601C" w:rsidRPr="006A1EC7" w:rsidRDefault="0087601C" w:rsidP="0087601C">
      <w:pPr>
        <w:rPr>
          <w:b/>
          <w:bCs/>
          <w:sz w:val="13"/>
          <w:szCs w:val="13"/>
        </w:rPr>
      </w:pPr>
      <w:r w:rsidRPr="006A1EC7">
        <w:rPr>
          <w:b/>
          <w:bCs/>
          <w:sz w:val="13"/>
          <w:szCs w:val="13"/>
        </w:rPr>
        <w:t>VIGNETTE 5: ALESSANDRO</w:t>
      </w:r>
    </w:p>
    <w:p w14:paraId="0C37E0AE" w14:textId="77777777" w:rsidR="0087601C" w:rsidRPr="006A1EC7" w:rsidRDefault="0087601C" w:rsidP="0087601C">
      <w:pPr>
        <w:rPr>
          <w:b/>
          <w:bCs/>
          <w:sz w:val="13"/>
          <w:szCs w:val="13"/>
        </w:rPr>
      </w:pPr>
    </w:p>
    <w:tbl>
      <w:tblPr>
        <w:tblStyle w:val="TableGrid"/>
        <w:tblW w:w="0" w:type="auto"/>
        <w:tblLook w:val="04A0" w:firstRow="1" w:lastRow="0" w:firstColumn="1" w:lastColumn="0" w:noHBand="0" w:noVBand="1"/>
      </w:tblPr>
      <w:tblGrid>
        <w:gridCol w:w="758"/>
        <w:gridCol w:w="476"/>
        <w:gridCol w:w="476"/>
        <w:gridCol w:w="477"/>
        <w:gridCol w:w="477"/>
        <w:gridCol w:w="477"/>
        <w:gridCol w:w="458"/>
        <w:gridCol w:w="477"/>
        <w:gridCol w:w="406"/>
        <w:gridCol w:w="411"/>
        <w:gridCol w:w="406"/>
        <w:gridCol w:w="520"/>
      </w:tblGrid>
      <w:tr w:rsidR="0087601C" w:rsidRPr="006A1EC7" w14:paraId="100B5B7A" w14:textId="77777777" w:rsidTr="00D56051">
        <w:trPr>
          <w:trHeight w:val="558"/>
        </w:trPr>
        <w:tc>
          <w:tcPr>
            <w:tcW w:w="636" w:type="dxa"/>
          </w:tcPr>
          <w:p w14:paraId="56B33DC3" w14:textId="77777777" w:rsidR="0087601C" w:rsidRPr="006A1EC7" w:rsidRDefault="0087601C" w:rsidP="00D56051">
            <w:pPr>
              <w:rPr>
                <w:sz w:val="13"/>
                <w:szCs w:val="13"/>
              </w:rPr>
            </w:pPr>
          </w:p>
        </w:tc>
        <w:tc>
          <w:tcPr>
            <w:tcW w:w="476" w:type="dxa"/>
            <w:shd w:val="clear" w:color="auto" w:fill="FFFF00"/>
          </w:tcPr>
          <w:p w14:paraId="355557C7" w14:textId="77777777" w:rsidR="0087601C" w:rsidRPr="006A1EC7" w:rsidRDefault="0087601C" w:rsidP="00D56051">
            <w:pPr>
              <w:rPr>
                <w:sz w:val="13"/>
                <w:szCs w:val="13"/>
              </w:rPr>
            </w:pPr>
            <w:r w:rsidRPr="006A1EC7">
              <w:rPr>
                <w:sz w:val="13"/>
                <w:szCs w:val="13"/>
              </w:rPr>
              <w:t>J1 (1)</w:t>
            </w:r>
          </w:p>
        </w:tc>
        <w:tc>
          <w:tcPr>
            <w:tcW w:w="476" w:type="dxa"/>
            <w:shd w:val="clear" w:color="auto" w:fill="FFFF00"/>
          </w:tcPr>
          <w:p w14:paraId="26154363" w14:textId="77777777" w:rsidR="0087601C" w:rsidRPr="006A1EC7" w:rsidRDefault="0087601C" w:rsidP="00D56051">
            <w:pPr>
              <w:rPr>
                <w:sz w:val="13"/>
                <w:szCs w:val="13"/>
              </w:rPr>
            </w:pPr>
            <w:r w:rsidRPr="006A1EC7">
              <w:rPr>
                <w:sz w:val="13"/>
                <w:szCs w:val="13"/>
              </w:rPr>
              <w:t>J1 (2)</w:t>
            </w:r>
          </w:p>
        </w:tc>
        <w:tc>
          <w:tcPr>
            <w:tcW w:w="477" w:type="dxa"/>
          </w:tcPr>
          <w:p w14:paraId="18C6FB7E" w14:textId="77777777" w:rsidR="0087601C" w:rsidRPr="006A1EC7" w:rsidRDefault="0087601C" w:rsidP="00D56051">
            <w:pPr>
              <w:rPr>
                <w:sz w:val="13"/>
                <w:szCs w:val="13"/>
              </w:rPr>
            </w:pPr>
          </w:p>
        </w:tc>
        <w:tc>
          <w:tcPr>
            <w:tcW w:w="477" w:type="dxa"/>
            <w:shd w:val="clear" w:color="auto" w:fill="FFFF00"/>
          </w:tcPr>
          <w:p w14:paraId="24AAD20A" w14:textId="77777777" w:rsidR="0087601C" w:rsidRPr="006A1EC7" w:rsidRDefault="0087601C" w:rsidP="00D56051">
            <w:pPr>
              <w:rPr>
                <w:sz w:val="13"/>
                <w:szCs w:val="13"/>
              </w:rPr>
            </w:pPr>
            <w:r w:rsidRPr="006A1EC7">
              <w:rPr>
                <w:sz w:val="13"/>
                <w:szCs w:val="13"/>
              </w:rPr>
              <w:t>J2 (1)</w:t>
            </w:r>
          </w:p>
        </w:tc>
        <w:tc>
          <w:tcPr>
            <w:tcW w:w="477" w:type="dxa"/>
            <w:shd w:val="clear" w:color="auto" w:fill="FFFF00"/>
          </w:tcPr>
          <w:p w14:paraId="48488520" w14:textId="77777777" w:rsidR="0087601C" w:rsidRPr="006A1EC7" w:rsidRDefault="0087601C" w:rsidP="00D56051">
            <w:pPr>
              <w:rPr>
                <w:sz w:val="13"/>
                <w:szCs w:val="13"/>
              </w:rPr>
            </w:pPr>
            <w:r w:rsidRPr="006A1EC7">
              <w:rPr>
                <w:sz w:val="13"/>
                <w:szCs w:val="13"/>
              </w:rPr>
              <w:t>J2 (2)</w:t>
            </w:r>
          </w:p>
        </w:tc>
        <w:tc>
          <w:tcPr>
            <w:tcW w:w="458" w:type="dxa"/>
          </w:tcPr>
          <w:p w14:paraId="2127FF02" w14:textId="77777777" w:rsidR="0087601C" w:rsidRPr="006A1EC7" w:rsidRDefault="0087601C" w:rsidP="00D56051">
            <w:pPr>
              <w:rPr>
                <w:sz w:val="13"/>
                <w:szCs w:val="13"/>
              </w:rPr>
            </w:pPr>
          </w:p>
        </w:tc>
        <w:tc>
          <w:tcPr>
            <w:tcW w:w="477" w:type="dxa"/>
            <w:shd w:val="clear" w:color="auto" w:fill="FFFF00"/>
          </w:tcPr>
          <w:p w14:paraId="166EB629" w14:textId="77777777" w:rsidR="0087601C" w:rsidRPr="006A1EC7" w:rsidRDefault="0087601C" w:rsidP="00D56051">
            <w:pPr>
              <w:rPr>
                <w:sz w:val="13"/>
                <w:szCs w:val="13"/>
              </w:rPr>
            </w:pPr>
            <w:r w:rsidRPr="006A1EC7">
              <w:rPr>
                <w:sz w:val="13"/>
                <w:szCs w:val="13"/>
              </w:rPr>
              <w:t>J3 (1)</w:t>
            </w:r>
          </w:p>
        </w:tc>
        <w:tc>
          <w:tcPr>
            <w:tcW w:w="406" w:type="dxa"/>
            <w:shd w:val="clear" w:color="auto" w:fill="FFFF00"/>
          </w:tcPr>
          <w:p w14:paraId="304F12D8" w14:textId="77777777" w:rsidR="0087601C" w:rsidRPr="006A1EC7" w:rsidRDefault="0087601C" w:rsidP="00D56051">
            <w:pPr>
              <w:rPr>
                <w:sz w:val="13"/>
                <w:szCs w:val="13"/>
              </w:rPr>
            </w:pPr>
            <w:r w:rsidRPr="006A1EC7">
              <w:rPr>
                <w:sz w:val="13"/>
                <w:szCs w:val="13"/>
              </w:rPr>
              <w:t>J3 2)</w:t>
            </w:r>
          </w:p>
        </w:tc>
        <w:tc>
          <w:tcPr>
            <w:tcW w:w="406" w:type="dxa"/>
          </w:tcPr>
          <w:p w14:paraId="6492BB0A" w14:textId="77777777" w:rsidR="0087601C" w:rsidRPr="006A1EC7" w:rsidRDefault="0087601C" w:rsidP="00D56051">
            <w:pPr>
              <w:rPr>
                <w:sz w:val="13"/>
                <w:szCs w:val="13"/>
              </w:rPr>
            </w:pPr>
          </w:p>
        </w:tc>
        <w:tc>
          <w:tcPr>
            <w:tcW w:w="406" w:type="dxa"/>
            <w:shd w:val="clear" w:color="auto" w:fill="auto"/>
          </w:tcPr>
          <w:p w14:paraId="6C1E4EEA" w14:textId="77777777" w:rsidR="0087601C" w:rsidRPr="006A1EC7" w:rsidRDefault="0087601C" w:rsidP="00D56051">
            <w:pPr>
              <w:rPr>
                <w:sz w:val="13"/>
                <w:szCs w:val="13"/>
              </w:rPr>
            </w:pPr>
          </w:p>
        </w:tc>
        <w:tc>
          <w:tcPr>
            <w:tcW w:w="406" w:type="dxa"/>
            <w:shd w:val="clear" w:color="auto" w:fill="auto"/>
          </w:tcPr>
          <w:p w14:paraId="61C65081" w14:textId="77777777" w:rsidR="0087601C" w:rsidRPr="006A1EC7" w:rsidRDefault="0087601C" w:rsidP="00D56051">
            <w:pPr>
              <w:rPr>
                <w:sz w:val="13"/>
                <w:szCs w:val="13"/>
              </w:rPr>
            </w:pPr>
          </w:p>
        </w:tc>
      </w:tr>
      <w:tr w:rsidR="0087601C" w:rsidRPr="006A1EC7" w14:paraId="04D7C5E6" w14:textId="77777777" w:rsidTr="00D56051">
        <w:trPr>
          <w:trHeight w:val="297"/>
        </w:trPr>
        <w:tc>
          <w:tcPr>
            <w:tcW w:w="636" w:type="dxa"/>
          </w:tcPr>
          <w:p w14:paraId="1EC11F67" w14:textId="77777777" w:rsidR="0087601C" w:rsidRPr="006A1EC7" w:rsidRDefault="0087601C" w:rsidP="00D56051">
            <w:pPr>
              <w:rPr>
                <w:sz w:val="13"/>
                <w:szCs w:val="13"/>
              </w:rPr>
            </w:pPr>
            <w:r w:rsidRPr="006A1EC7">
              <w:rPr>
                <w:sz w:val="13"/>
                <w:szCs w:val="13"/>
              </w:rPr>
              <w:t>FCE</w:t>
            </w:r>
          </w:p>
        </w:tc>
        <w:tc>
          <w:tcPr>
            <w:tcW w:w="476" w:type="dxa"/>
            <w:shd w:val="clear" w:color="auto" w:fill="FFFF00"/>
          </w:tcPr>
          <w:p w14:paraId="71DE8237"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003662FB" w14:textId="77777777" w:rsidR="0087601C" w:rsidRPr="006A1EC7" w:rsidRDefault="0087601C" w:rsidP="00D56051">
            <w:pPr>
              <w:rPr>
                <w:sz w:val="13"/>
                <w:szCs w:val="13"/>
              </w:rPr>
            </w:pPr>
            <w:r w:rsidRPr="006A1EC7">
              <w:rPr>
                <w:sz w:val="13"/>
                <w:szCs w:val="13"/>
              </w:rPr>
              <w:t>3</w:t>
            </w:r>
          </w:p>
        </w:tc>
        <w:tc>
          <w:tcPr>
            <w:tcW w:w="477" w:type="dxa"/>
          </w:tcPr>
          <w:p w14:paraId="417FF95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58D8DB8"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0282B187" w14:textId="77777777" w:rsidR="0087601C" w:rsidRPr="006A1EC7" w:rsidRDefault="0087601C" w:rsidP="00D56051">
            <w:pPr>
              <w:rPr>
                <w:sz w:val="13"/>
                <w:szCs w:val="13"/>
              </w:rPr>
            </w:pPr>
            <w:r w:rsidRPr="006A1EC7">
              <w:rPr>
                <w:sz w:val="13"/>
                <w:szCs w:val="13"/>
              </w:rPr>
              <w:t>3</w:t>
            </w:r>
          </w:p>
        </w:tc>
        <w:tc>
          <w:tcPr>
            <w:tcW w:w="458" w:type="dxa"/>
          </w:tcPr>
          <w:p w14:paraId="6AE127C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AC13101" w14:textId="77777777" w:rsidR="0087601C" w:rsidRPr="006A1EC7" w:rsidRDefault="0087601C" w:rsidP="00D56051">
            <w:pPr>
              <w:rPr>
                <w:sz w:val="13"/>
                <w:szCs w:val="13"/>
              </w:rPr>
            </w:pPr>
            <w:r w:rsidRPr="006A1EC7">
              <w:rPr>
                <w:sz w:val="13"/>
                <w:szCs w:val="13"/>
              </w:rPr>
              <w:t>4</w:t>
            </w:r>
          </w:p>
        </w:tc>
        <w:tc>
          <w:tcPr>
            <w:tcW w:w="406" w:type="dxa"/>
            <w:shd w:val="clear" w:color="auto" w:fill="FFFF00"/>
          </w:tcPr>
          <w:p w14:paraId="4081C70F" w14:textId="77777777" w:rsidR="0087601C" w:rsidRPr="006A1EC7" w:rsidRDefault="0087601C" w:rsidP="00D56051">
            <w:pPr>
              <w:rPr>
                <w:sz w:val="13"/>
                <w:szCs w:val="13"/>
              </w:rPr>
            </w:pPr>
            <w:r w:rsidRPr="006A1EC7">
              <w:rPr>
                <w:sz w:val="13"/>
                <w:szCs w:val="13"/>
              </w:rPr>
              <w:t>4</w:t>
            </w:r>
          </w:p>
        </w:tc>
        <w:tc>
          <w:tcPr>
            <w:tcW w:w="406" w:type="dxa"/>
          </w:tcPr>
          <w:p w14:paraId="4DBE602B"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1B7C23AC" w14:textId="77777777" w:rsidR="0087601C" w:rsidRPr="006A1EC7" w:rsidRDefault="0087601C" w:rsidP="00D56051">
            <w:pPr>
              <w:rPr>
                <w:sz w:val="13"/>
                <w:szCs w:val="13"/>
              </w:rPr>
            </w:pPr>
            <w:r w:rsidRPr="006A1EC7">
              <w:rPr>
                <w:sz w:val="13"/>
                <w:szCs w:val="13"/>
              </w:rPr>
              <w:t>2/3</w:t>
            </w:r>
          </w:p>
        </w:tc>
        <w:tc>
          <w:tcPr>
            <w:tcW w:w="406" w:type="dxa"/>
            <w:shd w:val="clear" w:color="auto" w:fill="auto"/>
          </w:tcPr>
          <w:p w14:paraId="04712CFE" w14:textId="77777777" w:rsidR="0087601C" w:rsidRPr="006A1EC7" w:rsidRDefault="0087601C" w:rsidP="00D56051">
            <w:pPr>
              <w:rPr>
                <w:sz w:val="13"/>
                <w:szCs w:val="13"/>
              </w:rPr>
            </w:pPr>
            <w:r w:rsidRPr="006A1EC7">
              <w:rPr>
                <w:sz w:val="13"/>
                <w:szCs w:val="13"/>
              </w:rPr>
              <w:t>66%</w:t>
            </w:r>
          </w:p>
        </w:tc>
      </w:tr>
      <w:tr w:rsidR="0087601C" w:rsidRPr="006A1EC7" w14:paraId="75AD1BD4" w14:textId="77777777" w:rsidTr="00D56051">
        <w:tc>
          <w:tcPr>
            <w:tcW w:w="636" w:type="dxa"/>
          </w:tcPr>
          <w:p w14:paraId="64CFAFD1" w14:textId="77777777" w:rsidR="0087601C" w:rsidRPr="006A1EC7" w:rsidRDefault="0087601C" w:rsidP="00D56051">
            <w:pPr>
              <w:rPr>
                <w:sz w:val="13"/>
                <w:szCs w:val="13"/>
              </w:rPr>
            </w:pPr>
            <w:r w:rsidRPr="006A1EC7">
              <w:rPr>
                <w:sz w:val="13"/>
                <w:szCs w:val="13"/>
              </w:rPr>
              <w:t>EPY</w:t>
            </w:r>
          </w:p>
        </w:tc>
        <w:tc>
          <w:tcPr>
            <w:tcW w:w="476" w:type="dxa"/>
            <w:shd w:val="clear" w:color="auto" w:fill="FFFF00"/>
          </w:tcPr>
          <w:p w14:paraId="0E98C5A9"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15E3AAFB" w14:textId="77777777" w:rsidR="0087601C" w:rsidRPr="006A1EC7" w:rsidRDefault="0087601C" w:rsidP="00D56051">
            <w:pPr>
              <w:rPr>
                <w:sz w:val="13"/>
                <w:szCs w:val="13"/>
              </w:rPr>
            </w:pPr>
            <w:r w:rsidRPr="006A1EC7">
              <w:rPr>
                <w:sz w:val="13"/>
                <w:szCs w:val="13"/>
              </w:rPr>
              <w:t>0</w:t>
            </w:r>
          </w:p>
        </w:tc>
        <w:tc>
          <w:tcPr>
            <w:tcW w:w="477" w:type="dxa"/>
          </w:tcPr>
          <w:p w14:paraId="5A2316B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F2AE816"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C164EA8" w14:textId="77777777" w:rsidR="0087601C" w:rsidRPr="006A1EC7" w:rsidRDefault="0087601C" w:rsidP="00D56051">
            <w:pPr>
              <w:rPr>
                <w:sz w:val="13"/>
                <w:szCs w:val="13"/>
              </w:rPr>
            </w:pPr>
            <w:r w:rsidRPr="006A1EC7">
              <w:rPr>
                <w:sz w:val="13"/>
                <w:szCs w:val="13"/>
              </w:rPr>
              <w:t>0</w:t>
            </w:r>
          </w:p>
        </w:tc>
        <w:tc>
          <w:tcPr>
            <w:tcW w:w="458" w:type="dxa"/>
          </w:tcPr>
          <w:p w14:paraId="7ED48BD9"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B05F7BF"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6EFE3439" w14:textId="77777777" w:rsidR="0087601C" w:rsidRPr="006A1EC7" w:rsidRDefault="0087601C" w:rsidP="00D56051">
            <w:pPr>
              <w:rPr>
                <w:sz w:val="13"/>
                <w:szCs w:val="13"/>
              </w:rPr>
            </w:pPr>
            <w:r w:rsidRPr="006A1EC7">
              <w:rPr>
                <w:sz w:val="13"/>
                <w:szCs w:val="13"/>
              </w:rPr>
              <w:t>0</w:t>
            </w:r>
          </w:p>
        </w:tc>
        <w:tc>
          <w:tcPr>
            <w:tcW w:w="406" w:type="dxa"/>
          </w:tcPr>
          <w:p w14:paraId="292666BE"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41406090"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5DC55079" w14:textId="77777777" w:rsidR="0087601C" w:rsidRPr="006A1EC7" w:rsidRDefault="0087601C" w:rsidP="00D56051">
            <w:pPr>
              <w:rPr>
                <w:sz w:val="13"/>
                <w:szCs w:val="13"/>
              </w:rPr>
            </w:pPr>
            <w:r w:rsidRPr="006A1EC7">
              <w:rPr>
                <w:sz w:val="13"/>
                <w:szCs w:val="13"/>
              </w:rPr>
              <w:t>100%</w:t>
            </w:r>
          </w:p>
        </w:tc>
      </w:tr>
      <w:tr w:rsidR="0087601C" w:rsidRPr="006A1EC7" w14:paraId="7EEB264A" w14:textId="77777777" w:rsidTr="00D56051">
        <w:tc>
          <w:tcPr>
            <w:tcW w:w="636" w:type="dxa"/>
          </w:tcPr>
          <w:p w14:paraId="0D11871C" w14:textId="77777777" w:rsidR="0087601C" w:rsidRPr="006A1EC7" w:rsidRDefault="0087601C" w:rsidP="00D56051">
            <w:pPr>
              <w:rPr>
                <w:sz w:val="13"/>
                <w:szCs w:val="13"/>
              </w:rPr>
            </w:pPr>
            <w:r w:rsidRPr="006A1EC7">
              <w:rPr>
                <w:sz w:val="13"/>
                <w:szCs w:val="13"/>
              </w:rPr>
              <w:t>GST</w:t>
            </w:r>
          </w:p>
        </w:tc>
        <w:tc>
          <w:tcPr>
            <w:tcW w:w="476" w:type="dxa"/>
            <w:shd w:val="clear" w:color="auto" w:fill="FFFF00"/>
          </w:tcPr>
          <w:p w14:paraId="7478F0A5" w14:textId="77777777" w:rsidR="0087601C" w:rsidRPr="006A1EC7" w:rsidRDefault="0087601C" w:rsidP="00D56051">
            <w:pPr>
              <w:rPr>
                <w:sz w:val="13"/>
                <w:szCs w:val="13"/>
              </w:rPr>
            </w:pPr>
            <w:r w:rsidRPr="006A1EC7">
              <w:rPr>
                <w:sz w:val="13"/>
                <w:szCs w:val="13"/>
              </w:rPr>
              <w:t>21</w:t>
            </w:r>
          </w:p>
        </w:tc>
        <w:tc>
          <w:tcPr>
            <w:tcW w:w="476" w:type="dxa"/>
            <w:shd w:val="clear" w:color="auto" w:fill="FFFF00"/>
          </w:tcPr>
          <w:p w14:paraId="5EB4E1FA" w14:textId="77777777" w:rsidR="0087601C" w:rsidRPr="006A1EC7" w:rsidRDefault="0087601C" w:rsidP="00D56051">
            <w:pPr>
              <w:rPr>
                <w:sz w:val="13"/>
                <w:szCs w:val="13"/>
              </w:rPr>
            </w:pPr>
            <w:r w:rsidRPr="006A1EC7">
              <w:rPr>
                <w:sz w:val="13"/>
                <w:szCs w:val="13"/>
              </w:rPr>
              <w:t>21</w:t>
            </w:r>
          </w:p>
        </w:tc>
        <w:tc>
          <w:tcPr>
            <w:tcW w:w="477" w:type="dxa"/>
          </w:tcPr>
          <w:p w14:paraId="5C4E0D5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9635E96" w14:textId="77777777" w:rsidR="0087601C" w:rsidRPr="006A1EC7" w:rsidRDefault="0087601C" w:rsidP="00D56051">
            <w:pPr>
              <w:rPr>
                <w:sz w:val="13"/>
                <w:szCs w:val="13"/>
              </w:rPr>
            </w:pPr>
            <w:r w:rsidRPr="006A1EC7">
              <w:rPr>
                <w:sz w:val="13"/>
                <w:szCs w:val="13"/>
              </w:rPr>
              <w:t>21</w:t>
            </w:r>
          </w:p>
        </w:tc>
        <w:tc>
          <w:tcPr>
            <w:tcW w:w="477" w:type="dxa"/>
            <w:shd w:val="clear" w:color="auto" w:fill="FFFF00"/>
          </w:tcPr>
          <w:p w14:paraId="34306401" w14:textId="77777777" w:rsidR="0087601C" w:rsidRPr="006A1EC7" w:rsidRDefault="0087601C" w:rsidP="00D56051">
            <w:pPr>
              <w:rPr>
                <w:sz w:val="13"/>
                <w:szCs w:val="13"/>
              </w:rPr>
            </w:pPr>
            <w:r w:rsidRPr="006A1EC7">
              <w:rPr>
                <w:sz w:val="13"/>
                <w:szCs w:val="13"/>
              </w:rPr>
              <w:t>21</w:t>
            </w:r>
          </w:p>
        </w:tc>
        <w:tc>
          <w:tcPr>
            <w:tcW w:w="458" w:type="dxa"/>
          </w:tcPr>
          <w:p w14:paraId="3F79471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AA91732" w14:textId="77777777" w:rsidR="0087601C" w:rsidRPr="006A1EC7" w:rsidRDefault="0087601C" w:rsidP="00D56051">
            <w:pPr>
              <w:rPr>
                <w:sz w:val="13"/>
                <w:szCs w:val="13"/>
              </w:rPr>
            </w:pPr>
            <w:r w:rsidRPr="006A1EC7">
              <w:rPr>
                <w:sz w:val="13"/>
                <w:szCs w:val="13"/>
              </w:rPr>
              <w:t>21</w:t>
            </w:r>
          </w:p>
        </w:tc>
        <w:tc>
          <w:tcPr>
            <w:tcW w:w="406" w:type="dxa"/>
            <w:shd w:val="clear" w:color="auto" w:fill="FFFF00"/>
          </w:tcPr>
          <w:p w14:paraId="33EBAAD6" w14:textId="77777777" w:rsidR="0087601C" w:rsidRPr="006A1EC7" w:rsidRDefault="0087601C" w:rsidP="00D56051">
            <w:pPr>
              <w:rPr>
                <w:sz w:val="13"/>
                <w:szCs w:val="13"/>
              </w:rPr>
            </w:pPr>
            <w:r w:rsidRPr="006A1EC7">
              <w:rPr>
                <w:sz w:val="13"/>
                <w:szCs w:val="13"/>
              </w:rPr>
              <w:t>21</w:t>
            </w:r>
          </w:p>
        </w:tc>
        <w:tc>
          <w:tcPr>
            <w:tcW w:w="406" w:type="dxa"/>
          </w:tcPr>
          <w:p w14:paraId="7305AD21"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3BCFBF94"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2BF55C85" w14:textId="77777777" w:rsidR="0087601C" w:rsidRPr="006A1EC7" w:rsidRDefault="0087601C" w:rsidP="00D56051">
            <w:pPr>
              <w:rPr>
                <w:sz w:val="13"/>
                <w:szCs w:val="13"/>
              </w:rPr>
            </w:pPr>
            <w:r w:rsidRPr="006A1EC7">
              <w:rPr>
                <w:sz w:val="13"/>
                <w:szCs w:val="13"/>
              </w:rPr>
              <w:t>100%</w:t>
            </w:r>
          </w:p>
        </w:tc>
      </w:tr>
      <w:tr w:rsidR="0087601C" w:rsidRPr="006A1EC7" w14:paraId="66F1AA23" w14:textId="77777777" w:rsidTr="00D56051">
        <w:tc>
          <w:tcPr>
            <w:tcW w:w="636" w:type="dxa"/>
          </w:tcPr>
          <w:p w14:paraId="1E28EC21" w14:textId="77777777" w:rsidR="0087601C" w:rsidRPr="006A1EC7" w:rsidRDefault="0087601C" w:rsidP="00D56051">
            <w:pPr>
              <w:rPr>
                <w:sz w:val="13"/>
                <w:szCs w:val="13"/>
              </w:rPr>
            </w:pPr>
            <w:r w:rsidRPr="006A1EC7">
              <w:rPr>
                <w:sz w:val="13"/>
                <w:szCs w:val="13"/>
              </w:rPr>
              <w:t>CRS</w:t>
            </w:r>
          </w:p>
        </w:tc>
        <w:tc>
          <w:tcPr>
            <w:tcW w:w="476" w:type="dxa"/>
            <w:shd w:val="clear" w:color="auto" w:fill="FFFF00"/>
          </w:tcPr>
          <w:p w14:paraId="22F78296" w14:textId="77777777" w:rsidR="0087601C" w:rsidRPr="006A1EC7" w:rsidRDefault="0087601C" w:rsidP="00D56051">
            <w:pPr>
              <w:rPr>
                <w:sz w:val="13"/>
                <w:szCs w:val="13"/>
              </w:rPr>
            </w:pPr>
            <w:r w:rsidRPr="006A1EC7">
              <w:rPr>
                <w:sz w:val="13"/>
                <w:szCs w:val="13"/>
              </w:rPr>
              <w:t>5</w:t>
            </w:r>
          </w:p>
        </w:tc>
        <w:tc>
          <w:tcPr>
            <w:tcW w:w="476" w:type="dxa"/>
            <w:shd w:val="clear" w:color="auto" w:fill="FFFF00"/>
          </w:tcPr>
          <w:p w14:paraId="0C596ABE" w14:textId="77777777" w:rsidR="0087601C" w:rsidRPr="006A1EC7" w:rsidRDefault="0087601C" w:rsidP="00D56051">
            <w:pPr>
              <w:rPr>
                <w:sz w:val="13"/>
                <w:szCs w:val="13"/>
              </w:rPr>
            </w:pPr>
            <w:r w:rsidRPr="006A1EC7">
              <w:rPr>
                <w:sz w:val="13"/>
                <w:szCs w:val="13"/>
              </w:rPr>
              <w:t>5</w:t>
            </w:r>
          </w:p>
        </w:tc>
        <w:tc>
          <w:tcPr>
            <w:tcW w:w="477" w:type="dxa"/>
          </w:tcPr>
          <w:p w14:paraId="5D60C1F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3FE948C"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38959AF2" w14:textId="77777777" w:rsidR="0087601C" w:rsidRPr="006A1EC7" w:rsidRDefault="0087601C" w:rsidP="00D56051">
            <w:pPr>
              <w:rPr>
                <w:sz w:val="13"/>
                <w:szCs w:val="13"/>
              </w:rPr>
            </w:pPr>
            <w:r w:rsidRPr="006A1EC7">
              <w:rPr>
                <w:sz w:val="13"/>
                <w:szCs w:val="13"/>
              </w:rPr>
              <w:t>5</w:t>
            </w:r>
          </w:p>
        </w:tc>
        <w:tc>
          <w:tcPr>
            <w:tcW w:w="458" w:type="dxa"/>
          </w:tcPr>
          <w:p w14:paraId="5E6618D1"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DD30124" w14:textId="77777777" w:rsidR="0087601C" w:rsidRPr="006A1EC7" w:rsidRDefault="0087601C" w:rsidP="00D56051">
            <w:pPr>
              <w:rPr>
                <w:sz w:val="13"/>
                <w:szCs w:val="13"/>
              </w:rPr>
            </w:pPr>
            <w:r w:rsidRPr="006A1EC7">
              <w:rPr>
                <w:sz w:val="13"/>
                <w:szCs w:val="13"/>
              </w:rPr>
              <w:t>5</w:t>
            </w:r>
          </w:p>
        </w:tc>
        <w:tc>
          <w:tcPr>
            <w:tcW w:w="406" w:type="dxa"/>
            <w:shd w:val="clear" w:color="auto" w:fill="FFFF00"/>
          </w:tcPr>
          <w:p w14:paraId="72DF752D" w14:textId="77777777" w:rsidR="0087601C" w:rsidRPr="006A1EC7" w:rsidRDefault="0087601C" w:rsidP="00D56051">
            <w:pPr>
              <w:rPr>
                <w:sz w:val="13"/>
                <w:szCs w:val="13"/>
              </w:rPr>
            </w:pPr>
            <w:r w:rsidRPr="006A1EC7">
              <w:rPr>
                <w:sz w:val="13"/>
                <w:szCs w:val="13"/>
              </w:rPr>
              <w:t>5</w:t>
            </w:r>
          </w:p>
        </w:tc>
        <w:tc>
          <w:tcPr>
            <w:tcW w:w="406" w:type="dxa"/>
          </w:tcPr>
          <w:p w14:paraId="019F3AE9"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54A39DFD"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23F0C63C" w14:textId="77777777" w:rsidR="0087601C" w:rsidRPr="006A1EC7" w:rsidRDefault="0087601C" w:rsidP="00D56051">
            <w:pPr>
              <w:rPr>
                <w:sz w:val="13"/>
                <w:szCs w:val="13"/>
              </w:rPr>
            </w:pPr>
            <w:r w:rsidRPr="006A1EC7">
              <w:rPr>
                <w:sz w:val="13"/>
                <w:szCs w:val="13"/>
              </w:rPr>
              <w:t>100%</w:t>
            </w:r>
          </w:p>
        </w:tc>
      </w:tr>
      <w:tr w:rsidR="0087601C" w:rsidRPr="006A1EC7" w14:paraId="102382A8" w14:textId="77777777" w:rsidTr="00D56051">
        <w:tc>
          <w:tcPr>
            <w:tcW w:w="636" w:type="dxa"/>
          </w:tcPr>
          <w:p w14:paraId="6018DF59" w14:textId="77777777" w:rsidR="0087601C" w:rsidRPr="006A1EC7" w:rsidRDefault="0087601C" w:rsidP="00D56051">
            <w:pPr>
              <w:rPr>
                <w:sz w:val="13"/>
                <w:szCs w:val="13"/>
              </w:rPr>
            </w:pPr>
            <w:r w:rsidRPr="006A1EC7">
              <w:rPr>
                <w:sz w:val="13"/>
                <w:szCs w:val="13"/>
              </w:rPr>
              <w:t>CNS</w:t>
            </w:r>
          </w:p>
        </w:tc>
        <w:tc>
          <w:tcPr>
            <w:tcW w:w="476" w:type="dxa"/>
            <w:shd w:val="clear" w:color="auto" w:fill="FFFF00"/>
          </w:tcPr>
          <w:p w14:paraId="353D42FB" w14:textId="77777777" w:rsidR="0087601C" w:rsidRPr="006A1EC7" w:rsidRDefault="0087601C" w:rsidP="00D56051">
            <w:pPr>
              <w:rPr>
                <w:sz w:val="13"/>
                <w:szCs w:val="13"/>
              </w:rPr>
            </w:pPr>
            <w:r w:rsidRPr="006A1EC7">
              <w:rPr>
                <w:sz w:val="13"/>
                <w:szCs w:val="13"/>
              </w:rPr>
              <w:t>15</w:t>
            </w:r>
          </w:p>
        </w:tc>
        <w:tc>
          <w:tcPr>
            <w:tcW w:w="476" w:type="dxa"/>
            <w:shd w:val="clear" w:color="auto" w:fill="FFFF00"/>
          </w:tcPr>
          <w:p w14:paraId="0A3F755F" w14:textId="77777777" w:rsidR="0087601C" w:rsidRPr="006A1EC7" w:rsidRDefault="0087601C" w:rsidP="00D56051">
            <w:pPr>
              <w:rPr>
                <w:sz w:val="13"/>
                <w:szCs w:val="13"/>
              </w:rPr>
            </w:pPr>
            <w:r w:rsidRPr="006A1EC7">
              <w:rPr>
                <w:sz w:val="13"/>
                <w:szCs w:val="13"/>
              </w:rPr>
              <w:t>15</w:t>
            </w:r>
          </w:p>
        </w:tc>
        <w:tc>
          <w:tcPr>
            <w:tcW w:w="477" w:type="dxa"/>
          </w:tcPr>
          <w:p w14:paraId="3F867D5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583B63F" w14:textId="77777777" w:rsidR="0087601C" w:rsidRPr="006A1EC7" w:rsidRDefault="0087601C" w:rsidP="00D56051">
            <w:pPr>
              <w:rPr>
                <w:sz w:val="13"/>
                <w:szCs w:val="13"/>
              </w:rPr>
            </w:pPr>
            <w:r w:rsidRPr="006A1EC7">
              <w:rPr>
                <w:sz w:val="13"/>
                <w:szCs w:val="13"/>
              </w:rPr>
              <w:t>16</w:t>
            </w:r>
          </w:p>
        </w:tc>
        <w:tc>
          <w:tcPr>
            <w:tcW w:w="477" w:type="dxa"/>
            <w:shd w:val="clear" w:color="auto" w:fill="FFFF00"/>
          </w:tcPr>
          <w:p w14:paraId="48F34C7A" w14:textId="77777777" w:rsidR="0087601C" w:rsidRPr="006A1EC7" w:rsidRDefault="0087601C" w:rsidP="00D56051">
            <w:pPr>
              <w:rPr>
                <w:sz w:val="13"/>
                <w:szCs w:val="13"/>
              </w:rPr>
            </w:pPr>
            <w:r w:rsidRPr="006A1EC7">
              <w:rPr>
                <w:sz w:val="13"/>
                <w:szCs w:val="13"/>
              </w:rPr>
              <w:t>15</w:t>
            </w:r>
          </w:p>
        </w:tc>
        <w:tc>
          <w:tcPr>
            <w:tcW w:w="458" w:type="dxa"/>
          </w:tcPr>
          <w:p w14:paraId="38C9CA00"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0572822" w14:textId="77777777" w:rsidR="0087601C" w:rsidRPr="006A1EC7" w:rsidRDefault="0087601C" w:rsidP="00D56051">
            <w:pPr>
              <w:rPr>
                <w:sz w:val="13"/>
                <w:szCs w:val="13"/>
              </w:rPr>
            </w:pPr>
            <w:r w:rsidRPr="006A1EC7">
              <w:rPr>
                <w:sz w:val="13"/>
                <w:szCs w:val="13"/>
              </w:rPr>
              <w:t>14</w:t>
            </w:r>
          </w:p>
        </w:tc>
        <w:tc>
          <w:tcPr>
            <w:tcW w:w="406" w:type="dxa"/>
            <w:shd w:val="clear" w:color="auto" w:fill="FFFF00"/>
          </w:tcPr>
          <w:p w14:paraId="1AAB7ACB" w14:textId="77777777" w:rsidR="0087601C" w:rsidRPr="006A1EC7" w:rsidRDefault="0087601C" w:rsidP="00D56051">
            <w:pPr>
              <w:rPr>
                <w:sz w:val="13"/>
                <w:szCs w:val="13"/>
              </w:rPr>
            </w:pPr>
            <w:r w:rsidRPr="006A1EC7">
              <w:rPr>
                <w:sz w:val="13"/>
                <w:szCs w:val="13"/>
              </w:rPr>
              <w:t>14</w:t>
            </w:r>
          </w:p>
        </w:tc>
        <w:tc>
          <w:tcPr>
            <w:tcW w:w="406" w:type="dxa"/>
          </w:tcPr>
          <w:p w14:paraId="3F927A70"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716FF978" w14:textId="77777777" w:rsidR="0087601C" w:rsidRPr="006A1EC7" w:rsidRDefault="0087601C" w:rsidP="00D56051">
            <w:pPr>
              <w:rPr>
                <w:sz w:val="13"/>
                <w:szCs w:val="13"/>
              </w:rPr>
            </w:pPr>
            <w:r w:rsidRPr="006A1EC7">
              <w:rPr>
                <w:sz w:val="13"/>
                <w:szCs w:val="13"/>
              </w:rPr>
              <w:t>2/3</w:t>
            </w:r>
          </w:p>
        </w:tc>
        <w:tc>
          <w:tcPr>
            <w:tcW w:w="406" w:type="dxa"/>
            <w:shd w:val="clear" w:color="auto" w:fill="auto"/>
          </w:tcPr>
          <w:p w14:paraId="6FC2682D" w14:textId="77777777" w:rsidR="0087601C" w:rsidRPr="006A1EC7" w:rsidRDefault="0087601C" w:rsidP="00D56051">
            <w:pPr>
              <w:rPr>
                <w:sz w:val="13"/>
                <w:szCs w:val="13"/>
              </w:rPr>
            </w:pPr>
            <w:r w:rsidRPr="006A1EC7">
              <w:rPr>
                <w:sz w:val="13"/>
                <w:szCs w:val="13"/>
              </w:rPr>
              <w:t>66%</w:t>
            </w:r>
          </w:p>
        </w:tc>
      </w:tr>
      <w:tr w:rsidR="0087601C" w:rsidRPr="006A1EC7" w14:paraId="1FCE95F8" w14:textId="77777777" w:rsidTr="00D56051">
        <w:tc>
          <w:tcPr>
            <w:tcW w:w="636" w:type="dxa"/>
          </w:tcPr>
          <w:p w14:paraId="3D5827B2" w14:textId="77777777" w:rsidR="0087601C" w:rsidRPr="006A1EC7" w:rsidRDefault="0087601C" w:rsidP="00D56051">
            <w:pPr>
              <w:rPr>
                <w:sz w:val="13"/>
                <w:szCs w:val="13"/>
              </w:rPr>
            </w:pPr>
            <w:r w:rsidRPr="006A1EC7">
              <w:rPr>
                <w:sz w:val="13"/>
                <w:szCs w:val="13"/>
              </w:rPr>
              <w:t>FUC</w:t>
            </w:r>
          </w:p>
        </w:tc>
        <w:tc>
          <w:tcPr>
            <w:tcW w:w="476" w:type="dxa"/>
            <w:shd w:val="clear" w:color="auto" w:fill="FFFF00"/>
          </w:tcPr>
          <w:p w14:paraId="79F7A822" w14:textId="77777777" w:rsidR="0087601C" w:rsidRPr="006A1EC7" w:rsidRDefault="0087601C" w:rsidP="00D56051">
            <w:pPr>
              <w:rPr>
                <w:sz w:val="13"/>
                <w:szCs w:val="13"/>
              </w:rPr>
            </w:pPr>
            <w:r w:rsidRPr="006A1EC7">
              <w:rPr>
                <w:sz w:val="13"/>
                <w:szCs w:val="13"/>
              </w:rPr>
              <w:t>11</w:t>
            </w:r>
          </w:p>
        </w:tc>
        <w:tc>
          <w:tcPr>
            <w:tcW w:w="476" w:type="dxa"/>
            <w:shd w:val="clear" w:color="auto" w:fill="FFFF00"/>
          </w:tcPr>
          <w:p w14:paraId="2CFA23B4" w14:textId="77777777" w:rsidR="0087601C" w:rsidRPr="006A1EC7" w:rsidRDefault="0087601C" w:rsidP="00D56051">
            <w:pPr>
              <w:rPr>
                <w:sz w:val="13"/>
                <w:szCs w:val="13"/>
              </w:rPr>
            </w:pPr>
            <w:r w:rsidRPr="006A1EC7">
              <w:rPr>
                <w:sz w:val="13"/>
                <w:szCs w:val="13"/>
              </w:rPr>
              <w:t>11</w:t>
            </w:r>
          </w:p>
        </w:tc>
        <w:tc>
          <w:tcPr>
            <w:tcW w:w="477" w:type="dxa"/>
          </w:tcPr>
          <w:p w14:paraId="133873E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7C331A4" w14:textId="77777777" w:rsidR="0087601C" w:rsidRPr="006A1EC7" w:rsidRDefault="0087601C" w:rsidP="00D56051">
            <w:pPr>
              <w:rPr>
                <w:sz w:val="13"/>
                <w:szCs w:val="13"/>
              </w:rPr>
            </w:pPr>
            <w:r w:rsidRPr="006A1EC7">
              <w:rPr>
                <w:sz w:val="13"/>
                <w:szCs w:val="13"/>
              </w:rPr>
              <w:t>10</w:t>
            </w:r>
          </w:p>
        </w:tc>
        <w:tc>
          <w:tcPr>
            <w:tcW w:w="477" w:type="dxa"/>
            <w:shd w:val="clear" w:color="auto" w:fill="FFFF00"/>
          </w:tcPr>
          <w:p w14:paraId="165460C9" w14:textId="77777777" w:rsidR="0087601C" w:rsidRPr="006A1EC7" w:rsidRDefault="0087601C" w:rsidP="00D56051">
            <w:pPr>
              <w:rPr>
                <w:sz w:val="13"/>
                <w:szCs w:val="13"/>
              </w:rPr>
            </w:pPr>
            <w:r w:rsidRPr="006A1EC7">
              <w:rPr>
                <w:sz w:val="13"/>
                <w:szCs w:val="13"/>
              </w:rPr>
              <w:t>11</w:t>
            </w:r>
          </w:p>
        </w:tc>
        <w:tc>
          <w:tcPr>
            <w:tcW w:w="458" w:type="dxa"/>
          </w:tcPr>
          <w:p w14:paraId="3E11AA67"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46C311C7" w14:textId="77777777" w:rsidR="0087601C" w:rsidRPr="006A1EC7" w:rsidRDefault="0087601C" w:rsidP="00D56051">
            <w:pPr>
              <w:rPr>
                <w:sz w:val="13"/>
                <w:szCs w:val="13"/>
              </w:rPr>
            </w:pPr>
            <w:r w:rsidRPr="006A1EC7">
              <w:rPr>
                <w:sz w:val="13"/>
                <w:szCs w:val="13"/>
              </w:rPr>
              <w:t>11</w:t>
            </w:r>
          </w:p>
        </w:tc>
        <w:tc>
          <w:tcPr>
            <w:tcW w:w="406" w:type="dxa"/>
            <w:shd w:val="clear" w:color="auto" w:fill="FFFF00"/>
          </w:tcPr>
          <w:p w14:paraId="448DC966" w14:textId="77777777" w:rsidR="0087601C" w:rsidRPr="006A1EC7" w:rsidRDefault="0087601C" w:rsidP="00D56051">
            <w:pPr>
              <w:rPr>
                <w:sz w:val="13"/>
                <w:szCs w:val="13"/>
              </w:rPr>
            </w:pPr>
            <w:r w:rsidRPr="006A1EC7">
              <w:rPr>
                <w:sz w:val="13"/>
                <w:szCs w:val="13"/>
              </w:rPr>
              <w:t>11</w:t>
            </w:r>
          </w:p>
        </w:tc>
        <w:tc>
          <w:tcPr>
            <w:tcW w:w="406" w:type="dxa"/>
          </w:tcPr>
          <w:p w14:paraId="0E741A2F"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171D4588" w14:textId="77777777" w:rsidR="0087601C" w:rsidRPr="006A1EC7" w:rsidRDefault="0087601C" w:rsidP="00D56051">
            <w:pPr>
              <w:rPr>
                <w:sz w:val="13"/>
                <w:szCs w:val="13"/>
              </w:rPr>
            </w:pPr>
            <w:r w:rsidRPr="006A1EC7">
              <w:rPr>
                <w:sz w:val="13"/>
                <w:szCs w:val="13"/>
              </w:rPr>
              <w:t>2/3</w:t>
            </w:r>
          </w:p>
        </w:tc>
        <w:tc>
          <w:tcPr>
            <w:tcW w:w="406" w:type="dxa"/>
            <w:shd w:val="clear" w:color="auto" w:fill="auto"/>
          </w:tcPr>
          <w:p w14:paraId="59013EAF" w14:textId="77777777" w:rsidR="0087601C" w:rsidRPr="006A1EC7" w:rsidRDefault="0087601C" w:rsidP="00D56051">
            <w:pPr>
              <w:rPr>
                <w:sz w:val="13"/>
                <w:szCs w:val="13"/>
              </w:rPr>
            </w:pPr>
            <w:r w:rsidRPr="006A1EC7">
              <w:rPr>
                <w:sz w:val="13"/>
                <w:szCs w:val="13"/>
              </w:rPr>
              <w:t>66%</w:t>
            </w:r>
          </w:p>
        </w:tc>
      </w:tr>
      <w:tr w:rsidR="0087601C" w:rsidRPr="006A1EC7" w14:paraId="4BD0F492" w14:textId="77777777" w:rsidTr="00D56051">
        <w:tc>
          <w:tcPr>
            <w:tcW w:w="636" w:type="dxa"/>
          </w:tcPr>
          <w:p w14:paraId="535C0F21" w14:textId="77777777" w:rsidR="0087601C" w:rsidRPr="006A1EC7" w:rsidRDefault="0087601C" w:rsidP="00D56051">
            <w:pPr>
              <w:rPr>
                <w:sz w:val="13"/>
                <w:szCs w:val="13"/>
              </w:rPr>
            </w:pPr>
            <w:r w:rsidRPr="006A1EC7">
              <w:rPr>
                <w:sz w:val="13"/>
                <w:szCs w:val="13"/>
              </w:rPr>
              <w:t>IMU</w:t>
            </w:r>
          </w:p>
        </w:tc>
        <w:tc>
          <w:tcPr>
            <w:tcW w:w="476" w:type="dxa"/>
            <w:shd w:val="clear" w:color="auto" w:fill="FFFF00"/>
          </w:tcPr>
          <w:p w14:paraId="0DBD3C22" w14:textId="77777777" w:rsidR="0087601C" w:rsidRPr="006A1EC7" w:rsidRDefault="0087601C" w:rsidP="00D56051">
            <w:pPr>
              <w:rPr>
                <w:sz w:val="13"/>
                <w:szCs w:val="13"/>
              </w:rPr>
            </w:pPr>
            <w:r w:rsidRPr="006A1EC7">
              <w:rPr>
                <w:sz w:val="13"/>
                <w:szCs w:val="13"/>
              </w:rPr>
              <w:t>10</w:t>
            </w:r>
          </w:p>
        </w:tc>
        <w:tc>
          <w:tcPr>
            <w:tcW w:w="476" w:type="dxa"/>
            <w:shd w:val="clear" w:color="auto" w:fill="FFFF00"/>
          </w:tcPr>
          <w:p w14:paraId="2FB8A158" w14:textId="77777777" w:rsidR="0087601C" w:rsidRPr="006A1EC7" w:rsidRDefault="0087601C" w:rsidP="00D56051">
            <w:pPr>
              <w:rPr>
                <w:sz w:val="13"/>
                <w:szCs w:val="13"/>
              </w:rPr>
            </w:pPr>
            <w:r w:rsidRPr="006A1EC7">
              <w:rPr>
                <w:sz w:val="13"/>
                <w:szCs w:val="13"/>
              </w:rPr>
              <w:t>9</w:t>
            </w:r>
          </w:p>
        </w:tc>
        <w:tc>
          <w:tcPr>
            <w:tcW w:w="477" w:type="dxa"/>
          </w:tcPr>
          <w:p w14:paraId="59128143"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5F5CE71" w14:textId="77777777" w:rsidR="0087601C" w:rsidRPr="006A1EC7" w:rsidRDefault="0087601C" w:rsidP="00D56051">
            <w:pPr>
              <w:rPr>
                <w:sz w:val="13"/>
                <w:szCs w:val="13"/>
              </w:rPr>
            </w:pPr>
            <w:r w:rsidRPr="006A1EC7">
              <w:rPr>
                <w:sz w:val="13"/>
                <w:szCs w:val="13"/>
              </w:rPr>
              <w:t>7</w:t>
            </w:r>
          </w:p>
        </w:tc>
        <w:tc>
          <w:tcPr>
            <w:tcW w:w="477" w:type="dxa"/>
            <w:shd w:val="clear" w:color="auto" w:fill="FFFF00"/>
          </w:tcPr>
          <w:p w14:paraId="31FD9C7E" w14:textId="77777777" w:rsidR="0087601C" w:rsidRPr="006A1EC7" w:rsidRDefault="0087601C" w:rsidP="00D56051">
            <w:pPr>
              <w:rPr>
                <w:sz w:val="13"/>
                <w:szCs w:val="13"/>
              </w:rPr>
            </w:pPr>
            <w:r w:rsidRPr="006A1EC7">
              <w:rPr>
                <w:sz w:val="13"/>
                <w:szCs w:val="13"/>
              </w:rPr>
              <w:t>9</w:t>
            </w:r>
          </w:p>
        </w:tc>
        <w:tc>
          <w:tcPr>
            <w:tcW w:w="458" w:type="dxa"/>
          </w:tcPr>
          <w:p w14:paraId="696966A3"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B936564" w14:textId="77777777" w:rsidR="0087601C" w:rsidRPr="006A1EC7" w:rsidRDefault="0087601C" w:rsidP="00D56051">
            <w:pPr>
              <w:rPr>
                <w:sz w:val="13"/>
                <w:szCs w:val="13"/>
              </w:rPr>
            </w:pPr>
            <w:r w:rsidRPr="006A1EC7">
              <w:rPr>
                <w:sz w:val="13"/>
                <w:szCs w:val="13"/>
              </w:rPr>
              <w:t>7</w:t>
            </w:r>
          </w:p>
        </w:tc>
        <w:tc>
          <w:tcPr>
            <w:tcW w:w="406" w:type="dxa"/>
            <w:shd w:val="clear" w:color="auto" w:fill="FFFF00"/>
          </w:tcPr>
          <w:p w14:paraId="30A56F91" w14:textId="77777777" w:rsidR="0087601C" w:rsidRPr="006A1EC7" w:rsidRDefault="0087601C" w:rsidP="00D56051">
            <w:pPr>
              <w:rPr>
                <w:sz w:val="13"/>
                <w:szCs w:val="13"/>
              </w:rPr>
            </w:pPr>
            <w:r w:rsidRPr="006A1EC7">
              <w:rPr>
                <w:sz w:val="13"/>
                <w:szCs w:val="13"/>
              </w:rPr>
              <w:t>7</w:t>
            </w:r>
          </w:p>
        </w:tc>
        <w:tc>
          <w:tcPr>
            <w:tcW w:w="406" w:type="dxa"/>
          </w:tcPr>
          <w:p w14:paraId="55B5D708"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3C072114" w14:textId="77777777" w:rsidR="0087601C" w:rsidRPr="006A1EC7" w:rsidRDefault="0087601C" w:rsidP="00D56051">
            <w:pPr>
              <w:rPr>
                <w:sz w:val="13"/>
                <w:szCs w:val="13"/>
              </w:rPr>
            </w:pPr>
            <w:r w:rsidRPr="006A1EC7">
              <w:rPr>
                <w:sz w:val="13"/>
                <w:szCs w:val="13"/>
              </w:rPr>
              <w:t>1/3</w:t>
            </w:r>
          </w:p>
        </w:tc>
        <w:tc>
          <w:tcPr>
            <w:tcW w:w="406" w:type="dxa"/>
            <w:shd w:val="clear" w:color="auto" w:fill="auto"/>
          </w:tcPr>
          <w:p w14:paraId="788CC791" w14:textId="77777777" w:rsidR="0087601C" w:rsidRPr="006A1EC7" w:rsidRDefault="0087601C" w:rsidP="00D56051">
            <w:pPr>
              <w:rPr>
                <w:sz w:val="13"/>
                <w:szCs w:val="13"/>
              </w:rPr>
            </w:pPr>
            <w:r w:rsidRPr="006A1EC7">
              <w:rPr>
                <w:sz w:val="13"/>
                <w:szCs w:val="13"/>
              </w:rPr>
              <w:t>33%</w:t>
            </w:r>
          </w:p>
        </w:tc>
      </w:tr>
      <w:tr w:rsidR="0087601C" w:rsidRPr="006A1EC7" w14:paraId="7163DFF8" w14:textId="77777777" w:rsidTr="00D56051">
        <w:tc>
          <w:tcPr>
            <w:tcW w:w="636" w:type="dxa"/>
          </w:tcPr>
          <w:p w14:paraId="2A435849" w14:textId="77777777" w:rsidR="0087601C" w:rsidRPr="006A1EC7" w:rsidRDefault="0087601C" w:rsidP="00D56051">
            <w:pPr>
              <w:rPr>
                <w:sz w:val="13"/>
                <w:szCs w:val="13"/>
              </w:rPr>
            </w:pPr>
            <w:r w:rsidRPr="006A1EC7">
              <w:rPr>
                <w:sz w:val="13"/>
                <w:szCs w:val="13"/>
              </w:rPr>
              <w:t>SLP</w:t>
            </w:r>
          </w:p>
        </w:tc>
        <w:tc>
          <w:tcPr>
            <w:tcW w:w="476" w:type="dxa"/>
            <w:shd w:val="clear" w:color="auto" w:fill="FFFF00"/>
          </w:tcPr>
          <w:p w14:paraId="749EBACA"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0870C229" w14:textId="77777777" w:rsidR="0087601C" w:rsidRPr="006A1EC7" w:rsidRDefault="0087601C" w:rsidP="00D56051">
            <w:pPr>
              <w:rPr>
                <w:sz w:val="13"/>
                <w:szCs w:val="13"/>
              </w:rPr>
            </w:pPr>
            <w:r w:rsidRPr="006A1EC7">
              <w:rPr>
                <w:sz w:val="13"/>
                <w:szCs w:val="13"/>
              </w:rPr>
              <w:t>3</w:t>
            </w:r>
          </w:p>
        </w:tc>
        <w:tc>
          <w:tcPr>
            <w:tcW w:w="477" w:type="dxa"/>
          </w:tcPr>
          <w:p w14:paraId="68D54C39"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9DA22C9"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2075716E" w14:textId="77777777" w:rsidR="0087601C" w:rsidRPr="006A1EC7" w:rsidRDefault="0087601C" w:rsidP="00D56051">
            <w:pPr>
              <w:rPr>
                <w:sz w:val="13"/>
                <w:szCs w:val="13"/>
              </w:rPr>
            </w:pPr>
            <w:r w:rsidRPr="006A1EC7">
              <w:rPr>
                <w:sz w:val="13"/>
                <w:szCs w:val="13"/>
              </w:rPr>
              <w:t>3</w:t>
            </w:r>
          </w:p>
        </w:tc>
        <w:tc>
          <w:tcPr>
            <w:tcW w:w="458" w:type="dxa"/>
          </w:tcPr>
          <w:p w14:paraId="548D5ED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E7BCB00" w14:textId="77777777" w:rsidR="0087601C" w:rsidRPr="006A1EC7" w:rsidRDefault="0087601C" w:rsidP="00D56051">
            <w:pPr>
              <w:rPr>
                <w:sz w:val="13"/>
                <w:szCs w:val="13"/>
              </w:rPr>
            </w:pPr>
            <w:r w:rsidRPr="006A1EC7">
              <w:rPr>
                <w:sz w:val="13"/>
                <w:szCs w:val="13"/>
              </w:rPr>
              <w:t>3</w:t>
            </w:r>
          </w:p>
        </w:tc>
        <w:tc>
          <w:tcPr>
            <w:tcW w:w="406" w:type="dxa"/>
            <w:shd w:val="clear" w:color="auto" w:fill="FFFF00"/>
          </w:tcPr>
          <w:p w14:paraId="7E278C9F" w14:textId="77777777" w:rsidR="0087601C" w:rsidRPr="006A1EC7" w:rsidRDefault="0087601C" w:rsidP="00D56051">
            <w:pPr>
              <w:rPr>
                <w:sz w:val="13"/>
                <w:szCs w:val="13"/>
              </w:rPr>
            </w:pPr>
            <w:r w:rsidRPr="006A1EC7">
              <w:rPr>
                <w:sz w:val="13"/>
                <w:szCs w:val="13"/>
              </w:rPr>
              <w:t>3</w:t>
            </w:r>
          </w:p>
        </w:tc>
        <w:tc>
          <w:tcPr>
            <w:tcW w:w="406" w:type="dxa"/>
          </w:tcPr>
          <w:p w14:paraId="4E4AB6DB"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2355DC95" w14:textId="77777777" w:rsidR="0087601C" w:rsidRPr="006A1EC7" w:rsidRDefault="0087601C" w:rsidP="00D56051">
            <w:pPr>
              <w:rPr>
                <w:sz w:val="13"/>
                <w:szCs w:val="13"/>
              </w:rPr>
            </w:pPr>
            <w:r w:rsidRPr="006A1EC7">
              <w:rPr>
                <w:sz w:val="13"/>
                <w:szCs w:val="13"/>
              </w:rPr>
              <w:t>2/3</w:t>
            </w:r>
          </w:p>
        </w:tc>
        <w:tc>
          <w:tcPr>
            <w:tcW w:w="406" w:type="dxa"/>
            <w:shd w:val="clear" w:color="auto" w:fill="auto"/>
          </w:tcPr>
          <w:p w14:paraId="2FFBFE9F" w14:textId="77777777" w:rsidR="0087601C" w:rsidRPr="006A1EC7" w:rsidRDefault="0087601C" w:rsidP="00D56051">
            <w:pPr>
              <w:rPr>
                <w:sz w:val="13"/>
                <w:szCs w:val="13"/>
              </w:rPr>
            </w:pPr>
            <w:r w:rsidRPr="006A1EC7">
              <w:rPr>
                <w:sz w:val="13"/>
                <w:szCs w:val="13"/>
              </w:rPr>
              <w:t>66%</w:t>
            </w:r>
          </w:p>
        </w:tc>
      </w:tr>
      <w:tr w:rsidR="0087601C" w:rsidRPr="006A1EC7" w14:paraId="69C3D47F" w14:textId="77777777" w:rsidTr="00D56051">
        <w:tc>
          <w:tcPr>
            <w:tcW w:w="636" w:type="dxa"/>
          </w:tcPr>
          <w:p w14:paraId="1F940E81" w14:textId="77777777" w:rsidR="0087601C" w:rsidRPr="006A1EC7" w:rsidRDefault="0087601C" w:rsidP="00D56051">
            <w:pPr>
              <w:rPr>
                <w:sz w:val="13"/>
                <w:szCs w:val="13"/>
              </w:rPr>
            </w:pPr>
            <w:r w:rsidRPr="006A1EC7">
              <w:rPr>
                <w:sz w:val="13"/>
                <w:szCs w:val="13"/>
              </w:rPr>
              <w:t>CRE</w:t>
            </w:r>
          </w:p>
        </w:tc>
        <w:tc>
          <w:tcPr>
            <w:tcW w:w="476" w:type="dxa"/>
            <w:shd w:val="clear" w:color="auto" w:fill="FFFF00"/>
          </w:tcPr>
          <w:p w14:paraId="0DFD2370"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4345387C" w14:textId="77777777" w:rsidR="0087601C" w:rsidRPr="006A1EC7" w:rsidRDefault="0087601C" w:rsidP="00D56051">
            <w:pPr>
              <w:rPr>
                <w:sz w:val="13"/>
                <w:szCs w:val="13"/>
              </w:rPr>
            </w:pPr>
            <w:r w:rsidRPr="006A1EC7">
              <w:rPr>
                <w:sz w:val="13"/>
                <w:szCs w:val="13"/>
              </w:rPr>
              <w:t>1</w:t>
            </w:r>
          </w:p>
        </w:tc>
        <w:tc>
          <w:tcPr>
            <w:tcW w:w="477" w:type="dxa"/>
          </w:tcPr>
          <w:p w14:paraId="5194BABF"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1CD191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44849D1" w14:textId="77777777" w:rsidR="0087601C" w:rsidRPr="006A1EC7" w:rsidRDefault="0087601C" w:rsidP="00D56051">
            <w:pPr>
              <w:rPr>
                <w:sz w:val="13"/>
                <w:szCs w:val="13"/>
              </w:rPr>
            </w:pPr>
            <w:r w:rsidRPr="006A1EC7">
              <w:rPr>
                <w:sz w:val="13"/>
                <w:szCs w:val="13"/>
              </w:rPr>
              <w:t>1</w:t>
            </w:r>
          </w:p>
        </w:tc>
        <w:tc>
          <w:tcPr>
            <w:tcW w:w="458" w:type="dxa"/>
          </w:tcPr>
          <w:p w14:paraId="2444B53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AE7B93E"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26BA7251" w14:textId="77777777" w:rsidR="0087601C" w:rsidRPr="006A1EC7" w:rsidRDefault="0087601C" w:rsidP="00D56051">
            <w:pPr>
              <w:rPr>
                <w:sz w:val="13"/>
                <w:szCs w:val="13"/>
              </w:rPr>
            </w:pPr>
            <w:r w:rsidRPr="006A1EC7">
              <w:rPr>
                <w:sz w:val="13"/>
                <w:szCs w:val="13"/>
              </w:rPr>
              <w:t>1</w:t>
            </w:r>
          </w:p>
        </w:tc>
        <w:tc>
          <w:tcPr>
            <w:tcW w:w="406" w:type="dxa"/>
          </w:tcPr>
          <w:p w14:paraId="59C04B64"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41191D7C"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7B8CF5EF" w14:textId="77777777" w:rsidR="0087601C" w:rsidRPr="006A1EC7" w:rsidRDefault="0087601C" w:rsidP="00D56051">
            <w:pPr>
              <w:rPr>
                <w:sz w:val="13"/>
                <w:szCs w:val="13"/>
              </w:rPr>
            </w:pPr>
            <w:r w:rsidRPr="006A1EC7">
              <w:rPr>
                <w:sz w:val="13"/>
                <w:szCs w:val="13"/>
              </w:rPr>
              <w:t>100%</w:t>
            </w:r>
          </w:p>
        </w:tc>
      </w:tr>
      <w:tr w:rsidR="0087601C" w:rsidRPr="006A1EC7" w14:paraId="596B1DE5" w14:textId="77777777" w:rsidTr="00D56051">
        <w:tc>
          <w:tcPr>
            <w:tcW w:w="636" w:type="dxa"/>
          </w:tcPr>
          <w:p w14:paraId="18BC03F3" w14:textId="77777777" w:rsidR="0087601C" w:rsidRPr="006A1EC7" w:rsidRDefault="0087601C" w:rsidP="00D56051">
            <w:pPr>
              <w:rPr>
                <w:sz w:val="13"/>
                <w:szCs w:val="13"/>
              </w:rPr>
            </w:pPr>
            <w:r w:rsidRPr="006A1EC7">
              <w:rPr>
                <w:sz w:val="13"/>
                <w:szCs w:val="13"/>
              </w:rPr>
              <w:t>TTL</w:t>
            </w:r>
          </w:p>
        </w:tc>
        <w:tc>
          <w:tcPr>
            <w:tcW w:w="476" w:type="dxa"/>
            <w:shd w:val="clear" w:color="auto" w:fill="FFFF00"/>
          </w:tcPr>
          <w:p w14:paraId="7FF045C2" w14:textId="77777777" w:rsidR="0087601C" w:rsidRPr="006A1EC7" w:rsidRDefault="0087601C" w:rsidP="00D56051">
            <w:pPr>
              <w:rPr>
                <w:sz w:val="13"/>
                <w:szCs w:val="13"/>
              </w:rPr>
            </w:pPr>
            <w:r w:rsidRPr="006A1EC7">
              <w:rPr>
                <w:sz w:val="13"/>
                <w:szCs w:val="13"/>
              </w:rPr>
              <w:t>69</w:t>
            </w:r>
          </w:p>
        </w:tc>
        <w:tc>
          <w:tcPr>
            <w:tcW w:w="476" w:type="dxa"/>
            <w:shd w:val="clear" w:color="auto" w:fill="FFFF00"/>
          </w:tcPr>
          <w:p w14:paraId="3FB1246E" w14:textId="77777777" w:rsidR="0087601C" w:rsidRPr="006A1EC7" w:rsidRDefault="0087601C" w:rsidP="00D56051">
            <w:pPr>
              <w:rPr>
                <w:sz w:val="13"/>
                <w:szCs w:val="13"/>
              </w:rPr>
            </w:pPr>
            <w:r w:rsidRPr="006A1EC7">
              <w:rPr>
                <w:sz w:val="13"/>
                <w:szCs w:val="13"/>
              </w:rPr>
              <w:t>68</w:t>
            </w:r>
          </w:p>
        </w:tc>
        <w:tc>
          <w:tcPr>
            <w:tcW w:w="477" w:type="dxa"/>
          </w:tcPr>
          <w:p w14:paraId="09CF5AAB"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2D60944" w14:textId="77777777" w:rsidR="0087601C" w:rsidRPr="006A1EC7" w:rsidRDefault="0087601C" w:rsidP="00D56051">
            <w:pPr>
              <w:rPr>
                <w:sz w:val="13"/>
                <w:szCs w:val="13"/>
              </w:rPr>
            </w:pPr>
            <w:r w:rsidRPr="006A1EC7">
              <w:rPr>
                <w:sz w:val="13"/>
                <w:szCs w:val="13"/>
              </w:rPr>
              <w:t>67</w:t>
            </w:r>
          </w:p>
        </w:tc>
        <w:tc>
          <w:tcPr>
            <w:tcW w:w="477" w:type="dxa"/>
            <w:shd w:val="clear" w:color="auto" w:fill="FFFF00"/>
          </w:tcPr>
          <w:p w14:paraId="182E69EB" w14:textId="77777777" w:rsidR="0087601C" w:rsidRPr="006A1EC7" w:rsidRDefault="0087601C" w:rsidP="00D56051">
            <w:pPr>
              <w:rPr>
                <w:sz w:val="13"/>
                <w:szCs w:val="13"/>
              </w:rPr>
            </w:pPr>
            <w:r w:rsidRPr="006A1EC7">
              <w:rPr>
                <w:sz w:val="13"/>
                <w:szCs w:val="13"/>
              </w:rPr>
              <w:t>68</w:t>
            </w:r>
          </w:p>
        </w:tc>
        <w:tc>
          <w:tcPr>
            <w:tcW w:w="458" w:type="dxa"/>
          </w:tcPr>
          <w:p w14:paraId="47A22BB8"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3741965" w14:textId="77777777" w:rsidR="0087601C" w:rsidRPr="006A1EC7" w:rsidRDefault="0087601C" w:rsidP="00D56051">
            <w:pPr>
              <w:rPr>
                <w:sz w:val="13"/>
                <w:szCs w:val="13"/>
              </w:rPr>
            </w:pPr>
            <w:r w:rsidRPr="006A1EC7">
              <w:rPr>
                <w:sz w:val="13"/>
                <w:szCs w:val="13"/>
              </w:rPr>
              <w:t>66</w:t>
            </w:r>
          </w:p>
        </w:tc>
        <w:tc>
          <w:tcPr>
            <w:tcW w:w="406" w:type="dxa"/>
            <w:shd w:val="clear" w:color="auto" w:fill="FFFF00"/>
          </w:tcPr>
          <w:p w14:paraId="07FF1295" w14:textId="77777777" w:rsidR="0087601C" w:rsidRPr="006A1EC7" w:rsidRDefault="0087601C" w:rsidP="00D56051">
            <w:pPr>
              <w:rPr>
                <w:sz w:val="13"/>
                <w:szCs w:val="13"/>
              </w:rPr>
            </w:pPr>
            <w:r w:rsidRPr="006A1EC7">
              <w:rPr>
                <w:sz w:val="13"/>
                <w:szCs w:val="13"/>
              </w:rPr>
              <w:t>66</w:t>
            </w:r>
          </w:p>
        </w:tc>
        <w:tc>
          <w:tcPr>
            <w:tcW w:w="406" w:type="dxa"/>
          </w:tcPr>
          <w:p w14:paraId="5F789E44"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315C8320" w14:textId="77777777" w:rsidR="0087601C" w:rsidRPr="006A1EC7" w:rsidRDefault="0087601C" w:rsidP="00D56051">
            <w:pPr>
              <w:rPr>
                <w:sz w:val="13"/>
                <w:szCs w:val="13"/>
              </w:rPr>
            </w:pPr>
            <w:r w:rsidRPr="006A1EC7">
              <w:rPr>
                <w:sz w:val="13"/>
                <w:szCs w:val="13"/>
              </w:rPr>
              <w:t>1/3</w:t>
            </w:r>
          </w:p>
        </w:tc>
        <w:tc>
          <w:tcPr>
            <w:tcW w:w="406" w:type="dxa"/>
            <w:shd w:val="clear" w:color="auto" w:fill="auto"/>
          </w:tcPr>
          <w:p w14:paraId="451F3618" w14:textId="77777777" w:rsidR="0087601C" w:rsidRPr="006A1EC7" w:rsidRDefault="0087601C" w:rsidP="00D56051">
            <w:pPr>
              <w:rPr>
                <w:sz w:val="13"/>
                <w:szCs w:val="13"/>
              </w:rPr>
            </w:pPr>
            <w:r w:rsidRPr="006A1EC7">
              <w:rPr>
                <w:sz w:val="13"/>
                <w:szCs w:val="13"/>
              </w:rPr>
              <w:t>33%</w:t>
            </w:r>
          </w:p>
        </w:tc>
      </w:tr>
      <w:tr w:rsidR="0087601C" w:rsidRPr="006A1EC7" w14:paraId="0A5783D6" w14:textId="77777777" w:rsidTr="00D56051">
        <w:tc>
          <w:tcPr>
            <w:tcW w:w="636" w:type="dxa"/>
          </w:tcPr>
          <w:p w14:paraId="7D66B899" w14:textId="77777777" w:rsidR="0087601C" w:rsidRPr="006A1EC7" w:rsidRDefault="0087601C" w:rsidP="00D56051">
            <w:pPr>
              <w:rPr>
                <w:sz w:val="13"/>
                <w:szCs w:val="13"/>
              </w:rPr>
            </w:pPr>
            <w:r w:rsidRPr="006A1EC7">
              <w:rPr>
                <w:sz w:val="13"/>
                <w:szCs w:val="13"/>
              </w:rPr>
              <w:t>Percent agreement (%)</w:t>
            </w:r>
          </w:p>
        </w:tc>
        <w:tc>
          <w:tcPr>
            <w:tcW w:w="476" w:type="dxa"/>
            <w:shd w:val="clear" w:color="auto" w:fill="FFFF00"/>
          </w:tcPr>
          <w:p w14:paraId="68C4C0B0" w14:textId="77777777" w:rsidR="0087601C" w:rsidRPr="006A1EC7" w:rsidRDefault="0087601C" w:rsidP="00D56051">
            <w:pPr>
              <w:rPr>
                <w:sz w:val="13"/>
                <w:szCs w:val="13"/>
              </w:rPr>
            </w:pPr>
          </w:p>
        </w:tc>
        <w:tc>
          <w:tcPr>
            <w:tcW w:w="476" w:type="dxa"/>
            <w:shd w:val="clear" w:color="auto" w:fill="FFFF00"/>
          </w:tcPr>
          <w:p w14:paraId="5F210A8F" w14:textId="77777777" w:rsidR="0087601C" w:rsidRPr="006A1EC7" w:rsidRDefault="0087601C" w:rsidP="00D56051">
            <w:pPr>
              <w:rPr>
                <w:sz w:val="13"/>
                <w:szCs w:val="13"/>
              </w:rPr>
            </w:pPr>
          </w:p>
        </w:tc>
        <w:tc>
          <w:tcPr>
            <w:tcW w:w="477" w:type="dxa"/>
          </w:tcPr>
          <w:p w14:paraId="119EFC00" w14:textId="77777777" w:rsidR="0087601C" w:rsidRPr="006A1EC7" w:rsidRDefault="0087601C" w:rsidP="00D56051">
            <w:pPr>
              <w:rPr>
                <w:sz w:val="13"/>
                <w:szCs w:val="13"/>
              </w:rPr>
            </w:pPr>
            <w:r w:rsidRPr="006A1EC7">
              <w:rPr>
                <w:sz w:val="13"/>
                <w:szCs w:val="13"/>
              </w:rPr>
              <w:t>70</w:t>
            </w:r>
          </w:p>
        </w:tc>
        <w:tc>
          <w:tcPr>
            <w:tcW w:w="477" w:type="dxa"/>
            <w:shd w:val="clear" w:color="auto" w:fill="FFFF00"/>
          </w:tcPr>
          <w:p w14:paraId="1B363CA2" w14:textId="77777777" w:rsidR="0087601C" w:rsidRPr="006A1EC7" w:rsidRDefault="0087601C" w:rsidP="00D56051">
            <w:pPr>
              <w:rPr>
                <w:sz w:val="13"/>
                <w:szCs w:val="13"/>
              </w:rPr>
            </w:pPr>
          </w:p>
        </w:tc>
        <w:tc>
          <w:tcPr>
            <w:tcW w:w="477" w:type="dxa"/>
            <w:shd w:val="clear" w:color="auto" w:fill="FFFF00"/>
          </w:tcPr>
          <w:p w14:paraId="0AC0C1E9" w14:textId="77777777" w:rsidR="0087601C" w:rsidRPr="006A1EC7" w:rsidRDefault="0087601C" w:rsidP="00D56051">
            <w:pPr>
              <w:rPr>
                <w:sz w:val="13"/>
                <w:szCs w:val="13"/>
              </w:rPr>
            </w:pPr>
          </w:p>
        </w:tc>
        <w:tc>
          <w:tcPr>
            <w:tcW w:w="458" w:type="dxa"/>
          </w:tcPr>
          <w:p w14:paraId="1FDBBDD2" w14:textId="77777777" w:rsidR="0087601C" w:rsidRPr="006A1EC7" w:rsidRDefault="0087601C" w:rsidP="00D56051">
            <w:pPr>
              <w:rPr>
                <w:sz w:val="13"/>
                <w:szCs w:val="13"/>
              </w:rPr>
            </w:pPr>
            <w:r w:rsidRPr="006A1EC7">
              <w:rPr>
                <w:sz w:val="13"/>
                <w:szCs w:val="13"/>
              </w:rPr>
              <w:t>50</w:t>
            </w:r>
          </w:p>
        </w:tc>
        <w:tc>
          <w:tcPr>
            <w:tcW w:w="477" w:type="dxa"/>
            <w:shd w:val="clear" w:color="auto" w:fill="FFFF00"/>
          </w:tcPr>
          <w:p w14:paraId="4C0DE147" w14:textId="77777777" w:rsidR="0087601C" w:rsidRPr="006A1EC7" w:rsidRDefault="0087601C" w:rsidP="00D56051">
            <w:pPr>
              <w:rPr>
                <w:sz w:val="13"/>
                <w:szCs w:val="13"/>
              </w:rPr>
            </w:pPr>
          </w:p>
        </w:tc>
        <w:tc>
          <w:tcPr>
            <w:tcW w:w="406" w:type="dxa"/>
            <w:shd w:val="clear" w:color="auto" w:fill="FFFF00"/>
          </w:tcPr>
          <w:p w14:paraId="4B883F47" w14:textId="77777777" w:rsidR="0087601C" w:rsidRPr="006A1EC7" w:rsidRDefault="0087601C" w:rsidP="00D56051">
            <w:pPr>
              <w:rPr>
                <w:sz w:val="13"/>
                <w:szCs w:val="13"/>
              </w:rPr>
            </w:pPr>
          </w:p>
        </w:tc>
        <w:tc>
          <w:tcPr>
            <w:tcW w:w="406" w:type="dxa"/>
          </w:tcPr>
          <w:p w14:paraId="44F06281" w14:textId="77777777" w:rsidR="0087601C" w:rsidRPr="006A1EC7" w:rsidRDefault="0087601C" w:rsidP="00D56051">
            <w:pPr>
              <w:rPr>
                <w:sz w:val="13"/>
                <w:szCs w:val="13"/>
              </w:rPr>
            </w:pPr>
            <w:r w:rsidRPr="006A1EC7">
              <w:rPr>
                <w:sz w:val="13"/>
                <w:szCs w:val="13"/>
              </w:rPr>
              <w:t>100</w:t>
            </w:r>
          </w:p>
        </w:tc>
        <w:tc>
          <w:tcPr>
            <w:tcW w:w="406" w:type="dxa"/>
            <w:shd w:val="clear" w:color="auto" w:fill="auto"/>
          </w:tcPr>
          <w:p w14:paraId="54FFD54A" w14:textId="77777777" w:rsidR="0087601C" w:rsidRPr="006A1EC7" w:rsidRDefault="0087601C" w:rsidP="00D56051">
            <w:pPr>
              <w:rPr>
                <w:sz w:val="13"/>
                <w:szCs w:val="13"/>
              </w:rPr>
            </w:pPr>
          </w:p>
        </w:tc>
        <w:tc>
          <w:tcPr>
            <w:tcW w:w="406" w:type="dxa"/>
            <w:shd w:val="clear" w:color="auto" w:fill="auto"/>
          </w:tcPr>
          <w:p w14:paraId="75A65D55" w14:textId="77777777" w:rsidR="0087601C" w:rsidRPr="006A1EC7" w:rsidRDefault="0087601C" w:rsidP="00D56051">
            <w:pPr>
              <w:rPr>
                <w:sz w:val="13"/>
                <w:szCs w:val="13"/>
              </w:rPr>
            </w:pPr>
          </w:p>
        </w:tc>
      </w:tr>
    </w:tbl>
    <w:p w14:paraId="5A696941" w14:textId="77777777" w:rsidR="0087601C" w:rsidRPr="006A1EC7" w:rsidRDefault="0087601C" w:rsidP="0087601C">
      <w:pPr>
        <w:sectPr w:rsidR="0087601C" w:rsidRPr="006A1EC7" w:rsidSect="00D56051">
          <w:type w:val="nextColumn"/>
          <w:pgSz w:w="16840" w:h="11900" w:orient="landscape"/>
          <w:pgMar w:top="1440" w:right="1701" w:bottom="1440" w:left="1701" w:header="720" w:footer="720" w:gutter="0"/>
          <w:cols w:space="720"/>
          <w:docGrid w:linePitch="360"/>
        </w:sectPr>
      </w:pPr>
    </w:p>
    <w:p w14:paraId="18F7CB84" w14:textId="1BE7F78D" w:rsidR="0087601C" w:rsidRPr="006A1EC7" w:rsidRDefault="0087601C" w:rsidP="0087601C">
      <w:pPr>
        <w:pStyle w:val="Heading4"/>
        <w:rPr>
          <w:rFonts w:ascii="Times New Roman" w:hAnsi="Times New Roman" w:cs="Times New Roman"/>
        </w:rPr>
      </w:pPr>
      <w:bookmarkStart w:id="331" w:name="_Toc38821500"/>
      <w:r w:rsidRPr="006A1EC7">
        <w:rPr>
          <w:rFonts w:ascii="Times New Roman" w:hAnsi="Times New Roman" w:cs="Times New Roman"/>
        </w:rPr>
        <w:lastRenderedPageBreak/>
        <w:t>Appendix 7.9.2: Agreement within +/- 1 point</w:t>
      </w:r>
      <w:bookmarkEnd w:id="331"/>
    </w:p>
    <w:p w14:paraId="754745D1" w14:textId="77777777" w:rsidR="0087601C" w:rsidRPr="006A1EC7" w:rsidRDefault="0087601C" w:rsidP="0087601C">
      <w:pPr>
        <w:jc w:val="center"/>
        <w:rPr>
          <w:b/>
          <w:bCs/>
          <w:sz w:val="21"/>
          <w:szCs w:val="21"/>
          <w:u w:val="single"/>
        </w:rPr>
      </w:pPr>
    </w:p>
    <w:p w14:paraId="4A4E4BFA" w14:textId="77777777" w:rsidR="0087601C" w:rsidRPr="006A1EC7" w:rsidRDefault="0087601C" w:rsidP="0087601C">
      <w:pPr>
        <w:rPr>
          <w:b/>
          <w:bCs/>
          <w:sz w:val="21"/>
          <w:szCs w:val="21"/>
          <w:u w:val="single"/>
        </w:rPr>
      </w:pPr>
    </w:p>
    <w:p w14:paraId="38C582C6" w14:textId="77777777" w:rsidR="0087601C" w:rsidRPr="006A1EC7" w:rsidRDefault="0087601C" w:rsidP="0087601C">
      <w:pPr>
        <w:rPr>
          <w:sz w:val="13"/>
          <w:szCs w:val="13"/>
        </w:rPr>
      </w:pPr>
    </w:p>
    <w:p w14:paraId="0C36AE50" w14:textId="77777777" w:rsidR="0087601C" w:rsidRPr="006A1EC7" w:rsidRDefault="0087601C" w:rsidP="0087601C">
      <w:pPr>
        <w:rPr>
          <w:sz w:val="13"/>
          <w:szCs w:val="13"/>
        </w:rPr>
      </w:pPr>
      <w:r w:rsidRPr="006A1EC7">
        <w:rPr>
          <w:sz w:val="13"/>
          <w:szCs w:val="13"/>
        </w:rPr>
        <w:t>1 – agreement within 1 point) T1/T2 rating of same judge</w:t>
      </w:r>
    </w:p>
    <w:p w14:paraId="28C9F85F" w14:textId="77777777" w:rsidR="0087601C" w:rsidRPr="006A1EC7" w:rsidRDefault="0087601C" w:rsidP="0087601C">
      <w:pPr>
        <w:rPr>
          <w:sz w:val="13"/>
          <w:szCs w:val="13"/>
        </w:rPr>
      </w:pPr>
      <w:r w:rsidRPr="006A1EC7">
        <w:rPr>
          <w:sz w:val="13"/>
          <w:szCs w:val="13"/>
        </w:rPr>
        <w:t>0 – disagreement T1/T2 rating of same judge</w:t>
      </w:r>
    </w:p>
    <w:p w14:paraId="674A2F06" w14:textId="77777777" w:rsidR="0087601C" w:rsidRPr="006A1EC7" w:rsidRDefault="0087601C" w:rsidP="0087601C">
      <w:pPr>
        <w:rPr>
          <w:sz w:val="13"/>
          <w:szCs w:val="13"/>
        </w:rPr>
      </w:pPr>
    </w:p>
    <w:p w14:paraId="23FAE335" w14:textId="77777777" w:rsidR="0087601C" w:rsidRPr="006A1EC7" w:rsidRDefault="0087601C" w:rsidP="0087601C">
      <w:pPr>
        <w:rPr>
          <w:sz w:val="13"/>
          <w:szCs w:val="13"/>
        </w:rPr>
      </w:pPr>
      <w:r w:rsidRPr="006A1EC7">
        <w:rPr>
          <w:sz w:val="13"/>
          <w:szCs w:val="13"/>
        </w:rPr>
        <w:t>VIGNETTE 1: JOSHUA</w:t>
      </w:r>
    </w:p>
    <w:p w14:paraId="6AEB1C8D" w14:textId="77777777" w:rsidR="0087601C" w:rsidRPr="006A1EC7" w:rsidRDefault="0087601C" w:rsidP="0087601C">
      <w:pPr>
        <w:rPr>
          <w:sz w:val="13"/>
          <w:szCs w:val="13"/>
        </w:rPr>
      </w:pPr>
    </w:p>
    <w:tbl>
      <w:tblPr>
        <w:tblStyle w:val="TableGrid"/>
        <w:tblW w:w="0" w:type="auto"/>
        <w:tblLook w:val="04A0" w:firstRow="1" w:lastRow="0" w:firstColumn="1" w:lastColumn="0" w:noHBand="0" w:noVBand="1"/>
      </w:tblPr>
      <w:tblGrid>
        <w:gridCol w:w="758"/>
        <w:gridCol w:w="411"/>
        <w:gridCol w:w="411"/>
        <w:gridCol w:w="437"/>
        <w:gridCol w:w="411"/>
        <w:gridCol w:w="411"/>
        <w:gridCol w:w="430"/>
        <w:gridCol w:w="411"/>
        <w:gridCol w:w="391"/>
        <w:gridCol w:w="370"/>
        <w:gridCol w:w="404"/>
        <w:gridCol w:w="411"/>
        <w:gridCol w:w="370"/>
        <w:gridCol w:w="411"/>
        <w:gridCol w:w="411"/>
        <w:gridCol w:w="370"/>
        <w:gridCol w:w="411"/>
        <w:gridCol w:w="411"/>
        <w:gridCol w:w="370"/>
        <w:gridCol w:w="411"/>
        <w:gridCol w:w="411"/>
        <w:gridCol w:w="370"/>
        <w:gridCol w:w="404"/>
        <w:gridCol w:w="404"/>
        <w:gridCol w:w="370"/>
        <w:gridCol w:w="383"/>
        <w:gridCol w:w="383"/>
        <w:gridCol w:w="370"/>
        <w:gridCol w:w="392"/>
        <w:gridCol w:w="520"/>
      </w:tblGrid>
      <w:tr w:rsidR="00744A8E" w:rsidRPr="006A1EC7" w14:paraId="0756DDED" w14:textId="77777777" w:rsidTr="00D56051">
        <w:trPr>
          <w:trHeight w:val="558"/>
        </w:trPr>
        <w:tc>
          <w:tcPr>
            <w:tcW w:w="636" w:type="dxa"/>
          </w:tcPr>
          <w:p w14:paraId="58B3452F" w14:textId="77777777" w:rsidR="0087601C" w:rsidRPr="006A1EC7" w:rsidRDefault="0087601C" w:rsidP="00D56051">
            <w:pPr>
              <w:rPr>
                <w:sz w:val="13"/>
                <w:szCs w:val="13"/>
              </w:rPr>
            </w:pPr>
          </w:p>
        </w:tc>
        <w:tc>
          <w:tcPr>
            <w:tcW w:w="476" w:type="dxa"/>
            <w:shd w:val="clear" w:color="auto" w:fill="FFFF00"/>
          </w:tcPr>
          <w:p w14:paraId="7071EE91" w14:textId="77777777" w:rsidR="0087601C" w:rsidRPr="006A1EC7" w:rsidRDefault="0087601C" w:rsidP="00D56051">
            <w:pPr>
              <w:rPr>
                <w:sz w:val="13"/>
                <w:szCs w:val="13"/>
              </w:rPr>
            </w:pPr>
            <w:r w:rsidRPr="006A1EC7">
              <w:rPr>
                <w:sz w:val="13"/>
                <w:szCs w:val="13"/>
              </w:rPr>
              <w:t>J1 (1)</w:t>
            </w:r>
          </w:p>
        </w:tc>
        <w:tc>
          <w:tcPr>
            <w:tcW w:w="476" w:type="dxa"/>
            <w:shd w:val="clear" w:color="auto" w:fill="FFFF00"/>
          </w:tcPr>
          <w:p w14:paraId="5DDA305A" w14:textId="77777777" w:rsidR="0087601C" w:rsidRPr="006A1EC7" w:rsidRDefault="0087601C" w:rsidP="00D56051">
            <w:pPr>
              <w:rPr>
                <w:sz w:val="13"/>
                <w:szCs w:val="13"/>
              </w:rPr>
            </w:pPr>
            <w:r w:rsidRPr="006A1EC7">
              <w:rPr>
                <w:sz w:val="13"/>
                <w:szCs w:val="13"/>
              </w:rPr>
              <w:t>J1 (2)</w:t>
            </w:r>
          </w:p>
        </w:tc>
        <w:tc>
          <w:tcPr>
            <w:tcW w:w="477" w:type="dxa"/>
          </w:tcPr>
          <w:p w14:paraId="167DDA51" w14:textId="77777777" w:rsidR="0087601C" w:rsidRPr="006A1EC7" w:rsidRDefault="0087601C" w:rsidP="00D56051">
            <w:pPr>
              <w:rPr>
                <w:sz w:val="13"/>
                <w:szCs w:val="13"/>
              </w:rPr>
            </w:pPr>
          </w:p>
        </w:tc>
        <w:tc>
          <w:tcPr>
            <w:tcW w:w="477" w:type="dxa"/>
            <w:shd w:val="clear" w:color="auto" w:fill="FFFF00"/>
          </w:tcPr>
          <w:p w14:paraId="752D254C" w14:textId="77777777" w:rsidR="0087601C" w:rsidRPr="006A1EC7" w:rsidRDefault="0087601C" w:rsidP="00D56051">
            <w:pPr>
              <w:rPr>
                <w:sz w:val="13"/>
                <w:szCs w:val="13"/>
              </w:rPr>
            </w:pPr>
            <w:r w:rsidRPr="006A1EC7">
              <w:rPr>
                <w:sz w:val="13"/>
                <w:szCs w:val="13"/>
              </w:rPr>
              <w:t>J2 (1)</w:t>
            </w:r>
          </w:p>
        </w:tc>
        <w:tc>
          <w:tcPr>
            <w:tcW w:w="477" w:type="dxa"/>
            <w:shd w:val="clear" w:color="auto" w:fill="FFFF00"/>
          </w:tcPr>
          <w:p w14:paraId="5FFCC693" w14:textId="77777777" w:rsidR="0087601C" w:rsidRPr="006A1EC7" w:rsidRDefault="0087601C" w:rsidP="00D56051">
            <w:pPr>
              <w:rPr>
                <w:sz w:val="13"/>
                <w:szCs w:val="13"/>
              </w:rPr>
            </w:pPr>
            <w:r w:rsidRPr="006A1EC7">
              <w:rPr>
                <w:sz w:val="13"/>
                <w:szCs w:val="13"/>
              </w:rPr>
              <w:t>J2 (2)</w:t>
            </w:r>
          </w:p>
        </w:tc>
        <w:tc>
          <w:tcPr>
            <w:tcW w:w="458" w:type="dxa"/>
          </w:tcPr>
          <w:p w14:paraId="7F5AD9E1" w14:textId="77777777" w:rsidR="0087601C" w:rsidRPr="006A1EC7" w:rsidRDefault="0087601C" w:rsidP="00D56051">
            <w:pPr>
              <w:rPr>
                <w:sz w:val="13"/>
                <w:szCs w:val="13"/>
              </w:rPr>
            </w:pPr>
          </w:p>
        </w:tc>
        <w:tc>
          <w:tcPr>
            <w:tcW w:w="477" w:type="dxa"/>
            <w:shd w:val="clear" w:color="auto" w:fill="FFFF00"/>
          </w:tcPr>
          <w:p w14:paraId="5B657CD4" w14:textId="77777777" w:rsidR="0087601C" w:rsidRPr="006A1EC7" w:rsidRDefault="0087601C" w:rsidP="00D56051">
            <w:pPr>
              <w:rPr>
                <w:sz w:val="13"/>
                <w:szCs w:val="13"/>
              </w:rPr>
            </w:pPr>
            <w:r w:rsidRPr="006A1EC7">
              <w:rPr>
                <w:sz w:val="13"/>
                <w:szCs w:val="13"/>
              </w:rPr>
              <w:t>J3 (1)</w:t>
            </w:r>
          </w:p>
        </w:tc>
        <w:tc>
          <w:tcPr>
            <w:tcW w:w="460" w:type="dxa"/>
            <w:shd w:val="clear" w:color="auto" w:fill="FFFF00"/>
          </w:tcPr>
          <w:p w14:paraId="5F72C707" w14:textId="77777777" w:rsidR="0087601C" w:rsidRPr="006A1EC7" w:rsidRDefault="0087601C" w:rsidP="00D56051">
            <w:pPr>
              <w:rPr>
                <w:sz w:val="13"/>
                <w:szCs w:val="13"/>
              </w:rPr>
            </w:pPr>
            <w:r w:rsidRPr="006A1EC7">
              <w:rPr>
                <w:sz w:val="13"/>
                <w:szCs w:val="13"/>
              </w:rPr>
              <w:t>J3 2)</w:t>
            </w:r>
          </w:p>
        </w:tc>
        <w:tc>
          <w:tcPr>
            <w:tcW w:w="406" w:type="dxa"/>
            <w:shd w:val="clear" w:color="auto" w:fill="auto"/>
          </w:tcPr>
          <w:p w14:paraId="514A349A" w14:textId="77777777" w:rsidR="0087601C" w:rsidRPr="006A1EC7" w:rsidRDefault="0087601C" w:rsidP="00D56051">
            <w:pPr>
              <w:rPr>
                <w:sz w:val="13"/>
                <w:szCs w:val="13"/>
              </w:rPr>
            </w:pPr>
          </w:p>
        </w:tc>
        <w:tc>
          <w:tcPr>
            <w:tcW w:w="460" w:type="dxa"/>
            <w:shd w:val="clear" w:color="auto" w:fill="FFFF00"/>
          </w:tcPr>
          <w:p w14:paraId="26D0E8B7" w14:textId="77777777" w:rsidR="0087601C" w:rsidRPr="006A1EC7" w:rsidRDefault="0087601C" w:rsidP="00D56051">
            <w:pPr>
              <w:rPr>
                <w:sz w:val="13"/>
                <w:szCs w:val="13"/>
              </w:rPr>
            </w:pPr>
            <w:r w:rsidRPr="006A1EC7">
              <w:rPr>
                <w:sz w:val="13"/>
                <w:szCs w:val="13"/>
              </w:rPr>
              <w:t>J4 (1)</w:t>
            </w:r>
          </w:p>
        </w:tc>
        <w:tc>
          <w:tcPr>
            <w:tcW w:w="477" w:type="dxa"/>
            <w:shd w:val="clear" w:color="auto" w:fill="FFFF00"/>
          </w:tcPr>
          <w:p w14:paraId="377C761E" w14:textId="77777777" w:rsidR="0087601C" w:rsidRPr="006A1EC7" w:rsidRDefault="0087601C" w:rsidP="00D56051">
            <w:pPr>
              <w:rPr>
                <w:sz w:val="13"/>
                <w:szCs w:val="13"/>
              </w:rPr>
            </w:pPr>
            <w:r w:rsidRPr="006A1EC7">
              <w:rPr>
                <w:sz w:val="13"/>
                <w:szCs w:val="13"/>
              </w:rPr>
              <w:t>J4 (2)</w:t>
            </w:r>
          </w:p>
        </w:tc>
        <w:tc>
          <w:tcPr>
            <w:tcW w:w="406" w:type="dxa"/>
          </w:tcPr>
          <w:p w14:paraId="3CCC3B3C" w14:textId="77777777" w:rsidR="0087601C" w:rsidRPr="006A1EC7" w:rsidRDefault="0087601C" w:rsidP="00D56051">
            <w:pPr>
              <w:rPr>
                <w:sz w:val="13"/>
                <w:szCs w:val="13"/>
              </w:rPr>
            </w:pPr>
          </w:p>
        </w:tc>
        <w:tc>
          <w:tcPr>
            <w:tcW w:w="477" w:type="dxa"/>
            <w:shd w:val="clear" w:color="auto" w:fill="FFFF00"/>
          </w:tcPr>
          <w:p w14:paraId="02093A94" w14:textId="77777777" w:rsidR="0087601C" w:rsidRPr="006A1EC7" w:rsidRDefault="0087601C" w:rsidP="00D56051">
            <w:pPr>
              <w:rPr>
                <w:sz w:val="13"/>
                <w:szCs w:val="13"/>
              </w:rPr>
            </w:pPr>
            <w:r w:rsidRPr="006A1EC7">
              <w:rPr>
                <w:sz w:val="13"/>
                <w:szCs w:val="13"/>
              </w:rPr>
              <w:t>J5 (1)</w:t>
            </w:r>
          </w:p>
        </w:tc>
        <w:tc>
          <w:tcPr>
            <w:tcW w:w="477" w:type="dxa"/>
            <w:shd w:val="clear" w:color="auto" w:fill="FFFF00"/>
          </w:tcPr>
          <w:p w14:paraId="3718E1B6" w14:textId="77777777" w:rsidR="0087601C" w:rsidRPr="006A1EC7" w:rsidRDefault="0087601C" w:rsidP="00D56051">
            <w:pPr>
              <w:rPr>
                <w:sz w:val="13"/>
                <w:szCs w:val="13"/>
              </w:rPr>
            </w:pPr>
            <w:r w:rsidRPr="006A1EC7">
              <w:rPr>
                <w:sz w:val="13"/>
                <w:szCs w:val="13"/>
              </w:rPr>
              <w:t>J5 (2)</w:t>
            </w:r>
          </w:p>
        </w:tc>
        <w:tc>
          <w:tcPr>
            <w:tcW w:w="406" w:type="dxa"/>
          </w:tcPr>
          <w:p w14:paraId="5097C176" w14:textId="77777777" w:rsidR="0087601C" w:rsidRPr="006A1EC7" w:rsidRDefault="0087601C" w:rsidP="00D56051">
            <w:pPr>
              <w:rPr>
                <w:sz w:val="13"/>
                <w:szCs w:val="13"/>
              </w:rPr>
            </w:pPr>
          </w:p>
        </w:tc>
        <w:tc>
          <w:tcPr>
            <w:tcW w:w="477" w:type="dxa"/>
            <w:shd w:val="clear" w:color="auto" w:fill="FFFF00"/>
          </w:tcPr>
          <w:p w14:paraId="68E59B24" w14:textId="77777777" w:rsidR="0087601C" w:rsidRPr="006A1EC7" w:rsidRDefault="0087601C" w:rsidP="00D56051">
            <w:pPr>
              <w:rPr>
                <w:sz w:val="13"/>
                <w:szCs w:val="13"/>
              </w:rPr>
            </w:pPr>
            <w:r w:rsidRPr="006A1EC7">
              <w:rPr>
                <w:sz w:val="13"/>
                <w:szCs w:val="13"/>
              </w:rPr>
              <w:t>J6 (1)</w:t>
            </w:r>
          </w:p>
        </w:tc>
        <w:tc>
          <w:tcPr>
            <w:tcW w:w="477" w:type="dxa"/>
            <w:shd w:val="clear" w:color="auto" w:fill="FFFF00"/>
          </w:tcPr>
          <w:p w14:paraId="4B7D94A9" w14:textId="77777777" w:rsidR="0087601C" w:rsidRPr="006A1EC7" w:rsidRDefault="0087601C" w:rsidP="00D56051">
            <w:pPr>
              <w:rPr>
                <w:sz w:val="13"/>
                <w:szCs w:val="13"/>
              </w:rPr>
            </w:pPr>
            <w:r w:rsidRPr="006A1EC7">
              <w:rPr>
                <w:sz w:val="13"/>
                <w:szCs w:val="13"/>
              </w:rPr>
              <w:t>J6 (2)</w:t>
            </w:r>
          </w:p>
        </w:tc>
        <w:tc>
          <w:tcPr>
            <w:tcW w:w="406" w:type="dxa"/>
          </w:tcPr>
          <w:p w14:paraId="2BBCF668" w14:textId="77777777" w:rsidR="0087601C" w:rsidRPr="006A1EC7" w:rsidRDefault="0087601C" w:rsidP="00D56051">
            <w:pPr>
              <w:rPr>
                <w:sz w:val="13"/>
                <w:szCs w:val="13"/>
              </w:rPr>
            </w:pPr>
          </w:p>
        </w:tc>
        <w:tc>
          <w:tcPr>
            <w:tcW w:w="477" w:type="dxa"/>
            <w:shd w:val="clear" w:color="auto" w:fill="FFFF00"/>
          </w:tcPr>
          <w:p w14:paraId="0B45B38C" w14:textId="77777777" w:rsidR="0087601C" w:rsidRPr="006A1EC7" w:rsidRDefault="0087601C" w:rsidP="00D56051">
            <w:pPr>
              <w:rPr>
                <w:sz w:val="13"/>
                <w:szCs w:val="13"/>
              </w:rPr>
            </w:pPr>
            <w:r w:rsidRPr="006A1EC7">
              <w:rPr>
                <w:sz w:val="13"/>
                <w:szCs w:val="13"/>
              </w:rPr>
              <w:t>J7 (1)</w:t>
            </w:r>
          </w:p>
        </w:tc>
        <w:tc>
          <w:tcPr>
            <w:tcW w:w="478" w:type="dxa"/>
            <w:shd w:val="clear" w:color="auto" w:fill="FFFF00"/>
          </w:tcPr>
          <w:p w14:paraId="0C05CB71" w14:textId="77777777" w:rsidR="0087601C" w:rsidRPr="006A1EC7" w:rsidRDefault="0087601C" w:rsidP="00D56051">
            <w:pPr>
              <w:rPr>
                <w:sz w:val="13"/>
                <w:szCs w:val="13"/>
              </w:rPr>
            </w:pPr>
            <w:r w:rsidRPr="006A1EC7">
              <w:rPr>
                <w:sz w:val="13"/>
                <w:szCs w:val="13"/>
              </w:rPr>
              <w:t>J7 (2)</w:t>
            </w:r>
          </w:p>
        </w:tc>
        <w:tc>
          <w:tcPr>
            <w:tcW w:w="406" w:type="dxa"/>
          </w:tcPr>
          <w:p w14:paraId="555A6FC3" w14:textId="77777777" w:rsidR="0087601C" w:rsidRPr="006A1EC7" w:rsidRDefault="0087601C" w:rsidP="00D56051">
            <w:pPr>
              <w:rPr>
                <w:sz w:val="13"/>
                <w:szCs w:val="13"/>
              </w:rPr>
            </w:pPr>
          </w:p>
        </w:tc>
        <w:tc>
          <w:tcPr>
            <w:tcW w:w="460" w:type="dxa"/>
            <w:shd w:val="clear" w:color="auto" w:fill="FFFF00"/>
          </w:tcPr>
          <w:p w14:paraId="097E7126" w14:textId="77777777" w:rsidR="0087601C" w:rsidRPr="006A1EC7" w:rsidRDefault="0087601C" w:rsidP="00D56051">
            <w:pPr>
              <w:rPr>
                <w:sz w:val="13"/>
                <w:szCs w:val="13"/>
              </w:rPr>
            </w:pPr>
            <w:r w:rsidRPr="006A1EC7">
              <w:rPr>
                <w:sz w:val="13"/>
                <w:szCs w:val="13"/>
              </w:rPr>
              <w:t>J8 (1)</w:t>
            </w:r>
          </w:p>
        </w:tc>
        <w:tc>
          <w:tcPr>
            <w:tcW w:w="460" w:type="dxa"/>
            <w:shd w:val="clear" w:color="auto" w:fill="FFFF00"/>
          </w:tcPr>
          <w:p w14:paraId="52C76218" w14:textId="77777777" w:rsidR="0087601C" w:rsidRPr="006A1EC7" w:rsidRDefault="0087601C" w:rsidP="00D56051">
            <w:pPr>
              <w:rPr>
                <w:sz w:val="13"/>
                <w:szCs w:val="13"/>
              </w:rPr>
            </w:pPr>
            <w:r w:rsidRPr="006A1EC7">
              <w:rPr>
                <w:sz w:val="13"/>
                <w:szCs w:val="13"/>
              </w:rPr>
              <w:t>J8 (2)</w:t>
            </w:r>
          </w:p>
        </w:tc>
        <w:tc>
          <w:tcPr>
            <w:tcW w:w="406" w:type="dxa"/>
          </w:tcPr>
          <w:p w14:paraId="460B21C3" w14:textId="77777777" w:rsidR="0087601C" w:rsidRPr="006A1EC7" w:rsidRDefault="0087601C" w:rsidP="00D56051">
            <w:pPr>
              <w:rPr>
                <w:sz w:val="13"/>
                <w:szCs w:val="13"/>
              </w:rPr>
            </w:pPr>
          </w:p>
        </w:tc>
        <w:tc>
          <w:tcPr>
            <w:tcW w:w="406" w:type="dxa"/>
            <w:shd w:val="clear" w:color="auto" w:fill="FFFF00"/>
          </w:tcPr>
          <w:p w14:paraId="341B1706" w14:textId="77777777" w:rsidR="0087601C" w:rsidRPr="006A1EC7" w:rsidRDefault="0087601C" w:rsidP="00D56051">
            <w:pPr>
              <w:rPr>
                <w:sz w:val="13"/>
                <w:szCs w:val="13"/>
              </w:rPr>
            </w:pPr>
            <w:r w:rsidRPr="006A1EC7">
              <w:rPr>
                <w:sz w:val="13"/>
                <w:szCs w:val="13"/>
              </w:rPr>
              <w:t>J9 (1)</w:t>
            </w:r>
          </w:p>
        </w:tc>
        <w:tc>
          <w:tcPr>
            <w:tcW w:w="406" w:type="dxa"/>
            <w:shd w:val="clear" w:color="auto" w:fill="FFFF00"/>
          </w:tcPr>
          <w:p w14:paraId="0E4F0B36" w14:textId="77777777" w:rsidR="0087601C" w:rsidRPr="006A1EC7" w:rsidRDefault="0087601C" w:rsidP="00D56051">
            <w:pPr>
              <w:rPr>
                <w:sz w:val="13"/>
                <w:szCs w:val="13"/>
              </w:rPr>
            </w:pPr>
            <w:r w:rsidRPr="006A1EC7">
              <w:rPr>
                <w:sz w:val="13"/>
                <w:szCs w:val="13"/>
              </w:rPr>
              <w:t>J9 (2)</w:t>
            </w:r>
          </w:p>
        </w:tc>
        <w:tc>
          <w:tcPr>
            <w:tcW w:w="406" w:type="dxa"/>
          </w:tcPr>
          <w:p w14:paraId="096DDBC8" w14:textId="77777777" w:rsidR="0087601C" w:rsidRPr="006A1EC7" w:rsidRDefault="0087601C" w:rsidP="00D56051">
            <w:pPr>
              <w:rPr>
                <w:sz w:val="13"/>
                <w:szCs w:val="13"/>
              </w:rPr>
            </w:pPr>
          </w:p>
        </w:tc>
        <w:tc>
          <w:tcPr>
            <w:tcW w:w="406" w:type="dxa"/>
          </w:tcPr>
          <w:p w14:paraId="56952DDE" w14:textId="77777777" w:rsidR="0087601C" w:rsidRPr="006A1EC7" w:rsidRDefault="0087601C" w:rsidP="00D56051">
            <w:pPr>
              <w:rPr>
                <w:sz w:val="13"/>
                <w:szCs w:val="13"/>
              </w:rPr>
            </w:pPr>
          </w:p>
        </w:tc>
        <w:tc>
          <w:tcPr>
            <w:tcW w:w="406" w:type="dxa"/>
          </w:tcPr>
          <w:p w14:paraId="340D8FEA" w14:textId="77777777" w:rsidR="0087601C" w:rsidRPr="006A1EC7" w:rsidRDefault="0087601C" w:rsidP="00D56051">
            <w:pPr>
              <w:rPr>
                <w:sz w:val="13"/>
                <w:szCs w:val="13"/>
              </w:rPr>
            </w:pPr>
          </w:p>
        </w:tc>
      </w:tr>
      <w:tr w:rsidR="00744A8E" w:rsidRPr="006A1EC7" w14:paraId="4A927ED2" w14:textId="77777777" w:rsidTr="00D56051">
        <w:tc>
          <w:tcPr>
            <w:tcW w:w="636" w:type="dxa"/>
          </w:tcPr>
          <w:p w14:paraId="2A8C7F60" w14:textId="77777777" w:rsidR="0087601C" w:rsidRPr="006A1EC7" w:rsidRDefault="0087601C" w:rsidP="00D56051">
            <w:pPr>
              <w:rPr>
                <w:sz w:val="13"/>
                <w:szCs w:val="13"/>
              </w:rPr>
            </w:pPr>
            <w:r w:rsidRPr="006A1EC7">
              <w:rPr>
                <w:sz w:val="13"/>
                <w:szCs w:val="13"/>
              </w:rPr>
              <w:t>FCE</w:t>
            </w:r>
          </w:p>
        </w:tc>
        <w:tc>
          <w:tcPr>
            <w:tcW w:w="476" w:type="dxa"/>
            <w:shd w:val="clear" w:color="auto" w:fill="FFFF00"/>
          </w:tcPr>
          <w:p w14:paraId="6AFF5B24"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6158690A" w14:textId="77777777" w:rsidR="0087601C" w:rsidRPr="006A1EC7" w:rsidRDefault="0087601C" w:rsidP="00D56051">
            <w:pPr>
              <w:rPr>
                <w:sz w:val="13"/>
                <w:szCs w:val="13"/>
              </w:rPr>
            </w:pPr>
            <w:r w:rsidRPr="006A1EC7">
              <w:rPr>
                <w:sz w:val="13"/>
                <w:szCs w:val="13"/>
              </w:rPr>
              <w:t>4</w:t>
            </w:r>
          </w:p>
        </w:tc>
        <w:tc>
          <w:tcPr>
            <w:tcW w:w="477" w:type="dxa"/>
          </w:tcPr>
          <w:p w14:paraId="17C2934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E99D5AE"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0EA72C7C" w14:textId="77777777" w:rsidR="0087601C" w:rsidRPr="006A1EC7" w:rsidRDefault="0087601C" w:rsidP="00D56051">
            <w:pPr>
              <w:rPr>
                <w:sz w:val="13"/>
                <w:szCs w:val="13"/>
              </w:rPr>
            </w:pPr>
            <w:r w:rsidRPr="006A1EC7">
              <w:rPr>
                <w:sz w:val="13"/>
                <w:szCs w:val="13"/>
              </w:rPr>
              <w:t>4</w:t>
            </w:r>
          </w:p>
        </w:tc>
        <w:tc>
          <w:tcPr>
            <w:tcW w:w="458" w:type="dxa"/>
          </w:tcPr>
          <w:p w14:paraId="3E625455"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D4A1F10" w14:textId="77777777" w:rsidR="0087601C" w:rsidRPr="006A1EC7" w:rsidRDefault="0087601C" w:rsidP="00D56051">
            <w:pPr>
              <w:rPr>
                <w:sz w:val="13"/>
                <w:szCs w:val="13"/>
              </w:rPr>
            </w:pPr>
            <w:r w:rsidRPr="006A1EC7">
              <w:rPr>
                <w:sz w:val="13"/>
                <w:szCs w:val="13"/>
              </w:rPr>
              <w:t>4</w:t>
            </w:r>
          </w:p>
        </w:tc>
        <w:tc>
          <w:tcPr>
            <w:tcW w:w="460" w:type="dxa"/>
            <w:shd w:val="clear" w:color="auto" w:fill="FFFF00"/>
          </w:tcPr>
          <w:p w14:paraId="7F968F03" w14:textId="77777777" w:rsidR="0087601C" w:rsidRPr="006A1EC7" w:rsidRDefault="0087601C" w:rsidP="00D56051">
            <w:pPr>
              <w:rPr>
                <w:sz w:val="13"/>
                <w:szCs w:val="13"/>
              </w:rPr>
            </w:pPr>
            <w:r w:rsidRPr="006A1EC7">
              <w:rPr>
                <w:sz w:val="13"/>
                <w:szCs w:val="13"/>
              </w:rPr>
              <w:t>4</w:t>
            </w:r>
          </w:p>
        </w:tc>
        <w:tc>
          <w:tcPr>
            <w:tcW w:w="406" w:type="dxa"/>
            <w:shd w:val="clear" w:color="auto" w:fill="auto"/>
          </w:tcPr>
          <w:p w14:paraId="4DF95D00"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271AD07"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0E07D231" w14:textId="77777777" w:rsidR="0087601C" w:rsidRPr="006A1EC7" w:rsidRDefault="0087601C" w:rsidP="00D56051">
            <w:pPr>
              <w:rPr>
                <w:sz w:val="13"/>
                <w:szCs w:val="13"/>
              </w:rPr>
            </w:pPr>
            <w:r w:rsidRPr="006A1EC7">
              <w:rPr>
                <w:sz w:val="13"/>
                <w:szCs w:val="13"/>
              </w:rPr>
              <w:t>3</w:t>
            </w:r>
          </w:p>
        </w:tc>
        <w:tc>
          <w:tcPr>
            <w:tcW w:w="406" w:type="dxa"/>
          </w:tcPr>
          <w:p w14:paraId="5D1763F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562BD1D"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17FDFF31" w14:textId="77777777" w:rsidR="0087601C" w:rsidRPr="006A1EC7" w:rsidRDefault="0087601C" w:rsidP="00D56051">
            <w:pPr>
              <w:rPr>
                <w:sz w:val="13"/>
                <w:szCs w:val="13"/>
              </w:rPr>
            </w:pPr>
            <w:r w:rsidRPr="006A1EC7">
              <w:rPr>
                <w:sz w:val="13"/>
                <w:szCs w:val="13"/>
              </w:rPr>
              <w:t>3</w:t>
            </w:r>
          </w:p>
        </w:tc>
        <w:tc>
          <w:tcPr>
            <w:tcW w:w="406" w:type="dxa"/>
          </w:tcPr>
          <w:p w14:paraId="0633C5B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B3562FD"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1A234566" w14:textId="77777777" w:rsidR="0087601C" w:rsidRPr="006A1EC7" w:rsidRDefault="0087601C" w:rsidP="00D56051">
            <w:pPr>
              <w:rPr>
                <w:sz w:val="13"/>
                <w:szCs w:val="13"/>
              </w:rPr>
            </w:pPr>
            <w:r w:rsidRPr="006A1EC7">
              <w:rPr>
                <w:sz w:val="13"/>
                <w:szCs w:val="13"/>
              </w:rPr>
              <w:t>3</w:t>
            </w:r>
          </w:p>
        </w:tc>
        <w:tc>
          <w:tcPr>
            <w:tcW w:w="406" w:type="dxa"/>
          </w:tcPr>
          <w:p w14:paraId="562A2A7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AAB7A29" w14:textId="77777777" w:rsidR="0087601C" w:rsidRPr="006A1EC7" w:rsidRDefault="0087601C" w:rsidP="00D56051">
            <w:pPr>
              <w:rPr>
                <w:sz w:val="13"/>
                <w:szCs w:val="13"/>
              </w:rPr>
            </w:pPr>
            <w:r w:rsidRPr="006A1EC7">
              <w:rPr>
                <w:sz w:val="13"/>
                <w:szCs w:val="13"/>
              </w:rPr>
              <w:t>4</w:t>
            </w:r>
          </w:p>
        </w:tc>
        <w:tc>
          <w:tcPr>
            <w:tcW w:w="478" w:type="dxa"/>
            <w:shd w:val="clear" w:color="auto" w:fill="FFFF00"/>
          </w:tcPr>
          <w:p w14:paraId="0F7A3E74" w14:textId="77777777" w:rsidR="0087601C" w:rsidRPr="006A1EC7" w:rsidRDefault="0087601C" w:rsidP="00D56051">
            <w:pPr>
              <w:rPr>
                <w:sz w:val="13"/>
                <w:szCs w:val="13"/>
              </w:rPr>
            </w:pPr>
            <w:r w:rsidRPr="006A1EC7">
              <w:rPr>
                <w:sz w:val="13"/>
                <w:szCs w:val="13"/>
              </w:rPr>
              <w:t>3</w:t>
            </w:r>
          </w:p>
        </w:tc>
        <w:tc>
          <w:tcPr>
            <w:tcW w:w="406" w:type="dxa"/>
          </w:tcPr>
          <w:p w14:paraId="5FBAAD86"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179FCF2A" w14:textId="77777777" w:rsidR="0087601C" w:rsidRPr="006A1EC7" w:rsidRDefault="0087601C" w:rsidP="00D56051">
            <w:pPr>
              <w:rPr>
                <w:sz w:val="13"/>
                <w:szCs w:val="13"/>
              </w:rPr>
            </w:pPr>
            <w:r w:rsidRPr="006A1EC7">
              <w:rPr>
                <w:sz w:val="13"/>
                <w:szCs w:val="13"/>
              </w:rPr>
              <w:t>4</w:t>
            </w:r>
          </w:p>
        </w:tc>
        <w:tc>
          <w:tcPr>
            <w:tcW w:w="460" w:type="dxa"/>
            <w:shd w:val="clear" w:color="auto" w:fill="FFFF00"/>
          </w:tcPr>
          <w:p w14:paraId="68DB3DCB" w14:textId="77777777" w:rsidR="0087601C" w:rsidRPr="006A1EC7" w:rsidRDefault="0087601C" w:rsidP="00D56051">
            <w:pPr>
              <w:rPr>
                <w:sz w:val="13"/>
                <w:szCs w:val="13"/>
              </w:rPr>
            </w:pPr>
            <w:r w:rsidRPr="006A1EC7">
              <w:rPr>
                <w:sz w:val="13"/>
                <w:szCs w:val="13"/>
              </w:rPr>
              <w:t>3</w:t>
            </w:r>
          </w:p>
        </w:tc>
        <w:tc>
          <w:tcPr>
            <w:tcW w:w="406" w:type="dxa"/>
          </w:tcPr>
          <w:p w14:paraId="3DDE9626"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1F32FDE2" w14:textId="77777777" w:rsidR="0087601C" w:rsidRPr="006A1EC7" w:rsidRDefault="0087601C" w:rsidP="00D56051">
            <w:pPr>
              <w:rPr>
                <w:sz w:val="13"/>
                <w:szCs w:val="13"/>
              </w:rPr>
            </w:pPr>
            <w:r w:rsidRPr="006A1EC7">
              <w:rPr>
                <w:sz w:val="13"/>
                <w:szCs w:val="13"/>
              </w:rPr>
              <w:t>2</w:t>
            </w:r>
          </w:p>
        </w:tc>
        <w:tc>
          <w:tcPr>
            <w:tcW w:w="406" w:type="dxa"/>
            <w:shd w:val="clear" w:color="auto" w:fill="FFFF00"/>
          </w:tcPr>
          <w:p w14:paraId="024284EC" w14:textId="77777777" w:rsidR="0087601C" w:rsidRPr="006A1EC7" w:rsidRDefault="0087601C" w:rsidP="00D56051">
            <w:pPr>
              <w:rPr>
                <w:sz w:val="13"/>
                <w:szCs w:val="13"/>
              </w:rPr>
            </w:pPr>
            <w:r w:rsidRPr="006A1EC7">
              <w:rPr>
                <w:sz w:val="13"/>
                <w:szCs w:val="13"/>
              </w:rPr>
              <w:t>3</w:t>
            </w:r>
          </w:p>
        </w:tc>
        <w:tc>
          <w:tcPr>
            <w:tcW w:w="406" w:type="dxa"/>
          </w:tcPr>
          <w:p w14:paraId="4CF1FF97" w14:textId="77777777" w:rsidR="0087601C" w:rsidRPr="006A1EC7" w:rsidRDefault="0087601C" w:rsidP="00D56051">
            <w:pPr>
              <w:rPr>
                <w:sz w:val="13"/>
                <w:szCs w:val="13"/>
              </w:rPr>
            </w:pPr>
            <w:r w:rsidRPr="006A1EC7">
              <w:rPr>
                <w:sz w:val="13"/>
                <w:szCs w:val="13"/>
              </w:rPr>
              <w:t>1</w:t>
            </w:r>
          </w:p>
        </w:tc>
        <w:tc>
          <w:tcPr>
            <w:tcW w:w="406" w:type="dxa"/>
          </w:tcPr>
          <w:p w14:paraId="7AE723FD" w14:textId="77777777" w:rsidR="0087601C" w:rsidRPr="006A1EC7" w:rsidRDefault="0087601C" w:rsidP="00D56051">
            <w:pPr>
              <w:rPr>
                <w:sz w:val="13"/>
                <w:szCs w:val="13"/>
              </w:rPr>
            </w:pPr>
            <w:r w:rsidRPr="006A1EC7">
              <w:rPr>
                <w:sz w:val="13"/>
                <w:szCs w:val="13"/>
              </w:rPr>
              <w:t>9/9</w:t>
            </w:r>
          </w:p>
        </w:tc>
        <w:tc>
          <w:tcPr>
            <w:tcW w:w="406" w:type="dxa"/>
          </w:tcPr>
          <w:p w14:paraId="105C937B" w14:textId="77777777" w:rsidR="0087601C" w:rsidRPr="006A1EC7" w:rsidRDefault="0087601C" w:rsidP="00D56051">
            <w:pPr>
              <w:rPr>
                <w:sz w:val="13"/>
                <w:szCs w:val="13"/>
              </w:rPr>
            </w:pPr>
            <w:r w:rsidRPr="006A1EC7">
              <w:rPr>
                <w:sz w:val="13"/>
                <w:szCs w:val="13"/>
              </w:rPr>
              <w:t>100%</w:t>
            </w:r>
          </w:p>
        </w:tc>
      </w:tr>
      <w:tr w:rsidR="00744A8E" w:rsidRPr="006A1EC7" w14:paraId="0F49CED3" w14:textId="77777777" w:rsidTr="00D56051">
        <w:tc>
          <w:tcPr>
            <w:tcW w:w="636" w:type="dxa"/>
          </w:tcPr>
          <w:p w14:paraId="71180D69" w14:textId="77777777" w:rsidR="0087601C" w:rsidRPr="006A1EC7" w:rsidRDefault="0087601C" w:rsidP="00D56051">
            <w:pPr>
              <w:rPr>
                <w:sz w:val="13"/>
                <w:szCs w:val="13"/>
              </w:rPr>
            </w:pPr>
            <w:r w:rsidRPr="006A1EC7">
              <w:rPr>
                <w:sz w:val="13"/>
                <w:szCs w:val="13"/>
              </w:rPr>
              <w:t>EPY</w:t>
            </w:r>
          </w:p>
        </w:tc>
        <w:tc>
          <w:tcPr>
            <w:tcW w:w="476" w:type="dxa"/>
            <w:shd w:val="clear" w:color="auto" w:fill="FFFF00"/>
          </w:tcPr>
          <w:p w14:paraId="42C76E27" w14:textId="77777777" w:rsidR="0087601C" w:rsidRPr="006A1EC7" w:rsidRDefault="0087601C" w:rsidP="00D56051">
            <w:pPr>
              <w:rPr>
                <w:sz w:val="13"/>
                <w:szCs w:val="13"/>
              </w:rPr>
            </w:pPr>
            <w:r w:rsidRPr="006A1EC7">
              <w:rPr>
                <w:sz w:val="13"/>
                <w:szCs w:val="13"/>
              </w:rPr>
              <w:t>13</w:t>
            </w:r>
          </w:p>
        </w:tc>
        <w:tc>
          <w:tcPr>
            <w:tcW w:w="476" w:type="dxa"/>
            <w:shd w:val="clear" w:color="auto" w:fill="FFFF00"/>
          </w:tcPr>
          <w:p w14:paraId="77D9B57E" w14:textId="77777777" w:rsidR="0087601C" w:rsidRPr="006A1EC7" w:rsidRDefault="0087601C" w:rsidP="00D56051">
            <w:pPr>
              <w:rPr>
                <w:sz w:val="13"/>
                <w:szCs w:val="13"/>
              </w:rPr>
            </w:pPr>
            <w:r w:rsidRPr="006A1EC7">
              <w:rPr>
                <w:sz w:val="13"/>
                <w:szCs w:val="13"/>
              </w:rPr>
              <w:t>13</w:t>
            </w:r>
          </w:p>
        </w:tc>
        <w:tc>
          <w:tcPr>
            <w:tcW w:w="477" w:type="dxa"/>
          </w:tcPr>
          <w:p w14:paraId="76148F1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DC364EB" w14:textId="77777777" w:rsidR="0087601C" w:rsidRPr="006A1EC7" w:rsidRDefault="0087601C" w:rsidP="00D56051">
            <w:pPr>
              <w:rPr>
                <w:sz w:val="13"/>
                <w:szCs w:val="13"/>
              </w:rPr>
            </w:pPr>
            <w:r w:rsidRPr="006A1EC7">
              <w:rPr>
                <w:sz w:val="13"/>
                <w:szCs w:val="13"/>
              </w:rPr>
              <w:t>13</w:t>
            </w:r>
          </w:p>
        </w:tc>
        <w:tc>
          <w:tcPr>
            <w:tcW w:w="477" w:type="dxa"/>
            <w:shd w:val="clear" w:color="auto" w:fill="FFFF00"/>
          </w:tcPr>
          <w:p w14:paraId="1C0337F5" w14:textId="77777777" w:rsidR="0087601C" w:rsidRPr="006A1EC7" w:rsidRDefault="0087601C" w:rsidP="00D56051">
            <w:pPr>
              <w:rPr>
                <w:sz w:val="13"/>
                <w:szCs w:val="13"/>
              </w:rPr>
            </w:pPr>
            <w:r w:rsidRPr="006A1EC7">
              <w:rPr>
                <w:sz w:val="13"/>
                <w:szCs w:val="13"/>
              </w:rPr>
              <w:t>12</w:t>
            </w:r>
          </w:p>
        </w:tc>
        <w:tc>
          <w:tcPr>
            <w:tcW w:w="458" w:type="dxa"/>
          </w:tcPr>
          <w:p w14:paraId="4286686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9600C50" w14:textId="77777777" w:rsidR="0087601C" w:rsidRPr="006A1EC7" w:rsidRDefault="0087601C" w:rsidP="00D56051">
            <w:pPr>
              <w:rPr>
                <w:sz w:val="13"/>
                <w:szCs w:val="13"/>
              </w:rPr>
            </w:pPr>
            <w:r w:rsidRPr="006A1EC7">
              <w:rPr>
                <w:sz w:val="13"/>
                <w:szCs w:val="13"/>
              </w:rPr>
              <w:t>12</w:t>
            </w:r>
          </w:p>
        </w:tc>
        <w:tc>
          <w:tcPr>
            <w:tcW w:w="460" w:type="dxa"/>
            <w:shd w:val="clear" w:color="auto" w:fill="FFFF00"/>
          </w:tcPr>
          <w:p w14:paraId="34C52B2F" w14:textId="77777777" w:rsidR="0087601C" w:rsidRPr="006A1EC7" w:rsidRDefault="0087601C" w:rsidP="00D56051">
            <w:pPr>
              <w:rPr>
                <w:sz w:val="13"/>
                <w:szCs w:val="13"/>
              </w:rPr>
            </w:pPr>
            <w:r w:rsidRPr="006A1EC7">
              <w:rPr>
                <w:sz w:val="13"/>
                <w:szCs w:val="13"/>
              </w:rPr>
              <w:t>12</w:t>
            </w:r>
          </w:p>
        </w:tc>
        <w:tc>
          <w:tcPr>
            <w:tcW w:w="406" w:type="dxa"/>
            <w:shd w:val="clear" w:color="auto" w:fill="auto"/>
          </w:tcPr>
          <w:p w14:paraId="0B1686EA"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A427481" w14:textId="77777777" w:rsidR="0087601C" w:rsidRPr="006A1EC7" w:rsidRDefault="0087601C" w:rsidP="00D56051">
            <w:pPr>
              <w:rPr>
                <w:sz w:val="13"/>
                <w:szCs w:val="13"/>
              </w:rPr>
            </w:pPr>
            <w:r w:rsidRPr="006A1EC7">
              <w:rPr>
                <w:sz w:val="13"/>
                <w:szCs w:val="13"/>
              </w:rPr>
              <w:t>12</w:t>
            </w:r>
          </w:p>
        </w:tc>
        <w:tc>
          <w:tcPr>
            <w:tcW w:w="477" w:type="dxa"/>
            <w:shd w:val="clear" w:color="auto" w:fill="FFFF00"/>
          </w:tcPr>
          <w:p w14:paraId="627C6D3A" w14:textId="77777777" w:rsidR="0087601C" w:rsidRPr="006A1EC7" w:rsidRDefault="0087601C" w:rsidP="00D56051">
            <w:pPr>
              <w:rPr>
                <w:sz w:val="13"/>
                <w:szCs w:val="13"/>
              </w:rPr>
            </w:pPr>
            <w:r w:rsidRPr="006A1EC7">
              <w:rPr>
                <w:sz w:val="13"/>
                <w:szCs w:val="13"/>
              </w:rPr>
              <w:t>13</w:t>
            </w:r>
          </w:p>
        </w:tc>
        <w:tc>
          <w:tcPr>
            <w:tcW w:w="406" w:type="dxa"/>
          </w:tcPr>
          <w:p w14:paraId="5A77275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82DAD5F" w14:textId="77777777" w:rsidR="0087601C" w:rsidRPr="006A1EC7" w:rsidRDefault="0087601C" w:rsidP="00D56051">
            <w:pPr>
              <w:rPr>
                <w:sz w:val="13"/>
                <w:szCs w:val="13"/>
              </w:rPr>
            </w:pPr>
            <w:r w:rsidRPr="006A1EC7">
              <w:rPr>
                <w:sz w:val="13"/>
                <w:szCs w:val="13"/>
              </w:rPr>
              <w:t>13</w:t>
            </w:r>
          </w:p>
        </w:tc>
        <w:tc>
          <w:tcPr>
            <w:tcW w:w="477" w:type="dxa"/>
            <w:shd w:val="clear" w:color="auto" w:fill="FFFF00"/>
          </w:tcPr>
          <w:p w14:paraId="7B60CAC8" w14:textId="77777777" w:rsidR="0087601C" w:rsidRPr="006A1EC7" w:rsidRDefault="0087601C" w:rsidP="00D56051">
            <w:pPr>
              <w:rPr>
                <w:sz w:val="13"/>
                <w:szCs w:val="13"/>
              </w:rPr>
            </w:pPr>
            <w:r w:rsidRPr="006A1EC7">
              <w:rPr>
                <w:sz w:val="13"/>
                <w:szCs w:val="13"/>
              </w:rPr>
              <w:t>12</w:t>
            </w:r>
          </w:p>
        </w:tc>
        <w:tc>
          <w:tcPr>
            <w:tcW w:w="406" w:type="dxa"/>
          </w:tcPr>
          <w:p w14:paraId="4B50607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592120B" w14:textId="77777777" w:rsidR="0087601C" w:rsidRPr="006A1EC7" w:rsidRDefault="0087601C" w:rsidP="00D56051">
            <w:pPr>
              <w:rPr>
                <w:sz w:val="13"/>
                <w:szCs w:val="13"/>
              </w:rPr>
            </w:pPr>
            <w:r w:rsidRPr="006A1EC7">
              <w:rPr>
                <w:sz w:val="13"/>
                <w:szCs w:val="13"/>
              </w:rPr>
              <w:t>12</w:t>
            </w:r>
          </w:p>
        </w:tc>
        <w:tc>
          <w:tcPr>
            <w:tcW w:w="477" w:type="dxa"/>
            <w:shd w:val="clear" w:color="auto" w:fill="FFFF00"/>
          </w:tcPr>
          <w:p w14:paraId="2FCB1527" w14:textId="77777777" w:rsidR="0087601C" w:rsidRPr="006A1EC7" w:rsidRDefault="0087601C" w:rsidP="00D56051">
            <w:pPr>
              <w:rPr>
                <w:sz w:val="13"/>
                <w:szCs w:val="13"/>
              </w:rPr>
            </w:pPr>
            <w:r w:rsidRPr="006A1EC7">
              <w:rPr>
                <w:sz w:val="13"/>
                <w:szCs w:val="13"/>
              </w:rPr>
              <w:t>13</w:t>
            </w:r>
          </w:p>
        </w:tc>
        <w:tc>
          <w:tcPr>
            <w:tcW w:w="406" w:type="dxa"/>
          </w:tcPr>
          <w:p w14:paraId="1CF734E3"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2B4B963" w14:textId="77777777" w:rsidR="0087601C" w:rsidRPr="006A1EC7" w:rsidRDefault="0087601C" w:rsidP="00D56051">
            <w:pPr>
              <w:rPr>
                <w:sz w:val="13"/>
                <w:szCs w:val="13"/>
              </w:rPr>
            </w:pPr>
            <w:r w:rsidRPr="006A1EC7">
              <w:rPr>
                <w:sz w:val="13"/>
                <w:szCs w:val="13"/>
              </w:rPr>
              <w:t>13</w:t>
            </w:r>
          </w:p>
        </w:tc>
        <w:tc>
          <w:tcPr>
            <w:tcW w:w="478" w:type="dxa"/>
            <w:shd w:val="clear" w:color="auto" w:fill="FFFF00"/>
          </w:tcPr>
          <w:p w14:paraId="7A38EB65" w14:textId="77777777" w:rsidR="0087601C" w:rsidRPr="006A1EC7" w:rsidRDefault="0087601C" w:rsidP="00D56051">
            <w:pPr>
              <w:rPr>
                <w:sz w:val="13"/>
                <w:szCs w:val="13"/>
              </w:rPr>
            </w:pPr>
            <w:r w:rsidRPr="006A1EC7">
              <w:rPr>
                <w:sz w:val="13"/>
                <w:szCs w:val="13"/>
              </w:rPr>
              <w:t>13</w:t>
            </w:r>
          </w:p>
        </w:tc>
        <w:tc>
          <w:tcPr>
            <w:tcW w:w="406" w:type="dxa"/>
          </w:tcPr>
          <w:p w14:paraId="74AB7920"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152AF24" w14:textId="77777777" w:rsidR="0087601C" w:rsidRPr="006A1EC7" w:rsidRDefault="0087601C" w:rsidP="00D56051">
            <w:pPr>
              <w:rPr>
                <w:sz w:val="13"/>
                <w:szCs w:val="13"/>
              </w:rPr>
            </w:pPr>
            <w:r w:rsidRPr="006A1EC7">
              <w:rPr>
                <w:sz w:val="13"/>
                <w:szCs w:val="13"/>
              </w:rPr>
              <w:t>13</w:t>
            </w:r>
          </w:p>
        </w:tc>
        <w:tc>
          <w:tcPr>
            <w:tcW w:w="460" w:type="dxa"/>
            <w:shd w:val="clear" w:color="auto" w:fill="FFFF00"/>
          </w:tcPr>
          <w:p w14:paraId="0C15F549" w14:textId="77777777" w:rsidR="0087601C" w:rsidRPr="006A1EC7" w:rsidRDefault="0087601C" w:rsidP="00D56051">
            <w:pPr>
              <w:rPr>
                <w:sz w:val="13"/>
                <w:szCs w:val="13"/>
              </w:rPr>
            </w:pPr>
            <w:r w:rsidRPr="006A1EC7">
              <w:rPr>
                <w:sz w:val="13"/>
                <w:szCs w:val="13"/>
              </w:rPr>
              <w:t>13</w:t>
            </w:r>
          </w:p>
        </w:tc>
        <w:tc>
          <w:tcPr>
            <w:tcW w:w="406" w:type="dxa"/>
          </w:tcPr>
          <w:p w14:paraId="416FB914"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761BF9A5" w14:textId="77777777" w:rsidR="0087601C" w:rsidRPr="006A1EC7" w:rsidRDefault="0087601C" w:rsidP="00D56051">
            <w:pPr>
              <w:rPr>
                <w:sz w:val="13"/>
                <w:szCs w:val="13"/>
              </w:rPr>
            </w:pPr>
            <w:r w:rsidRPr="006A1EC7">
              <w:rPr>
                <w:sz w:val="13"/>
                <w:szCs w:val="13"/>
              </w:rPr>
              <w:t>13</w:t>
            </w:r>
          </w:p>
        </w:tc>
        <w:tc>
          <w:tcPr>
            <w:tcW w:w="406" w:type="dxa"/>
            <w:shd w:val="clear" w:color="auto" w:fill="FFFF00"/>
          </w:tcPr>
          <w:p w14:paraId="2A4536CA" w14:textId="77777777" w:rsidR="0087601C" w:rsidRPr="006A1EC7" w:rsidRDefault="0087601C" w:rsidP="00D56051">
            <w:pPr>
              <w:rPr>
                <w:sz w:val="13"/>
                <w:szCs w:val="13"/>
              </w:rPr>
            </w:pPr>
            <w:r w:rsidRPr="006A1EC7">
              <w:rPr>
                <w:sz w:val="13"/>
                <w:szCs w:val="13"/>
              </w:rPr>
              <w:t>16</w:t>
            </w:r>
          </w:p>
        </w:tc>
        <w:tc>
          <w:tcPr>
            <w:tcW w:w="406" w:type="dxa"/>
          </w:tcPr>
          <w:p w14:paraId="3C53A2FF" w14:textId="77777777" w:rsidR="0087601C" w:rsidRPr="006A1EC7" w:rsidRDefault="0087601C" w:rsidP="00D56051">
            <w:pPr>
              <w:rPr>
                <w:sz w:val="13"/>
                <w:szCs w:val="13"/>
              </w:rPr>
            </w:pPr>
            <w:r w:rsidRPr="006A1EC7">
              <w:rPr>
                <w:sz w:val="13"/>
                <w:szCs w:val="13"/>
              </w:rPr>
              <w:t>0</w:t>
            </w:r>
          </w:p>
        </w:tc>
        <w:tc>
          <w:tcPr>
            <w:tcW w:w="406" w:type="dxa"/>
          </w:tcPr>
          <w:p w14:paraId="6FA0F2A4" w14:textId="77777777" w:rsidR="0087601C" w:rsidRPr="006A1EC7" w:rsidRDefault="0087601C" w:rsidP="00D56051">
            <w:pPr>
              <w:rPr>
                <w:sz w:val="13"/>
                <w:szCs w:val="13"/>
              </w:rPr>
            </w:pPr>
            <w:r w:rsidRPr="006A1EC7">
              <w:rPr>
                <w:sz w:val="13"/>
                <w:szCs w:val="13"/>
              </w:rPr>
              <w:t>8/9</w:t>
            </w:r>
          </w:p>
        </w:tc>
        <w:tc>
          <w:tcPr>
            <w:tcW w:w="406" w:type="dxa"/>
          </w:tcPr>
          <w:p w14:paraId="0C896DE6" w14:textId="77777777" w:rsidR="0087601C" w:rsidRPr="006A1EC7" w:rsidRDefault="0087601C" w:rsidP="00D56051">
            <w:pPr>
              <w:rPr>
                <w:sz w:val="13"/>
                <w:szCs w:val="13"/>
              </w:rPr>
            </w:pPr>
            <w:r w:rsidRPr="006A1EC7">
              <w:rPr>
                <w:sz w:val="13"/>
                <w:szCs w:val="13"/>
              </w:rPr>
              <w:t>88%</w:t>
            </w:r>
          </w:p>
        </w:tc>
      </w:tr>
      <w:tr w:rsidR="00744A8E" w:rsidRPr="006A1EC7" w14:paraId="22AEE220" w14:textId="77777777" w:rsidTr="00D56051">
        <w:tc>
          <w:tcPr>
            <w:tcW w:w="636" w:type="dxa"/>
          </w:tcPr>
          <w:p w14:paraId="1D9025F5" w14:textId="77777777" w:rsidR="0087601C" w:rsidRPr="006A1EC7" w:rsidRDefault="0087601C" w:rsidP="00D56051">
            <w:pPr>
              <w:rPr>
                <w:sz w:val="13"/>
                <w:szCs w:val="13"/>
              </w:rPr>
            </w:pPr>
            <w:r w:rsidRPr="006A1EC7">
              <w:rPr>
                <w:sz w:val="13"/>
                <w:szCs w:val="13"/>
              </w:rPr>
              <w:t>GST</w:t>
            </w:r>
          </w:p>
        </w:tc>
        <w:tc>
          <w:tcPr>
            <w:tcW w:w="476" w:type="dxa"/>
            <w:shd w:val="clear" w:color="auto" w:fill="FFFF00"/>
          </w:tcPr>
          <w:p w14:paraId="3E0CEF69" w14:textId="77777777" w:rsidR="0087601C" w:rsidRPr="006A1EC7" w:rsidRDefault="0087601C" w:rsidP="00D56051">
            <w:pPr>
              <w:rPr>
                <w:sz w:val="13"/>
                <w:szCs w:val="13"/>
              </w:rPr>
            </w:pPr>
            <w:r w:rsidRPr="006A1EC7">
              <w:rPr>
                <w:sz w:val="13"/>
                <w:szCs w:val="13"/>
              </w:rPr>
              <w:t>18</w:t>
            </w:r>
          </w:p>
        </w:tc>
        <w:tc>
          <w:tcPr>
            <w:tcW w:w="476" w:type="dxa"/>
            <w:shd w:val="clear" w:color="auto" w:fill="FFFF00"/>
          </w:tcPr>
          <w:p w14:paraId="11496CF5" w14:textId="77777777" w:rsidR="0087601C" w:rsidRPr="006A1EC7" w:rsidRDefault="0087601C" w:rsidP="00D56051">
            <w:pPr>
              <w:rPr>
                <w:sz w:val="13"/>
                <w:szCs w:val="13"/>
              </w:rPr>
            </w:pPr>
            <w:r w:rsidRPr="006A1EC7">
              <w:rPr>
                <w:sz w:val="13"/>
                <w:szCs w:val="13"/>
              </w:rPr>
              <w:t>18</w:t>
            </w:r>
          </w:p>
        </w:tc>
        <w:tc>
          <w:tcPr>
            <w:tcW w:w="477" w:type="dxa"/>
          </w:tcPr>
          <w:p w14:paraId="48E5B65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F91F2F1" w14:textId="77777777" w:rsidR="0087601C" w:rsidRPr="006A1EC7" w:rsidRDefault="0087601C" w:rsidP="00D56051">
            <w:pPr>
              <w:rPr>
                <w:sz w:val="13"/>
                <w:szCs w:val="13"/>
              </w:rPr>
            </w:pPr>
            <w:r w:rsidRPr="006A1EC7">
              <w:rPr>
                <w:sz w:val="13"/>
                <w:szCs w:val="13"/>
              </w:rPr>
              <w:t>18</w:t>
            </w:r>
          </w:p>
        </w:tc>
        <w:tc>
          <w:tcPr>
            <w:tcW w:w="477" w:type="dxa"/>
            <w:shd w:val="clear" w:color="auto" w:fill="FFFF00"/>
          </w:tcPr>
          <w:p w14:paraId="0D21C346" w14:textId="77777777" w:rsidR="0087601C" w:rsidRPr="006A1EC7" w:rsidRDefault="0087601C" w:rsidP="00D56051">
            <w:pPr>
              <w:rPr>
                <w:sz w:val="13"/>
                <w:szCs w:val="13"/>
              </w:rPr>
            </w:pPr>
            <w:r w:rsidRPr="006A1EC7">
              <w:rPr>
                <w:sz w:val="13"/>
                <w:szCs w:val="13"/>
              </w:rPr>
              <w:t>17</w:t>
            </w:r>
          </w:p>
        </w:tc>
        <w:tc>
          <w:tcPr>
            <w:tcW w:w="458" w:type="dxa"/>
          </w:tcPr>
          <w:p w14:paraId="634CFEF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BDF1058" w14:textId="77777777" w:rsidR="0087601C" w:rsidRPr="006A1EC7" w:rsidRDefault="0087601C" w:rsidP="00D56051">
            <w:pPr>
              <w:rPr>
                <w:sz w:val="13"/>
                <w:szCs w:val="13"/>
              </w:rPr>
            </w:pPr>
            <w:r w:rsidRPr="006A1EC7">
              <w:rPr>
                <w:sz w:val="13"/>
                <w:szCs w:val="13"/>
              </w:rPr>
              <w:t>18</w:t>
            </w:r>
          </w:p>
        </w:tc>
        <w:tc>
          <w:tcPr>
            <w:tcW w:w="460" w:type="dxa"/>
            <w:shd w:val="clear" w:color="auto" w:fill="FFFF00"/>
          </w:tcPr>
          <w:p w14:paraId="5782D10A" w14:textId="77777777" w:rsidR="0087601C" w:rsidRPr="006A1EC7" w:rsidRDefault="0087601C" w:rsidP="00D56051">
            <w:pPr>
              <w:rPr>
                <w:sz w:val="13"/>
                <w:szCs w:val="13"/>
              </w:rPr>
            </w:pPr>
            <w:r w:rsidRPr="006A1EC7">
              <w:rPr>
                <w:sz w:val="13"/>
                <w:szCs w:val="13"/>
              </w:rPr>
              <w:t>18</w:t>
            </w:r>
          </w:p>
        </w:tc>
        <w:tc>
          <w:tcPr>
            <w:tcW w:w="406" w:type="dxa"/>
            <w:shd w:val="clear" w:color="auto" w:fill="auto"/>
          </w:tcPr>
          <w:p w14:paraId="509A5B00"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4CA1FE31" w14:textId="77777777" w:rsidR="0087601C" w:rsidRPr="006A1EC7" w:rsidRDefault="0087601C" w:rsidP="00D56051">
            <w:pPr>
              <w:rPr>
                <w:sz w:val="13"/>
                <w:szCs w:val="13"/>
              </w:rPr>
            </w:pPr>
            <w:r w:rsidRPr="006A1EC7">
              <w:rPr>
                <w:sz w:val="13"/>
                <w:szCs w:val="13"/>
              </w:rPr>
              <w:t>17</w:t>
            </w:r>
          </w:p>
        </w:tc>
        <w:tc>
          <w:tcPr>
            <w:tcW w:w="477" w:type="dxa"/>
            <w:shd w:val="clear" w:color="auto" w:fill="FFFF00"/>
          </w:tcPr>
          <w:p w14:paraId="7DA18CEA" w14:textId="77777777" w:rsidR="0087601C" w:rsidRPr="006A1EC7" w:rsidRDefault="0087601C" w:rsidP="00D56051">
            <w:pPr>
              <w:rPr>
                <w:sz w:val="13"/>
                <w:szCs w:val="13"/>
              </w:rPr>
            </w:pPr>
            <w:r w:rsidRPr="006A1EC7">
              <w:rPr>
                <w:sz w:val="13"/>
                <w:szCs w:val="13"/>
              </w:rPr>
              <w:t>17</w:t>
            </w:r>
          </w:p>
        </w:tc>
        <w:tc>
          <w:tcPr>
            <w:tcW w:w="406" w:type="dxa"/>
          </w:tcPr>
          <w:p w14:paraId="39A7FB8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C6909BC" w14:textId="77777777" w:rsidR="0087601C" w:rsidRPr="006A1EC7" w:rsidRDefault="0087601C" w:rsidP="00D56051">
            <w:pPr>
              <w:rPr>
                <w:sz w:val="13"/>
                <w:szCs w:val="13"/>
              </w:rPr>
            </w:pPr>
            <w:r w:rsidRPr="006A1EC7">
              <w:rPr>
                <w:sz w:val="13"/>
                <w:szCs w:val="13"/>
              </w:rPr>
              <w:t>18</w:t>
            </w:r>
          </w:p>
        </w:tc>
        <w:tc>
          <w:tcPr>
            <w:tcW w:w="477" w:type="dxa"/>
            <w:shd w:val="clear" w:color="auto" w:fill="FFFF00"/>
          </w:tcPr>
          <w:p w14:paraId="64A76B21" w14:textId="77777777" w:rsidR="0087601C" w:rsidRPr="006A1EC7" w:rsidRDefault="0087601C" w:rsidP="00D56051">
            <w:pPr>
              <w:rPr>
                <w:sz w:val="13"/>
                <w:szCs w:val="13"/>
              </w:rPr>
            </w:pPr>
            <w:r w:rsidRPr="006A1EC7">
              <w:rPr>
                <w:sz w:val="13"/>
                <w:szCs w:val="13"/>
              </w:rPr>
              <w:t>18</w:t>
            </w:r>
          </w:p>
        </w:tc>
        <w:tc>
          <w:tcPr>
            <w:tcW w:w="406" w:type="dxa"/>
          </w:tcPr>
          <w:p w14:paraId="05C5B851"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D3CC16A" w14:textId="77777777" w:rsidR="0087601C" w:rsidRPr="006A1EC7" w:rsidRDefault="0087601C" w:rsidP="00D56051">
            <w:pPr>
              <w:rPr>
                <w:sz w:val="13"/>
                <w:szCs w:val="13"/>
              </w:rPr>
            </w:pPr>
            <w:r w:rsidRPr="006A1EC7">
              <w:rPr>
                <w:sz w:val="13"/>
                <w:szCs w:val="13"/>
              </w:rPr>
              <w:t>15</w:t>
            </w:r>
          </w:p>
        </w:tc>
        <w:tc>
          <w:tcPr>
            <w:tcW w:w="477" w:type="dxa"/>
            <w:shd w:val="clear" w:color="auto" w:fill="FFFF00"/>
          </w:tcPr>
          <w:p w14:paraId="6ED4A5A5" w14:textId="77777777" w:rsidR="0087601C" w:rsidRPr="006A1EC7" w:rsidRDefault="0087601C" w:rsidP="00D56051">
            <w:pPr>
              <w:rPr>
                <w:sz w:val="13"/>
                <w:szCs w:val="13"/>
              </w:rPr>
            </w:pPr>
            <w:r w:rsidRPr="006A1EC7">
              <w:rPr>
                <w:sz w:val="13"/>
                <w:szCs w:val="13"/>
              </w:rPr>
              <w:t>18</w:t>
            </w:r>
          </w:p>
        </w:tc>
        <w:tc>
          <w:tcPr>
            <w:tcW w:w="406" w:type="dxa"/>
          </w:tcPr>
          <w:p w14:paraId="6EE3963C"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C078032" w14:textId="77777777" w:rsidR="0087601C" w:rsidRPr="006A1EC7" w:rsidRDefault="0087601C" w:rsidP="00D56051">
            <w:pPr>
              <w:rPr>
                <w:sz w:val="13"/>
                <w:szCs w:val="13"/>
              </w:rPr>
            </w:pPr>
            <w:r w:rsidRPr="006A1EC7">
              <w:rPr>
                <w:sz w:val="13"/>
                <w:szCs w:val="13"/>
              </w:rPr>
              <w:t>18</w:t>
            </w:r>
          </w:p>
        </w:tc>
        <w:tc>
          <w:tcPr>
            <w:tcW w:w="478" w:type="dxa"/>
            <w:shd w:val="clear" w:color="auto" w:fill="FFFF00"/>
          </w:tcPr>
          <w:p w14:paraId="36CDD681" w14:textId="77777777" w:rsidR="0087601C" w:rsidRPr="006A1EC7" w:rsidRDefault="0087601C" w:rsidP="00D56051">
            <w:pPr>
              <w:rPr>
                <w:sz w:val="13"/>
                <w:szCs w:val="13"/>
              </w:rPr>
            </w:pPr>
            <w:r w:rsidRPr="006A1EC7">
              <w:rPr>
                <w:sz w:val="13"/>
                <w:szCs w:val="13"/>
              </w:rPr>
              <w:t>14</w:t>
            </w:r>
          </w:p>
        </w:tc>
        <w:tc>
          <w:tcPr>
            <w:tcW w:w="406" w:type="dxa"/>
          </w:tcPr>
          <w:p w14:paraId="11AAF2A0"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662A9CD8" w14:textId="77777777" w:rsidR="0087601C" w:rsidRPr="006A1EC7" w:rsidRDefault="0087601C" w:rsidP="00D56051">
            <w:pPr>
              <w:rPr>
                <w:sz w:val="13"/>
                <w:szCs w:val="13"/>
              </w:rPr>
            </w:pPr>
            <w:r w:rsidRPr="006A1EC7">
              <w:rPr>
                <w:sz w:val="13"/>
                <w:szCs w:val="13"/>
              </w:rPr>
              <w:t>20</w:t>
            </w:r>
          </w:p>
        </w:tc>
        <w:tc>
          <w:tcPr>
            <w:tcW w:w="460" w:type="dxa"/>
            <w:shd w:val="clear" w:color="auto" w:fill="FFFF00"/>
          </w:tcPr>
          <w:p w14:paraId="0BCFF791" w14:textId="77777777" w:rsidR="0087601C" w:rsidRPr="006A1EC7" w:rsidRDefault="0087601C" w:rsidP="00D56051">
            <w:pPr>
              <w:rPr>
                <w:sz w:val="13"/>
                <w:szCs w:val="13"/>
              </w:rPr>
            </w:pPr>
            <w:r w:rsidRPr="006A1EC7">
              <w:rPr>
                <w:sz w:val="13"/>
                <w:szCs w:val="13"/>
              </w:rPr>
              <w:t>16</w:t>
            </w:r>
          </w:p>
        </w:tc>
        <w:tc>
          <w:tcPr>
            <w:tcW w:w="406" w:type="dxa"/>
          </w:tcPr>
          <w:p w14:paraId="44593B22"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2E3E6FCE" w14:textId="77777777" w:rsidR="0087601C" w:rsidRPr="006A1EC7" w:rsidRDefault="0087601C" w:rsidP="00D56051">
            <w:pPr>
              <w:rPr>
                <w:sz w:val="13"/>
                <w:szCs w:val="13"/>
              </w:rPr>
            </w:pPr>
            <w:r w:rsidRPr="006A1EC7">
              <w:rPr>
                <w:sz w:val="13"/>
                <w:szCs w:val="13"/>
              </w:rPr>
              <w:t>16</w:t>
            </w:r>
          </w:p>
        </w:tc>
        <w:tc>
          <w:tcPr>
            <w:tcW w:w="406" w:type="dxa"/>
            <w:shd w:val="clear" w:color="auto" w:fill="FFFF00"/>
          </w:tcPr>
          <w:p w14:paraId="2C53ED41" w14:textId="77777777" w:rsidR="0087601C" w:rsidRPr="006A1EC7" w:rsidRDefault="0087601C" w:rsidP="00D56051">
            <w:pPr>
              <w:rPr>
                <w:sz w:val="13"/>
                <w:szCs w:val="13"/>
              </w:rPr>
            </w:pPr>
            <w:r w:rsidRPr="006A1EC7">
              <w:rPr>
                <w:sz w:val="13"/>
                <w:szCs w:val="13"/>
              </w:rPr>
              <w:t>16</w:t>
            </w:r>
          </w:p>
        </w:tc>
        <w:tc>
          <w:tcPr>
            <w:tcW w:w="406" w:type="dxa"/>
          </w:tcPr>
          <w:p w14:paraId="2AC1B207" w14:textId="77777777" w:rsidR="0087601C" w:rsidRPr="006A1EC7" w:rsidRDefault="0087601C" w:rsidP="00D56051">
            <w:pPr>
              <w:rPr>
                <w:sz w:val="13"/>
                <w:szCs w:val="13"/>
              </w:rPr>
            </w:pPr>
            <w:r w:rsidRPr="006A1EC7">
              <w:rPr>
                <w:sz w:val="13"/>
                <w:szCs w:val="13"/>
              </w:rPr>
              <w:t>1</w:t>
            </w:r>
          </w:p>
        </w:tc>
        <w:tc>
          <w:tcPr>
            <w:tcW w:w="406" w:type="dxa"/>
          </w:tcPr>
          <w:p w14:paraId="63D78118" w14:textId="77777777" w:rsidR="0087601C" w:rsidRPr="006A1EC7" w:rsidRDefault="0087601C" w:rsidP="00D56051">
            <w:pPr>
              <w:rPr>
                <w:sz w:val="13"/>
                <w:szCs w:val="13"/>
              </w:rPr>
            </w:pPr>
            <w:r w:rsidRPr="006A1EC7">
              <w:rPr>
                <w:sz w:val="13"/>
                <w:szCs w:val="13"/>
              </w:rPr>
              <w:t>6/9</w:t>
            </w:r>
          </w:p>
        </w:tc>
        <w:tc>
          <w:tcPr>
            <w:tcW w:w="406" w:type="dxa"/>
          </w:tcPr>
          <w:p w14:paraId="5D806BA8" w14:textId="77777777" w:rsidR="0087601C" w:rsidRPr="006A1EC7" w:rsidRDefault="0087601C" w:rsidP="00D56051">
            <w:pPr>
              <w:rPr>
                <w:sz w:val="13"/>
                <w:szCs w:val="13"/>
              </w:rPr>
            </w:pPr>
            <w:r w:rsidRPr="006A1EC7">
              <w:rPr>
                <w:sz w:val="13"/>
                <w:szCs w:val="13"/>
              </w:rPr>
              <w:t>66%</w:t>
            </w:r>
          </w:p>
        </w:tc>
      </w:tr>
      <w:tr w:rsidR="00744A8E" w:rsidRPr="006A1EC7" w14:paraId="7A7F1277" w14:textId="77777777" w:rsidTr="00D56051">
        <w:tc>
          <w:tcPr>
            <w:tcW w:w="636" w:type="dxa"/>
          </w:tcPr>
          <w:p w14:paraId="2A25B427" w14:textId="77777777" w:rsidR="0087601C" w:rsidRPr="006A1EC7" w:rsidRDefault="0087601C" w:rsidP="00D56051">
            <w:pPr>
              <w:rPr>
                <w:sz w:val="13"/>
                <w:szCs w:val="13"/>
              </w:rPr>
            </w:pPr>
            <w:r w:rsidRPr="006A1EC7">
              <w:rPr>
                <w:sz w:val="13"/>
                <w:szCs w:val="13"/>
              </w:rPr>
              <w:t>CRS</w:t>
            </w:r>
          </w:p>
        </w:tc>
        <w:tc>
          <w:tcPr>
            <w:tcW w:w="476" w:type="dxa"/>
            <w:shd w:val="clear" w:color="auto" w:fill="FFFF00"/>
          </w:tcPr>
          <w:p w14:paraId="037CFD6F"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6D1346D1" w14:textId="77777777" w:rsidR="0087601C" w:rsidRPr="006A1EC7" w:rsidRDefault="0087601C" w:rsidP="00D56051">
            <w:pPr>
              <w:rPr>
                <w:sz w:val="13"/>
                <w:szCs w:val="13"/>
              </w:rPr>
            </w:pPr>
            <w:r w:rsidRPr="006A1EC7">
              <w:rPr>
                <w:sz w:val="13"/>
                <w:szCs w:val="13"/>
              </w:rPr>
              <w:t>1</w:t>
            </w:r>
          </w:p>
        </w:tc>
        <w:tc>
          <w:tcPr>
            <w:tcW w:w="477" w:type="dxa"/>
          </w:tcPr>
          <w:p w14:paraId="1790A24F"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2AF7735"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407D032C" w14:textId="77777777" w:rsidR="0087601C" w:rsidRPr="006A1EC7" w:rsidRDefault="0087601C" w:rsidP="00D56051">
            <w:pPr>
              <w:rPr>
                <w:sz w:val="13"/>
                <w:szCs w:val="13"/>
              </w:rPr>
            </w:pPr>
            <w:r w:rsidRPr="006A1EC7">
              <w:rPr>
                <w:sz w:val="13"/>
                <w:szCs w:val="13"/>
              </w:rPr>
              <w:t>1</w:t>
            </w:r>
          </w:p>
        </w:tc>
        <w:tc>
          <w:tcPr>
            <w:tcW w:w="458" w:type="dxa"/>
          </w:tcPr>
          <w:p w14:paraId="16EF7D7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CABEBFA"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6A88E229"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205920FA"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1652E7B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5914476" w14:textId="77777777" w:rsidR="0087601C" w:rsidRPr="006A1EC7" w:rsidRDefault="0087601C" w:rsidP="00D56051">
            <w:pPr>
              <w:rPr>
                <w:sz w:val="13"/>
                <w:szCs w:val="13"/>
              </w:rPr>
            </w:pPr>
            <w:r w:rsidRPr="006A1EC7">
              <w:rPr>
                <w:sz w:val="13"/>
                <w:szCs w:val="13"/>
              </w:rPr>
              <w:t>0</w:t>
            </w:r>
          </w:p>
        </w:tc>
        <w:tc>
          <w:tcPr>
            <w:tcW w:w="406" w:type="dxa"/>
          </w:tcPr>
          <w:p w14:paraId="30FC0D9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0A1AEC5"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5BAAAC2" w14:textId="77777777" w:rsidR="0087601C" w:rsidRPr="006A1EC7" w:rsidRDefault="0087601C" w:rsidP="00D56051">
            <w:pPr>
              <w:rPr>
                <w:sz w:val="13"/>
                <w:szCs w:val="13"/>
              </w:rPr>
            </w:pPr>
            <w:r w:rsidRPr="006A1EC7">
              <w:rPr>
                <w:sz w:val="13"/>
                <w:szCs w:val="13"/>
              </w:rPr>
              <w:t>0</w:t>
            </w:r>
          </w:p>
        </w:tc>
        <w:tc>
          <w:tcPr>
            <w:tcW w:w="406" w:type="dxa"/>
          </w:tcPr>
          <w:p w14:paraId="4535C39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A9D865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4838B06B" w14:textId="77777777" w:rsidR="0087601C" w:rsidRPr="006A1EC7" w:rsidRDefault="0087601C" w:rsidP="00D56051">
            <w:pPr>
              <w:rPr>
                <w:sz w:val="13"/>
                <w:szCs w:val="13"/>
              </w:rPr>
            </w:pPr>
            <w:r w:rsidRPr="006A1EC7">
              <w:rPr>
                <w:sz w:val="13"/>
                <w:szCs w:val="13"/>
              </w:rPr>
              <w:t>0</w:t>
            </w:r>
          </w:p>
        </w:tc>
        <w:tc>
          <w:tcPr>
            <w:tcW w:w="406" w:type="dxa"/>
          </w:tcPr>
          <w:p w14:paraId="41D4E4C5"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F5922A0"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39920B6C" w14:textId="77777777" w:rsidR="0087601C" w:rsidRPr="006A1EC7" w:rsidRDefault="0087601C" w:rsidP="00D56051">
            <w:pPr>
              <w:rPr>
                <w:sz w:val="13"/>
                <w:szCs w:val="13"/>
              </w:rPr>
            </w:pPr>
            <w:r w:rsidRPr="006A1EC7">
              <w:rPr>
                <w:sz w:val="13"/>
                <w:szCs w:val="13"/>
              </w:rPr>
              <w:t>0</w:t>
            </w:r>
          </w:p>
        </w:tc>
        <w:tc>
          <w:tcPr>
            <w:tcW w:w="406" w:type="dxa"/>
          </w:tcPr>
          <w:p w14:paraId="32CD0A06"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F064F35"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3019ABF3" w14:textId="77777777" w:rsidR="0087601C" w:rsidRPr="006A1EC7" w:rsidRDefault="0087601C" w:rsidP="00D56051">
            <w:pPr>
              <w:rPr>
                <w:sz w:val="13"/>
                <w:szCs w:val="13"/>
              </w:rPr>
            </w:pPr>
            <w:r w:rsidRPr="006A1EC7">
              <w:rPr>
                <w:sz w:val="13"/>
                <w:szCs w:val="13"/>
              </w:rPr>
              <w:t>0</w:t>
            </w:r>
          </w:p>
        </w:tc>
        <w:tc>
          <w:tcPr>
            <w:tcW w:w="406" w:type="dxa"/>
          </w:tcPr>
          <w:p w14:paraId="63E66151"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18304AAD"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0FAD980E" w14:textId="77777777" w:rsidR="0087601C" w:rsidRPr="006A1EC7" w:rsidRDefault="0087601C" w:rsidP="00D56051">
            <w:pPr>
              <w:rPr>
                <w:sz w:val="13"/>
                <w:szCs w:val="13"/>
              </w:rPr>
            </w:pPr>
            <w:r w:rsidRPr="006A1EC7">
              <w:rPr>
                <w:sz w:val="13"/>
                <w:szCs w:val="13"/>
              </w:rPr>
              <w:t>1</w:t>
            </w:r>
          </w:p>
        </w:tc>
        <w:tc>
          <w:tcPr>
            <w:tcW w:w="406" w:type="dxa"/>
          </w:tcPr>
          <w:p w14:paraId="11AF1653" w14:textId="77777777" w:rsidR="0087601C" w:rsidRPr="006A1EC7" w:rsidRDefault="0087601C" w:rsidP="00D56051">
            <w:pPr>
              <w:rPr>
                <w:sz w:val="13"/>
                <w:szCs w:val="13"/>
              </w:rPr>
            </w:pPr>
            <w:r w:rsidRPr="006A1EC7">
              <w:rPr>
                <w:sz w:val="13"/>
                <w:szCs w:val="13"/>
              </w:rPr>
              <w:t>1</w:t>
            </w:r>
          </w:p>
        </w:tc>
        <w:tc>
          <w:tcPr>
            <w:tcW w:w="406" w:type="dxa"/>
          </w:tcPr>
          <w:p w14:paraId="04F81B57" w14:textId="77777777" w:rsidR="0087601C" w:rsidRPr="006A1EC7" w:rsidRDefault="0087601C" w:rsidP="00D56051">
            <w:pPr>
              <w:rPr>
                <w:sz w:val="13"/>
                <w:szCs w:val="13"/>
              </w:rPr>
            </w:pPr>
            <w:r w:rsidRPr="006A1EC7">
              <w:rPr>
                <w:sz w:val="13"/>
                <w:szCs w:val="13"/>
              </w:rPr>
              <w:t>9/9</w:t>
            </w:r>
          </w:p>
        </w:tc>
        <w:tc>
          <w:tcPr>
            <w:tcW w:w="406" w:type="dxa"/>
          </w:tcPr>
          <w:p w14:paraId="3D3D7A06" w14:textId="77777777" w:rsidR="0087601C" w:rsidRPr="006A1EC7" w:rsidRDefault="0087601C" w:rsidP="00D56051">
            <w:pPr>
              <w:rPr>
                <w:sz w:val="13"/>
                <w:szCs w:val="13"/>
              </w:rPr>
            </w:pPr>
            <w:r w:rsidRPr="006A1EC7">
              <w:rPr>
                <w:sz w:val="13"/>
                <w:szCs w:val="13"/>
              </w:rPr>
              <w:t>100%</w:t>
            </w:r>
          </w:p>
        </w:tc>
      </w:tr>
      <w:tr w:rsidR="00744A8E" w:rsidRPr="006A1EC7" w14:paraId="3B1CFDAA" w14:textId="77777777" w:rsidTr="00D56051">
        <w:tc>
          <w:tcPr>
            <w:tcW w:w="636" w:type="dxa"/>
          </w:tcPr>
          <w:p w14:paraId="77F45AB6" w14:textId="77777777" w:rsidR="0087601C" w:rsidRPr="006A1EC7" w:rsidRDefault="0087601C" w:rsidP="00D56051">
            <w:pPr>
              <w:rPr>
                <w:sz w:val="13"/>
                <w:szCs w:val="13"/>
              </w:rPr>
            </w:pPr>
            <w:r w:rsidRPr="006A1EC7">
              <w:rPr>
                <w:sz w:val="13"/>
                <w:szCs w:val="13"/>
              </w:rPr>
              <w:t>CNS</w:t>
            </w:r>
          </w:p>
        </w:tc>
        <w:tc>
          <w:tcPr>
            <w:tcW w:w="476" w:type="dxa"/>
            <w:shd w:val="clear" w:color="auto" w:fill="FFFF00"/>
          </w:tcPr>
          <w:p w14:paraId="7448DF24" w14:textId="77777777" w:rsidR="0087601C" w:rsidRPr="006A1EC7" w:rsidRDefault="0087601C" w:rsidP="00D56051">
            <w:pPr>
              <w:rPr>
                <w:sz w:val="13"/>
                <w:szCs w:val="13"/>
              </w:rPr>
            </w:pPr>
            <w:r w:rsidRPr="006A1EC7">
              <w:rPr>
                <w:sz w:val="13"/>
                <w:szCs w:val="13"/>
              </w:rPr>
              <w:t>12</w:t>
            </w:r>
          </w:p>
        </w:tc>
        <w:tc>
          <w:tcPr>
            <w:tcW w:w="476" w:type="dxa"/>
            <w:shd w:val="clear" w:color="auto" w:fill="FFFF00"/>
          </w:tcPr>
          <w:p w14:paraId="2AA55EFE" w14:textId="77777777" w:rsidR="0087601C" w:rsidRPr="006A1EC7" w:rsidRDefault="0087601C" w:rsidP="00D56051">
            <w:pPr>
              <w:rPr>
                <w:sz w:val="13"/>
                <w:szCs w:val="13"/>
              </w:rPr>
            </w:pPr>
            <w:r w:rsidRPr="006A1EC7">
              <w:rPr>
                <w:sz w:val="13"/>
                <w:szCs w:val="13"/>
              </w:rPr>
              <w:t>12</w:t>
            </w:r>
          </w:p>
        </w:tc>
        <w:tc>
          <w:tcPr>
            <w:tcW w:w="477" w:type="dxa"/>
          </w:tcPr>
          <w:p w14:paraId="2539F3F1"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B502AD6" w14:textId="77777777" w:rsidR="0087601C" w:rsidRPr="006A1EC7" w:rsidRDefault="0087601C" w:rsidP="00D56051">
            <w:pPr>
              <w:rPr>
                <w:sz w:val="13"/>
                <w:szCs w:val="13"/>
              </w:rPr>
            </w:pPr>
            <w:r w:rsidRPr="006A1EC7">
              <w:rPr>
                <w:sz w:val="13"/>
                <w:szCs w:val="13"/>
              </w:rPr>
              <w:t>12</w:t>
            </w:r>
          </w:p>
        </w:tc>
        <w:tc>
          <w:tcPr>
            <w:tcW w:w="477" w:type="dxa"/>
            <w:shd w:val="clear" w:color="auto" w:fill="FFFF00"/>
          </w:tcPr>
          <w:p w14:paraId="0D8815C2" w14:textId="77777777" w:rsidR="0087601C" w:rsidRPr="006A1EC7" w:rsidRDefault="0087601C" w:rsidP="00D56051">
            <w:pPr>
              <w:rPr>
                <w:sz w:val="13"/>
                <w:szCs w:val="13"/>
              </w:rPr>
            </w:pPr>
            <w:r w:rsidRPr="006A1EC7">
              <w:rPr>
                <w:sz w:val="13"/>
                <w:szCs w:val="13"/>
              </w:rPr>
              <w:t>12</w:t>
            </w:r>
          </w:p>
        </w:tc>
        <w:tc>
          <w:tcPr>
            <w:tcW w:w="458" w:type="dxa"/>
          </w:tcPr>
          <w:p w14:paraId="38B767E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F1ACEA1" w14:textId="77777777" w:rsidR="0087601C" w:rsidRPr="006A1EC7" w:rsidRDefault="0087601C" w:rsidP="00D56051">
            <w:pPr>
              <w:rPr>
                <w:sz w:val="13"/>
                <w:szCs w:val="13"/>
              </w:rPr>
            </w:pPr>
            <w:r w:rsidRPr="006A1EC7">
              <w:rPr>
                <w:sz w:val="13"/>
                <w:szCs w:val="13"/>
              </w:rPr>
              <w:t>12</w:t>
            </w:r>
          </w:p>
        </w:tc>
        <w:tc>
          <w:tcPr>
            <w:tcW w:w="460" w:type="dxa"/>
            <w:shd w:val="clear" w:color="auto" w:fill="FFFF00"/>
          </w:tcPr>
          <w:p w14:paraId="7275E707" w14:textId="77777777" w:rsidR="0087601C" w:rsidRPr="006A1EC7" w:rsidRDefault="0087601C" w:rsidP="00D56051">
            <w:pPr>
              <w:rPr>
                <w:sz w:val="13"/>
                <w:szCs w:val="13"/>
              </w:rPr>
            </w:pPr>
            <w:r w:rsidRPr="006A1EC7">
              <w:rPr>
                <w:sz w:val="13"/>
                <w:szCs w:val="13"/>
              </w:rPr>
              <w:t>10</w:t>
            </w:r>
          </w:p>
        </w:tc>
        <w:tc>
          <w:tcPr>
            <w:tcW w:w="406" w:type="dxa"/>
            <w:shd w:val="clear" w:color="auto" w:fill="auto"/>
          </w:tcPr>
          <w:p w14:paraId="302CF127"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472C3784" w14:textId="77777777" w:rsidR="0087601C" w:rsidRPr="006A1EC7" w:rsidRDefault="0087601C" w:rsidP="00D56051">
            <w:pPr>
              <w:rPr>
                <w:sz w:val="13"/>
                <w:szCs w:val="13"/>
              </w:rPr>
            </w:pPr>
            <w:r w:rsidRPr="006A1EC7">
              <w:rPr>
                <w:sz w:val="13"/>
                <w:szCs w:val="13"/>
              </w:rPr>
              <w:t>10</w:t>
            </w:r>
          </w:p>
        </w:tc>
        <w:tc>
          <w:tcPr>
            <w:tcW w:w="477" w:type="dxa"/>
            <w:shd w:val="clear" w:color="auto" w:fill="FFFF00"/>
          </w:tcPr>
          <w:p w14:paraId="065A8E56" w14:textId="77777777" w:rsidR="0087601C" w:rsidRPr="006A1EC7" w:rsidRDefault="0087601C" w:rsidP="00D56051">
            <w:pPr>
              <w:rPr>
                <w:sz w:val="13"/>
                <w:szCs w:val="13"/>
              </w:rPr>
            </w:pPr>
            <w:r w:rsidRPr="006A1EC7">
              <w:rPr>
                <w:sz w:val="13"/>
                <w:szCs w:val="13"/>
              </w:rPr>
              <w:t>11</w:t>
            </w:r>
          </w:p>
        </w:tc>
        <w:tc>
          <w:tcPr>
            <w:tcW w:w="406" w:type="dxa"/>
          </w:tcPr>
          <w:p w14:paraId="5B13226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81AB25E" w14:textId="77777777" w:rsidR="0087601C" w:rsidRPr="006A1EC7" w:rsidRDefault="0087601C" w:rsidP="00D56051">
            <w:pPr>
              <w:rPr>
                <w:sz w:val="13"/>
                <w:szCs w:val="13"/>
              </w:rPr>
            </w:pPr>
            <w:r w:rsidRPr="006A1EC7">
              <w:rPr>
                <w:sz w:val="13"/>
                <w:szCs w:val="13"/>
              </w:rPr>
              <w:t>9</w:t>
            </w:r>
          </w:p>
        </w:tc>
        <w:tc>
          <w:tcPr>
            <w:tcW w:w="477" w:type="dxa"/>
            <w:shd w:val="clear" w:color="auto" w:fill="FFFF00"/>
          </w:tcPr>
          <w:p w14:paraId="03396C6F" w14:textId="77777777" w:rsidR="0087601C" w:rsidRPr="006A1EC7" w:rsidRDefault="0087601C" w:rsidP="00D56051">
            <w:pPr>
              <w:rPr>
                <w:sz w:val="13"/>
                <w:szCs w:val="13"/>
              </w:rPr>
            </w:pPr>
            <w:r w:rsidRPr="006A1EC7">
              <w:rPr>
                <w:sz w:val="13"/>
                <w:szCs w:val="13"/>
              </w:rPr>
              <w:t>14</w:t>
            </w:r>
          </w:p>
        </w:tc>
        <w:tc>
          <w:tcPr>
            <w:tcW w:w="406" w:type="dxa"/>
          </w:tcPr>
          <w:p w14:paraId="4D019F36"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245BFFF" w14:textId="77777777" w:rsidR="0087601C" w:rsidRPr="006A1EC7" w:rsidRDefault="0087601C" w:rsidP="00D56051">
            <w:pPr>
              <w:rPr>
                <w:sz w:val="13"/>
                <w:szCs w:val="13"/>
              </w:rPr>
            </w:pPr>
            <w:r w:rsidRPr="006A1EC7">
              <w:rPr>
                <w:sz w:val="13"/>
                <w:szCs w:val="13"/>
              </w:rPr>
              <w:t>13</w:t>
            </w:r>
          </w:p>
        </w:tc>
        <w:tc>
          <w:tcPr>
            <w:tcW w:w="477" w:type="dxa"/>
            <w:shd w:val="clear" w:color="auto" w:fill="FFFF00"/>
          </w:tcPr>
          <w:p w14:paraId="58E38143" w14:textId="77777777" w:rsidR="0087601C" w:rsidRPr="006A1EC7" w:rsidRDefault="0087601C" w:rsidP="00D56051">
            <w:pPr>
              <w:rPr>
                <w:sz w:val="13"/>
                <w:szCs w:val="13"/>
              </w:rPr>
            </w:pPr>
            <w:r w:rsidRPr="006A1EC7">
              <w:rPr>
                <w:sz w:val="13"/>
                <w:szCs w:val="13"/>
              </w:rPr>
              <w:t>13</w:t>
            </w:r>
          </w:p>
        </w:tc>
        <w:tc>
          <w:tcPr>
            <w:tcW w:w="406" w:type="dxa"/>
          </w:tcPr>
          <w:p w14:paraId="2AE2C933"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94D658B" w14:textId="77777777" w:rsidR="0087601C" w:rsidRPr="006A1EC7" w:rsidRDefault="0087601C" w:rsidP="00D56051">
            <w:pPr>
              <w:rPr>
                <w:sz w:val="13"/>
                <w:szCs w:val="13"/>
              </w:rPr>
            </w:pPr>
            <w:r w:rsidRPr="006A1EC7">
              <w:rPr>
                <w:sz w:val="13"/>
                <w:szCs w:val="13"/>
              </w:rPr>
              <w:t>13</w:t>
            </w:r>
          </w:p>
        </w:tc>
        <w:tc>
          <w:tcPr>
            <w:tcW w:w="478" w:type="dxa"/>
            <w:shd w:val="clear" w:color="auto" w:fill="FFFF00"/>
          </w:tcPr>
          <w:p w14:paraId="093D724C" w14:textId="77777777" w:rsidR="0087601C" w:rsidRPr="006A1EC7" w:rsidRDefault="0087601C" w:rsidP="00D56051">
            <w:pPr>
              <w:rPr>
                <w:sz w:val="13"/>
                <w:szCs w:val="13"/>
              </w:rPr>
            </w:pPr>
            <w:r w:rsidRPr="006A1EC7">
              <w:rPr>
                <w:sz w:val="13"/>
                <w:szCs w:val="13"/>
              </w:rPr>
              <w:t>13</w:t>
            </w:r>
          </w:p>
        </w:tc>
        <w:tc>
          <w:tcPr>
            <w:tcW w:w="406" w:type="dxa"/>
          </w:tcPr>
          <w:p w14:paraId="15567733"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31278BBC" w14:textId="77777777" w:rsidR="0087601C" w:rsidRPr="006A1EC7" w:rsidRDefault="0087601C" w:rsidP="00D56051">
            <w:pPr>
              <w:rPr>
                <w:sz w:val="13"/>
                <w:szCs w:val="13"/>
              </w:rPr>
            </w:pPr>
            <w:r w:rsidRPr="006A1EC7">
              <w:rPr>
                <w:sz w:val="13"/>
                <w:szCs w:val="13"/>
              </w:rPr>
              <w:t>13</w:t>
            </w:r>
          </w:p>
        </w:tc>
        <w:tc>
          <w:tcPr>
            <w:tcW w:w="460" w:type="dxa"/>
            <w:shd w:val="clear" w:color="auto" w:fill="FFFF00"/>
          </w:tcPr>
          <w:p w14:paraId="55288B94" w14:textId="77777777" w:rsidR="0087601C" w:rsidRPr="006A1EC7" w:rsidRDefault="0087601C" w:rsidP="00D56051">
            <w:pPr>
              <w:rPr>
                <w:sz w:val="13"/>
                <w:szCs w:val="13"/>
              </w:rPr>
            </w:pPr>
            <w:r w:rsidRPr="006A1EC7">
              <w:rPr>
                <w:sz w:val="13"/>
                <w:szCs w:val="13"/>
              </w:rPr>
              <w:t>12</w:t>
            </w:r>
          </w:p>
        </w:tc>
        <w:tc>
          <w:tcPr>
            <w:tcW w:w="406" w:type="dxa"/>
          </w:tcPr>
          <w:p w14:paraId="0F7F9645"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2CB47EF4" w14:textId="77777777" w:rsidR="0087601C" w:rsidRPr="006A1EC7" w:rsidRDefault="0087601C" w:rsidP="00D56051">
            <w:pPr>
              <w:rPr>
                <w:sz w:val="13"/>
                <w:szCs w:val="13"/>
              </w:rPr>
            </w:pPr>
            <w:r w:rsidRPr="006A1EC7">
              <w:rPr>
                <w:sz w:val="13"/>
                <w:szCs w:val="13"/>
              </w:rPr>
              <w:t>12</w:t>
            </w:r>
          </w:p>
        </w:tc>
        <w:tc>
          <w:tcPr>
            <w:tcW w:w="406" w:type="dxa"/>
            <w:shd w:val="clear" w:color="auto" w:fill="FFFF00"/>
          </w:tcPr>
          <w:p w14:paraId="23771EB9" w14:textId="77777777" w:rsidR="0087601C" w:rsidRPr="006A1EC7" w:rsidRDefault="0087601C" w:rsidP="00D56051">
            <w:pPr>
              <w:rPr>
                <w:sz w:val="13"/>
                <w:szCs w:val="13"/>
              </w:rPr>
            </w:pPr>
            <w:r w:rsidRPr="006A1EC7">
              <w:rPr>
                <w:sz w:val="13"/>
                <w:szCs w:val="13"/>
              </w:rPr>
              <w:t>12</w:t>
            </w:r>
          </w:p>
        </w:tc>
        <w:tc>
          <w:tcPr>
            <w:tcW w:w="406" w:type="dxa"/>
          </w:tcPr>
          <w:p w14:paraId="2BE26F02" w14:textId="77777777" w:rsidR="0087601C" w:rsidRPr="006A1EC7" w:rsidRDefault="0087601C" w:rsidP="00D56051">
            <w:pPr>
              <w:rPr>
                <w:sz w:val="13"/>
                <w:szCs w:val="13"/>
              </w:rPr>
            </w:pPr>
            <w:r w:rsidRPr="006A1EC7">
              <w:rPr>
                <w:sz w:val="13"/>
                <w:szCs w:val="13"/>
              </w:rPr>
              <w:t>1</w:t>
            </w:r>
          </w:p>
        </w:tc>
        <w:tc>
          <w:tcPr>
            <w:tcW w:w="406" w:type="dxa"/>
          </w:tcPr>
          <w:p w14:paraId="28C9645D" w14:textId="77777777" w:rsidR="0087601C" w:rsidRPr="006A1EC7" w:rsidRDefault="0087601C" w:rsidP="00D56051">
            <w:pPr>
              <w:rPr>
                <w:sz w:val="13"/>
                <w:szCs w:val="13"/>
              </w:rPr>
            </w:pPr>
            <w:r w:rsidRPr="006A1EC7">
              <w:rPr>
                <w:sz w:val="13"/>
                <w:szCs w:val="13"/>
              </w:rPr>
              <w:t>7/9</w:t>
            </w:r>
          </w:p>
        </w:tc>
        <w:tc>
          <w:tcPr>
            <w:tcW w:w="406" w:type="dxa"/>
          </w:tcPr>
          <w:p w14:paraId="511C05F2" w14:textId="77777777" w:rsidR="0087601C" w:rsidRPr="006A1EC7" w:rsidRDefault="0087601C" w:rsidP="00D56051">
            <w:pPr>
              <w:rPr>
                <w:sz w:val="13"/>
                <w:szCs w:val="13"/>
              </w:rPr>
            </w:pPr>
            <w:r w:rsidRPr="006A1EC7">
              <w:rPr>
                <w:sz w:val="13"/>
                <w:szCs w:val="13"/>
              </w:rPr>
              <w:t>78%</w:t>
            </w:r>
          </w:p>
        </w:tc>
      </w:tr>
      <w:tr w:rsidR="00744A8E" w:rsidRPr="006A1EC7" w14:paraId="5255DAC6" w14:textId="77777777" w:rsidTr="00D56051">
        <w:tc>
          <w:tcPr>
            <w:tcW w:w="636" w:type="dxa"/>
          </w:tcPr>
          <w:p w14:paraId="623C3A0C" w14:textId="77777777" w:rsidR="0087601C" w:rsidRPr="006A1EC7" w:rsidRDefault="0087601C" w:rsidP="00D56051">
            <w:pPr>
              <w:rPr>
                <w:sz w:val="13"/>
                <w:szCs w:val="13"/>
              </w:rPr>
            </w:pPr>
            <w:r w:rsidRPr="006A1EC7">
              <w:rPr>
                <w:sz w:val="13"/>
                <w:szCs w:val="13"/>
              </w:rPr>
              <w:t>FUC</w:t>
            </w:r>
          </w:p>
        </w:tc>
        <w:tc>
          <w:tcPr>
            <w:tcW w:w="476" w:type="dxa"/>
            <w:shd w:val="clear" w:color="auto" w:fill="FFFF00"/>
          </w:tcPr>
          <w:p w14:paraId="3B8BCFA7" w14:textId="77777777" w:rsidR="0087601C" w:rsidRPr="006A1EC7" w:rsidRDefault="0087601C" w:rsidP="00D56051">
            <w:pPr>
              <w:rPr>
                <w:sz w:val="13"/>
                <w:szCs w:val="13"/>
              </w:rPr>
            </w:pPr>
            <w:r w:rsidRPr="006A1EC7">
              <w:rPr>
                <w:sz w:val="13"/>
                <w:szCs w:val="13"/>
              </w:rPr>
              <w:t>11</w:t>
            </w:r>
          </w:p>
        </w:tc>
        <w:tc>
          <w:tcPr>
            <w:tcW w:w="476" w:type="dxa"/>
            <w:shd w:val="clear" w:color="auto" w:fill="FFFF00"/>
          </w:tcPr>
          <w:p w14:paraId="7DAA05B7" w14:textId="77777777" w:rsidR="0087601C" w:rsidRPr="006A1EC7" w:rsidRDefault="0087601C" w:rsidP="00D56051">
            <w:pPr>
              <w:rPr>
                <w:sz w:val="13"/>
                <w:szCs w:val="13"/>
              </w:rPr>
            </w:pPr>
            <w:r w:rsidRPr="006A1EC7">
              <w:rPr>
                <w:sz w:val="13"/>
                <w:szCs w:val="13"/>
              </w:rPr>
              <w:t>11</w:t>
            </w:r>
          </w:p>
        </w:tc>
        <w:tc>
          <w:tcPr>
            <w:tcW w:w="477" w:type="dxa"/>
          </w:tcPr>
          <w:p w14:paraId="7EAA4BB1"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626BC36"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770F47A5" w14:textId="77777777" w:rsidR="0087601C" w:rsidRPr="006A1EC7" w:rsidRDefault="0087601C" w:rsidP="00D56051">
            <w:pPr>
              <w:rPr>
                <w:sz w:val="13"/>
                <w:szCs w:val="13"/>
              </w:rPr>
            </w:pPr>
            <w:r w:rsidRPr="006A1EC7">
              <w:rPr>
                <w:sz w:val="13"/>
                <w:szCs w:val="13"/>
              </w:rPr>
              <w:t>11</w:t>
            </w:r>
          </w:p>
        </w:tc>
        <w:tc>
          <w:tcPr>
            <w:tcW w:w="458" w:type="dxa"/>
          </w:tcPr>
          <w:p w14:paraId="203C719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9DE7004" w14:textId="77777777" w:rsidR="0087601C" w:rsidRPr="006A1EC7" w:rsidRDefault="0087601C" w:rsidP="00D56051">
            <w:pPr>
              <w:rPr>
                <w:sz w:val="13"/>
                <w:szCs w:val="13"/>
              </w:rPr>
            </w:pPr>
            <w:r w:rsidRPr="006A1EC7">
              <w:rPr>
                <w:sz w:val="13"/>
                <w:szCs w:val="13"/>
              </w:rPr>
              <w:t>11</w:t>
            </w:r>
          </w:p>
        </w:tc>
        <w:tc>
          <w:tcPr>
            <w:tcW w:w="460" w:type="dxa"/>
            <w:shd w:val="clear" w:color="auto" w:fill="FFFF00"/>
          </w:tcPr>
          <w:p w14:paraId="757C3233" w14:textId="77777777" w:rsidR="0087601C" w:rsidRPr="006A1EC7" w:rsidRDefault="0087601C" w:rsidP="00D56051">
            <w:pPr>
              <w:rPr>
                <w:sz w:val="13"/>
                <w:szCs w:val="13"/>
              </w:rPr>
            </w:pPr>
            <w:r w:rsidRPr="006A1EC7">
              <w:rPr>
                <w:sz w:val="13"/>
                <w:szCs w:val="13"/>
              </w:rPr>
              <w:t>11</w:t>
            </w:r>
          </w:p>
        </w:tc>
        <w:tc>
          <w:tcPr>
            <w:tcW w:w="406" w:type="dxa"/>
            <w:shd w:val="clear" w:color="auto" w:fill="auto"/>
          </w:tcPr>
          <w:p w14:paraId="389ECC2F"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3F0BF214"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4852BC49" w14:textId="77777777" w:rsidR="0087601C" w:rsidRPr="006A1EC7" w:rsidRDefault="0087601C" w:rsidP="00D56051">
            <w:pPr>
              <w:rPr>
                <w:sz w:val="13"/>
                <w:szCs w:val="13"/>
              </w:rPr>
            </w:pPr>
            <w:r w:rsidRPr="006A1EC7">
              <w:rPr>
                <w:sz w:val="13"/>
                <w:szCs w:val="13"/>
              </w:rPr>
              <w:t>11</w:t>
            </w:r>
          </w:p>
        </w:tc>
        <w:tc>
          <w:tcPr>
            <w:tcW w:w="406" w:type="dxa"/>
          </w:tcPr>
          <w:p w14:paraId="290E204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DF80806"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4F58A0AD" w14:textId="77777777" w:rsidR="0087601C" w:rsidRPr="006A1EC7" w:rsidRDefault="0087601C" w:rsidP="00D56051">
            <w:pPr>
              <w:rPr>
                <w:sz w:val="13"/>
                <w:szCs w:val="13"/>
              </w:rPr>
            </w:pPr>
            <w:r w:rsidRPr="006A1EC7">
              <w:rPr>
                <w:sz w:val="13"/>
                <w:szCs w:val="13"/>
              </w:rPr>
              <w:t>11</w:t>
            </w:r>
          </w:p>
        </w:tc>
        <w:tc>
          <w:tcPr>
            <w:tcW w:w="406" w:type="dxa"/>
          </w:tcPr>
          <w:p w14:paraId="1618E62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442A084"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1B14B7D4" w14:textId="77777777" w:rsidR="0087601C" w:rsidRPr="006A1EC7" w:rsidRDefault="0087601C" w:rsidP="00D56051">
            <w:pPr>
              <w:rPr>
                <w:sz w:val="13"/>
                <w:szCs w:val="13"/>
              </w:rPr>
            </w:pPr>
            <w:r w:rsidRPr="006A1EC7">
              <w:rPr>
                <w:sz w:val="13"/>
                <w:szCs w:val="13"/>
              </w:rPr>
              <w:t>11</w:t>
            </w:r>
          </w:p>
        </w:tc>
        <w:tc>
          <w:tcPr>
            <w:tcW w:w="406" w:type="dxa"/>
          </w:tcPr>
          <w:p w14:paraId="04DD0B9F"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F1390CE" w14:textId="77777777" w:rsidR="0087601C" w:rsidRPr="006A1EC7" w:rsidRDefault="0087601C" w:rsidP="00D56051">
            <w:pPr>
              <w:rPr>
                <w:sz w:val="13"/>
                <w:szCs w:val="13"/>
              </w:rPr>
            </w:pPr>
            <w:r w:rsidRPr="006A1EC7">
              <w:rPr>
                <w:sz w:val="13"/>
                <w:szCs w:val="13"/>
              </w:rPr>
              <w:t>11</w:t>
            </w:r>
          </w:p>
        </w:tc>
        <w:tc>
          <w:tcPr>
            <w:tcW w:w="478" w:type="dxa"/>
            <w:shd w:val="clear" w:color="auto" w:fill="FFFF00"/>
          </w:tcPr>
          <w:p w14:paraId="1CA6F199" w14:textId="77777777" w:rsidR="0087601C" w:rsidRPr="006A1EC7" w:rsidRDefault="0087601C" w:rsidP="00D56051">
            <w:pPr>
              <w:rPr>
                <w:sz w:val="13"/>
                <w:szCs w:val="13"/>
              </w:rPr>
            </w:pPr>
            <w:r w:rsidRPr="006A1EC7">
              <w:rPr>
                <w:sz w:val="13"/>
                <w:szCs w:val="13"/>
              </w:rPr>
              <w:t>11</w:t>
            </w:r>
          </w:p>
        </w:tc>
        <w:tc>
          <w:tcPr>
            <w:tcW w:w="406" w:type="dxa"/>
          </w:tcPr>
          <w:p w14:paraId="4B8F4E5A"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53BDAF61" w14:textId="77777777" w:rsidR="0087601C" w:rsidRPr="006A1EC7" w:rsidRDefault="0087601C" w:rsidP="00D56051">
            <w:pPr>
              <w:rPr>
                <w:sz w:val="13"/>
                <w:szCs w:val="13"/>
              </w:rPr>
            </w:pPr>
            <w:r w:rsidRPr="006A1EC7">
              <w:rPr>
                <w:sz w:val="13"/>
                <w:szCs w:val="13"/>
              </w:rPr>
              <w:t>11</w:t>
            </w:r>
          </w:p>
        </w:tc>
        <w:tc>
          <w:tcPr>
            <w:tcW w:w="460" w:type="dxa"/>
            <w:shd w:val="clear" w:color="auto" w:fill="FFFF00"/>
          </w:tcPr>
          <w:p w14:paraId="2EFE1087" w14:textId="77777777" w:rsidR="0087601C" w:rsidRPr="006A1EC7" w:rsidRDefault="0087601C" w:rsidP="00D56051">
            <w:pPr>
              <w:rPr>
                <w:sz w:val="13"/>
                <w:szCs w:val="13"/>
              </w:rPr>
            </w:pPr>
            <w:r w:rsidRPr="006A1EC7">
              <w:rPr>
                <w:sz w:val="13"/>
                <w:szCs w:val="13"/>
              </w:rPr>
              <w:t>11</w:t>
            </w:r>
          </w:p>
        </w:tc>
        <w:tc>
          <w:tcPr>
            <w:tcW w:w="406" w:type="dxa"/>
          </w:tcPr>
          <w:p w14:paraId="63CCE149"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45EB89FB" w14:textId="77777777" w:rsidR="0087601C" w:rsidRPr="006A1EC7" w:rsidRDefault="0087601C" w:rsidP="00D56051">
            <w:pPr>
              <w:rPr>
                <w:sz w:val="13"/>
                <w:szCs w:val="13"/>
              </w:rPr>
            </w:pPr>
            <w:r w:rsidRPr="006A1EC7">
              <w:rPr>
                <w:sz w:val="13"/>
                <w:szCs w:val="13"/>
              </w:rPr>
              <w:t>11</w:t>
            </w:r>
          </w:p>
        </w:tc>
        <w:tc>
          <w:tcPr>
            <w:tcW w:w="406" w:type="dxa"/>
            <w:shd w:val="clear" w:color="auto" w:fill="FFFF00"/>
          </w:tcPr>
          <w:p w14:paraId="78194190" w14:textId="77777777" w:rsidR="0087601C" w:rsidRPr="006A1EC7" w:rsidRDefault="0087601C" w:rsidP="00D56051">
            <w:pPr>
              <w:rPr>
                <w:sz w:val="13"/>
                <w:szCs w:val="13"/>
              </w:rPr>
            </w:pPr>
            <w:r w:rsidRPr="006A1EC7">
              <w:rPr>
                <w:sz w:val="13"/>
                <w:szCs w:val="13"/>
              </w:rPr>
              <w:t>11</w:t>
            </w:r>
          </w:p>
        </w:tc>
        <w:tc>
          <w:tcPr>
            <w:tcW w:w="406" w:type="dxa"/>
          </w:tcPr>
          <w:p w14:paraId="7BF53A47" w14:textId="77777777" w:rsidR="0087601C" w:rsidRPr="006A1EC7" w:rsidRDefault="0087601C" w:rsidP="00D56051">
            <w:pPr>
              <w:rPr>
                <w:sz w:val="13"/>
                <w:szCs w:val="13"/>
              </w:rPr>
            </w:pPr>
            <w:r w:rsidRPr="006A1EC7">
              <w:rPr>
                <w:sz w:val="13"/>
                <w:szCs w:val="13"/>
              </w:rPr>
              <w:t>1</w:t>
            </w:r>
          </w:p>
        </w:tc>
        <w:tc>
          <w:tcPr>
            <w:tcW w:w="406" w:type="dxa"/>
          </w:tcPr>
          <w:p w14:paraId="09C9B77F" w14:textId="77777777" w:rsidR="0087601C" w:rsidRPr="006A1EC7" w:rsidRDefault="0087601C" w:rsidP="00D56051">
            <w:pPr>
              <w:rPr>
                <w:sz w:val="13"/>
                <w:szCs w:val="13"/>
              </w:rPr>
            </w:pPr>
            <w:r w:rsidRPr="006A1EC7">
              <w:rPr>
                <w:sz w:val="13"/>
                <w:szCs w:val="13"/>
              </w:rPr>
              <w:t>9/9</w:t>
            </w:r>
          </w:p>
        </w:tc>
        <w:tc>
          <w:tcPr>
            <w:tcW w:w="406" w:type="dxa"/>
          </w:tcPr>
          <w:p w14:paraId="1A9146CD" w14:textId="77777777" w:rsidR="0087601C" w:rsidRPr="006A1EC7" w:rsidRDefault="0087601C" w:rsidP="00D56051">
            <w:pPr>
              <w:rPr>
                <w:sz w:val="13"/>
                <w:szCs w:val="13"/>
              </w:rPr>
            </w:pPr>
            <w:r w:rsidRPr="006A1EC7">
              <w:rPr>
                <w:sz w:val="13"/>
                <w:szCs w:val="13"/>
              </w:rPr>
              <w:t>100%</w:t>
            </w:r>
          </w:p>
        </w:tc>
      </w:tr>
      <w:tr w:rsidR="00744A8E" w:rsidRPr="006A1EC7" w14:paraId="7D6367A4" w14:textId="77777777" w:rsidTr="00D56051">
        <w:tc>
          <w:tcPr>
            <w:tcW w:w="636" w:type="dxa"/>
          </w:tcPr>
          <w:p w14:paraId="42B6AF87" w14:textId="77777777" w:rsidR="0087601C" w:rsidRPr="006A1EC7" w:rsidRDefault="0087601C" w:rsidP="00D56051">
            <w:pPr>
              <w:rPr>
                <w:sz w:val="13"/>
                <w:szCs w:val="13"/>
              </w:rPr>
            </w:pPr>
            <w:r w:rsidRPr="006A1EC7">
              <w:rPr>
                <w:sz w:val="13"/>
                <w:szCs w:val="13"/>
              </w:rPr>
              <w:t>IMU</w:t>
            </w:r>
          </w:p>
        </w:tc>
        <w:tc>
          <w:tcPr>
            <w:tcW w:w="476" w:type="dxa"/>
            <w:shd w:val="clear" w:color="auto" w:fill="FFFF00"/>
          </w:tcPr>
          <w:p w14:paraId="7578A076"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2FB0C794" w14:textId="77777777" w:rsidR="0087601C" w:rsidRPr="006A1EC7" w:rsidRDefault="0087601C" w:rsidP="00D56051">
            <w:pPr>
              <w:rPr>
                <w:sz w:val="13"/>
                <w:szCs w:val="13"/>
              </w:rPr>
            </w:pPr>
            <w:r w:rsidRPr="006A1EC7">
              <w:rPr>
                <w:sz w:val="13"/>
                <w:szCs w:val="13"/>
              </w:rPr>
              <w:t>0</w:t>
            </w:r>
          </w:p>
        </w:tc>
        <w:tc>
          <w:tcPr>
            <w:tcW w:w="477" w:type="dxa"/>
          </w:tcPr>
          <w:p w14:paraId="2BE5443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576EED0"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EB46C92" w14:textId="77777777" w:rsidR="0087601C" w:rsidRPr="006A1EC7" w:rsidRDefault="0087601C" w:rsidP="00D56051">
            <w:pPr>
              <w:rPr>
                <w:sz w:val="13"/>
                <w:szCs w:val="13"/>
              </w:rPr>
            </w:pPr>
            <w:r w:rsidRPr="006A1EC7">
              <w:rPr>
                <w:sz w:val="13"/>
                <w:szCs w:val="13"/>
              </w:rPr>
              <w:t>0</w:t>
            </w:r>
          </w:p>
        </w:tc>
        <w:tc>
          <w:tcPr>
            <w:tcW w:w="458" w:type="dxa"/>
          </w:tcPr>
          <w:p w14:paraId="3AB5C9B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B079564"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1CFB1477"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674CEBE0"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0D01D7A1"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AB9FA81" w14:textId="77777777" w:rsidR="0087601C" w:rsidRPr="006A1EC7" w:rsidRDefault="0087601C" w:rsidP="00D56051">
            <w:pPr>
              <w:rPr>
                <w:sz w:val="13"/>
                <w:szCs w:val="13"/>
              </w:rPr>
            </w:pPr>
            <w:r w:rsidRPr="006A1EC7">
              <w:rPr>
                <w:sz w:val="13"/>
                <w:szCs w:val="13"/>
              </w:rPr>
              <w:t>0</w:t>
            </w:r>
          </w:p>
        </w:tc>
        <w:tc>
          <w:tcPr>
            <w:tcW w:w="406" w:type="dxa"/>
          </w:tcPr>
          <w:p w14:paraId="6BCBF77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AE23AF9"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3FD1DBA" w14:textId="77777777" w:rsidR="0087601C" w:rsidRPr="006A1EC7" w:rsidRDefault="0087601C" w:rsidP="00D56051">
            <w:pPr>
              <w:rPr>
                <w:sz w:val="13"/>
                <w:szCs w:val="13"/>
              </w:rPr>
            </w:pPr>
            <w:r w:rsidRPr="006A1EC7">
              <w:rPr>
                <w:sz w:val="13"/>
                <w:szCs w:val="13"/>
              </w:rPr>
              <w:t>0</w:t>
            </w:r>
          </w:p>
        </w:tc>
        <w:tc>
          <w:tcPr>
            <w:tcW w:w="406" w:type="dxa"/>
          </w:tcPr>
          <w:p w14:paraId="406A360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5A83D28"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23EF65B" w14:textId="77777777" w:rsidR="0087601C" w:rsidRPr="006A1EC7" w:rsidRDefault="0087601C" w:rsidP="00D56051">
            <w:pPr>
              <w:rPr>
                <w:sz w:val="13"/>
                <w:szCs w:val="13"/>
              </w:rPr>
            </w:pPr>
            <w:r w:rsidRPr="006A1EC7">
              <w:rPr>
                <w:sz w:val="13"/>
                <w:szCs w:val="13"/>
              </w:rPr>
              <w:t>0</w:t>
            </w:r>
          </w:p>
        </w:tc>
        <w:tc>
          <w:tcPr>
            <w:tcW w:w="406" w:type="dxa"/>
          </w:tcPr>
          <w:p w14:paraId="247DDE3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BC1F58A"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2AF56CA7" w14:textId="77777777" w:rsidR="0087601C" w:rsidRPr="006A1EC7" w:rsidRDefault="0087601C" w:rsidP="00D56051">
            <w:pPr>
              <w:rPr>
                <w:sz w:val="13"/>
                <w:szCs w:val="13"/>
              </w:rPr>
            </w:pPr>
            <w:r w:rsidRPr="006A1EC7">
              <w:rPr>
                <w:sz w:val="13"/>
                <w:szCs w:val="13"/>
              </w:rPr>
              <w:t>0</w:t>
            </w:r>
          </w:p>
        </w:tc>
        <w:tc>
          <w:tcPr>
            <w:tcW w:w="406" w:type="dxa"/>
          </w:tcPr>
          <w:p w14:paraId="2455FB04"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118B92B6"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328803D2" w14:textId="77777777" w:rsidR="0087601C" w:rsidRPr="006A1EC7" w:rsidRDefault="0087601C" w:rsidP="00D56051">
            <w:pPr>
              <w:rPr>
                <w:sz w:val="13"/>
                <w:szCs w:val="13"/>
              </w:rPr>
            </w:pPr>
            <w:r w:rsidRPr="006A1EC7">
              <w:rPr>
                <w:sz w:val="13"/>
                <w:szCs w:val="13"/>
              </w:rPr>
              <w:t>0</w:t>
            </w:r>
          </w:p>
        </w:tc>
        <w:tc>
          <w:tcPr>
            <w:tcW w:w="406" w:type="dxa"/>
          </w:tcPr>
          <w:p w14:paraId="27074F81"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5E81D4E3"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35D0FE2E" w14:textId="77777777" w:rsidR="0087601C" w:rsidRPr="006A1EC7" w:rsidRDefault="0087601C" w:rsidP="00D56051">
            <w:pPr>
              <w:rPr>
                <w:sz w:val="13"/>
                <w:szCs w:val="13"/>
              </w:rPr>
            </w:pPr>
            <w:r w:rsidRPr="006A1EC7">
              <w:rPr>
                <w:sz w:val="13"/>
                <w:szCs w:val="13"/>
              </w:rPr>
              <w:t>0</w:t>
            </w:r>
          </w:p>
        </w:tc>
        <w:tc>
          <w:tcPr>
            <w:tcW w:w="406" w:type="dxa"/>
          </w:tcPr>
          <w:p w14:paraId="2DB3EBE6" w14:textId="77777777" w:rsidR="0087601C" w:rsidRPr="006A1EC7" w:rsidRDefault="0087601C" w:rsidP="00D56051">
            <w:pPr>
              <w:rPr>
                <w:sz w:val="13"/>
                <w:szCs w:val="13"/>
              </w:rPr>
            </w:pPr>
            <w:r w:rsidRPr="006A1EC7">
              <w:rPr>
                <w:sz w:val="13"/>
                <w:szCs w:val="13"/>
              </w:rPr>
              <w:t>1</w:t>
            </w:r>
          </w:p>
        </w:tc>
        <w:tc>
          <w:tcPr>
            <w:tcW w:w="406" w:type="dxa"/>
          </w:tcPr>
          <w:p w14:paraId="6A6DB171" w14:textId="77777777" w:rsidR="0087601C" w:rsidRPr="006A1EC7" w:rsidRDefault="0087601C" w:rsidP="00D56051">
            <w:pPr>
              <w:rPr>
                <w:sz w:val="13"/>
                <w:szCs w:val="13"/>
              </w:rPr>
            </w:pPr>
            <w:r w:rsidRPr="006A1EC7">
              <w:rPr>
                <w:sz w:val="13"/>
                <w:szCs w:val="13"/>
              </w:rPr>
              <w:t>9/9</w:t>
            </w:r>
          </w:p>
        </w:tc>
        <w:tc>
          <w:tcPr>
            <w:tcW w:w="406" w:type="dxa"/>
          </w:tcPr>
          <w:p w14:paraId="0D3D228E" w14:textId="77777777" w:rsidR="0087601C" w:rsidRPr="006A1EC7" w:rsidRDefault="0087601C" w:rsidP="00D56051">
            <w:pPr>
              <w:rPr>
                <w:sz w:val="13"/>
                <w:szCs w:val="13"/>
              </w:rPr>
            </w:pPr>
            <w:r w:rsidRPr="006A1EC7">
              <w:rPr>
                <w:sz w:val="13"/>
                <w:szCs w:val="13"/>
              </w:rPr>
              <w:t>100%</w:t>
            </w:r>
          </w:p>
        </w:tc>
      </w:tr>
      <w:tr w:rsidR="00744A8E" w:rsidRPr="006A1EC7" w14:paraId="3F174C68" w14:textId="77777777" w:rsidTr="00D56051">
        <w:tc>
          <w:tcPr>
            <w:tcW w:w="636" w:type="dxa"/>
          </w:tcPr>
          <w:p w14:paraId="698BF869" w14:textId="77777777" w:rsidR="0087601C" w:rsidRPr="006A1EC7" w:rsidRDefault="0087601C" w:rsidP="00D56051">
            <w:pPr>
              <w:rPr>
                <w:sz w:val="13"/>
                <w:szCs w:val="13"/>
              </w:rPr>
            </w:pPr>
            <w:r w:rsidRPr="006A1EC7">
              <w:rPr>
                <w:sz w:val="13"/>
                <w:szCs w:val="13"/>
              </w:rPr>
              <w:t>SLP</w:t>
            </w:r>
          </w:p>
        </w:tc>
        <w:tc>
          <w:tcPr>
            <w:tcW w:w="476" w:type="dxa"/>
            <w:shd w:val="clear" w:color="auto" w:fill="FFFF00"/>
          </w:tcPr>
          <w:p w14:paraId="39C5BB79"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71B5D6F0" w14:textId="77777777" w:rsidR="0087601C" w:rsidRPr="006A1EC7" w:rsidRDefault="0087601C" w:rsidP="00D56051">
            <w:pPr>
              <w:rPr>
                <w:sz w:val="13"/>
                <w:szCs w:val="13"/>
              </w:rPr>
            </w:pPr>
            <w:r w:rsidRPr="006A1EC7">
              <w:rPr>
                <w:sz w:val="13"/>
                <w:szCs w:val="13"/>
              </w:rPr>
              <w:t>0</w:t>
            </w:r>
          </w:p>
        </w:tc>
        <w:tc>
          <w:tcPr>
            <w:tcW w:w="477" w:type="dxa"/>
          </w:tcPr>
          <w:p w14:paraId="6803A80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F52E618"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A520BB9" w14:textId="77777777" w:rsidR="0087601C" w:rsidRPr="006A1EC7" w:rsidRDefault="0087601C" w:rsidP="00D56051">
            <w:pPr>
              <w:rPr>
                <w:sz w:val="13"/>
                <w:szCs w:val="13"/>
              </w:rPr>
            </w:pPr>
            <w:r w:rsidRPr="006A1EC7">
              <w:rPr>
                <w:sz w:val="13"/>
                <w:szCs w:val="13"/>
              </w:rPr>
              <w:t>0</w:t>
            </w:r>
          </w:p>
        </w:tc>
        <w:tc>
          <w:tcPr>
            <w:tcW w:w="458" w:type="dxa"/>
          </w:tcPr>
          <w:p w14:paraId="18988C5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F4D31DC"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3F7EA49B"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787DA66C"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07666E74"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FA81D4C" w14:textId="77777777" w:rsidR="0087601C" w:rsidRPr="006A1EC7" w:rsidRDefault="0087601C" w:rsidP="00D56051">
            <w:pPr>
              <w:rPr>
                <w:sz w:val="13"/>
                <w:szCs w:val="13"/>
              </w:rPr>
            </w:pPr>
            <w:r w:rsidRPr="006A1EC7">
              <w:rPr>
                <w:sz w:val="13"/>
                <w:szCs w:val="13"/>
              </w:rPr>
              <w:t>0</w:t>
            </w:r>
          </w:p>
        </w:tc>
        <w:tc>
          <w:tcPr>
            <w:tcW w:w="406" w:type="dxa"/>
          </w:tcPr>
          <w:p w14:paraId="6F78DF8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B24F047"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322955B" w14:textId="77777777" w:rsidR="0087601C" w:rsidRPr="006A1EC7" w:rsidRDefault="0087601C" w:rsidP="00D56051">
            <w:pPr>
              <w:rPr>
                <w:sz w:val="13"/>
                <w:szCs w:val="13"/>
              </w:rPr>
            </w:pPr>
            <w:r w:rsidRPr="006A1EC7">
              <w:rPr>
                <w:sz w:val="13"/>
                <w:szCs w:val="13"/>
              </w:rPr>
              <w:t>0</w:t>
            </w:r>
          </w:p>
        </w:tc>
        <w:tc>
          <w:tcPr>
            <w:tcW w:w="406" w:type="dxa"/>
          </w:tcPr>
          <w:p w14:paraId="00C89B6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AFF767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571AE12" w14:textId="77777777" w:rsidR="0087601C" w:rsidRPr="006A1EC7" w:rsidRDefault="0087601C" w:rsidP="00D56051">
            <w:pPr>
              <w:rPr>
                <w:sz w:val="13"/>
                <w:szCs w:val="13"/>
              </w:rPr>
            </w:pPr>
            <w:r w:rsidRPr="006A1EC7">
              <w:rPr>
                <w:sz w:val="13"/>
                <w:szCs w:val="13"/>
              </w:rPr>
              <w:t>0</w:t>
            </w:r>
          </w:p>
        </w:tc>
        <w:tc>
          <w:tcPr>
            <w:tcW w:w="406" w:type="dxa"/>
          </w:tcPr>
          <w:p w14:paraId="152FB5E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2623A71"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6D68E93C" w14:textId="77777777" w:rsidR="0087601C" w:rsidRPr="006A1EC7" w:rsidRDefault="0087601C" w:rsidP="00D56051">
            <w:pPr>
              <w:rPr>
                <w:sz w:val="13"/>
                <w:szCs w:val="13"/>
              </w:rPr>
            </w:pPr>
            <w:r w:rsidRPr="006A1EC7">
              <w:rPr>
                <w:sz w:val="13"/>
                <w:szCs w:val="13"/>
              </w:rPr>
              <w:t>0</w:t>
            </w:r>
          </w:p>
        </w:tc>
        <w:tc>
          <w:tcPr>
            <w:tcW w:w="406" w:type="dxa"/>
          </w:tcPr>
          <w:p w14:paraId="6CC8A5C5"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688C63E2"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6CE0D5E7" w14:textId="77777777" w:rsidR="0087601C" w:rsidRPr="006A1EC7" w:rsidRDefault="0087601C" w:rsidP="00D56051">
            <w:pPr>
              <w:rPr>
                <w:sz w:val="13"/>
                <w:szCs w:val="13"/>
              </w:rPr>
            </w:pPr>
            <w:r w:rsidRPr="006A1EC7">
              <w:rPr>
                <w:sz w:val="13"/>
                <w:szCs w:val="13"/>
              </w:rPr>
              <w:t>0</w:t>
            </w:r>
          </w:p>
        </w:tc>
        <w:tc>
          <w:tcPr>
            <w:tcW w:w="406" w:type="dxa"/>
          </w:tcPr>
          <w:p w14:paraId="087AE1FA"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6D3BEC64"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2EE8977D" w14:textId="77777777" w:rsidR="0087601C" w:rsidRPr="006A1EC7" w:rsidRDefault="0087601C" w:rsidP="00D56051">
            <w:pPr>
              <w:rPr>
                <w:sz w:val="13"/>
                <w:szCs w:val="13"/>
              </w:rPr>
            </w:pPr>
            <w:r w:rsidRPr="006A1EC7">
              <w:rPr>
                <w:sz w:val="13"/>
                <w:szCs w:val="13"/>
              </w:rPr>
              <w:t>0</w:t>
            </w:r>
          </w:p>
        </w:tc>
        <w:tc>
          <w:tcPr>
            <w:tcW w:w="406" w:type="dxa"/>
          </w:tcPr>
          <w:p w14:paraId="2C086443" w14:textId="77777777" w:rsidR="0087601C" w:rsidRPr="006A1EC7" w:rsidRDefault="0087601C" w:rsidP="00D56051">
            <w:pPr>
              <w:rPr>
                <w:sz w:val="13"/>
                <w:szCs w:val="13"/>
              </w:rPr>
            </w:pPr>
            <w:r w:rsidRPr="006A1EC7">
              <w:rPr>
                <w:sz w:val="13"/>
                <w:szCs w:val="13"/>
              </w:rPr>
              <w:t>1</w:t>
            </w:r>
          </w:p>
        </w:tc>
        <w:tc>
          <w:tcPr>
            <w:tcW w:w="406" w:type="dxa"/>
          </w:tcPr>
          <w:p w14:paraId="58FB2D9D" w14:textId="77777777" w:rsidR="0087601C" w:rsidRPr="006A1EC7" w:rsidRDefault="0087601C" w:rsidP="00D56051">
            <w:pPr>
              <w:rPr>
                <w:sz w:val="13"/>
                <w:szCs w:val="13"/>
              </w:rPr>
            </w:pPr>
            <w:r w:rsidRPr="006A1EC7">
              <w:rPr>
                <w:sz w:val="13"/>
                <w:szCs w:val="13"/>
              </w:rPr>
              <w:t>9/9</w:t>
            </w:r>
          </w:p>
        </w:tc>
        <w:tc>
          <w:tcPr>
            <w:tcW w:w="406" w:type="dxa"/>
          </w:tcPr>
          <w:p w14:paraId="3711C09E" w14:textId="77777777" w:rsidR="0087601C" w:rsidRPr="006A1EC7" w:rsidRDefault="0087601C" w:rsidP="00D56051">
            <w:pPr>
              <w:rPr>
                <w:sz w:val="13"/>
                <w:szCs w:val="13"/>
              </w:rPr>
            </w:pPr>
            <w:r w:rsidRPr="006A1EC7">
              <w:rPr>
                <w:sz w:val="13"/>
                <w:szCs w:val="13"/>
              </w:rPr>
              <w:t>100%</w:t>
            </w:r>
          </w:p>
        </w:tc>
      </w:tr>
      <w:tr w:rsidR="00744A8E" w:rsidRPr="006A1EC7" w14:paraId="6F7B341D" w14:textId="77777777" w:rsidTr="00D56051">
        <w:tc>
          <w:tcPr>
            <w:tcW w:w="636" w:type="dxa"/>
          </w:tcPr>
          <w:p w14:paraId="7BDB17E8" w14:textId="77777777" w:rsidR="0087601C" w:rsidRPr="006A1EC7" w:rsidRDefault="0087601C" w:rsidP="00D56051">
            <w:pPr>
              <w:rPr>
                <w:sz w:val="13"/>
                <w:szCs w:val="13"/>
              </w:rPr>
            </w:pPr>
            <w:r w:rsidRPr="006A1EC7">
              <w:rPr>
                <w:sz w:val="13"/>
                <w:szCs w:val="13"/>
              </w:rPr>
              <w:t>CRE</w:t>
            </w:r>
          </w:p>
        </w:tc>
        <w:tc>
          <w:tcPr>
            <w:tcW w:w="476" w:type="dxa"/>
            <w:shd w:val="clear" w:color="auto" w:fill="FFFF00"/>
          </w:tcPr>
          <w:p w14:paraId="1F310F3A" w14:textId="77777777" w:rsidR="0087601C" w:rsidRPr="006A1EC7" w:rsidRDefault="0087601C" w:rsidP="00D56051">
            <w:pPr>
              <w:rPr>
                <w:sz w:val="13"/>
                <w:szCs w:val="13"/>
              </w:rPr>
            </w:pPr>
            <w:r w:rsidRPr="006A1EC7">
              <w:rPr>
                <w:sz w:val="13"/>
                <w:szCs w:val="13"/>
              </w:rPr>
              <w:t>2</w:t>
            </w:r>
          </w:p>
        </w:tc>
        <w:tc>
          <w:tcPr>
            <w:tcW w:w="476" w:type="dxa"/>
            <w:shd w:val="clear" w:color="auto" w:fill="FFFF00"/>
          </w:tcPr>
          <w:p w14:paraId="3821E5EF" w14:textId="77777777" w:rsidR="0087601C" w:rsidRPr="006A1EC7" w:rsidRDefault="0087601C" w:rsidP="00D56051">
            <w:pPr>
              <w:rPr>
                <w:sz w:val="13"/>
                <w:szCs w:val="13"/>
              </w:rPr>
            </w:pPr>
            <w:r w:rsidRPr="006A1EC7">
              <w:rPr>
                <w:sz w:val="13"/>
                <w:szCs w:val="13"/>
              </w:rPr>
              <w:t>2</w:t>
            </w:r>
          </w:p>
        </w:tc>
        <w:tc>
          <w:tcPr>
            <w:tcW w:w="477" w:type="dxa"/>
          </w:tcPr>
          <w:p w14:paraId="077ECEB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6CC90CE"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10DBF845" w14:textId="77777777" w:rsidR="0087601C" w:rsidRPr="006A1EC7" w:rsidRDefault="0087601C" w:rsidP="00D56051">
            <w:pPr>
              <w:rPr>
                <w:sz w:val="13"/>
                <w:szCs w:val="13"/>
              </w:rPr>
            </w:pPr>
            <w:r w:rsidRPr="006A1EC7">
              <w:rPr>
                <w:sz w:val="13"/>
                <w:szCs w:val="13"/>
              </w:rPr>
              <w:t>2</w:t>
            </w:r>
          </w:p>
        </w:tc>
        <w:tc>
          <w:tcPr>
            <w:tcW w:w="458" w:type="dxa"/>
          </w:tcPr>
          <w:p w14:paraId="61D022D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8D57FA8" w14:textId="77777777" w:rsidR="0087601C" w:rsidRPr="006A1EC7" w:rsidRDefault="0087601C" w:rsidP="00D56051">
            <w:pPr>
              <w:rPr>
                <w:sz w:val="13"/>
                <w:szCs w:val="13"/>
              </w:rPr>
            </w:pPr>
            <w:r w:rsidRPr="006A1EC7">
              <w:rPr>
                <w:sz w:val="13"/>
                <w:szCs w:val="13"/>
              </w:rPr>
              <w:t>2</w:t>
            </w:r>
          </w:p>
        </w:tc>
        <w:tc>
          <w:tcPr>
            <w:tcW w:w="460" w:type="dxa"/>
            <w:shd w:val="clear" w:color="auto" w:fill="FFFF00"/>
          </w:tcPr>
          <w:p w14:paraId="018EF294" w14:textId="77777777" w:rsidR="0087601C" w:rsidRPr="006A1EC7" w:rsidRDefault="0087601C" w:rsidP="00D56051">
            <w:pPr>
              <w:rPr>
                <w:sz w:val="13"/>
                <w:szCs w:val="13"/>
              </w:rPr>
            </w:pPr>
            <w:r w:rsidRPr="006A1EC7">
              <w:rPr>
                <w:sz w:val="13"/>
                <w:szCs w:val="13"/>
              </w:rPr>
              <w:t>2</w:t>
            </w:r>
          </w:p>
        </w:tc>
        <w:tc>
          <w:tcPr>
            <w:tcW w:w="406" w:type="dxa"/>
            <w:shd w:val="clear" w:color="auto" w:fill="auto"/>
          </w:tcPr>
          <w:p w14:paraId="63FCC120"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289CCA7"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B7D1AC8" w14:textId="77777777" w:rsidR="0087601C" w:rsidRPr="006A1EC7" w:rsidRDefault="0087601C" w:rsidP="00D56051">
            <w:pPr>
              <w:rPr>
                <w:sz w:val="13"/>
                <w:szCs w:val="13"/>
              </w:rPr>
            </w:pPr>
            <w:r w:rsidRPr="006A1EC7">
              <w:rPr>
                <w:sz w:val="13"/>
                <w:szCs w:val="13"/>
              </w:rPr>
              <w:t>2</w:t>
            </w:r>
          </w:p>
        </w:tc>
        <w:tc>
          <w:tcPr>
            <w:tcW w:w="406" w:type="dxa"/>
          </w:tcPr>
          <w:p w14:paraId="797924B9"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782C4A5"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2EBEB619" w14:textId="77777777" w:rsidR="0087601C" w:rsidRPr="006A1EC7" w:rsidRDefault="0087601C" w:rsidP="00D56051">
            <w:pPr>
              <w:rPr>
                <w:sz w:val="13"/>
                <w:szCs w:val="13"/>
              </w:rPr>
            </w:pPr>
            <w:r w:rsidRPr="006A1EC7">
              <w:rPr>
                <w:sz w:val="13"/>
                <w:szCs w:val="13"/>
              </w:rPr>
              <w:t>1</w:t>
            </w:r>
          </w:p>
        </w:tc>
        <w:tc>
          <w:tcPr>
            <w:tcW w:w="406" w:type="dxa"/>
          </w:tcPr>
          <w:p w14:paraId="655CB3D9"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06C72B6"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4B7972A7" w14:textId="77777777" w:rsidR="0087601C" w:rsidRPr="006A1EC7" w:rsidRDefault="0087601C" w:rsidP="00D56051">
            <w:pPr>
              <w:rPr>
                <w:sz w:val="13"/>
                <w:szCs w:val="13"/>
              </w:rPr>
            </w:pPr>
            <w:r w:rsidRPr="006A1EC7">
              <w:rPr>
                <w:sz w:val="13"/>
                <w:szCs w:val="13"/>
              </w:rPr>
              <w:t>2</w:t>
            </w:r>
          </w:p>
        </w:tc>
        <w:tc>
          <w:tcPr>
            <w:tcW w:w="406" w:type="dxa"/>
          </w:tcPr>
          <w:p w14:paraId="0D3055E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25C1B3E" w14:textId="77777777" w:rsidR="0087601C" w:rsidRPr="006A1EC7" w:rsidRDefault="0087601C" w:rsidP="00D56051">
            <w:pPr>
              <w:rPr>
                <w:sz w:val="13"/>
                <w:szCs w:val="13"/>
              </w:rPr>
            </w:pPr>
            <w:r w:rsidRPr="006A1EC7">
              <w:rPr>
                <w:sz w:val="13"/>
                <w:szCs w:val="13"/>
              </w:rPr>
              <w:t>2</w:t>
            </w:r>
          </w:p>
        </w:tc>
        <w:tc>
          <w:tcPr>
            <w:tcW w:w="478" w:type="dxa"/>
            <w:shd w:val="clear" w:color="auto" w:fill="FFFF00"/>
          </w:tcPr>
          <w:p w14:paraId="728DE652" w14:textId="77777777" w:rsidR="0087601C" w:rsidRPr="006A1EC7" w:rsidRDefault="0087601C" w:rsidP="00D56051">
            <w:pPr>
              <w:rPr>
                <w:sz w:val="13"/>
                <w:szCs w:val="13"/>
              </w:rPr>
            </w:pPr>
            <w:r w:rsidRPr="006A1EC7">
              <w:rPr>
                <w:sz w:val="13"/>
                <w:szCs w:val="13"/>
              </w:rPr>
              <w:t>2</w:t>
            </w:r>
          </w:p>
        </w:tc>
        <w:tc>
          <w:tcPr>
            <w:tcW w:w="406" w:type="dxa"/>
          </w:tcPr>
          <w:p w14:paraId="48C9DEF6"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037B50EC" w14:textId="77777777" w:rsidR="0087601C" w:rsidRPr="006A1EC7" w:rsidRDefault="0087601C" w:rsidP="00D56051">
            <w:pPr>
              <w:rPr>
                <w:sz w:val="13"/>
                <w:szCs w:val="13"/>
              </w:rPr>
            </w:pPr>
            <w:r w:rsidRPr="006A1EC7">
              <w:rPr>
                <w:sz w:val="13"/>
                <w:szCs w:val="13"/>
              </w:rPr>
              <w:t>2</w:t>
            </w:r>
          </w:p>
        </w:tc>
        <w:tc>
          <w:tcPr>
            <w:tcW w:w="460" w:type="dxa"/>
            <w:shd w:val="clear" w:color="auto" w:fill="FFFF00"/>
          </w:tcPr>
          <w:p w14:paraId="2CDC2123" w14:textId="77777777" w:rsidR="0087601C" w:rsidRPr="006A1EC7" w:rsidRDefault="0087601C" w:rsidP="00D56051">
            <w:pPr>
              <w:rPr>
                <w:sz w:val="13"/>
                <w:szCs w:val="13"/>
              </w:rPr>
            </w:pPr>
            <w:r w:rsidRPr="006A1EC7">
              <w:rPr>
                <w:sz w:val="13"/>
                <w:szCs w:val="13"/>
              </w:rPr>
              <w:t>2</w:t>
            </w:r>
          </w:p>
        </w:tc>
        <w:tc>
          <w:tcPr>
            <w:tcW w:w="406" w:type="dxa"/>
          </w:tcPr>
          <w:p w14:paraId="13F0066C"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7A331461" w14:textId="77777777" w:rsidR="0087601C" w:rsidRPr="006A1EC7" w:rsidRDefault="0087601C" w:rsidP="00D56051">
            <w:pPr>
              <w:rPr>
                <w:sz w:val="13"/>
                <w:szCs w:val="13"/>
              </w:rPr>
            </w:pPr>
            <w:r w:rsidRPr="006A1EC7">
              <w:rPr>
                <w:sz w:val="13"/>
                <w:szCs w:val="13"/>
              </w:rPr>
              <w:t>2</w:t>
            </w:r>
          </w:p>
        </w:tc>
        <w:tc>
          <w:tcPr>
            <w:tcW w:w="406" w:type="dxa"/>
            <w:shd w:val="clear" w:color="auto" w:fill="FFFF00"/>
          </w:tcPr>
          <w:p w14:paraId="14A1C174" w14:textId="77777777" w:rsidR="0087601C" w:rsidRPr="006A1EC7" w:rsidRDefault="0087601C" w:rsidP="00D56051">
            <w:pPr>
              <w:rPr>
                <w:sz w:val="13"/>
                <w:szCs w:val="13"/>
              </w:rPr>
            </w:pPr>
            <w:r w:rsidRPr="006A1EC7">
              <w:rPr>
                <w:sz w:val="13"/>
                <w:szCs w:val="13"/>
              </w:rPr>
              <w:t>1</w:t>
            </w:r>
          </w:p>
        </w:tc>
        <w:tc>
          <w:tcPr>
            <w:tcW w:w="406" w:type="dxa"/>
          </w:tcPr>
          <w:p w14:paraId="1C874E7E" w14:textId="77777777" w:rsidR="0087601C" w:rsidRPr="006A1EC7" w:rsidRDefault="0087601C" w:rsidP="00D56051">
            <w:pPr>
              <w:rPr>
                <w:sz w:val="13"/>
                <w:szCs w:val="13"/>
              </w:rPr>
            </w:pPr>
            <w:r w:rsidRPr="006A1EC7">
              <w:rPr>
                <w:sz w:val="13"/>
                <w:szCs w:val="13"/>
              </w:rPr>
              <w:t>1</w:t>
            </w:r>
          </w:p>
        </w:tc>
        <w:tc>
          <w:tcPr>
            <w:tcW w:w="406" w:type="dxa"/>
          </w:tcPr>
          <w:p w14:paraId="0DDAF8F7" w14:textId="77777777" w:rsidR="0087601C" w:rsidRPr="006A1EC7" w:rsidRDefault="0087601C" w:rsidP="00D56051">
            <w:pPr>
              <w:rPr>
                <w:sz w:val="13"/>
                <w:szCs w:val="13"/>
              </w:rPr>
            </w:pPr>
            <w:r w:rsidRPr="006A1EC7">
              <w:rPr>
                <w:sz w:val="13"/>
                <w:szCs w:val="13"/>
              </w:rPr>
              <w:t>8/9</w:t>
            </w:r>
          </w:p>
        </w:tc>
        <w:tc>
          <w:tcPr>
            <w:tcW w:w="406" w:type="dxa"/>
          </w:tcPr>
          <w:p w14:paraId="248DD042" w14:textId="77777777" w:rsidR="0087601C" w:rsidRPr="006A1EC7" w:rsidRDefault="0087601C" w:rsidP="00D56051">
            <w:pPr>
              <w:rPr>
                <w:sz w:val="13"/>
                <w:szCs w:val="13"/>
              </w:rPr>
            </w:pPr>
            <w:r w:rsidRPr="006A1EC7">
              <w:rPr>
                <w:sz w:val="13"/>
                <w:szCs w:val="13"/>
              </w:rPr>
              <w:t>88%</w:t>
            </w:r>
          </w:p>
        </w:tc>
      </w:tr>
      <w:tr w:rsidR="00744A8E" w:rsidRPr="006A1EC7" w14:paraId="4B96BC0B" w14:textId="77777777" w:rsidTr="00D56051">
        <w:tc>
          <w:tcPr>
            <w:tcW w:w="636" w:type="dxa"/>
          </w:tcPr>
          <w:p w14:paraId="648B28F4" w14:textId="77777777" w:rsidR="0087601C" w:rsidRPr="006A1EC7" w:rsidRDefault="0087601C" w:rsidP="00D56051">
            <w:pPr>
              <w:rPr>
                <w:sz w:val="13"/>
                <w:szCs w:val="13"/>
              </w:rPr>
            </w:pPr>
            <w:r w:rsidRPr="006A1EC7">
              <w:rPr>
                <w:sz w:val="13"/>
                <w:szCs w:val="13"/>
              </w:rPr>
              <w:t>TTL</w:t>
            </w:r>
          </w:p>
        </w:tc>
        <w:tc>
          <w:tcPr>
            <w:tcW w:w="476" w:type="dxa"/>
            <w:shd w:val="clear" w:color="auto" w:fill="FFFF00"/>
          </w:tcPr>
          <w:p w14:paraId="49AF128C" w14:textId="77777777" w:rsidR="0087601C" w:rsidRPr="006A1EC7" w:rsidRDefault="0087601C" w:rsidP="00D56051">
            <w:pPr>
              <w:rPr>
                <w:sz w:val="13"/>
                <w:szCs w:val="13"/>
              </w:rPr>
            </w:pPr>
            <w:r w:rsidRPr="006A1EC7">
              <w:rPr>
                <w:sz w:val="13"/>
                <w:szCs w:val="13"/>
              </w:rPr>
              <w:t>60</w:t>
            </w:r>
          </w:p>
        </w:tc>
        <w:tc>
          <w:tcPr>
            <w:tcW w:w="476" w:type="dxa"/>
            <w:shd w:val="clear" w:color="auto" w:fill="FFFF00"/>
          </w:tcPr>
          <w:p w14:paraId="5C677301" w14:textId="77777777" w:rsidR="0087601C" w:rsidRPr="006A1EC7" w:rsidRDefault="0087601C" w:rsidP="00D56051">
            <w:pPr>
              <w:rPr>
                <w:sz w:val="13"/>
                <w:szCs w:val="13"/>
              </w:rPr>
            </w:pPr>
            <w:r w:rsidRPr="006A1EC7">
              <w:rPr>
                <w:sz w:val="13"/>
                <w:szCs w:val="13"/>
              </w:rPr>
              <w:t>61</w:t>
            </w:r>
          </w:p>
        </w:tc>
        <w:tc>
          <w:tcPr>
            <w:tcW w:w="477" w:type="dxa"/>
          </w:tcPr>
          <w:p w14:paraId="07B3C7A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6FF26CA" w14:textId="77777777" w:rsidR="0087601C" w:rsidRPr="006A1EC7" w:rsidRDefault="0087601C" w:rsidP="00D56051">
            <w:pPr>
              <w:rPr>
                <w:sz w:val="13"/>
                <w:szCs w:val="13"/>
              </w:rPr>
            </w:pPr>
            <w:r w:rsidRPr="006A1EC7">
              <w:rPr>
                <w:sz w:val="13"/>
                <w:szCs w:val="13"/>
              </w:rPr>
              <w:t>60</w:t>
            </w:r>
          </w:p>
        </w:tc>
        <w:tc>
          <w:tcPr>
            <w:tcW w:w="477" w:type="dxa"/>
            <w:shd w:val="clear" w:color="auto" w:fill="FFFF00"/>
          </w:tcPr>
          <w:p w14:paraId="557FD40C" w14:textId="77777777" w:rsidR="0087601C" w:rsidRPr="006A1EC7" w:rsidRDefault="0087601C" w:rsidP="00D56051">
            <w:pPr>
              <w:rPr>
                <w:sz w:val="13"/>
                <w:szCs w:val="13"/>
              </w:rPr>
            </w:pPr>
            <w:r w:rsidRPr="006A1EC7">
              <w:rPr>
                <w:sz w:val="13"/>
                <w:szCs w:val="13"/>
              </w:rPr>
              <w:t>59</w:t>
            </w:r>
          </w:p>
        </w:tc>
        <w:tc>
          <w:tcPr>
            <w:tcW w:w="458" w:type="dxa"/>
          </w:tcPr>
          <w:p w14:paraId="23F6A0D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784E85D" w14:textId="77777777" w:rsidR="0087601C" w:rsidRPr="006A1EC7" w:rsidRDefault="0087601C" w:rsidP="00D56051">
            <w:pPr>
              <w:rPr>
                <w:sz w:val="13"/>
                <w:szCs w:val="13"/>
              </w:rPr>
            </w:pPr>
            <w:r w:rsidRPr="006A1EC7">
              <w:rPr>
                <w:sz w:val="13"/>
                <w:szCs w:val="13"/>
              </w:rPr>
              <w:t>59</w:t>
            </w:r>
          </w:p>
        </w:tc>
        <w:tc>
          <w:tcPr>
            <w:tcW w:w="460" w:type="dxa"/>
            <w:shd w:val="clear" w:color="auto" w:fill="FFFF00"/>
          </w:tcPr>
          <w:p w14:paraId="50D32195" w14:textId="77777777" w:rsidR="0087601C" w:rsidRPr="006A1EC7" w:rsidRDefault="0087601C" w:rsidP="00D56051">
            <w:pPr>
              <w:rPr>
                <w:sz w:val="13"/>
                <w:szCs w:val="13"/>
              </w:rPr>
            </w:pPr>
            <w:r w:rsidRPr="006A1EC7">
              <w:rPr>
                <w:sz w:val="13"/>
                <w:szCs w:val="13"/>
              </w:rPr>
              <w:t>57</w:t>
            </w:r>
          </w:p>
        </w:tc>
        <w:tc>
          <w:tcPr>
            <w:tcW w:w="406" w:type="dxa"/>
            <w:shd w:val="clear" w:color="auto" w:fill="auto"/>
          </w:tcPr>
          <w:p w14:paraId="4EBC3D40"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26869E36" w14:textId="77777777" w:rsidR="0087601C" w:rsidRPr="006A1EC7" w:rsidRDefault="0087601C" w:rsidP="00D56051">
            <w:pPr>
              <w:rPr>
                <w:sz w:val="13"/>
                <w:szCs w:val="13"/>
              </w:rPr>
            </w:pPr>
            <w:r w:rsidRPr="006A1EC7">
              <w:rPr>
                <w:sz w:val="13"/>
                <w:szCs w:val="13"/>
              </w:rPr>
              <w:t>57</w:t>
            </w:r>
          </w:p>
        </w:tc>
        <w:tc>
          <w:tcPr>
            <w:tcW w:w="477" w:type="dxa"/>
            <w:shd w:val="clear" w:color="auto" w:fill="FFFF00"/>
          </w:tcPr>
          <w:p w14:paraId="15704EEB" w14:textId="77777777" w:rsidR="0087601C" w:rsidRPr="006A1EC7" w:rsidRDefault="0087601C" w:rsidP="00D56051">
            <w:pPr>
              <w:rPr>
                <w:sz w:val="13"/>
                <w:szCs w:val="13"/>
              </w:rPr>
            </w:pPr>
            <w:r w:rsidRPr="006A1EC7">
              <w:rPr>
                <w:sz w:val="13"/>
                <w:szCs w:val="13"/>
              </w:rPr>
              <w:t>57</w:t>
            </w:r>
          </w:p>
        </w:tc>
        <w:tc>
          <w:tcPr>
            <w:tcW w:w="406" w:type="dxa"/>
          </w:tcPr>
          <w:p w14:paraId="109043E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98A7135" w14:textId="77777777" w:rsidR="0087601C" w:rsidRPr="006A1EC7" w:rsidRDefault="0087601C" w:rsidP="00D56051">
            <w:pPr>
              <w:rPr>
                <w:sz w:val="13"/>
                <w:szCs w:val="13"/>
              </w:rPr>
            </w:pPr>
            <w:r w:rsidRPr="006A1EC7">
              <w:rPr>
                <w:sz w:val="13"/>
                <w:szCs w:val="13"/>
              </w:rPr>
              <w:t>57</w:t>
            </w:r>
          </w:p>
        </w:tc>
        <w:tc>
          <w:tcPr>
            <w:tcW w:w="477" w:type="dxa"/>
            <w:shd w:val="clear" w:color="auto" w:fill="FFFF00"/>
          </w:tcPr>
          <w:p w14:paraId="1F25A1C6" w14:textId="77777777" w:rsidR="0087601C" w:rsidRPr="006A1EC7" w:rsidRDefault="0087601C" w:rsidP="00D56051">
            <w:pPr>
              <w:rPr>
                <w:sz w:val="13"/>
                <w:szCs w:val="13"/>
              </w:rPr>
            </w:pPr>
            <w:r w:rsidRPr="006A1EC7">
              <w:rPr>
                <w:sz w:val="13"/>
                <w:szCs w:val="13"/>
              </w:rPr>
              <w:t>59</w:t>
            </w:r>
          </w:p>
        </w:tc>
        <w:tc>
          <w:tcPr>
            <w:tcW w:w="406" w:type="dxa"/>
          </w:tcPr>
          <w:p w14:paraId="01BBE028"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F930CFD" w14:textId="77777777" w:rsidR="0087601C" w:rsidRPr="006A1EC7" w:rsidRDefault="0087601C" w:rsidP="00D56051">
            <w:pPr>
              <w:rPr>
                <w:sz w:val="13"/>
                <w:szCs w:val="13"/>
              </w:rPr>
            </w:pPr>
            <w:r w:rsidRPr="006A1EC7">
              <w:rPr>
                <w:sz w:val="13"/>
                <w:szCs w:val="13"/>
              </w:rPr>
              <w:t>56</w:t>
            </w:r>
          </w:p>
        </w:tc>
        <w:tc>
          <w:tcPr>
            <w:tcW w:w="477" w:type="dxa"/>
            <w:shd w:val="clear" w:color="auto" w:fill="FFFF00"/>
          </w:tcPr>
          <w:p w14:paraId="67661110" w14:textId="77777777" w:rsidR="0087601C" w:rsidRPr="006A1EC7" w:rsidRDefault="0087601C" w:rsidP="00D56051">
            <w:pPr>
              <w:rPr>
                <w:sz w:val="13"/>
                <w:szCs w:val="13"/>
              </w:rPr>
            </w:pPr>
            <w:r w:rsidRPr="006A1EC7">
              <w:rPr>
                <w:sz w:val="13"/>
                <w:szCs w:val="13"/>
              </w:rPr>
              <w:t>60</w:t>
            </w:r>
          </w:p>
        </w:tc>
        <w:tc>
          <w:tcPr>
            <w:tcW w:w="406" w:type="dxa"/>
          </w:tcPr>
          <w:p w14:paraId="51A98AC6"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03DA059" w14:textId="77777777" w:rsidR="0087601C" w:rsidRPr="006A1EC7" w:rsidRDefault="0087601C" w:rsidP="00D56051">
            <w:pPr>
              <w:rPr>
                <w:sz w:val="13"/>
                <w:szCs w:val="13"/>
              </w:rPr>
            </w:pPr>
            <w:r w:rsidRPr="006A1EC7">
              <w:rPr>
                <w:sz w:val="13"/>
                <w:szCs w:val="13"/>
              </w:rPr>
              <w:t>61</w:t>
            </w:r>
          </w:p>
        </w:tc>
        <w:tc>
          <w:tcPr>
            <w:tcW w:w="478" w:type="dxa"/>
            <w:shd w:val="clear" w:color="auto" w:fill="FFFF00"/>
          </w:tcPr>
          <w:p w14:paraId="073D6F0C" w14:textId="77777777" w:rsidR="0087601C" w:rsidRPr="006A1EC7" w:rsidRDefault="0087601C" w:rsidP="00D56051">
            <w:pPr>
              <w:rPr>
                <w:sz w:val="13"/>
                <w:szCs w:val="13"/>
              </w:rPr>
            </w:pPr>
            <w:r w:rsidRPr="006A1EC7">
              <w:rPr>
                <w:sz w:val="13"/>
                <w:szCs w:val="13"/>
              </w:rPr>
              <w:t>56</w:t>
            </w:r>
          </w:p>
        </w:tc>
        <w:tc>
          <w:tcPr>
            <w:tcW w:w="406" w:type="dxa"/>
          </w:tcPr>
          <w:p w14:paraId="5AD9C473"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6F52463E" w14:textId="77777777" w:rsidR="0087601C" w:rsidRPr="006A1EC7" w:rsidRDefault="0087601C" w:rsidP="00D56051">
            <w:pPr>
              <w:rPr>
                <w:sz w:val="13"/>
                <w:szCs w:val="13"/>
              </w:rPr>
            </w:pPr>
            <w:r w:rsidRPr="006A1EC7">
              <w:rPr>
                <w:sz w:val="13"/>
                <w:szCs w:val="13"/>
              </w:rPr>
              <w:t>64</w:t>
            </w:r>
          </w:p>
        </w:tc>
        <w:tc>
          <w:tcPr>
            <w:tcW w:w="460" w:type="dxa"/>
            <w:shd w:val="clear" w:color="auto" w:fill="FFFF00"/>
          </w:tcPr>
          <w:p w14:paraId="425DA9E4" w14:textId="77777777" w:rsidR="0087601C" w:rsidRPr="006A1EC7" w:rsidRDefault="0087601C" w:rsidP="00D56051">
            <w:pPr>
              <w:rPr>
                <w:sz w:val="13"/>
                <w:szCs w:val="13"/>
              </w:rPr>
            </w:pPr>
            <w:r w:rsidRPr="006A1EC7">
              <w:rPr>
                <w:sz w:val="13"/>
                <w:szCs w:val="13"/>
              </w:rPr>
              <w:t>60</w:t>
            </w:r>
          </w:p>
        </w:tc>
        <w:tc>
          <w:tcPr>
            <w:tcW w:w="406" w:type="dxa"/>
          </w:tcPr>
          <w:p w14:paraId="1E4B62ED"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4D1EE26F" w14:textId="77777777" w:rsidR="0087601C" w:rsidRPr="006A1EC7" w:rsidRDefault="0087601C" w:rsidP="00D56051">
            <w:pPr>
              <w:rPr>
                <w:sz w:val="13"/>
                <w:szCs w:val="13"/>
              </w:rPr>
            </w:pPr>
            <w:r w:rsidRPr="006A1EC7">
              <w:rPr>
                <w:sz w:val="13"/>
                <w:szCs w:val="13"/>
              </w:rPr>
              <w:t>56</w:t>
            </w:r>
          </w:p>
        </w:tc>
        <w:tc>
          <w:tcPr>
            <w:tcW w:w="406" w:type="dxa"/>
            <w:shd w:val="clear" w:color="auto" w:fill="FFFF00"/>
          </w:tcPr>
          <w:p w14:paraId="34E188FA" w14:textId="77777777" w:rsidR="0087601C" w:rsidRPr="006A1EC7" w:rsidRDefault="0087601C" w:rsidP="00D56051">
            <w:pPr>
              <w:rPr>
                <w:sz w:val="13"/>
                <w:szCs w:val="13"/>
              </w:rPr>
            </w:pPr>
            <w:r w:rsidRPr="006A1EC7">
              <w:rPr>
                <w:sz w:val="13"/>
                <w:szCs w:val="13"/>
              </w:rPr>
              <w:t>60</w:t>
            </w:r>
          </w:p>
        </w:tc>
        <w:tc>
          <w:tcPr>
            <w:tcW w:w="406" w:type="dxa"/>
          </w:tcPr>
          <w:p w14:paraId="4B50B1B1" w14:textId="77777777" w:rsidR="0087601C" w:rsidRPr="006A1EC7" w:rsidRDefault="0087601C" w:rsidP="00D56051">
            <w:pPr>
              <w:rPr>
                <w:sz w:val="13"/>
                <w:szCs w:val="13"/>
              </w:rPr>
            </w:pPr>
            <w:r w:rsidRPr="006A1EC7">
              <w:rPr>
                <w:sz w:val="13"/>
                <w:szCs w:val="13"/>
              </w:rPr>
              <w:t>0</w:t>
            </w:r>
          </w:p>
        </w:tc>
        <w:tc>
          <w:tcPr>
            <w:tcW w:w="406" w:type="dxa"/>
          </w:tcPr>
          <w:p w14:paraId="71BDA917" w14:textId="77777777" w:rsidR="0087601C" w:rsidRPr="006A1EC7" w:rsidRDefault="0087601C" w:rsidP="00D56051">
            <w:pPr>
              <w:rPr>
                <w:sz w:val="13"/>
                <w:szCs w:val="13"/>
              </w:rPr>
            </w:pPr>
            <w:r w:rsidRPr="006A1EC7">
              <w:rPr>
                <w:sz w:val="13"/>
                <w:szCs w:val="13"/>
              </w:rPr>
              <w:t>3/9</w:t>
            </w:r>
          </w:p>
        </w:tc>
        <w:tc>
          <w:tcPr>
            <w:tcW w:w="406" w:type="dxa"/>
          </w:tcPr>
          <w:p w14:paraId="140CD6BD" w14:textId="77777777" w:rsidR="0087601C" w:rsidRPr="006A1EC7" w:rsidRDefault="0087601C" w:rsidP="00D56051">
            <w:pPr>
              <w:rPr>
                <w:sz w:val="13"/>
                <w:szCs w:val="13"/>
              </w:rPr>
            </w:pPr>
            <w:r w:rsidRPr="006A1EC7">
              <w:rPr>
                <w:sz w:val="13"/>
                <w:szCs w:val="13"/>
              </w:rPr>
              <w:t>33%</w:t>
            </w:r>
          </w:p>
        </w:tc>
      </w:tr>
      <w:tr w:rsidR="00744A8E" w:rsidRPr="006A1EC7" w14:paraId="1AD53EFB" w14:textId="77777777" w:rsidTr="00D56051">
        <w:tc>
          <w:tcPr>
            <w:tcW w:w="636" w:type="dxa"/>
          </w:tcPr>
          <w:p w14:paraId="70B8D25A" w14:textId="77777777" w:rsidR="0087601C" w:rsidRPr="006A1EC7" w:rsidRDefault="0087601C" w:rsidP="00D56051">
            <w:pPr>
              <w:rPr>
                <w:sz w:val="13"/>
                <w:szCs w:val="13"/>
              </w:rPr>
            </w:pPr>
            <w:r w:rsidRPr="006A1EC7">
              <w:rPr>
                <w:sz w:val="13"/>
                <w:szCs w:val="13"/>
              </w:rPr>
              <w:t>Percent agreement (%)</w:t>
            </w:r>
          </w:p>
        </w:tc>
        <w:tc>
          <w:tcPr>
            <w:tcW w:w="476" w:type="dxa"/>
            <w:shd w:val="clear" w:color="auto" w:fill="FFFF00"/>
          </w:tcPr>
          <w:p w14:paraId="7D6AB729" w14:textId="77777777" w:rsidR="0087601C" w:rsidRPr="006A1EC7" w:rsidRDefault="0087601C" w:rsidP="00D56051">
            <w:pPr>
              <w:rPr>
                <w:sz w:val="13"/>
                <w:szCs w:val="13"/>
              </w:rPr>
            </w:pPr>
          </w:p>
        </w:tc>
        <w:tc>
          <w:tcPr>
            <w:tcW w:w="476" w:type="dxa"/>
            <w:shd w:val="clear" w:color="auto" w:fill="FFFF00"/>
          </w:tcPr>
          <w:p w14:paraId="02019277" w14:textId="77777777" w:rsidR="0087601C" w:rsidRPr="006A1EC7" w:rsidRDefault="0087601C" w:rsidP="00D56051">
            <w:pPr>
              <w:rPr>
                <w:sz w:val="13"/>
                <w:szCs w:val="13"/>
              </w:rPr>
            </w:pPr>
          </w:p>
        </w:tc>
        <w:tc>
          <w:tcPr>
            <w:tcW w:w="477" w:type="dxa"/>
          </w:tcPr>
          <w:p w14:paraId="115C885F" w14:textId="77777777" w:rsidR="0087601C" w:rsidRPr="006A1EC7" w:rsidRDefault="0087601C" w:rsidP="00D56051">
            <w:pPr>
              <w:rPr>
                <w:sz w:val="13"/>
                <w:szCs w:val="13"/>
              </w:rPr>
            </w:pPr>
            <w:r w:rsidRPr="006A1EC7">
              <w:rPr>
                <w:sz w:val="13"/>
                <w:szCs w:val="13"/>
              </w:rPr>
              <w:t>100</w:t>
            </w:r>
          </w:p>
        </w:tc>
        <w:tc>
          <w:tcPr>
            <w:tcW w:w="477" w:type="dxa"/>
            <w:shd w:val="clear" w:color="auto" w:fill="FFFF00"/>
          </w:tcPr>
          <w:p w14:paraId="25E84D47" w14:textId="77777777" w:rsidR="0087601C" w:rsidRPr="006A1EC7" w:rsidRDefault="0087601C" w:rsidP="00D56051">
            <w:pPr>
              <w:rPr>
                <w:sz w:val="13"/>
                <w:szCs w:val="13"/>
              </w:rPr>
            </w:pPr>
          </w:p>
        </w:tc>
        <w:tc>
          <w:tcPr>
            <w:tcW w:w="477" w:type="dxa"/>
            <w:shd w:val="clear" w:color="auto" w:fill="FFFF00"/>
          </w:tcPr>
          <w:p w14:paraId="5BE96014" w14:textId="77777777" w:rsidR="0087601C" w:rsidRPr="006A1EC7" w:rsidRDefault="0087601C" w:rsidP="00D56051">
            <w:pPr>
              <w:rPr>
                <w:sz w:val="13"/>
                <w:szCs w:val="13"/>
              </w:rPr>
            </w:pPr>
          </w:p>
        </w:tc>
        <w:tc>
          <w:tcPr>
            <w:tcW w:w="458" w:type="dxa"/>
          </w:tcPr>
          <w:p w14:paraId="2317BD74" w14:textId="77777777" w:rsidR="0087601C" w:rsidRPr="006A1EC7" w:rsidRDefault="0087601C" w:rsidP="00D56051">
            <w:pPr>
              <w:rPr>
                <w:sz w:val="13"/>
                <w:szCs w:val="13"/>
              </w:rPr>
            </w:pPr>
            <w:r w:rsidRPr="006A1EC7">
              <w:rPr>
                <w:sz w:val="13"/>
                <w:szCs w:val="13"/>
              </w:rPr>
              <w:t>100</w:t>
            </w:r>
          </w:p>
        </w:tc>
        <w:tc>
          <w:tcPr>
            <w:tcW w:w="477" w:type="dxa"/>
            <w:shd w:val="clear" w:color="auto" w:fill="FFFF00"/>
          </w:tcPr>
          <w:p w14:paraId="60CBCAFA" w14:textId="77777777" w:rsidR="0087601C" w:rsidRPr="006A1EC7" w:rsidRDefault="0087601C" w:rsidP="00D56051">
            <w:pPr>
              <w:rPr>
                <w:sz w:val="13"/>
                <w:szCs w:val="13"/>
              </w:rPr>
            </w:pPr>
          </w:p>
        </w:tc>
        <w:tc>
          <w:tcPr>
            <w:tcW w:w="460" w:type="dxa"/>
            <w:shd w:val="clear" w:color="auto" w:fill="FFFF00"/>
          </w:tcPr>
          <w:p w14:paraId="0536CFBC" w14:textId="77777777" w:rsidR="0087601C" w:rsidRPr="006A1EC7" w:rsidRDefault="0087601C" w:rsidP="00D56051">
            <w:pPr>
              <w:rPr>
                <w:sz w:val="13"/>
                <w:szCs w:val="13"/>
              </w:rPr>
            </w:pPr>
          </w:p>
        </w:tc>
        <w:tc>
          <w:tcPr>
            <w:tcW w:w="406" w:type="dxa"/>
            <w:shd w:val="clear" w:color="auto" w:fill="auto"/>
          </w:tcPr>
          <w:p w14:paraId="22CC1CE4" w14:textId="77777777" w:rsidR="0087601C" w:rsidRPr="006A1EC7" w:rsidRDefault="0087601C" w:rsidP="00D56051">
            <w:pPr>
              <w:rPr>
                <w:sz w:val="13"/>
                <w:szCs w:val="13"/>
              </w:rPr>
            </w:pPr>
            <w:r w:rsidRPr="006A1EC7">
              <w:rPr>
                <w:sz w:val="13"/>
                <w:szCs w:val="13"/>
              </w:rPr>
              <w:t>80</w:t>
            </w:r>
          </w:p>
        </w:tc>
        <w:tc>
          <w:tcPr>
            <w:tcW w:w="460" w:type="dxa"/>
            <w:shd w:val="clear" w:color="auto" w:fill="FFFF00"/>
          </w:tcPr>
          <w:p w14:paraId="0B7D1625" w14:textId="77777777" w:rsidR="0087601C" w:rsidRPr="006A1EC7" w:rsidRDefault="0087601C" w:rsidP="00D56051">
            <w:pPr>
              <w:rPr>
                <w:sz w:val="13"/>
                <w:szCs w:val="13"/>
              </w:rPr>
            </w:pPr>
          </w:p>
        </w:tc>
        <w:tc>
          <w:tcPr>
            <w:tcW w:w="477" w:type="dxa"/>
            <w:shd w:val="clear" w:color="auto" w:fill="FFFF00"/>
          </w:tcPr>
          <w:p w14:paraId="58C74F93" w14:textId="77777777" w:rsidR="0087601C" w:rsidRPr="006A1EC7" w:rsidRDefault="0087601C" w:rsidP="00D56051">
            <w:pPr>
              <w:rPr>
                <w:sz w:val="13"/>
                <w:szCs w:val="13"/>
              </w:rPr>
            </w:pPr>
          </w:p>
        </w:tc>
        <w:tc>
          <w:tcPr>
            <w:tcW w:w="406" w:type="dxa"/>
          </w:tcPr>
          <w:p w14:paraId="714494D7" w14:textId="77777777" w:rsidR="0087601C" w:rsidRPr="006A1EC7" w:rsidRDefault="0087601C" w:rsidP="00D56051">
            <w:pPr>
              <w:rPr>
                <w:sz w:val="13"/>
                <w:szCs w:val="13"/>
              </w:rPr>
            </w:pPr>
            <w:r w:rsidRPr="006A1EC7">
              <w:rPr>
                <w:sz w:val="13"/>
                <w:szCs w:val="13"/>
              </w:rPr>
              <w:t>90</w:t>
            </w:r>
          </w:p>
        </w:tc>
        <w:tc>
          <w:tcPr>
            <w:tcW w:w="477" w:type="dxa"/>
            <w:shd w:val="clear" w:color="auto" w:fill="FFFF00"/>
          </w:tcPr>
          <w:p w14:paraId="6F0EDF28" w14:textId="77777777" w:rsidR="0087601C" w:rsidRPr="006A1EC7" w:rsidRDefault="0087601C" w:rsidP="00D56051">
            <w:pPr>
              <w:rPr>
                <w:sz w:val="13"/>
                <w:szCs w:val="13"/>
              </w:rPr>
            </w:pPr>
          </w:p>
        </w:tc>
        <w:tc>
          <w:tcPr>
            <w:tcW w:w="477" w:type="dxa"/>
            <w:shd w:val="clear" w:color="auto" w:fill="FFFF00"/>
          </w:tcPr>
          <w:p w14:paraId="289406D5" w14:textId="77777777" w:rsidR="0087601C" w:rsidRPr="006A1EC7" w:rsidRDefault="0087601C" w:rsidP="00D56051">
            <w:pPr>
              <w:rPr>
                <w:sz w:val="13"/>
                <w:szCs w:val="13"/>
              </w:rPr>
            </w:pPr>
          </w:p>
        </w:tc>
        <w:tc>
          <w:tcPr>
            <w:tcW w:w="406" w:type="dxa"/>
          </w:tcPr>
          <w:p w14:paraId="51D6D240" w14:textId="77777777" w:rsidR="0087601C" w:rsidRPr="006A1EC7" w:rsidRDefault="0087601C" w:rsidP="00D56051">
            <w:pPr>
              <w:rPr>
                <w:sz w:val="13"/>
                <w:szCs w:val="13"/>
              </w:rPr>
            </w:pPr>
            <w:r w:rsidRPr="006A1EC7">
              <w:rPr>
                <w:sz w:val="13"/>
                <w:szCs w:val="13"/>
              </w:rPr>
              <w:t>80</w:t>
            </w:r>
          </w:p>
        </w:tc>
        <w:tc>
          <w:tcPr>
            <w:tcW w:w="477" w:type="dxa"/>
            <w:shd w:val="clear" w:color="auto" w:fill="FFFF00"/>
          </w:tcPr>
          <w:p w14:paraId="394CB5EB" w14:textId="77777777" w:rsidR="0087601C" w:rsidRPr="006A1EC7" w:rsidRDefault="0087601C" w:rsidP="00D56051">
            <w:pPr>
              <w:rPr>
                <w:sz w:val="13"/>
                <w:szCs w:val="13"/>
              </w:rPr>
            </w:pPr>
          </w:p>
        </w:tc>
        <w:tc>
          <w:tcPr>
            <w:tcW w:w="477" w:type="dxa"/>
            <w:shd w:val="clear" w:color="auto" w:fill="FFFF00"/>
          </w:tcPr>
          <w:p w14:paraId="4EEBDBF3" w14:textId="77777777" w:rsidR="0087601C" w:rsidRPr="006A1EC7" w:rsidRDefault="0087601C" w:rsidP="00D56051">
            <w:pPr>
              <w:rPr>
                <w:sz w:val="13"/>
                <w:szCs w:val="13"/>
              </w:rPr>
            </w:pPr>
          </w:p>
        </w:tc>
        <w:tc>
          <w:tcPr>
            <w:tcW w:w="406" w:type="dxa"/>
          </w:tcPr>
          <w:p w14:paraId="4961E27A" w14:textId="77777777" w:rsidR="0087601C" w:rsidRPr="006A1EC7" w:rsidRDefault="0087601C" w:rsidP="00D56051">
            <w:pPr>
              <w:rPr>
                <w:sz w:val="13"/>
                <w:szCs w:val="13"/>
              </w:rPr>
            </w:pPr>
            <w:r w:rsidRPr="006A1EC7">
              <w:rPr>
                <w:sz w:val="13"/>
                <w:szCs w:val="13"/>
              </w:rPr>
              <w:t>80</w:t>
            </w:r>
          </w:p>
        </w:tc>
        <w:tc>
          <w:tcPr>
            <w:tcW w:w="477" w:type="dxa"/>
            <w:shd w:val="clear" w:color="auto" w:fill="FFFF00"/>
          </w:tcPr>
          <w:p w14:paraId="4B3A3D0F" w14:textId="77777777" w:rsidR="0087601C" w:rsidRPr="006A1EC7" w:rsidRDefault="0087601C" w:rsidP="00D56051">
            <w:pPr>
              <w:rPr>
                <w:sz w:val="13"/>
                <w:szCs w:val="13"/>
              </w:rPr>
            </w:pPr>
          </w:p>
        </w:tc>
        <w:tc>
          <w:tcPr>
            <w:tcW w:w="478" w:type="dxa"/>
            <w:shd w:val="clear" w:color="auto" w:fill="FFFF00"/>
          </w:tcPr>
          <w:p w14:paraId="14454104" w14:textId="77777777" w:rsidR="0087601C" w:rsidRPr="006A1EC7" w:rsidRDefault="0087601C" w:rsidP="00D56051">
            <w:pPr>
              <w:rPr>
                <w:sz w:val="13"/>
                <w:szCs w:val="13"/>
              </w:rPr>
            </w:pPr>
          </w:p>
        </w:tc>
        <w:tc>
          <w:tcPr>
            <w:tcW w:w="406" w:type="dxa"/>
          </w:tcPr>
          <w:p w14:paraId="3FDC04C1" w14:textId="77777777" w:rsidR="0087601C" w:rsidRPr="006A1EC7" w:rsidRDefault="0087601C" w:rsidP="00D56051">
            <w:pPr>
              <w:rPr>
                <w:sz w:val="13"/>
                <w:szCs w:val="13"/>
              </w:rPr>
            </w:pPr>
            <w:r w:rsidRPr="006A1EC7">
              <w:rPr>
                <w:sz w:val="13"/>
                <w:szCs w:val="13"/>
              </w:rPr>
              <w:t>80</w:t>
            </w:r>
          </w:p>
        </w:tc>
        <w:tc>
          <w:tcPr>
            <w:tcW w:w="460" w:type="dxa"/>
            <w:shd w:val="clear" w:color="auto" w:fill="FFFF00"/>
          </w:tcPr>
          <w:p w14:paraId="76AF32D5" w14:textId="77777777" w:rsidR="0087601C" w:rsidRPr="006A1EC7" w:rsidRDefault="0087601C" w:rsidP="00D56051">
            <w:pPr>
              <w:rPr>
                <w:sz w:val="13"/>
                <w:szCs w:val="13"/>
              </w:rPr>
            </w:pPr>
          </w:p>
        </w:tc>
        <w:tc>
          <w:tcPr>
            <w:tcW w:w="460" w:type="dxa"/>
            <w:shd w:val="clear" w:color="auto" w:fill="FFFF00"/>
          </w:tcPr>
          <w:p w14:paraId="3A3E0399" w14:textId="77777777" w:rsidR="0087601C" w:rsidRPr="006A1EC7" w:rsidRDefault="0087601C" w:rsidP="00D56051">
            <w:pPr>
              <w:rPr>
                <w:sz w:val="13"/>
                <w:szCs w:val="13"/>
              </w:rPr>
            </w:pPr>
          </w:p>
        </w:tc>
        <w:tc>
          <w:tcPr>
            <w:tcW w:w="406" w:type="dxa"/>
          </w:tcPr>
          <w:p w14:paraId="781CE5E9" w14:textId="77777777" w:rsidR="0087601C" w:rsidRPr="006A1EC7" w:rsidRDefault="0087601C" w:rsidP="00D56051">
            <w:pPr>
              <w:rPr>
                <w:sz w:val="13"/>
                <w:szCs w:val="13"/>
              </w:rPr>
            </w:pPr>
            <w:r w:rsidRPr="006A1EC7">
              <w:rPr>
                <w:sz w:val="13"/>
                <w:szCs w:val="13"/>
              </w:rPr>
              <w:t>80</w:t>
            </w:r>
          </w:p>
        </w:tc>
        <w:tc>
          <w:tcPr>
            <w:tcW w:w="406" w:type="dxa"/>
            <w:shd w:val="clear" w:color="auto" w:fill="FFFF00"/>
          </w:tcPr>
          <w:p w14:paraId="07AD19FA" w14:textId="77777777" w:rsidR="0087601C" w:rsidRPr="006A1EC7" w:rsidRDefault="0087601C" w:rsidP="00D56051">
            <w:pPr>
              <w:rPr>
                <w:sz w:val="13"/>
                <w:szCs w:val="13"/>
              </w:rPr>
            </w:pPr>
          </w:p>
        </w:tc>
        <w:tc>
          <w:tcPr>
            <w:tcW w:w="406" w:type="dxa"/>
            <w:shd w:val="clear" w:color="auto" w:fill="FFFF00"/>
          </w:tcPr>
          <w:p w14:paraId="16CA48E4" w14:textId="77777777" w:rsidR="0087601C" w:rsidRPr="006A1EC7" w:rsidRDefault="0087601C" w:rsidP="00D56051">
            <w:pPr>
              <w:rPr>
                <w:sz w:val="13"/>
                <w:szCs w:val="13"/>
              </w:rPr>
            </w:pPr>
          </w:p>
        </w:tc>
        <w:tc>
          <w:tcPr>
            <w:tcW w:w="406" w:type="dxa"/>
          </w:tcPr>
          <w:p w14:paraId="695B07BA" w14:textId="77777777" w:rsidR="0087601C" w:rsidRPr="006A1EC7" w:rsidRDefault="0087601C" w:rsidP="00D56051">
            <w:pPr>
              <w:rPr>
                <w:sz w:val="13"/>
                <w:szCs w:val="13"/>
              </w:rPr>
            </w:pPr>
            <w:r w:rsidRPr="006A1EC7">
              <w:rPr>
                <w:sz w:val="13"/>
                <w:szCs w:val="13"/>
              </w:rPr>
              <w:t>80</w:t>
            </w:r>
          </w:p>
        </w:tc>
        <w:tc>
          <w:tcPr>
            <w:tcW w:w="406" w:type="dxa"/>
          </w:tcPr>
          <w:p w14:paraId="64444D8C" w14:textId="77777777" w:rsidR="0087601C" w:rsidRPr="006A1EC7" w:rsidRDefault="0087601C" w:rsidP="00D56051">
            <w:pPr>
              <w:rPr>
                <w:sz w:val="13"/>
                <w:szCs w:val="13"/>
              </w:rPr>
            </w:pPr>
          </w:p>
        </w:tc>
        <w:tc>
          <w:tcPr>
            <w:tcW w:w="406" w:type="dxa"/>
          </w:tcPr>
          <w:p w14:paraId="2B5FF20A" w14:textId="77777777" w:rsidR="0087601C" w:rsidRPr="006A1EC7" w:rsidRDefault="0087601C" w:rsidP="00D56051">
            <w:pPr>
              <w:rPr>
                <w:sz w:val="13"/>
                <w:szCs w:val="13"/>
              </w:rPr>
            </w:pPr>
          </w:p>
        </w:tc>
      </w:tr>
    </w:tbl>
    <w:p w14:paraId="01DDD264" w14:textId="77777777" w:rsidR="0087601C" w:rsidRPr="006A1EC7" w:rsidRDefault="0087601C" w:rsidP="0087601C">
      <w:pPr>
        <w:rPr>
          <w:sz w:val="13"/>
          <w:szCs w:val="13"/>
        </w:rPr>
      </w:pPr>
    </w:p>
    <w:p w14:paraId="35DD0A70" w14:textId="77777777" w:rsidR="0087601C" w:rsidRPr="006A1EC7" w:rsidRDefault="0087601C" w:rsidP="0087601C">
      <w:pPr>
        <w:rPr>
          <w:sz w:val="13"/>
          <w:szCs w:val="13"/>
        </w:rPr>
      </w:pPr>
      <w:r w:rsidRPr="006A1EC7">
        <w:rPr>
          <w:sz w:val="13"/>
          <w:szCs w:val="13"/>
        </w:rPr>
        <w:t>VIGNETTE 2: BRONAGH</w:t>
      </w:r>
    </w:p>
    <w:p w14:paraId="7BE648CC" w14:textId="77777777" w:rsidR="0087601C" w:rsidRPr="006A1EC7" w:rsidRDefault="0087601C" w:rsidP="0087601C">
      <w:pPr>
        <w:rPr>
          <w:sz w:val="13"/>
          <w:szCs w:val="13"/>
        </w:rPr>
      </w:pPr>
    </w:p>
    <w:tbl>
      <w:tblPr>
        <w:tblStyle w:val="TableGrid"/>
        <w:tblW w:w="0" w:type="auto"/>
        <w:tblLook w:val="04A0" w:firstRow="1" w:lastRow="0" w:firstColumn="1" w:lastColumn="0" w:noHBand="0" w:noVBand="1"/>
      </w:tblPr>
      <w:tblGrid>
        <w:gridCol w:w="714"/>
        <w:gridCol w:w="356"/>
        <w:gridCol w:w="356"/>
        <w:gridCol w:w="396"/>
        <w:gridCol w:w="356"/>
        <w:gridCol w:w="356"/>
        <w:gridCol w:w="336"/>
        <w:gridCol w:w="356"/>
        <w:gridCol w:w="335"/>
        <w:gridCol w:w="395"/>
        <w:gridCol w:w="355"/>
        <w:gridCol w:w="355"/>
        <w:gridCol w:w="335"/>
        <w:gridCol w:w="355"/>
        <w:gridCol w:w="355"/>
        <w:gridCol w:w="335"/>
        <w:gridCol w:w="355"/>
        <w:gridCol w:w="355"/>
        <w:gridCol w:w="335"/>
        <w:gridCol w:w="355"/>
        <w:gridCol w:w="355"/>
        <w:gridCol w:w="395"/>
        <w:gridCol w:w="355"/>
        <w:gridCol w:w="355"/>
        <w:gridCol w:w="395"/>
        <w:gridCol w:w="355"/>
        <w:gridCol w:w="355"/>
        <w:gridCol w:w="335"/>
        <w:gridCol w:w="382"/>
        <w:gridCol w:w="382"/>
        <w:gridCol w:w="335"/>
        <w:gridCol w:w="488"/>
        <w:gridCol w:w="495"/>
      </w:tblGrid>
      <w:tr w:rsidR="00744A8E" w:rsidRPr="006A1EC7" w14:paraId="2C3AF55C" w14:textId="77777777" w:rsidTr="00D56051">
        <w:trPr>
          <w:trHeight w:val="558"/>
        </w:trPr>
        <w:tc>
          <w:tcPr>
            <w:tcW w:w="796" w:type="dxa"/>
          </w:tcPr>
          <w:p w14:paraId="4C83B059" w14:textId="77777777" w:rsidR="0087601C" w:rsidRPr="006A1EC7" w:rsidRDefault="0087601C" w:rsidP="00D56051">
            <w:pPr>
              <w:rPr>
                <w:sz w:val="13"/>
                <w:szCs w:val="13"/>
              </w:rPr>
            </w:pPr>
          </w:p>
        </w:tc>
        <w:tc>
          <w:tcPr>
            <w:tcW w:w="427" w:type="dxa"/>
            <w:shd w:val="clear" w:color="auto" w:fill="FFFF00"/>
          </w:tcPr>
          <w:p w14:paraId="73111215" w14:textId="77777777" w:rsidR="0087601C" w:rsidRPr="006A1EC7" w:rsidRDefault="0087601C" w:rsidP="00D56051">
            <w:pPr>
              <w:rPr>
                <w:sz w:val="13"/>
                <w:szCs w:val="13"/>
              </w:rPr>
            </w:pPr>
            <w:r w:rsidRPr="006A1EC7">
              <w:rPr>
                <w:sz w:val="13"/>
                <w:szCs w:val="13"/>
              </w:rPr>
              <w:t>J1 (1)</w:t>
            </w:r>
          </w:p>
        </w:tc>
        <w:tc>
          <w:tcPr>
            <w:tcW w:w="427" w:type="dxa"/>
            <w:shd w:val="clear" w:color="auto" w:fill="FFFF00"/>
          </w:tcPr>
          <w:p w14:paraId="70EFA1F8" w14:textId="77777777" w:rsidR="0087601C" w:rsidRPr="006A1EC7" w:rsidRDefault="0087601C" w:rsidP="00D56051">
            <w:pPr>
              <w:rPr>
                <w:sz w:val="13"/>
                <w:szCs w:val="13"/>
              </w:rPr>
            </w:pPr>
            <w:r w:rsidRPr="006A1EC7">
              <w:rPr>
                <w:sz w:val="13"/>
                <w:szCs w:val="13"/>
              </w:rPr>
              <w:t>J1 (2)</w:t>
            </w:r>
          </w:p>
        </w:tc>
        <w:tc>
          <w:tcPr>
            <w:tcW w:w="390" w:type="dxa"/>
          </w:tcPr>
          <w:p w14:paraId="34258820" w14:textId="77777777" w:rsidR="0087601C" w:rsidRPr="006A1EC7" w:rsidRDefault="0087601C" w:rsidP="00D56051">
            <w:pPr>
              <w:rPr>
                <w:sz w:val="13"/>
                <w:szCs w:val="13"/>
              </w:rPr>
            </w:pPr>
          </w:p>
        </w:tc>
        <w:tc>
          <w:tcPr>
            <w:tcW w:w="428" w:type="dxa"/>
            <w:shd w:val="clear" w:color="auto" w:fill="FFFF00"/>
          </w:tcPr>
          <w:p w14:paraId="1EE41628" w14:textId="77777777" w:rsidR="0087601C" w:rsidRPr="006A1EC7" w:rsidRDefault="0087601C" w:rsidP="00D56051">
            <w:pPr>
              <w:rPr>
                <w:sz w:val="13"/>
                <w:szCs w:val="13"/>
              </w:rPr>
            </w:pPr>
            <w:r w:rsidRPr="006A1EC7">
              <w:rPr>
                <w:sz w:val="13"/>
                <w:szCs w:val="13"/>
              </w:rPr>
              <w:t>J2 (1)</w:t>
            </w:r>
          </w:p>
        </w:tc>
        <w:tc>
          <w:tcPr>
            <w:tcW w:w="428" w:type="dxa"/>
            <w:shd w:val="clear" w:color="auto" w:fill="FFFF00"/>
          </w:tcPr>
          <w:p w14:paraId="2F32D0E7" w14:textId="77777777" w:rsidR="0087601C" w:rsidRPr="006A1EC7" w:rsidRDefault="0087601C" w:rsidP="00D56051">
            <w:pPr>
              <w:rPr>
                <w:sz w:val="13"/>
                <w:szCs w:val="13"/>
              </w:rPr>
            </w:pPr>
            <w:r w:rsidRPr="006A1EC7">
              <w:rPr>
                <w:sz w:val="13"/>
                <w:szCs w:val="13"/>
              </w:rPr>
              <w:t>J2 (2)</w:t>
            </w:r>
          </w:p>
        </w:tc>
        <w:tc>
          <w:tcPr>
            <w:tcW w:w="380" w:type="dxa"/>
          </w:tcPr>
          <w:p w14:paraId="4B84F5A0" w14:textId="77777777" w:rsidR="0087601C" w:rsidRPr="006A1EC7" w:rsidRDefault="0087601C" w:rsidP="00D56051">
            <w:pPr>
              <w:rPr>
                <w:sz w:val="13"/>
                <w:szCs w:val="13"/>
              </w:rPr>
            </w:pPr>
          </w:p>
        </w:tc>
        <w:tc>
          <w:tcPr>
            <w:tcW w:w="428" w:type="dxa"/>
            <w:shd w:val="clear" w:color="auto" w:fill="FFFF00"/>
          </w:tcPr>
          <w:p w14:paraId="46CFCE72" w14:textId="77777777" w:rsidR="0087601C" w:rsidRPr="006A1EC7" w:rsidRDefault="0087601C" w:rsidP="00D56051">
            <w:pPr>
              <w:rPr>
                <w:sz w:val="13"/>
                <w:szCs w:val="13"/>
              </w:rPr>
            </w:pPr>
            <w:r w:rsidRPr="006A1EC7">
              <w:rPr>
                <w:sz w:val="13"/>
                <w:szCs w:val="13"/>
              </w:rPr>
              <w:t>J3 (1)</w:t>
            </w:r>
          </w:p>
        </w:tc>
        <w:tc>
          <w:tcPr>
            <w:tcW w:w="413" w:type="dxa"/>
            <w:shd w:val="clear" w:color="auto" w:fill="FFFF00"/>
          </w:tcPr>
          <w:p w14:paraId="2D2FC4A8" w14:textId="77777777" w:rsidR="0087601C" w:rsidRPr="006A1EC7" w:rsidRDefault="0087601C" w:rsidP="00D56051">
            <w:pPr>
              <w:rPr>
                <w:sz w:val="13"/>
                <w:szCs w:val="13"/>
              </w:rPr>
            </w:pPr>
            <w:r w:rsidRPr="006A1EC7">
              <w:rPr>
                <w:sz w:val="13"/>
                <w:szCs w:val="13"/>
              </w:rPr>
              <w:t>J3 2)</w:t>
            </w:r>
          </w:p>
        </w:tc>
        <w:tc>
          <w:tcPr>
            <w:tcW w:w="352" w:type="dxa"/>
            <w:shd w:val="clear" w:color="auto" w:fill="auto"/>
          </w:tcPr>
          <w:p w14:paraId="1C982152" w14:textId="77777777" w:rsidR="0087601C" w:rsidRPr="006A1EC7" w:rsidRDefault="0087601C" w:rsidP="00D56051">
            <w:pPr>
              <w:rPr>
                <w:sz w:val="13"/>
                <w:szCs w:val="13"/>
              </w:rPr>
            </w:pPr>
          </w:p>
        </w:tc>
        <w:tc>
          <w:tcPr>
            <w:tcW w:w="419" w:type="dxa"/>
            <w:shd w:val="clear" w:color="auto" w:fill="FFFF00"/>
          </w:tcPr>
          <w:p w14:paraId="13431AC9" w14:textId="77777777" w:rsidR="0087601C" w:rsidRPr="006A1EC7" w:rsidRDefault="0087601C" w:rsidP="00D56051">
            <w:pPr>
              <w:rPr>
                <w:sz w:val="13"/>
                <w:szCs w:val="13"/>
              </w:rPr>
            </w:pPr>
            <w:r w:rsidRPr="006A1EC7">
              <w:rPr>
                <w:sz w:val="13"/>
                <w:szCs w:val="13"/>
              </w:rPr>
              <w:t>J4 (1)</w:t>
            </w:r>
          </w:p>
        </w:tc>
        <w:tc>
          <w:tcPr>
            <w:tcW w:w="428" w:type="dxa"/>
            <w:shd w:val="clear" w:color="auto" w:fill="FFFF00"/>
          </w:tcPr>
          <w:p w14:paraId="10675C40" w14:textId="77777777" w:rsidR="0087601C" w:rsidRPr="006A1EC7" w:rsidRDefault="0087601C" w:rsidP="00D56051">
            <w:pPr>
              <w:rPr>
                <w:sz w:val="13"/>
                <w:szCs w:val="13"/>
              </w:rPr>
            </w:pPr>
            <w:r w:rsidRPr="006A1EC7">
              <w:rPr>
                <w:sz w:val="13"/>
                <w:szCs w:val="13"/>
              </w:rPr>
              <w:t>J4 (2)</w:t>
            </w:r>
          </w:p>
        </w:tc>
        <w:tc>
          <w:tcPr>
            <w:tcW w:w="352" w:type="dxa"/>
          </w:tcPr>
          <w:p w14:paraId="684AC4CF" w14:textId="77777777" w:rsidR="0087601C" w:rsidRPr="006A1EC7" w:rsidRDefault="0087601C" w:rsidP="00D56051">
            <w:pPr>
              <w:rPr>
                <w:sz w:val="13"/>
                <w:szCs w:val="13"/>
              </w:rPr>
            </w:pPr>
          </w:p>
        </w:tc>
        <w:tc>
          <w:tcPr>
            <w:tcW w:w="428" w:type="dxa"/>
            <w:shd w:val="clear" w:color="auto" w:fill="FFFF00"/>
          </w:tcPr>
          <w:p w14:paraId="176D36EF" w14:textId="77777777" w:rsidR="0087601C" w:rsidRPr="006A1EC7" w:rsidRDefault="0087601C" w:rsidP="00D56051">
            <w:pPr>
              <w:rPr>
                <w:sz w:val="13"/>
                <w:szCs w:val="13"/>
              </w:rPr>
            </w:pPr>
            <w:r w:rsidRPr="006A1EC7">
              <w:rPr>
                <w:sz w:val="13"/>
                <w:szCs w:val="13"/>
              </w:rPr>
              <w:t>J5 (1)</w:t>
            </w:r>
          </w:p>
        </w:tc>
        <w:tc>
          <w:tcPr>
            <w:tcW w:w="428" w:type="dxa"/>
            <w:shd w:val="clear" w:color="auto" w:fill="FFFF00"/>
          </w:tcPr>
          <w:p w14:paraId="53E11A5B" w14:textId="77777777" w:rsidR="0087601C" w:rsidRPr="006A1EC7" w:rsidRDefault="0087601C" w:rsidP="00D56051">
            <w:pPr>
              <w:rPr>
                <w:sz w:val="13"/>
                <w:szCs w:val="13"/>
              </w:rPr>
            </w:pPr>
            <w:r w:rsidRPr="006A1EC7">
              <w:rPr>
                <w:sz w:val="13"/>
                <w:szCs w:val="13"/>
              </w:rPr>
              <w:t>J5 (2)</w:t>
            </w:r>
          </w:p>
        </w:tc>
        <w:tc>
          <w:tcPr>
            <w:tcW w:w="352" w:type="dxa"/>
          </w:tcPr>
          <w:p w14:paraId="7DBD0359" w14:textId="77777777" w:rsidR="0087601C" w:rsidRPr="006A1EC7" w:rsidRDefault="0087601C" w:rsidP="00D56051">
            <w:pPr>
              <w:rPr>
                <w:sz w:val="13"/>
                <w:szCs w:val="13"/>
              </w:rPr>
            </w:pPr>
          </w:p>
        </w:tc>
        <w:tc>
          <w:tcPr>
            <w:tcW w:w="428" w:type="dxa"/>
            <w:shd w:val="clear" w:color="auto" w:fill="FFFF00"/>
          </w:tcPr>
          <w:p w14:paraId="57367BEB" w14:textId="77777777" w:rsidR="0087601C" w:rsidRPr="006A1EC7" w:rsidRDefault="0087601C" w:rsidP="00D56051">
            <w:pPr>
              <w:rPr>
                <w:sz w:val="13"/>
                <w:szCs w:val="13"/>
              </w:rPr>
            </w:pPr>
            <w:r w:rsidRPr="006A1EC7">
              <w:rPr>
                <w:sz w:val="13"/>
                <w:szCs w:val="13"/>
              </w:rPr>
              <w:t>J6 (1)</w:t>
            </w:r>
          </w:p>
        </w:tc>
        <w:tc>
          <w:tcPr>
            <w:tcW w:w="428" w:type="dxa"/>
            <w:shd w:val="clear" w:color="auto" w:fill="FFFF00"/>
          </w:tcPr>
          <w:p w14:paraId="603CD9AF" w14:textId="77777777" w:rsidR="0087601C" w:rsidRPr="006A1EC7" w:rsidRDefault="0087601C" w:rsidP="00D56051">
            <w:pPr>
              <w:rPr>
                <w:sz w:val="13"/>
                <w:szCs w:val="13"/>
              </w:rPr>
            </w:pPr>
            <w:r w:rsidRPr="006A1EC7">
              <w:rPr>
                <w:sz w:val="13"/>
                <w:szCs w:val="13"/>
              </w:rPr>
              <w:t>J6 (2)</w:t>
            </w:r>
          </w:p>
        </w:tc>
        <w:tc>
          <w:tcPr>
            <w:tcW w:w="352" w:type="dxa"/>
          </w:tcPr>
          <w:p w14:paraId="1977FD52" w14:textId="77777777" w:rsidR="0087601C" w:rsidRPr="006A1EC7" w:rsidRDefault="0087601C" w:rsidP="00D56051">
            <w:pPr>
              <w:rPr>
                <w:sz w:val="13"/>
                <w:szCs w:val="13"/>
              </w:rPr>
            </w:pPr>
          </w:p>
        </w:tc>
        <w:tc>
          <w:tcPr>
            <w:tcW w:w="428" w:type="dxa"/>
            <w:shd w:val="clear" w:color="auto" w:fill="FFFF00"/>
          </w:tcPr>
          <w:p w14:paraId="2B3DF819" w14:textId="77777777" w:rsidR="0087601C" w:rsidRPr="006A1EC7" w:rsidRDefault="0087601C" w:rsidP="00D56051">
            <w:pPr>
              <w:rPr>
                <w:sz w:val="13"/>
                <w:szCs w:val="13"/>
              </w:rPr>
            </w:pPr>
            <w:r w:rsidRPr="006A1EC7">
              <w:rPr>
                <w:sz w:val="13"/>
                <w:szCs w:val="13"/>
              </w:rPr>
              <w:t>J7 (1)</w:t>
            </w:r>
          </w:p>
        </w:tc>
        <w:tc>
          <w:tcPr>
            <w:tcW w:w="429" w:type="dxa"/>
            <w:shd w:val="clear" w:color="auto" w:fill="FFFF00"/>
          </w:tcPr>
          <w:p w14:paraId="0363B199" w14:textId="77777777" w:rsidR="0087601C" w:rsidRPr="006A1EC7" w:rsidRDefault="0087601C" w:rsidP="00D56051">
            <w:pPr>
              <w:rPr>
                <w:sz w:val="13"/>
                <w:szCs w:val="13"/>
              </w:rPr>
            </w:pPr>
            <w:r w:rsidRPr="006A1EC7">
              <w:rPr>
                <w:sz w:val="13"/>
                <w:szCs w:val="13"/>
              </w:rPr>
              <w:t>J7 (2)</w:t>
            </w:r>
          </w:p>
        </w:tc>
        <w:tc>
          <w:tcPr>
            <w:tcW w:w="347" w:type="dxa"/>
          </w:tcPr>
          <w:p w14:paraId="22A0FE3F" w14:textId="77777777" w:rsidR="0087601C" w:rsidRPr="006A1EC7" w:rsidRDefault="0087601C" w:rsidP="00D56051">
            <w:pPr>
              <w:rPr>
                <w:sz w:val="13"/>
                <w:szCs w:val="13"/>
              </w:rPr>
            </w:pPr>
          </w:p>
        </w:tc>
        <w:tc>
          <w:tcPr>
            <w:tcW w:w="429" w:type="dxa"/>
            <w:shd w:val="clear" w:color="auto" w:fill="FFFF00"/>
          </w:tcPr>
          <w:p w14:paraId="15466B31" w14:textId="77777777" w:rsidR="0087601C" w:rsidRPr="006A1EC7" w:rsidRDefault="0087601C" w:rsidP="00D56051">
            <w:pPr>
              <w:rPr>
                <w:sz w:val="13"/>
                <w:szCs w:val="13"/>
              </w:rPr>
            </w:pPr>
            <w:r w:rsidRPr="006A1EC7">
              <w:rPr>
                <w:sz w:val="13"/>
                <w:szCs w:val="13"/>
              </w:rPr>
              <w:t>J8 (1)</w:t>
            </w:r>
          </w:p>
        </w:tc>
        <w:tc>
          <w:tcPr>
            <w:tcW w:w="429" w:type="dxa"/>
            <w:shd w:val="clear" w:color="auto" w:fill="FFFF00"/>
          </w:tcPr>
          <w:p w14:paraId="498AE209" w14:textId="77777777" w:rsidR="0087601C" w:rsidRPr="006A1EC7" w:rsidRDefault="0087601C" w:rsidP="00D56051">
            <w:pPr>
              <w:rPr>
                <w:sz w:val="13"/>
                <w:szCs w:val="13"/>
              </w:rPr>
            </w:pPr>
            <w:r w:rsidRPr="006A1EC7">
              <w:rPr>
                <w:sz w:val="13"/>
                <w:szCs w:val="13"/>
              </w:rPr>
              <w:t>J8 (2)</w:t>
            </w:r>
          </w:p>
        </w:tc>
        <w:tc>
          <w:tcPr>
            <w:tcW w:w="347" w:type="dxa"/>
          </w:tcPr>
          <w:p w14:paraId="700E45B0" w14:textId="77777777" w:rsidR="0087601C" w:rsidRPr="006A1EC7" w:rsidRDefault="0087601C" w:rsidP="00D56051">
            <w:pPr>
              <w:rPr>
                <w:sz w:val="13"/>
                <w:szCs w:val="13"/>
              </w:rPr>
            </w:pPr>
          </w:p>
        </w:tc>
        <w:tc>
          <w:tcPr>
            <w:tcW w:w="419" w:type="dxa"/>
            <w:shd w:val="clear" w:color="auto" w:fill="FFFF00"/>
          </w:tcPr>
          <w:p w14:paraId="6E9469A5" w14:textId="77777777" w:rsidR="0087601C" w:rsidRPr="006A1EC7" w:rsidRDefault="0087601C" w:rsidP="00D56051">
            <w:pPr>
              <w:rPr>
                <w:sz w:val="13"/>
                <w:szCs w:val="13"/>
              </w:rPr>
            </w:pPr>
            <w:r w:rsidRPr="006A1EC7">
              <w:rPr>
                <w:sz w:val="13"/>
                <w:szCs w:val="13"/>
              </w:rPr>
              <w:t>J9 (1)</w:t>
            </w:r>
          </w:p>
        </w:tc>
        <w:tc>
          <w:tcPr>
            <w:tcW w:w="419" w:type="dxa"/>
            <w:shd w:val="clear" w:color="auto" w:fill="FFFF00"/>
          </w:tcPr>
          <w:p w14:paraId="4EA5D0C2" w14:textId="77777777" w:rsidR="0087601C" w:rsidRPr="006A1EC7" w:rsidRDefault="0087601C" w:rsidP="00D56051">
            <w:pPr>
              <w:rPr>
                <w:sz w:val="13"/>
                <w:szCs w:val="13"/>
              </w:rPr>
            </w:pPr>
            <w:r w:rsidRPr="006A1EC7">
              <w:rPr>
                <w:sz w:val="13"/>
                <w:szCs w:val="13"/>
              </w:rPr>
              <w:t>J9 (2)</w:t>
            </w:r>
          </w:p>
        </w:tc>
        <w:tc>
          <w:tcPr>
            <w:tcW w:w="347" w:type="dxa"/>
            <w:shd w:val="clear" w:color="auto" w:fill="auto"/>
          </w:tcPr>
          <w:p w14:paraId="4A467905" w14:textId="77777777" w:rsidR="0087601C" w:rsidRPr="006A1EC7" w:rsidRDefault="0087601C" w:rsidP="00D56051">
            <w:pPr>
              <w:rPr>
                <w:sz w:val="13"/>
                <w:szCs w:val="13"/>
              </w:rPr>
            </w:pPr>
          </w:p>
        </w:tc>
        <w:tc>
          <w:tcPr>
            <w:tcW w:w="444" w:type="dxa"/>
            <w:shd w:val="clear" w:color="auto" w:fill="FFFF00"/>
          </w:tcPr>
          <w:p w14:paraId="0C9D86CB" w14:textId="77777777" w:rsidR="0087601C" w:rsidRPr="006A1EC7" w:rsidRDefault="0087601C" w:rsidP="00D56051">
            <w:pPr>
              <w:rPr>
                <w:sz w:val="13"/>
                <w:szCs w:val="13"/>
              </w:rPr>
            </w:pPr>
            <w:r w:rsidRPr="006A1EC7">
              <w:rPr>
                <w:sz w:val="13"/>
                <w:szCs w:val="13"/>
              </w:rPr>
              <w:t>J10 (1)</w:t>
            </w:r>
          </w:p>
        </w:tc>
        <w:tc>
          <w:tcPr>
            <w:tcW w:w="444" w:type="dxa"/>
            <w:shd w:val="clear" w:color="auto" w:fill="FFFF00"/>
          </w:tcPr>
          <w:p w14:paraId="1248C249" w14:textId="77777777" w:rsidR="0087601C" w:rsidRPr="006A1EC7" w:rsidRDefault="0087601C" w:rsidP="00D56051">
            <w:pPr>
              <w:rPr>
                <w:sz w:val="13"/>
                <w:szCs w:val="13"/>
              </w:rPr>
            </w:pPr>
            <w:r w:rsidRPr="006A1EC7">
              <w:rPr>
                <w:sz w:val="13"/>
                <w:szCs w:val="13"/>
              </w:rPr>
              <w:t>J10 (2)</w:t>
            </w:r>
          </w:p>
        </w:tc>
        <w:tc>
          <w:tcPr>
            <w:tcW w:w="347" w:type="dxa"/>
          </w:tcPr>
          <w:p w14:paraId="0C522844" w14:textId="77777777" w:rsidR="0087601C" w:rsidRPr="006A1EC7" w:rsidRDefault="0087601C" w:rsidP="00D56051">
            <w:pPr>
              <w:rPr>
                <w:sz w:val="13"/>
                <w:szCs w:val="13"/>
              </w:rPr>
            </w:pPr>
          </w:p>
        </w:tc>
        <w:tc>
          <w:tcPr>
            <w:tcW w:w="530" w:type="dxa"/>
            <w:shd w:val="clear" w:color="auto" w:fill="auto"/>
          </w:tcPr>
          <w:p w14:paraId="46DF5F97" w14:textId="77777777" w:rsidR="0087601C" w:rsidRPr="006A1EC7" w:rsidRDefault="0087601C" w:rsidP="00D56051">
            <w:pPr>
              <w:rPr>
                <w:sz w:val="13"/>
                <w:szCs w:val="13"/>
              </w:rPr>
            </w:pPr>
          </w:p>
        </w:tc>
        <w:tc>
          <w:tcPr>
            <w:tcW w:w="507" w:type="dxa"/>
            <w:shd w:val="clear" w:color="auto" w:fill="auto"/>
          </w:tcPr>
          <w:p w14:paraId="0263081D" w14:textId="77777777" w:rsidR="0087601C" w:rsidRPr="006A1EC7" w:rsidRDefault="0087601C" w:rsidP="00D56051">
            <w:pPr>
              <w:rPr>
                <w:sz w:val="13"/>
                <w:szCs w:val="13"/>
              </w:rPr>
            </w:pPr>
          </w:p>
        </w:tc>
      </w:tr>
      <w:tr w:rsidR="00744A8E" w:rsidRPr="006A1EC7" w14:paraId="1C0EAA69" w14:textId="77777777" w:rsidTr="00D56051">
        <w:tc>
          <w:tcPr>
            <w:tcW w:w="796" w:type="dxa"/>
          </w:tcPr>
          <w:p w14:paraId="6CE3A66F" w14:textId="77777777" w:rsidR="0087601C" w:rsidRPr="006A1EC7" w:rsidRDefault="0087601C" w:rsidP="00D56051">
            <w:pPr>
              <w:rPr>
                <w:sz w:val="13"/>
                <w:szCs w:val="13"/>
              </w:rPr>
            </w:pPr>
            <w:r w:rsidRPr="006A1EC7">
              <w:rPr>
                <w:sz w:val="13"/>
                <w:szCs w:val="13"/>
              </w:rPr>
              <w:t>FCE</w:t>
            </w:r>
          </w:p>
        </w:tc>
        <w:tc>
          <w:tcPr>
            <w:tcW w:w="427" w:type="dxa"/>
            <w:shd w:val="clear" w:color="auto" w:fill="FFFF00"/>
          </w:tcPr>
          <w:p w14:paraId="7474E343" w14:textId="77777777" w:rsidR="0087601C" w:rsidRPr="006A1EC7" w:rsidRDefault="0087601C" w:rsidP="00D56051">
            <w:pPr>
              <w:rPr>
                <w:sz w:val="13"/>
                <w:szCs w:val="13"/>
              </w:rPr>
            </w:pPr>
            <w:r w:rsidRPr="006A1EC7">
              <w:rPr>
                <w:sz w:val="13"/>
                <w:szCs w:val="13"/>
              </w:rPr>
              <w:t>1</w:t>
            </w:r>
          </w:p>
        </w:tc>
        <w:tc>
          <w:tcPr>
            <w:tcW w:w="427" w:type="dxa"/>
            <w:shd w:val="clear" w:color="auto" w:fill="FFFF00"/>
          </w:tcPr>
          <w:p w14:paraId="433F73C1" w14:textId="77777777" w:rsidR="0087601C" w:rsidRPr="006A1EC7" w:rsidRDefault="0087601C" w:rsidP="00D56051">
            <w:pPr>
              <w:rPr>
                <w:sz w:val="13"/>
                <w:szCs w:val="13"/>
              </w:rPr>
            </w:pPr>
            <w:r w:rsidRPr="006A1EC7">
              <w:rPr>
                <w:sz w:val="13"/>
                <w:szCs w:val="13"/>
              </w:rPr>
              <w:t>1</w:t>
            </w:r>
          </w:p>
        </w:tc>
        <w:tc>
          <w:tcPr>
            <w:tcW w:w="390" w:type="dxa"/>
          </w:tcPr>
          <w:p w14:paraId="74489B09"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2070A600"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1C9D200D" w14:textId="77777777" w:rsidR="0087601C" w:rsidRPr="006A1EC7" w:rsidRDefault="0087601C" w:rsidP="00D56051">
            <w:pPr>
              <w:rPr>
                <w:sz w:val="13"/>
                <w:szCs w:val="13"/>
              </w:rPr>
            </w:pPr>
            <w:r w:rsidRPr="006A1EC7">
              <w:rPr>
                <w:sz w:val="13"/>
                <w:szCs w:val="13"/>
              </w:rPr>
              <w:t>1</w:t>
            </w:r>
          </w:p>
        </w:tc>
        <w:tc>
          <w:tcPr>
            <w:tcW w:w="380" w:type="dxa"/>
          </w:tcPr>
          <w:p w14:paraId="52E3423A"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73708B0D" w14:textId="77777777" w:rsidR="0087601C" w:rsidRPr="006A1EC7" w:rsidRDefault="0087601C" w:rsidP="00D56051">
            <w:pPr>
              <w:rPr>
                <w:sz w:val="13"/>
                <w:szCs w:val="13"/>
              </w:rPr>
            </w:pPr>
            <w:r w:rsidRPr="006A1EC7">
              <w:rPr>
                <w:sz w:val="13"/>
                <w:szCs w:val="13"/>
              </w:rPr>
              <w:t>1</w:t>
            </w:r>
          </w:p>
        </w:tc>
        <w:tc>
          <w:tcPr>
            <w:tcW w:w="413" w:type="dxa"/>
            <w:shd w:val="clear" w:color="auto" w:fill="FFFF00"/>
          </w:tcPr>
          <w:p w14:paraId="3F9365B6" w14:textId="77777777" w:rsidR="0087601C" w:rsidRPr="006A1EC7" w:rsidRDefault="0087601C" w:rsidP="00D56051">
            <w:pPr>
              <w:rPr>
                <w:sz w:val="13"/>
                <w:szCs w:val="13"/>
              </w:rPr>
            </w:pPr>
            <w:r w:rsidRPr="006A1EC7">
              <w:rPr>
                <w:sz w:val="13"/>
                <w:szCs w:val="13"/>
              </w:rPr>
              <w:t>1</w:t>
            </w:r>
          </w:p>
        </w:tc>
        <w:tc>
          <w:tcPr>
            <w:tcW w:w="352" w:type="dxa"/>
            <w:shd w:val="clear" w:color="auto" w:fill="auto"/>
          </w:tcPr>
          <w:p w14:paraId="14B1D7DA"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05B28CC8"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2DCF8C2E" w14:textId="77777777" w:rsidR="0087601C" w:rsidRPr="006A1EC7" w:rsidRDefault="0087601C" w:rsidP="00D56051">
            <w:pPr>
              <w:rPr>
                <w:sz w:val="13"/>
                <w:szCs w:val="13"/>
              </w:rPr>
            </w:pPr>
            <w:r w:rsidRPr="006A1EC7">
              <w:rPr>
                <w:sz w:val="13"/>
                <w:szCs w:val="13"/>
              </w:rPr>
              <w:t>1</w:t>
            </w:r>
          </w:p>
        </w:tc>
        <w:tc>
          <w:tcPr>
            <w:tcW w:w="352" w:type="dxa"/>
          </w:tcPr>
          <w:p w14:paraId="0E418B0B"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037FDFAB"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5BB45F36" w14:textId="77777777" w:rsidR="0087601C" w:rsidRPr="006A1EC7" w:rsidRDefault="0087601C" w:rsidP="00D56051">
            <w:pPr>
              <w:rPr>
                <w:sz w:val="13"/>
                <w:szCs w:val="13"/>
              </w:rPr>
            </w:pPr>
            <w:r w:rsidRPr="006A1EC7">
              <w:rPr>
                <w:sz w:val="13"/>
                <w:szCs w:val="13"/>
              </w:rPr>
              <w:t>1</w:t>
            </w:r>
          </w:p>
        </w:tc>
        <w:tc>
          <w:tcPr>
            <w:tcW w:w="352" w:type="dxa"/>
          </w:tcPr>
          <w:p w14:paraId="31B58E62"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1D24116E" w14:textId="77777777" w:rsidR="0087601C" w:rsidRPr="006A1EC7" w:rsidRDefault="0087601C" w:rsidP="00D56051">
            <w:pPr>
              <w:rPr>
                <w:sz w:val="13"/>
                <w:szCs w:val="13"/>
              </w:rPr>
            </w:pPr>
            <w:r w:rsidRPr="006A1EC7">
              <w:rPr>
                <w:sz w:val="13"/>
                <w:szCs w:val="13"/>
              </w:rPr>
              <w:t>2</w:t>
            </w:r>
          </w:p>
        </w:tc>
        <w:tc>
          <w:tcPr>
            <w:tcW w:w="428" w:type="dxa"/>
            <w:shd w:val="clear" w:color="auto" w:fill="FFFF00"/>
          </w:tcPr>
          <w:p w14:paraId="0BBD7BE9" w14:textId="77777777" w:rsidR="0087601C" w:rsidRPr="006A1EC7" w:rsidRDefault="0087601C" w:rsidP="00D56051">
            <w:pPr>
              <w:rPr>
                <w:sz w:val="13"/>
                <w:szCs w:val="13"/>
              </w:rPr>
            </w:pPr>
            <w:r w:rsidRPr="006A1EC7">
              <w:rPr>
                <w:sz w:val="13"/>
                <w:szCs w:val="13"/>
              </w:rPr>
              <w:t>1</w:t>
            </w:r>
          </w:p>
        </w:tc>
        <w:tc>
          <w:tcPr>
            <w:tcW w:w="352" w:type="dxa"/>
          </w:tcPr>
          <w:p w14:paraId="7F47500A"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6DD68AE3"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5A9B1F06" w14:textId="77777777" w:rsidR="0087601C" w:rsidRPr="006A1EC7" w:rsidRDefault="0087601C" w:rsidP="00D56051">
            <w:pPr>
              <w:rPr>
                <w:sz w:val="13"/>
                <w:szCs w:val="13"/>
              </w:rPr>
            </w:pPr>
            <w:r w:rsidRPr="006A1EC7">
              <w:rPr>
                <w:sz w:val="13"/>
                <w:szCs w:val="13"/>
              </w:rPr>
              <w:t>1</w:t>
            </w:r>
          </w:p>
        </w:tc>
        <w:tc>
          <w:tcPr>
            <w:tcW w:w="347" w:type="dxa"/>
          </w:tcPr>
          <w:p w14:paraId="0C020D10"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45BBD729"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523A0A26" w14:textId="77777777" w:rsidR="0087601C" w:rsidRPr="006A1EC7" w:rsidRDefault="0087601C" w:rsidP="00D56051">
            <w:pPr>
              <w:rPr>
                <w:sz w:val="13"/>
                <w:szCs w:val="13"/>
              </w:rPr>
            </w:pPr>
            <w:r w:rsidRPr="006A1EC7">
              <w:rPr>
                <w:sz w:val="13"/>
                <w:szCs w:val="13"/>
              </w:rPr>
              <w:t>1</w:t>
            </w:r>
          </w:p>
        </w:tc>
        <w:tc>
          <w:tcPr>
            <w:tcW w:w="347" w:type="dxa"/>
          </w:tcPr>
          <w:p w14:paraId="17A42DDF"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1080843A"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2D5D7219" w14:textId="77777777" w:rsidR="0087601C" w:rsidRPr="006A1EC7" w:rsidRDefault="0087601C" w:rsidP="00D56051">
            <w:pPr>
              <w:rPr>
                <w:sz w:val="13"/>
                <w:szCs w:val="13"/>
              </w:rPr>
            </w:pPr>
            <w:r w:rsidRPr="006A1EC7">
              <w:rPr>
                <w:sz w:val="13"/>
                <w:szCs w:val="13"/>
              </w:rPr>
              <w:t>1</w:t>
            </w:r>
          </w:p>
        </w:tc>
        <w:tc>
          <w:tcPr>
            <w:tcW w:w="347" w:type="dxa"/>
            <w:shd w:val="clear" w:color="auto" w:fill="auto"/>
          </w:tcPr>
          <w:p w14:paraId="74EEF86E"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0EBD7B84"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16382BA1" w14:textId="77777777" w:rsidR="0087601C" w:rsidRPr="006A1EC7" w:rsidRDefault="0087601C" w:rsidP="00D56051">
            <w:pPr>
              <w:rPr>
                <w:sz w:val="13"/>
                <w:szCs w:val="13"/>
              </w:rPr>
            </w:pPr>
            <w:r w:rsidRPr="006A1EC7">
              <w:rPr>
                <w:sz w:val="13"/>
                <w:szCs w:val="13"/>
              </w:rPr>
              <w:t>1</w:t>
            </w:r>
          </w:p>
        </w:tc>
        <w:tc>
          <w:tcPr>
            <w:tcW w:w="347" w:type="dxa"/>
          </w:tcPr>
          <w:p w14:paraId="03EE8D91" w14:textId="77777777" w:rsidR="0087601C" w:rsidRPr="006A1EC7" w:rsidRDefault="0087601C" w:rsidP="00D56051">
            <w:pPr>
              <w:rPr>
                <w:sz w:val="13"/>
                <w:szCs w:val="13"/>
              </w:rPr>
            </w:pPr>
            <w:r w:rsidRPr="006A1EC7">
              <w:rPr>
                <w:sz w:val="13"/>
                <w:szCs w:val="13"/>
              </w:rPr>
              <w:t>1</w:t>
            </w:r>
          </w:p>
        </w:tc>
        <w:tc>
          <w:tcPr>
            <w:tcW w:w="530" w:type="dxa"/>
            <w:shd w:val="clear" w:color="auto" w:fill="auto"/>
          </w:tcPr>
          <w:p w14:paraId="71B9B17D" w14:textId="77777777" w:rsidR="0087601C" w:rsidRPr="006A1EC7" w:rsidRDefault="0087601C" w:rsidP="00D56051">
            <w:pPr>
              <w:rPr>
                <w:sz w:val="13"/>
                <w:szCs w:val="13"/>
              </w:rPr>
            </w:pPr>
            <w:r w:rsidRPr="006A1EC7">
              <w:rPr>
                <w:sz w:val="13"/>
                <w:szCs w:val="13"/>
              </w:rPr>
              <w:t>10/10</w:t>
            </w:r>
          </w:p>
        </w:tc>
        <w:tc>
          <w:tcPr>
            <w:tcW w:w="507" w:type="dxa"/>
            <w:shd w:val="clear" w:color="auto" w:fill="auto"/>
          </w:tcPr>
          <w:p w14:paraId="7BDB02FD" w14:textId="77777777" w:rsidR="0087601C" w:rsidRPr="006A1EC7" w:rsidRDefault="0087601C" w:rsidP="00D56051">
            <w:pPr>
              <w:rPr>
                <w:sz w:val="13"/>
                <w:szCs w:val="13"/>
              </w:rPr>
            </w:pPr>
            <w:r w:rsidRPr="006A1EC7">
              <w:rPr>
                <w:sz w:val="13"/>
                <w:szCs w:val="13"/>
              </w:rPr>
              <w:t>100%</w:t>
            </w:r>
          </w:p>
        </w:tc>
      </w:tr>
      <w:tr w:rsidR="00744A8E" w:rsidRPr="006A1EC7" w14:paraId="1F29468C" w14:textId="77777777" w:rsidTr="00D56051">
        <w:tc>
          <w:tcPr>
            <w:tcW w:w="796" w:type="dxa"/>
          </w:tcPr>
          <w:p w14:paraId="79AC336A" w14:textId="77777777" w:rsidR="0087601C" w:rsidRPr="006A1EC7" w:rsidRDefault="0087601C" w:rsidP="00D56051">
            <w:pPr>
              <w:rPr>
                <w:sz w:val="13"/>
                <w:szCs w:val="13"/>
              </w:rPr>
            </w:pPr>
            <w:r w:rsidRPr="006A1EC7">
              <w:rPr>
                <w:sz w:val="13"/>
                <w:szCs w:val="13"/>
              </w:rPr>
              <w:t>EPY</w:t>
            </w:r>
          </w:p>
        </w:tc>
        <w:tc>
          <w:tcPr>
            <w:tcW w:w="427" w:type="dxa"/>
            <w:shd w:val="clear" w:color="auto" w:fill="FFFF00"/>
          </w:tcPr>
          <w:p w14:paraId="5E3D6F54" w14:textId="77777777" w:rsidR="0087601C" w:rsidRPr="006A1EC7" w:rsidRDefault="0087601C" w:rsidP="00D56051">
            <w:pPr>
              <w:rPr>
                <w:sz w:val="13"/>
                <w:szCs w:val="13"/>
              </w:rPr>
            </w:pPr>
            <w:r w:rsidRPr="006A1EC7">
              <w:rPr>
                <w:sz w:val="13"/>
                <w:szCs w:val="13"/>
              </w:rPr>
              <w:t>1</w:t>
            </w:r>
          </w:p>
        </w:tc>
        <w:tc>
          <w:tcPr>
            <w:tcW w:w="427" w:type="dxa"/>
            <w:shd w:val="clear" w:color="auto" w:fill="FFFF00"/>
          </w:tcPr>
          <w:p w14:paraId="75E4D33D" w14:textId="77777777" w:rsidR="0087601C" w:rsidRPr="006A1EC7" w:rsidRDefault="0087601C" w:rsidP="00D56051">
            <w:pPr>
              <w:rPr>
                <w:sz w:val="13"/>
                <w:szCs w:val="13"/>
              </w:rPr>
            </w:pPr>
            <w:r w:rsidRPr="006A1EC7">
              <w:rPr>
                <w:sz w:val="13"/>
                <w:szCs w:val="13"/>
              </w:rPr>
              <w:t>1</w:t>
            </w:r>
          </w:p>
        </w:tc>
        <w:tc>
          <w:tcPr>
            <w:tcW w:w="390" w:type="dxa"/>
          </w:tcPr>
          <w:p w14:paraId="6688B050"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24E0CF4C"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5F7D4F1B" w14:textId="77777777" w:rsidR="0087601C" w:rsidRPr="006A1EC7" w:rsidRDefault="0087601C" w:rsidP="00D56051">
            <w:pPr>
              <w:rPr>
                <w:sz w:val="13"/>
                <w:szCs w:val="13"/>
              </w:rPr>
            </w:pPr>
            <w:r w:rsidRPr="006A1EC7">
              <w:rPr>
                <w:sz w:val="13"/>
                <w:szCs w:val="13"/>
              </w:rPr>
              <w:t>1</w:t>
            </w:r>
          </w:p>
        </w:tc>
        <w:tc>
          <w:tcPr>
            <w:tcW w:w="380" w:type="dxa"/>
          </w:tcPr>
          <w:p w14:paraId="655096FF"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5FBDACD2" w14:textId="77777777" w:rsidR="0087601C" w:rsidRPr="006A1EC7" w:rsidRDefault="0087601C" w:rsidP="00D56051">
            <w:pPr>
              <w:rPr>
                <w:sz w:val="13"/>
                <w:szCs w:val="13"/>
              </w:rPr>
            </w:pPr>
            <w:r w:rsidRPr="006A1EC7">
              <w:rPr>
                <w:sz w:val="13"/>
                <w:szCs w:val="13"/>
              </w:rPr>
              <w:t>1</w:t>
            </w:r>
          </w:p>
        </w:tc>
        <w:tc>
          <w:tcPr>
            <w:tcW w:w="413" w:type="dxa"/>
            <w:shd w:val="clear" w:color="auto" w:fill="FFFF00"/>
          </w:tcPr>
          <w:p w14:paraId="0A9BDB9E" w14:textId="77777777" w:rsidR="0087601C" w:rsidRPr="006A1EC7" w:rsidRDefault="0087601C" w:rsidP="00D56051">
            <w:pPr>
              <w:rPr>
                <w:sz w:val="13"/>
                <w:szCs w:val="13"/>
              </w:rPr>
            </w:pPr>
            <w:r w:rsidRPr="006A1EC7">
              <w:rPr>
                <w:sz w:val="13"/>
                <w:szCs w:val="13"/>
              </w:rPr>
              <w:t>1</w:t>
            </w:r>
          </w:p>
        </w:tc>
        <w:tc>
          <w:tcPr>
            <w:tcW w:w="352" w:type="dxa"/>
            <w:shd w:val="clear" w:color="auto" w:fill="auto"/>
          </w:tcPr>
          <w:p w14:paraId="18450262"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2A79361B" w14:textId="77777777" w:rsidR="0087601C" w:rsidRPr="006A1EC7" w:rsidRDefault="0087601C" w:rsidP="00D56051">
            <w:pPr>
              <w:rPr>
                <w:sz w:val="13"/>
                <w:szCs w:val="13"/>
              </w:rPr>
            </w:pPr>
            <w:r w:rsidRPr="006A1EC7">
              <w:rPr>
                <w:sz w:val="13"/>
                <w:szCs w:val="13"/>
              </w:rPr>
              <w:t>4</w:t>
            </w:r>
          </w:p>
        </w:tc>
        <w:tc>
          <w:tcPr>
            <w:tcW w:w="428" w:type="dxa"/>
            <w:shd w:val="clear" w:color="auto" w:fill="FFFF00"/>
          </w:tcPr>
          <w:p w14:paraId="071D6EBF" w14:textId="77777777" w:rsidR="0087601C" w:rsidRPr="006A1EC7" w:rsidRDefault="0087601C" w:rsidP="00D56051">
            <w:pPr>
              <w:rPr>
                <w:sz w:val="13"/>
                <w:szCs w:val="13"/>
              </w:rPr>
            </w:pPr>
            <w:r w:rsidRPr="006A1EC7">
              <w:rPr>
                <w:sz w:val="13"/>
                <w:szCs w:val="13"/>
              </w:rPr>
              <w:t>4</w:t>
            </w:r>
          </w:p>
        </w:tc>
        <w:tc>
          <w:tcPr>
            <w:tcW w:w="352" w:type="dxa"/>
          </w:tcPr>
          <w:p w14:paraId="0F2E4D10"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7E4F10B6"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3A411545" w14:textId="77777777" w:rsidR="0087601C" w:rsidRPr="006A1EC7" w:rsidRDefault="0087601C" w:rsidP="00D56051">
            <w:pPr>
              <w:rPr>
                <w:sz w:val="13"/>
                <w:szCs w:val="13"/>
              </w:rPr>
            </w:pPr>
            <w:r w:rsidRPr="006A1EC7">
              <w:rPr>
                <w:sz w:val="13"/>
                <w:szCs w:val="13"/>
              </w:rPr>
              <w:t>1</w:t>
            </w:r>
          </w:p>
        </w:tc>
        <w:tc>
          <w:tcPr>
            <w:tcW w:w="352" w:type="dxa"/>
          </w:tcPr>
          <w:p w14:paraId="6DD9DB58"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59C0B2A8"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5092C241" w14:textId="77777777" w:rsidR="0087601C" w:rsidRPr="006A1EC7" w:rsidRDefault="0087601C" w:rsidP="00D56051">
            <w:pPr>
              <w:rPr>
                <w:sz w:val="13"/>
                <w:szCs w:val="13"/>
              </w:rPr>
            </w:pPr>
            <w:r w:rsidRPr="006A1EC7">
              <w:rPr>
                <w:sz w:val="13"/>
                <w:szCs w:val="13"/>
              </w:rPr>
              <w:t>1</w:t>
            </w:r>
          </w:p>
        </w:tc>
        <w:tc>
          <w:tcPr>
            <w:tcW w:w="352" w:type="dxa"/>
          </w:tcPr>
          <w:p w14:paraId="29330EAF"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26C70599" w14:textId="77777777" w:rsidR="0087601C" w:rsidRPr="006A1EC7" w:rsidRDefault="0087601C" w:rsidP="00D56051">
            <w:pPr>
              <w:rPr>
                <w:sz w:val="13"/>
                <w:szCs w:val="13"/>
              </w:rPr>
            </w:pPr>
            <w:r w:rsidRPr="006A1EC7">
              <w:rPr>
                <w:sz w:val="13"/>
                <w:szCs w:val="13"/>
              </w:rPr>
              <w:t>4</w:t>
            </w:r>
          </w:p>
        </w:tc>
        <w:tc>
          <w:tcPr>
            <w:tcW w:w="429" w:type="dxa"/>
            <w:shd w:val="clear" w:color="auto" w:fill="FFFF00"/>
          </w:tcPr>
          <w:p w14:paraId="3C2E96FF" w14:textId="77777777" w:rsidR="0087601C" w:rsidRPr="006A1EC7" w:rsidRDefault="0087601C" w:rsidP="00D56051">
            <w:pPr>
              <w:rPr>
                <w:sz w:val="13"/>
                <w:szCs w:val="13"/>
              </w:rPr>
            </w:pPr>
            <w:r w:rsidRPr="006A1EC7">
              <w:rPr>
                <w:sz w:val="13"/>
                <w:szCs w:val="13"/>
              </w:rPr>
              <w:t>4</w:t>
            </w:r>
          </w:p>
        </w:tc>
        <w:tc>
          <w:tcPr>
            <w:tcW w:w="347" w:type="dxa"/>
          </w:tcPr>
          <w:p w14:paraId="62639B5D"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224C19C0" w14:textId="77777777" w:rsidR="0087601C" w:rsidRPr="006A1EC7" w:rsidRDefault="0087601C" w:rsidP="00D56051">
            <w:pPr>
              <w:rPr>
                <w:sz w:val="13"/>
                <w:szCs w:val="13"/>
              </w:rPr>
            </w:pPr>
            <w:r w:rsidRPr="006A1EC7">
              <w:rPr>
                <w:sz w:val="13"/>
                <w:szCs w:val="13"/>
              </w:rPr>
              <w:t>2</w:t>
            </w:r>
          </w:p>
        </w:tc>
        <w:tc>
          <w:tcPr>
            <w:tcW w:w="429" w:type="dxa"/>
            <w:shd w:val="clear" w:color="auto" w:fill="FFFF00"/>
          </w:tcPr>
          <w:p w14:paraId="5C84A1DB" w14:textId="77777777" w:rsidR="0087601C" w:rsidRPr="006A1EC7" w:rsidRDefault="0087601C" w:rsidP="00D56051">
            <w:pPr>
              <w:rPr>
                <w:sz w:val="13"/>
                <w:szCs w:val="13"/>
              </w:rPr>
            </w:pPr>
            <w:r w:rsidRPr="006A1EC7">
              <w:rPr>
                <w:sz w:val="13"/>
                <w:szCs w:val="13"/>
              </w:rPr>
              <w:t>1</w:t>
            </w:r>
          </w:p>
        </w:tc>
        <w:tc>
          <w:tcPr>
            <w:tcW w:w="347" w:type="dxa"/>
          </w:tcPr>
          <w:p w14:paraId="674236DB"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723F69C4"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05C967DD" w14:textId="77777777" w:rsidR="0087601C" w:rsidRPr="006A1EC7" w:rsidRDefault="0087601C" w:rsidP="00D56051">
            <w:pPr>
              <w:rPr>
                <w:sz w:val="13"/>
                <w:szCs w:val="13"/>
              </w:rPr>
            </w:pPr>
            <w:r w:rsidRPr="006A1EC7">
              <w:rPr>
                <w:sz w:val="13"/>
                <w:szCs w:val="13"/>
              </w:rPr>
              <w:t>1</w:t>
            </w:r>
          </w:p>
        </w:tc>
        <w:tc>
          <w:tcPr>
            <w:tcW w:w="347" w:type="dxa"/>
            <w:shd w:val="clear" w:color="auto" w:fill="auto"/>
          </w:tcPr>
          <w:p w14:paraId="1AA22CE1"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5AA071ED"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583F8828" w14:textId="77777777" w:rsidR="0087601C" w:rsidRPr="006A1EC7" w:rsidRDefault="0087601C" w:rsidP="00D56051">
            <w:pPr>
              <w:rPr>
                <w:sz w:val="13"/>
                <w:szCs w:val="13"/>
              </w:rPr>
            </w:pPr>
            <w:r w:rsidRPr="006A1EC7">
              <w:rPr>
                <w:sz w:val="13"/>
                <w:szCs w:val="13"/>
              </w:rPr>
              <w:t>1</w:t>
            </w:r>
          </w:p>
        </w:tc>
        <w:tc>
          <w:tcPr>
            <w:tcW w:w="347" w:type="dxa"/>
          </w:tcPr>
          <w:p w14:paraId="1857586D" w14:textId="77777777" w:rsidR="0087601C" w:rsidRPr="006A1EC7" w:rsidRDefault="0087601C" w:rsidP="00D56051">
            <w:pPr>
              <w:rPr>
                <w:sz w:val="13"/>
                <w:szCs w:val="13"/>
              </w:rPr>
            </w:pPr>
            <w:r w:rsidRPr="006A1EC7">
              <w:rPr>
                <w:sz w:val="13"/>
                <w:szCs w:val="13"/>
              </w:rPr>
              <w:t>1</w:t>
            </w:r>
          </w:p>
        </w:tc>
        <w:tc>
          <w:tcPr>
            <w:tcW w:w="530" w:type="dxa"/>
            <w:shd w:val="clear" w:color="auto" w:fill="auto"/>
          </w:tcPr>
          <w:p w14:paraId="69E804AB" w14:textId="77777777" w:rsidR="0087601C" w:rsidRPr="006A1EC7" w:rsidRDefault="0087601C" w:rsidP="00D56051">
            <w:pPr>
              <w:rPr>
                <w:sz w:val="13"/>
                <w:szCs w:val="13"/>
              </w:rPr>
            </w:pPr>
            <w:r w:rsidRPr="006A1EC7">
              <w:rPr>
                <w:sz w:val="13"/>
                <w:szCs w:val="13"/>
              </w:rPr>
              <w:t>10/10</w:t>
            </w:r>
          </w:p>
        </w:tc>
        <w:tc>
          <w:tcPr>
            <w:tcW w:w="507" w:type="dxa"/>
            <w:shd w:val="clear" w:color="auto" w:fill="auto"/>
          </w:tcPr>
          <w:p w14:paraId="0508015F" w14:textId="77777777" w:rsidR="0087601C" w:rsidRPr="006A1EC7" w:rsidRDefault="0087601C" w:rsidP="00D56051">
            <w:pPr>
              <w:rPr>
                <w:sz w:val="13"/>
                <w:szCs w:val="13"/>
              </w:rPr>
            </w:pPr>
            <w:r w:rsidRPr="006A1EC7">
              <w:rPr>
                <w:sz w:val="13"/>
                <w:szCs w:val="13"/>
              </w:rPr>
              <w:t>100%</w:t>
            </w:r>
          </w:p>
        </w:tc>
      </w:tr>
      <w:tr w:rsidR="00744A8E" w:rsidRPr="006A1EC7" w14:paraId="644F828B" w14:textId="77777777" w:rsidTr="00D56051">
        <w:tc>
          <w:tcPr>
            <w:tcW w:w="796" w:type="dxa"/>
          </w:tcPr>
          <w:p w14:paraId="0D8422B5" w14:textId="77777777" w:rsidR="0087601C" w:rsidRPr="006A1EC7" w:rsidRDefault="0087601C" w:rsidP="00D56051">
            <w:pPr>
              <w:rPr>
                <w:sz w:val="13"/>
                <w:szCs w:val="13"/>
              </w:rPr>
            </w:pPr>
            <w:r w:rsidRPr="006A1EC7">
              <w:rPr>
                <w:sz w:val="13"/>
                <w:szCs w:val="13"/>
              </w:rPr>
              <w:t>GST</w:t>
            </w:r>
          </w:p>
        </w:tc>
        <w:tc>
          <w:tcPr>
            <w:tcW w:w="427" w:type="dxa"/>
            <w:shd w:val="clear" w:color="auto" w:fill="FFFF00"/>
          </w:tcPr>
          <w:p w14:paraId="213435EC" w14:textId="77777777" w:rsidR="0087601C" w:rsidRPr="006A1EC7" w:rsidRDefault="0087601C" w:rsidP="00D56051">
            <w:pPr>
              <w:rPr>
                <w:sz w:val="13"/>
                <w:szCs w:val="13"/>
              </w:rPr>
            </w:pPr>
            <w:r w:rsidRPr="006A1EC7">
              <w:rPr>
                <w:sz w:val="13"/>
                <w:szCs w:val="13"/>
              </w:rPr>
              <w:t>8</w:t>
            </w:r>
          </w:p>
        </w:tc>
        <w:tc>
          <w:tcPr>
            <w:tcW w:w="427" w:type="dxa"/>
            <w:shd w:val="clear" w:color="auto" w:fill="FFFF00"/>
          </w:tcPr>
          <w:p w14:paraId="6B05731A" w14:textId="77777777" w:rsidR="0087601C" w:rsidRPr="006A1EC7" w:rsidRDefault="0087601C" w:rsidP="00D56051">
            <w:pPr>
              <w:rPr>
                <w:sz w:val="13"/>
                <w:szCs w:val="13"/>
              </w:rPr>
            </w:pPr>
            <w:r w:rsidRPr="006A1EC7">
              <w:rPr>
                <w:sz w:val="13"/>
                <w:szCs w:val="13"/>
              </w:rPr>
              <w:t>7</w:t>
            </w:r>
          </w:p>
        </w:tc>
        <w:tc>
          <w:tcPr>
            <w:tcW w:w="390" w:type="dxa"/>
          </w:tcPr>
          <w:p w14:paraId="4B1D9A84"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49BD8D59" w14:textId="77777777" w:rsidR="0087601C" w:rsidRPr="006A1EC7" w:rsidRDefault="0087601C" w:rsidP="00D56051">
            <w:pPr>
              <w:rPr>
                <w:sz w:val="13"/>
                <w:szCs w:val="13"/>
              </w:rPr>
            </w:pPr>
            <w:r w:rsidRPr="006A1EC7">
              <w:rPr>
                <w:sz w:val="13"/>
                <w:szCs w:val="13"/>
              </w:rPr>
              <w:t>11</w:t>
            </w:r>
          </w:p>
        </w:tc>
        <w:tc>
          <w:tcPr>
            <w:tcW w:w="428" w:type="dxa"/>
            <w:shd w:val="clear" w:color="auto" w:fill="FFFF00"/>
          </w:tcPr>
          <w:p w14:paraId="07E46F8B" w14:textId="77777777" w:rsidR="0087601C" w:rsidRPr="006A1EC7" w:rsidRDefault="0087601C" w:rsidP="00D56051">
            <w:pPr>
              <w:rPr>
                <w:sz w:val="13"/>
                <w:szCs w:val="13"/>
              </w:rPr>
            </w:pPr>
            <w:r w:rsidRPr="006A1EC7">
              <w:rPr>
                <w:sz w:val="13"/>
                <w:szCs w:val="13"/>
              </w:rPr>
              <w:t>5</w:t>
            </w:r>
          </w:p>
        </w:tc>
        <w:tc>
          <w:tcPr>
            <w:tcW w:w="380" w:type="dxa"/>
          </w:tcPr>
          <w:p w14:paraId="6197E3A9"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1B05C521" w14:textId="77777777" w:rsidR="0087601C" w:rsidRPr="006A1EC7" w:rsidRDefault="0087601C" w:rsidP="00D56051">
            <w:pPr>
              <w:rPr>
                <w:sz w:val="13"/>
                <w:szCs w:val="13"/>
              </w:rPr>
            </w:pPr>
            <w:r w:rsidRPr="006A1EC7">
              <w:rPr>
                <w:sz w:val="13"/>
                <w:szCs w:val="13"/>
              </w:rPr>
              <w:t>7</w:t>
            </w:r>
          </w:p>
        </w:tc>
        <w:tc>
          <w:tcPr>
            <w:tcW w:w="413" w:type="dxa"/>
            <w:shd w:val="clear" w:color="auto" w:fill="FFFF00"/>
          </w:tcPr>
          <w:p w14:paraId="47684AB2" w14:textId="77777777" w:rsidR="0087601C" w:rsidRPr="006A1EC7" w:rsidRDefault="0087601C" w:rsidP="00D56051">
            <w:pPr>
              <w:rPr>
                <w:sz w:val="13"/>
                <w:szCs w:val="13"/>
              </w:rPr>
            </w:pPr>
            <w:r w:rsidRPr="006A1EC7">
              <w:rPr>
                <w:sz w:val="13"/>
                <w:szCs w:val="13"/>
              </w:rPr>
              <w:t>8</w:t>
            </w:r>
          </w:p>
        </w:tc>
        <w:tc>
          <w:tcPr>
            <w:tcW w:w="352" w:type="dxa"/>
            <w:shd w:val="clear" w:color="auto" w:fill="auto"/>
          </w:tcPr>
          <w:p w14:paraId="070661FD"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1AE9D9CA" w14:textId="77777777" w:rsidR="0087601C" w:rsidRPr="006A1EC7" w:rsidRDefault="0087601C" w:rsidP="00D56051">
            <w:pPr>
              <w:rPr>
                <w:sz w:val="13"/>
                <w:szCs w:val="13"/>
              </w:rPr>
            </w:pPr>
            <w:r w:rsidRPr="006A1EC7">
              <w:rPr>
                <w:sz w:val="13"/>
                <w:szCs w:val="13"/>
              </w:rPr>
              <w:t>8</w:t>
            </w:r>
          </w:p>
        </w:tc>
        <w:tc>
          <w:tcPr>
            <w:tcW w:w="428" w:type="dxa"/>
            <w:shd w:val="clear" w:color="auto" w:fill="FFFF00"/>
          </w:tcPr>
          <w:p w14:paraId="1854DAAD" w14:textId="77777777" w:rsidR="0087601C" w:rsidRPr="006A1EC7" w:rsidRDefault="0087601C" w:rsidP="00D56051">
            <w:pPr>
              <w:rPr>
                <w:sz w:val="13"/>
                <w:szCs w:val="13"/>
              </w:rPr>
            </w:pPr>
            <w:r w:rsidRPr="006A1EC7">
              <w:rPr>
                <w:sz w:val="13"/>
                <w:szCs w:val="13"/>
              </w:rPr>
              <w:t>6</w:t>
            </w:r>
          </w:p>
        </w:tc>
        <w:tc>
          <w:tcPr>
            <w:tcW w:w="352" w:type="dxa"/>
          </w:tcPr>
          <w:p w14:paraId="0A55CC7C"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189255EA" w14:textId="77777777" w:rsidR="0087601C" w:rsidRPr="006A1EC7" w:rsidRDefault="0087601C" w:rsidP="00D56051">
            <w:pPr>
              <w:rPr>
                <w:sz w:val="13"/>
                <w:szCs w:val="13"/>
              </w:rPr>
            </w:pPr>
            <w:r w:rsidRPr="006A1EC7">
              <w:rPr>
                <w:sz w:val="13"/>
                <w:szCs w:val="13"/>
              </w:rPr>
              <w:t>8</w:t>
            </w:r>
          </w:p>
        </w:tc>
        <w:tc>
          <w:tcPr>
            <w:tcW w:w="428" w:type="dxa"/>
            <w:shd w:val="clear" w:color="auto" w:fill="FFFF00"/>
          </w:tcPr>
          <w:p w14:paraId="40F6B392" w14:textId="77777777" w:rsidR="0087601C" w:rsidRPr="006A1EC7" w:rsidRDefault="0087601C" w:rsidP="00D56051">
            <w:pPr>
              <w:rPr>
                <w:sz w:val="13"/>
                <w:szCs w:val="13"/>
              </w:rPr>
            </w:pPr>
            <w:r w:rsidRPr="006A1EC7">
              <w:rPr>
                <w:sz w:val="13"/>
                <w:szCs w:val="13"/>
              </w:rPr>
              <w:t>10</w:t>
            </w:r>
          </w:p>
        </w:tc>
        <w:tc>
          <w:tcPr>
            <w:tcW w:w="352" w:type="dxa"/>
          </w:tcPr>
          <w:p w14:paraId="5353BF68"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4EE2CAAD" w14:textId="77777777" w:rsidR="0087601C" w:rsidRPr="006A1EC7" w:rsidRDefault="0087601C" w:rsidP="00D56051">
            <w:pPr>
              <w:rPr>
                <w:sz w:val="13"/>
                <w:szCs w:val="13"/>
              </w:rPr>
            </w:pPr>
            <w:r w:rsidRPr="006A1EC7">
              <w:rPr>
                <w:sz w:val="13"/>
                <w:szCs w:val="13"/>
              </w:rPr>
              <w:t>9</w:t>
            </w:r>
          </w:p>
        </w:tc>
        <w:tc>
          <w:tcPr>
            <w:tcW w:w="428" w:type="dxa"/>
            <w:shd w:val="clear" w:color="auto" w:fill="FFFF00"/>
          </w:tcPr>
          <w:p w14:paraId="6D863D24" w14:textId="77777777" w:rsidR="0087601C" w:rsidRPr="006A1EC7" w:rsidRDefault="0087601C" w:rsidP="00D56051">
            <w:pPr>
              <w:rPr>
                <w:sz w:val="13"/>
                <w:szCs w:val="13"/>
              </w:rPr>
            </w:pPr>
            <w:r w:rsidRPr="006A1EC7">
              <w:rPr>
                <w:sz w:val="13"/>
                <w:szCs w:val="13"/>
              </w:rPr>
              <w:t>8</w:t>
            </w:r>
          </w:p>
        </w:tc>
        <w:tc>
          <w:tcPr>
            <w:tcW w:w="352" w:type="dxa"/>
          </w:tcPr>
          <w:p w14:paraId="51E4764D"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449B5B4A" w14:textId="77777777" w:rsidR="0087601C" w:rsidRPr="006A1EC7" w:rsidRDefault="0087601C" w:rsidP="00D56051">
            <w:pPr>
              <w:rPr>
                <w:sz w:val="13"/>
                <w:szCs w:val="13"/>
              </w:rPr>
            </w:pPr>
            <w:r w:rsidRPr="006A1EC7">
              <w:rPr>
                <w:sz w:val="13"/>
                <w:szCs w:val="13"/>
              </w:rPr>
              <w:t>8</w:t>
            </w:r>
          </w:p>
        </w:tc>
        <w:tc>
          <w:tcPr>
            <w:tcW w:w="429" w:type="dxa"/>
            <w:shd w:val="clear" w:color="auto" w:fill="FFFF00"/>
          </w:tcPr>
          <w:p w14:paraId="1709EE44" w14:textId="77777777" w:rsidR="0087601C" w:rsidRPr="006A1EC7" w:rsidRDefault="0087601C" w:rsidP="00D56051">
            <w:pPr>
              <w:rPr>
                <w:sz w:val="13"/>
                <w:szCs w:val="13"/>
              </w:rPr>
            </w:pPr>
            <w:r w:rsidRPr="006A1EC7">
              <w:rPr>
                <w:sz w:val="13"/>
                <w:szCs w:val="13"/>
              </w:rPr>
              <w:t>7</w:t>
            </w:r>
          </w:p>
        </w:tc>
        <w:tc>
          <w:tcPr>
            <w:tcW w:w="347" w:type="dxa"/>
          </w:tcPr>
          <w:p w14:paraId="73066C02"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586A899A" w14:textId="77777777" w:rsidR="0087601C" w:rsidRPr="006A1EC7" w:rsidRDefault="0087601C" w:rsidP="00D56051">
            <w:pPr>
              <w:rPr>
                <w:sz w:val="13"/>
                <w:szCs w:val="13"/>
              </w:rPr>
            </w:pPr>
            <w:r w:rsidRPr="006A1EC7">
              <w:rPr>
                <w:sz w:val="13"/>
                <w:szCs w:val="13"/>
              </w:rPr>
              <w:t>9</w:t>
            </w:r>
          </w:p>
        </w:tc>
        <w:tc>
          <w:tcPr>
            <w:tcW w:w="429" w:type="dxa"/>
            <w:shd w:val="clear" w:color="auto" w:fill="FFFF00"/>
          </w:tcPr>
          <w:p w14:paraId="0A2DC2F9" w14:textId="77777777" w:rsidR="0087601C" w:rsidRPr="006A1EC7" w:rsidRDefault="0087601C" w:rsidP="00D56051">
            <w:pPr>
              <w:rPr>
                <w:sz w:val="13"/>
                <w:szCs w:val="13"/>
              </w:rPr>
            </w:pPr>
            <w:r w:rsidRPr="006A1EC7">
              <w:rPr>
                <w:sz w:val="13"/>
                <w:szCs w:val="13"/>
              </w:rPr>
              <w:t>10</w:t>
            </w:r>
          </w:p>
        </w:tc>
        <w:tc>
          <w:tcPr>
            <w:tcW w:w="347" w:type="dxa"/>
          </w:tcPr>
          <w:p w14:paraId="189D7EC2"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6D14AA12" w14:textId="77777777" w:rsidR="0087601C" w:rsidRPr="006A1EC7" w:rsidRDefault="0087601C" w:rsidP="00D56051">
            <w:pPr>
              <w:rPr>
                <w:sz w:val="13"/>
                <w:szCs w:val="13"/>
              </w:rPr>
            </w:pPr>
            <w:r w:rsidRPr="006A1EC7">
              <w:rPr>
                <w:sz w:val="13"/>
                <w:szCs w:val="13"/>
              </w:rPr>
              <w:t>10</w:t>
            </w:r>
          </w:p>
        </w:tc>
        <w:tc>
          <w:tcPr>
            <w:tcW w:w="419" w:type="dxa"/>
            <w:shd w:val="clear" w:color="auto" w:fill="FFFF00"/>
          </w:tcPr>
          <w:p w14:paraId="4CCD6D53" w14:textId="77777777" w:rsidR="0087601C" w:rsidRPr="006A1EC7" w:rsidRDefault="0087601C" w:rsidP="00D56051">
            <w:pPr>
              <w:rPr>
                <w:sz w:val="13"/>
                <w:szCs w:val="13"/>
              </w:rPr>
            </w:pPr>
            <w:r w:rsidRPr="006A1EC7">
              <w:rPr>
                <w:sz w:val="13"/>
                <w:szCs w:val="13"/>
              </w:rPr>
              <w:t>8</w:t>
            </w:r>
          </w:p>
        </w:tc>
        <w:tc>
          <w:tcPr>
            <w:tcW w:w="347" w:type="dxa"/>
            <w:shd w:val="clear" w:color="auto" w:fill="auto"/>
          </w:tcPr>
          <w:p w14:paraId="7FE7DB7F" w14:textId="77777777" w:rsidR="0087601C" w:rsidRPr="006A1EC7" w:rsidRDefault="0087601C" w:rsidP="00D56051">
            <w:pPr>
              <w:rPr>
                <w:sz w:val="13"/>
                <w:szCs w:val="13"/>
              </w:rPr>
            </w:pPr>
            <w:r w:rsidRPr="006A1EC7">
              <w:rPr>
                <w:sz w:val="13"/>
                <w:szCs w:val="13"/>
              </w:rPr>
              <w:t>0</w:t>
            </w:r>
          </w:p>
        </w:tc>
        <w:tc>
          <w:tcPr>
            <w:tcW w:w="444" w:type="dxa"/>
            <w:shd w:val="clear" w:color="auto" w:fill="FFFF00"/>
          </w:tcPr>
          <w:p w14:paraId="7CDC88E0" w14:textId="77777777" w:rsidR="0087601C" w:rsidRPr="006A1EC7" w:rsidRDefault="0087601C" w:rsidP="00D56051">
            <w:pPr>
              <w:rPr>
                <w:sz w:val="13"/>
                <w:szCs w:val="13"/>
              </w:rPr>
            </w:pPr>
            <w:r w:rsidRPr="006A1EC7">
              <w:rPr>
                <w:sz w:val="13"/>
                <w:szCs w:val="13"/>
              </w:rPr>
              <w:t>10</w:t>
            </w:r>
          </w:p>
        </w:tc>
        <w:tc>
          <w:tcPr>
            <w:tcW w:w="444" w:type="dxa"/>
            <w:shd w:val="clear" w:color="auto" w:fill="FFFF00"/>
          </w:tcPr>
          <w:p w14:paraId="337BEF63" w14:textId="77777777" w:rsidR="0087601C" w:rsidRPr="006A1EC7" w:rsidRDefault="0087601C" w:rsidP="00D56051">
            <w:pPr>
              <w:rPr>
                <w:sz w:val="13"/>
                <w:szCs w:val="13"/>
              </w:rPr>
            </w:pPr>
            <w:r w:rsidRPr="006A1EC7">
              <w:rPr>
                <w:sz w:val="13"/>
                <w:szCs w:val="13"/>
              </w:rPr>
              <w:t>9</w:t>
            </w:r>
          </w:p>
        </w:tc>
        <w:tc>
          <w:tcPr>
            <w:tcW w:w="347" w:type="dxa"/>
          </w:tcPr>
          <w:p w14:paraId="349B861A" w14:textId="77777777" w:rsidR="0087601C" w:rsidRPr="006A1EC7" w:rsidRDefault="0087601C" w:rsidP="00D56051">
            <w:pPr>
              <w:rPr>
                <w:sz w:val="13"/>
                <w:szCs w:val="13"/>
              </w:rPr>
            </w:pPr>
            <w:r w:rsidRPr="006A1EC7">
              <w:rPr>
                <w:sz w:val="13"/>
                <w:szCs w:val="13"/>
              </w:rPr>
              <w:t>1</w:t>
            </w:r>
          </w:p>
        </w:tc>
        <w:tc>
          <w:tcPr>
            <w:tcW w:w="530" w:type="dxa"/>
            <w:shd w:val="clear" w:color="auto" w:fill="auto"/>
          </w:tcPr>
          <w:p w14:paraId="4D7464D1" w14:textId="77777777" w:rsidR="0087601C" w:rsidRPr="006A1EC7" w:rsidRDefault="0087601C" w:rsidP="00D56051">
            <w:pPr>
              <w:rPr>
                <w:sz w:val="13"/>
                <w:szCs w:val="13"/>
              </w:rPr>
            </w:pPr>
            <w:r w:rsidRPr="006A1EC7">
              <w:rPr>
                <w:sz w:val="13"/>
                <w:szCs w:val="13"/>
              </w:rPr>
              <w:t>6/10</w:t>
            </w:r>
          </w:p>
        </w:tc>
        <w:tc>
          <w:tcPr>
            <w:tcW w:w="507" w:type="dxa"/>
            <w:shd w:val="clear" w:color="auto" w:fill="auto"/>
          </w:tcPr>
          <w:p w14:paraId="054C89CF" w14:textId="77777777" w:rsidR="0087601C" w:rsidRPr="006A1EC7" w:rsidRDefault="0087601C" w:rsidP="00D56051">
            <w:pPr>
              <w:rPr>
                <w:sz w:val="13"/>
                <w:szCs w:val="13"/>
              </w:rPr>
            </w:pPr>
            <w:r w:rsidRPr="006A1EC7">
              <w:rPr>
                <w:sz w:val="13"/>
                <w:szCs w:val="13"/>
              </w:rPr>
              <w:t>60%</w:t>
            </w:r>
          </w:p>
        </w:tc>
      </w:tr>
      <w:tr w:rsidR="00744A8E" w:rsidRPr="006A1EC7" w14:paraId="76CD85E7" w14:textId="77777777" w:rsidTr="00D56051">
        <w:tc>
          <w:tcPr>
            <w:tcW w:w="796" w:type="dxa"/>
          </w:tcPr>
          <w:p w14:paraId="594FFF1D" w14:textId="77777777" w:rsidR="0087601C" w:rsidRPr="006A1EC7" w:rsidRDefault="0087601C" w:rsidP="00D56051">
            <w:pPr>
              <w:rPr>
                <w:sz w:val="13"/>
                <w:szCs w:val="13"/>
              </w:rPr>
            </w:pPr>
            <w:r w:rsidRPr="006A1EC7">
              <w:rPr>
                <w:sz w:val="13"/>
                <w:szCs w:val="13"/>
              </w:rPr>
              <w:t>CRS</w:t>
            </w:r>
          </w:p>
        </w:tc>
        <w:tc>
          <w:tcPr>
            <w:tcW w:w="427" w:type="dxa"/>
            <w:shd w:val="clear" w:color="auto" w:fill="FFFF00"/>
          </w:tcPr>
          <w:p w14:paraId="6CFAD599" w14:textId="77777777" w:rsidR="0087601C" w:rsidRPr="006A1EC7" w:rsidRDefault="0087601C" w:rsidP="00D56051">
            <w:pPr>
              <w:rPr>
                <w:sz w:val="13"/>
                <w:szCs w:val="13"/>
              </w:rPr>
            </w:pPr>
            <w:r w:rsidRPr="006A1EC7">
              <w:rPr>
                <w:sz w:val="13"/>
                <w:szCs w:val="13"/>
              </w:rPr>
              <w:t>3</w:t>
            </w:r>
          </w:p>
        </w:tc>
        <w:tc>
          <w:tcPr>
            <w:tcW w:w="427" w:type="dxa"/>
            <w:shd w:val="clear" w:color="auto" w:fill="FFFF00"/>
          </w:tcPr>
          <w:p w14:paraId="6DE13528" w14:textId="77777777" w:rsidR="0087601C" w:rsidRPr="006A1EC7" w:rsidRDefault="0087601C" w:rsidP="00D56051">
            <w:pPr>
              <w:rPr>
                <w:sz w:val="13"/>
                <w:szCs w:val="13"/>
              </w:rPr>
            </w:pPr>
            <w:r w:rsidRPr="006A1EC7">
              <w:rPr>
                <w:sz w:val="13"/>
                <w:szCs w:val="13"/>
              </w:rPr>
              <w:t>3</w:t>
            </w:r>
          </w:p>
        </w:tc>
        <w:tc>
          <w:tcPr>
            <w:tcW w:w="390" w:type="dxa"/>
          </w:tcPr>
          <w:p w14:paraId="73C132FE"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55CE3707" w14:textId="77777777" w:rsidR="0087601C" w:rsidRPr="006A1EC7" w:rsidRDefault="0087601C" w:rsidP="00D56051">
            <w:pPr>
              <w:rPr>
                <w:sz w:val="13"/>
                <w:szCs w:val="13"/>
              </w:rPr>
            </w:pPr>
            <w:r w:rsidRPr="006A1EC7">
              <w:rPr>
                <w:sz w:val="13"/>
                <w:szCs w:val="13"/>
              </w:rPr>
              <w:t>3</w:t>
            </w:r>
          </w:p>
        </w:tc>
        <w:tc>
          <w:tcPr>
            <w:tcW w:w="428" w:type="dxa"/>
            <w:shd w:val="clear" w:color="auto" w:fill="FFFF00"/>
          </w:tcPr>
          <w:p w14:paraId="6321F204" w14:textId="77777777" w:rsidR="0087601C" w:rsidRPr="006A1EC7" w:rsidRDefault="0087601C" w:rsidP="00D56051">
            <w:pPr>
              <w:rPr>
                <w:sz w:val="13"/>
                <w:szCs w:val="13"/>
              </w:rPr>
            </w:pPr>
            <w:r w:rsidRPr="006A1EC7">
              <w:rPr>
                <w:sz w:val="13"/>
                <w:szCs w:val="13"/>
              </w:rPr>
              <w:t>3</w:t>
            </w:r>
          </w:p>
        </w:tc>
        <w:tc>
          <w:tcPr>
            <w:tcW w:w="380" w:type="dxa"/>
          </w:tcPr>
          <w:p w14:paraId="284E6191"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6201B08B" w14:textId="77777777" w:rsidR="0087601C" w:rsidRPr="006A1EC7" w:rsidRDefault="0087601C" w:rsidP="00D56051">
            <w:pPr>
              <w:rPr>
                <w:sz w:val="13"/>
                <w:szCs w:val="13"/>
              </w:rPr>
            </w:pPr>
            <w:r w:rsidRPr="006A1EC7">
              <w:rPr>
                <w:sz w:val="13"/>
                <w:szCs w:val="13"/>
              </w:rPr>
              <w:t>3</w:t>
            </w:r>
          </w:p>
        </w:tc>
        <w:tc>
          <w:tcPr>
            <w:tcW w:w="413" w:type="dxa"/>
            <w:shd w:val="clear" w:color="auto" w:fill="FFFF00"/>
          </w:tcPr>
          <w:p w14:paraId="75DEBF86" w14:textId="77777777" w:rsidR="0087601C" w:rsidRPr="006A1EC7" w:rsidRDefault="0087601C" w:rsidP="00D56051">
            <w:pPr>
              <w:rPr>
                <w:sz w:val="13"/>
                <w:szCs w:val="13"/>
              </w:rPr>
            </w:pPr>
            <w:r w:rsidRPr="006A1EC7">
              <w:rPr>
                <w:sz w:val="13"/>
                <w:szCs w:val="13"/>
              </w:rPr>
              <w:t>3</w:t>
            </w:r>
          </w:p>
        </w:tc>
        <w:tc>
          <w:tcPr>
            <w:tcW w:w="352" w:type="dxa"/>
            <w:shd w:val="clear" w:color="auto" w:fill="auto"/>
          </w:tcPr>
          <w:p w14:paraId="7D66819F"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60879A09" w14:textId="77777777" w:rsidR="0087601C" w:rsidRPr="006A1EC7" w:rsidRDefault="0087601C" w:rsidP="00D56051">
            <w:pPr>
              <w:rPr>
                <w:sz w:val="13"/>
                <w:szCs w:val="13"/>
              </w:rPr>
            </w:pPr>
            <w:r w:rsidRPr="006A1EC7">
              <w:rPr>
                <w:sz w:val="13"/>
                <w:szCs w:val="13"/>
              </w:rPr>
              <w:t>4</w:t>
            </w:r>
          </w:p>
        </w:tc>
        <w:tc>
          <w:tcPr>
            <w:tcW w:w="428" w:type="dxa"/>
            <w:shd w:val="clear" w:color="auto" w:fill="FFFF00"/>
          </w:tcPr>
          <w:p w14:paraId="4D2D2D0D" w14:textId="77777777" w:rsidR="0087601C" w:rsidRPr="006A1EC7" w:rsidRDefault="0087601C" w:rsidP="00D56051">
            <w:pPr>
              <w:rPr>
                <w:sz w:val="13"/>
                <w:szCs w:val="13"/>
              </w:rPr>
            </w:pPr>
            <w:r w:rsidRPr="006A1EC7">
              <w:rPr>
                <w:sz w:val="13"/>
                <w:szCs w:val="13"/>
              </w:rPr>
              <w:t>3</w:t>
            </w:r>
          </w:p>
        </w:tc>
        <w:tc>
          <w:tcPr>
            <w:tcW w:w="352" w:type="dxa"/>
          </w:tcPr>
          <w:p w14:paraId="59262722"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27B83445" w14:textId="77777777" w:rsidR="0087601C" w:rsidRPr="006A1EC7" w:rsidRDefault="0087601C" w:rsidP="00D56051">
            <w:pPr>
              <w:rPr>
                <w:sz w:val="13"/>
                <w:szCs w:val="13"/>
              </w:rPr>
            </w:pPr>
            <w:r w:rsidRPr="006A1EC7">
              <w:rPr>
                <w:sz w:val="13"/>
                <w:szCs w:val="13"/>
              </w:rPr>
              <w:t>3</w:t>
            </w:r>
          </w:p>
        </w:tc>
        <w:tc>
          <w:tcPr>
            <w:tcW w:w="428" w:type="dxa"/>
            <w:shd w:val="clear" w:color="auto" w:fill="FFFF00"/>
          </w:tcPr>
          <w:p w14:paraId="60BA0AA3" w14:textId="77777777" w:rsidR="0087601C" w:rsidRPr="006A1EC7" w:rsidRDefault="0087601C" w:rsidP="00D56051">
            <w:pPr>
              <w:rPr>
                <w:sz w:val="13"/>
                <w:szCs w:val="13"/>
              </w:rPr>
            </w:pPr>
            <w:r w:rsidRPr="006A1EC7">
              <w:rPr>
                <w:sz w:val="13"/>
                <w:szCs w:val="13"/>
              </w:rPr>
              <w:t>3</w:t>
            </w:r>
          </w:p>
        </w:tc>
        <w:tc>
          <w:tcPr>
            <w:tcW w:w="352" w:type="dxa"/>
          </w:tcPr>
          <w:p w14:paraId="5C370BAB"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46C79402" w14:textId="77777777" w:rsidR="0087601C" w:rsidRPr="006A1EC7" w:rsidRDefault="0087601C" w:rsidP="00D56051">
            <w:pPr>
              <w:rPr>
                <w:sz w:val="13"/>
                <w:szCs w:val="13"/>
              </w:rPr>
            </w:pPr>
            <w:r w:rsidRPr="006A1EC7">
              <w:rPr>
                <w:sz w:val="13"/>
                <w:szCs w:val="13"/>
              </w:rPr>
              <w:t>3</w:t>
            </w:r>
          </w:p>
        </w:tc>
        <w:tc>
          <w:tcPr>
            <w:tcW w:w="428" w:type="dxa"/>
            <w:shd w:val="clear" w:color="auto" w:fill="FFFF00"/>
          </w:tcPr>
          <w:p w14:paraId="7185F85A" w14:textId="77777777" w:rsidR="0087601C" w:rsidRPr="006A1EC7" w:rsidRDefault="0087601C" w:rsidP="00D56051">
            <w:pPr>
              <w:rPr>
                <w:sz w:val="13"/>
                <w:szCs w:val="13"/>
              </w:rPr>
            </w:pPr>
            <w:r w:rsidRPr="006A1EC7">
              <w:rPr>
                <w:sz w:val="13"/>
                <w:szCs w:val="13"/>
              </w:rPr>
              <w:t>3</w:t>
            </w:r>
          </w:p>
        </w:tc>
        <w:tc>
          <w:tcPr>
            <w:tcW w:w="352" w:type="dxa"/>
          </w:tcPr>
          <w:p w14:paraId="3B95768D"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6FF1E1C0" w14:textId="77777777" w:rsidR="0087601C" w:rsidRPr="006A1EC7" w:rsidRDefault="0087601C" w:rsidP="00D56051">
            <w:pPr>
              <w:rPr>
                <w:sz w:val="13"/>
                <w:szCs w:val="13"/>
              </w:rPr>
            </w:pPr>
            <w:r w:rsidRPr="006A1EC7">
              <w:rPr>
                <w:sz w:val="13"/>
                <w:szCs w:val="13"/>
              </w:rPr>
              <w:t>3</w:t>
            </w:r>
          </w:p>
        </w:tc>
        <w:tc>
          <w:tcPr>
            <w:tcW w:w="429" w:type="dxa"/>
            <w:shd w:val="clear" w:color="auto" w:fill="FFFF00"/>
          </w:tcPr>
          <w:p w14:paraId="2D6E7D7C" w14:textId="77777777" w:rsidR="0087601C" w:rsidRPr="006A1EC7" w:rsidRDefault="0087601C" w:rsidP="00D56051">
            <w:pPr>
              <w:rPr>
                <w:sz w:val="13"/>
                <w:szCs w:val="13"/>
              </w:rPr>
            </w:pPr>
            <w:r w:rsidRPr="006A1EC7">
              <w:rPr>
                <w:sz w:val="13"/>
                <w:szCs w:val="13"/>
              </w:rPr>
              <w:t>4</w:t>
            </w:r>
          </w:p>
        </w:tc>
        <w:tc>
          <w:tcPr>
            <w:tcW w:w="347" w:type="dxa"/>
          </w:tcPr>
          <w:p w14:paraId="02D0C5E8"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1E45102D" w14:textId="77777777" w:rsidR="0087601C" w:rsidRPr="006A1EC7" w:rsidRDefault="0087601C" w:rsidP="00D56051">
            <w:pPr>
              <w:rPr>
                <w:sz w:val="13"/>
                <w:szCs w:val="13"/>
              </w:rPr>
            </w:pPr>
            <w:r w:rsidRPr="006A1EC7">
              <w:rPr>
                <w:sz w:val="13"/>
                <w:szCs w:val="13"/>
              </w:rPr>
              <w:t>3</w:t>
            </w:r>
          </w:p>
        </w:tc>
        <w:tc>
          <w:tcPr>
            <w:tcW w:w="429" w:type="dxa"/>
            <w:shd w:val="clear" w:color="auto" w:fill="FFFF00"/>
          </w:tcPr>
          <w:p w14:paraId="5A8A5F59" w14:textId="77777777" w:rsidR="0087601C" w:rsidRPr="006A1EC7" w:rsidRDefault="0087601C" w:rsidP="00D56051">
            <w:pPr>
              <w:rPr>
                <w:sz w:val="13"/>
                <w:szCs w:val="13"/>
              </w:rPr>
            </w:pPr>
            <w:r w:rsidRPr="006A1EC7">
              <w:rPr>
                <w:sz w:val="13"/>
                <w:szCs w:val="13"/>
              </w:rPr>
              <w:t>4</w:t>
            </w:r>
          </w:p>
        </w:tc>
        <w:tc>
          <w:tcPr>
            <w:tcW w:w="347" w:type="dxa"/>
          </w:tcPr>
          <w:p w14:paraId="0978B160"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763973C2" w14:textId="77777777" w:rsidR="0087601C" w:rsidRPr="006A1EC7" w:rsidRDefault="0087601C" w:rsidP="00D56051">
            <w:pPr>
              <w:rPr>
                <w:sz w:val="13"/>
                <w:szCs w:val="13"/>
              </w:rPr>
            </w:pPr>
            <w:r w:rsidRPr="006A1EC7">
              <w:rPr>
                <w:sz w:val="13"/>
                <w:szCs w:val="13"/>
              </w:rPr>
              <w:t>3</w:t>
            </w:r>
          </w:p>
        </w:tc>
        <w:tc>
          <w:tcPr>
            <w:tcW w:w="419" w:type="dxa"/>
            <w:shd w:val="clear" w:color="auto" w:fill="FFFF00"/>
          </w:tcPr>
          <w:p w14:paraId="151AC90C" w14:textId="77777777" w:rsidR="0087601C" w:rsidRPr="006A1EC7" w:rsidRDefault="0087601C" w:rsidP="00D56051">
            <w:pPr>
              <w:rPr>
                <w:sz w:val="13"/>
                <w:szCs w:val="13"/>
              </w:rPr>
            </w:pPr>
            <w:r w:rsidRPr="006A1EC7">
              <w:rPr>
                <w:sz w:val="13"/>
                <w:szCs w:val="13"/>
              </w:rPr>
              <w:t>3</w:t>
            </w:r>
          </w:p>
        </w:tc>
        <w:tc>
          <w:tcPr>
            <w:tcW w:w="347" w:type="dxa"/>
            <w:shd w:val="clear" w:color="auto" w:fill="auto"/>
          </w:tcPr>
          <w:p w14:paraId="3F9F96AB"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6863F8A2" w14:textId="77777777" w:rsidR="0087601C" w:rsidRPr="006A1EC7" w:rsidRDefault="0087601C" w:rsidP="00D56051">
            <w:pPr>
              <w:rPr>
                <w:sz w:val="13"/>
                <w:szCs w:val="13"/>
              </w:rPr>
            </w:pPr>
            <w:r w:rsidRPr="006A1EC7">
              <w:rPr>
                <w:sz w:val="13"/>
                <w:szCs w:val="13"/>
              </w:rPr>
              <w:t>3</w:t>
            </w:r>
          </w:p>
        </w:tc>
        <w:tc>
          <w:tcPr>
            <w:tcW w:w="444" w:type="dxa"/>
            <w:shd w:val="clear" w:color="auto" w:fill="FFFF00"/>
          </w:tcPr>
          <w:p w14:paraId="5E4648E0" w14:textId="77777777" w:rsidR="0087601C" w:rsidRPr="006A1EC7" w:rsidRDefault="0087601C" w:rsidP="00D56051">
            <w:pPr>
              <w:rPr>
                <w:sz w:val="13"/>
                <w:szCs w:val="13"/>
              </w:rPr>
            </w:pPr>
            <w:r w:rsidRPr="006A1EC7">
              <w:rPr>
                <w:sz w:val="13"/>
                <w:szCs w:val="13"/>
              </w:rPr>
              <w:t>3</w:t>
            </w:r>
          </w:p>
        </w:tc>
        <w:tc>
          <w:tcPr>
            <w:tcW w:w="347" w:type="dxa"/>
          </w:tcPr>
          <w:p w14:paraId="4966940A" w14:textId="77777777" w:rsidR="0087601C" w:rsidRPr="006A1EC7" w:rsidRDefault="0087601C" w:rsidP="00D56051">
            <w:pPr>
              <w:rPr>
                <w:sz w:val="13"/>
                <w:szCs w:val="13"/>
              </w:rPr>
            </w:pPr>
            <w:r w:rsidRPr="006A1EC7">
              <w:rPr>
                <w:sz w:val="13"/>
                <w:szCs w:val="13"/>
              </w:rPr>
              <w:t>1</w:t>
            </w:r>
          </w:p>
        </w:tc>
        <w:tc>
          <w:tcPr>
            <w:tcW w:w="530" w:type="dxa"/>
            <w:shd w:val="clear" w:color="auto" w:fill="auto"/>
          </w:tcPr>
          <w:p w14:paraId="7F4A153A" w14:textId="77777777" w:rsidR="0087601C" w:rsidRPr="006A1EC7" w:rsidRDefault="0087601C" w:rsidP="00D56051">
            <w:pPr>
              <w:rPr>
                <w:sz w:val="13"/>
                <w:szCs w:val="13"/>
              </w:rPr>
            </w:pPr>
            <w:r w:rsidRPr="006A1EC7">
              <w:rPr>
                <w:sz w:val="13"/>
                <w:szCs w:val="13"/>
              </w:rPr>
              <w:t>10/10</w:t>
            </w:r>
          </w:p>
        </w:tc>
        <w:tc>
          <w:tcPr>
            <w:tcW w:w="507" w:type="dxa"/>
            <w:shd w:val="clear" w:color="auto" w:fill="auto"/>
          </w:tcPr>
          <w:p w14:paraId="581D4ADB" w14:textId="77777777" w:rsidR="0087601C" w:rsidRPr="006A1EC7" w:rsidRDefault="0087601C" w:rsidP="00D56051">
            <w:pPr>
              <w:rPr>
                <w:sz w:val="13"/>
                <w:szCs w:val="13"/>
              </w:rPr>
            </w:pPr>
            <w:r w:rsidRPr="006A1EC7">
              <w:rPr>
                <w:sz w:val="13"/>
                <w:szCs w:val="13"/>
              </w:rPr>
              <w:t>100%</w:t>
            </w:r>
          </w:p>
        </w:tc>
      </w:tr>
      <w:tr w:rsidR="00744A8E" w:rsidRPr="006A1EC7" w14:paraId="05AB581D" w14:textId="77777777" w:rsidTr="00D56051">
        <w:tc>
          <w:tcPr>
            <w:tcW w:w="796" w:type="dxa"/>
          </w:tcPr>
          <w:p w14:paraId="4596E0A9" w14:textId="77777777" w:rsidR="0087601C" w:rsidRPr="006A1EC7" w:rsidRDefault="0087601C" w:rsidP="00D56051">
            <w:pPr>
              <w:rPr>
                <w:sz w:val="13"/>
                <w:szCs w:val="13"/>
              </w:rPr>
            </w:pPr>
            <w:r w:rsidRPr="006A1EC7">
              <w:rPr>
                <w:sz w:val="13"/>
                <w:szCs w:val="13"/>
              </w:rPr>
              <w:t>CNS</w:t>
            </w:r>
          </w:p>
        </w:tc>
        <w:tc>
          <w:tcPr>
            <w:tcW w:w="427" w:type="dxa"/>
            <w:shd w:val="clear" w:color="auto" w:fill="FFFF00"/>
          </w:tcPr>
          <w:p w14:paraId="4835830B" w14:textId="77777777" w:rsidR="0087601C" w:rsidRPr="006A1EC7" w:rsidRDefault="0087601C" w:rsidP="00D56051">
            <w:pPr>
              <w:rPr>
                <w:sz w:val="13"/>
                <w:szCs w:val="13"/>
              </w:rPr>
            </w:pPr>
            <w:r w:rsidRPr="006A1EC7">
              <w:rPr>
                <w:sz w:val="13"/>
                <w:szCs w:val="13"/>
              </w:rPr>
              <w:t>1</w:t>
            </w:r>
          </w:p>
        </w:tc>
        <w:tc>
          <w:tcPr>
            <w:tcW w:w="427" w:type="dxa"/>
            <w:shd w:val="clear" w:color="auto" w:fill="FFFF00"/>
          </w:tcPr>
          <w:p w14:paraId="47F11A0F" w14:textId="77777777" w:rsidR="0087601C" w:rsidRPr="006A1EC7" w:rsidRDefault="0087601C" w:rsidP="00D56051">
            <w:pPr>
              <w:rPr>
                <w:sz w:val="13"/>
                <w:szCs w:val="13"/>
              </w:rPr>
            </w:pPr>
            <w:r w:rsidRPr="006A1EC7">
              <w:rPr>
                <w:sz w:val="13"/>
                <w:szCs w:val="13"/>
              </w:rPr>
              <w:t>1</w:t>
            </w:r>
          </w:p>
        </w:tc>
        <w:tc>
          <w:tcPr>
            <w:tcW w:w="390" w:type="dxa"/>
          </w:tcPr>
          <w:p w14:paraId="07817BDB"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0D794233"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7FED567F" w14:textId="77777777" w:rsidR="0087601C" w:rsidRPr="006A1EC7" w:rsidRDefault="0087601C" w:rsidP="00D56051">
            <w:pPr>
              <w:rPr>
                <w:sz w:val="13"/>
                <w:szCs w:val="13"/>
              </w:rPr>
            </w:pPr>
            <w:r w:rsidRPr="006A1EC7">
              <w:rPr>
                <w:sz w:val="13"/>
                <w:szCs w:val="13"/>
              </w:rPr>
              <w:t>0</w:t>
            </w:r>
          </w:p>
        </w:tc>
        <w:tc>
          <w:tcPr>
            <w:tcW w:w="380" w:type="dxa"/>
          </w:tcPr>
          <w:p w14:paraId="4F1C3A46"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08F47E41" w14:textId="77777777" w:rsidR="0087601C" w:rsidRPr="006A1EC7" w:rsidRDefault="0087601C" w:rsidP="00D56051">
            <w:pPr>
              <w:rPr>
                <w:sz w:val="13"/>
                <w:szCs w:val="13"/>
              </w:rPr>
            </w:pPr>
            <w:r w:rsidRPr="006A1EC7">
              <w:rPr>
                <w:sz w:val="13"/>
                <w:szCs w:val="13"/>
              </w:rPr>
              <w:t>1</w:t>
            </w:r>
          </w:p>
        </w:tc>
        <w:tc>
          <w:tcPr>
            <w:tcW w:w="413" w:type="dxa"/>
            <w:shd w:val="clear" w:color="auto" w:fill="FFFF00"/>
          </w:tcPr>
          <w:p w14:paraId="269C2987" w14:textId="77777777" w:rsidR="0087601C" w:rsidRPr="006A1EC7" w:rsidRDefault="0087601C" w:rsidP="00D56051">
            <w:pPr>
              <w:rPr>
                <w:sz w:val="13"/>
                <w:szCs w:val="13"/>
              </w:rPr>
            </w:pPr>
            <w:r w:rsidRPr="006A1EC7">
              <w:rPr>
                <w:sz w:val="13"/>
                <w:szCs w:val="13"/>
              </w:rPr>
              <w:t>1</w:t>
            </w:r>
          </w:p>
        </w:tc>
        <w:tc>
          <w:tcPr>
            <w:tcW w:w="352" w:type="dxa"/>
            <w:shd w:val="clear" w:color="auto" w:fill="auto"/>
          </w:tcPr>
          <w:p w14:paraId="4FF1F66F"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1087EABA"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49449259" w14:textId="77777777" w:rsidR="0087601C" w:rsidRPr="006A1EC7" w:rsidRDefault="0087601C" w:rsidP="00D56051">
            <w:pPr>
              <w:rPr>
                <w:sz w:val="13"/>
                <w:szCs w:val="13"/>
              </w:rPr>
            </w:pPr>
            <w:r w:rsidRPr="006A1EC7">
              <w:rPr>
                <w:sz w:val="13"/>
                <w:szCs w:val="13"/>
              </w:rPr>
              <w:t>0</w:t>
            </w:r>
          </w:p>
        </w:tc>
        <w:tc>
          <w:tcPr>
            <w:tcW w:w="352" w:type="dxa"/>
          </w:tcPr>
          <w:p w14:paraId="66AF43AF"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6CC48B3B" w14:textId="77777777" w:rsidR="0087601C" w:rsidRPr="006A1EC7" w:rsidRDefault="0087601C" w:rsidP="00D56051">
            <w:pPr>
              <w:rPr>
                <w:sz w:val="13"/>
                <w:szCs w:val="13"/>
              </w:rPr>
            </w:pPr>
            <w:r w:rsidRPr="006A1EC7">
              <w:rPr>
                <w:sz w:val="13"/>
                <w:szCs w:val="13"/>
              </w:rPr>
              <w:t>3</w:t>
            </w:r>
          </w:p>
        </w:tc>
        <w:tc>
          <w:tcPr>
            <w:tcW w:w="428" w:type="dxa"/>
            <w:shd w:val="clear" w:color="auto" w:fill="FFFF00"/>
          </w:tcPr>
          <w:p w14:paraId="4B1E3D89" w14:textId="77777777" w:rsidR="0087601C" w:rsidRPr="006A1EC7" w:rsidRDefault="0087601C" w:rsidP="00D56051">
            <w:pPr>
              <w:rPr>
                <w:sz w:val="13"/>
                <w:szCs w:val="13"/>
              </w:rPr>
            </w:pPr>
            <w:r w:rsidRPr="006A1EC7">
              <w:rPr>
                <w:sz w:val="13"/>
                <w:szCs w:val="13"/>
              </w:rPr>
              <w:t>1</w:t>
            </w:r>
          </w:p>
        </w:tc>
        <w:tc>
          <w:tcPr>
            <w:tcW w:w="352" w:type="dxa"/>
          </w:tcPr>
          <w:p w14:paraId="622B8836"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3B15587C"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3CF050DC" w14:textId="77777777" w:rsidR="0087601C" w:rsidRPr="006A1EC7" w:rsidRDefault="0087601C" w:rsidP="00D56051">
            <w:pPr>
              <w:rPr>
                <w:sz w:val="13"/>
                <w:szCs w:val="13"/>
              </w:rPr>
            </w:pPr>
            <w:r w:rsidRPr="006A1EC7">
              <w:rPr>
                <w:sz w:val="13"/>
                <w:szCs w:val="13"/>
              </w:rPr>
              <w:t>1</w:t>
            </w:r>
          </w:p>
        </w:tc>
        <w:tc>
          <w:tcPr>
            <w:tcW w:w="352" w:type="dxa"/>
          </w:tcPr>
          <w:p w14:paraId="6A5ACA28"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380A5040" w14:textId="77777777" w:rsidR="0087601C" w:rsidRPr="006A1EC7" w:rsidRDefault="0087601C" w:rsidP="00D56051">
            <w:pPr>
              <w:rPr>
                <w:sz w:val="13"/>
                <w:szCs w:val="13"/>
              </w:rPr>
            </w:pPr>
            <w:r w:rsidRPr="006A1EC7">
              <w:rPr>
                <w:sz w:val="13"/>
                <w:szCs w:val="13"/>
              </w:rPr>
              <w:t>0</w:t>
            </w:r>
          </w:p>
        </w:tc>
        <w:tc>
          <w:tcPr>
            <w:tcW w:w="429" w:type="dxa"/>
            <w:shd w:val="clear" w:color="auto" w:fill="FFFF00"/>
          </w:tcPr>
          <w:p w14:paraId="7EB57A6B" w14:textId="77777777" w:rsidR="0087601C" w:rsidRPr="006A1EC7" w:rsidRDefault="0087601C" w:rsidP="00D56051">
            <w:pPr>
              <w:rPr>
                <w:sz w:val="13"/>
                <w:szCs w:val="13"/>
              </w:rPr>
            </w:pPr>
            <w:r w:rsidRPr="006A1EC7">
              <w:rPr>
                <w:sz w:val="13"/>
                <w:szCs w:val="13"/>
              </w:rPr>
              <w:t>0</w:t>
            </w:r>
          </w:p>
        </w:tc>
        <w:tc>
          <w:tcPr>
            <w:tcW w:w="347" w:type="dxa"/>
          </w:tcPr>
          <w:p w14:paraId="13264C8A"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3F5312BD"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7102B6DF" w14:textId="77777777" w:rsidR="0087601C" w:rsidRPr="006A1EC7" w:rsidRDefault="0087601C" w:rsidP="00D56051">
            <w:pPr>
              <w:rPr>
                <w:sz w:val="13"/>
                <w:szCs w:val="13"/>
              </w:rPr>
            </w:pPr>
            <w:r w:rsidRPr="006A1EC7">
              <w:rPr>
                <w:sz w:val="13"/>
                <w:szCs w:val="13"/>
              </w:rPr>
              <w:t>0</w:t>
            </w:r>
          </w:p>
        </w:tc>
        <w:tc>
          <w:tcPr>
            <w:tcW w:w="347" w:type="dxa"/>
          </w:tcPr>
          <w:p w14:paraId="102E7D87"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629268E6"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25CF3CFD" w14:textId="77777777" w:rsidR="0087601C" w:rsidRPr="006A1EC7" w:rsidRDefault="0087601C" w:rsidP="00D56051">
            <w:pPr>
              <w:rPr>
                <w:sz w:val="13"/>
                <w:szCs w:val="13"/>
              </w:rPr>
            </w:pPr>
            <w:r w:rsidRPr="006A1EC7">
              <w:rPr>
                <w:sz w:val="13"/>
                <w:szCs w:val="13"/>
              </w:rPr>
              <w:t>0</w:t>
            </w:r>
          </w:p>
        </w:tc>
        <w:tc>
          <w:tcPr>
            <w:tcW w:w="347" w:type="dxa"/>
            <w:shd w:val="clear" w:color="auto" w:fill="auto"/>
          </w:tcPr>
          <w:p w14:paraId="1A636BF0"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7330883D"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27E772E3" w14:textId="77777777" w:rsidR="0087601C" w:rsidRPr="006A1EC7" w:rsidRDefault="0087601C" w:rsidP="00D56051">
            <w:pPr>
              <w:rPr>
                <w:sz w:val="13"/>
                <w:szCs w:val="13"/>
              </w:rPr>
            </w:pPr>
            <w:r w:rsidRPr="006A1EC7">
              <w:rPr>
                <w:sz w:val="13"/>
                <w:szCs w:val="13"/>
              </w:rPr>
              <w:t>0</w:t>
            </w:r>
          </w:p>
        </w:tc>
        <w:tc>
          <w:tcPr>
            <w:tcW w:w="347" w:type="dxa"/>
          </w:tcPr>
          <w:p w14:paraId="752F4980" w14:textId="77777777" w:rsidR="0087601C" w:rsidRPr="006A1EC7" w:rsidRDefault="0087601C" w:rsidP="00D56051">
            <w:pPr>
              <w:rPr>
                <w:sz w:val="13"/>
                <w:szCs w:val="13"/>
              </w:rPr>
            </w:pPr>
            <w:r w:rsidRPr="006A1EC7">
              <w:rPr>
                <w:sz w:val="13"/>
                <w:szCs w:val="13"/>
              </w:rPr>
              <w:t>1</w:t>
            </w:r>
          </w:p>
        </w:tc>
        <w:tc>
          <w:tcPr>
            <w:tcW w:w="530" w:type="dxa"/>
            <w:shd w:val="clear" w:color="auto" w:fill="auto"/>
          </w:tcPr>
          <w:p w14:paraId="3223A7F1" w14:textId="77777777" w:rsidR="0087601C" w:rsidRPr="006A1EC7" w:rsidRDefault="0087601C" w:rsidP="00D56051">
            <w:pPr>
              <w:rPr>
                <w:sz w:val="13"/>
                <w:szCs w:val="13"/>
              </w:rPr>
            </w:pPr>
            <w:r w:rsidRPr="006A1EC7">
              <w:rPr>
                <w:sz w:val="13"/>
                <w:szCs w:val="13"/>
              </w:rPr>
              <w:t>9/10</w:t>
            </w:r>
          </w:p>
        </w:tc>
        <w:tc>
          <w:tcPr>
            <w:tcW w:w="507" w:type="dxa"/>
            <w:shd w:val="clear" w:color="auto" w:fill="auto"/>
          </w:tcPr>
          <w:p w14:paraId="1CEE8685" w14:textId="77777777" w:rsidR="0087601C" w:rsidRPr="006A1EC7" w:rsidRDefault="0087601C" w:rsidP="00D56051">
            <w:pPr>
              <w:rPr>
                <w:sz w:val="13"/>
                <w:szCs w:val="13"/>
              </w:rPr>
            </w:pPr>
            <w:r w:rsidRPr="006A1EC7">
              <w:rPr>
                <w:sz w:val="13"/>
                <w:szCs w:val="13"/>
              </w:rPr>
              <w:t>90%</w:t>
            </w:r>
          </w:p>
        </w:tc>
      </w:tr>
      <w:tr w:rsidR="00744A8E" w:rsidRPr="006A1EC7" w14:paraId="332333D8" w14:textId="77777777" w:rsidTr="00D56051">
        <w:tc>
          <w:tcPr>
            <w:tcW w:w="796" w:type="dxa"/>
          </w:tcPr>
          <w:p w14:paraId="19600211" w14:textId="77777777" w:rsidR="0087601C" w:rsidRPr="006A1EC7" w:rsidRDefault="0087601C" w:rsidP="00D56051">
            <w:pPr>
              <w:rPr>
                <w:sz w:val="13"/>
                <w:szCs w:val="13"/>
              </w:rPr>
            </w:pPr>
            <w:r w:rsidRPr="006A1EC7">
              <w:rPr>
                <w:sz w:val="13"/>
                <w:szCs w:val="13"/>
              </w:rPr>
              <w:t>FUC</w:t>
            </w:r>
          </w:p>
        </w:tc>
        <w:tc>
          <w:tcPr>
            <w:tcW w:w="427" w:type="dxa"/>
            <w:shd w:val="clear" w:color="auto" w:fill="FFFF00"/>
          </w:tcPr>
          <w:p w14:paraId="133BFC21" w14:textId="77777777" w:rsidR="0087601C" w:rsidRPr="006A1EC7" w:rsidRDefault="0087601C" w:rsidP="00D56051">
            <w:pPr>
              <w:rPr>
                <w:sz w:val="13"/>
                <w:szCs w:val="13"/>
              </w:rPr>
            </w:pPr>
            <w:r w:rsidRPr="006A1EC7">
              <w:rPr>
                <w:sz w:val="13"/>
                <w:szCs w:val="13"/>
              </w:rPr>
              <w:t>2</w:t>
            </w:r>
          </w:p>
        </w:tc>
        <w:tc>
          <w:tcPr>
            <w:tcW w:w="427" w:type="dxa"/>
            <w:shd w:val="clear" w:color="auto" w:fill="FFFF00"/>
          </w:tcPr>
          <w:p w14:paraId="7F442912" w14:textId="77777777" w:rsidR="0087601C" w:rsidRPr="006A1EC7" w:rsidRDefault="0087601C" w:rsidP="00D56051">
            <w:pPr>
              <w:rPr>
                <w:sz w:val="13"/>
                <w:szCs w:val="13"/>
              </w:rPr>
            </w:pPr>
            <w:r w:rsidRPr="006A1EC7">
              <w:rPr>
                <w:sz w:val="13"/>
                <w:szCs w:val="13"/>
              </w:rPr>
              <w:t>3</w:t>
            </w:r>
          </w:p>
        </w:tc>
        <w:tc>
          <w:tcPr>
            <w:tcW w:w="390" w:type="dxa"/>
          </w:tcPr>
          <w:p w14:paraId="74E88262"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16DEEAB5" w14:textId="77777777" w:rsidR="0087601C" w:rsidRPr="006A1EC7" w:rsidRDefault="0087601C" w:rsidP="00D56051">
            <w:pPr>
              <w:rPr>
                <w:sz w:val="13"/>
                <w:szCs w:val="13"/>
              </w:rPr>
            </w:pPr>
            <w:r w:rsidRPr="006A1EC7">
              <w:rPr>
                <w:sz w:val="13"/>
                <w:szCs w:val="13"/>
              </w:rPr>
              <w:t>4</w:t>
            </w:r>
          </w:p>
        </w:tc>
        <w:tc>
          <w:tcPr>
            <w:tcW w:w="428" w:type="dxa"/>
            <w:shd w:val="clear" w:color="auto" w:fill="FFFF00"/>
          </w:tcPr>
          <w:p w14:paraId="00DED409" w14:textId="77777777" w:rsidR="0087601C" w:rsidRPr="006A1EC7" w:rsidRDefault="0087601C" w:rsidP="00D56051">
            <w:pPr>
              <w:rPr>
                <w:sz w:val="13"/>
                <w:szCs w:val="13"/>
              </w:rPr>
            </w:pPr>
            <w:r w:rsidRPr="006A1EC7">
              <w:rPr>
                <w:sz w:val="13"/>
                <w:szCs w:val="13"/>
              </w:rPr>
              <w:t>3</w:t>
            </w:r>
          </w:p>
        </w:tc>
        <w:tc>
          <w:tcPr>
            <w:tcW w:w="380" w:type="dxa"/>
          </w:tcPr>
          <w:p w14:paraId="7F790C2C"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61D4E8F2" w14:textId="77777777" w:rsidR="0087601C" w:rsidRPr="006A1EC7" w:rsidRDefault="0087601C" w:rsidP="00D56051">
            <w:pPr>
              <w:rPr>
                <w:sz w:val="13"/>
                <w:szCs w:val="13"/>
              </w:rPr>
            </w:pPr>
            <w:r w:rsidRPr="006A1EC7">
              <w:rPr>
                <w:sz w:val="13"/>
                <w:szCs w:val="13"/>
              </w:rPr>
              <w:t>4</w:t>
            </w:r>
          </w:p>
        </w:tc>
        <w:tc>
          <w:tcPr>
            <w:tcW w:w="413" w:type="dxa"/>
            <w:shd w:val="clear" w:color="auto" w:fill="FFFF00"/>
          </w:tcPr>
          <w:p w14:paraId="3FF9861F" w14:textId="77777777" w:rsidR="0087601C" w:rsidRPr="006A1EC7" w:rsidRDefault="0087601C" w:rsidP="00D56051">
            <w:pPr>
              <w:rPr>
                <w:sz w:val="13"/>
                <w:szCs w:val="13"/>
              </w:rPr>
            </w:pPr>
            <w:r w:rsidRPr="006A1EC7">
              <w:rPr>
                <w:sz w:val="13"/>
                <w:szCs w:val="13"/>
              </w:rPr>
              <w:t>3</w:t>
            </w:r>
          </w:p>
        </w:tc>
        <w:tc>
          <w:tcPr>
            <w:tcW w:w="352" w:type="dxa"/>
            <w:shd w:val="clear" w:color="auto" w:fill="auto"/>
          </w:tcPr>
          <w:p w14:paraId="629B36EA"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77969F2C" w14:textId="77777777" w:rsidR="0087601C" w:rsidRPr="006A1EC7" w:rsidRDefault="0087601C" w:rsidP="00D56051">
            <w:pPr>
              <w:rPr>
                <w:sz w:val="13"/>
                <w:szCs w:val="13"/>
              </w:rPr>
            </w:pPr>
            <w:r w:rsidRPr="006A1EC7">
              <w:rPr>
                <w:sz w:val="13"/>
                <w:szCs w:val="13"/>
              </w:rPr>
              <w:t>5</w:t>
            </w:r>
          </w:p>
        </w:tc>
        <w:tc>
          <w:tcPr>
            <w:tcW w:w="428" w:type="dxa"/>
            <w:shd w:val="clear" w:color="auto" w:fill="FFFF00"/>
          </w:tcPr>
          <w:p w14:paraId="686557F6" w14:textId="77777777" w:rsidR="0087601C" w:rsidRPr="006A1EC7" w:rsidRDefault="0087601C" w:rsidP="00D56051">
            <w:pPr>
              <w:rPr>
                <w:sz w:val="13"/>
                <w:szCs w:val="13"/>
              </w:rPr>
            </w:pPr>
            <w:r w:rsidRPr="006A1EC7">
              <w:rPr>
                <w:sz w:val="13"/>
                <w:szCs w:val="13"/>
              </w:rPr>
              <w:t>4</w:t>
            </w:r>
          </w:p>
        </w:tc>
        <w:tc>
          <w:tcPr>
            <w:tcW w:w="352" w:type="dxa"/>
          </w:tcPr>
          <w:p w14:paraId="12EC77AC"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14B7CC44" w14:textId="77777777" w:rsidR="0087601C" w:rsidRPr="006A1EC7" w:rsidRDefault="0087601C" w:rsidP="00D56051">
            <w:pPr>
              <w:rPr>
                <w:sz w:val="13"/>
                <w:szCs w:val="13"/>
              </w:rPr>
            </w:pPr>
            <w:r w:rsidRPr="006A1EC7">
              <w:rPr>
                <w:sz w:val="13"/>
                <w:szCs w:val="13"/>
              </w:rPr>
              <w:t>3</w:t>
            </w:r>
          </w:p>
        </w:tc>
        <w:tc>
          <w:tcPr>
            <w:tcW w:w="428" w:type="dxa"/>
            <w:shd w:val="clear" w:color="auto" w:fill="FFFF00"/>
          </w:tcPr>
          <w:p w14:paraId="6A240AD1" w14:textId="77777777" w:rsidR="0087601C" w:rsidRPr="006A1EC7" w:rsidRDefault="0087601C" w:rsidP="00D56051">
            <w:pPr>
              <w:rPr>
                <w:sz w:val="13"/>
                <w:szCs w:val="13"/>
              </w:rPr>
            </w:pPr>
            <w:r w:rsidRPr="006A1EC7">
              <w:rPr>
                <w:sz w:val="13"/>
                <w:szCs w:val="13"/>
              </w:rPr>
              <w:t>4</w:t>
            </w:r>
          </w:p>
        </w:tc>
        <w:tc>
          <w:tcPr>
            <w:tcW w:w="352" w:type="dxa"/>
          </w:tcPr>
          <w:p w14:paraId="03BFE406"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739B6376" w14:textId="77777777" w:rsidR="0087601C" w:rsidRPr="006A1EC7" w:rsidRDefault="0087601C" w:rsidP="00D56051">
            <w:pPr>
              <w:rPr>
                <w:sz w:val="13"/>
                <w:szCs w:val="13"/>
              </w:rPr>
            </w:pPr>
            <w:r w:rsidRPr="006A1EC7">
              <w:rPr>
                <w:sz w:val="13"/>
                <w:szCs w:val="13"/>
              </w:rPr>
              <w:t>3</w:t>
            </w:r>
          </w:p>
        </w:tc>
        <w:tc>
          <w:tcPr>
            <w:tcW w:w="428" w:type="dxa"/>
            <w:shd w:val="clear" w:color="auto" w:fill="FFFF00"/>
          </w:tcPr>
          <w:p w14:paraId="2B43A94B" w14:textId="77777777" w:rsidR="0087601C" w:rsidRPr="006A1EC7" w:rsidRDefault="0087601C" w:rsidP="00D56051">
            <w:pPr>
              <w:rPr>
                <w:sz w:val="13"/>
                <w:szCs w:val="13"/>
              </w:rPr>
            </w:pPr>
            <w:r w:rsidRPr="006A1EC7">
              <w:rPr>
                <w:sz w:val="13"/>
                <w:szCs w:val="13"/>
              </w:rPr>
              <w:t>2</w:t>
            </w:r>
          </w:p>
        </w:tc>
        <w:tc>
          <w:tcPr>
            <w:tcW w:w="352" w:type="dxa"/>
          </w:tcPr>
          <w:p w14:paraId="5DC26CCC"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06D4C40D" w14:textId="77777777" w:rsidR="0087601C" w:rsidRPr="006A1EC7" w:rsidRDefault="0087601C" w:rsidP="00D56051">
            <w:pPr>
              <w:rPr>
                <w:sz w:val="13"/>
                <w:szCs w:val="13"/>
              </w:rPr>
            </w:pPr>
            <w:r w:rsidRPr="006A1EC7">
              <w:rPr>
                <w:sz w:val="13"/>
                <w:szCs w:val="13"/>
              </w:rPr>
              <w:t>3</w:t>
            </w:r>
          </w:p>
        </w:tc>
        <w:tc>
          <w:tcPr>
            <w:tcW w:w="429" w:type="dxa"/>
            <w:shd w:val="clear" w:color="auto" w:fill="FFFF00"/>
          </w:tcPr>
          <w:p w14:paraId="2B71D674" w14:textId="77777777" w:rsidR="0087601C" w:rsidRPr="006A1EC7" w:rsidRDefault="0087601C" w:rsidP="00D56051">
            <w:pPr>
              <w:rPr>
                <w:sz w:val="13"/>
                <w:szCs w:val="13"/>
              </w:rPr>
            </w:pPr>
            <w:r w:rsidRPr="006A1EC7">
              <w:rPr>
                <w:sz w:val="13"/>
                <w:szCs w:val="13"/>
              </w:rPr>
              <w:t>2</w:t>
            </w:r>
          </w:p>
        </w:tc>
        <w:tc>
          <w:tcPr>
            <w:tcW w:w="347" w:type="dxa"/>
          </w:tcPr>
          <w:p w14:paraId="493CEEAA"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419CD762" w14:textId="77777777" w:rsidR="0087601C" w:rsidRPr="006A1EC7" w:rsidRDefault="0087601C" w:rsidP="00D56051">
            <w:pPr>
              <w:rPr>
                <w:sz w:val="13"/>
                <w:szCs w:val="13"/>
              </w:rPr>
            </w:pPr>
            <w:r w:rsidRPr="006A1EC7">
              <w:rPr>
                <w:sz w:val="13"/>
                <w:szCs w:val="13"/>
              </w:rPr>
              <w:t>3</w:t>
            </w:r>
          </w:p>
        </w:tc>
        <w:tc>
          <w:tcPr>
            <w:tcW w:w="429" w:type="dxa"/>
            <w:shd w:val="clear" w:color="auto" w:fill="FFFF00"/>
          </w:tcPr>
          <w:p w14:paraId="38FFAC75" w14:textId="77777777" w:rsidR="0087601C" w:rsidRPr="006A1EC7" w:rsidRDefault="0087601C" w:rsidP="00D56051">
            <w:pPr>
              <w:rPr>
                <w:sz w:val="13"/>
                <w:szCs w:val="13"/>
              </w:rPr>
            </w:pPr>
            <w:r w:rsidRPr="006A1EC7">
              <w:rPr>
                <w:sz w:val="13"/>
                <w:szCs w:val="13"/>
              </w:rPr>
              <w:t>3</w:t>
            </w:r>
          </w:p>
        </w:tc>
        <w:tc>
          <w:tcPr>
            <w:tcW w:w="347" w:type="dxa"/>
          </w:tcPr>
          <w:p w14:paraId="4387E6E3"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4FB158E6" w14:textId="77777777" w:rsidR="0087601C" w:rsidRPr="006A1EC7" w:rsidRDefault="0087601C" w:rsidP="00D56051">
            <w:pPr>
              <w:rPr>
                <w:sz w:val="13"/>
                <w:szCs w:val="13"/>
              </w:rPr>
            </w:pPr>
            <w:r w:rsidRPr="006A1EC7">
              <w:rPr>
                <w:sz w:val="13"/>
                <w:szCs w:val="13"/>
              </w:rPr>
              <w:t>3</w:t>
            </w:r>
          </w:p>
        </w:tc>
        <w:tc>
          <w:tcPr>
            <w:tcW w:w="419" w:type="dxa"/>
            <w:shd w:val="clear" w:color="auto" w:fill="FFFF00"/>
          </w:tcPr>
          <w:p w14:paraId="61AC3F80" w14:textId="77777777" w:rsidR="0087601C" w:rsidRPr="006A1EC7" w:rsidRDefault="0087601C" w:rsidP="00D56051">
            <w:pPr>
              <w:rPr>
                <w:sz w:val="13"/>
                <w:szCs w:val="13"/>
              </w:rPr>
            </w:pPr>
            <w:r w:rsidRPr="006A1EC7">
              <w:rPr>
                <w:sz w:val="13"/>
                <w:szCs w:val="13"/>
              </w:rPr>
              <w:t>4</w:t>
            </w:r>
          </w:p>
        </w:tc>
        <w:tc>
          <w:tcPr>
            <w:tcW w:w="347" w:type="dxa"/>
            <w:shd w:val="clear" w:color="auto" w:fill="auto"/>
          </w:tcPr>
          <w:p w14:paraId="280D0A70"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1756249C" w14:textId="77777777" w:rsidR="0087601C" w:rsidRPr="006A1EC7" w:rsidRDefault="0087601C" w:rsidP="00D56051">
            <w:pPr>
              <w:rPr>
                <w:sz w:val="13"/>
                <w:szCs w:val="13"/>
              </w:rPr>
            </w:pPr>
            <w:r w:rsidRPr="006A1EC7">
              <w:rPr>
                <w:sz w:val="13"/>
                <w:szCs w:val="13"/>
              </w:rPr>
              <w:t>3</w:t>
            </w:r>
          </w:p>
        </w:tc>
        <w:tc>
          <w:tcPr>
            <w:tcW w:w="444" w:type="dxa"/>
            <w:shd w:val="clear" w:color="auto" w:fill="FFFF00"/>
          </w:tcPr>
          <w:p w14:paraId="5EC737CE" w14:textId="77777777" w:rsidR="0087601C" w:rsidRPr="006A1EC7" w:rsidRDefault="0087601C" w:rsidP="00D56051">
            <w:pPr>
              <w:rPr>
                <w:sz w:val="13"/>
                <w:szCs w:val="13"/>
              </w:rPr>
            </w:pPr>
            <w:r w:rsidRPr="006A1EC7">
              <w:rPr>
                <w:sz w:val="13"/>
                <w:szCs w:val="13"/>
              </w:rPr>
              <w:t>3</w:t>
            </w:r>
          </w:p>
        </w:tc>
        <w:tc>
          <w:tcPr>
            <w:tcW w:w="347" w:type="dxa"/>
          </w:tcPr>
          <w:p w14:paraId="1BB4D073" w14:textId="77777777" w:rsidR="0087601C" w:rsidRPr="006A1EC7" w:rsidRDefault="0087601C" w:rsidP="00D56051">
            <w:pPr>
              <w:rPr>
                <w:sz w:val="13"/>
                <w:szCs w:val="13"/>
              </w:rPr>
            </w:pPr>
            <w:r w:rsidRPr="006A1EC7">
              <w:rPr>
                <w:sz w:val="13"/>
                <w:szCs w:val="13"/>
              </w:rPr>
              <w:t>1</w:t>
            </w:r>
          </w:p>
        </w:tc>
        <w:tc>
          <w:tcPr>
            <w:tcW w:w="530" w:type="dxa"/>
            <w:shd w:val="clear" w:color="auto" w:fill="auto"/>
          </w:tcPr>
          <w:p w14:paraId="02AD93DD" w14:textId="77777777" w:rsidR="0087601C" w:rsidRPr="006A1EC7" w:rsidRDefault="0087601C" w:rsidP="00D56051">
            <w:pPr>
              <w:rPr>
                <w:sz w:val="13"/>
                <w:szCs w:val="13"/>
              </w:rPr>
            </w:pPr>
            <w:r w:rsidRPr="006A1EC7">
              <w:rPr>
                <w:sz w:val="13"/>
                <w:szCs w:val="13"/>
              </w:rPr>
              <w:t>10/10</w:t>
            </w:r>
          </w:p>
        </w:tc>
        <w:tc>
          <w:tcPr>
            <w:tcW w:w="507" w:type="dxa"/>
            <w:shd w:val="clear" w:color="auto" w:fill="auto"/>
          </w:tcPr>
          <w:p w14:paraId="580E2EB8" w14:textId="77777777" w:rsidR="0087601C" w:rsidRPr="006A1EC7" w:rsidRDefault="0087601C" w:rsidP="00D56051">
            <w:pPr>
              <w:rPr>
                <w:sz w:val="13"/>
                <w:szCs w:val="13"/>
              </w:rPr>
            </w:pPr>
            <w:r w:rsidRPr="006A1EC7">
              <w:rPr>
                <w:sz w:val="13"/>
                <w:szCs w:val="13"/>
              </w:rPr>
              <w:t>100%</w:t>
            </w:r>
          </w:p>
        </w:tc>
      </w:tr>
      <w:tr w:rsidR="00744A8E" w:rsidRPr="006A1EC7" w14:paraId="17852938" w14:textId="77777777" w:rsidTr="00D56051">
        <w:tc>
          <w:tcPr>
            <w:tcW w:w="796" w:type="dxa"/>
          </w:tcPr>
          <w:p w14:paraId="6888BEA2" w14:textId="77777777" w:rsidR="0087601C" w:rsidRPr="006A1EC7" w:rsidRDefault="0087601C" w:rsidP="00D56051">
            <w:pPr>
              <w:rPr>
                <w:sz w:val="13"/>
                <w:szCs w:val="13"/>
              </w:rPr>
            </w:pPr>
            <w:r w:rsidRPr="006A1EC7">
              <w:rPr>
                <w:sz w:val="13"/>
                <w:szCs w:val="13"/>
              </w:rPr>
              <w:t>IMU</w:t>
            </w:r>
          </w:p>
        </w:tc>
        <w:tc>
          <w:tcPr>
            <w:tcW w:w="427" w:type="dxa"/>
            <w:shd w:val="clear" w:color="auto" w:fill="FFFF00"/>
          </w:tcPr>
          <w:p w14:paraId="61062C89" w14:textId="77777777" w:rsidR="0087601C" w:rsidRPr="006A1EC7" w:rsidRDefault="0087601C" w:rsidP="00D56051">
            <w:pPr>
              <w:rPr>
                <w:sz w:val="13"/>
                <w:szCs w:val="13"/>
              </w:rPr>
            </w:pPr>
            <w:r w:rsidRPr="006A1EC7">
              <w:rPr>
                <w:sz w:val="13"/>
                <w:szCs w:val="13"/>
              </w:rPr>
              <w:t>0</w:t>
            </w:r>
          </w:p>
        </w:tc>
        <w:tc>
          <w:tcPr>
            <w:tcW w:w="427" w:type="dxa"/>
            <w:shd w:val="clear" w:color="auto" w:fill="FFFF00"/>
          </w:tcPr>
          <w:p w14:paraId="44E75BE3" w14:textId="77777777" w:rsidR="0087601C" w:rsidRPr="006A1EC7" w:rsidRDefault="0087601C" w:rsidP="00D56051">
            <w:pPr>
              <w:rPr>
                <w:sz w:val="13"/>
                <w:szCs w:val="13"/>
              </w:rPr>
            </w:pPr>
            <w:r w:rsidRPr="006A1EC7">
              <w:rPr>
                <w:sz w:val="13"/>
                <w:szCs w:val="13"/>
              </w:rPr>
              <w:t>0</w:t>
            </w:r>
          </w:p>
        </w:tc>
        <w:tc>
          <w:tcPr>
            <w:tcW w:w="390" w:type="dxa"/>
          </w:tcPr>
          <w:p w14:paraId="7ABCDE51"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3AA9B4E0"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1B8CBB23" w14:textId="77777777" w:rsidR="0087601C" w:rsidRPr="006A1EC7" w:rsidRDefault="0087601C" w:rsidP="00D56051">
            <w:pPr>
              <w:rPr>
                <w:sz w:val="13"/>
                <w:szCs w:val="13"/>
              </w:rPr>
            </w:pPr>
            <w:r w:rsidRPr="006A1EC7">
              <w:rPr>
                <w:sz w:val="13"/>
                <w:szCs w:val="13"/>
              </w:rPr>
              <w:t>0</w:t>
            </w:r>
          </w:p>
        </w:tc>
        <w:tc>
          <w:tcPr>
            <w:tcW w:w="380" w:type="dxa"/>
          </w:tcPr>
          <w:p w14:paraId="00F3E551"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27B0FF5D" w14:textId="77777777" w:rsidR="0087601C" w:rsidRPr="006A1EC7" w:rsidRDefault="0087601C" w:rsidP="00D56051">
            <w:pPr>
              <w:rPr>
                <w:sz w:val="13"/>
                <w:szCs w:val="13"/>
              </w:rPr>
            </w:pPr>
            <w:r w:rsidRPr="006A1EC7">
              <w:rPr>
                <w:sz w:val="13"/>
                <w:szCs w:val="13"/>
              </w:rPr>
              <w:t>0</w:t>
            </w:r>
          </w:p>
        </w:tc>
        <w:tc>
          <w:tcPr>
            <w:tcW w:w="413" w:type="dxa"/>
            <w:shd w:val="clear" w:color="auto" w:fill="FFFF00"/>
          </w:tcPr>
          <w:p w14:paraId="4C414955" w14:textId="77777777" w:rsidR="0087601C" w:rsidRPr="006A1EC7" w:rsidRDefault="0087601C" w:rsidP="00D56051">
            <w:pPr>
              <w:rPr>
                <w:sz w:val="13"/>
                <w:szCs w:val="13"/>
              </w:rPr>
            </w:pPr>
            <w:r w:rsidRPr="006A1EC7">
              <w:rPr>
                <w:sz w:val="13"/>
                <w:szCs w:val="13"/>
              </w:rPr>
              <w:t>0</w:t>
            </w:r>
          </w:p>
        </w:tc>
        <w:tc>
          <w:tcPr>
            <w:tcW w:w="352" w:type="dxa"/>
            <w:shd w:val="clear" w:color="auto" w:fill="auto"/>
          </w:tcPr>
          <w:p w14:paraId="7FA73035"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4BF1602F"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0603B987" w14:textId="77777777" w:rsidR="0087601C" w:rsidRPr="006A1EC7" w:rsidRDefault="0087601C" w:rsidP="00D56051">
            <w:pPr>
              <w:rPr>
                <w:sz w:val="13"/>
                <w:szCs w:val="13"/>
              </w:rPr>
            </w:pPr>
            <w:r w:rsidRPr="006A1EC7">
              <w:rPr>
                <w:sz w:val="13"/>
                <w:szCs w:val="13"/>
              </w:rPr>
              <w:t>0</w:t>
            </w:r>
          </w:p>
        </w:tc>
        <w:tc>
          <w:tcPr>
            <w:tcW w:w="352" w:type="dxa"/>
          </w:tcPr>
          <w:p w14:paraId="57F12A56"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59F20B38"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35A5455A" w14:textId="77777777" w:rsidR="0087601C" w:rsidRPr="006A1EC7" w:rsidRDefault="0087601C" w:rsidP="00D56051">
            <w:pPr>
              <w:rPr>
                <w:sz w:val="13"/>
                <w:szCs w:val="13"/>
              </w:rPr>
            </w:pPr>
            <w:r w:rsidRPr="006A1EC7">
              <w:rPr>
                <w:sz w:val="13"/>
                <w:szCs w:val="13"/>
              </w:rPr>
              <w:t>0</w:t>
            </w:r>
          </w:p>
        </w:tc>
        <w:tc>
          <w:tcPr>
            <w:tcW w:w="352" w:type="dxa"/>
          </w:tcPr>
          <w:p w14:paraId="206257A7"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77C95FDB"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036F4BA0" w14:textId="77777777" w:rsidR="0087601C" w:rsidRPr="006A1EC7" w:rsidRDefault="0087601C" w:rsidP="00D56051">
            <w:pPr>
              <w:rPr>
                <w:sz w:val="13"/>
                <w:szCs w:val="13"/>
              </w:rPr>
            </w:pPr>
            <w:r w:rsidRPr="006A1EC7">
              <w:rPr>
                <w:sz w:val="13"/>
                <w:szCs w:val="13"/>
              </w:rPr>
              <w:t>0</w:t>
            </w:r>
          </w:p>
        </w:tc>
        <w:tc>
          <w:tcPr>
            <w:tcW w:w="352" w:type="dxa"/>
          </w:tcPr>
          <w:p w14:paraId="5FB4DE5D"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38C37A31" w14:textId="77777777" w:rsidR="0087601C" w:rsidRPr="006A1EC7" w:rsidRDefault="0087601C" w:rsidP="00D56051">
            <w:pPr>
              <w:rPr>
                <w:sz w:val="13"/>
                <w:szCs w:val="13"/>
              </w:rPr>
            </w:pPr>
            <w:r w:rsidRPr="006A1EC7">
              <w:rPr>
                <w:sz w:val="13"/>
                <w:szCs w:val="13"/>
              </w:rPr>
              <w:t>0</w:t>
            </w:r>
          </w:p>
        </w:tc>
        <w:tc>
          <w:tcPr>
            <w:tcW w:w="429" w:type="dxa"/>
            <w:shd w:val="clear" w:color="auto" w:fill="FFFF00"/>
          </w:tcPr>
          <w:p w14:paraId="3E336C90" w14:textId="77777777" w:rsidR="0087601C" w:rsidRPr="006A1EC7" w:rsidRDefault="0087601C" w:rsidP="00D56051">
            <w:pPr>
              <w:rPr>
                <w:sz w:val="13"/>
                <w:szCs w:val="13"/>
              </w:rPr>
            </w:pPr>
            <w:r w:rsidRPr="006A1EC7">
              <w:rPr>
                <w:sz w:val="13"/>
                <w:szCs w:val="13"/>
              </w:rPr>
              <w:t>0</w:t>
            </w:r>
          </w:p>
        </w:tc>
        <w:tc>
          <w:tcPr>
            <w:tcW w:w="347" w:type="dxa"/>
          </w:tcPr>
          <w:p w14:paraId="55D8A415"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731B9650" w14:textId="77777777" w:rsidR="0087601C" w:rsidRPr="006A1EC7" w:rsidRDefault="0087601C" w:rsidP="00D56051">
            <w:pPr>
              <w:rPr>
                <w:sz w:val="13"/>
                <w:szCs w:val="13"/>
              </w:rPr>
            </w:pPr>
            <w:r w:rsidRPr="006A1EC7">
              <w:rPr>
                <w:sz w:val="13"/>
                <w:szCs w:val="13"/>
              </w:rPr>
              <w:t>0</w:t>
            </w:r>
          </w:p>
        </w:tc>
        <w:tc>
          <w:tcPr>
            <w:tcW w:w="429" w:type="dxa"/>
            <w:shd w:val="clear" w:color="auto" w:fill="FFFF00"/>
          </w:tcPr>
          <w:p w14:paraId="04626F5B" w14:textId="77777777" w:rsidR="0087601C" w:rsidRPr="006A1EC7" w:rsidRDefault="0087601C" w:rsidP="00D56051">
            <w:pPr>
              <w:rPr>
                <w:sz w:val="13"/>
                <w:szCs w:val="13"/>
              </w:rPr>
            </w:pPr>
            <w:r w:rsidRPr="006A1EC7">
              <w:rPr>
                <w:sz w:val="13"/>
                <w:szCs w:val="13"/>
              </w:rPr>
              <w:t>0</w:t>
            </w:r>
          </w:p>
        </w:tc>
        <w:tc>
          <w:tcPr>
            <w:tcW w:w="347" w:type="dxa"/>
          </w:tcPr>
          <w:p w14:paraId="4F56A5F0"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4A28C4A6" w14:textId="77777777" w:rsidR="0087601C" w:rsidRPr="006A1EC7" w:rsidRDefault="0087601C" w:rsidP="00D56051">
            <w:pPr>
              <w:rPr>
                <w:sz w:val="13"/>
                <w:szCs w:val="13"/>
              </w:rPr>
            </w:pPr>
            <w:r w:rsidRPr="006A1EC7">
              <w:rPr>
                <w:sz w:val="13"/>
                <w:szCs w:val="13"/>
              </w:rPr>
              <w:t>0</w:t>
            </w:r>
          </w:p>
        </w:tc>
        <w:tc>
          <w:tcPr>
            <w:tcW w:w="419" w:type="dxa"/>
            <w:shd w:val="clear" w:color="auto" w:fill="FFFF00"/>
          </w:tcPr>
          <w:p w14:paraId="190CF3B1" w14:textId="77777777" w:rsidR="0087601C" w:rsidRPr="006A1EC7" w:rsidRDefault="0087601C" w:rsidP="00D56051">
            <w:pPr>
              <w:rPr>
                <w:sz w:val="13"/>
                <w:szCs w:val="13"/>
              </w:rPr>
            </w:pPr>
            <w:r w:rsidRPr="006A1EC7">
              <w:rPr>
                <w:sz w:val="13"/>
                <w:szCs w:val="13"/>
              </w:rPr>
              <w:t>0</w:t>
            </w:r>
          </w:p>
        </w:tc>
        <w:tc>
          <w:tcPr>
            <w:tcW w:w="347" w:type="dxa"/>
            <w:shd w:val="clear" w:color="auto" w:fill="auto"/>
          </w:tcPr>
          <w:p w14:paraId="20ED898C"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53C274D5" w14:textId="77777777" w:rsidR="0087601C" w:rsidRPr="006A1EC7" w:rsidRDefault="0087601C" w:rsidP="00D56051">
            <w:pPr>
              <w:rPr>
                <w:sz w:val="13"/>
                <w:szCs w:val="13"/>
              </w:rPr>
            </w:pPr>
            <w:r w:rsidRPr="006A1EC7">
              <w:rPr>
                <w:sz w:val="13"/>
                <w:szCs w:val="13"/>
              </w:rPr>
              <w:t>0</w:t>
            </w:r>
          </w:p>
        </w:tc>
        <w:tc>
          <w:tcPr>
            <w:tcW w:w="444" w:type="dxa"/>
            <w:shd w:val="clear" w:color="auto" w:fill="FFFF00"/>
          </w:tcPr>
          <w:p w14:paraId="6608F953" w14:textId="77777777" w:rsidR="0087601C" w:rsidRPr="006A1EC7" w:rsidRDefault="0087601C" w:rsidP="00D56051">
            <w:pPr>
              <w:rPr>
                <w:sz w:val="13"/>
                <w:szCs w:val="13"/>
              </w:rPr>
            </w:pPr>
            <w:r w:rsidRPr="006A1EC7">
              <w:rPr>
                <w:sz w:val="13"/>
                <w:szCs w:val="13"/>
              </w:rPr>
              <w:t>0</w:t>
            </w:r>
          </w:p>
        </w:tc>
        <w:tc>
          <w:tcPr>
            <w:tcW w:w="347" w:type="dxa"/>
          </w:tcPr>
          <w:p w14:paraId="0151DF37" w14:textId="77777777" w:rsidR="0087601C" w:rsidRPr="006A1EC7" w:rsidRDefault="0087601C" w:rsidP="00D56051">
            <w:pPr>
              <w:rPr>
                <w:sz w:val="13"/>
                <w:szCs w:val="13"/>
              </w:rPr>
            </w:pPr>
            <w:r w:rsidRPr="006A1EC7">
              <w:rPr>
                <w:sz w:val="13"/>
                <w:szCs w:val="13"/>
              </w:rPr>
              <w:t>1</w:t>
            </w:r>
          </w:p>
        </w:tc>
        <w:tc>
          <w:tcPr>
            <w:tcW w:w="530" w:type="dxa"/>
            <w:shd w:val="clear" w:color="auto" w:fill="auto"/>
          </w:tcPr>
          <w:p w14:paraId="3CECF056" w14:textId="77777777" w:rsidR="0087601C" w:rsidRPr="006A1EC7" w:rsidRDefault="0087601C" w:rsidP="00D56051">
            <w:pPr>
              <w:rPr>
                <w:sz w:val="13"/>
                <w:szCs w:val="13"/>
              </w:rPr>
            </w:pPr>
            <w:r w:rsidRPr="006A1EC7">
              <w:rPr>
                <w:sz w:val="13"/>
                <w:szCs w:val="13"/>
              </w:rPr>
              <w:t>10/10</w:t>
            </w:r>
          </w:p>
        </w:tc>
        <w:tc>
          <w:tcPr>
            <w:tcW w:w="507" w:type="dxa"/>
            <w:shd w:val="clear" w:color="auto" w:fill="auto"/>
          </w:tcPr>
          <w:p w14:paraId="68CCE54A" w14:textId="77777777" w:rsidR="0087601C" w:rsidRPr="006A1EC7" w:rsidRDefault="0087601C" w:rsidP="00D56051">
            <w:pPr>
              <w:rPr>
                <w:sz w:val="13"/>
                <w:szCs w:val="13"/>
              </w:rPr>
            </w:pPr>
            <w:r w:rsidRPr="006A1EC7">
              <w:rPr>
                <w:sz w:val="13"/>
                <w:szCs w:val="13"/>
              </w:rPr>
              <w:t>100%</w:t>
            </w:r>
          </w:p>
        </w:tc>
      </w:tr>
      <w:tr w:rsidR="00744A8E" w:rsidRPr="006A1EC7" w14:paraId="1E4B84D7" w14:textId="77777777" w:rsidTr="00D56051">
        <w:tc>
          <w:tcPr>
            <w:tcW w:w="796" w:type="dxa"/>
          </w:tcPr>
          <w:p w14:paraId="6A8AFAF2" w14:textId="77777777" w:rsidR="0087601C" w:rsidRPr="006A1EC7" w:rsidRDefault="0087601C" w:rsidP="00D56051">
            <w:pPr>
              <w:rPr>
                <w:sz w:val="13"/>
                <w:szCs w:val="13"/>
              </w:rPr>
            </w:pPr>
            <w:r w:rsidRPr="006A1EC7">
              <w:rPr>
                <w:sz w:val="13"/>
                <w:szCs w:val="13"/>
              </w:rPr>
              <w:t>SLP</w:t>
            </w:r>
          </w:p>
        </w:tc>
        <w:tc>
          <w:tcPr>
            <w:tcW w:w="427" w:type="dxa"/>
            <w:shd w:val="clear" w:color="auto" w:fill="FFFF00"/>
          </w:tcPr>
          <w:p w14:paraId="70C9F931" w14:textId="77777777" w:rsidR="0087601C" w:rsidRPr="006A1EC7" w:rsidRDefault="0087601C" w:rsidP="00D56051">
            <w:pPr>
              <w:rPr>
                <w:sz w:val="13"/>
                <w:szCs w:val="13"/>
              </w:rPr>
            </w:pPr>
            <w:r w:rsidRPr="006A1EC7">
              <w:rPr>
                <w:sz w:val="13"/>
                <w:szCs w:val="13"/>
              </w:rPr>
              <w:t>2</w:t>
            </w:r>
          </w:p>
        </w:tc>
        <w:tc>
          <w:tcPr>
            <w:tcW w:w="427" w:type="dxa"/>
            <w:shd w:val="clear" w:color="auto" w:fill="FFFF00"/>
          </w:tcPr>
          <w:p w14:paraId="0F69C07E" w14:textId="77777777" w:rsidR="0087601C" w:rsidRPr="006A1EC7" w:rsidRDefault="0087601C" w:rsidP="00D56051">
            <w:pPr>
              <w:rPr>
                <w:sz w:val="13"/>
                <w:szCs w:val="13"/>
              </w:rPr>
            </w:pPr>
            <w:r w:rsidRPr="006A1EC7">
              <w:rPr>
                <w:sz w:val="13"/>
                <w:szCs w:val="13"/>
              </w:rPr>
              <w:t>1</w:t>
            </w:r>
          </w:p>
        </w:tc>
        <w:tc>
          <w:tcPr>
            <w:tcW w:w="390" w:type="dxa"/>
          </w:tcPr>
          <w:p w14:paraId="670A66A1"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15102BEC"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2871B2C2" w14:textId="77777777" w:rsidR="0087601C" w:rsidRPr="006A1EC7" w:rsidRDefault="0087601C" w:rsidP="00D56051">
            <w:pPr>
              <w:rPr>
                <w:sz w:val="13"/>
                <w:szCs w:val="13"/>
              </w:rPr>
            </w:pPr>
            <w:r w:rsidRPr="006A1EC7">
              <w:rPr>
                <w:sz w:val="13"/>
                <w:szCs w:val="13"/>
              </w:rPr>
              <w:t>1</w:t>
            </w:r>
          </w:p>
        </w:tc>
        <w:tc>
          <w:tcPr>
            <w:tcW w:w="380" w:type="dxa"/>
          </w:tcPr>
          <w:p w14:paraId="2CE394E5"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31D3D58E" w14:textId="77777777" w:rsidR="0087601C" w:rsidRPr="006A1EC7" w:rsidRDefault="0087601C" w:rsidP="00D56051">
            <w:pPr>
              <w:rPr>
                <w:sz w:val="13"/>
                <w:szCs w:val="13"/>
              </w:rPr>
            </w:pPr>
            <w:r w:rsidRPr="006A1EC7">
              <w:rPr>
                <w:sz w:val="13"/>
                <w:szCs w:val="13"/>
              </w:rPr>
              <w:t>0</w:t>
            </w:r>
          </w:p>
        </w:tc>
        <w:tc>
          <w:tcPr>
            <w:tcW w:w="413" w:type="dxa"/>
            <w:shd w:val="clear" w:color="auto" w:fill="FFFF00"/>
          </w:tcPr>
          <w:p w14:paraId="26B4838D" w14:textId="77777777" w:rsidR="0087601C" w:rsidRPr="006A1EC7" w:rsidRDefault="0087601C" w:rsidP="00D56051">
            <w:pPr>
              <w:rPr>
                <w:sz w:val="13"/>
                <w:szCs w:val="13"/>
              </w:rPr>
            </w:pPr>
            <w:r w:rsidRPr="006A1EC7">
              <w:rPr>
                <w:sz w:val="13"/>
                <w:szCs w:val="13"/>
              </w:rPr>
              <w:t>0</w:t>
            </w:r>
          </w:p>
        </w:tc>
        <w:tc>
          <w:tcPr>
            <w:tcW w:w="352" w:type="dxa"/>
            <w:shd w:val="clear" w:color="auto" w:fill="auto"/>
          </w:tcPr>
          <w:p w14:paraId="76277F54"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644CA1D0" w14:textId="77777777" w:rsidR="0087601C" w:rsidRPr="006A1EC7" w:rsidRDefault="0087601C" w:rsidP="00D56051">
            <w:pPr>
              <w:rPr>
                <w:sz w:val="13"/>
                <w:szCs w:val="13"/>
              </w:rPr>
            </w:pPr>
            <w:r w:rsidRPr="006A1EC7">
              <w:rPr>
                <w:sz w:val="13"/>
                <w:szCs w:val="13"/>
              </w:rPr>
              <w:t>2</w:t>
            </w:r>
          </w:p>
        </w:tc>
        <w:tc>
          <w:tcPr>
            <w:tcW w:w="428" w:type="dxa"/>
            <w:shd w:val="clear" w:color="auto" w:fill="FFFF00"/>
          </w:tcPr>
          <w:p w14:paraId="6AE8A2C5" w14:textId="77777777" w:rsidR="0087601C" w:rsidRPr="006A1EC7" w:rsidRDefault="0087601C" w:rsidP="00D56051">
            <w:pPr>
              <w:rPr>
                <w:sz w:val="13"/>
                <w:szCs w:val="13"/>
              </w:rPr>
            </w:pPr>
            <w:r w:rsidRPr="006A1EC7">
              <w:rPr>
                <w:sz w:val="13"/>
                <w:szCs w:val="13"/>
              </w:rPr>
              <w:t>2</w:t>
            </w:r>
          </w:p>
        </w:tc>
        <w:tc>
          <w:tcPr>
            <w:tcW w:w="352" w:type="dxa"/>
          </w:tcPr>
          <w:p w14:paraId="79B94338"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5354ABA9" w14:textId="77777777" w:rsidR="0087601C" w:rsidRPr="006A1EC7" w:rsidRDefault="0087601C" w:rsidP="00D56051">
            <w:pPr>
              <w:rPr>
                <w:sz w:val="13"/>
                <w:szCs w:val="13"/>
              </w:rPr>
            </w:pPr>
            <w:r w:rsidRPr="006A1EC7">
              <w:rPr>
                <w:sz w:val="13"/>
                <w:szCs w:val="13"/>
              </w:rPr>
              <w:t>2</w:t>
            </w:r>
          </w:p>
        </w:tc>
        <w:tc>
          <w:tcPr>
            <w:tcW w:w="428" w:type="dxa"/>
            <w:shd w:val="clear" w:color="auto" w:fill="FFFF00"/>
          </w:tcPr>
          <w:p w14:paraId="724A5705" w14:textId="77777777" w:rsidR="0087601C" w:rsidRPr="006A1EC7" w:rsidRDefault="0087601C" w:rsidP="00D56051">
            <w:pPr>
              <w:rPr>
                <w:sz w:val="13"/>
                <w:szCs w:val="13"/>
              </w:rPr>
            </w:pPr>
            <w:r w:rsidRPr="006A1EC7">
              <w:rPr>
                <w:sz w:val="13"/>
                <w:szCs w:val="13"/>
              </w:rPr>
              <w:t>2</w:t>
            </w:r>
          </w:p>
        </w:tc>
        <w:tc>
          <w:tcPr>
            <w:tcW w:w="352" w:type="dxa"/>
          </w:tcPr>
          <w:p w14:paraId="28F958D9"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00D24465" w14:textId="77777777" w:rsidR="0087601C" w:rsidRPr="006A1EC7" w:rsidRDefault="0087601C" w:rsidP="00D56051">
            <w:pPr>
              <w:rPr>
                <w:sz w:val="13"/>
                <w:szCs w:val="13"/>
              </w:rPr>
            </w:pPr>
            <w:r w:rsidRPr="006A1EC7">
              <w:rPr>
                <w:sz w:val="13"/>
                <w:szCs w:val="13"/>
              </w:rPr>
              <w:t>2</w:t>
            </w:r>
          </w:p>
        </w:tc>
        <w:tc>
          <w:tcPr>
            <w:tcW w:w="428" w:type="dxa"/>
            <w:shd w:val="clear" w:color="auto" w:fill="FFFF00"/>
          </w:tcPr>
          <w:p w14:paraId="1D9675B7" w14:textId="77777777" w:rsidR="0087601C" w:rsidRPr="006A1EC7" w:rsidRDefault="0087601C" w:rsidP="00D56051">
            <w:pPr>
              <w:rPr>
                <w:sz w:val="13"/>
                <w:szCs w:val="13"/>
              </w:rPr>
            </w:pPr>
            <w:r w:rsidRPr="006A1EC7">
              <w:rPr>
                <w:sz w:val="13"/>
                <w:szCs w:val="13"/>
              </w:rPr>
              <w:t>2</w:t>
            </w:r>
          </w:p>
        </w:tc>
        <w:tc>
          <w:tcPr>
            <w:tcW w:w="352" w:type="dxa"/>
          </w:tcPr>
          <w:p w14:paraId="302EA89A"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0906E6FD"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68D83B3B" w14:textId="77777777" w:rsidR="0087601C" w:rsidRPr="006A1EC7" w:rsidRDefault="0087601C" w:rsidP="00D56051">
            <w:pPr>
              <w:rPr>
                <w:sz w:val="13"/>
                <w:szCs w:val="13"/>
              </w:rPr>
            </w:pPr>
            <w:r w:rsidRPr="006A1EC7">
              <w:rPr>
                <w:sz w:val="13"/>
                <w:szCs w:val="13"/>
              </w:rPr>
              <w:t>1</w:t>
            </w:r>
          </w:p>
        </w:tc>
        <w:tc>
          <w:tcPr>
            <w:tcW w:w="347" w:type="dxa"/>
          </w:tcPr>
          <w:p w14:paraId="4A653B49"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28A03072" w14:textId="77777777" w:rsidR="0087601C" w:rsidRPr="006A1EC7" w:rsidRDefault="0087601C" w:rsidP="00D56051">
            <w:pPr>
              <w:rPr>
                <w:sz w:val="13"/>
                <w:szCs w:val="13"/>
              </w:rPr>
            </w:pPr>
            <w:r w:rsidRPr="006A1EC7">
              <w:rPr>
                <w:sz w:val="13"/>
                <w:szCs w:val="13"/>
              </w:rPr>
              <w:t>2</w:t>
            </w:r>
          </w:p>
        </w:tc>
        <w:tc>
          <w:tcPr>
            <w:tcW w:w="429" w:type="dxa"/>
            <w:shd w:val="clear" w:color="auto" w:fill="FFFF00"/>
          </w:tcPr>
          <w:p w14:paraId="246F3F7C" w14:textId="77777777" w:rsidR="0087601C" w:rsidRPr="006A1EC7" w:rsidRDefault="0087601C" w:rsidP="00D56051">
            <w:pPr>
              <w:rPr>
                <w:sz w:val="13"/>
                <w:szCs w:val="13"/>
              </w:rPr>
            </w:pPr>
            <w:r w:rsidRPr="006A1EC7">
              <w:rPr>
                <w:sz w:val="13"/>
                <w:szCs w:val="13"/>
              </w:rPr>
              <w:t>1</w:t>
            </w:r>
          </w:p>
        </w:tc>
        <w:tc>
          <w:tcPr>
            <w:tcW w:w="347" w:type="dxa"/>
          </w:tcPr>
          <w:p w14:paraId="5AE3491E"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5C78F244" w14:textId="77777777" w:rsidR="0087601C" w:rsidRPr="006A1EC7" w:rsidRDefault="0087601C" w:rsidP="00D56051">
            <w:pPr>
              <w:rPr>
                <w:sz w:val="13"/>
                <w:szCs w:val="13"/>
              </w:rPr>
            </w:pPr>
            <w:r w:rsidRPr="006A1EC7">
              <w:rPr>
                <w:sz w:val="13"/>
                <w:szCs w:val="13"/>
              </w:rPr>
              <w:t>2</w:t>
            </w:r>
          </w:p>
        </w:tc>
        <w:tc>
          <w:tcPr>
            <w:tcW w:w="419" w:type="dxa"/>
            <w:shd w:val="clear" w:color="auto" w:fill="FFFF00"/>
          </w:tcPr>
          <w:p w14:paraId="26F309E6" w14:textId="77777777" w:rsidR="0087601C" w:rsidRPr="006A1EC7" w:rsidRDefault="0087601C" w:rsidP="00D56051">
            <w:pPr>
              <w:rPr>
                <w:sz w:val="13"/>
                <w:szCs w:val="13"/>
              </w:rPr>
            </w:pPr>
            <w:r w:rsidRPr="006A1EC7">
              <w:rPr>
                <w:sz w:val="13"/>
                <w:szCs w:val="13"/>
              </w:rPr>
              <w:t>0</w:t>
            </w:r>
          </w:p>
        </w:tc>
        <w:tc>
          <w:tcPr>
            <w:tcW w:w="347" w:type="dxa"/>
            <w:shd w:val="clear" w:color="auto" w:fill="auto"/>
          </w:tcPr>
          <w:p w14:paraId="54CF854F" w14:textId="77777777" w:rsidR="0087601C" w:rsidRPr="006A1EC7" w:rsidRDefault="0087601C" w:rsidP="00D56051">
            <w:pPr>
              <w:rPr>
                <w:sz w:val="13"/>
                <w:szCs w:val="13"/>
              </w:rPr>
            </w:pPr>
            <w:r w:rsidRPr="006A1EC7">
              <w:rPr>
                <w:sz w:val="13"/>
                <w:szCs w:val="13"/>
              </w:rPr>
              <w:t>0</w:t>
            </w:r>
          </w:p>
        </w:tc>
        <w:tc>
          <w:tcPr>
            <w:tcW w:w="444" w:type="dxa"/>
            <w:shd w:val="clear" w:color="auto" w:fill="FFFF00"/>
          </w:tcPr>
          <w:p w14:paraId="383A0FDA"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267EE41B" w14:textId="77777777" w:rsidR="0087601C" w:rsidRPr="006A1EC7" w:rsidRDefault="0087601C" w:rsidP="00D56051">
            <w:pPr>
              <w:rPr>
                <w:sz w:val="13"/>
                <w:szCs w:val="13"/>
              </w:rPr>
            </w:pPr>
            <w:r w:rsidRPr="006A1EC7">
              <w:rPr>
                <w:sz w:val="13"/>
                <w:szCs w:val="13"/>
              </w:rPr>
              <w:t>0</w:t>
            </w:r>
          </w:p>
        </w:tc>
        <w:tc>
          <w:tcPr>
            <w:tcW w:w="347" w:type="dxa"/>
          </w:tcPr>
          <w:p w14:paraId="6D01A557" w14:textId="77777777" w:rsidR="0087601C" w:rsidRPr="006A1EC7" w:rsidRDefault="0087601C" w:rsidP="00D56051">
            <w:pPr>
              <w:rPr>
                <w:sz w:val="13"/>
                <w:szCs w:val="13"/>
              </w:rPr>
            </w:pPr>
            <w:r w:rsidRPr="006A1EC7">
              <w:rPr>
                <w:sz w:val="13"/>
                <w:szCs w:val="13"/>
              </w:rPr>
              <w:t>1</w:t>
            </w:r>
          </w:p>
        </w:tc>
        <w:tc>
          <w:tcPr>
            <w:tcW w:w="530" w:type="dxa"/>
            <w:shd w:val="clear" w:color="auto" w:fill="auto"/>
          </w:tcPr>
          <w:p w14:paraId="7330EA05" w14:textId="77777777" w:rsidR="0087601C" w:rsidRPr="006A1EC7" w:rsidRDefault="0087601C" w:rsidP="00D56051">
            <w:pPr>
              <w:rPr>
                <w:sz w:val="13"/>
                <w:szCs w:val="13"/>
              </w:rPr>
            </w:pPr>
            <w:r w:rsidRPr="006A1EC7">
              <w:rPr>
                <w:sz w:val="13"/>
                <w:szCs w:val="13"/>
              </w:rPr>
              <w:t>9/10</w:t>
            </w:r>
          </w:p>
        </w:tc>
        <w:tc>
          <w:tcPr>
            <w:tcW w:w="507" w:type="dxa"/>
            <w:shd w:val="clear" w:color="auto" w:fill="auto"/>
          </w:tcPr>
          <w:p w14:paraId="368EC5EA" w14:textId="77777777" w:rsidR="0087601C" w:rsidRPr="006A1EC7" w:rsidRDefault="0087601C" w:rsidP="00D56051">
            <w:pPr>
              <w:rPr>
                <w:sz w:val="13"/>
                <w:szCs w:val="13"/>
              </w:rPr>
            </w:pPr>
            <w:r w:rsidRPr="006A1EC7">
              <w:rPr>
                <w:sz w:val="13"/>
                <w:szCs w:val="13"/>
              </w:rPr>
              <w:t>90%</w:t>
            </w:r>
          </w:p>
        </w:tc>
      </w:tr>
      <w:tr w:rsidR="00744A8E" w:rsidRPr="006A1EC7" w14:paraId="17A9AA1A" w14:textId="77777777" w:rsidTr="00D56051">
        <w:tc>
          <w:tcPr>
            <w:tcW w:w="796" w:type="dxa"/>
          </w:tcPr>
          <w:p w14:paraId="5233F5FC" w14:textId="77777777" w:rsidR="0087601C" w:rsidRPr="006A1EC7" w:rsidRDefault="0087601C" w:rsidP="00D56051">
            <w:pPr>
              <w:rPr>
                <w:sz w:val="13"/>
                <w:szCs w:val="13"/>
              </w:rPr>
            </w:pPr>
            <w:r w:rsidRPr="006A1EC7">
              <w:rPr>
                <w:sz w:val="13"/>
                <w:szCs w:val="13"/>
              </w:rPr>
              <w:lastRenderedPageBreak/>
              <w:t>CRE</w:t>
            </w:r>
          </w:p>
        </w:tc>
        <w:tc>
          <w:tcPr>
            <w:tcW w:w="427" w:type="dxa"/>
            <w:shd w:val="clear" w:color="auto" w:fill="FFFF00"/>
          </w:tcPr>
          <w:p w14:paraId="2E70A222" w14:textId="77777777" w:rsidR="0087601C" w:rsidRPr="006A1EC7" w:rsidRDefault="0087601C" w:rsidP="00D56051">
            <w:pPr>
              <w:rPr>
                <w:sz w:val="13"/>
                <w:szCs w:val="13"/>
              </w:rPr>
            </w:pPr>
            <w:r w:rsidRPr="006A1EC7">
              <w:rPr>
                <w:sz w:val="13"/>
                <w:szCs w:val="13"/>
              </w:rPr>
              <w:t>1</w:t>
            </w:r>
          </w:p>
        </w:tc>
        <w:tc>
          <w:tcPr>
            <w:tcW w:w="427" w:type="dxa"/>
            <w:shd w:val="clear" w:color="auto" w:fill="FFFF00"/>
          </w:tcPr>
          <w:p w14:paraId="3208C72C" w14:textId="77777777" w:rsidR="0087601C" w:rsidRPr="006A1EC7" w:rsidRDefault="0087601C" w:rsidP="00D56051">
            <w:pPr>
              <w:rPr>
                <w:sz w:val="13"/>
                <w:szCs w:val="13"/>
              </w:rPr>
            </w:pPr>
            <w:r w:rsidRPr="006A1EC7">
              <w:rPr>
                <w:sz w:val="13"/>
                <w:szCs w:val="13"/>
              </w:rPr>
              <w:t>1</w:t>
            </w:r>
          </w:p>
        </w:tc>
        <w:tc>
          <w:tcPr>
            <w:tcW w:w="390" w:type="dxa"/>
          </w:tcPr>
          <w:p w14:paraId="15CDAE24"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0E9E55AD"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6B4982F8" w14:textId="77777777" w:rsidR="0087601C" w:rsidRPr="006A1EC7" w:rsidRDefault="0087601C" w:rsidP="00D56051">
            <w:pPr>
              <w:rPr>
                <w:sz w:val="13"/>
                <w:szCs w:val="13"/>
              </w:rPr>
            </w:pPr>
            <w:r w:rsidRPr="006A1EC7">
              <w:rPr>
                <w:sz w:val="13"/>
                <w:szCs w:val="13"/>
              </w:rPr>
              <w:t>1</w:t>
            </w:r>
          </w:p>
        </w:tc>
        <w:tc>
          <w:tcPr>
            <w:tcW w:w="380" w:type="dxa"/>
          </w:tcPr>
          <w:p w14:paraId="7E325BFA"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6CFF77A2" w14:textId="77777777" w:rsidR="0087601C" w:rsidRPr="006A1EC7" w:rsidRDefault="0087601C" w:rsidP="00D56051">
            <w:pPr>
              <w:rPr>
                <w:sz w:val="13"/>
                <w:szCs w:val="13"/>
              </w:rPr>
            </w:pPr>
            <w:r w:rsidRPr="006A1EC7">
              <w:rPr>
                <w:sz w:val="13"/>
                <w:szCs w:val="13"/>
              </w:rPr>
              <w:t>1</w:t>
            </w:r>
          </w:p>
        </w:tc>
        <w:tc>
          <w:tcPr>
            <w:tcW w:w="413" w:type="dxa"/>
            <w:shd w:val="clear" w:color="auto" w:fill="FFFF00"/>
          </w:tcPr>
          <w:p w14:paraId="1F9D7EC2" w14:textId="77777777" w:rsidR="0087601C" w:rsidRPr="006A1EC7" w:rsidRDefault="0087601C" w:rsidP="00D56051">
            <w:pPr>
              <w:rPr>
                <w:sz w:val="13"/>
                <w:szCs w:val="13"/>
              </w:rPr>
            </w:pPr>
            <w:r w:rsidRPr="006A1EC7">
              <w:rPr>
                <w:sz w:val="13"/>
                <w:szCs w:val="13"/>
              </w:rPr>
              <w:t>1</w:t>
            </w:r>
          </w:p>
        </w:tc>
        <w:tc>
          <w:tcPr>
            <w:tcW w:w="352" w:type="dxa"/>
            <w:shd w:val="clear" w:color="auto" w:fill="auto"/>
          </w:tcPr>
          <w:p w14:paraId="7814AA85"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4BDEAC8C"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388E56FE" w14:textId="77777777" w:rsidR="0087601C" w:rsidRPr="006A1EC7" w:rsidRDefault="0087601C" w:rsidP="00D56051">
            <w:pPr>
              <w:rPr>
                <w:sz w:val="13"/>
                <w:szCs w:val="13"/>
              </w:rPr>
            </w:pPr>
            <w:r w:rsidRPr="006A1EC7">
              <w:rPr>
                <w:sz w:val="13"/>
                <w:szCs w:val="13"/>
              </w:rPr>
              <w:t>1</w:t>
            </w:r>
          </w:p>
        </w:tc>
        <w:tc>
          <w:tcPr>
            <w:tcW w:w="352" w:type="dxa"/>
          </w:tcPr>
          <w:p w14:paraId="47AC29D6"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32CDCF3C"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1C93F822" w14:textId="77777777" w:rsidR="0087601C" w:rsidRPr="006A1EC7" w:rsidRDefault="0087601C" w:rsidP="00D56051">
            <w:pPr>
              <w:rPr>
                <w:sz w:val="13"/>
                <w:szCs w:val="13"/>
              </w:rPr>
            </w:pPr>
            <w:r w:rsidRPr="006A1EC7">
              <w:rPr>
                <w:sz w:val="13"/>
                <w:szCs w:val="13"/>
              </w:rPr>
              <w:t>1</w:t>
            </w:r>
          </w:p>
        </w:tc>
        <w:tc>
          <w:tcPr>
            <w:tcW w:w="352" w:type="dxa"/>
          </w:tcPr>
          <w:p w14:paraId="73A2E0D4"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4A9812DC"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471866DA" w14:textId="77777777" w:rsidR="0087601C" w:rsidRPr="006A1EC7" w:rsidRDefault="0087601C" w:rsidP="00D56051">
            <w:pPr>
              <w:rPr>
                <w:sz w:val="13"/>
                <w:szCs w:val="13"/>
              </w:rPr>
            </w:pPr>
            <w:r w:rsidRPr="006A1EC7">
              <w:rPr>
                <w:sz w:val="13"/>
                <w:szCs w:val="13"/>
              </w:rPr>
              <w:t>0</w:t>
            </w:r>
          </w:p>
        </w:tc>
        <w:tc>
          <w:tcPr>
            <w:tcW w:w="352" w:type="dxa"/>
          </w:tcPr>
          <w:p w14:paraId="0E2E8660"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29E5C7CD"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6F2EBC6A" w14:textId="77777777" w:rsidR="0087601C" w:rsidRPr="006A1EC7" w:rsidRDefault="0087601C" w:rsidP="00D56051">
            <w:pPr>
              <w:rPr>
                <w:sz w:val="13"/>
                <w:szCs w:val="13"/>
              </w:rPr>
            </w:pPr>
            <w:r w:rsidRPr="006A1EC7">
              <w:rPr>
                <w:sz w:val="13"/>
                <w:szCs w:val="13"/>
              </w:rPr>
              <w:t>1</w:t>
            </w:r>
          </w:p>
        </w:tc>
        <w:tc>
          <w:tcPr>
            <w:tcW w:w="347" w:type="dxa"/>
          </w:tcPr>
          <w:p w14:paraId="6EFF3082"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4EF4CAC2" w14:textId="77777777" w:rsidR="0087601C" w:rsidRPr="006A1EC7" w:rsidRDefault="0087601C" w:rsidP="00D56051">
            <w:pPr>
              <w:rPr>
                <w:sz w:val="13"/>
                <w:szCs w:val="13"/>
              </w:rPr>
            </w:pPr>
            <w:r w:rsidRPr="006A1EC7">
              <w:rPr>
                <w:sz w:val="13"/>
                <w:szCs w:val="13"/>
              </w:rPr>
              <w:t>0</w:t>
            </w:r>
          </w:p>
        </w:tc>
        <w:tc>
          <w:tcPr>
            <w:tcW w:w="429" w:type="dxa"/>
            <w:shd w:val="clear" w:color="auto" w:fill="FFFF00"/>
          </w:tcPr>
          <w:p w14:paraId="20136519" w14:textId="77777777" w:rsidR="0087601C" w:rsidRPr="006A1EC7" w:rsidRDefault="0087601C" w:rsidP="00D56051">
            <w:pPr>
              <w:rPr>
                <w:sz w:val="13"/>
                <w:szCs w:val="13"/>
              </w:rPr>
            </w:pPr>
            <w:r w:rsidRPr="006A1EC7">
              <w:rPr>
                <w:sz w:val="13"/>
                <w:szCs w:val="13"/>
              </w:rPr>
              <w:t>0</w:t>
            </w:r>
          </w:p>
        </w:tc>
        <w:tc>
          <w:tcPr>
            <w:tcW w:w="347" w:type="dxa"/>
          </w:tcPr>
          <w:p w14:paraId="231A23C9"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3CDB963C"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4F1F48D3" w14:textId="77777777" w:rsidR="0087601C" w:rsidRPr="006A1EC7" w:rsidRDefault="0087601C" w:rsidP="00D56051">
            <w:pPr>
              <w:rPr>
                <w:sz w:val="13"/>
                <w:szCs w:val="13"/>
              </w:rPr>
            </w:pPr>
            <w:r w:rsidRPr="006A1EC7">
              <w:rPr>
                <w:sz w:val="13"/>
                <w:szCs w:val="13"/>
              </w:rPr>
              <w:t>1</w:t>
            </w:r>
          </w:p>
        </w:tc>
        <w:tc>
          <w:tcPr>
            <w:tcW w:w="347" w:type="dxa"/>
            <w:shd w:val="clear" w:color="auto" w:fill="auto"/>
          </w:tcPr>
          <w:p w14:paraId="7E3995FF"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023C658E" w14:textId="77777777" w:rsidR="0087601C" w:rsidRPr="006A1EC7" w:rsidRDefault="0087601C" w:rsidP="00D56051">
            <w:pPr>
              <w:rPr>
                <w:sz w:val="13"/>
                <w:szCs w:val="13"/>
              </w:rPr>
            </w:pPr>
            <w:r w:rsidRPr="006A1EC7">
              <w:rPr>
                <w:sz w:val="13"/>
                <w:szCs w:val="13"/>
              </w:rPr>
              <w:t>1</w:t>
            </w:r>
          </w:p>
        </w:tc>
        <w:tc>
          <w:tcPr>
            <w:tcW w:w="444" w:type="dxa"/>
            <w:shd w:val="clear" w:color="auto" w:fill="FFFF00"/>
          </w:tcPr>
          <w:p w14:paraId="6210AD42" w14:textId="77777777" w:rsidR="0087601C" w:rsidRPr="006A1EC7" w:rsidRDefault="0087601C" w:rsidP="00D56051">
            <w:pPr>
              <w:rPr>
                <w:sz w:val="13"/>
                <w:szCs w:val="13"/>
              </w:rPr>
            </w:pPr>
            <w:r w:rsidRPr="006A1EC7">
              <w:rPr>
                <w:sz w:val="13"/>
                <w:szCs w:val="13"/>
              </w:rPr>
              <w:t>1</w:t>
            </w:r>
          </w:p>
        </w:tc>
        <w:tc>
          <w:tcPr>
            <w:tcW w:w="347" w:type="dxa"/>
          </w:tcPr>
          <w:p w14:paraId="34D3B16B" w14:textId="77777777" w:rsidR="0087601C" w:rsidRPr="006A1EC7" w:rsidRDefault="0087601C" w:rsidP="00D56051">
            <w:pPr>
              <w:rPr>
                <w:sz w:val="13"/>
                <w:szCs w:val="13"/>
              </w:rPr>
            </w:pPr>
            <w:r w:rsidRPr="006A1EC7">
              <w:rPr>
                <w:sz w:val="13"/>
                <w:szCs w:val="13"/>
              </w:rPr>
              <w:t>1</w:t>
            </w:r>
          </w:p>
        </w:tc>
        <w:tc>
          <w:tcPr>
            <w:tcW w:w="530" w:type="dxa"/>
            <w:shd w:val="clear" w:color="auto" w:fill="auto"/>
          </w:tcPr>
          <w:p w14:paraId="384A2AB1" w14:textId="77777777" w:rsidR="0087601C" w:rsidRPr="006A1EC7" w:rsidRDefault="0087601C" w:rsidP="00D56051">
            <w:pPr>
              <w:rPr>
                <w:sz w:val="13"/>
                <w:szCs w:val="13"/>
              </w:rPr>
            </w:pPr>
            <w:r w:rsidRPr="006A1EC7">
              <w:rPr>
                <w:sz w:val="13"/>
                <w:szCs w:val="13"/>
              </w:rPr>
              <w:t>10/10</w:t>
            </w:r>
          </w:p>
        </w:tc>
        <w:tc>
          <w:tcPr>
            <w:tcW w:w="507" w:type="dxa"/>
            <w:shd w:val="clear" w:color="auto" w:fill="auto"/>
          </w:tcPr>
          <w:p w14:paraId="10549375" w14:textId="77777777" w:rsidR="0087601C" w:rsidRPr="006A1EC7" w:rsidRDefault="0087601C" w:rsidP="00D56051">
            <w:pPr>
              <w:rPr>
                <w:sz w:val="13"/>
                <w:szCs w:val="13"/>
              </w:rPr>
            </w:pPr>
            <w:r w:rsidRPr="006A1EC7">
              <w:rPr>
                <w:sz w:val="13"/>
                <w:szCs w:val="13"/>
              </w:rPr>
              <w:t>100%</w:t>
            </w:r>
          </w:p>
        </w:tc>
      </w:tr>
      <w:tr w:rsidR="00744A8E" w:rsidRPr="006A1EC7" w14:paraId="25F0487B" w14:textId="77777777" w:rsidTr="00D56051">
        <w:tc>
          <w:tcPr>
            <w:tcW w:w="796" w:type="dxa"/>
          </w:tcPr>
          <w:p w14:paraId="62EF5C91" w14:textId="77777777" w:rsidR="0087601C" w:rsidRPr="006A1EC7" w:rsidRDefault="0087601C" w:rsidP="00D56051">
            <w:pPr>
              <w:rPr>
                <w:sz w:val="13"/>
                <w:szCs w:val="13"/>
              </w:rPr>
            </w:pPr>
            <w:r w:rsidRPr="006A1EC7">
              <w:rPr>
                <w:sz w:val="13"/>
                <w:szCs w:val="13"/>
              </w:rPr>
              <w:t>TTL</w:t>
            </w:r>
          </w:p>
        </w:tc>
        <w:tc>
          <w:tcPr>
            <w:tcW w:w="427" w:type="dxa"/>
            <w:shd w:val="clear" w:color="auto" w:fill="FFFF00"/>
          </w:tcPr>
          <w:p w14:paraId="13BF1E90" w14:textId="77777777" w:rsidR="0087601C" w:rsidRPr="006A1EC7" w:rsidRDefault="0087601C" w:rsidP="00D56051">
            <w:pPr>
              <w:rPr>
                <w:sz w:val="13"/>
                <w:szCs w:val="13"/>
              </w:rPr>
            </w:pPr>
            <w:r w:rsidRPr="006A1EC7">
              <w:rPr>
                <w:sz w:val="13"/>
                <w:szCs w:val="13"/>
              </w:rPr>
              <w:t>19</w:t>
            </w:r>
          </w:p>
        </w:tc>
        <w:tc>
          <w:tcPr>
            <w:tcW w:w="427" w:type="dxa"/>
            <w:shd w:val="clear" w:color="auto" w:fill="FFFF00"/>
          </w:tcPr>
          <w:p w14:paraId="260445C4" w14:textId="77777777" w:rsidR="0087601C" w:rsidRPr="006A1EC7" w:rsidRDefault="0087601C" w:rsidP="00D56051">
            <w:pPr>
              <w:rPr>
                <w:sz w:val="13"/>
                <w:szCs w:val="13"/>
              </w:rPr>
            </w:pPr>
            <w:r w:rsidRPr="006A1EC7">
              <w:rPr>
                <w:sz w:val="13"/>
                <w:szCs w:val="13"/>
              </w:rPr>
              <w:t>18</w:t>
            </w:r>
          </w:p>
        </w:tc>
        <w:tc>
          <w:tcPr>
            <w:tcW w:w="390" w:type="dxa"/>
          </w:tcPr>
          <w:p w14:paraId="0CF546AC"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38A4FF7D" w14:textId="77777777" w:rsidR="0087601C" w:rsidRPr="006A1EC7" w:rsidRDefault="0087601C" w:rsidP="00D56051">
            <w:pPr>
              <w:rPr>
                <w:sz w:val="13"/>
                <w:szCs w:val="13"/>
              </w:rPr>
            </w:pPr>
            <w:r w:rsidRPr="006A1EC7">
              <w:rPr>
                <w:sz w:val="13"/>
                <w:szCs w:val="13"/>
              </w:rPr>
              <w:t>23</w:t>
            </w:r>
          </w:p>
        </w:tc>
        <w:tc>
          <w:tcPr>
            <w:tcW w:w="428" w:type="dxa"/>
            <w:shd w:val="clear" w:color="auto" w:fill="FFFF00"/>
          </w:tcPr>
          <w:p w14:paraId="2CEA316F" w14:textId="77777777" w:rsidR="0087601C" w:rsidRPr="006A1EC7" w:rsidRDefault="0087601C" w:rsidP="00D56051">
            <w:pPr>
              <w:rPr>
                <w:sz w:val="13"/>
                <w:szCs w:val="13"/>
              </w:rPr>
            </w:pPr>
            <w:r w:rsidRPr="006A1EC7">
              <w:rPr>
                <w:sz w:val="13"/>
                <w:szCs w:val="13"/>
              </w:rPr>
              <w:t>15</w:t>
            </w:r>
          </w:p>
        </w:tc>
        <w:tc>
          <w:tcPr>
            <w:tcW w:w="380" w:type="dxa"/>
          </w:tcPr>
          <w:p w14:paraId="2F772CB1"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09FA5314" w14:textId="77777777" w:rsidR="0087601C" w:rsidRPr="006A1EC7" w:rsidRDefault="0087601C" w:rsidP="00D56051">
            <w:pPr>
              <w:rPr>
                <w:sz w:val="13"/>
                <w:szCs w:val="13"/>
              </w:rPr>
            </w:pPr>
            <w:r w:rsidRPr="006A1EC7">
              <w:rPr>
                <w:sz w:val="13"/>
                <w:szCs w:val="13"/>
              </w:rPr>
              <w:t>18</w:t>
            </w:r>
          </w:p>
        </w:tc>
        <w:tc>
          <w:tcPr>
            <w:tcW w:w="413" w:type="dxa"/>
            <w:shd w:val="clear" w:color="auto" w:fill="FFFF00"/>
          </w:tcPr>
          <w:p w14:paraId="6351D266" w14:textId="77777777" w:rsidR="0087601C" w:rsidRPr="006A1EC7" w:rsidRDefault="0087601C" w:rsidP="00D56051">
            <w:pPr>
              <w:rPr>
                <w:sz w:val="13"/>
                <w:szCs w:val="13"/>
              </w:rPr>
            </w:pPr>
            <w:r w:rsidRPr="006A1EC7">
              <w:rPr>
                <w:sz w:val="13"/>
                <w:szCs w:val="13"/>
              </w:rPr>
              <w:t>18</w:t>
            </w:r>
          </w:p>
        </w:tc>
        <w:tc>
          <w:tcPr>
            <w:tcW w:w="352" w:type="dxa"/>
            <w:shd w:val="clear" w:color="auto" w:fill="auto"/>
          </w:tcPr>
          <w:p w14:paraId="55016C5E"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32A73FC5" w14:textId="77777777" w:rsidR="0087601C" w:rsidRPr="006A1EC7" w:rsidRDefault="0087601C" w:rsidP="00D56051">
            <w:pPr>
              <w:rPr>
                <w:sz w:val="13"/>
                <w:szCs w:val="13"/>
              </w:rPr>
            </w:pPr>
            <w:r w:rsidRPr="006A1EC7">
              <w:rPr>
                <w:sz w:val="13"/>
                <w:szCs w:val="13"/>
              </w:rPr>
              <w:t>25</w:t>
            </w:r>
          </w:p>
        </w:tc>
        <w:tc>
          <w:tcPr>
            <w:tcW w:w="428" w:type="dxa"/>
            <w:shd w:val="clear" w:color="auto" w:fill="FFFF00"/>
          </w:tcPr>
          <w:p w14:paraId="55463870" w14:textId="77777777" w:rsidR="0087601C" w:rsidRPr="006A1EC7" w:rsidRDefault="0087601C" w:rsidP="00D56051">
            <w:pPr>
              <w:rPr>
                <w:sz w:val="13"/>
                <w:szCs w:val="13"/>
              </w:rPr>
            </w:pPr>
            <w:r w:rsidRPr="006A1EC7">
              <w:rPr>
                <w:sz w:val="13"/>
                <w:szCs w:val="13"/>
              </w:rPr>
              <w:t>21</w:t>
            </w:r>
          </w:p>
        </w:tc>
        <w:tc>
          <w:tcPr>
            <w:tcW w:w="352" w:type="dxa"/>
          </w:tcPr>
          <w:p w14:paraId="01F012A8"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72087512" w14:textId="77777777" w:rsidR="0087601C" w:rsidRPr="006A1EC7" w:rsidRDefault="0087601C" w:rsidP="00D56051">
            <w:pPr>
              <w:rPr>
                <w:sz w:val="13"/>
                <w:szCs w:val="13"/>
              </w:rPr>
            </w:pPr>
            <w:r w:rsidRPr="006A1EC7">
              <w:rPr>
                <w:sz w:val="13"/>
                <w:szCs w:val="13"/>
              </w:rPr>
              <w:t>22</w:t>
            </w:r>
          </w:p>
        </w:tc>
        <w:tc>
          <w:tcPr>
            <w:tcW w:w="428" w:type="dxa"/>
            <w:shd w:val="clear" w:color="auto" w:fill="FFFF00"/>
          </w:tcPr>
          <w:p w14:paraId="49801CAA" w14:textId="77777777" w:rsidR="0087601C" w:rsidRPr="006A1EC7" w:rsidRDefault="0087601C" w:rsidP="00D56051">
            <w:pPr>
              <w:rPr>
                <w:sz w:val="13"/>
                <w:szCs w:val="13"/>
              </w:rPr>
            </w:pPr>
            <w:r w:rsidRPr="006A1EC7">
              <w:rPr>
                <w:sz w:val="13"/>
                <w:szCs w:val="13"/>
              </w:rPr>
              <w:t>23</w:t>
            </w:r>
          </w:p>
        </w:tc>
        <w:tc>
          <w:tcPr>
            <w:tcW w:w="352" w:type="dxa"/>
          </w:tcPr>
          <w:p w14:paraId="52D89088" w14:textId="77777777" w:rsidR="0087601C" w:rsidRPr="006A1EC7" w:rsidRDefault="0087601C" w:rsidP="00D56051">
            <w:pPr>
              <w:rPr>
                <w:sz w:val="13"/>
                <w:szCs w:val="13"/>
              </w:rPr>
            </w:pPr>
            <w:r w:rsidRPr="006A1EC7">
              <w:rPr>
                <w:sz w:val="13"/>
                <w:szCs w:val="13"/>
              </w:rPr>
              <w:t>1</w:t>
            </w:r>
          </w:p>
        </w:tc>
        <w:tc>
          <w:tcPr>
            <w:tcW w:w="428" w:type="dxa"/>
            <w:shd w:val="clear" w:color="auto" w:fill="FFFF00"/>
          </w:tcPr>
          <w:p w14:paraId="592D8506" w14:textId="77777777" w:rsidR="0087601C" w:rsidRPr="006A1EC7" w:rsidRDefault="0087601C" w:rsidP="00D56051">
            <w:pPr>
              <w:rPr>
                <w:sz w:val="13"/>
                <w:szCs w:val="13"/>
              </w:rPr>
            </w:pPr>
            <w:r w:rsidRPr="006A1EC7">
              <w:rPr>
                <w:sz w:val="13"/>
                <w:szCs w:val="13"/>
              </w:rPr>
              <w:t>21</w:t>
            </w:r>
          </w:p>
        </w:tc>
        <w:tc>
          <w:tcPr>
            <w:tcW w:w="428" w:type="dxa"/>
            <w:shd w:val="clear" w:color="auto" w:fill="FFFF00"/>
          </w:tcPr>
          <w:p w14:paraId="42552C4B" w14:textId="77777777" w:rsidR="0087601C" w:rsidRPr="006A1EC7" w:rsidRDefault="0087601C" w:rsidP="00D56051">
            <w:pPr>
              <w:rPr>
                <w:sz w:val="13"/>
                <w:szCs w:val="13"/>
              </w:rPr>
            </w:pPr>
            <w:r w:rsidRPr="006A1EC7">
              <w:rPr>
                <w:sz w:val="13"/>
                <w:szCs w:val="13"/>
              </w:rPr>
              <w:t>18</w:t>
            </w:r>
          </w:p>
        </w:tc>
        <w:tc>
          <w:tcPr>
            <w:tcW w:w="352" w:type="dxa"/>
          </w:tcPr>
          <w:p w14:paraId="58910F6A" w14:textId="77777777" w:rsidR="0087601C" w:rsidRPr="006A1EC7" w:rsidRDefault="0087601C" w:rsidP="00D56051">
            <w:pPr>
              <w:rPr>
                <w:sz w:val="13"/>
                <w:szCs w:val="13"/>
              </w:rPr>
            </w:pPr>
            <w:r w:rsidRPr="006A1EC7">
              <w:rPr>
                <w:sz w:val="13"/>
                <w:szCs w:val="13"/>
              </w:rPr>
              <w:t>0</w:t>
            </w:r>
          </w:p>
        </w:tc>
        <w:tc>
          <w:tcPr>
            <w:tcW w:w="428" w:type="dxa"/>
            <w:shd w:val="clear" w:color="auto" w:fill="FFFF00"/>
          </w:tcPr>
          <w:p w14:paraId="50092B00" w14:textId="77777777" w:rsidR="0087601C" w:rsidRPr="006A1EC7" w:rsidRDefault="0087601C" w:rsidP="00D56051">
            <w:pPr>
              <w:rPr>
                <w:sz w:val="13"/>
                <w:szCs w:val="13"/>
              </w:rPr>
            </w:pPr>
            <w:r w:rsidRPr="006A1EC7">
              <w:rPr>
                <w:sz w:val="13"/>
                <w:szCs w:val="13"/>
              </w:rPr>
              <w:t>21</w:t>
            </w:r>
          </w:p>
        </w:tc>
        <w:tc>
          <w:tcPr>
            <w:tcW w:w="429" w:type="dxa"/>
            <w:shd w:val="clear" w:color="auto" w:fill="FFFF00"/>
          </w:tcPr>
          <w:p w14:paraId="0AC38282" w14:textId="77777777" w:rsidR="0087601C" w:rsidRPr="006A1EC7" w:rsidRDefault="0087601C" w:rsidP="00D56051">
            <w:pPr>
              <w:rPr>
                <w:sz w:val="13"/>
                <w:szCs w:val="13"/>
              </w:rPr>
            </w:pPr>
            <w:r w:rsidRPr="006A1EC7">
              <w:rPr>
                <w:sz w:val="13"/>
                <w:szCs w:val="13"/>
              </w:rPr>
              <w:t>20</w:t>
            </w:r>
          </w:p>
        </w:tc>
        <w:tc>
          <w:tcPr>
            <w:tcW w:w="347" w:type="dxa"/>
          </w:tcPr>
          <w:p w14:paraId="09727119" w14:textId="77777777" w:rsidR="0087601C" w:rsidRPr="006A1EC7" w:rsidRDefault="0087601C" w:rsidP="00D56051">
            <w:pPr>
              <w:rPr>
                <w:sz w:val="13"/>
                <w:szCs w:val="13"/>
              </w:rPr>
            </w:pPr>
            <w:r w:rsidRPr="006A1EC7">
              <w:rPr>
                <w:sz w:val="13"/>
                <w:szCs w:val="13"/>
              </w:rPr>
              <w:t>1</w:t>
            </w:r>
          </w:p>
        </w:tc>
        <w:tc>
          <w:tcPr>
            <w:tcW w:w="429" w:type="dxa"/>
            <w:shd w:val="clear" w:color="auto" w:fill="FFFF00"/>
          </w:tcPr>
          <w:p w14:paraId="06698495" w14:textId="77777777" w:rsidR="0087601C" w:rsidRPr="006A1EC7" w:rsidRDefault="0087601C" w:rsidP="00D56051">
            <w:pPr>
              <w:rPr>
                <w:sz w:val="13"/>
                <w:szCs w:val="13"/>
              </w:rPr>
            </w:pPr>
            <w:r w:rsidRPr="006A1EC7">
              <w:rPr>
                <w:sz w:val="13"/>
                <w:szCs w:val="13"/>
              </w:rPr>
              <w:t>21</w:t>
            </w:r>
          </w:p>
        </w:tc>
        <w:tc>
          <w:tcPr>
            <w:tcW w:w="429" w:type="dxa"/>
            <w:shd w:val="clear" w:color="auto" w:fill="FFFF00"/>
          </w:tcPr>
          <w:p w14:paraId="190FF9F5" w14:textId="77777777" w:rsidR="0087601C" w:rsidRPr="006A1EC7" w:rsidRDefault="0087601C" w:rsidP="00D56051">
            <w:pPr>
              <w:rPr>
                <w:sz w:val="13"/>
                <w:szCs w:val="13"/>
              </w:rPr>
            </w:pPr>
            <w:r w:rsidRPr="006A1EC7">
              <w:rPr>
                <w:sz w:val="13"/>
                <w:szCs w:val="13"/>
              </w:rPr>
              <w:t>20</w:t>
            </w:r>
          </w:p>
        </w:tc>
        <w:tc>
          <w:tcPr>
            <w:tcW w:w="347" w:type="dxa"/>
          </w:tcPr>
          <w:p w14:paraId="14F4FDD4" w14:textId="77777777" w:rsidR="0087601C" w:rsidRPr="006A1EC7" w:rsidRDefault="0087601C" w:rsidP="00D56051">
            <w:pPr>
              <w:rPr>
                <w:sz w:val="13"/>
                <w:szCs w:val="13"/>
              </w:rPr>
            </w:pPr>
            <w:r w:rsidRPr="006A1EC7">
              <w:rPr>
                <w:sz w:val="13"/>
                <w:szCs w:val="13"/>
              </w:rPr>
              <w:t>1</w:t>
            </w:r>
          </w:p>
        </w:tc>
        <w:tc>
          <w:tcPr>
            <w:tcW w:w="419" w:type="dxa"/>
            <w:shd w:val="clear" w:color="auto" w:fill="FFFF00"/>
          </w:tcPr>
          <w:p w14:paraId="15BA6EFB" w14:textId="77777777" w:rsidR="0087601C" w:rsidRPr="006A1EC7" w:rsidRDefault="0087601C" w:rsidP="00D56051">
            <w:pPr>
              <w:rPr>
                <w:sz w:val="13"/>
                <w:szCs w:val="13"/>
              </w:rPr>
            </w:pPr>
            <w:r w:rsidRPr="006A1EC7">
              <w:rPr>
                <w:sz w:val="13"/>
                <w:szCs w:val="13"/>
              </w:rPr>
              <w:t>23</w:t>
            </w:r>
          </w:p>
        </w:tc>
        <w:tc>
          <w:tcPr>
            <w:tcW w:w="419" w:type="dxa"/>
            <w:shd w:val="clear" w:color="auto" w:fill="FFFF00"/>
          </w:tcPr>
          <w:p w14:paraId="2C40592B" w14:textId="77777777" w:rsidR="0087601C" w:rsidRPr="006A1EC7" w:rsidRDefault="0087601C" w:rsidP="00D56051">
            <w:pPr>
              <w:rPr>
                <w:sz w:val="13"/>
                <w:szCs w:val="13"/>
              </w:rPr>
            </w:pPr>
            <w:r w:rsidRPr="006A1EC7">
              <w:rPr>
                <w:sz w:val="13"/>
                <w:szCs w:val="13"/>
              </w:rPr>
              <w:t>18</w:t>
            </w:r>
          </w:p>
        </w:tc>
        <w:tc>
          <w:tcPr>
            <w:tcW w:w="347" w:type="dxa"/>
            <w:shd w:val="clear" w:color="auto" w:fill="auto"/>
          </w:tcPr>
          <w:p w14:paraId="3BA99320" w14:textId="77777777" w:rsidR="0087601C" w:rsidRPr="006A1EC7" w:rsidRDefault="0087601C" w:rsidP="00D56051">
            <w:pPr>
              <w:rPr>
                <w:sz w:val="13"/>
                <w:szCs w:val="13"/>
              </w:rPr>
            </w:pPr>
            <w:r w:rsidRPr="006A1EC7">
              <w:rPr>
                <w:sz w:val="13"/>
                <w:szCs w:val="13"/>
              </w:rPr>
              <w:t>0</w:t>
            </w:r>
          </w:p>
        </w:tc>
        <w:tc>
          <w:tcPr>
            <w:tcW w:w="444" w:type="dxa"/>
            <w:shd w:val="clear" w:color="auto" w:fill="FFFF00"/>
          </w:tcPr>
          <w:p w14:paraId="737DF78E" w14:textId="77777777" w:rsidR="0087601C" w:rsidRPr="006A1EC7" w:rsidRDefault="0087601C" w:rsidP="00D56051">
            <w:pPr>
              <w:rPr>
                <w:sz w:val="13"/>
                <w:szCs w:val="13"/>
              </w:rPr>
            </w:pPr>
            <w:r w:rsidRPr="006A1EC7">
              <w:rPr>
                <w:sz w:val="13"/>
                <w:szCs w:val="13"/>
              </w:rPr>
              <w:t>21</w:t>
            </w:r>
          </w:p>
        </w:tc>
        <w:tc>
          <w:tcPr>
            <w:tcW w:w="444" w:type="dxa"/>
            <w:shd w:val="clear" w:color="auto" w:fill="FFFF00"/>
          </w:tcPr>
          <w:p w14:paraId="428F06FC" w14:textId="77777777" w:rsidR="0087601C" w:rsidRPr="006A1EC7" w:rsidRDefault="0087601C" w:rsidP="00D56051">
            <w:pPr>
              <w:rPr>
                <w:sz w:val="13"/>
                <w:szCs w:val="13"/>
              </w:rPr>
            </w:pPr>
            <w:r w:rsidRPr="006A1EC7">
              <w:rPr>
                <w:sz w:val="13"/>
                <w:szCs w:val="13"/>
              </w:rPr>
              <w:t>18</w:t>
            </w:r>
          </w:p>
        </w:tc>
        <w:tc>
          <w:tcPr>
            <w:tcW w:w="347" w:type="dxa"/>
          </w:tcPr>
          <w:p w14:paraId="040BC9E4" w14:textId="77777777" w:rsidR="0087601C" w:rsidRPr="006A1EC7" w:rsidRDefault="0087601C" w:rsidP="00D56051">
            <w:pPr>
              <w:rPr>
                <w:sz w:val="13"/>
                <w:szCs w:val="13"/>
              </w:rPr>
            </w:pPr>
            <w:r w:rsidRPr="006A1EC7">
              <w:rPr>
                <w:sz w:val="13"/>
                <w:szCs w:val="13"/>
              </w:rPr>
              <w:t>0</w:t>
            </w:r>
          </w:p>
        </w:tc>
        <w:tc>
          <w:tcPr>
            <w:tcW w:w="530" w:type="dxa"/>
            <w:shd w:val="clear" w:color="auto" w:fill="auto"/>
          </w:tcPr>
          <w:p w14:paraId="534CE939" w14:textId="77777777" w:rsidR="0087601C" w:rsidRPr="006A1EC7" w:rsidRDefault="0087601C" w:rsidP="00D56051">
            <w:pPr>
              <w:rPr>
                <w:sz w:val="13"/>
                <w:szCs w:val="13"/>
              </w:rPr>
            </w:pPr>
            <w:r w:rsidRPr="006A1EC7">
              <w:rPr>
                <w:sz w:val="13"/>
                <w:szCs w:val="13"/>
              </w:rPr>
              <w:t>5/10</w:t>
            </w:r>
          </w:p>
        </w:tc>
        <w:tc>
          <w:tcPr>
            <w:tcW w:w="507" w:type="dxa"/>
            <w:shd w:val="clear" w:color="auto" w:fill="auto"/>
          </w:tcPr>
          <w:p w14:paraId="489C0ECA" w14:textId="77777777" w:rsidR="0087601C" w:rsidRPr="006A1EC7" w:rsidRDefault="0087601C" w:rsidP="00D56051">
            <w:pPr>
              <w:rPr>
                <w:sz w:val="13"/>
                <w:szCs w:val="13"/>
              </w:rPr>
            </w:pPr>
            <w:r w:rsidRPr="006A1EC7">
              <w:rPr>
                <w:sz w:val="13"/>
                <w:szCs w:val="13"/>
              </w:rPr>
              <w:t>50%</w:t>
            </w:r>
          </w:p>
        </w:tc>
      </w:tr>
      <w:tr w:rsidR="00744A8E" w:rsidRPr="006A1EC7" w14:paraId="0B23C1A5" w14:textId="77777777" w:rsidTr="00D56051">
        <w:tc>
          <w:tcPr>
            <w:tcW w:w="796" w:type="dxa"/>
          </w:tcPr>
          <w:p w14:paraId="0E195C25" w14:textId="77777777" w:rsidR="0087601C" w:rsidRPr="006A1EC7" w:rsidRDefault="0087601C" w:rsidP="00D56051">
            <w:pPr>
              <w:rPr>
                <w:sz w:val="13"/>
                <w:szCs w:val="13"/>
              </w:rPr>
            </w:pPr>
            <w:r w:rsidRPr="006A1EC7">
              <w:rPr>
                <w:sz w:val="13"/>
                <w:szCs w:val="13"/>
              </w:rPr>
              <w:t>Percent agreement (%)</w:t>
            </w:r>
          </w:p>
        </w:tc>
        <w:tc>
          <w:tcPr>
            <w:tcW w:w="427" w:type="dxa"/>
            <w:shd w:val="clear" w:color="auto" w:fill="FFFF00"/>
          </w:tcPr>
          <w:p w14:paraId="7DF0B986" w14:textId="77777777" w:rsidR="0087601C" w:rsidRPr="006A1EC7" w:rsidRDefault="0087601C" w:rsidP="00D56051">
            <w:pPr>
              <w:rPr>
                <w:sz w:val="13"/>
                <w:szCs w:val="13"/>
              </w:rPr>
            </w:pPr>
          </w:p>
        </w:tc>
        <w:tc>
          <w:tcPr>
            <w:tcW w:w="427" w:type="dxa"/>
            <w:shd w:val="clear" w:color="auto" w:fill="FFFF00"/>
          </w:tcPr>
          <w:p w14:paraId="170A51D4" w14:textId="77777777" w:rsidR="0087601C" w:rsidRPr="006A1EC7" w:rsidRDefault="0087601C" w:rsidP="00D56051">
            <w:pPr>
              <w:rPr>
                <w:sz w:val="13"/>
                <w:szCs w:val="13"/>
              </w:rPr>
            </w:pPr>
          </w:p>
        </w:tc>
        <w:tc>
          <w:tcPr>
            <w:tcW w:w="390" w:type="dxa"/>
          </w:tcPr>
          <w:p w14:paraId="01F1E725" w14:textId="77777777" w:rsidR="0087601C" w:rsidRPr="006A1EC7" w:rsidRDefault="0087601C" w:rsidP="00D56051">
            <w:pPr>
              <w:rPr>
                <w:sz w:val="13"/>
                <w:szCs w:val="13"/>
              </w:rPr>
            </w:pPr>
            <w:r w:rsidRPr="006A1EC7">
              <w:rPr>
                <w:sz w:val="13"/>
                <w:szCs w:val="13"/>
              </w:rPr>
              <w:t>100</w:t>
            </w:r>
          </w:p>
        </w:tc>
        <w:tc>
          <w:tcPr>
            <w:tcW w:w="428" w:type="dxa"/>
            <w:shd w:val="clear" w:color="auto" w:fill="FFFF00"/>
          </w:tcPr>
          <w:p w14:paraId="383D219A" w14:textId="77777777" w:rsidR="0087601C" w:rsidRPr="006A1EC7" w:rsidRDefault="0087601C" w:rsidP="00D56051">
            <w:pPr>
              <w:rPr>
                <w:sz w:val="13"/>
                <w:szCs w:val="13"/>
              </w:rPr>
            </w:pPr>
          </w:p>
        </w:tc>
        <w:tc>
          <w:tcPr>
            <w:tcW w:w="428" w:type="dxa"/>
            <w:shd w:val="clear" w:color="auto" w:fill="FFFF00"/>
          </w:tcPr>
          <w:p w14:paraId="1C3EDC67" w14:textId="77777777" w:rsidR="0087601C" w:rsidRPr="006A1EC7" w:rsidRDefault="0087601C" w:rsidP="00D56051">
            <w:pPr>
              <w:rPr>
                <w:sz w:val="13"/>
                <w:szCs w:val="13"/>
              </w:rPr>
            </w:pPr>
          </w:p>
        </w:tc>
        <w:tc>
          <w:tcPr>
            <w:tcW w:w="380" w:type="dxa"/>
          </w:tcPr>
          <w:p w14:paraId="329A2287" w14:textId="77777777" w:rsidR="0087601C" w:rsidRPr="006A1EC7" w:rsidRDefault="0087601C" w:rsidP="00D56051">
            <w:pPr>
              <w:rPr>
                <w:sz w:val="13"/>
                <w:szCs w:val="13"/>
              </w:rPr>
            </w:pPr>
            <w:r w:rsidRPr="006A1EC7">
              <w:rPr>
                <w:sz w:val="13"/>
                <w:szCs w:val="13"/>
              </w:rPr>
              <w:t>80</w:t>
            </w:r>
          </w:p>
        </w:tc>
        <w:tc>
          <w:tcPr>
            <w:tcW w:w="428" w:type="dxa"/>
            <w:shd w:val="clear" w:color="auto" w:fill="FFFF00"/>
          </w:tcPr>
          <w:p w14:paraId="5E2B56FA" w14:textId="77777777" w:rsidR="0087601C" w:rsidRPr="006A1EC7" w:rsidRDefault="0087601C" w:rsidP="00D56051">
            <w:pPr>
              <w:rPr>
                <w:sz w:val="13"/>
                <w:szCs w:val="13"/>
              </w:rPr>
            </w:pPr>
          </w:p>
        </w:tc>
        <w:tc>
          <w:tcPr>
            <w:tcW w:w="413" w:type="dxa"/>
            <w:shd w:val="clear" w:color="auto" w:fill="FFFF00"/>
          </w:tcPr>
          <w:p w14:paraId="3FB4AF07" w14:textId="77777777" w:rsidR="0087601C" w:rsidRPr="006A1EC7" w:rsidRDefault="0087601C" w:rsidP="00D56051">
            <w:pPr>
              <w:rPr>
                <w:sz w:val="13"/>
                <w:szCs w:val="13"/>
              </w:rPr>
            </w:pPr>
          </w:p>
        </w:tc>
        <w:tc>
          <w:tcPr>
            <w:tcW w:w="352" w:type="dxa"/>
            <w:shd w:val="clear" w:color="auto" w:fill="auto"/>
          </w:tcPr>
          <w:p w14:paraId="11AB8333" w14:textId="77777777" w:rsidR="0087601C" w:rsidRPr="006A1EC7" w:rsidRDefault="0087601C" w:rsidP="00D56051">
            <w:pPr>
              <w:rPr>
                <w:sz w:val="13"/>
                <w:szCs w:val="13"/>
              </w:rPr>
            </w:pPr>
            <w:r w:rsidRPr="006A1EC7">
              <w:rPr>
                <w:sz w:val="13"/>
                <w:szCs w:val="13"/>
              </w:rPr>
              <w:t>100</w:t>
            </w:r>
          </w:p>
        </w:tc>
        <w:tc>
          <w:tcPr>
            <w:tcW w:w="419" w:type="dxa"/>
            <w:shd w:val="clear" w:color="auto" w:fill="FFFF00"/>
          </w:tcPr>
          <w:p w14:paraId="7BD50554" w14:textId="77777777" w:rsidR="0087601C" w:rsidRPr="006A1EC7" w:rsidRDefault="0087601C" w:rsidP="00D56051">
            <w:pPr>
              <w:rPr>
                <w:sz w:val="13"/>
                <w:szCs w:val="13"/>
              </w:rPr>
            </w:pPr>
          </w:p>
        </w:tc>
        <w:tc>
          <w:tcPr>
            <w:tcW w:w="428" w:type="dxa"/>
            <w:shd w:val="clear" w:color="auto" w:fill="FFFF00"/>
          </w:tcPr>
          <w:p w14:paraId="363A647F" w14:textId="77777777" w:rsidR="0087601C" w:rsidRPr="006A1EC7" w:rsidRDefault="0087601C" w:rsidP="00D56051">
            <w:pPr>
              <w:rPr>
                <w:sz w:val="13"/>
                <w:szCs w:val="13"/>
              </w:rPr>
            </w:pPr>
          </w:p>
        </w:tc>
        <w:tc>
          <w:tcPr>
            <w:tcW w:w="352" w:type="dxa"/>
          </w:tcPr>
          <w:p w14:paraId="792E3513" w14:textId="77777777" w:rsidR="0087601C" w:rsidRPr="006A1EC7" w:rsidRDefault="0087601C" w:rsidP="00D56051">
            <w:pPr>
              <w:rPr>
                <w:sz w:val="13"/>
                <w:szCs w:val="13"/>
              </w:rPr>
            </w:pPr>
            <w:r w:rsidRPr="006A1EC7">
              <w:rPr>
                <w:sz w:val="13"/>
                <w:szCs w:val="13"/>
              </w:rPr>
              <w:t>80</w:t>
            </w:r>
          </w:p>
        </w:tc>
        <w:tc>
          <w:tcPr>
            <w:tcW w:w="428" w:type="dxa"/>
            <w:shd w:val="clear" w:color="auto" w:fill="FFFF00"/>
          </w:tcPr>
          <w:p w14:paraId="7CB70B0A" w14:textId="77777777" w:rsidR="0087601C" w:rsidRPr="006A1EC7" w:rsidRDefault="0087601C" w:rsidP="00D56051">
            <w:pPr>
              <w:rPr>
                <w:sz w:val="13"/>
                <w:szCs w:val="13"/>
              </w:rPr>
            </w:pPr>
          </w:p>
        </w:tc>
        <w:tc>
          <w:tcPr>
            <w:tcW w:w="428" w:type="dxa"/>
            <w:shd w:val="clear" w:color="auto" w:fill="FFFF00"/>
          </w:tcPr>
          <w:p w14:paraId="152F89A1" w14:textId="77777777" w:rsidR="0087601C" w:rsidRPr="006A1EC7" w:rsidRDefault="0087601C" w:rsidP="00D56051">
            <w:pPr>
              <w:rPr>
                <w:sz w:val="13"/>
                <w:szCs w:val="13"/>
              </w:rPr>
            </w:pPr>
          </w:p>
        </w:tc>
        <w:tc>
          <w:tcPr>
            <w:tcW w:w="352" w:type="dxa"/>
          </w:tcPr>
          <w:p w14:paraId="5BBF96DD" w14:textId="77777777" w:rsidR="0087601C" w:rsidRPr="006A1EC7" w:rsidRDefault="0087601C" w:rsidP="00D56051">
            <w:pPr>
              <w:rPr>
                <w:sz w:val="13"/>
                <w:szCs w:val="13"/>
              </w:rPr>
            </w:pPr>
            <w:r w:rsidRPr="006A1EC7">
              <w:rPr>
                <w:sz w:val="13"/>
                <w:szCs w:val="13"/>
              </w:rPr>
              <w:t>80</w:t>
            </w:r>
          </w:p>
        </w:tc>
        <w:tc>
          <w:tcPr>
            <w:tcW w:w="428" w:type="dxa"/>
            <w:shd w:val="clear" w:color="auto" w:fill="FFFF00"/>
          </w:tcPr>
          <w:p w14:paraId="600B9106" w14:textId="77777777" w:rsidR="0087601C" w:rsidRPr="006A1EC7" w:rsidRDefault="0087601C" w:rsidP="00D56051">
            <w:pPr>
              <w:rPr>
                <w:sz w:val="13"/>
                <w:szCs w:val="13"/>
              </w:rPr>
            </w:pPr>
          </w:p>
        </w:tc>
        <w:tc>
          <w:tcPr>
            <w:tcW w:w="428" w:type="dxa"/>
            <w:shd w:val="clear" w:color="auto" w:fill="FFFF00"/>
          </w:tcPr>
          <w:p w14:paraId="36C76CDF" w14:textId="77777777" w:rsidR="0087601C" w:rsidRPr="006A1EC7" w:rsidRDefault="0087601C" w:rsidP="00D56051">
            <w:pPr>
              <w:rPr>
                <w:sz w:val="13"/>
                <w:szCs w:val="13"/>
              </w:rPr>
            </w:pPr>
          </w:p>
        </w:tc>
        <w:tc>
          <w:tcPr>
            <w:tcW w:w="352" w:type="dxa"/>
          </w:tcPr>
          <w:p w14:paraId="1BA86AC0" w14:textId="77777777" w:rsidR="0087601C" w:rsidRPr="006A1EC7" w:rsidRDefault="0087601C" w:rsidP="00D56051">
            <w:pPr>
              <w:rPr>
                <w:sz w:val="13"/>
                <w:szCs w:val="13"/>
              </w:rPr>
            </w:pPr>
            <w:r w:rsidRPr="006A1EC7">
              <w:rPr>
                <w:sz w:val="13"/>
                <w:szCs w:val="13"/>
              </w:rPr>
              <w:t>90</w:t>
            </w:r>
          </w:p>
        </w:tc>
        <w:tc>
          <w:tcPr>
            <w:tcW w:w="428" w:type="dxa"/>
            <w:shd w:val="clear" w:color="auto" w:fill="FFFF00"/>
          </w:tcPr>
          <w:p w14:paraId="27140305" w14:textId="77777777" w:rsidR="0087601C" w:rsidRPr="006A1EC7" w:rsidRDefault="0087601C" w:rsidP="00D56051">
            <w:pPr>
              <w:rPr>
                <w:sz w:val="13"/>
                <w:szCs w:val="13"/>
              </w:rPr>
            </w:pPr>
          </w:p>
        </w:tc>
        <w:tc>
          <w:tcPr>
            <w:tcW w:w="429" w:type="dxa"/>
            <w:shd w:val="clear" w:color="auto" w:fill="FFFF00"/>
          </w:tcPr>
          <w:p w14:paraId="45C4A44B" w14:textId="77777777" w:rsidR="0087601C" w:rsidRPr="006A1EC7" w:rsidRDefault="0087601C" w:rsidP="00D56051">
            <w:pPr>
              <w:rPr>
                <w:sz w:val="13"/>
                <w:szCs w:val="13"/>
              </w:rPr>
            </w:pPr>
          </w:p>
        </w:tc>
        <w:tc>
          <w:tcPr>
            <w:tcW w:w="347" w:type="dxa"/>
          </w:tcPr>
          <w:p w14:paraId="23DFA40B" w14:textId="77777777" w:rsidR="0087601C" w:rsidRPr="006A1EC7" w:rsidRDefault="0087601C" w:rsidP="00D56051">
            <w:pPr>
              <w:rPr>
                <w:sz w:val="13"/>
                <w:szCs w:val="13"/>
              </w:rPr>
            </w:pPr>
            <w:r w:rsidRPr="006A1EC7">
              <w:rPr>
                <w:sz w:val="13"/>
                <w:szCs w:val="13"/>
              </w:rPr>
              <w:t>100</w:t>
            </w:r>
          </w:p>
        </w:tc>
        <w:tc>
          <w:tcPr>
            <w:tcW w:w="429" w:type="dxa"/>
            <w:shd w:val="clear" w:color="auto" w:fill="FFFF00"/>
          </w:tcPr>
          <w:p w14:paraId="55A508D2" w14:textId="77777777" w:rsidR="0087601C" w:rsidRPr="006A1EC7" w:rsidRDefault="0087601C" w:rsidP="00D56051">
            <w:pPr>
              <w:rPr>
                <w:sz w:val="13"/>
                <w:szCs w:val="13"/>
              </w:rPr>
            </w:pPr>
          </w:p>
        </w:tc>
        <w:tc>
          <w:tcPr>
            <w:tcW w:w="429" w:type="dxa"/>
            <w:shd w:val="clear" w:color="auto" w:fill="FFFF00"/>
          </w:tcPr>
          <w:p w14:paraId="37503D6D" w14:textId="77777777" w:rsidR="0087601C" w:rsidRPr="006A1EC7" w:rsidRDefault="0087601C" w:rsidP="00D56051">
            <w:pPr>
              <w:rPr>
                <w:sz w:val="13"/>
                <w:szCs w:val="13"/>
              </w:rPr>
            </w:pPr>
          </w:p>
        </w:tc>
        <w:tc>
          <w:tcPr>
            <w:tcW w:w="347" w:type="dxa"/>
          </w:tcPr>
          <w:p w14:paraId="1C514FF9" w14:textId="77777777" w:rsidR="0087601C" w:rsidRPr="006A1EC7" w:rsidRDefault="0087601C" w:rsidP="00D56051">
            <w:pPr>
              <w:rPr>
                <w:sz w:val="13"/>
                <w:szCs w:val="13"/>
              </w:rPr>
            </w:pPr>
            <w:r w:rsidRPr="006A1EC7">
              <w:rPr>
                <w:sz w:val="13"/>
                <w:szCs w:val="13"/>
              </w:rPr>
              <w:t>100</w:t>
            </w:r>
          </w:p>
        </w:tc>
        <w:tc>
          <w:tcPr>
            <w:tcW w:w="419" w:type="dxa"/>
            <w:shd w:val="clear" w:color="auto" w:fill="FFFF00"/>
          </w:tcPr>
          <w:p w14:paraId="7675C0F8" w14:textId="77777777" w:rsidR="0087601C" w:rsidRPr="006A1EC7" w:rsidRDefault="0087601C" w:rsidP="00D56051">
            <w:pPr>
              <w:rPr>
                <w:sz w:val="13"/>
                <w:szCs w:val="13"/>
              </w:rPr>
            </w:pPr>
          </w:p>
        </w:tc>
        <w:tc>
          <w:tcPr>
            <w:tcW w:w="419" w:type="dxa"/>
            <w:shd w:val="clear" w:color="auto" w:fill="FFFF00"/>
          </w:tcPr>
          <w:p w14:paraId="1E78EF2B" w14:textId="77777777" w:rsidR="0087601C" w:rsidRPr="006A1EC7" w:rsidRDefault="0087601C" w:rsidP="00D56051">
            <w:pPr>
              <w:rPr>
                <w:sz w:val="13"/>
                <w:szCs w:val="13"/>
              </w:rPr>
            </w:pPr>
          </w:p>
        </w:tc>
        <w:tc>
          <w:tcPr>
            <w:tcW w:w="347" w:type="dxa"/>
            <w:shd w:val="clear" w:color="auto" w:fill="auto"/>
          </w:tcPr>
          <w:p w14:paraId="207C0EE1" w14:textId="77777777" w:rsidR="0087601C" w:rsidRPr="006A1EC7" w:rsidRDefault="0087601C" w:rsidP="00D56051">
            <w:pPr>
              <w:rPr>
                <w:sz w:val="13"/>
                <w:szCs w:val="13"/>
              </w:rPr>
            </w:pPr>
            <w:r w:rsidRPr="006A1EC7">
              <w:rPr>
                <w:sz w:val="13"/>
                <w:szCs w:val="13"/>
              </w:rPr>
              <w:t>70</w:t>
            </w:r>
          </w:p>
        </w:tc>
        <w:tc>
          <w:tcPr>
            <w:tcW w:w="444" w:type="dxa"/>
            <w:shd w:val="clear" w:color="auto" w:fill="FFFF00"/>
          </w:tcPr>
          <w:p w14:paraId="52538170" w14:textId="77777777" w:rsidR="0087601C" w:rsidRPr="006A1EC7" w:rsidRDefault="0087601C" w:rsidP="00D56051">
            <w:pPr>
              <w:rPr>
                <w:sz w:val="13"/>
                <w:szCs w:val="13"/>
              </w:rPr>
            </w:pPr>
          </w:p>
        </w:tc>
        <w:tc>
          <w:tcPr>
            <w:tcW w:w="444" w:type="dxa"/>
            <w:shd w:val="clear" w:color="auto" w:fill="FFFF00"/>
          </w:tcPr>
          <w:p w14:paraId="68998C43" w14:textId="77777777" w:rsidR="0087601C" w:rsidRPr="006A1EC7" w:rsidRDefault="0087601C" w:rsidP="00D56051">
            <w:pPr>
              <w:rPr>
                <w:sz w:val="13"/>
                <w:szCs w:val="13"/>
              </w:rPr>
            </w:pPr>
          </w:p>
        </w:tc>
        <w:tc>
          <w:tcPr>
            <w:tcW w:w="347" w:type="dxa"/>
          </w:tcPr>
          <w:p w14:paraId="65A6D9BA" w14:textId="77777777" w:rsidR="0087601C" w:rsidRPr="006A1EC7" w:rsidRDefault="0087601C" w:rsidP="00D56051">
            <w:pPr>
              <w:rPr>
                <w:sz w:val="13"/>
                <w:szCs w:val="13"/>
              </w:rPr>
            </w:pPr>
            <w:r w:rsidRPr="006A1EC7">
              <w:rPr>
                <w:sz w:val="13"/>
                <w:szCs w:val="13"/>
              </w:rPr>
              <w:t>90</w:t>
            </w:r>
          </w:p>
        </w:tc>
        <w:tc>
          <w:tcPr>
            <w:tcW w:w="530" w:type="dxa"/>
            <w:shd w:val="clear" w:color="auto" w:fill="auto"/>
          </w:tcPr>
          <w:p w14:paraId="4CFBAA48" w14:textId="77777777" w:rsidR="0087601C" w:rsidRPr="006A1EC7" w:rsidRDefault="0087601C" w:rsidP="00D56051">
            <w:pPr>
              <w:rPr>
                <w:sz w:val="13"/>
                <w:szCs w:val="13"/>
              </w:rPr>
            </w:pPr>
          </w:p>
        </w:tc>
        <w:tc>
          <w:tcPr>
            <w:tcW w:w="507" w:type="dxa"/>
            <w:shd w:val="clear" w:color="auto" w:fill="auto"/>
          </w:tcPr>
          <w:p w14:paraId="6DC073B4" w14:textId="77777777" w:rsidR="0087601C" w:rsidRPr="006A1EC7" w:rsidRDefault="0087601C" w:rsidP="00D56051">
            <w:pPr>
              <w:rPr>
                <w:sz w:val="13"/>
                <w:szCs w:val="13"/>
              </w:rPr>
            </w:pPr>
          </w:p>
        </w:tc>
      </w:tr>
    </w:tbl>
    <w:p w14:paraId="75C89727" w14:textId="77777777" w:rsidR="0087601C" w:rsidRPr="006A1EC7" w:rsidRDefault="0087601C" w:rsidP="0087601C">
      <w:pPr>
        <w:rPr>
          <w:b/>
          <w:bCs/>
          <w:sz w:val="13"/>
          <w:szCs w:val="13"/>
        </w:rPr>
      </w:pPr>
    </w:p>
    <w:p w14:paraId="2B5BA68F" w14:textId="77777777" w:rsidR="0087601C" w:rsidRPr="006A1EC7" w:rsidRDefault="0087601C" w:rsidP="0087601C">
      <w:pPr>
        <w:rPr>
          <w:b/>
          <w:bCs/>
          <w:sz w:val="13"/>
          <w:szCs w:val="13"/>
        </w:rPr>
      </w:pPr>
    </w:p>
    <w:p w14:paraId="76118B4C" w14:textId="77777777" w:rsidR="0087601C" w:rsidRPr="006A1EC7" w:rsidRDefault="0087601C" w:rsidP="0087601C">
      <w:pPr>
        <w:rPr>
          <w:b/>
          <w:bCs/>
          <w:sz w:val="13"/>
          <w:szCs w:val="13"/>
        </w:rPr>
      </w:pPr>
    </w:p>
    <w:p w14:paraId="1A19CA2A" w14:textId="77777777" w:rsidR="0087601C" w:rsidRPr="006A1EC7" w:rsidRDefault="0087601C" w:rsidP="0087601C">
      <w:pPr>
        <w:rPr>
          <w:b/>
          <w:bCs/>
          <w:sz w:val="13"/>
          <w:szCs w:val="13"/>
        </w:rPr>
      </w:pPr>
      <w:r w:rsidRPr="006A1EC7">
        <w:rPr>
          <w:b/>
          <w:bCs/>
          <w:sz w:val="13"/>
          <w:szCs w:val="13"/>
        </w:rPr>
        <w:t>VIGNETTE 3: EMMA</w:t>
      </w:r>
    </w:p>
    <w:p w14:paraId="6A6D61EE" w14:textId="77777777" w:rsidR="0087601C" w:rsidRPr="006A1EC7" w:rsidRDefault="0087601C" w:rsidP="0087601C">
      <w:pPr>
        <w:rPr>
          <w:b/>
          <w:bCs/>
          <w:sz w:val="13"/>
          <w:szCs w:val="13"/>
        </w:rPr>
      </w:pPr>
    </w:p>
    <w:tbl>
      <w:tblPr>
        <w:tblStyle w:val="TableGrid"/>
        <w:tblW w:w="0" w:type="auto"/>
        <w:tblLook w:val="04A0" w:firstRow="1" w:lastRow="0" w:firstColumn="1" w:lastColumn="0" w:noHBand="0" w:noVBand="1"/>
      </w:tblPr>
      <w:tblGrid>
        <w:gridCol w:w="795"/>
        <w:gridCol w:w="476"/>
        <w:gridCol w:w="476"/>
        <w:gridCol w:w="477"/>
        <w:gridCol w:w="477"/>
        <w:gridCol w:w="477"/>
        <w:gridCol w:w="458"/>
        <w:gridCol w:w="477"/>
        <w:gridCol w:w="406"/>
        <w:gridCol w:w="406"/>
        <w:gridCol w:w="439"/>
        <w:gridCol w:w="477"/>
        <w:gridCol w:w="406"/>
        <w:gridCol w:w="978"/>
        <w:gridCol w:w="708"/>
      </w:tblGrid>
      <w:tr w:rsidR="0087601C" w:rsidRPr="006A1EC7" w14:paraId="1AF4BB17" w14:textId="77777777" w:rsidTr="00D56051">
        <w:trPr>
          <w:trHeight w:val="558"/>
        </w:trPr>
        <w:tc>
          <w:tcPr>
            <w:tcW w:w="795" w:type="dxa"/>
          </w:tcPr>
          <w:p w14:paraId="0152DBE7" w14:textId="77777777" w:rsidR="0087601C" w:rsidRPr="006A1EC7" w:rsidRDefault="0087601C" w:rsidP="00D56051">
            <w:pPr>
              <w:rPr>
                <w:sz w:val="13"/>
                <w:szCs w:val="13"/>
              </w:rPr>
            </w:pPr>
          </w:p>
        </w:tc>
        <w:tc>
          <w:tcPr>
            <w:tcW w:w="476" w:type="dxa"/>
            <w:shd w:val="clear" w:color="auto" w:fill="FFFF00"/>
          </w:tcPr>
          <w:p w14:paraId="62CAEABB" w14:textId="77777777" w:rsidR="0087601C" w:rsidRPr="006A1EC7" w:rsidRDefault="0087601C" w:rsidP="00D56051">
            <w:pPr>
              <w:rPr>
                <w:sz w:val="13"/>
                <w:szCs w:val="13"/>
              </w:rPr>
            </w:pPr>
            <w:r w:rsidRPr="006A1EC7">
              <w:rPr>
                <w:sz w:val="13"/>
                <w:szCs w:val="13"/>
              </w:rPr>
              <w:t>J1 (1)</w:t>
            </w:r>
          </w:p>
        </w:tc>
        <w:tc>
          <w:tcPr>
            <w:tcW w:w="476" w:type="dxa"/>
            <w:shd w:val="clear" w:color="auto" w:fill="FFFF00"/>
          </w:tcPr>
          <w:p w14:paraId="1D9C0285" w14:textId="77777777" w:rsidR="0087601C" w:rsidRPr="006A1EC7" w:rsidRDefault="0087601C" w:rsidP="00D56051">
            <w:pPr>
              <w:rPr>
                <w:sz w:val="13"/>
                <w:szCs w:val="13"/>
              </w:rPr>
            </w:pPr>
            <w:r w:rsidRPr="006A1EC7">
              <w:rPr>
                <w:sz w:val="13"/>
                <w:szCs w:val="13"/>
              </w:rPr>
              <w:t>J1 (2)</w:t>
            </w:r>
          </w:p>
        </w:tc>
        <w:tc>
          <w:tcPr>
            <w:tcW w:w="477" w:type="dxa"/>
          </w:tcPr>
          <w:p w14:paraId="05196D8E" w14:textId="77777777" w:rsidR="0087601C" w:rsidRPr="006A1EC7" w:rsidRDefault="0087601C" w:rsidP="00D56051">
            <w:pPr>
              <w:rPr>
                <w:sz w:val="13"/>
                <w:szCs w:val="13"/>
              </w:rPr>
            </w:pPr>
          </w:p>
        </w:tc>
        <w:tc>
          <w:tcPr>
            <w:tcW w:w="477" w:type="dxa"/>
            <w:shd w:val="clear" w:color="auto" w:fill="FFFF00"/>
          </w:tcPr>
          <w:p w14:paraId="3B8C8DC5" w14:textId="77777777" w:rsidR="0087601C" w:rsidRPr="006A1EC7" w:rsidRDefault="0087601C" w:rsidP="00D56051">
            <w:pPr>
              <w:rPr>
                <w:sz w:val="13"/>
                <w:szCs w:val="13"/>
              </w:rPr>
            </w:pPr>
            <w:r w:rsidRPr="006A1EC7">
              <w:rPr>
                <w:sz w:val="13"/>
                <w:szCs w:val="13"/>
              </w:rPr>
              <w:t>J2 (1)</w:t>
            </w:r>
          </w:p>
        </w:tc>
        <w:tc>
          <w:tcPr>
            <w:tcW w:w="477" w:type="dxa"/>
            <w:shd w:val="clear" w:color="auto" w:fill="FFFF00"/>
          </w:tcPr>
          <w:p w14:paraId="1A27865A" w14:textId="77777777" w:rsidR="0087601C" w:rsidRPr="006A1EC7" w:rsidRDefault="0087601C" w:rsidP="00D56051">
            <w:pPr>
              <w:rPr>
                <w:sz w:val="13"/>
                <w:szCs w:val="13"/>
              </w:rPr>
            </w:pPr>
            <w:r w:rsidRPr="006A1EC7">
              <w:rPr>
                <w:sz w:val="13"/>
                <w:szCs w:val="13"/>
              </w:rPr>
              <w:t>J2 (2)</w:t>
            </w:r>
          </w:p>
        </w:tc>
        <w:tc>
          <w:tcPr>
            <w:tcW w:w="458" w:type="dxa"/>
          </w:tcPr>
          <w:p w14:paraId="7959DE9E" w14:textId="77777777" w:rsidR="0087601C" w:rsidRPr="006A1EC7" w:rsidRDefault="0087601C" w:rsidP="00D56051">
            <w:pPr>
              <w:rPr>
                <w:sz w:val="13"/>
                <w:szCs w:val="13"/>
              </w:rPr>
            </w:pPr>
          </w:p>
        </w:tc>
        <w:tc>
          <w:tcPr>
            <w:tcW w:w="477" w:type="dxa"/>
            <w:shd w:val="clear" w:color="auto" w:fill="FFFF00"/>
          </w:tcPr>
          <w:p w14:paraId="07BE4EE2" w14:textId="77777777" w:rsidR="0087601C" w:rsidRPr="006A1EC7" w:rsidRDefault="0087601C" w:rsidP="00D56051">
            <w:pPr>
              <w:rPr>
                <w:sz w:val="13"/>
                <w:szCs w:val="13"/>
              </w:rPr>
            </w:pPr>
            <w:r w:rsidRPr="006A1EC7">
              <w:rPr>
                <w:sz w:val="13"/>
                <w:szCs w:val="13"/>
              </w:rPr>
              <w:t>J3 (1)</w:t>
            </w:r>
          </w:p>
        </w:tc>
        <w:tc>
          <w:tcPr>
            <w:tcW w:w="406" w:type="dxa"/>
            <w:shd w:val="clear" w:color="auto" w:fill="FFFF00"/>
          </w:tcPr>
          <w:p w14:paraId="2AE4F4C4" w14:textId="77777777" w:rsidR="0087601C" w:rsidRPr="006A1EC7" w:rsidRDefault="0087601C" w:rsidP="00D56051">
            <w:pPr>
              <w:rPr>
                <w:sz w:val="13"/>
                <w:szCs w:val="13"/>
              </w:rPr>
            </w:pPr>
            <w:r w:rsidRPr="006A1EC7">
              <w:rPr>
                <w:sz w:val="13"/>
                <w:szCs w:val="13"/>
              </w:rPr>
              <w:t>J3 2)</w:t>
            </w:r>
          </w:p>
        </w:tc>
        <w:tc>
          <w:tcPr>
            <w:tcW w:w="406" w:type="dxa"/>
            <w:shd w:val="clear" w:color="auto" w:fill="auto"/>
          </w:tcPr>
          <w:p w14:paraId="2C8ED3AD" w14:textId="77777777" w:rsidR="0087601C" w:rsidRPr="006A1EC7" w:rsidRDefault="0087601C" w:rsidP="00D56051">
            <w:pPr>
              <w:rPr>
                <w:sz w:val="13"/>
                <w:szCs w:val="13"/>
              </w:rPr>
            </w:pPr>
          </w:p>
        </w:tc>
        <w:tc>
          <w:tcPr>
            <w:tcW w:w="439" w:type="dxa"/>
            <w:shd w:val="clear" w:color="auto" w:fill="FFFF00"/>
          </w:tcPr>
          <w:p w14:paraId="7E5B70D5" w14:textId="77777777" w:rsidR="0087601C" w:rsidRPr="006A1EC7" w:rsidRDefault="0087601C" w:rsidP="00D56051">
            <w:pPr>
              <w:rPr>
                <w:sz w:val="13"/>
                <w:szCs w:val="13"/>
              </w:rPr>
            </w:pPr>
            <w:r w:rsidRPr="006A1EC7">
              <w:rPr>
                <w:sz w:val="13"/>
                <w:szCs w:val="13"/>
              </w:rPr>
              <w:t>J4 (1)</w:t>
            </w:r>
          </w:p>
        </w:tc>
        <w:tc>
          <w:tcPr>
            <w:tcW w:w="477" w:type="dxa"/>
            <w:shd w:val="clear" w:color="auto" w:fill="FFFF00"/>
          </w:tcPr>
          <w:p w14:paraId="1504852E" w14:textId="77777777" w:rsidR="0087601C" w:rsidRPr="006A1EC7" w:rsidRDefault="0087601C" w:rsidP="00D56051">
            <w:pPr>
              <w:rPr>
                <w:sz w:val="13"/>
                <w:szCs w:val="13"/>
              </w:rPr>
            </w:pPr>
            <w:r w:rsidRPr="006A1EC7">
              <w:rPr>
                <w:sz w:val="13"/>
                <w:szCs w:val="13"/>
              </w:rPr>
              <w:t>J4 (2)</w:t>
            </w:r>
          </w:p>
        </w:tc>
        <w:tc>
          <w:tcPr>
            <w:tcW w:w="406" w:type="dxa"/>
          </w:tcPr>
          <w:p w14:paraId="6975FB78" w14:textId="77777777" w:rsidR="0087601C" w:rsidRPr="006A1EC7" w:rsidRDefault="0087601C" w:rsidP="00D56051">
            <w:pPr>
              <w:rPr>
                <w:sz w:val="13"/>
                <w:szCs w:val="13"/>
              </w:rPr>
            </w:pPr>
          </w:p>
        </w:tc>
        <w:tc>
          <w:tcPr>
            <w:tcW w:w="978" w:type="dxa"/>
            <w:shd w:val="clear" w:color="auto" w:fill="auto"/>
          </w:tcPr>
          <w:p w14:paraId="6E3D088D" w14:textId="77777777" w:rsidR="0087601C" w:rsidRPr="006A1EC7" w:rsidRDefault="0087601C" w:rsidP="00D56051">
            <w:pPr>
              <w:rPr>
                <w:sz w:val="13"/>
                <w:szCs w:val="13"/>
              </w:rPr>
            </w:pPr>
          </w:p>
        </w:tc>
        <w:tc>
          <w:tcPr>
            <w:tcW w:w="708" w:type="dxa"/>
            <w:shd w:val="clear" w:color="auto" w:fill="auto"/>
          </w:tcPr>
          <w:p w14:paraId="367E00E2" w14:textId="77777777" w:rsidR="0087601C" w:rsidRPr="006A1EC7" w:rsidRDefault="0087601C" w:rsidP="00D56051">
            <w:pPr>
              <w:rPr>
                <w:sz w:val="13"/>
                <w:szCs w:val="13"/>
              </w:rPr>
            </w:pPr>
          </w:p>
        </w:tc>
      </w:tr>
      <w:tr w:rsidR="0087601C" w:rsidRPr="006A1EC7" w14:paraId="67592506" w14:textId="77777777" w:rsidTr="00D56051">
        <w:tc>
          <w:tcPr>
            <w:tcW w:w="795" w:type="dxa"/>
          </w:tcPr>
          <w:p w14:paraId="39BA24CB" w14:textId="77777777" w:rsidR="0087601C" w:rsidRPr="006A1EC7" w:rsidRDefault="0087601C" w:rsidP="00D56051">
            <w:pPr>
              <w:rPr>
                <w:sz w:val="13"/>
                <w:szCs w:val="13"/>
              </w:rPr>
            </w:pPr>
            <w:r w:rsidRPr="006A1EC7">
              <w:rPr>
                <w:sz w:val="13"/>
                <w:szCs w:val="13"/>
              </w:rPr>
              <w:t>FCE</w:t>
            </w:r>
          </w:p>
        </w:tc>
        <w:tc>
          <w:tcPr>
            <w:tcW w:w="476" w:type="dxa"/>
            <w:shd w:val="clear" w:color="auto" w:fill="FFFF00"/>
          </w:tcPr>
          <w:p w14:paraId="35224581"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7ED143D2" w14:textId="77777777" w:rsidR="0087601C" w:rsidRPr="006A1EC7" w:rsidRDefault="0087601C" w:rsidP="00D56051">
            <w:pPr>
              <w:rPr>
                <w:sz w:val="13"/>
                <w:szCs w:val="13"/>
              </w:rPr>
            </w:pPr>
            <w:r w:rsidRPr="006A1EC7">
              <w:rPr>
                <w:sz w:val="13"/>
                <w:szCs w:val="13"/>
              </w:rPr>
              <w:t>0</w:t>
            </w:r>
          </w:p>
        </w:tc>
        <w:tc>
          <w:tcPr>
            <w:tcW w:w="477" w:type="dxa"/>
          </w:tcPr>
          <w:p w14:paraId="3D23C6F3"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0943544"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0CC3523" w14:textId="77777777" w:rsidR="0087601C" w:rsidRPr="006A1EC7" w:rsidRDefault="0087601C" w:rsidP="00D56051">
            <w:pPr>
              <w:rPr>
                <w:sz w:val="13"/>
                <w:szCs w:val="13"/>
              </w:rPr>
            </w:pPr>
            <w:r w:rsidRPr="006A1EC7">
              <w:rPr>
                <w:sz w:val="13"/>
                <w:szCs w:val="13"/>
              </w:rPr>
              <w:t>0</w:t>
            </w:r>
          </w:p>
        </w:tc>
        <w:tc>
          <w:tcPr>
            <w:tcW w:w="458" w:type="dxa"/>
          </w:tcPr>
          <w:p w14:paraId="651F6BD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178CEC8"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12A18090"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58CDC6BD" w14:textId="77777777" w:rsidR="0087601C" w:rsidRPr="006A1EC7" w:rsidRDefault="0087601C" w:rsidP="00D56051">
            <w:pPr>
              <w:rPr>
                <w:sz w:val="13"/>
                <w:szCs w:val="13"/>
              </w:rPr>
            </w:pPr>
            <w:r w:rsidRPr="006A1EC7">
              <w:rPr>
                <w:sz w:val="13"/>
                <w:szCs w:val="13"/>
              </w:rPr>
              <w:t>1</w:t>
            </w:r>
          </w:p>
        </w:tc>
        <w:tc>
          <w:tcPr>
            <w:tcW w:w="439" w:type="dxa"/>
            <w:shd w:val="clear" w:color="auto" w:fill="FFFF00"/>
          </w:tcPr>
          <w:p w14:paraId="694E2F5D"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77BFE1D" w14:textId="77777777" w:rsidR="0087601C" w:rsidRPr="006A1EC7" w:rsidRDefault="0087601C" w:rsidP="00D56051">
            <w:pPr>
              <w:rPr>
                <w:sz w:val="13"/>
                <w:szCs w:val="13"/>
              </w:rPr>
            </w:pPr>
            <w:r w:rsidRPr="006A1EC7">
              <w:rPr>
                <w:sz w:val="13"/>
                <w:szCs w:val="13"/>
              </w:rPr>
              <w:t>0</w:t>
            </w:r>
          </w:p>
        </w:tc>
        <w:tc>
          <w:tcPr>
            <w:tcW w:w="406" w:type="dxa"/>
          </w:tcPr>
          <w:p w14:paraId="6AD09DFC" w14:textId="77777777" w:rsidR="0087601C" w:rsidRPr="006A1EC7" w:rsidRDefault="0087601C" w:rsidP="00D56051">
            <w:pPr>
              <w:rPr>
                <w:sz w:val="13"/>
                <w:szCs w:val="13"/>
              </w:rPr>
            </w:pPr>
            <w:r w:rsidRPr="006A1EC7">
              <w:rPr>
                <w:sz w:val="13"/>
                <w:szCs w:val="13"/>
              </w:rPr>
              <w:t>1</w:t>
            </w:r>
          </w:p>
        </w:tc>
        <w:tc>
          <w:tcPr>
            <w:tcW w:w="978" w:type="dxa"/>
            <w:shd w:val="clear" w:color="auto" w:fill="auto"/>
          </w:tcPr>
          <w:p w14:paraId="6049CBB3" w14:textId="77777777" w:rsidR="0087601C" w:rsidRPr="006A1EC7" w:rsidRDefault="0087601C" w:rsidP="00D56051">
            <w:pPr>
              <w:rPr>
                <w:sz w:val="13"/>
                <w:szCs w:val="13"/>
              </w:rPr>
            </w:pPr>
            <w:r w:rsidRPr="006A1EC7">
              <w:rPr>
                <w:sz w:val="13"/>
                <w:szCs w:val="13"/>
              </w:rPr>
              <w:t>4/4</w:t>
            </w:r>
          </w:p>
        </w:tc>
        <w:tc>
          <w:tcPr>
            <w:tcW w:w="708" w:type="dxa"/>
            <w:shd w:val="clear" w:color="auto" w:fill="auto"/>
          </w:tcPr>
          <w:p w14:paraId="0A187550" w14:textId="77777777" w:rsidR="0087601C" w:rsidRPr="006A1EC7" w:rsidRDefault="0087601C" w:rsidP="00D56051">
            <w:pPr>
              <w:rPr>
                <w:sz w:val="13"/>
                <w:szCs w:val="13"/>
              </w:rPr>
            </w:pPr>
            <w:r w:rsidRPr="006A1EC7">
              <w:rPr>
                <w:sz w:val="13"/>
                <w:szCs w:val="13"/>
              </w:rPr>
              <w:t>100%</w:t>
            </w:r>
          </w:p>
        </w:tc>
      </w:tr>
      <w:tr w:rsidR="0087601C" w:rsidRPr="006A1EC7" w14:paraId="5003432A" w14:textId="77777777" w:rsidTr="00D56051">
        <w:tc>
          <w:tcPr>
            <w:tcW w:w="795" w:type="dxa"/>
          </w:tcPr>
          <w:p w14:paraId="61EE4266" w14:textId="77777777" w:rsidR="0087601C" w:rsidRPr="006A1EC7" w:rsidRDefault="0087601C" w:rsidP="00D56051">
            <w:pPr>
              <w:rPr>
                <w:sz w:val="13"/>
                <w:szCs w:val="13"/>
              </w:rPr>
            </w:pPr>
            <w:r w:rsidRPr="006A1EC7">
              <w:rPr>
                <w:sz w:val="13"/>
                <w:szCs w:val="13"/>
              </w:rPr>
              <w:t>EPY</w:t>
            </w:r>
          </w:p>
        </w:tc>
        <w:tc>
          <w:tcPr>
            <w:tcW w:w="476" w:type="dxa"/>
            <w:shd w:val="clear" w:color="auto" w:fill="FFFF00"/>
          </w:tcPr>
          <w:p w14:paraId="0C76407D" w14:textId="77777777" w:rsidR="0087601C" w:rsidRPr="006A1EC7" w:rsidRDefault="0087601C" w:rsidP="00D56051">
            <w:pPr>
              <w:rPr>
                <w:sz w:val="13"/>
                <w:szCs w:val="13"/>
              </w:rPr>
            </w:pPr>
            <w:r w:rsidRPr="006A1EC7">
              <w:rPr>
                <w:sz w:val="13"/>
                <w:szCs w:val="13"/>
              </w:rPr>
              <w:t>10</w:t>
            </w:r>
          </w:p>
        </w:tc>
        <w:tc>
          <w:tcPr>
            <w:tcW w:w="476" w:type="dxa"/>
            <w:shd w:val="clear" w:color="auto" w:fill="FFFF00"/>
          </w:tcPr>
          <w:p w14:paraId="2F94B16F" w14:textId="77777777" w:rsidR="0087601C" w:rsidRPr="006A1EC7" w:rsidRDefault="0087601C" w:rsidP="00D56051">
            <w:pPr>
              <w:rPr>
                <w:sz w:val="13"/>
                <w:szCs w:val="13"/>
              </w:rPr>
            </w:pPr>
            <w:r w:rsidRPr="006A1EC7">
              <w:rPr>
                <w:sz w:val="13"/>
                <w:szCs w:val="13"/>
              </w:rPr>
              <w:t>10</w:t>
            </w:r>
          </w:p>
        </w:tc>
        <w:tc>
          <w:tcPr>
            <w:tcW w:w="477" w:type="dxa"/>
          </w:tcPr>
          <w:p w14:paraId="7667C7B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6668464"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25F1A501" w14:textId="77777777" w:rsidR="0087601C" w:rsidRPr="006A1EC7" w:rsidRDefault="0087601C" w:rsidP="00D56051">
            <w:pPr>
              <w:rPr>
                <w:sz w:val="13"/>
                <w:szCs w:val="13"/>
              </w:rPr>
            </w:pPr>
            <w:r w:rsidRPr="006A1EC7">
              <w:rPr>
                <w:sz w:val="13"/>
                <w:szCs w:val="13"/>
              </w:rPr>
              <w:t>11</w:t>
            </w:r>
          </w:p>
        </w:tc>
        <w:tc>
          <w:tcPr>
            <w:tcW w:w="458" w:type="dxa"/>
          </w:tcPr>
          <w:p w14:paraId="4253E57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795DDDE" w14:textId="77777777" w:rsidR="0087601C" w:rsidRPr="006A1EC7" w:rsidRDefault="0087601C" w:rsidP="00D56051">
            <w:pPr>
              <w:rPr>
                <w:sz w:val="13"/>
                <w:szCs w:val="13"/>
              </w:rPr>
            </w:pPr>
            <w:r w:rsidRPr="006A1EC7">
              <w:rPr>
                <w:sz w:val="13"/>
                <w:szCs w:val="13"/>
              </w:rPr>
              <w:t>10</w:t>
            </w:r>
          </w:p>
        </w:tc>
        <w:tc>
          <w:tcPr>
            <w:tcW w:w="406" w:type="dxa"/>
            <w:shd w:val="clear" w:color="auto" w:fill="FFFF00"/>
          </w:tcPr>
          <w:p w14:paraId="3B6D61DE" w14:textId="77777777" w:rsidR="0087601C" w:rsidRPr="006A1EC7" w:rsidRDefault="0087601C" w:rsidP="00D56051">
            <w:pPr>
              <w:rPr>
                <w:sz w:val="13"/>
                <w:szCs w:val="13"/>
              </w:rPr>
            </w:pPr>
            <w:r w:rsidRPr="006A1EC7">
              <w:rPr>
                <w:sz w:val="13"/>
                <w:szCs w:val="13"/>
              </w:rPr>
              <w:t>12</w:t>
            </w:r>
          </w:p>
        </w:tc>
        <w:tc>
          <w:tcPr>
            <w:tcW w:w="406" w:type="dxa"/>
            <w:shd w:val="clear" w:color="auto" w:fill="auto"/>
          </w:tcPr>
          <w:p w14:paraId="6E5061C7"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1CC41139" w14:textId="77777777" w:rsidR="0087601C" w:rsidRPr="006A1EC7" w:rsidRDefault="0087601C" w:rsidP="00D56051">
            <w:pPr>
              <w:rPr>
                <w:sz w:val="13"/>
                <w:szCs w:val="13"/>
              </w:rPr>
            </w:pPr>
            <w:r w:rsidRPr="006A1EC7">
              <w:rPr>
                <w:sz w:val="13"/>
                <w:szCs w:val="13"/>
              </w:rPr>
              <w:t>9</w:t>
            </w:r>
          </w:p>
        </w:tc>
        <w:tc>
          <w:tcPr>
            <w:tcW w:w="477" w:type="dxa"/>
            <w:shd w:val="clear" w:color="auto" w:fill="FFFF00"/>
          </w:tcPr>
          <w:p w14:paraId="28D569FC" w14:textId="77777777" w:rsidR="0087601C" w:rsidRPr="006A1EC7" w:rsidRDefault="0087601C" w:rsidP="00D56051">
            <w:pPr>
              <w:rPr>
                <w:sz w:val="13"/>
                <w:szCs w:val="13"/>
              </w:rPr>
            </w:pPr>
            <w:r w:rsidRPr="006A1EC7">
              <w:rPr>
                <w:sz w:val="13"/>
                <w:szCs w:val="13"/>
              </w:rPr>
              <w:t>9</w:t>
            </w:r>
          </w:p>
        </w:tc>
        <w:tc>
          <w:tcPr>
            <w:tcW w:w="406" w:type="dxa"/>
          </w:tcPr>
          <w:p w14:paraId="1E4FBDD1" w14:textId="77777777" w:rsidR="0087601C" w:rsidRPr="006A1EC7" w:rsidRDefault="0087601C" w:rsidP="00D56051">
            <w:pPr>
              <w:rPr>
                <w:sz w:val="13"/>
                <w:szCs w:val="13"/>
              </w:rPr>
            </w:pPr>
            <w:r w:rsidRPr="006A1EC7">
              <w:rPr>
                <w:sz w:val="13"/>
                <w:szCs w:val="13"/>
              </w:rPr>
              <w:t>1</w:t>
            </w:r>
          </w:p>
        </w:tc>
        <w:tc>
          <w:tcPr>
            <w:tcW w:w="978" w:type="dxa"/>
            <w:shd w:val="clear" w:color="auto" w:fill="auto"/>
          </w:tcPr>
          <w:p w14:paraId="7431C986" w14:textId="77777777" w:rsidR="0087601C" w:rsidRPr="006A1EC7" w:rsidRDefault="0087601C" w:rsidP="00D56051">
            <w:pPr>
              <w:rPr>
                <w:sz w:val="13"/>
                <w:szCs w:val="13"/>
              </w:rPr>
            </w:pPr>
            <w:r w:rsidRPr="006A1EC7">
              <w:rPr>
                <w:sz w:val="13"/>
                <w:szCs w:val="13"/>
              </w:rPr>
              <w:t>3 / 4</w:t>
            </w:r>
          </w:p>
        </w:tc>
        <w:tc>
          <w:tcPr>
            <w:tcW w:w="708" w:type="dxa"/>
            <w:shd w:val="clear" w:color="auto" w:fill="auto"/>
          </w:tcPr>
          <w:p w14:paraId="350D0846" w14:textId="77777777" w:rsidR="0087601C" w:rsidRPr="006A1EC7" w:rsidRDefault="0087601C" w:rsidP="00D56051">
            <w:pPr>
              <w:rPr>
                <w:sz w:val="13"/>
                <w:szCs w:val="13"/>
              </w:rPr>
            </w:pPr>
            <w:r w:rsidRPr="006A1EC7">
              <w:rPr>
                <w:sz w:val="13"/>
                <w:szCs w:val="13"/>
              </w:rPr>
              <w:t>75%</w:t>
            </w:r>
          </w:p>
        </w:tc>
      </w:tr>
      <w:tr w:rsidR="0087601C" w:rsidRPr="006A1EC7" w14:paraId="4AA82DFA" w14:textId="77777777" w:rsidTr="00D56051">
        <w:tc>
          <w:tcPr>
            <w:tcW w:w="795" w:type="dxa"/>
          </w:tcPr>
          <w:p w14:paraId="28348504" w14:textId="77777777" w:rsidR="0087601C" w:rsidRPr="006A1EC7" w:rsidRDefault="0087601C" w:rsidP="00D56051">
            <w:pPr>
              <w:rPr>
                <w:sz w:val="13"/>
                <w:szCs w:val="13"/>
              </w:rPr>
            </w:pPr>
            <w:r w:rsidRPr="006A1EC7">
              <w:rPr>
                <w:sz w:val="13"/>
                <w:szCs w:val="13"/>
              </w:rPr>
              <w:t>GST</w:t>
            </w:r>
          </w:p>
        </w:tc>
        <w:tc>
          <w:tcPr>
            <w:tcW w:w="476" w:type="dxa"/>
            <w:shd w:val="clear" w:color="auto" w:fill="FFFF00"/>
          </w:tcPr>
          <w:p w14:paraId="01DFAD5E" w14:textId="77777777" w:rsidR="0087601C" w:rsidRPr="006A1EC7" w:rsidRDefault="0087601C" w:rsidP="00D56051">
            <w:pPr>
              <w:rPr>
                <w:sz w:val="13"/>
                <w:szCs w:val="13"/>
              </w:rPr>
            </w:pPr>
            <w:r w:rsidRPr="006A1EC7">
              <w:rPr>
                <w:sz w:val="13"/>
                <w:szCs w:val="13"/>
              </w:rPr>
              <w:t>18</w:t>
            </w:r>
          </w:p>
        </w:tc>
        <w:tc>
          <w:tcPr>
            <w:tcW w:w="476" w:type="dxa"/>
            <w:shd w:val="clear" w:color="auto" w:fill="FFFF00"/>
          </w:tcPr>
          <w:p w14:paraId="7D0AAA7D" w14:textId="77777777" w:rsidR="0087601C" w:rsidRPr="006A1EC7" w:rsidRDefault="0087601C" w:rsidP="00D56051">
            <w:pPr>
              <w:rPr>
                <w:sz w:val="13"/>
                <w:szCs w:val="13"/>
              </w:rPr>
            </w:pPr>
            <w:r w:rsidRPr="006A1EC7">
              <w:rPr>
                <w:sz w:val="13"/>
                <w:szCs w:val="13"/>
              </w:rPr>
              <w:t>21</w:t>
            </w:r>
          </w:p>
        </w:tc>
        <w:tc>
          <w:tcPr>
            <w:tcW w:w="477" w:type="dxa"/>
          </w:tcPr>
          <w:p w14:paraId="1D3B7839"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D7FE206" w14:textId="77777777" w:rsidR="0087601C" w:rsidRPr="006A1EC7" w:rsidRDefault="0087601C" w:rsidP="00D56051">
            <w:pPr>
              <w:rPr>
                <w:sz w:val="13"/>
                <w:szCs w:val="13"/>
              </w:rPr>
            </w:pPr>
            <w:r w:rsidRPr="006A1EC7">
              <w:rPr>
                <w:sz w:val="13"/>
                <w:szCs w:val="13"/>
              </w:rPr>
              <w:t>17</w:t>
            </w:r>
          </w:p>
        </w:tc>
        <w:tc>
          <w:tcPr>
            <w:tcW w:w="477" w:type="dxa"/>
            <w:shd w:val="clear" w:color="auto" w:fill="FFFF00"/>
          </w:tcPr>
          <w:p w14:paraId="7E0EC64F" w14:textId="77777777" w:rsidR="0087601C" w:rsidRPr="006A1EC7" w:rsidRDefault="0087601C" w:rsidP="00D56051">
            <w:pPr>
              <w:rPr>
                <w:sz w:val="13"/>
                <w:szCs w:val="13"/>
              </w:rPr>
            </w:pPr>
            <w:r w:rsidRPr="006A1EC7">
              <w:rPr>
                <w:sz w:val="13"/>
                <w:szCs w:val="13"/>
              </w:rPr>
              <w:t>19</w:t>
            </w:r>
          </w:p>
        </w:tc>
        <w:tc>
          <w:tcPr>
            <w:tcW w:w="458" w:type="dxa"/>
          </w:tcPr>
          <w:p w14:paraId="17DAC581"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ED7A2A1" w14:textId="77777777" w:rsidR="0087601C" w:rsidRPr="006A1EC7" w:rsidRDefault="0087601C" w:rsidP="00D56051">
            <w:pPr>
              <w:rPr>
                <w:sz w:val="13"/>
                <w:szCs w:val="13"/>
              </w:rPr>
            </w:pPr>
            <w:r w:rsidRPr="006A1EC7">
              <w:rPr>
                <w:sz w:val="13"/>
                <w:szCs w:val="13"/>
              </w:rPr>
              <w:t>21</w:t>
            </w:r>
          </w:p>
        </w:tc>
        <w:tc>
          <w:tcPr>
            <w:tcW w:w="406" w:type="dxa"/>
            <w:shd w:val="clear" w:color="auto" w:fill="FFFF00"/>
          </w:tcPr>
          <w:p w14:paraId="7186E03D" w14:textId="77777777" w:rsidR="0087601C" w:rsidRPr="006A1EC7" w:rsidRDefault="0087601C" w:rsidP="00D56051">
            <w:pPr>
              <w:rPr>
                <w:sz w:val="13"/>
                <w:szCs w:val="13"/>
              </w:rPr>
            </w:pPr>
            <w:r w:rsidRPr="006A1EC7">
              <w:rPr>
                <w:sz w:val="13"/>
                <w:szCs w:val="13"/>
              </w:rPr>
              <w:t>14</w:t>
            </w:r>
          </w:p>
        </w:tc>
        <w:tc>
          <w:tcPr>
            <w:tcW w:w="406" w:type="dxa"/>
            <w:shd w:val="clear" w:color="auto" w:fill="auto"/>
          </w:tcPr>
          <w:p w14:paraId="5E5577A0"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0FDB0B85" w14:textId="77777777" w:rsidR="0087601C" w:rsidRPr="006A1EC7" w:rsidRDefault="0087601C" w:rsidP="00D56051">
            <w:pPr>
              <w:rPr>
                <w:sz w:val="13"/>
                <w:szCs w:val="13"/>
              </w:rPr>
            </w:pPr>
            <w:r w:rsidRPr="006A1EC7">
              <w:rPr>
                <w:sz w:val="13"/>
                <w:szCs w:val="13"/>
              </w:rPr>
              <w:t>18</w:t>
            </w:r>
          </w:p>
        </w:tc>
        <w:tc>
          <w:tcPr>
            <w:tcW w:w="477" w:type="dxa"/>
            <w:shd w:val="clear" w:color="auto" w:fill="FFFF00"/>
          </w:tcPr>
          <w:p w14:paraId="6155B159" w14:textId="77777777" w:rsidR="0087601C" w:rsidRPr="006A1EC7" w:rsidRDefault="0087601C" w:rsidP="00D56051">
            <w:pPr>
              <w:rPr>
                <w:sz w:val="13"/>
                <w:szCs w:val="13"/>
              </w:rPr>
            </w:pPr>
            <w:r w:rsidRPr="006A1EC7">
              <w:rPr>
                <w:sz w:val="13"/>
                <w:szCs w:val="13"/>
              </w:rPr>
              <w:t>10</w:t>
            </w:r>
          </w:p>
        </w:tc>
        <w:tc>
          <w:tcPr>
            <w:tcW w:w="406" w:type="dxa"/>
          </w:tcPr>
          <w:p w14:paraId="2F81A0D7" w14:textId="77777777" w:rsidR="0087601C" w:rsidRPr="006A1EC7" w:rsidRDefault="0087601C" w:rsidP="00D56051">
            <w:pPr>
              <w:rPr>
                <w:sz w:val="13"/>
                <w:szCs w:val="13"/>
              </w:rPr>
            </w:pPr>
            <w:r w:rsidRPr="006A1EC7">
              <w:rPr>
                <w:sz w:val="13"/>
                <w:szCs w:val="13"/>
              </w:rPr>
              <w:t>0</w:t>
            </w:r>
          </w:p>
        </w:tc>
        <w:tc>
          <w:tcPr>
            <w:tcW w:w="978" w:type="dxa"/>
            <w:shd w:val="clear" w:color="auto" w:fill="auto"/>
          </w:tcPr>
          <w:p w14:paraId="1B04151A" w14:textId="77777777" w:rsidR="0087601C" w:rsidRPr="006A1EC7" w:rsidRDefault="0087601C" w:rsidP="00D56051">
            <w:pPr>
              <w:rPr>
                <w:sz w:val="13"/>
                <w:szCs w:val="13"/>
              </w:rPr>
            </w:pPr>
            <w:r w:rsidRPr="006A1EC7">
              <w:rPr>
                <w:sz w:val="13"/>
                <w:szCs w:val="13"/>
              </w:rPr>
              <w:t>0/4</w:t>
            </w:r>
          </w:p>
        </w:tc>
        <w:tc>
          <w:tcPr>
            <w:tcW w:w="708" w:type="dxa"/>
            <w:shd w:val="clear" w:color="auto" w:fill="auto"/>
          </w:tcPr>
          <w:p w14:paraId="06AA3461" w14:textId="77777777" w:rsidR="0087601C" w:rsidRPr="006A1EC7" w:rsidRDefault="0087601C" w:rsidP="00D56051">
            <w:pPr>
              <w:rPr>
                <w:sz w:val="13"/>
                <w:szCs w:val="13"/>
              </w:rPr>
            </w:pPr>
            <w:r w:rsidRPr="006A1EC7">
              <w:rPr>
                <w:sz w:val="13"/>
                <w:szCs w:val="13"/>
              </w:rPr>
              <w:t>0%</w:t>
            </w:r>
          </w:p>
        </w:tc>
      </w:tr>
      <w:tr w:rsidR="0087601C" w:rsidRPr="006A1EC7" w14:paraId="2CBA0523" w14:textId="77777777" w:rsidTr="00D56051">
        <w:tc>
          <w:tcPr>
            <w:tcW w:w="795" w:type="dxa"/>
          </w:tcPr>
          <w:p w14:paraId="30F8A743" w14:textId="77777777" w:rsidR="0087601C" w:rsidRPr="006A1EC7" w:rsidRDefault="0087601C" w:rsidP="00D56051">
            <w:pPr>
              <w:rPr>
                <w:sz w:val="13"/>
                <w:szCs w:val="13"/>
              </w:rPr>
            </w:pPr>
            <w:r w:rsidRPr="006A1EC7">
              <w:rPr>
                <w:sz w:val="13"/>
                <w:szCs w:val="13"/>
              </w:rPr>
              <w:t>CRS</w:t>
            </w:r>
          </w:p>
        </w:tc>
        <w:tc>
          <w:tcPr>
            <w:tcW w:w="476" w:type="dxa"/>
            <w:shd w:val="clear" w:color="auto" w:fill="FFFF00"/>
          </w:tcPr>
          <w:p w14:paraId="4E358E34" w14:textId="77777777" w:rsidR="0087601C" w:rsidRPr="006A1EC7" w:rsidRDefault="0087601C" w:rsidP="00D56051">
            <w:pPr>
              <w:rPr>
                <w:sz w:val="13"/>
                <w:szCs w:val="13"/>
              </w:rPr>
            </w:pPr>
            <w:r w:rsidRPr="006A1EC7">
              <w:rPr>
                <w:sz w:val="13"/>
                <w:szCs w:val="13"/>
              </w:rPr>
              <w:t>4</w:t>
            </w:r>
          </w:p>
        </w:tc>
        <w:tc>
          <w:tcPr>
            <w:tcW w:w="476" w:type="dxa"/>
            <w:shd w:val="clear" w:color="auto" w:fill="FFFF00"/>
          </w:tcPr>
          <w:p w14:paraId="779D4B10" w14:textId="77777777" w:rsidR="0087601C" w:rsidRPr="006A1EC7" w:rsidRDefault="0087601C" w:rsidP="00D56051">
            <w:pPr>
              <w:rPr>
                <w:sz w:val="13"/>
                <w:szCs w:val="13"/>
              </w:rPr>
            </w:pPr>
            <w:r w:rsidRPr="006A1EC7">
              <w:rPr>
                <w:sz w:val="13"/>
                <w:szCs w:val="13"/>
              </w:rPr>
              <w:t>4</w:t>
            </w:r>
          </w:p>
        </w:tc>
        <w:tc>
          <w:tcPr>
            <w:tcW w:w="477" w:type="dxa"/>
          </w:tcPr>
          <w:p w14:paraId="68558D69"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51EE4DD"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7D3EC574" w14:textId="77777777" w:rsidR="0087601C" w:rsidRPr="006A1EC7" w:rsidRDefault="0087601C" w:rsidP="00D56051">
            <w:pPr>
              <w:rPr>
                <w:sz w:val="13"/>
                <w:szCs w:val="13"/>
              </w:rPr>
            </w:pPr>
            <w:r w:rsidRPr="006A1EC7">
              <w:rPr>
                <w:sz w:val="13"/>
                <w:szCs w:val="13"/>
              </w:rPr>
              <w:t>4</w:t>
            </w:r>
          </w:p>
        </w:tc>
        <w:tc>
          <w:tcPr>
            <w:tcW w:w="458" w:type="dxa"/>
          </w:tcPr>
          <w:p w14:paraId="6C29E4C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E3BA1CF" w14:textId="77777777" w:rsidR="0087601C" w:rsidRPr="006A1EC7" w:rsidRDefault="0087601C" w:rsidP="00D56051">
            <w:pPr>
              <w:rPr>
                <w:sz w:val="13"/>
                <w:szCs w:val="13"/>
              </w:rPr>
            </w:pPr>
            <w:r w:rsidRPr="006A1EC7">
              <w:rPr>
                <w:sz w:val="13"/>
                <w:szCs w:val="13"/>
              </w:rPr>
              <w:t>4</w:t>
            </w:r>
          </w:p>
        </w:tc>
        <w:tc>
          <w:tcPr>
            <w:tcW w:w="406" w:type="dxa"/>
            <w:shd w:val="clear" w:color="auto" w:fill="FFFF00"/>
          </w:tcPr>
          <w:p w14:paraId="70BB361F" w14:textId="77777777" w:rsidR="0087601C" w:rsidRPr="006A1EC7" w:rsidRDefault="0087601C" w:rsidP="00D56051">
            <w:pPr>
              <w:rPr>
                <w:sz w:val="13"/>
                <w:szCs w:val="13"/>
              </w:rPr>
            </w:pPr>
            <w:r w:rsidRPr="006A1EC7">
              <w:rPr>
                <w:sz w:val="13"/>
                <w:szCs w:val="13"/>
              </w:rPr>
              <w:t>4</w:t>
            </w:r>
          </w:p>
        </w:tc>
        <w:tc>
          <w:tcPr>
            <w:tcW w:w="406" w:type="dxa"/>
            <w:shd w:val="clear" w:color="auto" w:fill="auto"/>
          </w:tcPr>
          <w:p w14:paraId="59183EBE" w14:textId="77777777" w:rsidR="0087601C" w:rsidRPr="006A1EC7" w:rsidRDefault="0087601C" w:rsidP="00D56051">
            <w:pPr>
              <w:rPr>
                <w:sz w:val="13"/>
                <w:szCs w:val="13"/>
              </w:rPr>
            </w:pPr>
            <w:r w:rsidRPr="006A1EC7">
              <w:rPr>
                <w:sz w:val="13"/>
                <w:szCs w:val="13"/>
              </w:rPr>
              <w:t>1</w:t>
            </w:r>
          </w:p>
        </w:tc>
        <w:tc>
          <w:tcPr>
            <w:tcW w:w="439" w:type="dxa"/>
            <w:shd w:val="clear" w:color="auto" w:fill="FFFF00"/>
          </w:tcPr>
          <w:p w14:paraId="122BE60E"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39255132" w14:textId="77777777" w:rsidR="0087601C" w:rsidRPr="006A1EC7" w:rsidRDefault="0087601C" w:rsidP="00D56051">
            <w:pPr>
              <w:rPr>
                <w:sz w:val="13"/>
                <w:szCs w:val="13"/>
              </w:rPr>
            </w:pPr>
            <w:r w:rsidRPr="006A1EC7">
              <w:rPr>
                <w:sz w:val="13"/>
                <w:szCs w:val="13"/>
              </w:rPr>
              <w:t>1</w:t>
            </w:r>
          </w:p>
        </w:tc>
        <w:tc>
          <w:tcPr>
            <w:tcW w:w="406" w:type="dxa"/>
          </w:tcPr>
          <w:p w14:paraId="67A8C826" w14:textId="77777777" w:rsidR="0087601C" w:rsidRPr="006A1EC7" w:rsidRDefault="0087601C" w:rsidP="00D56051">
            <w:pPr>
              <w:rPr>
                <w:sz w:val="13"/>
                <w:szCs w:val="13"/>
              </w:rPr>
            </w:pPr>
            <w:r w:rsidRPr="006A1EC7">
              <w:rPr>
                <w:sz w:val="13"/>
                <w:szCs w:val="13"/>
              </w:rPr>
              <w:t>0</w:t>
            </w:r>
          </w:p>
        </w:tc>
        <w:tc>
          <w:tcPr>
            <w:tcW w:w="978" w:type="dxa"/>
            <w:shd w:val="clear" w:color="auto" w:fill="auto"/>
          </w:tcPr>
          <w:p w14:paraId="5113439A" w14:textId="77777777" w:rsidR="0087601C" w:rsidRPr="006A1EC7" w:rsidRDefault="0087601C" w:rsidP="00D56051">
            <w:pPr>
              <w:rPr>
                <w:sz w:val="13"/>
                <w:szCs w:val="13"/>
              </w:rPr>
            </w:pPr>
            <w:r w:rsidRPr="006A1EC7">
              <w:rPr>
                <w:sz w:val="13"/>
                <w:szCs w:val="13"/>
              </w:rPr>
              <w:t>3/4</w:t>
            </w:r>
          </w:p>
        </w:tc>
        <w:tc>
          <w:tcPr>
            <w:tcW w:w="708" w:type="dxa"/>
            <w:shd w:val="clear" w:color="auto" w:fill="auto"/>
          </w:tcPr>
          <w:p w14:paraId="6B155711" w14:textId="77777777" w:rsidR="0087601C" w:rsidRPr="006A1EC7" w:rsidRDefault="0087601C" w:rsidP="00D56051">
            <w:pPr>
              <w:rPr>
                <w:sz w:val="13"/>
                <w:szCs w:val="13"/>
              </w:rPr>
            </w:pPr>
            <w:r w:rsidRPr="006A1EC7">
              <w:rPr>
                <w:sz w:val="13"/>
                <w:szCs w:val="13"/>
              </w:rPr>
              <w:t>75%</w:t>
            </w:r>
          </w:p>
        </w:tc>
      </w:tr>
      <w:tr w:rsidR="0087601C" w:rsidRPr="006A1EC7" w14:paraId="1DD5E47B" w14:textId="77777777" w:rsidTr="00D56051">
        <w:tc>
          <w:tcPr>
            <w:tcW w:w="795" w:type="dxa"/>
          </w:tcPr>
          <w:p w14:paraId="7763E129" w14:textId="77777777" w:rsidR="0087601C" w:rsidRPr="006A1EC7" w:rsidRDefault="0087601C" w:rsidP="00D56051">
            <w:pPr>
              <w:rPr>
                <w:sz w:val="13"/>
                <w:szCs w:val="13"/>
              </w:rPr>
            </w:pPr>
            <w:r w:rsidRPr="006A1EC7">
              <w:rPr>
                <w:sz w:val="13"/>
                <w:szCs w:val="13"/>
              </w:rPr>
              <w:t>CNS</w:t>
            </w:r>
          </w:p>
        </w:tc>
        <w:tc>
          <w:tcPr>
            <w:tcW w:w="476" w:type="dxa"/>
            <w:shd w:val="clear" w:color="auto" w:fill="FFFF00"/>
          </w:tcPr>
          <w:p w14:paraId="4DC1CCBE" w14:textId="77777777" w:rsidR="0087601C" w:rsidRPr="006A1EC7" w:rsidRDefault="0087601C" w:rsidP="00D56051">
            <w:pPr>
              <w:rPr>
                <w:sz w:val="13"/>
                <w:szCs w:val="13"/>
              </w:rPr>
            </w:pPr>
            <w:r w:rsidRPr="006A1EC7">
              <w:rPr>
                <w:sz w:val="13"/>
                <w:szCs w:val="13"/>
              </w:rPr>
              <w:t>2</w:t>
            </w:r>
          </w:p>
        </w:tc>
        <w:tc>
          <w:tcPr>
            <w:tcW w:w="476" w:type="dxa"/>
            <w:shd w:val="clear" w:color="auto" w:fill="FFFF00"/>
          </w:tcPr>
          <w:p w14:paraId="1ED86FC4" w14:textId="77777777" w:rsidR="0087601C" w:rsidRPr="006A1EC7" w:rsidRDefault="0087601C" w:rsidP="00D56051">
            <w:pPr>
              <w:rPr>
                <w:sz w:val="13"/>
                <w:szCs w:val="13"/>
              </w:rPr>
            </w:pPr>
            <w:r w:rsidRPr="006A1EC7">
              <w:rPr>
                <w:sz w:val="13"/>
                <w:szCs w:val="13"/>
              </w:rPr>
              <w:t>2</w:t>
            </w:r>
          </w:p>
        </w:tc>
        <w:tc>
          <w:tcPr>
            <w:tcW w:w="477" w:type="dxa"/>
          </w:tcPr>
          <w:p w14:paraId="7044646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ACCB816"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6ABED06C" w14:textId="77777777" w:rsidR="0087601C" w:rsidRPr="006A1EC7" w:rsidRDefault="0087601C" w:rsidP="00D56051">
            <w:pPr>
              <w:rPr>
                <w:sz w:val="13"/>
                <w:szCs w:val="13"/>
              </w:rPr>
            </w:pPr>
            <w:r w:rsidRPr="006A1EC7">
              <w:rPr>
                <w:sz w:val="13"/>
                <w:szCs w:val="13"/>
              </w:rPr>
              <w:t>1</w:t>
            </w:r>
          </w:p>
        </w:tc>
        <w:tc>
          <w:tcPr>
            <w:tcW w:w="458" w:type="dxa"/>
          </w:tcPr>
          <w:p w14:paraId="354EB46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76C705F" w14:textId="77777777" w:rsidR="0087601C" w:rsidRPr="006A1EC7" w:rsidRDefault="0087601C" w:rsidP="00D56051">
            <w:pPr>
              <w:rPr>
                <w:sz w:val="13"/>
                <w:szCs w:val="13"/>
              </w:rPr>
            </w:pPr>
            <w:r w:rsidRPr="006A1EC7">
              <w:rPr>
                <w:sz w:val="13"/>
                <w:szCs w:val="13"/>
              </w:rPr>
              <w:t>2</w:t>
            </w:r>
          </w:p>
        </w:tc>
        <w:tc>
          <w:tcPr>
            <w:tcW w:w="406" w:type="dxa"/>
            <w:shd w:val="clear" w:color="auto" w:fill="FFFF00"/>
          </w:tcPr>
          <w:p w14:paraId="061FBDE3"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0AC46AFC" w14:textId="77777777" w:rsidR="0087601C" w:rsidRPr="006A1EC7" w:rsidRDefault="0087601C" w:rsidP="00D56051">
            <w:pPr>
              <w:rPr>
                <w:sz w:val="13"/>
                <w:szCs w:val="13"/>
              </w:rPr>
            </w:pPr>
            <w:r w:rsidRPr="006A1EC7">
              <w:rPr>
                <w:sz w:val="13"/>
                <w:szCs w:val="13"/>
              </w:rPr>
              <w:t>1</w:t>
            </w:r>
          </w:p>
        </w:tc>
        <w:tc>
          <w:tcPr>
            <w:tcW w:w="439" w:type="dxa"/>
            <w:shd w:val="clear" w:color="auto" w:fill="FFFF00"/>
          </w:tcPr>
          <w:p w14:paraId="2C48FDE5"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07410473" w14:textId="77777777" w:rsidR="0087601C" w:rsidRPr="006A1EC7" w:rsidRDefault="0087601C" w:rsidP="00D56051">
            <w:pPr>
              <w:rPr>
                <w:sz w:val="13"/>
                <w:szCs w:val="13"/>
              </w:rPr>
            </w:pPr>
            <w:r w:rsidRPr="006A1EC7">
              <w:rPr>
                <w:sz w:val="13"/>
                <w:szCs w:val="13"/>
              </w:rPr>
              <w:t>1</w:t>
            </w:r>
          </w:p>
        </w:tc>
        <w:tc>
          <w:tcPr>
            <w:tcW w:w="406" w:type="dxa"/>
          </w:tcPr>
          <w:p w14:paraId="6454637A" w14:textId="77777777" w:rsidR="0087601C" w:rsidRPr="006A1EC7" w:rsidRDefault="0087601C" w:rsidP="00D56051">
            <w:pPr>
              <w:rPr>
                <w:sz w:val="13"/>
                <w:szCs w:val="13"/>
              </w:rPr>
            </w:pPr>
            <w:r w:rsidRPr="006A1EC7">
              <w:rPr>
                <w:sz w:val="13"/>
                <w:szCs w:val="13"/>
              </w:rPr>
              <w:t>1</w:t>
            </w:r>
          </w:p>
        </w:tc>
        <w:tc>
          <w:tcPr>
            <w:tcW w:w="978" w:type="dxa"/>
            <w:shd w:val="clear" w:color="auto" w:fill="auto"/>
          </w:tcPr>
          <w:p w14:paraId="147925E6" w14:textId="77777777" w:rsidR="0087601C" w:rsidRPr="006A1EC7" w:rsidRDefault="0087601C" w:rsidP="00D56051">
            <w:pPr>
              <w:rPr>
                <w:sz w:val="13"/>
                <w:szCs w:val="13"/>
              </w:rPr>
            </w:pPr>
            <w:r w:rsidRPr="006A1EC7">
              <w:rPr>
                <w:sz w:val="13"/>
                <w:szCs w:val="13"/>
              </w:rPr>
              <w:t>4/4</w:t>
            </w:r>
          </w:p>
        </w:tc>
        <w:tc>
          <w:tcPr>
            <w:tcW w:w="708" w:type="dxa"/>
            <w:shd w:val="clear" w:color="auto" w:fill="auto"/>
          </w:tcPr>
          <w:p w14:paraId="06AFB596" w14:textId="77777777" w:rsidR="0087601C" w:rsidRPr="006A1EC7" w:rsidRDefault="0087601C" w:rsidP="00D56051">
            <w:pPr>
              <w:rPr>
                <w:sz w:val="13"/>
                <w:szCs w:val="13"/>
              </w:rPr>
            </w:pPr>
            <w:r w:rsidRPr="006A1EC7">
              <w:rPr>
                <w:sz w:val="13"/>
                <w:szCs w:val="13"/>
              </w:rPr>
              <w:t>100%</w:t>
            </w:r>
          </w:p>
        </w:tc>
      </w:tr>
      <w:tr w:rsidR="0087601C" w:rsidRPr="006A1EC7" w14:paraId="72571255" w14:textId="77777777" w:rsidTr="00D56051">
        <w:tc>
          <w:tcPr>
            <w:tcW w:w="795" w:type="dxa"/>
          </w:tcPr>
          <w:p w14:paraId="31AB03DF" w14:textId="77777777" w:rsidR="0087601C" w:rsidRPr="006A1EC7" w:rsidRDefault="0087601C" w:rsidP="00D56051">
            <w:pPr>
              <w:rPr>
                <w:sz w:val="13"/>
                <w:szCs w:val="13"/>
              </w:rPr>
            </w:pPr>
            <w:r w:rsidRPr="006A1EC7">
              <w:rPr>
                <w:sz w:val="13"/>
                <w:szCs w:val="13"/>
              </w:rPr>
              <w:t>FUC</w:t>
            </w:r>
          </w:p>
        </w:tc>
        <w:tc>
          <w:tcPr>
            <w:tcW w:w="476" w:type="dxa"/>
            <w:shd w:val="clear" w:color="auto" w:fill="FFFF00"/>
          </w:tcPr>
          <w:p w14:paraId="08C05CE7" w14:textId="77777777" w:rsidR="0087601C" w:rsidRPr="006A1EC7" w:rsidRDefault="0087601C" w:rsidP="00D56051">
            <w:pPr>
              <w:rPr>
                <w:sz w:val="13"/>
                <w:szCs w:val="13"/>
              </w:rPr>
            </w:pPr>
            <w:r w:rsidRPr="006A1EC7">
              <w:rPr>
                <w:sz w:val="13"/>
                <w:szCs w:val="13"/>
              </w:rPr>
              <w:t>8</w:t>
            </w:r>
          </w:p>
        </w:tc>
        <w:tc>
          <w:tcPr>
            <w:tcW w:w="476" w:type="dxa"/>
            <w:shd w:val="clear" w:color="auto" w:fill="FFFF00"/>
          </w:tcPr>
          <w:p w14:paraId="56B8CA0E" w14:textId="77777777" w:rsidR="0087601C" w:rsidRPr="006A1EC7" w:rsidRDefault="0087601C" w:rsidP="00D56051">
            <w:pPr>
              <w:rPr>
                <w:sz w:val="13"/>
                <w:szCs w:val="13"/>
              </w:rPr>
            </w:pPr>
            <w:r w:rsidRPr="006A1EC7">
              <w:rPr>
                <w:sz w:val="13"/>
                <w:szCs w:val="13"/>
              </w:rPr>
              <w:t>11</w:t>
            </w:r>
          </w:p>
        </w:tc>
        <w:tc>
          <w:tcPr>
            <w:tcW w:w="477" w:type="dxa"/>
          </w:tcPr>
          <w:p w14:paraId="0A2C6783"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48BB9B2" w14:textId="77777777" w:rsidR="0087601C" w:rsidRPr="006A1EC7" w:rsidRDefault="0087601C" w:rsidP="00D56051">
            <w:pPr>
              <w:rPr>
                <w:sz w:val="13"/>
                <w:szCs w:val="13"/>
              </w:rPr>
            </w:pPr>
            <w:r w:rsidRPr="006A1EC7">
              <w:rPr>
                <w:sz w:val="13"/>
                <w:szCs w:val="13"/>
              </w:rPr>
              <w:t>11</w:t>
            </w:r>
          </w:p>
        </w:tc>
        <w:tc>
          <w:tcPr>
            <w:tcW w:w="477" w:type="dxa"/>
            <w:shd w:val="clear" w:color="auto" w:fill="FFFF00"/>
          </w:tcPr>
          <w:p w14:paraId="5F5FC8D7" w14:textId="77777777" w:rsidR="0087601C" w:rsidRPr="006A1EC7" w:rsidRDefault="0087601C" w:rsidP="00D56051">
            <w:pPr>
              <w:rPr>
                <w:sz w:val="13"/>
                <w:szCs w:val="13"/>
              </w:rPr>
            </w:pPr>
            <w:r w:rsidRPr="006A1EC7">
              <w:rPr>
                <w:sz w:val="13"/>
                <w:szCs w:val="13"/>
              </w:rPr>
              <w:t>11</w:t>
            </w:r>
          </w:p>
        </w:tc>
        <w:tc>
          <w:tcPr>
            <w:tcW w:w="458" w:type="dxa"/>
          </w:tcPr>
          <w:p w14:paraId="78A8BE83"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CA1A2B2" w14:textId="77777777" w:rsidR="0087601C" w:rsidRPr="006A1EC7" w:rsidRDefault="0087601C" w:rsidP="00D56051">
            <w:pPr>
              <w:rPr>
                <w:sz w:val="13"/>
                <w:szCs w:val="13"/>
              </w:rPr>
            </w:pPr>
            <w:r w:rsidRPr="006A1EC7">
              <w:rPr>
                <w:sz w:val="13"/>
                <w:szCs w:val="13"/>
              </w:rPr>
              <w:t>10</w:t>
            </w:r>
          </w:p>
        </w:tc>
        <w:tc>
          <w:tcPr>
            <w:tcW w:w="406" w:type="dxa"/>
            <w:shd w:val="clear" w:color="auto" w:fill="FFFF00"/>
          </w:tcPr>
          <w:p w14:paraId="5FEB7149"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6665E9A4"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6EC11689" w14:textId="77777777" w:rsidR="0087601C" w:rsidRPr="006A1EC7" w:rsidRDefault="0087601C" w:rsidP="00D56051">
            <w:pPr>
              <w:rPr>
                <w:sz w:val="13"/>
                <w:szCs w:val="13"/>
              </w:rPr>
            </w:pPr>
            <w:r w:rsidRPr="006A1EC7">
              <w:rPr>
                <w:sz w:val="13"/>
                <w:szCs w:val="13"/>
              </w:rPr>
              <w:t>10</w:t>
            </w:r>
          </w:p>
        </w:tc>
        <w:tc>
          <w:tcPr>
            <w:tcW w:w="477" w:type="dxa"/>
            <w:shd w:val="clear" w:color="auto" w:fill="FFFF00"/>
          </w:tcPr>
          <w:p w14:paraId="008A7D6F" w14:textId="77777777" w:rsidR="0087601C" w:rsidRPr="006A1EC7" w:rsidRDefault="0087601C" w:rsidP="00D56051">
            <w:pPr>
              <w:rPr>
                <w:sz w:val="13"/>
                <w:szCs w:val="13"/>
              </w:rPr>
            </w:pPr>
            <w:r w:rsidRPr="006A1EC7">
              <w:rPr>
                <w:sz w:val="13"/>
                <w:szCs w:val="13"/>
              </w:rPr>
              <w:t>8</w:t>
            </w:r>
          </w:p>
        </w:tc>
        <w:tc>
          <w:tcPr>
            <w:tcW w:w="406" w:type="dxa"/>
          </w:tcPr>
          <w:p w14:paraId="5BFAC1F2" w14:textId="77777777" w:rsidR="0087601C" w:rsidRPr="006A1EC7" w:rsidRDefault="0087601C" w:rsidP="00D56051">
            <w:pPr>
              <w:rPr>
                <w:sz w:val="13"/>
                <w:szCs w:val="13"/>
              </w:rPr>
            </w:pPr>
            <w:r w:rsidRPr="006A1EC7">
              <w:rPr>
                <w:sz w:val="13"/>
                <w:szCs w:val="13"/>
              </w:rPr>
              <w:t>0</w:t>
            </w:r>
          </w:p>
        </w:tc>
        <w:tc>
          <w:tcPr>
            <w:tcW w:w="978" w:type="dxa"/>
            <w:shd w:val="clear" w:color="auto" w:fill="auto"/>
          </w:tcPr>
          <w:p w14:paraId="3DEF4AB7" w14:textId="77777777" w:rsidR="0087601C" w:rsidRPr="006A1EC7" w:rsidRDefault="0087601C" w:rsidP="00D56051">
            <w:pPr>
              <w:rPr>
                <w:sz w:val="13"/>
                <w:szCs w:val="13"/>
              </w:rPr>
            </w:pPr>
            <w:r w:rsidRPr="006A1EC7">
              <w:rPr>
                <w:sz w:val="13"/>
                <w:szCs w:val="13"/>
              </w:rPr>
              <w:t>1/4</w:t>
            </w:r>
          </w:p>
        </w:tc>
        <w:tc>
          <w:tcPr>
            <w:tcW w:w="708" w:type="dxa"/>
            <w:shd w:val="clear" w:color="auto" w:fill="auto"/>
          </w:tcPr>
          <w:p w14:paraId="20121FB4" w14:textId="77777777" w:rsidR="0087601C" w:rsidRPr="006A1EC7" w:rsidRDefault="0087601C" w:rsidP="00D56051">
            <w:pPr>
              <w:rPr>
                <w:sz w:val="13"/>
                <w:szCs w:val="13"/>
              </w:rPr>
            </w:pPr>
            <w:r w:rsidRPr="006A1EC7">
              <w:rPr>
                <w:sz w:val="13"/>
                <w:szCs w:val="13"/>
              </w:rPr>
              <w:t>25%</w:t>
            </w:r>
          </w:p>
        </w:tc>
      </w:tr>
      <w:tr w:rsidR="0087601C" w:rsidRPr="006A1EC7" w14:paraId="2D54987F" w14:textId="77777777" w:rsidTr="00D56051">
        <w:tc>
          <w:tcPr>
            <w:tcW w:w="795" w:type="dxa"/>
          </w:tcPr>
          <w:p w14:paraId="11672DD5" w14:textId="77777777" w:rsidR="0087601C" w:rsidRPr="006A1EC7" w:rsidRDefault="0087601C" w:rsidP="00D56051">
            <w:pPr>
              <w:rPr>
                <w:sz w:val="13"/>
                <w:szCs w:val="13"/>
              </w:rPr>
            </w:pPr>
            <w:r w:rsidRPr="006A1EC7">
              <w:rPr>
                <w:sz w:val="13"/>
                <w:szCs w:val="13"/>
              </w:rPr>
              <w:t>IMU</w:t>
            </w:r>
          </w:p>
        </w:tc>
        <w:tc>
          <w:tcPr>
            <w:tcW w:w="476" w:type="dxa"/>
            <w:shd w:val="clear" w:color="auto" w:fill="FFFF00"/>
          </w:tcPr>
          <w:p w14:paraId="3E560E09" w14:textId="77777777" w:rsidR="0087601C" w:rsidRPr="006A1EC7" w:rsidRDefault="0087601C" w:rsidP="00D56051">
            <w:pPr>
              <w:rPr>
                <w:sz w:val="13"/>
                <w:szCs w:val="13"/>
              </w:rPr>
            </w:pPr>
            <w:r w:rsidRPr="006A1EC7">
              <w:rPr>
                <w:sz w:val="13"/>
                <w:szCs w:val="13"/>
              </w:rPr>
              <w:t>5</w:t>
            </w:r>
          </w:p>
        </w:tc>
        <w:tc>
          <w:tcPr>
            <w:tcW w:w="476" w:type="dxa"/>
            <w:shd w:val="clear" w:color="auto" w:fill="FFFF00"/>
          </w:tcPr>
          <w:p w14:paraId="066537F4" w14:textId="77777777" w:rsidR="0087601C" w:rsidRPr="006A1EC7" w:rsidRDefault="0087601C" w:rsidP="00D56051">
            <w:pPr>
              <w:rPr>
                <w:sz w:val="13"/>
                <w:szCs w:val="13"/>
              </w:rPr>
            </w:pPr>
            <w:r w:rsidRPr="006A1EC7">
              <w:rPr>
                <w:sz w:val="13"/>
                <w:szCs w:val="13"/>
              </w:rPr>
              <w:t>5</w:t>
            </w:r>
          </w:p>
        </w:tc>
        <w:tc>
          <w:tcPr>
            <w:tcW w:w="477" w:type="dxa"/>
          </w:tcPr>
          <w:p w14:paraId="74204675"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53BE6E6"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3615CAB7" w14:textId="77777777" w:rsidR="0087601C" w:rsidRPr="006A1EC7" w:rsidRDefault="0087601C" w:rsidP="00D56051">
            <w:pPr>
              <w:rPr>
                <w:sz w:val="13"/>
                <w:szCs w:val="13"/>
              </w:rPr>
            </w:pPr>
            <w:r w:rsidRPr="006A1EC7">
              <w:rPr>
                <w:sz w:val="13"/>
                <w:szCs w:val="13"/>
              </w:rPr>
              <w:t>0</w:t>
            </w:r>
          </w:p>
        </w:tc>
        <w:tc>
          <w:tcPr>
            <w:tcW w:w="458" w:type="dxa"/>
          </w:tcPr>
          <w:p w14:paraId="7D0E9B0E"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45F5A5A"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491A08AF"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06CC0130"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5B56393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5DE0EAF" w14:textId="77777777" w:rsidR="0087601C" w:rsidRPr="006A1EC7" w:rsidRDefault="0087601C" w:rsidP="00D56051">
            <w:pPr>
              <w:rPr>
                <w:sz w:val="13"/>
                <w:szCs w:val="13"/>
              </w:rPr>
            </w:pPr>
            <w:r w:rsidRPr="006A1EC7">
              <w:rPr>
                <w:sz w:val="13"/>
                <w:szCs w:val="13"/>
              </w:rPr>
              <w:t>0</w:t>
            </w:r>
          </w:p>
        </w:tc>
        <w:tc>
          <w:tcPr>
            <w:tcW w:w="406" w:type="dxa"/>
          </w:tcPr>
          <w:p w14:paraId="02E6144A" w14:textId="77777777" w:rsidR="0087601C" w:rsidRPr="006A1EC7" w:rsidRDefault="0087601C" w:rsidP="00D56051">
            <w:pPr>
              <w:rPr>
                <w:sz w:val="13"/>
                <w:szCs w:val="13"/>
              </w:rPr>
            </w:pPr>
            <w:r w:rsidRPr="006A1EC7">
              <w:rPr>
                <w:sz w:val="13"/>
                <w:szCs w:val="13"/>
              </w:rPr>
              <w:t>1</w:t>
            </w:r>
          </w:p>
        </w:tc>
        <w:tc>
          <w:tcPr>
            <w:tcW w:w="978" w:type="dxa"/>
            <w:shd w:val="clear" w:color="auto" w:fill="auto"/>
          </w:tcPr>
          <w:p w14:paraId="4FA4FDA6" w14:textId="77777777" w:rsidR="0087601C" w:rsidRPr="006A1EC7" w:rsidRDefault="0087601C" w:rsidP="00D56051">
            <w:pPr>
              <w:rPr>
                <w:sz w:val="13"/>
                <w:szCs w:val="13"/>
              </w:rPr>
            </w:pPr>
            <w:r w:rsidRPr="006A1EC7">
              <w:rPr>
                <w:sz w:val="13"/>
                <w:szCs w:val="13"/>
              </w:rPr>
              <w:t>2/4</w:t>
            </w:r>
          </w:p>
        </w:tc>
        <w:tc>
          <w:tcPr>
            <w:tcW w:w="708" w:type="dxa"/>
            <w:shd w:val="clear" w:color="auto" w:fill="auto"/>
          </w:tcPr>
          <w:p w14:paraId="07A3ADF1" w14:textId="77777777" w:rsidR="0087601C" w:rsidRPr="006A1EC7" w:rsidRDefault="0087601C" w:rsidP="00D56051">
            <w:pPr>
              <w:rPr>
                <w:sz w:val="13"/>
                <w:szCs w:val="13"/>
              </w:rPr>
            </w:pPr>
            <w:r w:rsidRPr="006A1EC7">
              <w:rPr>
                <w:sz w:val="13"/>
                <w:szCs w:val="13"/>
              </w:rPr>
              <w:t>50%</w:t>
            </w:r>
          </w:p>
        </w:tc>
      </w:tr>
      <w:tr w:rsidR="0087601C" w:rsidRPr="006A1EC7" w14:paraId="0E145905" w14:textId="77777777" w:rsidTr="00D56051">
        <w:tc>
          <w:tcPr>
            <w:tcW w:w="795" w:type="dxa"/>
          </w:tcPr>
          <w:p w14:paraId="216AFE7B" w14:textId="77777777" w:rsidR="0087601C" w:rsidRPr="006A1EC7" w:rsidRDefault="0087601C" w:rsidP="00D56051">
            <w:pPr>
              <w:rPr>
                <w:sz w:val="13"/>
                <w:szCs w:val="13"/>
              </w:rPr>
            </w:pPr>
            <w:r w:rsidRPr="006A1EC7">
              <w:rPr>
                <w:sz w:val="13"/>
                <w:szCs w:val="13"/>
              </w:rPr>
              <w:t>SLP</w:t>
            </w:r>
          </w:p>
        </w:tc>
        <w:tc>
          <w:tcPr>
            <w:tcW w:w="476" w:type="dxa"/>
            <w:shd w:val="clear" w:color="auto" w:fill="FFFF00"/>
          </w:tcPr>
          <w:p w14:paraId="20B16CF5"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51ADB64A" w14:textId="77777777" w:rsidR="0087601C" w:rsidRPr="006A1EC7" w:rsidRDefault="0087601C" w:rsidP="00D56051">
            <w:pPr>
              <w:rPr>
                <w:sz w:val="13"/>
                <w:szCs w:val="13"/>
              </w:rPr>
            </w:pPr>
            <w:r w:rsidRPr="006A1EC7">
              <w:rPr>
                <w:sz w:val="13"/>
                <w:szCs w:val="13"/>
              </w:rPr>
              <w:t>0</w:t>
            </w:r>
          </w:p>
        </w:tc>
        <w:tc>
          <w:tcPr>
            <w:tcW w:w="477" w:type="dxa"/>
          </w:tcPr>
          <w:p w14:paraId="1037131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BE35961"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4BE8AEC9" w14:textId="77777777" w:rsidR="0087601C" w:rsidRPr="006A1EC7" w:rsidRDefault="0087601C" w:rsidP="00D56051">
            <w:pPr>
              <w:rPr>
                <w:sz w:val="13"/>
                <w:szCs w:val="13"/>
              </w:rPr>
            </w:pPr>
            <w:r w:rsidRPr="006A1EC7">
              <w:rPr>
                <w:sz w:val="13"/>
                <w:szCs w:val="13"/>
              </w:rPr>
              <w:t>0</w:t>
            </w:r>
          </w:p>
        </w:tc>
        <w:tc>
          <w:tcPr>
            <w:tcW w:w="458" w:type="dxa"/>
          </w:tcPr>
          <w:p w14:paraId="388638F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0448E23"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310D9AD9" w14:textId="77777777" w:rsidR="0087601C" w:rsidRPr="006A1EC7" w:rsidRDefault="0087601C" w:rsidP="00D56051">
            <w:pPr>
              <w:rPr>
                <w:sz w:val="13"/>
                <w:szCs w:val="13"/>
              </w:rPr>
            </w:pPr>
            <w:r w:rsidRPr="006A1EC7">
              <w:rPr>
                <w:sz w:val="13"/>
                <w:szCs w:val="13"/>
              </w:rPr>
              <w:t>0</w:t>
            </w:r>
          </w:p>
        </w:tc>
        <w:tc>
          <w:tcPr>
            <w:tcW w:w="406" w:type="dxa"/>
            <w:shd w:val="clear" w:color="auto" w:fill="auto"/>
          </w:tcPr>
          <w:p w14:paraId="71FA5145"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2B0CA720"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1F742F33" w14:textId="77777777" w:rsidR="0087601C" w:rsidRPr="006A1EC7" w:rsidRDefault="0087601C" w:rsidP="00D56051">
            <w:pPr>
              <w:rPr>
                <w:sz w:val="13"/>
                <w:szCs w:val="13"/>
              </w:rPr>
            </w:pPr>
            <w:r w:rsidRPr="006A1EC7">
              <w:rPr>
                <w:sz w:val="13"/>
                <w:szCs w:val="13"/>
              </w:rPr>
              <w:t>0</w:t>
            </w:r>
          </w:p>
        </w:tc>
        <w:tc>
          <w:tcPr>
            <w:tcW w:w="406" w:type="dxa"/>
          </w:tcPr>
          <w:p w14:paraId="47437053" w14:textId="77777777" w:rsidR="0087601C" w:rsidRPr="006A1EC7" w:rsidRDefault="0087601C" w:rsidP="00D56051">
            <w:pPr>
              <w:rPr>
                <w:sz w:val="13"/>
                <w:szCs w:val="13"/>
              </w:rPr>
            </w:pPr>
            <w:r w:rsidRPr="006A1EC7">
              <w:rPr>
                <w:sz w:val="13"/>
                <w:szCs w:val="13"/>
              </w:rPr>
              <w:t>0</w:t>
            </w:r>
          </w:p>
        </w:tc>
        <w:tc>
          <w:tcPr>
            <w:tcW w:w="978" w:type="dxa"/>
            <w:shd w:val="clear" w:color="auto" w:fill="auto"/>
          </w:tcPr>
          <w:p w14:paraId="0138EDDB" w14:textId="77777777" w:rsidR="0087601C" w:rsidRPr="006A1EC7" w:rsidRDefault="0087601C" w:rsidP="00D56051">
            <w:pPr>
              <w:rPr>
                <w:sz w:val="13"/>
                <w:szCs w:val="13"/>
              </w:rPr>
            </w:pPr>
            <w:r w:rsidRPr="006A1EC7">
              <w:rPr>
                <w:sz w:val="13"/>
                <w:szCs w:val="13"/>
              </w:rPr>
              <w:t>2/4</w:t>
            </w:r>
          </w:p>
        </w:tc>
        <w:tc>
          <w:tcPr>
            <w:tcW w:w="708" w:type="dxa"/>
            <w:shd w:val="clear" w:color="auto" w:fill="auto"/>
          </w:tcPr>
          <w:p w14:paraId="0009ABE6" w14:textId="77777777" w:rsidR="0087601C" w:rsidRPr="006A1EC7" w:rsidRDefault="0087601C" w:rsidP="00D56051">
            <w:pPr>
              <w:rPr>
                <w:sz w:val="13"/>
                <w:szCs w:val="13"/>
              </w:rPr>
            </w:pPr>
            <w:r w:rsidRPr="006A1EC7">
              <w:rPr>
                <w:sz w:val="13"/>
                <w:szCs w:val="13"/>
              </w:rPr>
              <w:t>50%</w:t>
            </w:r>
          </w:p>
        </w:tc>
      </w:tr>
      <w:tr w:rsidR="0087601C" w:rsidRPr="006A1EC7" w14:paraId="46F234B4" w14:textId="77777777" w:rsidTr="00D56051">
        <w:tc>
          <w:tcPr>
            <w:tcW w:w="795" w:type="dxa"/>
          </w:tcPr>
          <w:p w14:paraId="3DA7D836" w14:textId="77777777" w:rsidR="0087601C" w:rsidRPr="006A1EC7" w:rsidRDefault="0087601C" w:rsidP="00D56051">
            <w:pPr>
              <w:rPr>
                <w:sz w:val="13"/>
                <w:szCs w:val="13"/>
              </w:rPr>
            </w:pPr>
            <w:r w:rsidRPr="006A1EC7">
              <w:rPr>
                <w:sz w:val="13"/>
                <w:szCs w:val="13"/>
              </w:rPr>
              <w:t>CRE</w:t>
            </w:r>
          </w:p>
        </w:tc>
        <w:tc>
          <w:tcPr>
            <w:tcW w:w="476" w:type="dxa"/>
            <w:shd w:val="clear" w:color="auto" w:fill="FFFF00"/>
          </w:tcPr>
          <w:p w14:paraId="6B1E7696" w14:textId="77777777" w:rsidR="0087601C" w:rsidRPr="006A1EC7" w:rsidRDefault="0087601C" w:rsidP="00D56051">
            <w:pPr>
              <w:rPr>
                <w:sz w:val="13"/>
                <w:szCs w:val="13"/>
              </w:rPr>
            </w:pPr>
            <w:r w:rsidRPr="006A1EC7">
              <w:rPr>
                <w:sz w:val="13"/>
                <w:szCs w:val="13"/>
              </w:rPr>
              <w:t>2</w:t>
            </w:r>
          </w:p>
        </w:tc>
        <w:tc>
          <w:tcPr>
            <w:tcW w:w="476" w:type="dxa"/>
            <w:shd w:val="clear" w:color="auto" w:fill="FFFF00"/>
          </w:tcPr>
          <w:p w14:paraId="0AB8407F" w14:textId="77777777" w:rsidR="0087601C" w:rsidRPr="006A1EC7" w:rsidRDefault="0087601C" w:rsidP="00D56051">
            <w:pPr>
              <w:rPr>
                <w:sz w:val="13"/>
                <w:szCs w:val="13"/>
              </w:rPr>
            </w:pPr>
            <w:r w:rsidRPr="006A1EC7">
              <w:rPr>
                <w:sz w:val="13"/>
                <w:szCs w:val="13"/>
              </w:rPr>
              <w:t>2</w:t>
            </w:r>
          </w:p>
        </w:tc>
        <w:tc>
          <w:tcPr>
            <w:tcW w:w="477" w:type="dxa"/>
          </w:tcPr>
          <w:p w14:paraId="598F001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E03FFF2"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5A7ED595" w14:textId="77777777" w:rsidR="0087601C" w:rsidRPr="006A1EC7" w:rsidRDefault="0087601C" w:rsidP="00D56051">
            <w:pPr>
              <w:rPr>
                <w:sz w:val="13"/>
                <w:szCs w:val="13"/>
              </w:rPr>
            </w:pPr>
            <w:r w:rsidRPr="006A1EC7">
              <w:rPr>
                <w:sz w:val="13"/>
                <w:szCs w:val="13"/>
              </w:rPr>
              <w:t>2</w:t>
            </w:r>
          </w:p>
        </w:tc>
        <w:tc>
          <w:tcPr>
            <w:tcW w:w="458" w:type="dxa"/>
          </w:tcPr>
          <w:p w14:paraId="4ED499D5"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D1E5F03" w14:textId="77777777" w:rsidR="0087601C" w:rsidRPr="006A1EC7" w:rsidRDefault="0087601C" w:rsidP="00D56051">
            <w:pPr>
              <w:rPr>
                <w:sz w:val="13"/>
                <w:szCs w:val="13"/>
              </w:rPr>
            </w:pPr>
            <w:r w:rsidRPr="006A1EC7">
              <w:rPr>
                <w:sz w:val="13"/>
                <w:szCs w:val="13"/>
              </w:rPr>
              <w:t>2</w:t>
            </w:r>
          </w:p>
        </w:tc>
        <w:tc>
          <w:tcPr>
            <w:tcW w:w="406" w:type="dxa"/>
            <w:shd w:val="clear" w:color="auto" w:fill="FFFF00"/>
          </w:tcPr>
          <w:p w14:paraId="212FDFBE" w14:textId="77777777" w:rsidR="0087601C" w:rsidRPr="006A1EC7" w:rsidRDefault="0087601C" w:rsidP="00D56051">
            <w:pPr>
              <w:rPr>
                <w:sz w:val="13"/>
                <w:szCs w:val="13"/>
              </w:rPr>
            </w:pPr>
            <w:r w:rsidRPr="006A1EC7">
              <w:rPr>
                <w:sz w:val="13"/>
                <w:szCs w:val="13"/>
              </w:rPr>
              <w:t>2</w:t>
            </w:r>
          </w:p>
        </w:tc>
        <w:tc>
          <w:tcPr>
            <w:tcW w:w="406" w:type="dxa"/>
            <w:shd w:val="clear" w:color="auto" w:fill="auto"/>
          </w:tcPr>
          <w:p w14:paraId="44A733D8" w14:textId="77777777" w:rsidR="0087601C" w:rsidRPr="006A1EC7" w:rsidRDefault="0087601C" w:rsidP="00D56051">
            <w:pPr>
              <w:rPr>
                <w:sz w:val="13"/>
                <w:szCs w:val="13"/>
              </w:rPr>
            </w:pPr>
            <w:r w:rsidRPr="006A1EC7">
              <w:rPr>
                <w:sz w:val="13"/>
                <w:szCs w:val="13"/>
              </w:rPr>
              <w:t>1</w:t>
            </w:r>
          </w:p>
        </w:tc>
        <w:tc>
          <w:tcPr>
            <w:tcW w:w="439" w:type="dxa"/>
            <w:shd w:val="clear" w:color="auto" w:fill="FFFF00"/>
          </w:tcPr>
          <w:p w14:paraId="5D7CCBAB"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179E5609" w14:textId="77777777" w:rsidR="0087601C" w:rsidRPr="006A1EC7" w:rsidRDefault="0087601C" w:rsidP="00D56051">
            <w:pPr>
              <w:rPr>
                <w:sz w:val="13"/>
                <w:szCs w:val="13"/>
              </w:rPr>
            </w:pPr>
            <w:r w:rsidRPr="006A1EC7">
              <w:rPr>
                <w:sz w:val="13"/>
                <w:szCs w:val="13"/>
              </w:rPr>
              <w:t>2</w:t>
            </w:r>
          </w:p>
        </w:tc>
        <w:tc>
          <w:tcPr>
            <w:tcW w:w="406" w:type="dxa"/>
          </w:tcPr>
          <w:p w14:paraId="305754DD" w14:textId="77777777" w:rsidR="0087601C" w:rsidRPr="006A1EC7" w:rsidRDefault="0087601C" w:rsidP="00D56051">
            <w:pPr>
              <w:rPr>
                <w:sz w:val="13"/>
                <w:szCs w:val="13"/>
              </w:rPr>
            </w:pPr>
            <w:r w:rsidRPr="006A1EC7">
              <w:rPr>
                <w:sz w:val="13"/>
                <w:szCs w:val="13"/>
              </w:rPr>
              <w:t>1</w:t>
            </w:r>
          </w:p>
        </w:tc>
        <w:tc>
          <w:tcPr>
            <w:tcW w:w="978" w:type="dxa"/>
            <w:shd w:val="clear" w:color="auto" w:fill="auto"/>
          </w:tcPr>
          <w:p w14:paraId="215F619A" w14:textId="77777777" w:rsidR="0087601C" w:rsidRPr="006A1EC7" w:rsidRDefault="0087601C" w:rsidP="00D56051">
            <w:pPr>
              <w:rPr>
                <w:sz w:val="13"/>
                <w:szCs w:val="13"/>
              </w:rPr>
            </w:pPr>
            <w:r w:rsidRPr="006A1EC7">
              <w:rPr>
                <w:sz w:val="13"/>
                <w:szCs w:val="13"/>
              </w:rPr>
              <w:t>4/4</w:t>
            </w:r>
          </w:p>
        </w:tc>
        <w:tc>
          <w:tcPr>
            <w:tcW w:w="708" w:type="dxa"/>
            <w:shd w:val="clear" w:color="auto" w:fill="auto"/>
          </w:tcPr>
          <w:p w14:paraId="63301714" w14:textId="77777777" w:rsidR="0087601C" w:rsidRPr="006A1EC7" w:rsidRDefault="0087601C" w:rsidP="00D56051">
            <w:pPr>
              <w:rPr>
                <w:sz w:val="13"/>
                <w:szCs w:val="13"/>
              </w:rPr>
            </w:pPr>
            <w:r w:rsidRPr="006A1EC7">
              <w:rPr>
                <w:sz w:val="13"/>
                <w:szCs w:val="13"/>
              </w:rPr>
              <w:t>100%</w:t>
            </w:r>
          </w:p>
        </w:tc>
      </w:tr>
      <w:tr w:rsidR="0087601C" w:rsidRPr="006A1EC7" w14:paraId="7CE07C0C" w14:textId="77777777" w:rsidTr="00D56051">
        <w:tc>
          <w:tcPr>
            <w:tcW w:w="795" w:type="dxa"/>
          </w:tcPr>
          <w:p w14:paraId="54DCC072" w14:textId="77777777" w:rsidR="0087601C" w:rsidRPr="006A1EC7" w:rsidRDefault="0087601C" w:rsidP="00D56051">
            <w:pPr>
              <w:rPr>
                <w:sz w:val="13"/>
                <w:szCs w:val="13"/>
              </w:rPr>
            </w:pPr>
            <w:r w:rsidRPr="006A1EC7">
              <w:rPr>
                <w:sz w:val="13"/>
                <w:szCs w:val="13"/>
              </w:rPr>
              <w:t>TTL</w:t>
            </w:r>
          </w:p>
        </w:tc>
        <w:tc>
          <w:tcPr>
            <w:tcW w:w="476" w:type="dxa"/>
            <w:shd w:val="clear" w:color="auto" w:fill="FFFF00"/>
          </w:tcPr>
          <w:p w14:paraId="33CFB433" w14:textId="77777777" w:rsidR="0087601C" w:rsidRPr="006A1EC7" w:rsidRDefault="0087601C" w:rsidP="00D56051">
            <w:pPr>
              <w:rPr>
                <w:sz w:val="13"/>
                <w:szCs w:val="13"/>
              </w:rPr>
            </w:pPr>
            <w:r w:rsidRPr="006A1EC7">
              <w:rPr>
                <w:sz w:val="13"/>
                <w:szCs w:val="13"/>
              </w:rPr>
              <w:t>49</w:t>
            </w:r>
          </w:p>
        </w:tc>
        <w:tc>
          <w:tcPr>
            <w:tcW w:w="476" w:type="dxa"/>
            <w:shd w:val="clear" w:color="auto" w:fill="FFFF00"/>
          </w:tcPr>
          <w:p w14:paraId="4240D9C0" w14:textId="77777777" w:rsidR="0087601C" w:rsidRPr="006A1EC7" w:rsidRDefault="0087601C" w:rsidP="00D56051">
            <w:pPr>
              <w:rPr>
                <w:sz w:val="13"/>
                <w:szCs w:val="13"/>
              </w:rPr>
            </w:pPr>
            <w:r w:rsidRPr="006A1EC7">
              <w:rPr>
                <w:sz w:val="13"/>
                <w:szCs w:val="13"/>
              </w:rPr>
              <w:t>55</w:t>
            </w:r>
          </w:p>
        </w:tc>
        <w:tc>
          <w:tcPr>
            <w:tcW w:w="477" w:type="dxa"/>
          </w:tcPr>
          <w:p w14:paraId="4CEE70B1"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2661D40" w14:textId="77777777" w:rsidR="0087601C" w:rsidRPr="006A1EC7" w:rsidRDefault="0087601C" w:rsidP="00D56051">
            <w:pPr>
              <w:rPr>
                <w:sz w:val="13"/>
                <w:szCs w:val="13"/>
              </w:rPr>
            </w:pPr>
            <w:r w:rsidRPr="006A1EC7">
              <w:rPr>
                <w:sz w:val="13"/>
                <w:szCs w:val="13"/>
              </w:rPr>
              <w:t>50</w:t>
            </w:r>
          </w:p>
        </w:tc>
        <w:tc>
          <w:tcPr>
            <w:tcW w:w="477" w:type="dxa"/>
            <w:shd w:val="clear" w:color="auto" w:fill="FFFF00"/>
          </w:tcPr>
          <w:p w14:paraId="527D101E" w14:textId="77777777" w:rsidR="0087601C" w:rsidRPr="006A1EC7" w:rsidRDefault="0087601C" w:rsidP="00D56051">
            <w:pPr>
              <w:rPr>
                <w:sz w:val="13"/>
                <w:szCs w:val="13"/>
              </w:rPr>
            </w:pPr>
            <w:r w:rsidRPr="006A1EC7">
              <w:rPr>
                <w:sz w:val="13"/>
                <w:szCs w:val="13"/>
              </w:rPr>
              <w:t>48</w:t>
            </w:r>
          </w:p>
        </w:tc>
        <w:tc>
          <w:tcPr>
            <w:tcW w:w="458" w:type="dxa"/>
          </w:tcPr>
          <w:p w14:paraId="22E03015"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DA15FA9" w14:textId="77777777" w:rsidR="0087601C" w:rsidRPr="006A1EC7" w:rsidRDefault="0087601C" w:rsidP="00D56051">
            <w:pPr>
              <w:rPr>
                <w:sz w:val="13"/>
                <w:szCs w:val="13"/>
              </w:rPr>
            </w:pPr>
            <w:r w:rsidRPr="006A1EC7">
              <w:rPr>
                <w:sz w:val="13"/>
                <w:szCs w:val="13"/>
              </w:rPr>
              <w:t>59</w:t>
            </w:r>
          </w:p>
        </w:tc>
        <w:tc>
          <w:tcPr>
            <w:tcW w:w="406" w:type="dxa"/>
            <w:shd w:val="clear" w:color="auto" w:fill="FFFF00"/>
          </w:tcPr>
          <w:p w14:paraId="02DF9B8F"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575F6329" w14:textId="77777777" w:rsidR="0087601C" w:rsidRPr="006A1EC7" w:rsidRDefault="0087601C" w:rsidP="00D56051">
            <w:pPr>
              <w:rPr>
                <w:sz w:val="13"/>
                <w:szCs w:val="13"/>
              </w:rPr>
            </w:pPr>
            <w:r w:rsidRPr="006A1EC7">
              <w:rPr>
                <w:sz w:val="13"/>
                <w:szCs w:val="13"/>
              </w:rPr>
              <w:t>0</w:t>
            </w:r>
          </w:p>
        </w:tc>
        <w:tc>
          <w:tcPr>
            <w:tcW w:w="439" w:type="dxa"/>
            <w:shd w:val="clear" w:color="auto" w:fill="FFFF00"/>
          </w:tcPr>
          <w:p w14:paraId="016C0E2B" w14:textId="77777777" w:rsidR="0087601C" w:rsidRPr="006A1EC7" w:rsidRDefault="0087601C" w:rsidP="00D56051">
            <w:pPr>
              <w:rPr>
                <w:sz w:val="13"/>
                <w:szCs w:val="13"/>
              </w:rPr>
            </w:pPr>
            <w:r w:rsidRPr="006A1EC7">
              <w:rPr>
                <w:sz w:val="13"/>
                <w:szCs w:val="13"/>
              </w:rPr>
              <w:t>49</w:t>
            </w:r>
          </w:p>
        </w:tc>
        <w:tc>
          <w:tcPr>
            <w:tcW w:w="477" w:type="dxa"/>
            <w:shd w:val="clear" w:color="auto" w:fill="FFFF00"/>
          </w:tcPr>
          <w:p w14:paraId="29682BD0" w14:textId="77777777" w:rsidR="0087601C" w:rsidRPr="006A1EC7" w:rsidRDefault="0087601C" w:rsidP="00D56051">
            <w:pPr>
              <w:rPr>
                <w:sz w:val="13"/>
                <w:szCs w:val="13"/>
              </w:rPr>
            </w:pPr>
            <w:r w:rsidRPr="006A1EC7">
              <w:rPr>
                <w:sz w:val="13"/>
                <w:szCs w:val="13"/>
              </w:rPr>
              <w:t>31</w:t>
            </w:r>
          </w:p>
        </w:tc>
        <w:tc>
          <w:tcPr>
            <w:tcW w:w="406" w:type="dxa"/>
          </w:tcPr>
          <w:p w14:paraId="1C659A24" w14:textId="77777777" w:rsidR="0087601C" w:rsidRPr="006A1EC7" w:rsidRDefault="0087601C" w:rsidP="00D56051">
            <w:pPr>
              <w:rPr>
                <w:sz w:val="13"/>
                <w:szCs w:val="13"/>
              </w:rPr>
            </w:pPr>
            <w:r w:rsidRPr="006A1EC7">
              <w:rPr>
                <w:sz w:val="13"/>
                <w:szCs w:val="13"/>
              </w:rPr>
              <w:t>0</w:t>
            </w:r>
          </w:p>
        </w:tc>
        <w:tc>
          <w:tcPr>
            <w:tcW w:w="978" w:type="dxa"/>
            <w:shd w:val="clear" w:color="auto" w:fill="auto"/>
          </w:tcPr>
          <w:p w14:paraId="00D71250" w14:textId="77777777" w:rsidR="0087601C" w:rsidRPr="006A1EC7" w:rsidRDefault="0087601C" w:rsidP="00D56051">
            <w:pPr>
              <w:rPr>
                <w:sz w:val="13"/>
                <w:szCs w:val="13"/>
              </w:rPr>
            </w:pPr>
            <w:r w:rsidRPr="006A1EC7">
              <w:rPr>
                <w:sz w:val="13"/>
                <w:szCs w:val="13"/>
              </w:rPr>
              <w:t>0/4</w:t>
            </w:r>
          </w:p>
        </w:tc>
        <w:tc>
          <w:tcPr>
            <w:tcW w:w="708" w:type="dxa"/>
            <w:shd w:val="clear" w:color="auto" w:fill="auto"/>
          </w:tcPr>
          <w:p w14:paraId="55E63DDF" w14:textId="77777777" w:rsidR="0087601C" w:rsidRPr="006A1EC7" w:rsidRDefault="0087601C" w:rsidP="00D56051">
            <w:pPr>
              <w:rPr>
                <w:sz w:val="13"/>
                <w:szCs w:val="13"/>
              </w:rPr>
            </w:pPr>
            <w:r w:rsidRPr="006A1EC7">
              <w:rPr>
                <w:sz w:val="13"/>
                <w:szCs w:val="13"/>
              </w:rPr>
              <w:t>0%</w:t>
            </w:r>
          </w:p>
        </w:tc>
      </w:tr>
      <w:tr w:rsidR="0087601C" w:rsidRPr="006A1EC7" w14:paraId="0CB807C0" w14:textId="77777777" w:rsidTr="00D56051">
        <w:tc>
          <w:tcPr>
            <w:tcW w:w="795" w:type="dxa"/>
          </w:tcPr>
          <w:p w14:paraId="4B03D8DC" w14:textId="77777777" w:rsidR="0087601C" w:rsidRPr="006A1EC7" w:rsidRDefault="0087601C" w:rsidP="00D56051">
            <w:pPr>
              <w:rPr>
                <w:sz w:val="13"/>
                <w:szCs w:val="13"/>
              </w:rPr>
            </w:pPr>
            <w:r w:rsidRPr="006A1EC7">
              <w:rPr>
                <w:sz w:val="13"/>
                <w:szCs w:val="13"/>
              </w:rPr>
              <w:t>Percent agreement (%)</w:t>
            </w:r>
          </w:p>
        </w:tc>
        <w:tc>
          <w:tcPr>
            <w:tcW w:w="476" w:type="dxa"/>
            <w:shd w:val="clear" w:color="auto" w:fill="FFFF00"/>
          </w:tcPr>
          <w:p w14:paraId="6DA35D8A" w14:textId="77777777" w:rsidR="0087601C" w:rsidRPr="006A1EC7" w:rsidRDefault="0087601C" w:rsidP="00D56051">
            <w:pPr>
              <w:rPr>
                <w:sz w:val="13"/>
                <w:szCs w:val="13"/>
              </w:rPr>
            </w:pPr>
          </w:p>
        </w:tc>
        <w:tc>
          <w:tcPr>
            <w:tcW w:w="476" w:type="dxa"/>
            <w:shd w:val="clear" w:color="auto" w:fill="FFFF00"/>
          </w:tcPr>
          <w:p w14:paraId="2F486D5F" w14:textId="77777777" w:rsidR="0087601C" w:rsidRPr="006A1EC7" w:rsidRDefault="0087601C" w:rsidP="00D56051">
            <w:pPr>
              <w:rPr>
                <w:sz w:val="13"/>
                <w:szCs w:val="13"/>
              </w:rPr>
            </w:pPr>
          </w:p>
        </w:tc>
        <w:tc>
          <w:tcPr>
            <w:tcW w:w="477" w:type="dxa"/>
          </w:tcPr>
          <w:p w14:paraId="0898A145" w14:textId="77777777" w:rsidR="0087601C" w:rsidRPr="006A1EC7" w:rsidRDefault="0087601C" w:rsidP="00D56051">
            <w:pPr>
              <w:rPr>
                <w:sz w:val="13"/>
                <w:szCs w:val="13"/>
              </w:rPr>
            </w:pPr>
            <w:r w:rsidRPr="006A1EC7">
              <w:rPr>
                <w:sz w:val="13"/>
                <w:szCs w:val="13"/>
              </w:rPr>
              <w:t>70</w:t>
            </w:r>
          </w:p>
        </w:tc>
        <w:tc>
          <w:tcPr>
            <w:tcW w:w="477" w:type="dxa"/>
            <w:shd w:val="clear" w:color="auto" w:fill="FFFF00"/>
          </w:tcPr>
          <w:p w14:paraId="626F79AE" w14:textId="77777777" w:rsidR="0087601C" w:rsidRPr="006A1EC7" w:rsidRDefault="0087601C" w:rsidP="00D56051">
            <w:pPr>
              <w:rPr>
                <w:sz w:val="13"/>
                <w:szCs w:val="13"/>
              </w:rPr>
            </w:pPr>
          </w:p>
        </w:tc>
        <w:tc>
          <w:tcPr>
            <w:tcW w:w="477" w:type="dxa"/>
            <w:shd w:val="clear" w:color="auto" w:fill="FFFF00"/>
          </w:tcPr>
          <w:p w14:paraId="699BE917" w14:textId="77777777" w:rsidR="0087601C" w:rsidRPr="006A1EC7" w:rsidRDefault="0087601C" w:rsidP="00D56051">
            <w:pPr>
              <w:rPr>
                <w:sz w:val="13"/>
                <w:szCs w:val="13"/>
              </w:rPr>
            </w:pPr>
          </w:p>
        </w:tc>
        <w:tc>
          <w:tcPr>
            <w:tcW w:w="458" w:type="dxa"/>
          </w:tcPr>
          <w:p w14:paraId="1D4A123E" w14:textId="77777777" w:rsidR="0087601C" w:rsidRPr="006A1EC7" w:rsidRDefault="0087601C" w:rsidP="00D56051">
            <w:pPr>
              <w:rPr>
                <w:sz w:val="13"/>
                <w:szCs w:val="13"/>
              </w:rPr>
            </w:pPr>
            <w:r w:rsidRPr="006A1EC7">
              <w:rPr>
                <w:sz w:val="13"/>
                <w:szCs w:val="13"/>
              </w:rPr>
              <w:t>70</w:t>
            </w:r>
          </w:p>
        </w:tc>
        <w:tc>
          <w:tcPr>
            <w:tcW w:w="477" w:type="dxa"/>
            <w:shd w:val="clear" w:color="auto" w:fill="FFFF00"/>
          </w:tcPr>
          <w:p w14:paraId="3DAA83CE" w14:textId="77777777" w:rsidR="0087601C" w:rsidRPr="006A1EC7" w:rsidRDefault="0087601C" w:rsidP="00D56051">
            <w:pPr>
              <w:rPr>
                <w:sz w:val="13"/>
                <w:szCs w:val="13"/>
              </w:rPr>
            </w:pPr>
          </w:p>
        </w:tc>
        <w:tc>
          <w:tcPr>
            <w:tcW w:w="406" w:type="dxa"/>
            <w:shd w:val="clear" w:color="auto" w:fill="FFFF00"/>
          </w:tcPr>
          <w:p w14:paraId="518F40EA" w14:textId="77777777" w:rsidR="0087601C" w:rsidRPr="006A1EC7" w:rsidRDefault="0087601C" w:rsidP="00D56051">
            <w:pPr>
              <w:rPr>
                <w:sz w:val="13"/>
                <w:szCs w:val="13"/>
              </w:rPr>
            </w:pPr>
          </w:p>
        </w:tc>
        <w:tc>
          <w:tcPr>
            <w:tcW w:w="406" w:type="dxa"/>
            <w:shd w:val="clear" w:color="auto" w:fill="auto"/>
          </w:tcPr>
          <w:p w14:paraId="7FBA2AFE" w14:textId="77777777" w:rsidR="0087601C" w:rsidRPr="006A1EC7" w:rsidRDefault="0087601C" w:rsidP="00D56051">
            <w:pPr>
              <w:rPr>
                <w:sz w:val="13"/>
                <w:szCs w:val="13"/>
              </w:rPr>
            </w:pPr>
            <w:r w:rsidRPr="006A1EC7">
              <w:rPr>
                <w:sz w:val="13"/>
                <w:szCs w:val="13"/>
              </w:rPr>
              <w:t>40</w:t>
            </w:r>
          </w:p>
        </w:tc>
        <w:tc>
          <w:tcPr>
            <w:tcW w:w="439" w:type="dxa"/>
            <w:shd w:val="clear" w:color="auto" w:fill="FFFF00"/>
          </w:tcPr>
          <w:p w14:paraId="2410583F" w14:textId="77777777" w:rsidR="0087601C" w:rsidRPr="006A1EC7" w:rsidRDefault="0087601C" w:rsidP="00D56051">
            <w:pPr>
              <w:rPr>
                <w:sz w:val="13"/>
                <w:szCs w:val="13"/>
              </w:rPr>
            </w:pPr>
          </w:p>
        </w:tc>
        <w:tc>
          <w:tcPr>
            <w:tcW w:w="477" w:type="dxa"/>
            <w:shd w:val="clear" w:color="auto" w:fill="FFFF00"/>
          </w:tcPr>
          <w:p w14:paraId="22163A09" w14:textId="77777777" w:rsidR="0087601C" w:rsidRPr="006A1EC7" w:rsidRDefault="0087601C" w:rsidP="00D56051">
            <w:pPr>
              <w:rPr>
                <w:sz w:val="13"/>
                <w:szCs w:val="13"/>
              </w:rPr>
            </w:pPr>
          </w:p>
        </w:tc>
        <w:tc>
          <w:tcPr>
            <w:tcW w:w="406" w:type="dxa"/>
          </w:tcPr>
          <w:p w14:paraId="49BD3A3E" w14:textId="77777777" w:rsidR="0087601C" w:rsidRPr="006A1EC7" w:rsidRDefault="0087601C" w:rsidP="00D56051">
            <w:pPr>
              <w:rPr>
                <w:sz w:val="13"/>
                <w:szCs w:val="13"/>
              </w:rPr>
            </w:pPr>
            <w:r w:rsidRPr="006A1EC7">
              <w:rPr>
                <w:sz w:val="13"/>
                <w:szCs w:val="13"/>
              </w:rPr>
              <w:t>50</w:t>
            </w:r>
          </w:p>
        </w:tc>
        <w:tc>
          <w:tcPr>
            <w:tcW w:w="978" w:type="dxa"/>
            <w:shd w:val="clear" w:color="auto" w:fill="auto"/>
          </w:tcPr>
          <w:p w14:paraId="7B704798" w14:textId="77777777" w:rsidR="0087601C" w:rsidRPr="006A1EC7" w:rsidRDefault="0087601C" w:rsidP="00D56051">
            <w:pPr>
              <w:rPr>
                <w:sz w:val="13"/>
                <w:szCs w:val="13"/>
              </w:rPr>
            </w:pPr>
          </w:p>
        </w:tc>
        <w:tc>
          <w:tcPr>
            <w:tcW w:w="708" w:type="dxa"/>
            <w:shd w:val="clear" w:color="auto" w:fill="auto"/>
          </w:tcPr>
          <w:p w14:paraId="1D7781B7" w14:textId="77777777" w:rsidR="0087601C" w:rsidRPr="006A1EC7" w:rsidRDefault="0087601C" w:rsidP="00D56051">
            <w:pPr>
              <w:rPr>
                <w:sz w:val="13"/>
                <w:szCs w:val="13"/>
              </w:rPr>
            </w:pPr>
          </w:p>
        </w:tc>
      </w:tr>
    </w:tbl>
    <w:p w14:paraId="0B0E020E" w14:textId="77777777" w:rsidR="0087601C" w:rsidRPr="006A1EC7" w:rsidRDefault="0087601C" w:rsidP="0087601C">
      <w:pPr>
        <w:rPr>
          <w:b/>
          <w:bCs/>
          <w:sz w:val="13"/>
          <w:szCs w:val="13"/>
        </w:rPr>
      </w:pPr>
    </w:p>
    <w:p w14:paraId="33719A7E" w14:textId="77777777" w:rsidR="0087601C" w:rsidRPr="006A1EC7" w:rsidRDefault="0087601C" w:rsidP="0087601C">
      <w:pPr>
        <w:rPr>
          <w:b/>
          <w:bCs/>
          <w:sz w:val="13"/>
          <w:szCs w:val="13"/>
        </w:rPr>
      </w:pPr>
      <w:r w:rsidRPr="006A1EC7">
        <w:rPr>
          <w:b/>
          <w:bCs/>
          <w:sz w:val="13"/>
          <w:szCs w:val="13"/>
        </w:rPr>
        <w:t>VIGNETTE 4: FINEEN</w:t>
      </w:r>
    </w:p>
    <w:p w14:paraId="2840B196" w14:textId="77777777" w:rsidR="0087601C" w:rsidRPr="006A1EC7" w:rsidRDefault="0087601C" w:rsidP="0087601C">
      <w:pPr>
        <w:rPr>
          <w:b/>
          <w:bCs/>
          <w:sz w:val="13"/>
          <w:szCs w:val="13"/>
        </w:rPr>
      </w:pPr>
    </w:p>
    <w:tbl>
      <w:tblPr>
        <w:tblStyle w:val="TableGrid"/>
        <w:tblW w:w="0" w:type="auto"/>
        <w:tblLook w:val="04A0" w:firstRow="1" w:lastRow="0" w:firstColumn="1" w:lastColumn="0" w:noHBand="0" w:noVBand="1"/>
      </w:tblPr>
      <w:tblGrid>
        <w:gridCol w:w="758"/>
        <w:gridCol w:w="465"/>
        <w:gridCol w:w="465"/>
        <w:gridCol w:w="467"/>
        <w:gridCol w:w="467"/>
        <w:gridCol w:w="467"/>
        <w:gridCol w:w="445"/>
        <w:gridCol w:w="468"/>
        <w:gridCol w:w="450"/>
        <w:gridCol w:w="398"/>
        <w:gridCol w:w="452"/>
        <w:gridCol w:w="468"/>
        <w:gridCol w:w="398"/>
        <w:gridCol w:w="468"/>
        <w:gridCol w:w="468"/>
        <w:gridCol w:w="398"/>
        <w:gridCol w:w="468"/>
        <w:gridCol w:w="468"/>
        <w:gridCol w:w="398"/>
        <w:gridCol w:w="468"/>
        <w:gridCol w:w="469"/>
        <w:gridCol w:w="398"/>
        <w:gridCol w:w="469"/>
        <w:gridCol w:w="469"/>
        <w:gridCol w:w="398"/>
        <w:gridCol w:w="401"/>
        <w:gridCol w:w="520"/>
      </w:tblGrid>
      <w:tr w:rsidR="00744A8E" w:rsidRPr="006A1EC7" w14:paraId="6AFCF92F" w14:textId="77777777" w:rsidTr="00D56051">
        <w:trPr>
          <w:trHeight w:val="558"/>
        </w:trPr>
        <w:tc>
          <w:tcPr>
            <w:tcW w:w="636" w:type="dxa"/>
          </w:tcPr>
          <w:p w14:paraId="54E98ADA" w14:textId="77777777" w:rsidR="0087601C" w:rsidRPr="006A1EC7" w:rsidRDefault="0087601C" w:rsidP="00D56051">
            <w:pPr>
              <w:rPr>
                <w:sz w:val="13"/>
                <w:szCs w:val="13"/>
              </w:rPr>
            </w:pPr>
          </w:p>
        </w:tc>
        <w:tc>
          <w:tcPr>
            <w:tcW w:w="475" w:type="dxa"/>
            <w:shd w:val="clear" w:color="auto" w:fill="FFFF00"/>
          </w:tcPr>
          <w:p w14:paraId="1E80B25A" w14:textId="77777777" w:rsidR="0087601C" w:rsidRPr="006A1EC7" w:rsidRDefault="0087601C" w:rsidP="00D56051">
            <w:pPr>
              <w:rPr>
                <w:sz w:val="13"/>
                <w:szCs w:val="13"/>
              </w:rPr>
            </w:pPr>
            <w:r w:rsidRPr="006A1EC7">
              <w:rPr>
                <w:sz w:val="13"/>
                <w:szCs w:val="13"/>
              </w:rPr>
              <w:t>J1 (1)</w:t>
            </w:r>
          </w:p>
        </w:tc>
        <w:tc>
          <w:tcPr>
            <w:tcW w:w="475" w:type="dxa"/>
            <w:shd w:val="clear" w:color="auto" w:fill="FFFF00"/>
          </w:tcPr>
          <w:p w14:paraId="4A46E26A" w14:textId="77777777" w:rsidR="0087601C" w:rsidRPr="006A1EC7" w:rsidRDefault="0087601C" w:rsidP="00D56051">
            <w:pPr>
              <w:rPr>
                <w:sz w:val="13"/>
                <w:szCs w:val="13"/>
              </w:rPr>
            </w:pPr>
            <w:r w:rsidRPr="006A1EC7">
              <w:rPr>
                <w:sz w:val="13"/>
                <w:szCs w:val="13"/>
              </w:rPr>
              <w:t>J1 (2)</w:t>
            </w:r>
          </w:p>
        </w:tc>
        <w:tc>
          <w:tcPr>
            <w:tcW w:w="472" w:type="dxa"/>
          </w:tcPr>
          <w:p w14:paraId="1C68CD6F" w14:textId="77777777" w:rsidR="0087601C" w:rsidRPr="006A1EC7" w:rsidRDefault="0087601C" w:rsidP="00D56051">
            <w:pPr>
              <w:rPr>
                <w:sz w:val="13"/>
                <w:szCs w:val="13"/>
              </w:rPr>
            </w:pPr>
          </w:p>
        </w:tc>
        <w:tc>
          <w:tcPr>
            <w:tcW w:w="476" w:type="dxa"/>
            <w:shd w:val="clear" w:color="auto" w:fill="FFFF00"/>
          </w:tcPr>
          <w:p w14:paraId="7B9DD564" w14:textId="77777777" w:rsidR="0087601C" w:rsidRPr="006A1EC7" w:rsidRDefault="0087601C" w:rsidP="00D56051">
            <w:pPr>
              <w:rPr>
                <w:sz w:val="13"/>
                <w:szCs w:val="13"/>
              </w:rPr>
            </w:pPr>
            <w:r w:rsidRPr="006A1EC7">
              <w:rPr>
                <w:sz w:val="13"/>
                <w:szCs w:val="13"/>
              </w:rPr>
              <w:t>J2 (1)</w:t>
            </w:r>
          </w:p>
        </w:tc>
        <w:tc>
          <w:tcPr>
            <w:tcW w:w="476" w:type="dxa"/>
            <w:shd w:val="clear" w:color="auto" w:fill="FFFF00"/>
          </w:tcPr>
          <w:p w14:paraId="711054C3" w14:textId="77777777" w:rsidR="0087601C" w:rsidRPr="006A1EC7" w:rsidRDefault="0087601C" w:rsidP="00D56051">
            <w:pPr>
              <w:rPr>
                <w:sz w:val="13"/>
                <w:szCs w:val="13"/>
              </w:rPr>
            </w:pPr>
            <w:r w:rsidRPr="006A1EC7">
              <w:rPr>
                <w:sz w:val="13"/>
                <w:szCs w:val="13"/>
              </w:rPr>
              <w:t>J2 (2)</w:t>
            </w:r>
          </w:p>
        </w:tc>
        <w:tc>
          <w:tcPr>
            <w:tcW w:w="454" w:type="dxa"/>
          </w:tcPr>
          <w:p w14:paraId="1A90AB5D" w14:textId="77777777" w:rsidR="0087601C" w:rsidRPr="006A1EC7" w:rsidRDefault="0087601C" w:rsidP="00D56051">
            <w:pPr>
              <w:rPr>
                <w:sz w:val="13"/>
                <w:szCs w:val="13"/>
              </w:rPr>
            </w:pPr>
          </w:p>
        </w:tc>
        <w:tc>
          <w:tcPr>
            <w:tcW w:w="477" w:type="dxa"/>
            <w:shd w:val="clear" w:color="auto" w:fill="FFFF00"/>
          </w:tcPr>
          <w:p w14:paraId="3B0ABF44" w14:textId="77777777" w:rsidR="0087601C" w:rsidRPr="006A1EC7" w:rsidRDefault="0087601C" w:rsidP="00D56051">
            <w:pPr>
              <w:rPr>
                <w:sz w:val="13"/>
                <w:szCs w:val="13"/>
              </w:rPr>
            </w:pPr>
            <w:r w:rsidRPr="006A1EC7">
              <w:rPr>
                <w:sz w:val="13"/>
                <w:szCs w:val="13"/>
              </w:rPr>
              <w:t>J3 (1)</w:t>
            </w:r>
          </w:p>
        </w:tc>
        <w:tc>
          <w:tcPr>
            <w:tcW w:w="460" w:type="dxa"/>
            <w:shd w:val="clear" w:color="auto" w:fill="FFFF00"/>
          </w:tcPr>
          <w:p w14:paraId="26585B30" w14:textId="77777777" w:rsidR="0087601C" w:rsidRPr="006A1EC7" w:rsidRDefault="0087601C" w:rsidP="00D56051">
            <w:pPr>
              <w:rPr>
                <w:sz w:val="13"/>
                <w:szCs w:val="13"/>
              </w:rPr>
            </w:pPr>
            <w:r w:rsidRPr="006A1EC7">
              <w:rPr>
                <w:sz w:val="13"/>
                <w:szCs w:val="13"/>
              </w:rPr>
              <w:t>J3 2)</w:t>
            </w:r>
          </w:p>
        </w:tc>
        <w:tc>
          <w:tcPr>
            <w:tcW w:w="403" w:type="dxa"/>
            <w:shd w:val="clear" w:color="auto" w:fill="auto"/>
          </w:tcPr>
          <w:p w14:paraId="26AEFEDB" w14:textId="77777777" w:rsidR="0087601C" w:rsidRPr="006A1EC7" w:rsidRDefault="0087601C" w:rsidP="00D56051">
            <w:pPr>
              <w:rPr>
                <w:sz w:val="13"/>
                <w:szCs w:val="13"/>
              </w:rPr>
            </w:pPr>
          </w:p>
        </w:tc>
        <w:tc>
          <w:tcPr>
            <w:tcW w:w="460" w:type="dxa"/>
            <w:shd w:val="clear" w:color="auto" w:fill="FFFF00"/>
          </w:tcPr>
          <w:p w14:paraId="2273D6CD" w14:textId="77777777" w:rsidR="0087601C" w:rsidRPr="006A1EC7" w:rsidRDefault="0087601C" w:rsidP="00D56051">
            <w:pPr>
              <w:rPr>
                <w:sz w:val="13"/>
                <w:szCs w:val="13"/>
              </w:rPr>
            </w:pPr>
            <w:r w:rsidRPr="006A1EC7">
              <w:rPr>
                <w:sz w:val="13"/>
                <w:szCs w:val="13"/>
              </w:rPr>
              <w:t>J4 (1)</w:t>
            </w:r>
          </w:p>
        </w:tc>
        <w:tc>
          <w:tcPr>
            <w:tcW w:w="477" w:type="dxa"/>
            <w:shd w:val="clear" w:color="auto" w:fill="FFFF00"/>
          </w:tcPr>
          <w:p w14:paraId="510435A3" w14:textId="77777777" w:rsidR="0087601C" w:rsidRPr="006A1EC7" w:rsidRDefault="0087601C" w:rsidP="00D56051">
            <w:pPr>
              <w:rPr>
                <w:sz w:val="13"/>
                <w:szCs w:val="13"/>
              </w:rPr>
            </w:pPr>
            <w:r w:rsidRPr="006A1EC7">
              <w:rPr>
                <w:sz w:val="13"/>
                <w:szCs w:val="13"/>
              </w:rPr>
              <w:t>J4 (2)</w:t>
            </w:r>
          </w:p>
        </w:tc>
        <w:tc>
          <w:tcPr>
            <w:tcW w:w="403" w:type="dxa"/>
          </w:tcPr>
          <w:p w14:paraId="298A8CC7" w14:textId="77777777" w:rsidR="0087601C" w:rsidRPr="006A1EC7" w:rsidRDefault="0087601C" w:rsidP="00D56051">
            <w:pPr>
              <w:rPr>
                <w:sz w:val="13"/>
                <w:szCs w:val="13"/>
              </w:rPr>
            </w:pPr>
          </w:p>
        </w:tc>
        <w:tc>
          <w:tcPr>
            <w:tcW w:w="477" w:type="dxa"/>
            <w:shd w:val="clear" w:color="auto" w:fill="FFFF00"/>
          </w:tcPr>
          <w:p w14:paraId="43476A9C" w14:textId="77777777" w:rsidR="0087601C" w:rsidRPr="006A1EC7" w:rsidRDefault="0087601C" w:rsidP="00D56051">
            <w:pPr>
              <w:rPr>
                <w:sz w:val="13"/>
                <w:szCs w:val="13"/>
              </w:rPr>
            </w:pPr>
            <w:r w:rsidRPr="006A1EC7">
              <w:rPr>
                <w:sz w:val="13"/>
                <w:szCs w:val="13"/>
              </w:rPr>
              <w:t>J5 (1)</w:t>
            </w:r>
          </w:p>
        </w:tc>
        <w:tc>
          <w:tcPr>
            <w:tcW w:w="477" w:type="dxa"/>
            <w:shd w:val="clear" w:color="auto" w:fill="FFFF00"/>
          </w:tcPr>
          <w:p w14:paraId="25D1C4FB" w14:textId="77777777" w:rsidR="0087601C" w:rsidRPr="006A1EC7" w:rsidRDefault="0087601C" w:rsidP="00D56051">
            <w:pPr>
              <w:rPr>
                <w:sz w:val="13"/>
                <w:szCs w:val="13"/>
              </w:rPr>
            </w:pPr>
            <w:r w:rsidRPr="006A1EC7">
              <w:rPr>
                <w:sz w:val="13"/>
                <w:szCs w:val="13"/>
              </w:rPr>
              <w:t>J5 (2)</w:t>
            </w:r>
          </w:p>
        </w:tc>
        <w:tc>
          <w:tcPr>
            <w:tcW w:w="403" w:type="dxa"/>
          </w:tcPr>
          <w:p w14:paraId="7B7E90A5" w14:textId="77777777" w:rsidR="0087601C" w:rsidRPr="006A1EC7" w:rsidRDefault="0087601C" w:rsidP="00D56051">
            <w:pPr>
              <w:rPr>
                <w:sz w:val="13"/>
                <w:szCs w:val="13"/>
              </w:rPr>
            </w:pPr>
          </w:p>
        </w:tc>
        <w:tc>
          <w:tcPr>
            <w:tcW w:w="477" w:type="dxa"/>
            <w:shd w:val="clear" w:color="auto" w:fill="FFFF00"/>
          </w:tcPr>
          <w:p w14:paraId="41800460" w14:textId="77777777" w:rsidR="0087601C" w:rsidRPr="006A1EC7" w:rsidRDefault="0087601C" w:rsidP="00D56051">
            <w:pPr>
              <w:rPr>
                <w:sz w:val="13"/>
                <w:szCs w:val="13"/>
              </w:rPr>
            </w:pPr>
            <w:r w:rsidRPr="006A1EC7">
              <w:rPr>
                <w:sz w:val="13"/>
                <w:szCs w:val="13"/>
              </w:rPr>
              <w:t>J6 (1)</w:t>
            </w:r>
          </w:p>
        </w:tc>
        <w:tc>
          <w:tcPr>
            <w:tcW w:w="477" w:type="dxa"/>
            <w:shd w:val="clear" w:color="auto" w:fill="FFFF00"/>
          </w:tcPr>
          <w:p w14:paraId="6734A938" w14:textId="77777777" w:rsidR="0087601C" w:rsidRPr="006A1EC7" w:rsidRDefault="0087601C" w:rsidP="00D56051">
            <w:pPr>
              <w:rPr>
                <w:sz w:val="13"/>
                <w:szCs w:val="13"/>
              </w:rPr>
            </w:pPr>
            <w:r w:rsidRPr="006A1EC7">
              <w:rPr>
                <w:sz w:val="13"/>
                <w:szCs w:val="13"/>
              </w:rPr>
              <w:t>J6 (2)</w:t>
            </w:r>
          </w:p>
        </w:tc>
        <w:tc>
          <w:tcPr>
            <w:tcW w:w="403" w:type="dxa"/>
          </w:tcPr>
          <w:p w14:paraId="6A4CBB15" w14:textId="77777777" w:rsidR="0087601C" w:rsidRPr="006A1EC7" w:rsidRDefault="0087601C" w:rsidP="00D56051">
            <w:pPr>
              <w:rPr>
                <w:sz w:val="13"/>
                <w:szCs w:val="13"/>
              </w:rPr>
            </w:pPr>
          </w:p>
        </w:tc>
        <w:tc>
          <w:tcPr>
            <w:tcW w:w="477" w:type="dxa"/>
            <w:shd w:val="clear" w:color="auto" w:fill="FFFF00"/>
          </w:tcPr>
          <w:p w14:paraId="1CB20A7E" w14:textId="77777777" w:rsidR="0087601C" w:rsidRPr="006A1EC7" w:rsidRDefault="0087601C" w:rsidP="00D56051">
            <w:pPr>
              <w:rPr>
                <w:sz w:val="13"/>
                <w:szCs w:val="13"/>
              </w:rPr>
            </w:pPr>
            <w:r w:rsidRPr="006A1EC7">
              <w:rPr>
                <w:sz w:val="13"/>
                <w:szCs w:val="13"/>
              </w:rPr>
              <w:t>J7 (1)</w:t>
            </w:r>
          </w:p>
        </w:tc>
        <w:tc>
          <w:tcPr>
            <w:tcW w:w="478" w:type="dxa"/>
            <w:shd w:val="clear" w:color="auto" w:fill="FFFF00"/>
          </w:tcPr>
          <w:p w14:paraId="754952E5" w14:textId="77777777" w:rsidR="0087601C" w:rsidRPr="006A1EC7" w:rsidRDefault="0087601C" w:rsidP="00D56051">
            <w:pPr>
              <w:rPr>
                <w:sz w:val="13"/>
                <w:szCs w:val="13"/>
              </w:rPr>
            </w:pPr>
            <w:r w:rsidRPr="006A1EC7">
              <w:rPr>
                <w:sz w:val="13"/>
                <w:szCs w:val="13"/>
              </w:rPr>
              <w:t>J7 (2)</w:t>
            </w:r>
          </w:p>
        </w:tc>
        <w:tc>
          <w:tcPr>
            <w:tcW w:w="403" w:type="dxa"/>
          </w:tcPr>
          <w:p w14:paraId="18FE1434" w14:textId="77777777" w:rsidR="0087601C" w:rsidRPr="006A1EC7" w:rsidRDefault="0087601C" w:rsidP="00D56051">
            <w:pPr>
              <w:rPr>
                <w:sz w:val="13"/>
                <w:szCs w:val="13"/>
              </w:rPr>
            </w:pPr>
          </w:p>
        </w:tc>
        <w:tc>
          <w:tcPr>
            <w:tcW w:w="478" w:type="dxa"/>
            <w:shd w:val="clear" w:color="auto" w:fill="FFFF00"/>
          </w:tcPr>
          <w:p w14:paraId="6659CFDA" w14:textId="77777777" w:rsidR="0087601C" w:rsidRPr="006A1EC7" w:rsidRDefault="0087601C" w:rsidP="00D56051">
            <w:pPr>
              <w:rPr>
                <w:sz w:val="13"/>
                <w:szCs w:val="13"/>
              </w:rPr>
            </w:pPr>
            <w:r w:rsidRPr="006A1EC7">
              <w:rPr>
                <w:sz w:val="13"/>
                <w:szCs w:val="13"/>
              </w:rPr>
              <w:t>J8 (1)</w:t>
            </w:r>
          </w:p>
        </w:tc>
        <w:tc>
          <w:tcPr>
            <w:tcW w:w="478" w:type="dxa"/>
            <w:shd w:val="clear" w:color="auto" w:fill="FFFF00"/>
          </w:tcPr>
          <w:p w14:paraId="1E87CA8B" w14:textId="77777777" w:rsidR="0087601C" w:rsidRPr="006A1EC7" w:rsidRDefault="0087601C" w:rsidP="00D56051">
            <w:pPr>
              <w:rPr>
                <w:sz w:val="13"/>
                <w:szCs w:val="13"/>
              </w:rPr>
            </w:pPr>
            <w:r w:rsidRPr="006A1EC7">
              <w:rPr>
                <w:sz w:val="13"/>
                <w:szCs w:val="13"/>
              </w:rPr>
              <w:t>J8 (2)</w:t>
            </w:r>
          </w:p>
        </w:tc>
        <w:tc>
          <w:tcPr>
            <w:tcW w:w="403" w:type="dxa"/>
          </w:tcPr>
          <w:p w14:paraId="5A7202FF" w14:textId="77777777" w:rsidR="0087601C" w:rsidRPr="006A1EC7" w:rsidRDefault="0087601C" w:rsidP="00D56051">
            <w:pPr>
              <w:rPr>
                <w:sz w:val="13"/>
                <w:szCs w:val="13"/>
              </w:rPr>
            </w:pPr>
          </w:p>
        </w:tc>
        <w:tc>
          <w:tcPr>
            <w:tcW w:w="403" w:type="dxa"/>
            <w:shd w:val="clear" w:color="auto" w:fill="auto"/>
          </w:tcPr>
          <w:p w14:paraId="62E9DBEF" w14:textId="77777777" w:rsidR="0087601C" w:rsidRPr="006A1EC7" w:rsidRDefault="0087601C" w:rsidP="00D56051">
            <w:pPr>
              <w:rPr>
                <w:sz w:val="13"/>
                <w:szCs w:val="13"/>
              </w:rPr>
            </w:pPr>
          </w:p>
        </w:tc>
        <w:tc>
          <w:tcPr>
            <w:tcW w:w="403" w:type="dxa"/>
            <w:shd w:val="clear" w:color="auto" w:fill="auto"/>
          </w:tcPr>
          <w:p w14:paraId="40A73DDC" w14:textId="77777777" w:rsidR="0087601C" w:rsidRPr="006A1EC7" w:rsidRDefault="0087601C" w:rsidP="00D56051">
            <w:pPr>
              <w:rPr>
                <w:sz w:val="13"/>
                <w:szCs w:val="13"/>
              </w:rPr>
            </w:pPr>
          </w:p>
        </w:tc>
      </w:tr>
      <w:tr w:rsidR="00744A8E" w:rsidRPr="006A1EC7" w14:paraId="17399793" w14:textId="77777777" w:rsidTr="00D56051">
        <w:tc>
          <w:tcPr>
            <w:tcW w:w="636" w:type="dxa"/>
          </w:tcPr>
          <w:p w14:paraId="05F07F3B" w14:textId="77777777" w:rsidR="0087601C" w:rsidRPr="006A1EC7" w:rsidRDefault="0087601C" w:rsidP="00D56051">
            <w:pPr>
              <w:rPr>
                <w:sz w:val="13"/>
                <w:szCs w:val="13"/>
              </w:rPr>
            </w:pPr>
            <w:r w:rsidRPr="006A1EC7">
              <w:rPr>
                <w:sz w:val="13"/>
                <w:szCs w:val="13"/>
              </w:rPr>
              <w:t>FCE</w:t>
            </w:r>
          </w:p>
        </w:tc>
        <w:tc>
          <w:tcPr>
            <w:tcW w:w="475" w:type="dxa"/>
            <w:shd w:val="clear" w:color="auto" w:fill="FFFF00"/>
          </w:tcPr>
          <w:p w14:paraId="764DB759" w14:textId="77777777" w:rsidR="0087601C" w:rsidRPr="006A1EC7" w:rsidRDefault="0087601C" w:rsidP="00D56051">
            <w:pPr>
              <w:rPr>
                <w:sz w:val="13"/>
                <w:szCs w:val="13"/>
              </w:rPr>
            </w:pPr>
            <w:r w:rsidRPr="006A1EC7">
              <w:rPr>
                <w:sz w:val="13"/>
                <w:szCs w:val="13"/>
              </w:rPr>
              <w:t>3</w:t>
            </w:r>
          </w:p>
        </w:tc>
        <w:tc>
          <w:tcPr>
            <w:tcW w:w="475" w:type="dxa"/>
            <w:shd w:val="clear" w:color="auto" w:fill="FFFF00"/>
          </w:tcPr>
          <w:p w14:paraId="1E7FC506" w14:textId="77777777" w:rsidR="0087601C" w:rsidRPr="006A1EC7" w:rsidRDefault="0087601C" w:rsidP="00D56051">
            <w:pPr>
              <w:rPr>
                <w:sz w:val="13"/>
                <w:szCs w:val="13"/>
              </w:rPr>
            </w:pPr>
            <w:r w:rsidRPr="006A1EC7">
              <w:rPr>
                <w:sz w:val="13"/>
                <w:szCs w:val="13"/>
              </w:rPr>
              <w:t>2</w:t>
            </w:r>
          </w:p>
        </w:tc>
        <w:tc>
          <w:tcPr>
            <w:tcW w:w="472" w:type="dxa"/>
          </w:tcPr>
          <w:p w14:paraId="26B63C0A"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382A22B3"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4382096A" w14:textId="77777777" w:rsidR="0087601C" w:rsidRPr="006A1EC7" w:rsidRDefault="0087601C" w:rsidP="00D56051">
            <w:pPr>
              <w:rPr>
                <w:sz w:val="13"/>
                <w:szCs w:val="13"/>
              </w:rPr>
            </w:pPr>
            <w:r w:rsidRPr="006A1EC7">
              <w:rPr>
                <w:sz w:val="13"/>
                <w:szCs w:val="13"/>
              </w:rPr>
              <w:t>2</w:t>
            </w:r>
          </w:p>
        </w:tc>
        <w:tc>
          <w:tcPr>
            <w:tcW w:w="454" w:type="dxa"/>
          </w:tcPr>
          <w:p w14:paraId="6EAFFFE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0F9E775" w14:textId="77777777" w:rsidR="0087601C" w:rsidRPr="006A1EC7" w:rsidRDefault="0087601C" w:rsidP="00D56051">
            <w:pPr>
              <w:rPr>
                <w:sz w:val="13"/>
                <w:szCs w:val="13"/>
              </w:rPr>
            </w:pPr>
            <w:r w:rsidRPr="006A1EC7">
              <w:rPr>
                <w:sz w:val="13"/>
                <w:szCs w:val="13"/>
              </w:rPr>
              <w:t>3</w:t>
            </w:r>
          </w:p>
        </w:tc>
        <w:tc>
          <w:tcPr>
            <w:tcW w:w="460" w:type="dxa"/>
            <w:shd w:val="clear" w:color="auto" w:fill="FFFF00"/>
          </w:tcPr>
          <w:p w14:paraId="3E3174E8" w14:textId="77777777" w:rsidR="0087601C" w:rsidRPr="006A1EC7" w:rsidRDefault="0087601C" w:rsidP="00D56051">
            <w:pPr>
              <w:rPr>
                <w:sz w:val="13"/>
                <w:szCs w:val="13"/>
              </w:rPr>
            </w:pPr>
            <w:r w:rsidRPr="006A1EC7">
              <w:rPr>
                <w:sz w:val="13"/>
                <w:szCs w:val="13"/>
              </w:rPr>
              <w:t>3</w:t>
            </w:r>
          </w:p>
        </w:tc>
        <w:tc>
          <w:tcPr>
            <w:tcW w:w="403" w:type="dxa"/>
            <w:shd w:val="clear" w:color="auto" w:fill="auto"/>
          </w:tcPr>
          <w:p w14:paraId="0A5EB66F"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6E89851B"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2CC45346" w14:textId="77777777" w:rsidR="0087601C" w:rsidRPr="006A1EC7" w:rsidRDefault="0087601C" w:rsidP="00D56051">
            <w:pPr>
              <w:rPr>
                <w:sz w:val="13"/>
                <w:szCs w:val="13"/>
              </w:rPr>
            </w:pPr>
            <w:r w:rsidRPr="006A1EC7">
              <w:rPr>
                <w:sz w:val="13"/>
                <w:szCs w:val="13"/>
              </w:rPr>
              <w:t>2</w:t>
            </w:r>
          </w:p>
        </w:tc>
        <w:tc>
          <w:tcPr>
            <w:tcW w:w="403" w:type="dxa"/>
          </w:tcPr>
          <w:p w14:paraId="02BB5EA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92AE55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DAC1432" w14:textId="77777777" w:rsidR="0087601C" w:rsidRPr="006A1EC7" w:rsidRDefault="0087601C" w:rsidP="00D56051">
            <w:pPr>
              <w:rPr>
                <w:sz w:val="13"/>
                <w:szCs w:val="13"/>
              </w:rPr>
            </w:pPr>
            <w:r w:rsidRPr="006A1EC7">
              <w:rPr>
                <w:sz w:val="13"/>
                <w:szCs w:val="13"/>
              </w:rPr>
              <w:t>1</w:t>
            </w:r>
          </w:p>
        </w:tc>
        <w:tc>
          <w:tcPr>
            <w:tcW w:w="403" w:type="dxa"/>
          </w:tcPr>
          <w:p w14:paraId="3D8F7C6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4A39A9C"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536F38CC" w14:textId="77777777" w:rsidR="0087601C" w:rsidRPr="006A1EC7" w:rsidRDefault="0087601C" w:rsidP="00D56051">
            <w:pPr>
              <w:rPr>
                <w:sz w:val="13"/>
                <w:szCs w:val="13"/>
              </w:rPr>
            </w:pPr>
            <w:r w:rsidRPr="006A1EC7">
              <w:rPr>
                <w:sz w:val="13"/>
                <w:szCs w:val="13"/>
              </w:rPr>
              <w:t>1</w:t>
            </w:r>
          </w:p>
        </w:tc>
        <w:tc>
          <w:tcPr>
            <w:tcW w:w="403" w:type="dxa"/>
          </w:tcPr>
          <w:p w14:paraId="6CE2DA0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5D40CCC"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42FBD37D" w14:textId="77777777" w:rsidR="0087601C" w:rsidRPr="006A1EC7" w:rsidRDefault="0087601C" w:rsidP="00D56051">
            <w:pPr>
              <w:rPr>
                <w:sz w:val="13"/>
                <w:szCs w:val="13"/>
              </w:rPr>
            </w:pPr>
            <w:r w:rsidRPr="006A1EC7">
              <w:rPr>
                <w:sz w:val="13"/>
                <w:szCs w:val="13"/>
              </w:rPr>
              <w:t>2</w:t>
            </w:r>
          </w:p>
        </w:tc>
        <w:tc>
          <w:tcPr>
            <w:tcW w:w="403" w:type="dxa"/>
          </w:tcPr>
          <w:p w14:paraId="51ED3308"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13CBA4D5" w14:textId="77777777" w:rsidR="0087601C" w:rsidRPr="006A1EC7" w:rsidRDefault="0087601C" w:rsidP="00D56051">
            <w:pPr>
              <w:rPr>
                <w:sz w:val="13"/>
                <w:szCs w:val="13"/>
              </w:rPr>
            </w:pPr>
            <w:r w:rsidRPr="006A1EC7">
              <w:rPr>
                <w:sz w:val="13"/>
                <w:szCs w:val="13"/>
              </w:rPr>
              <w:t>2</w:t>
            </w:r>
          </w:p>
        </w:tc>
        <w:tc>
          <w:tcPr>
            <w:tcW w:w="478" w:type="dxa"/>
            <w:shd w:val="clear" w:color="auto" w:fill="FFFF00"/>
          </w:tcPr>
          <w:p w14:paraId="067F3A93" w14:textId="77777777" w:rsidR="0087601C" w:rsidRPr="006A1EC7" w:rsidRDefault="0087601C" w:rsidP="00D56051">
            <w:pPr>
              <w:rPr>
                <w:sz w:val="13"/>
                <w:szCs w:val="13"/>
              </w:rPr>
            </w:pPr>
            <w:r w:rsidRPr="006A1EC7">
              <w:rPr>
                <w:sz w:val="13"/>
                <w:szCs w:val="13"/>
              </w:rPr>
              <w:t>3</w:t>
            </w:r>
          </w:p>
        </w:tc>
        <w:tc>
          <w:tcPr>
            <w:tcW w:w="403" w:type="dxa"/>
          </w:tcPr>
          <w:p w14:paraId="59F6DFE9"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6EF8C48F" w14:textId="77777777" w:rsidR="0087601C" w:rsidRPr="006A1EC7" w:rsidRDefault="0087601C" w:rsidP="00D56051">
            <w:pPr>
              <w:rPr>
                <w:sz w:val="13"/>
                <w:szCs w:val="13"/>
              </w:rPr>
            </w:pPr>
            <w:r w:rsidRPr="006A1EC7">
              <w:rPr>
                <w:sz w:val="13"/>
                <w:szCs w:val="13"/>
              </w:rPr>
              <w:t>8/8</w:t>
            </w:r>
          </w:p>
        </w:tc>
        <w:tc>
          <w:tcPr>
            <w:tcW w:w="403" w:type="dxa"/>
            <w:shd w:val="clear" w:color="auto" w:fill="auto"/>
          </w:tcPr>
          <w:p w14:paraId="589996C3" w14:textId="77777777" w:rsidR="0087601C" w:rsidRPr="006A1EC7" w:rsidRDefault="0087601C" w:rsidP="00D56051">
            <w:pPr>
              <w:rPr>
                <w:sz w:val="13"/>
                <w:szCs w:val="13"/>
              </w:rPr>
            </w:pPr>
            <w:r w:rsidRPr="006A1EC7">
              <w:rPr>
                <w:sz w:val="13"/>
                <w:szCs w:val="13"/>
              </w:rPr>
              <w:t>100%</w:t>
            </w:r>
          </w:p>
        </w:tc>
      </w:tr>
      <w:tr w:rsidR="00744A8E" w:rsidRPr="006A1EC7" w14:paraId="21BEA379" w14:textId="77777777" w:rsidTr="00D56051">
        <w:tc>
          <w:tcPr>
            <w:tcW w:w="636" w:type="dxa"/>
          </w:tcPr>
          <w:p w14:paraId="1778A8FD" w14:textId="77777777" w:rsidR="0087601C" w:rsidRPr="006A1EC7" w:rsidRDefault="0087601C" w:rsidP="00D56051">
            <w:pPr>
              <w:rPr>
                <w:sz w:val="13"/>
                <w:szCs w:val="13"/>
              </w:rPr>
            </w:pPr>
            <w:r w:rsidRPr="006A1EC7">
              <w:rPr>
                <w:sz w:val="13"/>
                <w:szCs w:val="13"/>
              </w:rPr>
              <w:t>EPY</w:t>
            </w:r>
          </w:p>
        </w:tc>
        <w:tc>
          <w:tcPr>
            <w:tcW w:w="475" w:type="dxa"/>
            <w:shd w:val="clear" w:color="auto" w:fill="FFFF00"/>
          </w:tcPr>
          <w:p w14:paraId="0AF7A970" w14:textId="77777777" w:rsidR="0087601C" w:rsidRPr="006A1EC7" w:rsidRDefault="0087601C" w:rsidP="00D56051">
            <w:pPr>
              <w:rPr>
                <w:sz w:val="13"/>
                <w:szCs w:val="13"/>
              </w:rPr>
            </w:pPr>
            <w:r w:rsidRPr="006A1EC7">
              <w:rPr>
                <w:sz w:val="13"/>
                <w:szCs w:val="13"/>
              </w:rPr>
              <w:t>0</w:t>
            </w:r>
          </w:p>
        </w:tc>
        <w:tc>
          <w:tcPr>
            <w:tcW w:w="475" w:type="dxa"/>
            <w:shd w:val="clear" w:color="auto" w:fill="FFFF00"/>
          </w:tcPr>
          <w:p w14:paraId="5A2BD1A7" w14:textId="77777777" w:rsidR="0087601C" w:rsidRPr="006A1EC7" w:rsidRDefault="0087601C" w:rsidP="00D56051">
            <w:pPr>
              <w:rPr>
                <w:sz w:val="13"/>
                <w:szCs w:val="13"/>
              </w:rPr>
            </w:pPr>
            <w:r w:rsidRPr="006A1EC7">
              <w:rPr>
                <w:sz w:val="13"/>
                <w:szCs w:val="13"/>
              </w:rPr>
              <w:t>0</w:t>
            </w:r>
          </w:p>
        </w:tc>
        <w:tc>
          <w:tcPr>
            <w:tcW w:w="472" w:type="dxa"/>
          </w:tcPr>
          <w:p w14:paraId="5E16D4B3"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2CEAB97C"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3DA9773" w14:textId="77777777" w:rsidR="0087601C" w:rsidRPr="006A1EC7" w:rsidRDefault="0087601C" w:rsidP="00D56051">
            <w:pPr>
              <w:rPr>
                <w:sz w:val="13"/>
                <w:szCs w:val="13"/>
              </w:rPr>
            </w:pPr>
            <w:r w:rsidRPr="006A1EC7">
              <w:rPr>
                <w:sz w:val="13"/>
                <w:szCs w:val="13"/>
              </w:rPr>
              <w:t>0</w:t>
            </w:r>
          </w:p>
        </w:tc>
        <w:tc>
          <w:tcPr>
            <w:tcW w:w="454" w:type="dxa"/>
          </w:tcPr>
          <w:p w14:paraId="33F0E29B"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B322741"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0E18C561"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6758C8C4"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541AFFB0"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2ACFDFC6" w14:textId="77777777" w:rsidR="0087601C" w:rsidRPr="006A1EC7" w:rsidRDefault="0087601C" w:rsidP="00D56051">
            <w:pPr>
              <w:rPr>
                <w:sz w:val="13"/>
                <w:szCs w:val="13"/>
              </w:rPr>
            </w:pPr>
            <w:r w:rsidRPr="006A1EC7">
              <w:rPr>
                <w:sz w:val="13"/>
                <w:szCs w:val="13"/>
              </w:rPr>
              <w:t>0</w:t>
            </w:r>
          </w:p>
        </w:tc>
        <w:tc>
          <w:tcPr>
            <w:tcW w:w="403" w:type="dxa"/>
          </w:tcPr>
          <w:p w14:paraId="03C88AC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F815BB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0A98B99" w14:textId="77777777" w:rsidR="0087601C" w:rsidRPr="006A1EC7" w:rsidRDefault="0087601C" w:rsidP="00D56051">
            <w:pPr>
              <w:rPr>
                <w:sz w:val="13"/>
                <w:szCs w:val="13"/>
              </w:rPr>
            </w:pPr>
            <w:r w:rsidRPr="006A1EC7">
              <w:rPr>
                <w:sz w:val="13"/>
                <w:szCs w:val="13"/>
              </w:rPr>
              <w:t>0</w:t>
            </w:r>
          </w:p>
        </w:tc>
        <w:tc>
          <w:tcPr>
            <w:tcW w:w="403" w:type="dxa"/>
          </w:tcPr>
          <w:p w14:paraId="635D44E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C29F17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40224DDC" w14:textId="77777777" w:rsidR="0087601C" w:rsidRPr="006A1EC7" w:rsidRDefault="0087601C" w:rsidP="00D56051">
            <w:pPr>
              <w:rPr>
                <w:sz w:val="13"/>
                <w:szCs w:val="13"/>
              </w:rPr>
            </w:pPr>
            <w:r w:rsidRPr="006A1EC7">
              <w:rPr>
                <w:sz w:val="13"/>
                <w:szCs w:val="13"/>
              </w:rPr>
              <w:t>0</w:t>
            </w:r>
          </w:p>
        </w:tc>
        <w:tc>
          <w:tcPr>
            <w:tcW w:w="403" w:type="dxa"/>
          </w:tcPr>
          <w:p w14:paraId="7F11B7A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5BF6D7D"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7BD83CEF" w14:textId="77777777" w:rsidR="0087601C" w:rsidRPr="006A1EC7" w:rsidRDefault="0087601C" w:rsidP="00D56051">
            <w:pPr>
              <w:rPr>
                <w:sz w:val="13"/>
                <w:szCs w:val="13"/>
              </w:rPr>
            </w:pPr>
            <w:r w:rsidRPr="006A1EC7">
              <w:rPr>
                <w:sz w:val="13"/>
                <w:szCs w:val="13"/>
              </w:rPr>
              <w:t>0</w:t>
            </w:r>
          </w:p>
        </w:tc>
        <w:tc>
          <w:tcPr>
            <w:tcW w:w="403" w:type="dxa"/>
          </w:tcPr>
          <w:p w14:paraId="31A68593"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5C5F2FD8"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4ABB4A55" w14:textId="77777777" w:rsidR="0087601C" w:rsidRPr="006A1EC7" w:rsidRDefault="0087601C" w:rsidP="00D56051">
            <w:pPr>
              <w:rPr>
                <w:sz w:val="13"/>
                <w:szCs w:val="13"/>
              </w:rPr>
            </w:pPr>
            <w:r w:rsidRPr="006A1EC7">
              <w:rPr>
                <w:sz w:val="13"/>
                <w:szCs w:val="13"/>
              </w:rPr>
              <w:t>0</w:t>
            </w:r>
          </w:p>
        </w:tc>
        <w:tc>
          <w:tcPr>
            <w:tcW w:w="403" w:type="dxa"/>
          </w:tcPr>
          <w:p w14:paraId="0E1F890E"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6AD9A052" w14:textId="77777777" w:rsidR="0087601C" w:rsidRPr="006A1EC7" w:rsidRDefault="0087601C" w:rsidP="00D56051">
            <w:pPr>
              <w:rPr>
                <w:sz w:val="13"/>
                <w:szCs w:val="13"/>
              </w:rPr>
            </w:pPr>
            <w:r w:rsidRPr="006A1EC7">
              <w:rPr>
                <w:sz w:val="13"/>
                <w:szCs w:val="13"/>
              </w:rPr>
              <w:t>8/8</w:t>
            </w:r>
          </w:p>
        </w:tc>
        <w:tc>
          <w:tcPr>
            <w:tcW w:w="403" w:type="dxa"/>
            <w:shd w:val="clear" w:color="auto" w:fill="auto"/>
          </w:tcPr>
          <w:p w14:paraId="39E85982" w14:textId="77777777" w:rsidR="0087601C" w:rsidRPr="006A1EC7" w:rsidRDefault="0087601C" w:rsidP="00D56051">
            <w:pPr>
              <w:rPr>
                <w:sz w:val="13"/>
                <w:szCs w:val="13"/>
              </w:rPr>
            </w:pPr>
            <w:r w:rsidRPr="006A1EC7">
              <w:rPr>
                <w:sz w:val="13"/>
                <w:szCs w:val="13"/>
              </w:rPr>
              <w:t>100%</w:t>
            </w:r>
          </w:p>
        </w:tc>
      </w:tr>
      <w:tr w:rsidR="00744A8E" w:rsidRPr="006A1EC7" w14:paraId="6809437F" w14:textId="77777777" w:rsidTr="00D56051">
        <w:tc>
          <w:tcPr>
            <w:tcW w:w="636" w:type="dxa"/>
          </w:tcPr>
          <w:p w14:paraId="29922B3B" w14:textId="77777777" w:rsidR="0087601C" w:rsidRPr="006A1EC7" w:rsidRDefault="0087601C" w:rsidP="00D56051">
            <w:pPr>
              <w:rPr>
                <w:sz w:val="13"/>
                <w:szCs w:val="13"/>
              </w:rPr>
            </w:pPr>
            <w:r w:rsidRPr="006A1EC7">
              <w:rPr>
                <w:sz w:val="13"/>
                <w:szCs w:val="13"/>
              </w:rPr>
              <w:t>GST</w:t>
            </w:r>
          </w:p>
        </w:tc>
        <w:tc>
          <w:tcPr>
            <w:tcW w:w="475" w:type="dxa"/>
            <w:shd w:val="clear" w:color="auto" w:fill="FFFF00"/>
          </w:tcPr>
          <w:p w14:paraId="67913AD7" w14:textId="77777777" w:rsidR="0087601C" w:rsidRPr="006A1EC7" w:rsidRDefault="0087601C" w:rsidP="00D56051">
            <w:pPr>
              <w:rPr>
                <w:sz w:val="13"/>
                <w:szCs w:val="13"/>
              </w:rPr>
            </w:pPr>
            <w:r w:rsidRPr="006A1EC7">
              <w:rPr>
                <w:sz w:val="13"/>
                <w:szCs w:val="13"/>
              </w:rPr>
              <w:t>6</w:t>
            </w:r>
          </w:p>
        </w:tc>
        <w:tc>
          <w:tcPr>
            <w:tcW w:w="475" w:type="dxa"/>
            <w:shd w:val="clear" w:color="auto" w:fill="FFFF00"/>
          </w:tcPr>
          <w:p w14:paraId="498B4417" w14:textId="77777777" w:rsidR="0087601C" w:rsidRPr="006A1EC7" w:rsidRDefault="0087601C" w:rsidP="00D56051">
            <w:pPr>
              <w:rPr>
                <w:sz w:val="13"/>
                <w:szCs w:val="13"/>
              </w:rPr>
            </w:pPr>
            <w:r w:rsidRPr="006A1EC7">
              <w:rPr>
                <w:sz w:val="13"/>
                <w:szCs w:val="13"/>
              </w:rPr>
              <w:t>6</w:t>
            </w:r>
          </w:p>
        </w:tc>
        <w:tc>
          <w:tcPr>
            <w:tcW w:w="472" w:type="dxa"/>
          </w:tcPr>
          <w:p w14:paraId="7EBFF51A"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252AE2FA"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79526676" w14:textId="77777777" w:rsidR="0087601C" w:rsidRPr="006A1EC7" w:rsidRDefault="0087601C" w:rsidP="00D56051">
            <w:pPr>
              <w:rPr>
                <w:sz w:val="13"/>
                <w:szCs w:val="13"/>
              </w:rPr>
            </w:pPr>
            <w:r w:rsidRPr="006A1EC7">
              <w:rPr>
                <w:sz w:val="13"/>
                <w:szCs w:val="13"/>
              </w:rPr>
              <w:t>2</w:t>
            </w:r>
          </w:p>
        </w:tc>
        <w:tc>
          <w:tcPr>
            <w:tcW w:w="454" w:type="dxa"/>
          </w:tcPr>
          <w:p w14:paraId="6931AE4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1F8E6D7" w14:textId="77777777" w:rsidR="0087601C" w:rsidRPr="006A1EC7" w:rsidRDefault="0087601C" w:rsidP="00D56051">
            <w:pPr>
              <w:rPr>
                <w:sz w:val="13"/>
                <w:szCs w:val="13"/>
              </w:rPr>
            </w:pPr>
            <w:r w:rsidRPr="006A1EC7">
              <w:rPr>
                <w:sz w:val="13"/>
                <w:szCs w:val="13"/>
              </w:rPr>
              <w:t>4</w:t>
            </w:r>
          </w:p>
        </w:tc>
        <w:tc>
          <w:tcPr>
            <w:tcW w:w="460" w:type="dxa"/>
            <w:shd w:val="clear" w:color="auto" w:fill="FFFF00"/>
          </w:tcPr>
          <w:p w14:paraId="34BC8D4A" w14:textId="77777777" w:rsidR="0087601C" w:rsidRPr="006A1EC7" w:rsidRDefault="0087601C" w:rsidP="00D56051">
            <w:pPr>
              <w:rPr>
                <w:sz w:val="13"/>
                <w:szCs w:val="13"/>
              </w:rPr>
            </w:pPr>
            <w:r w:rsidRPr="006A1EC7">
              <w:rPr>
                <w:sz w:val="13"/>
                <w:szCs w:val="13"/>
              </w:rPr>
              <w:t>3</w:t>
            </w:r>
          </w:p>
        </w:tc>
        <w:tc>
          <w:tcPr>
            <w:tcW w:w="403" w:type="dxa"/>
            <w:shd w:val="clear" w:color="auto" w:fill="auto"/>
          </w:tcPr>
          <w:p w14:paraId="408518CA"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4D14CD1B" w14:textId="77777777" w:rsidR="0087601C" w:rsidRPr="006A1EC7" w:rsidRDefault="0087601C" w:rsidP="00D56051">
            <w:pPr>
              <w:rPr>
                <w:sz w:val="13"/>
                <w:szCs w:val="13"/>
              </w:rPr>
            </w:pPr>
            <w:r w:rsidRPr="006A1EC7">
              <w:rPr>
                <w:sz w:val="13"/>
                <w:szCs w:val="13"/>
              </w:rPr>
              <w:t>8</w:t>
            </w:r>
          </w:p>
        </w:tc>
        <w:tc>
          <w:tcPr>
            <w:tcW w:w="477" w:type="dxa"/>
            <w:shd w:val="clear" w:color="auto" w:fill="FFFF00"/>
          </w:tcPr>
          <w:p w14:paraId="320D68D7" w14:textId="77777777" w:rsidR="0087601C" w:rsidRPr="006A1EC7" w:rsidRDefault="0087601C" w:rsidP="00D56051">
            <w:pPr>
              <w:rPr>
                <w:sz w:val="13"/>
                <w:szCs w:val="13"/>
              </w:rPr>
            </w:pPr>
            <w:r w:rsidRPr="006A1EC7">
              <w:rPr>
                <w:sz w:val="13"/>
                <w:szCs w:val="13"/>
              </w:rPr>
              <w:t>7</w:t>
            </w:r>
          </w:p>
        </w:tc>
        <w:tc>
          <w:tcPr>
            <w:tcW w:w="403" w:type="dxa"/>
          </w:tcPr>
          <w:p w14:paraId="477BC663"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276AC56" w14:textId="77777777" w:rsidR="0087601C" w:rsidRPr="006A1EC7" w:rsidRDefault="0087601C" w:rsidP="00D56051">
            <w:pPr>
              <w:rPr>
                <w:sz w:val="13"/>
                <w:szCs w:val="13"/>
              </w:rPr>
            </w:pPr>
            <w:r w:rsidRPr="006A1EC7">
              <w:rPr>
                <w:sz w:val="13"/>
                <w:szCs w:val="13"/>
              </w:rPr>
              <w:t>6</w:t>
            </w:r>
          </w:p>
        </w:tc>
        <w:tc>
          <w:tcPr>
            <w:tcW w:w="477" w:type="dxa"/>
            <w:shd w:val="clear" w:color="auto" w:fill="FFFF00"/>
          </w:tcPr>
          <w:p w14:paraId="4DBE606B" w14:textId="77777777" w:rsidR="0087601C" w:rsidRPr="006A1EC7" w:rsidRDefault="0087601C" w:rsidP="00D56051">
            <w:pPr>
              <w:rPr>
                <w:sz w:val="13"/>
                <w:szCs w:val="13"/>
              </w:rPr>
            </w:pPr>
            <w:r w:rsidRPr="006A1EC7">
              <w:rPr>
                <w:sz w:val="13"/>
                <w:szCs w:val="13"/>
              </w:rPr>
              <w:t>5</w:t>
            </w:r>
          </w:p>
        </w:tc>
        <w:tc>
          <w:tcPr>
            <w:tcW w:w="403" w:type="dxa"/>
          </w:tcPr>
          <w:p w14:paraId="1B85C86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66607F5"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434C3B76" w14:textId="77777777" w:rsidR="0087601C" w:rsidRPr="006A1EC7" w:rsidRDefault="0087601C" w:rsidP="00D56051">
            <w:pPr>
              <w:rPr>
                <w:sz w:val="13"/>
                <w:szCs w:val="13"/>
              </w:rPr>
            </w:pPr>
            <w:r w:rsidRPr="006A1EC7">
              <w:rPr>
                <w:sz w:val="13"/>
                <w:szCs w:val="13"/>
              </w:rPr>
              <w:t>5</w:t>
            </w:r>
          </w:p>
        </w:tc>
        <w:tc>
          <w:tcPr>
            <w:tcW w:w="403" w:type="dxa"/>
          </w:tcPr>
          <w:p w14:paraId="5E9208A3"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3624F33"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0D852648" w14:textId="77777777" w:rsidR="0087601C" w:rsidRPr="006A1EC7" w:rsidRDefault="0087601C" w:rsidP="00D56051">
            <w:pPr>
              <w:rPr>
                <w:sz w:val="13"/>
                <w:szCs w:val="13"/>
              </w:rPr>
            </w:pPr>
            <w:r w:rsidRPr="006A1EC7">
              <w:rPr>
                <w:sz w:val="13"/>
                <w:szCs w:val="13"/>
              </w:rPr>
              <w:t>6</w:t>
            </w:r>
          </w:p>
        </w:tc>
        <w:tc>
          <w:tcPr>
            <w:tcW w:w="403" w:type="dxa"/>
          </w:tcPr>
          <w:p w14:paraId="481A47F6"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33477DDD"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58B4446D" w14:textId="77777777" w:rsidR="0087601C" w:rsidRPr="006A1EC7" w:rsidRDefault="0087601C" w:rsidP="00D56051">
            <w:pPr>
              <w:rPr>
                <w:sz w:val="13"/>
                <w:szCs w:val="13"/>
              </w:rPr>
            </w:pPr>
            <w:r w:rsidRPr="006A1EC7">
              <w:rPr>
                <w:sz w:val="13"/>
                <w:szCs w:val="13"/>
              </w:rPr>
              <w:t>5</w:t>
            </w:r>
          </w:p>
        </w:tc>
        <w:tc>
          <w:tcPr>
            <w:tcW w:w="403" w:type="dxa"/>
          </w:tcPr>
          <w:p w14:paraId="16B1EBD5"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42B102E0" w14:textId="77777777" w:rsidR="0087601C" w:rsidRPr="006A1EC7" w:rsidRDefault="0087601C" w:rsidP="00D56051">
            <w:pPr>
              <w:rPr>
                <w:sz w:val="13"/>
                <w:szCs w:val="13"/>
              </w:rPr>
            </w:pPr>
            <w:r w:rsidRPr="006A1EC7">
              <w:rPr>
                <w:sz w:val="13"/>
                <w:szCs w:val="13"/>
              </w:rPr>
              <w:t>8/8</w:t>
            </w:r>
          </w:p>
        </w:tc>
        <w:tc>
          <w:tcPr>
            <w:tcW w:w="403" w:type="dxa"/>
            <w:shd w:val="clear" w:color="auto" w:fill="auto"/>
          </w:tcPr>
          <w:p w14:paraId="1BC82391" w14:textId="77777777" w:rsidR="0087601C" w:rsidRPr="006A1EC7" w:rsidRDefault="0087601C" w:rsidP="00D56051">
            <w:pPr>
              <w:rPr>
                <w:sz w:val="13"/>
                <w:szCs w:val="13"/>
              </w:rPr>
            </w:pPr>
            <w:r w:rsidRPr="006A1EC7">
              <w:rPr>
                <w:sz w:val="13"/>
                <w:szCs w:val="13"/>
              </w:rPr>
              <w:t>100%</w:t>
            </w:r>
          </w:p>
        </w:tc>
      </w:tr>
      <w:tr w:rsidR="00744A8E" w:rsidRPr="006A1EC7" w14:paraId="000BFFC4" w14:textId="77777777" w:rsidTr="00D56051">
        <w:tc>
          <w:tcPr>
            <w:tcW w:w="636" w:type="dxa"/>
          </w:tcPr>
          <w:p w14:paraId="466F4676" w14:textId="77777777" w:rsidR="0087601C" w:rsidRPr="006A1EC7" w:rsidRDefault="0087601C" w:rsidP="00D56051">
            <w:pPr>
              <w:rPr>
                <w:sz w:val="13"/>
                <w:szCs w:val="13"/>
              </w:rPr>
            </w:pPr>
            <w:r w:rsidRPr="006A1EC7">
              <w:rPr>
                <w:sz w:val="13"/>
                <w:szCs w:val="13"/>
              </w:rPr>
              <w:t>CRS</w:t>
            </w:r>
          </w:p>
        </w:tc>
        <w:tc>
          <w:tcPr>
            <w:tcW w:w="475" w:type="dxa"/>
            <w:shd w:val="clear" w:color="auto" w:fill="FFFF00"/>
          </w:tcPr>
          <w:p w14:paraId="35EF0937" w14:textId="77777777" w:rsidR="0087601C" w:rsidRPr="006A1EC7" w:rsidRDefault="0087601C" w:rsidP="00D56051">
            <w:pPr>
              <w:rPr>
                <w:sz w:val="13"/>
                <w:szCs w:val="13"/>
              </w:rPr>
            </w:pPr>
            <w:r w:rsidRPr="006A1EC7">
              <w:rPr>
                <w:sz w:val="13"/>
                <w:szCs w:val="13"/>
              </w:rPr>
              <w:t>4</w:t>
            </w:r>
          </w:p>
        </w:tc>
        <w:tc>
          <w:tcPr>
            <w:tcW w:w="475" w:type="dxa"/>
            <w:shd w:val="clear" w:color="auto" w:fill="FFFF00"/>
          </w:tcPr>
          <w:p w14:paraId="2E414F7C" w14:textId="77777777" w:rsidR="0087601C" w:rsidRPr="006A1EC7" w:rsidRDefault="0087601C" w:rsidP="00D56051">
            <w:pPr>
              <w:rPr>
                <w:sz w:val="13"/>
                <w:szCs w:val="13"/>
              </w:rPr>
            </w:pPr>
            <w:r w:rsidRPr="006A1EC7">
              <w:rPr>
                <w:sz w:val="13"/>
                <w:szCs w:val="13"/>
              </w:rPr>
              <w:t>4</w:t>
            </w:r>
          </w:p>
        </w:tc>
        <w:tc>
          <w:tcPr>
            <w:tcW w:w="472" w:type="dxa"/>
          </w:tcPr>
          <w:p w14:paraId="1A930CFC"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1665D739" w14:textId="77777777" w:rsidR="0087601C" w:rsidRPr="006A1EC7" w:rsidRDefault="0087601C" w:rsidP="00D56051">
            <w:pPr>
              <w:rPr>
                <w:sz w:val="13"/>
                <w:szCs w:val="13"/>
              </w:rPr>
            </w:pPr>
            <w:r w:rsidRPr="006A1EC7">
              <w:rPr>
                <w:sz w:val="13"/>
                <w:szCs w:val="13"/>
              </w:rPr>
              <w:t>4</w:t>
            </w:r>
          </w:p>
        </w:tc>
        <w:tc>
          <w:tcPr>
            <w:tcW w:w="476" w:type="dxa"/>
            <w:shd w:val="clear" w:color="auto" w:fill="FFFF00"/>
          </w:tcPr>
          <w:p w14:paraId="5BFE579C" w14:textId="77777777" w:rsidR="0087601C" w:rsidRPr="006A1EC7" w:rsidRDefault="0087601C" w:rsidP="00D56051">
            <w:pPr>
              <w:rPr>
                <w:sz w:val="13"/>
                <w:szCs w:val="13"/>
              </w:rPr>
            </w:pPr>
            <w:r w:rsidRPr="006A1EC7">
              <w:rPr>
                <w:sz w:val="13"/>
                <w:szCs w:val="13"/>
              </w:rPr>
              <w:t>4</w:t>
            </w:r>
          </w:p>
        </w:tc>
        <w:tc>
          <w:tcPr>
            <w:tcW w:w="454" w:type="dxa"/>
          </w:tcPr>
          <w:p w14:paraId="4773D47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1AA9613" w14:textId="77777777" w:rsidR="0087601C" w:rsidRPr="006A1EC7" w:rsidRDefault="0087601C" w:rsidP="00D56051">
            <w:pPr>
              <w:rPr>
                <w:sz w:val="13"/>
                <w:szCs w:val="13"/>
              </w:rPr>
            </w:pPr>
            <w:r w:rsidRPr="006A1EC7">
              <w:rPr>
                <w:sz w:val="13"/>
                <w:szCs w:val="13"/>
              </w:rPr>
              <w:t>5</w:t>
            </w:r>
          </w:p>
        </w:tc>
        <w:tc>
          <w:tcPr>
            <w:tcW w:w="460" w:type="dxa"/>
            <w:shd w:val="clear" w:color="auto" w:fill="FFFF00"/>
          </w:tcPr>
          <w:p w14:paraId="484C1D43" w14:textId="77777777" w:rsidR="0087601C" w:rsidRPr="006A1EC7" w:rsidRDefault="0087601C" w:rsidP="00D56051">
            <w:pPr>
              <w:rPr>
                <w:sz w:val="13"/>
                <w:szCs w:val="13"/>
              </w:rPr>
            </w:pPr>
            <w:r w:rsidRPr="006A1EC7">
              <w:rPr>
                <w:sz w:val="13"/>
                <w:szCs w:val="13"/>
              </w:rPr>
              <w:t>6</w:t>
            </w:r>
          </w:p>
        </w:tc>
        <w:tc>
          <w:tcPr>
            <w:tcW w:w="403" w:type="dxa"/>
            <w:shd w:val="clear" w:color="auto" w:fill="auto"/>
          </w:tcPr>
          <w:p w14:paraId="2B0B5C52"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6DE18C7B"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00D72A99" w14:textId="77777777" w:rsidR="0087601C" w:rsidRPr="006A1EC7" w:rsidRDefault="0087601C" w:rsidP="00D56051">
            <w:pPr>
              <w:rPr>
                <w:sz w:val="13"/>
                <w:szCs w:val="13"/>
              </w:rPr>
            </w:pPr>
            <w:r w:rsidRPr="006A1EC7">
              <w:rPr>
                <w:sz w:val="13"/>
                <w:szCs w:val="13"/>
              </w:rPr>
              <w:t>5</w:t>
            </w:r>
          </w:p>
        </w:tc>
        <w:tc>
          <w:tcPr>
            <w:tcW w:w="403" w:type="dxa"/>
          </w:tcPr>
          <w:p w14:paraId="5989CFE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6F8A93C"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5C810E1B" w14:textId="77777777" w:rsidR="0087601C" w:rsidRPr="006A1EC7" w:rsidRDefault="0087601C" w:rsidP="00D56051">
            <w:pPr>
              <w:rPr>
                <w:sz w:val="13"/>
                <w:szCs w:val="13"/>
              </w:rPr>
            </w:pPr>
            <w:r w:rsidRPr="006A1EC7">
              <w:rPr>
                <w:sz w:val="13"/>
                <w:szCs w:val="13"/>
              </w:rPr>
              <w:t>5</w:t>
            </w:r>
          </w:p>
        </w:tc>
        <w:tc>
          <w:tcPr>
            <w:tcW w:w="403" w:type="dxa"/>
          </w:tcPr>
          <w:p w14:paraId="5E06FB3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CDFA1C1"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3A4D34DE" w14:textId="77777777" w:rsidR="0087601C" w:rsidRPr="006A1EC7" w:rsidRDefault="0087601C" w:rsidP="00D56051">
            <w:pPr>
              <w:rPr>
                <w:sz w:val="13"/>
                <w:szCs w:val="13"/>
              </w:rPr>
            </w:pPr>
            <w:r w:rsidRPr="006A1EC7">
              <w:rPr>
                <w:sz w:val="13"/>
                <w:szCs w:val="13"/>
              </w:rPr>
              <w:t>4</w:t>
            </w:r>
          </w:p>
        </w:tc>
        <w:tc>
          <w:tcPr>
            <w:tcW w:w="403" w:type="dxa"/>
          </w:tcPr>
          <w:p w14:paraId="3EF1F4A0"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3427F01"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090F4440" w14:textId="77777777" w:rsidR="0087601C" w:rsidRPr="006A1EC7" w:rsidRDefault="0087601C" w:rsidP="00D56051">
            <w:pPr>
              <w:rPr>
                <w:sz w:val="13"/>
                <w:szCs w:val="13"/>
              </w:rPr>
            </w:pPr>
            <w:r w:rsidRPr="006A1EC7">
              <w:rPr>
                <w:sz w:val="13"/>
                <w:szCs w:val="13"/>
              </w:rPr>
              <w:t>5</w:t>
            </w:r>
          </w:p>
        </w:tc>
        <w:tc>
          <w:tcPr>
            <w:tcW w:w="403" w:type="dxa"/>
          </w:tcPr>
          <w:p w14:paraId="29B9FA88"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5ECCFE7C"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794BB508" w14:textId="77777777" w:rsidR="0087601C" w:rsidRPr="006A1EC7" w:rsidRDefault="0087601C" w:rsidP="00D56051">
            <w:pPr>
              <w:rPr>
                <w:sz w:val="13"/>
                <w:szCs w:val="13"/>
              </w:rPr>
            </w:pPr>
            <w:r w:rsidRPr="006A1EC7">
              <w:rPr>
                <w:sz w:val="13"/>
                <w:szCs w:val="13"/>
              </w:rPr>
              <w:t>3</w:t>
            </w:r>
          </w:p>
        </w:tc>
        <w:tc>
          <w:tcPr>
            <w:tcW w:w="403" w:type="dxa"/>
          </w:tcPr>
          <w:p w14:paraId="686CF9E0"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37BAFDE3" w14:textId="77777777" w:rsidR="0087601C" w:rsidRPr="006A1EC7" w:rsidRDefault="0087601C" w:rsidP="00D56051">
            <w:pPr>
              <w:rPr>
                <w:sz w:val="13"/>
                <w:szCs w:val="13"/>
              </w:rPr>
            </w:pPr>
            <w:r w:rsidRPr="006A1EC7">
              <w:rPr>
                <w:sz w:val="13"/>
                <w:szCs w:val="13"/>
              </w:rPr>
              <w:t>7/8</w:t>
            </w:r>
          </w:p>
        </w:tc>
        <w:tc>
          <w:tcPr>
            <w:tcW w:w="403" w:type="dxa"/>
            <w:shd w:val="clear" w:color="auto" w:fill="auto"/>
          </w:tcPr>
          <w:p w14:paraId="1BAABC71" w14:textId="77777777" w:rsidR="0087601C" w:rsidRPr="006A1EC7" w:rsidRDefault="0087601C" w:rsidP="00D56051">
            <w:pPr>
              <w:rPr>
                <w:sz w:val="13"/>
                <w:szCs w:val="13"/>
              </w:rPr>
            </w:pPr>
            <w:r w:rsidRPr="006A1EC7">
              <w:rPr>
                <w:sz w:val="13"/>
                <w:szCs w:val="13"/>
              </w:rPr>
              <w:t>88%</w:t>
            </w:r>
          </w:p>
        </w:tc>
      </w:tr>
      <w:tr w:rsidR="00744A8E" w:rsidRPr="006A1EC7" w14:paraId="4C38A7EE" w14:textId="77777777" w:rsidTr="00D56051">
        <w:tc>
          <w:tcPr>
            <w:tcW w:w="636" w:type="dxa"/>
          </w:tcPr>
          <w:p w14:paraId="675FA4F8" w14:textId="77777777" w:rsidR="0087601C" w:rsidRPr="006A1EC7" w:rsidRDefault="0087601C" w:rsidP="00D56051">
            <w:pPr>
              <w:rPr>
                <w:sz w:val="13"/>
                <w:szCs w:val="13"/>
              </w:rPr>
            </w:pPr>
            <w:r w:rsidRPr="006A1EC7">
              <w:rPr>
                <w:sz w:val="13"/>
                <w:szCs w:val="13"/>
              </w:rPr>
              <w:t>CNS</w:t>
            </w:r>
          </w:p>
        </w:tc>
        <w:tc>
          <w:tcPr>
            <w:tcW w:w="475" w:type="dxa"/>
            <w:shd w:val="clear" w:color="auto" w:fill="FFFF00"/>
          </w:tcPr>
          <w:p w14:paraId="5B48A2B9" w14:textId="77777777" w:rsidR="0087601C" w:rsidRPr="006A1EC7" w:rsidRDefault="0087601C" w:rsidP="00D56051">
            <w:pPr>
              <w:rPr>
                <w:sz w:val="13"/>
                <w:szCs w:val="13"/>
              </w:rPr>
            </w:pPr>
            <w:r w:rsidRPr="006A1EC7">
              <w:rPr>
                <w:sz w:val="13"/>
                <w:szCs w:val="13"/>
              </w:rPr>
              <w:t>4</w:t>
            </w:r>
          </w:p>
        </w:tc>
        <w:tc>
          <w:tcPr>
            <w:tcW w:w="475" w:type="dxa"/>
            <w:shd w:val="clear" w:color="auto" w:fill="FFFF00"/>
          </w:tcPr>
          <w:p w14:paraId="0C977883" w14:textId="77777777" w:rsidR="0087601C" w:rsidRPr="006A1EC7" w:rsidRDefault="0087601C" w:rsidP="00D56051">
            <w:pPr>
              <w:rPr>
                <w:sz w:val="13"/>
                <w:szCs w:val="13"/>
              </w:rPr>
            </w:pPr>
            <w:r w:rsidRPr="006A1EC7">
              <w:rPr>
                <w:sz w:val="13"/>
                <w:szCs w:val="13"/>
              </w:rPr>
              <w:t>3</w:t>
            </w:r>
          </w:p>
        </w:tc>
        <w:tc>
          <w:tcPr>
            <w:tcW w:w="472" w:type="dxa"/>
          </w:tcPr>
          <w:p w14:paraId="29F7033F"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04445092" w14:textId="77777777" w:rsidR="0087601C" w:rsidRPr="006A1EC7" w:rsidRDefault="0087601C" w:rsidP="00D56051">
            <w:pPr>
              <w:rPr>
                <w:sz w:val="13"/>
                <w:szCs w:val="13"/>
              </w:rPr>
            </w:pPr>
            <w:r w:rsidRPr="006A1EC7">
              <w:rPr>
                <w:sz w:val="13"/>
                <w:szCs w:val="13"/>
              </w:rPr>
              <w:t>4</w:t>
            </w:r>
          </w:p>
        </w:tc>
        <w:tc>
          <w:tcPr>
            <w:tcW w:w="476" w:type="dxa"/>
            <w:shd w:val="clear" w:color="auto" w:fill="FFFF00"/>
          </w:tcPr>
          <w:p w14:paraId="4BD3ABDB" w14:textId="77777777" w:rsidR="0087601C" w:rsidRPr="006A1EC7" w:rsidRDefault="0087601C" w:rsidP="00D56051">
            <w:pPr>
              <w:rPr>
                <w:sz w:val="13"/>
                <w:szCs w:val="13"/>
              </w:rPr>
            </w:pPr>
            <w:r w:rsidRPr="006A1EC7">
              <w:rPr>
                <w:sz w:val="13"/>
                <w:szCs w:val="13"/>
              </w:rPr>
              <w:t>4</w:t>
            </w:r>
          </w:p>
        </w:tc>
        <w:tc>
          <w:tcPr>
            <w:tcW w:w="454" w:type="dxa"/>
          </w:tcPr>
          <w:p w14:paraId="1274E0F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8E6B5CD" w14:textId="77777777" w:rsidR="0087601C" w:rsidRPr="006A1EC7" w:rsidRDefault="0087601C" w:rsidP="00D56051">
            <w:pPr>
              <w:rPr>
                <w:sz w:val="13"/>
                <w:szCs w:val="13"/>
              </w:rPr>
            </w:pPr>
            <w:r w:rsidRPr="006A1EC7">
              <w:rPr>
                <w:sz w:val="13"/>
                <w:szCs w:val="13"/>
              </w:rPr>
              <w:t>7</w:t>
            </w:r>
          </w:p>
        </w:tc>
        <w:tc>
          <w:tcPr>
            <w:tcW w:w="460" w:type="dxa"/>
            <w:shd w:val="clear" w:color="auto" w:fill="FFFF00"/>
          </w:tcPr>
          <w:p w14:paraId="35D9460D" w14:textId="77777777" w:rsidR="0087601C" w:rsidRPr="006A1EC7" w:rsidRDefault="0087601C" w:rsidP="00D56051">
            <w:pPr>
              <w:rPr>
                <w:sz w:val="13"/>
                <w:szCs w:val="13"/>
              </w:rPr>
            </w:pPr>
            <w:r w:rsidRPr="006A1EC7">
              <w:rPr>
                <w:sz w:val="13"/>
                <w:szCs w:val="13"/>
              </w:rPr>
              <w:t>5</w:t>
            </w:r>
          </w:p>
        </w:tc>
        <w:tc>
          <w:tcPr>
            <w:tcW w:w="403" w:type="dxa"/>
            <w:shd w:val="clear" w:color="auto" w:fill="auto"/>
          </w:tcPr>
          <w:p w14:paraId="6B612C9F"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09F9D00B"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4FAEE846" w14:textId="77777777" w:rsidR="0087601C" w:rsidRPr="006A1EC7" w:rsidRDefault="0087601C" w:rsidP="00D56051">
            <w:pPr>
              <w:rPr>
                <w:sz w:val="13"/>
                <w:szCs w:val="13"/>
              </w:rPr>
            </w:pPr>
            <w:r w:rsidRPr="006A1EC7">
              <w:rPr>
                <w:sz w:val="13"/>
                <w:szCs w:val="13"/>
              </w:rPr>
              <w:t>5</w:t>
            </w:r>
          </w:p>
        </w:tc>
        <w:tc>
          <w:tcPr>
            <w:tcW w:w="403" w:type="dxa"/>
          </w:tcPr>
          <w:p w14:paraId="04119AB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26893A1"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70F44FB7" w14:textId="77777777" w:rsidR="0087601C" w:rsidRPr="006A1EC7" w:rsidRDefault="0087601C" w:rsidP="00D56051">
            <w:pPr>
              <w:rPr>
                <w:sz w:val="13"/>
                <w:szCs w:val="13"/>
              </w:rPr>
            </w:pPr>
            <w:r w:rsidRPr="006A1EC7">
              <w:rPr>
                <w:sz w:val="13"/>
                <w:szCs w:val="13"/>
              </w:rPr>
              <w:t>5</w:t>
            </w:r>
          </w:p>
        </w:tc>
        <w:tc>
          <w:tcPr>
            <w:tcW w:w="403" w:type="dxa"/>
          </w:tcPr>
          <w:p w14:paraId="67A3239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898C798"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182E0277" w14:textId="77777777" w:rsidR="0087601C" w:rsidRPr="006A1EC7" w:rsidRDefault="0087601C" w:rsidP="00D56051">
            <w:pPr>
              <w:rPr>
                <w:sz w:val="13"/>
                <w:szCs w:val="13"/>
              </w:rPr>
            </w:pPr>
            <w:r w:rsidRPr="006A1EC7">
              <w:rPr>
                <w:sz w:val="13"/>
                <w:szCs w:val="13"/>
              </w:rPr>
              <w:t>1</w:t>
            </w:r>
          </w:p>
        </w:tc>
        <w:tc>
          <w:tcPr>
            <w:tcW w:w="403" w:type="dxa"/>
          </w:tcPr>
          <w:p w14:paraId="3821469A"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6F9E64B3" w14:textId="77777777" w:rsidR="0087601C" w:rsidRPr="006A1EC7" w:rsidRDefault="0087601C" w:rsidP="00D56051">
            <w:pPr>
              <w:rPr>
                <w:sz w:val="13"/>
                <w:szCs w:val="13"/>
              </w:rPr>
            </w:pPr>
            <w:r w:rsidRPr="006A1EC7">
              <w:rPr>
                <w:sz w:val="13"/>
                <w:szCs w:val="13"/>
              </w:rPr>
              <w:t>5</w:t>
            </w:r>
          </w:p>
        </w:tc>
        <w:tc>
          <w:tcPr>
            <w:tcW w:w="478" w:type="dxa"/>
            <w:shd w:val="clear" w:color="auto" w:fill="FFFF00"/>
          </w:tcPr>
          <w:p w14:paraId="2A8A104E" w14:textId="77777777" w:rsidR="0087601C" w:rsidRPr="006A1EC7" w:rsidRDefault="0087601C" w:rsidP="00D56051">
            <w:pPr>
              <w:rPr>
                <w:sz w:val="13"/>
                <w:szCs w:val="13"/>
              </w:rPr>
            </w:pPr>
            <w:r w:rsidRPr="006A1EC7">
              <w:rPr>
                <w:sz w:val="13"/>
                <w:szCs w:val="13"/>
              </w:rPr>
              <w:t>5</w:t>
            </w:r>
          </w:p>
        </w:tc>
        <w:tc>
          <w:tcPr>
            <w:tcW w:w="403" w:type="dxa"/>
          </w:tcPr>
          <w:p w14:paraId="0DA03BC2"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57213686" w14:textId="77777777" w:rsidR="0087601C" w:rsidRPr="006A1EC7" w:rsidRDefault="0087601C" w:rsidP="00D56051">
            <w:pPr>
              <w:rPr>
                <w:sz w:val="13"/>
                <w:szCs w:val="13"/>
              </w:rPr>
            </w:pPr>
            <w:r w:rsidRPr="006A1EC7">
              <w:rPr>
                <w:sz w:val="13"/>
                <w:szCs w:val="13"/>
              </w:rPr>
              <w:t>4</w:t>
            </w:r>
          </w:p>
        </w:tc>
        <w:tc>
          <w:tcPr>
            <w:tcW w:w="478" w:type="dxa"/>
            <w:shd w:val="clear" w:color="auto" w:fill="FFFF00"/>
          </w:tcPr>
          <w:p w14:paraId="3035A399" w14:textId="77777777" w:rsidR="0087601C" w:rsidRPr="006A1EC7" w:rsidRDefault="0087601C" w:rsidP="00D56051">
            <w:pPr>
              <w:rPr>
                <w:sz w:val="13"/>
                <w:szCs w:val="13"/>
              </w:rPr>
            </w:pPr>
            <w:r w:rsidRPr="006A1EC7">
              <w:rPr>
                <w:sz w:val="13"/>
                <w:szCs w:val="13"/>
              </w:rPr>
              <w:t>5</w:t>
            </w:r>
          </w:p>
        </w:tc>
        <w:tc>
          <w:tcPr>
            <w:tcW w:w="403" w:type="dxa"/>
          </w:tcPr>
          <w:p w14:paraId="14D1F429"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5590789F" w14:textId="77777777" w:rsidR="0087601C" w:rsidRPr="006A1EC7" w:rsidRDefault="0087601C" w:rsidP="00D56051">
            <w:pPr>
              <w:rPr>
                <w:sz w:val="13"/>
                <w:szCs w:val="13"/>
              </w:rPr>
            </w:pPr>
            <w:r w:rsidRPr="006A1EC7">
              <w:rPr>
                <w:sz w:val="13"/>
                <w:szCs w:val="13"/>
              </w:rPr>
              <w:t>6/8</w:t>
            </w:r>
          </w:p>
        </w:tc>
        <w:tc>
          <w:tcPr>
            <w:tcW w:w="403" w:type="dxa"/>
            <w:shd w:val="clear" w:color="auto" w:fill="auto"/>
          </w:tcPr>
          <w:p w14:paraId="227060A7" w14:textId="77777777" w:rsidR="0087601C" w:rsidRPr="006A1EC7" w:rsidRDefault="0087601C" w:rsidP="00D56051">
            <w:pPr>
              <w:rPr>
                <w:sz w:val="13"/>
                <w:szCs w:val="13"/>
              </w:rPr>
            </w:pPr>
            <w:r w:rsidRPr="006A1EC7">
              <w:rPr>
                <w:sz w:val="13"/>
                <w:szCs w:val="13"/>
              </w:rPr>
              <w:t>75%</w:t>
            </w:r>
          </w:p>
        </w:tc>
      </w:tr>
      <w:tr w:rsidR="00744A8E" w:rsidRPr="006A1EC7" w14:paraId="4A465E08" w14:textId="77777777" w:rsidTr="00D56051">
        <w:tc>
          <w:tcPr>
            <w:tcW w:w="636" w:type="dxa"/>
          </w:tcPr>
          <w:p w14:paraId="348F3751" w14:textId="77777777" w:rsidR="0087601C" w:rsidRPr="006A1EC7" w:rsidRDefault="0087601C" w:rsidP="00D56051">
            <w:pPr>
              <w:rPr>
                <w:sz w:val="13"/>
                <w:szCs w:val="13"/>
              </w:rPr>
            </w:pPr>
            <w:r w:rsidRPr="006A1EC7">
              <w:rPr>
                <w:sz w:val="13"/>
                <w:szCs w:val="13"/>
              </w:rPr>
              <w:t>FUC</w:t>
            </w:r>
          </w:p>
        </w:tc>
        <w:tc>
          <w:tcPr>
            <w:tcW w:w="475" w:type="dxa"/>
            <w:shd w:val="clear" w:color="auto" w:fill="FFFF00"/>
          </w:tcPr>
          <w:p w14:paraId="754A00CE" w14:textId="77777777" w:rsidR="0087601C" w:rsidRPr="006A1EC7" w:rsidRDefault="0087601C" w:rsidP="00D56051">
            <w:pPr>
              <w:rPr>
                <w:sz w:val="13"/>
                <w:szCs w:val="13"/>
              </w:rPr>
            </w:pPr>
            <w:r w:rsidRPr="006A1EC7">
              <w:rPr>
                <w:sz w:val="13"/>
                <w:szCs w:val="13"/>
              </w:rPr>
              <w:t>3</w:t>
            </w:r>
          </w:p>
        </w:tc>
        <w:tc>
          <w:tcPr>
            <w:tcW w:w="475" w:type="dxa"/>
            <w:shd w:val="clear" w:color="auto" w:fill="FFFF00"/>
          </w:tcPr>
          <w:p w14:paraId="330DCBA2" w14:textId="77777777" w:rsidR="0087601C" w:rsidRPr="006A1EC7" w:rsidRDefault="0087601C" w:rsidP="00D56051">
            <w:pPr>
              <w:rPr>
                <w:sz w:val="13"/>
                <w:szCs w:val="13"/>
              </w:rPr>
            </w:pPr>
            <w:r w:rsidRPr="006A1EC7">
              <w:rPr>
                <w:sz w:val="13"/>
                <w:szCs w:val="13"/>
              </w:rPr>
              <w:t>4</w:t>
            </w:r>
          </w:p>
        </w:tc>
        <w:tc>
          <w:tcPr>
            <w:tcW w:w="472" w:type="dxa"/>
          </w:tcPr>
          <w:p w14:paraId="3349D5CD"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329BEC0B" w14:textId="77777777" w:rsidR="0087601C" w:rsidRPr="006A1EC7" w:rsidRDefault="0087601C" w:rsidP="00D56051">
            <w:pPr>
              <w:rPr>
                <w:sz w:val="13"/>
                <w:szCs w:val="13"/>
              </w:rPr>
            </w:pPr>
            <w:r w:rsidRPr="006A1EC7">
              <w:rPr>
                <w:sz w:val="13"/>
                <w:szCs w:val="13"/>
              </w:rPr>
              <w:t>5</w:t>
            </w:r>
          </w:p>
        </w:tc>
        <w:tc>
          <w:tcPr>
            <w:tcW w:w="476" w:type="dxa"/>
            <w:shd w:val="clear" w:color="auto" w:fill="FFFF00"/>
          </w:tcPr>
          <w:p w14:paraId="22BB4248" w14:textId="77777777" w:rsidR="0087601C" w:rsidRPr="006A1EC7" w:rsidRDefault="0087601C" w:rsidP="00D56051">
            <w:pPr>
              <w:rPr>
                <w:sz w:val="13"/>
                <w:szCs w:val="13"/>
              </w:rPr>
            </w:pPr>
            <w:r w:rsidRPr="006A1EC7">
              <w:rPr>
                <w:sz w:val="13"/>
                <w:szCs w:val="13"/>
              </w:rPr>
              <w:t>5</w:t>
            </w:r>
          </w:p>
        </w:tc>
        <w:tc>
          <w:tcPr>
            <w:tcW w:w="454" w:type="dxa"/>
          </w:tcPr>
          <w:p w14:paraId="04EA874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455187F" w14:textId="77777777" w:rsidR="0087601C" w:rsidRPr="006A1EC7" w:rsidRDefault="0087601C" w:rsidP="00D56051">
            <w:pPr>
              <w:rPr>
                <w:sz w:val="13"/>
                <w:szCs w:val="13"/>
              </w:rPr>
            </w:pPr>
            <w:r w:rsidRPr="006A1EC7">
              <w:rPr>
                <w:sz w:val="13"/>
                <w:szCs w:val="13"/>
              </w:rPr>
              <w:t>5</w:t>
            </w:r>
          </w:p>
        </w:tc>
        <w:tc>
          <w:tcPr>
            <w:tcW w:w="460" w:type="dxa"/>
            <w:shd w:val="clear" w:color="auto" w:fill="FFFF00"/>
          </w:tcPr>
          <w:p w14:paraId="3F998838" w14:textId="77777777" w:rsidR="0087601C" w:rsidRPr="006A1EC7" w:rsidRDefault="0087601C" w:rsidP="00D56051">
            <w:pPr>
              <w:rPr>
                <w:sz w:val="13"/>
                <w:szCs w:val="13"/>
              </w:rPr>
            </w:pPr>
            <w:r w:rsidRPr="006A1EC7">
              <w:rPr>
                <w:sz w:val="13"/>
                <w:szCs w:val="13"/>
              </w:rPr>
              <w:t>4</w:t>
            </w:r>
          </w:p>
        </w:tc>
        <w:tc>
          <w:tcPr>
            <w:tcW w:w="403" w:type="dxa"/>
            <w:shd w:val="clear" w:color="auto" w:fill="auto"/>
          </w:tcPr>
          <w:p w14:paraId="000B9C26"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5871FC13"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27E04D6E" w14:textId="77777777" w:rsidR="0087601C" w:rsidRPr="006A1EC7" w:rsidRDefault="0087601C" w:rsidP="00D56051">
            <w:pPr>
              <w:rPr>
                <w:sz w:val="13"/>
                <w:szCs w:val="13"/>
              </w:rPr>
            </w:pPr>
            <w:r w:rsidRPr="006A1EC7">
              <w:rPr>
                <w:sz w:val="13"/>
                <w:szCs w:val="13"/>
              </w:rPr>
              <w:t>5</w:t>
            </w:r>
          </w:p>
        </w:tc>
        <w:tc>
          <w:tcPr>
            <w:tcW w:w="403" w:type="dxa"/>
          </w:tcPr>
          <w:p w14:paraId="630744F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8EE5117"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59A99527" w14:textId="77777777" w:rsidR="0087601C" w:rsidRPr="006A1EC7" w:rsidRDefault="0087601C" w:rsidP="00D56051">
            <w:pPr>
              <w:rPr>
                <w:sz w:val="13"/>
                <w:szCs w:val="13"/>
              </w:rPr>
            </w:pPr>
            <w:r w:rsidRPr="006A1EC7">
              <w:rPr>
                <w:sz w:val="13"/>
                <w:szCs w:val="13"/>
              </w:rPr>
              <w:t>3</w:t>
            </w:r>
          </w:p>
        </w:tc>
        <w:tc>
          <w:tcPr>
            <w:tcW w:w="403" w:type="dxa"/>
          </w:tcPr>
          <w:p w14:paraId="59CBE30A"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DD1E9B8"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7900380B" w14:textId="77777777" w:rsidR="0087601C" w:rsidRPr="006A1EC7" w:rsidRDefault="0087601C" w:rsidP="00D56051">
            <w:pPr>
              <w:rPr>
                <w:sz w:val="13"/>
                <w:szCs w:val="13"/>
              </w:rPr>
            </w:pPr>
            <w:r w:rsidRPr="006A1EC7">
              <w:rPr>
                <w:sz w:val="13"/>
                <w:szCs w:val="13"/>
              </w:rPr>
              <w:t>0</w:t>
            </w:r>
          </w:p>
        </w:tc>
        <w:tc>
          <w:tcPr>
            <w:tcW w:w="403" w:type="dxa"/>
          </w:tcPr>
          <w:p w14:paraId="1872F61C"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D584A3F"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0F24FD99" w14:textId="77777777" w:rsidR="0087601C" w:rsidRPr="006A1EC7" w:rsidRDefault="0087601C" w:rsidP="00D56051">
            <w:pPr>
              <w:rPr>
                <w:sz w:val="13"/>
                <w:szCs w:val="13"/>
              </w:rPr>
            </w:pPr>
            <w:r w:rsidRPr="006A1EC7">
              <w:rPr>
                <w:sz w:val="13"/>
                <w:szCs w:val="13"/>
              </w:rPr>
              <w:t>5</w:t>
            </w:r>
          </w:p>
        </w:tc>
        <w:tc>
          <w:tcPr>
            <w:tcW w:w="403" w:type="dxa"/>
          </w:tcPr>
          <w:p w14:paraId="19219E97"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39CDCFB0"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27A55BB2" w14:textId="77777777" w:rsidR="0087601C" w:rsidRPr="006A1EC7" w:rsidRDefault="0087601C" w:rsidP="00D56051">
            <w:pPr>
              <w:rPr>
                <w:sz w:val="13"/>
                <w:szCs w:val="13"/>
              </w:rPr>
            </w:pPr>
            <w:r w:rsidRPr="006A1EC7">
              <w:rPr>
                <w:sz w:val="13"/>
                <w:szCs w:val="13"/>
              </w:rPr>
              <w:t>1</w:t>
            </w:r>
          </w:p>
        </w:tc>
        <w:tc>
          <w:tcPr>
            <w:tcW w:w="403" w:type="dxa"/>
          </w:tcPr>
          <w:p w14:paraId="0DBB7D74"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6CC8910C" w14:textId="77777777" w:rsidR="0087601C" w:rsidRPr="006A1EC7" w:rsidRDefault="0087601C" w:rsidP="00D56051">
            <w:pPr>
              <w:rPr>
                <w:sz w:val="13"/>
                <w:szCs w:val="13"/>
              </w:rPr>
            </w:pPr>
            <w:r w:rsidRPr="006A1EC7">
              <w:rPr>
                <w:sz w:val="13"/>
                <w:szCs w:val="13"/>
              </w:rPr>
              <w:t>4/8</w:t>
            </w:r>
          </w:p>
        </w:tc>
        <w:tc>
          <w:tcPr>
            <w:tcW w:w="403" w:type="dxa"/>
            <w:shd w:val="clear" w:color="auto" w:fill="auto"/>
          </w:tcPr>
          <w:p w14:paraId="65716541" w14:textId="77777777" w:rsidR="0087601C" w:rsidRPr="006A1EC7" w:rsidRDefault="0087601C" w:rsidP="00D56051">
            <w:pPr>
              <w:rPr>
                <w:sz w:val="13"/>
                <w:szCs w:val="13"/>
              </w:rPr>
            </w:pPr>
            <w:r w:rsidRPr="006A1EC7">
              <w:rPr>
                <w:sz w:val="13"/>
                <w:szCs w:val="13"/>
              </w:rPr>
              <w:t>50%</w:t>
            </w:r>
          </w:p>
        </w:tc>
      </w:tr>
      <w:tr w:rsidR="00744A8E" w:rsidRPr="006A1EC7" w14:paraId="6809FDA7" w14:textId="77777777" w:rsidTr="00D56051">
        <w:tc>
          <w:tcPr>
            <w:tcW w:w="636" w:type="dxa"/>
          </w:tcPr>
          <w:p w14:paraId="08923692" w14:textId="77777777" w:rsidR="0087601C" w:rsidRPr="006A1EC7" w:rsidRDefault="0087601C" w:rsidP="00D56051">
            <w:pPr>
              <w:rPr>
                <w:sz w:val="13"/>
                <w:szCs w:val="13"/>
              </w:rPr>
            </w:pPr>
            <w:r w:rsidRPr="006A1EC7">
              <w:rPr>
                <w:sz w:val="13"/>
                <w:szCs w:val="13"/>
              </w:rPr>
              <w:t>IMU</w:t>
            </w:r>
          </w:p>
        </w:tc>
        <w:tc>
          <w:tcPr>
            <w:tcW w:w="475" w:type="dxa"/>
            <w:shd w:val="clear" w:color="auto" w:fill="FFFF00"/>
          </w:tcPr>
          <w:p w14:paraId="6C443476" w14:textId="77777777" w:rsidR="0087601C" w:rsidRPr="006A1EC7" w:rsidRDefault="0087601C" w:rsidP="00D56051">
            <w:pPr>
              <w:rPr>
                <w:sz w:val="13"/>
                <w:szCs w:val="13"/>
              </w:rPr>
            </w:pPr>
            <w:r w:rsidRPr="006A1EC7">
              <w:rPr>
                <w:sz w:val="13"/>
                <w:szCs w:val="13"/>
              </w:rPr>
              <w:t>5</w:t>
            </w:r>
          </w:p>
        </w:tc>
        <w:tc>
          <w:tcPr>
            <w:tcW w:w="475" w:type="dxa"/>
            <w:shd w:val="clear" w:color="auto" w:fill="FFFF00"/>
          </w:tcPr>
          <w:p w14:paraId="0F9D8044" w14:textId="77777777" w:rsidR="0087601C" w:rsidRPr="006A1EC7" w:rsidRDefault="0087601C" w:rsidP="00D56051">
            <w:pPr>
              <w:rPr>
                <w:sz w:val="13"/>
                <w:szCs w:val="13"/>
              </w:rPr>
            </w:pPr>
            <w:r w:rsidRPr="006A1EC7">
              <w:rPr>
                <w:sz w:val="13"/>
                <w:szCs w:val="13"/>
              </w:rPr>
              <w:t>5</w:t>
            </w:r>
          </w:p>
        </w:tc>
        <w:tc>
          <w:tcPr>
            <w:tcW w:w="472" w:type="dxa"/>
          </w:tcPr>
          <w:p w14:paraId="284E6BAC"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63857D73" w14:textId="77777777" w:rsidR="0087601C" w:rsidRPr="006A1EC7" w:rsidRDefault="0087601C" w:rsidP="00D56051">
            <w:pPr>
              <w:rPr>
                <w:sz w:val="13"/>
                <w:szCs w:val="13"/>
              </w:rPr>
            </w:pPr>
            <w:r w:rsidRPr="006A1EC7">
              <w:rPr>
                <w:sz w:val="13"/>
                <w:szCs w:val="13"/>
              </w:rPr>
              <w:t>5</w:t>
            </w:r>
          </w:p>
        </w:tc>
        <w:tc>
          <w:tcPr>
            <w:tcW w:w="476" w:type="dxa"/>
            <w:shd w:val="clear" w:color="auto" w:fill="FFFF00"/>
          </w:tcPr>
          <w:p w14:paraId="132A880F" w14:textId="77777777" w:rsidR="0087601C" w:rsidRPr="006A1EC7" w:rsidRDefault="0087601C" w:rsidP="00D56051">
            <w:pPr>
              <w:rPr>
                <w:sz w:val="13"/>
                <w:szCs w:val="13"/>
              </w:rPr>
            </w:pPr>
            <w:r w:rsidRPr="006A1EC7">
              <w:rPr>
                <w:sz w:val="13"/>
                <w:szCs w:val="13"/>
              </w:rPr>
              <w:t>5</w:t>
            </w:r>
          </w:p>
        </w:tc>
        <w:tc>
          <w:tcPr>
            <w:tcW w:w="454" w:type="dxa"/>
          </w:tcPr>
          <w:p w14:paraId="61B274C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636BB28" w14:textId="77777777" w:rsidR="0087601C" w:rsidRPr="006A1EC7" w:rsidRDefault="0087601C" w:rsidP="00D56051">
            <w:pPr>
              <w:rPr>
                <w:sz w:val="13"/>
                <w:szCs w:val="13"/>
              </w:rPr>
            </w:pPr>
            <w:r w:rsidRPr="006A1EC7">
              <w:rPr>
                <w:sz w:val="13"/>
                <w:szCs w:val="13"/>
              </w:rPr>
              <w:t>5</w:t>
            </w:r>
          </w:p>
        </w:tc>
        <w:tc>
          <w:tcPr>
            <w:tcW w:w="460" w:type="dxa"/>
            <w:shd w:val="clear" w:color="auto" w:fill="FFFF00"/>
          </w:tcPr>
          <w:p w14:paraId="4CB69E3C" w14:textId="77777777" w:rsidR="0087601C" w:rsidRPr="006A1EC7" w:rsidRDefault="0087601C" w:rsidP="00D56051">
            <w:pPr>
              <w:rPr>
                <w:sz w:val="13"/>
                <w:szCs w:val="13"/>
              </w:rPr>
            </w:pPr>
            <w:r w:rsidRPr="006A1EC7">
              <w:rPr>
                <w:sz w:val="13"/>
                <w:szCs w:val="13"/>
              </w:rPr>
              <w:t>5</w:t>
            </w:r>
          </w:p>
        </w:tc>
        <w:tc>
          <w:tcPr>
            <w:tcW w:w="403" w:type="dxa"/>
            <w:shd w:val="clear" w:color="auto" w:fill="auto"/>
          </w:tcPr>
          <w:p w14:paraId="14E14030"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2068237E"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56265923" w14:textId="77777777" w:rsidR="0087601C" w:rsidRPr="006A1EC7" w:rsidRDefault="0087601C" w:rsidP="00D56051">
            <w:pPr>
              <w:rPr>
                <w:sz w:val="13"/>
                <w:szCs w:val="13"/>
              </w:rPr>
            </w:pPr>
            <w:r w:rsidRPr="006A1EC7">
              <w:rPr>
                <w:sz w:val="13"/>
                <w:szCs w:val="13"/>
              </w:rPr>
              <w:t>0</w:t>
            </w:r>
          </w:p>
        </w:tc>
        <w:tc>
          <w:tcPr>
            <w:tcW w:w="403" w:type="dxa"/>
          </w:tcPr>
          <w:p w14:paraId="18366EAE"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B40D051"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00849BBB" w14:textId="77777777" w:rsidR="0087601C" w:rsidRPr="006A1EC7" w:rsidRDefault="0087601C" w:rsidP="00D56051">
            <w:pPr>
              <w:rPr>
                <w:sz w:val="13"/>
                <w:szCs w:val="13"/>
              </w:rPr>
            </w:pPr>
            <w:r w:rsidRPr="006A1EC7">
              <w:rPr>
                <w:sz w:val="13"/>
                <w:szCs w:val="13"/>
              </w:rPr>
              <w:t>0</w:t>
            </w:r>
          </w:p>
        </w:tc>
        <w:tc>
          <w:tcPr>
            <w:tcW w:w="403" w:type="dxa"/>
          </w:tcPr>
          <w:p w14:paraId="7A570269"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7048029"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02B5A09B" w14:textId="77777777" w:rsidR="0087601C" w:rsidRPr="006A1EC7" w:rsidRDefault="0087601C" w:rsidP="00D56051">
            <w:pPr>
              <w:rPr>
                <w:sz w:val="13"/>
                <w:szCs w:val="13"/>
              </w:rPr>
            </w:pPr>
            <w:r w:rsidRPr="006A1EC7">
              <w:rPr>
                <w:sz w:val="13"/>
                <w:szCs w:val="13"/>
              </w:rPr>
              <w:t>5</w:t>
            </w:r>
          </w:p>
        </w:tc>
        <w:tc>
          <w:tcPr>
            <w:tcW w:w="403" w:type="dxa"/>
          </w:tcPr>
          <w:p w14:paraId="0CDF099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37FB0EF"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34B3B1CF" w14:textId="77777777" w:rsidR="0087601C" w:rsidRPr="006A1EC7" w:rsidRDefault="0087601C" w:rsidP="00D56051">
            <w:pPr>
              <w:rPr>
                <w:sz w:val="13"/>
                <w:szCs w:val="13"/>
              </w:rPr>
            </w:pPr>
            <w:r w:rsidRPr="006A1EC7">
              <w:rPr>
                <w:sz w:val="13"/>
                <w:szCs w:val="13"/>
              </w:rPr>
              <w:t>3</w:t>
            </w:r>
          </w:p>
        </w:tc>
        <w:tc>
          <w:tcPr>
            <w:tcW w:w="403" w:type="dxa"/>
          </w:tcPr>
          <w:p w14:paraId="6CB91974"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14126D61"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21FAEDFE" w14:textId="77777777" w:rsidR="0087601C" w:rsidRPr="006A1EC7" w:rsidRDefault="0087601C" w:rsidP="00D56051">
            <w:pPr>
              <w:rPr>
                <w:sz w:val="13"/>
                <w:szCs w:val="13"/>
              </w:rPr>
            </w:pPr>
            <w:r w:rsidRPr="006A1EC7">
              <w:rPr>
                <w:sz w:val="13"/>
                <w:szCs w:val="13"/>
              </w:rPr>
              <w:t>0</w:t>
            </w:r>
          </w:p>
        </w:tc>
        <w:tc>
          <w:tcPr>
            <w:tcW w:w="403" w:type="dxa"/>
          </w:tcPr>
          <w:p w14:paraId="3288F540"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4B357922" w14:textId="77777777" w:rsidR="0087601C" w:rsidRPr="006A1EC7" w:rsidRDefault="0087601C" w:rsidP="00D56051">
            <w:pPr>
              <w:rPr>
                <w:sz w:val="13"/>
                <w:szCs w:val="13"/>
              </w:rPr>
            </w:pPr>
            <w:r w:rsidRPr="006A1EC7">
              <w:rPr>
                <w:sz w:val="13"/>
                <w:szCs w:val="13"/>
              </w:rPr>
              <w:t>5/8</w:t>
            </w:r>
          </w:p>
        </w:tc>
        <w:tc>
          <w:tcPr>
            <w:tcW w:w="403" w:type="dxa"/>
            <w:shd w:val="clear" w:color="auto" w:fill="auto"/>
          </w:tcPr>
          <w:p w14:paraId="5D74E1DF" w14:textId="77777777" w:rsidR="0087601C" w:rsidRPr="006A1EC7" w:rsidRDefault="0087601C" w:rsidP="00D56051">
            <w:pPr>
              <w:rPr>
                <w:sz w:val="13"/>
                <w:szCs w:val="13"/>
              </w:rPr>
            </w:pPr>
            <w:r w:rsidRPr="006A1EC7">
              <w:rPr>
                <w:sz w:val="13"/>
                <w:szCs w:val="13"/>
              </w:rPr>
              <w:t>63%</w:t>
            </w:r>
          </w:p>
        </w:tc>
      </w:tr>
      <w:tr w:rsidR="00744A8E" w:rsidRPr="006A1EC7" w14:paraId="386F2AA8" w14:textId="77777777" w:rsidTr="00D56051">
        <w:tc>
          <w:tcPr>
            <w:tcW w:w="636" w:type="dxa"/>
          </w:tcPr>
          <w:p w14:paraId="6254E11C" w14:textId="77777777" w:rsidR="0087601C" w:rsidRPr="006A1EC7" w:rsidRDefault="0087601C" w:rsidP="00D56051">
            <w:pPr>
              <w:rPr>
                <w:sz w:val="13"/>
                <w:szCs w:val="13"/>
              </w:rPr>
            </w:pPr>
            <w:r w:rsidRPr="006A1EC7">
              <w:rPr>
                <w:sz w:val="13"/>
                <w:szCs w:val="13"/>
              </w:rPr>
              <w:t>SLP</w:t>
            </w:r>
          </w:p>
        </w:tc>
        <w:tc>
          <w:tcPr>
            <w:tcW w:w="475" w:type="dxa"/>
            <w:shd w:val="clear" w:color="auto" w:fill="FFFF00"/>
          </w:tcPr>
          <w:p w14:paraId="6D4CC929" w14:textId="77777777" w:rsidR="0087601C" w:rsidRPr="006A1EC7" w:rsidRDefault="0087601C" w:rsidP="00D56051">
            <w:pPr>
              <w:rPr>
                <w:sz w:val="13"/>
                <w:szCs w:val="13"/>
              </w:rPr>
            </w:pPr>
            <w:r w:rsidRPr="006A1EC7">
              <w:rPr>
                <w:sz w:val="13"/>
                <w:szCs w:val="13"/>
              </w:rPr>
              <w:t>2</w:t>
            </w:r>
          </w:p>
        </w:tc>
        <w:tc>
          <w:tcPr>
            <w:tcW w:w="475" w:type="dxa"/>
            <w:shd w:val="clear" w:color="auto" w:fill="FFFF00"/>
          </w:tcPr>
          <w:p w14:paraId="35CE0981" w14:textId="77777777" w:rsidR="0087601C" w:rsidRPr="006A1EC7" w:rsidRDefault="0087601C" w:rsidP="00D56051">
            <w:pPr>
              <w:rPr>
                <w:sz w:val="13"/>
                <w:szCs w:val="13"/>
              </w:rPr>
            </w:pPr>
            <w:r w:rsidRPr="006A1EC7">
              <w:rPr>
                <w:sz w:val="13"/>
                <w:szCs w:val="13"/>
              </w:rPr>
              <w:t>2</w:t>
            </w:r>
          </w:p>
        </w:tc>
        <w:tc>
          <w:tcPr>
            <w:tcW w:w="472" w:type="dxa"/>
          </w:tcPr>
          <w:p w14:paraId="3C4F6B03"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4DC92110"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38064DE3" w14:textId="77777777" w:rsidR="0087601C" w:rsidRPr="006A1EC7" w:rsidRDefault="0087601C" w:rsidP="00D56051">
            <w:pPr>
              <w:rPr>
                <w:sz w:val="13"/>
                <w:szCs w:val="13"/>
              </w:rPr>
            </w:pPr>
            <w:r w:rsidRPr="006A1EC7">
              <w:rPr>
                <w:sz w:val="13"/>
                <w:szCs w:val="13"/>
              </w:rPr>
              <w:t>0</w:t>
            </w:r>
          </w:p>
        </w:tc>
        <w:tc>
          <w:tcPr>
            <w:tcW w:w="454" w:type="dxa"/>
          </w:tcPr>
          <w:p w14:paraId="64E6C69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45D99DA" w14:textId="77777777" w:rsidR="0087601C" w:rsidRPr="006A1EC7" w:rsidRDefault="0087601C" w:rsidP="00D56051">
            <w:pPr>
              <w:rPr>
                <w:sz w:val="13"/>
                <w:szCs w:val="13"/>
              </w:rPr>
            </w:pPr>
            <w:r w:rsidRPr="006A1EC7">
              <w:rPr>
                <w:sz w:val="13"/>
                <w:szCs w:val="13"/>
              </w:rPr>
              <w:t>2</w:t>
            </w:r>
          </w:p>
        </w:tc>
        <w:tc>
          <w:tcPr>
            <w:tcW w:w="460" w:type="dxa"/>
            <w:shd w:val="clear" w:color="auto" w:fill="FFFF00"/>
          </w:tcPr>
          <w:p w14:paraId="15E3F180" w14:textId="77777777" w:rsidR="0087601C" w:rsidRPr="006A1EC7" w:rsidRDefault="0087601C" w:rsidP="00D56051">
            <w:pPr>
              <w:rPr>
                <w:sz w:val="13"/>
                <w:szCs w:val="13"/>
              </w:rPr>
            </w:pPr>
            <w:r w:rsidRPr="006A1EC7">
              <w:rPr>
                <w:sz w:val="13"/>
                <w:szCs w:val="13"/>
              </w:rPr>
              <w:t>2</w:t>
            </w:r>
          </w:p>
        </w:tc>
        <w:tc>
          <w:tcPr>
            <w:tcW w:w="403" w:type="dxa"/>
            <w:shd w:val="clear" w:color="auto" w:fill="auto"/>
          </w:tcPr>
          <w:p w14:paraId="64B482E8"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7C0EDC17"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611E4814" w14:textId="77777777" w:rsidR="0087601C" w:rsidRPr="006A1EC7" w:rsidRDefault="0087601C" w:rsidP="00D56051">
            <w:pPr>
              <w:rPr>
                <w:sz w:val="13"/>
                <w:szCs w:val="13"/>
              </w:rPr>
            </w:pPr>
            <w:r w:rsidRPr="006A1EC7">
              <w:rPr>
                <w:sz w:val="13"/>
                <w:szCs w:val="13"/>
              </w:rPr>
              <w:t>2</w:t>
            </w:r>
          </w:p>
        </w:tc>
        <w:tc>
          <w:tcPr>
            <w:tcW w:w="403" w:type="dxa"/>
          </w:tcPr>
          <w:p w14:paraId="61C00C7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FAC26D3"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2A5A3975" w14:textId="77777777" w:rsidR="0087601C" w:rsidRPr="006A1EC7" w:rsidRDefault="0087601C" w:rsidP="00D56051">
            <w:pPr>
              <w:rPr>
                <w:sz w:val="13"/>
                <w:szCs w:val="13"/>
              </w:rPr>
            </w:pPr>
            <w:r w:rsidRPr="006A1EC7">
              <w:rPr>
                <w:sz w:val="13"/>
                <w:szCs w:val="13"/>
              </w:rPr>
              <w:t>2</w:t>
            </w:r>
          </w:p>
        </w:tc>
        <w:tc>
          <w:tcPr>
            <w:tcW w:w="403" w:type="dxa"/>
          </w:tcPr>
          <w:p w14:paraId="625AF7F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6E6F2D4"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74FE88C7" w14:textId="77777777" w:rsidR="0087601C" w:rsidRPr="006A1EC7" w:rsidRDefault="0087601C" w:rsidP="00D56051">
            <w:pPr>
              <w:rPr>
                <w:sz w:val="13"/>
                <w:szCs w:val="13"/>
              </w:rPr>
            </w:pPr>
            <w:r w:rsidRPr="006A1EC7">
              <w:rPr>
                <w:sz w:val="13"/>
                <w:szCs w:val="13"/>
              </w:rPr>
              <w:t>2</w:t>
            </w:r>
          </w:p>
        </w:tc>
        <w:tc>
          <w:tcPr>
            <w:tcW w:w="403" w:type="dxa"/>
          </w:tcPr>
          <w:p w14:paraId="63D22B5C"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0D64603"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07488F8D" w14:textId="77777777" w:rsidR="0087601C" w:rsidRPr="006A1EC7" w:rsidRDefault="0087601C" w:rsidP="00D56051">
            <w:pPr>
              <w:rPr>
                <w:sz w:val="13"/>
                <w:szCs w:val="13"/>
              </w:rPr>
            </w:pPr>
            <w:r w:rsidRPr="006A1EC7">
              <w:rPr>
                <w:sz w:val="13"/>
                <w:szCs w:val="13"/>
              </w:rPr>
              <w:t>2</w:t>
            </w:r>
          </w:p>
        </w:tc>
        <w:tc>
          <w:tcPr>
            <w:tcW w:w="403" w:type="dxa"/>
          </w:tcPr>
          <w:p w14:paraId="05B7B904"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7441890B" w14:textId="77777777" w:rsidR="0087601C" w:rsidRPr="006A1EC7" w:rsidRDefault="0087601C" w:rsidP="00D56051">
            <w:pPr>
              <w:rPr>
                <w:sz w:val="13"/>
                <w:szCs w:val="13"/>
              </w:rPr>
            </w:pPr>
            <w:r w:rsidRPr="006A1EC7">
              <w:rPr>
                <w:sz w:val="13"/>
                <w:szCs w:val="13"/>
              </w:rPr>
              <w:t>3</w:t>
            </w:r>
          </w:p>
        </w:tc>
        <w:tc>
          <w:tcPr>
            <w:tcW w:w="478" w:type="dxa"/>
            <w:shd w:val="clear" w:color="auto" w:fill="FFFF00"/>
          </w:tcPr>
          <w:p w14:paraId="11336CDA" w14:textId="77777777" w:rsidR="0087601C" w:rsidRPr="006A1EC7" w:rsidRDefault="0087601C" w:rsidP="00D56051">
            <w:pPr>
              <w:rPr>
                <w:sz w:val="13"/>
                <w:szCs w:val="13"/>
              </w:rPr>
            </w:pPr>
            <w:r w:rsidRPr="006A1EC7">
              <w:rPr>
                <w:sz w:val="13"/>
                <w:szCs w:val="13"/>
              </w:rPr>
              <w:t>3</w:t>
            </w:r>
          </w:p>
        </w:tc>
        <w:tc>
          <w:tcPr>
            <w:tcW w:w="403" w:type="dxa"/>
          </w:tcPr>
          <w:p w14:paraId="7CE3926D"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41755862" w14:textId="77777777" w:rsidR="0087601C" w:rsidRPr="006A1EC7" w:rsidRDefault="0087601C" w:rsidP="00D56051">
            <w:pPr>
              <w:rPr>
                <w:sz w:val="13"/>
                <w:szCs w:val="13"/>
              </w:rPr>
            </w:pPr>
            <w:r w:rsidRPr="006A1EC7">
              <w:rPr>
                <w:sz w:val="13"/>
                <w:szCs w:val="13"/>
              </w:rPr>
              <w:t>7/8</w:t>
            </w:r>
          </w:p>
        </w:tc>
        <w:tc>
          <w:tcPr>
            <w:tcW w:w="403" w:type="dxa"/>
            <w:shd w:val="clear" w:color="auto" w:fill="auto"/>
          </w:tcPr>
          <w:p w14:paraId="4DCC79F2" w14:textId="77777777" w:rsidR="0087601C" w:rsidRPr="006A1EC7" w:rsidRDefault="0087601C" w:rsidP="00D56051">
            <w:pPr>
              <w:rPr>
                <w:sz w:val="13"/>
                <w:szCs w:val="13"/>
              </w:rPr>
            </w:pPr>
            <w:r w:rsidRPr="006A1EC7">
              <w:rPr>
                <w:sz w:val="13"/>
                <w:szCs w:val="13"/>
              </w:rPr>
              <w:t>88%</w:t>
            </w:r>
          </w:p>
        </w:tc>
      </w:tr>
      <w:tr w:rsidR="00744A8E" w:rsidRPr="006A1EC7" w14:paraId="3B119D31" w14:textId="77777777" w:rsidTr="00D56051">
        <w:tc>
          <w:tcPr>
            <w:tcW w:w="636" w:type="dxa"/>
          </w:tcPr>
          <w:p w14:paraId="1BC43E88" w14:textId="77777777" w:rsidR="0087601C" w:rsidRPr="006A1EC7" w:rsidRDefault="0087601C" w:rsidP="00D56051">
            <w:pPr>
              <w:rPr>
                <w:sz w:val="13"/>
                <w:szCs w:val="13"/>
              </w:rPr>
            </w:pPr>
            <w:r w:rsidRPr="006A1EC7">
              <w:rPr>
                <w:sz w:val="13"/>
                <w:szCs w:val="13"/>
              </w:rPr>
              <w:t>CRE</w:t>
            </w:r>
          </w:p>
        </w:tc>
        <w:tc>
          <w:tcPr>
            <w:tcW w:w="475" w:type="dxa"/>
            <w:shd w:val="clear" w:color="auto" w:fill="FFFF00"/>
          </w:tcPr>
          <w:p w14:paraId="529FB688" w14:textId="77777777" w:rsidR="0087601C" w:rsidRPr="006A1EC7" w:rsidRDefault="0087601C" w:rsidP="00D56051">
            <w:pPr>
              <w:rPr>
                <w:sz w:val="13"/>
                <w:szCs w:val="13"/>
              </w:rPr>
            </w:pPr>
            <w:r w:rsidRPr="006A1EC7">
              <w:rPr>
                <w:sz w:val="13"/>
                <w:szCs w:val="13"/>
              </w:rPr>
              <w:t>1</w:t>
            </w:r>
          </w:p>
        </w:tc>
        <w:tc>
          <w:tcPr>
            <w:tcW w:w="475" w:type="dxa"/>
            <w:shd w:val="clear" w:color="auto" w:fill="FFFF00"/>
          </w:tcPr>
          <w:p w14:paraId="542A520D" w14:textId="77777777" w:rsidR="0087601C" w:rsidRPr="006A1EC7" w:rsidRDefault="0087601C" w:rsidP="00D56051">
            <w:pPr>
              <w:rPr>
                <w:sz w:val="13"/>
                <w:szCs w:val="13"/>
              </w:rPr>
            </w:pPr>
            <w:r w:rsidRPr="006A1EC7">
              <w:rPr>
                <w:sz w:val="13"/>
                <w:szCs w:val="13"/>
              </w:rPr>
              <w:t>1</w:t>
            </w:r>
          </w:p>
        </w:tc>
        <w:tc>
          <w:tcPr>
            <w:tcW w:w="472" w:type="dxa"/>
          </w:tcPr>
          <w:p w14:paraId="769AA3F9"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25916CD6"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57091E70" w14:textId="77777777" w:rsidR="0087601C" w:rsidRPr="006A1EC7" w:rsidRDefault="0087601C" w:rsidP="00D56051">
            <w:pPr>
              <w:rPr>
                <w:sz w:val="13"/>
                <w:szCs w:val="13"/>
              </w:rPr>
            </w:pPr>
            <w:r w:rsidRPr="006A1EC7">
              <w:rPr>
                <w:sz w:val="13"/>
                <w:szCs w:val="13"/>
              </w:rPr>
              <w:t>1</w:t>
            </w:r>
          </w:p>
        </w:tc>
        <w:tc>
          <w:tcPr>
            <w:tcW w:w="454" w:type="dxa"/>
          </w:tcPr>
          <w:p w14:paraId="13E1A095"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1DA2B33"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39B830C6"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6A33EF53" w14:textId="77777777" w:rsidR="0087601C" w:rsidRPr="006A1EC7" w:rsidRDefault="0087601C" w:rsidP="00D56051">
            <w:pPr>
              <w:rPr>
                <w:sz w:val="13"/>
                <w:szCs w:val="13"/>
              </w:rPr>
            </w:pPr>
            <w:r w:rsidRPr="006A1EC7">
              <w:rPr>
                <w:sz w:val="13"/>
                <w:szCs w:val="13"/>
              </w:rPr>
              <w:t>1</w:t>
            </w:r>
          </w:p>
        </w:tc>
        <w:tc>
          <w:tcPr>
            <w:tcW w:w="460" w:type="dxa"/>
            <w:shd w:val="clear" w:color="auto" w:fill="FFFF00"/>
          </w:tcPr>
          <w:p w14:paraId="6571235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06662F4" w14:textId="77777777" w:rsidR="0087601C" w:rsidRPr="006A1EC7" w:rsidRDefault="0087601C" w:rsidP="00D56051">
            <w:pPr>
              <w:rPr>
                <w:sz w:val="13"/>
                <w:szCs w:val="13"/>
              </w:rPr>
            </w:pPr>
            <w:r w:rsidRPr="006A1EC7">
              <w:rPr>
                <w:sz w:val="13"/>
                <w:szCs w:val="13"/>
              </w:rPr>
              <w:t>1</w:t>
            </w:r>
          </w:p>
        </w:tc>
        <w:tc>
          <w:tcPr>
            <w:tcW w:w="403" w:type="dxa"/>
          </w:tcPr>
          <w:p w14:paraId="32EEFF03"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5B9DDCD"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67EAE6F" w14:textId="77777777" w:rsidR="0087601C" w:rsidRPr="006A1EC7" w:rsidRDefault="0087601C" w:rsidP="00D56051">
            <w:pPr>
              <w:rPr>
                <w:sz w:val="13"/>
                <w:szCs w:val="13"/>
              </w:rPr>
            </w:pPr>
            <w:r w:rsidRPr="006A1EC7">
              <w:rPr>
                <w:sz w:val="13"/>
                <w:szCs w:val="13"/>
              </w:rPr>
              <w:t>1</w:t>
            </w:r>
          </w:p>
        </w:tc>
        <w:tc>
          <w:tcPr>
            <w:tcW w:w="403" w:type="dxa"/>
          </w:tcPr>
          <w:p w14:paraId="14F68B3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1470A2E"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D5E5AB5" w14:textId="77777777" w:rsidR="0087601C" w:rsidRPr="006A1EC7" w:rsidRDefault="0087601C" w:rsidP="00D56051">
            <w:pPr>
              <w:rPr>
                <w:sz w:val="13"/>
                <w:szCs w:val="13"/>
              </w:rPr>
            </w:pPr>
            <w:r w:rsidRPr="006A1EC7">
              <w:rPr>
                <w:sz w:val="13"/>
                <w:szCs w:val="13"/>
              </w:rPr>
              <w:t>1</w:t>
            </w:r>
          </w:p>
        </w:tc>
        <w:tc>
          <w:tcPr>
            <w:tcW w:w="403" w:type="dxa"/>
          </w:tcPr>
          <w:p w14:paraId="17CA9CFC" w14:textId="77777777" w:rsidR="0087601C" w:rsidRPr="006A1EC7" w:rsidRDefault="0087601C" w:rsidP="00D56051">
            <w:pPr>
              <w:rPr>
                <w:sz w:val="13"/>
                <w:szCs w:val="13"/>
              </w:rPr>
            </w:pPr>
            <w:r w:rsidRPr="006A1EC7">
              <w:rPr>
                <w:sz w:val="13"/>
                <w:szCs w:val="13"/>
              </w:rPr>
              <w:t>2</w:t>
            </w:r>
          </w:p>
        </w:tc>
        <w:tc>
          <w:tcPr>
            <w:tcW w:w="477" w:type="dxa"/>
            <w:shd w:val="clear" w:color="auto" w:fill="FFFF00"/>
          </w:tcPr>
          <w:p w14:paraId="52F5311C"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2369D68A" w14:textId="77777777" w:rsidR="0087601C" w:rsidRPr="006A1EC7" w:rsidRDefault="0087601C" w:rsidP="00D56051">
            <w:pPr>
              <w:rPr>
                <w:sz w:val="13"/>
                <w:szCs w:val="13"/>
              </w:rPr>
            </w:pPr>
            <w:r w:rsidRPr="006A1EC7">
              <w:rPr>
                <w:sz w:val="13"/>
                <w:szCs w:val="13"/>
              </w:rPr>
              <w:t>1</w:t>
            </w:r>
          </w:p>
        </w:tc>
        <w:tc>
          <w:tcPr>
            <w:tcW w:w="403" w:type="dxa"/>
          </w:tcPr>
          <w:p w14:paraId="2E583E08"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0A5080D7" w14:textId="77777777" w:rsidR="0087601C" w:rsidRPr="006A1EC7" w:rsidRDefault="0087601C" w:rsidP="00D56051">
            <w:pPr>
              <w:rPr>
                <w:sz w:val="13"/>
                <w:szCs w:val="13"/>
              </w:rPr>
            </w:pPr>
            <w:r w:rsidRPr="006A1EC7">
              <w:rPr>
                <w:sz w:val="13"/>
                <w:szCs w:val="13"/>
              </w:rPr>
              <w:t>1</w:t>
            </w:r>
          </w:p>
        </w:tc>
        <w:tc>
          <w:tcPr>
            <w:tcW w:w="478" w:type="dxa"/>
            <w:shd w:val="clear" w:color="auto" w:fill="FFFF00"/>
          </w:tcPr>
          <w:p w14:paraId="4D6B79F8" w14:textId="77777777" w:rsidR="0087601C" w:rsidRPr="006A1EC7" w:rsidRDefault="0087601C" w:rsidP="00D56051">
            <w:pPr>
              <w:rPr>
                <w:sz w:val="13"/>
                <w:szCs w:val="13"/>
              </w:rPr>
            </w:pPr>
            <w:r w:rsidRPr="006A1EC7">
              <w:rPr>
                <w:sz w:val="13"/>
                <w:szCs w:val="13"/>
              </w:rPr>
              <w:t>1</w:t>
            </w:r>
          </w:p>
        </w:tc>
        <w:tc>
          <w:tcPr>
            <w:tcW w:w="403" w:type="dxa"/>
          </w:tcPr>
          <w:p w14:paraId="2F32EBF9" w14:textId="77777777" w:rsidR="0087601C" w:rsidRPr="006A1EC7" w:rsidRDefault="0087601C" w:rsidP="00D56051">
            <w:pPr>
              <w:rPr>
                <w:sz w:val="13"/>
                <w:szCs w:val="13"/>
              </w:rPr>
            </w:pPr>
            <w:r w:rsidRPr="006A1EC7">
              <w:rPr>
                <w:sz w:val="13"/>
                <w:szCs w:val="13"/>
              </w:rPr>
              <w:t>1</w:t>
            </w:r>
          </w:p>
        </w:tc>
        <w:tc>
          <w:tcPr>
            <w:tcW w:w="403" w:type="dxa"/>
            <w:shd w:val="clear" w:color="auto" w:fill="auto"/>
          </w:tcPr>
          <w:p w14:paraId="4F9370DE" w14:textId="77777777" w:rsidR="0087601C" w:rsidRPr="006A1EC7" w:rsidRDefault="0087601C" w:rsidP="00D56051">
            <w:pPr>
              <w:rPr>
                <w:sz w:val="13"/>
                <w:szCs w:val="13"/>
              </w:rPr>
            </w:pPr>
            <w:r w:rsidRPr="006A1EC7">
              <w:rPr>
                <w:sz w:val="13"/>
                <w:szCs w:val="13"/>
              </w:rPr>
              <w:t>8/8</w:t>
            </w:r>
          </w:p>
        </w:tc>
        <w:tc>
          <w:tcPr>
            <w:tcW w:w="403" w:type="dxa"/>
            <w:shd w:val="clear" w:color="auto" w:fill="auto"/>
          </w:tcPr>
          <w:p w14:paraId="665DE470" w14:textId="77777777" w:rsidR="0087601C" w:rsidRPr="006A1EC7" w:rsidRDefault="0087601C" w:rsidP="00D56051">
            <w:pPr>
              <w:rPr>
                <w:sz w:val="13"/>
                <w:szCs w:val="13"/>
              </w:rPr>
            </w:pPr>
            <w:r w:rsidRPr="006A1EC7">
              <w:rPr>
                <w:sz w:val="13"/>
                <w:szCs w:val="13"/>
              </w:rPr>
              <w:t>100%</w:t>
            </w:r>
          </w:p>
        </w:tc>
      </w:tr>
      <w:tr w:rsidR="00744A8E" w:rsidRPr="006A1EC7" w14:paraId="5D8D0464" w14:textId="77777777" w:rsidTr="00D56051">
        <w:tc>
          <w:tcPr>
            <w:tcW w:w="636" w:type="dxa"/>
          </w:tcPr>
          <w:p w14:paraId="2DC827FC" w14:textId="77777777" w:rsidR="0087601C" w:rsidRPr="006A1EC7" w:rsidRDefault="0087601C" w:rsidP="00D56051">
            <w:pPr>
              <w:rPr>
                <w:sz w:val="13"/>
                <w:szCs w:val="13"/>
              </w:rPr>
            </w:pPr>
            <w:r w:rsidRPr="006A1EC7">
              <w:rPr>
                <w:sz w:val="13"/>
                <w:szCs w:val="13"/>
              </w:rPr>
              <w:t>TTL</w:t>
            </w:r>
          </w:p>
        </w:tc>
        <w:tc>
          <w:tcPr>
            <w:tcW w:w="475" w:type="dxa"/>
            <w:shd w:val="clear" w:color="auto" w:fill="FFFF00"/>
          </w:tcPr>
          <w:p w14:paraId="72B2B773" w14:textId="77777777" w:rsidR="0087601C" w:rsidRPr="006A1EC7" w:rsidRDefault="0087601C" w:rsidP="00D56051">
            <w:pPr>
              <w:rPr>
                <w:sz w:val="13"/>
                <w:szCs w:val="13"/>
              </w:rPr>
            </w:pPr>
            <w:r w:rsidRPr="006A1EC7">
              <w:rPr>
                <w:sz w:val="13"/>
                <w:szCs w:val="13"/>
              </w:rPr>
              <w:t>28</w:t>
            </w:r>
          </w:p>
        </w:tc>
        <w:tc>
          <w:tcPr>
            <w:tcW w:w="475" w:type="dxa"/>
            <w:shd w:val="clear" w:color="auto" w:fill="FFFF00"/>
          </w:tcPr>
          <w:p w14:paraId="4D34ACDD" w14:textId="77777777" w:rsidR="0087601C" w:rsidRPr="006A1EC7" w:rsidRDefault="0087601C" w:rsidP="00D56051">
            <w:pPr>
              <w:rPr>
                <w:sz w:val="13"/>
                <w:szCs w:val="13"/>
              </w:rPr>
            </w:pPr>
            <w:r w:rsidRPr="006A1EC7">
              <w:rPr>
                <w:sz w:val="13"/>
                <w:szCs w:val="13"/>
              </w:rPr>
              <w:t>27</w:t>
            </w:r>
          </w:p>
        </w:tc>
        <w:tc>
          <w:tcPr>
            <w:tcW w:w="472" w:type="dxa"/>
          </w:tcPr>
          <w:p w14:paraId="78D87E50"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2472AFB6" w14:textId="77777777" w:rsidR="0087601C" w:rsidRPr="006A1EC7" w:rsidRDefault="0087601C" w:rsidP="00D56051">
            <w:pPr>
              <w:rPr>
                <w:sz w:val="13"/>
                <w:szCs w:val="13"/>
              </w:rPr>
            </w:pPr>
            <w:r w:rsidRPr="006A1EC7">
              <w:rPr>
                <w:sz w:val="13"/>
                <w:szCs w:val="13"/>
              </w:rPr>
              <w:t>25</w:t>
            </w:r>
          </w:p>
        </w:tc>
        <w:tc>
          <w:tcPr>
            <w:tcW w:w="476" w:type="dxa"/>
            <w:shd w:val="clear" w:color="auto" w:fill="FFFF00"/>
          </w:tcPr>
          <w:p w14:paraId="5ECB9B47" w14:textId="77777777" w:rsidR="0087601C" w:rsidRPr="006A1EC7" w:rsidRDefault="0087601C" w:rsidP="00D56051">
            <w:pPr>
              <w:rPr>
                <w:sz w:val="13"/>
                <w:szCs w:val="13"/>
              </w:rPr>
            </w:pPr>
            <w:r w:rsidRPr="006A1EC7">
              <w:rPr>
                <w:sz w:val="13"/>
                <w:szCs w:val="13"/>
              </w:rPr>
              <w:t>23</w:t>
            </w:r>
          </w:p>
        </w:tc>
        <w:tc>
          <w:tcPr>
            <w:tcW w:w="454" w:type="dxa"/>
          </w:tcPr>
          <w:p w14:paraId="4410DB8B"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55C33AC9" w14:textId="77777777" w:rsidR="0087601C" w:rsidRPr="006A1EC7" w:rsidRDefault="0087601C" w:rsidP="00D56051">
            <w:pPr>
              <w:rPr>
                <w:sz w:val="13"/>
                <w:szCs w:val="13"/>
              </w:rPr>
            </w:pPr>
            <w:r w:rsidRPr="006A1EC7">
              <w:rPr>
                <w:sz w:val="13"/>
                <w:szCs w:val="13"/>
              </w:rPr>
              <w:t>32</w:t>
            </w:r>
          </w:p>
        </w:tc>
        <w:tc>
          <w:tcPr>
            <w:tcW w:w="460" w:type="dxa"/>
            <w:shd w:val="clear" w:color="auto" w:fill="FFFF00"/>
          </w:tcPr>
          <w:p w14:paraId="3DB32250" w14:textId="77777777" w:rsidR="0087601C" w:rsidRPr="006A1EC7" w:rsidRDefault="0087601C" w:rsidP="00D56051">
            <w:pPr>
              <w:rPr>
                <w:sz w:val="13"/>
                <w:szCs w:val="13"/>
              </w:rPr>
            </w:pPr>
            <w:r w:rsidRPr="006A1EC7">
              <w:rPr>
                <w:sz w:val="13"/>
                <w:szCs w:val="13"/>
              </w:rPr>
              <w:t>29</w:t>
            </w:r>
          </w:p>
        </w:tc>
        <w:tc>
          <w:tcPr>
            <w:tcW w:w="403" w:type="dxa"/>
            <w:shd w:val="clear" w:color="auto" w:fill="auto"/>
          </w:tcPr>
          <w:p w14:paraId="1C38231E" w14:textId="77777777" w:rsidR="0087601C" w:rsidRPr="006A1EC7" w:rsidRDefault="0087601C" w:rsidP="00D56051">
            <w:pPr>
              <w:rPr>
                <w:sz w:val="13"/>
                <w:szCs w:val="13"/>
              </w:rPr>
            </w:pPr>
            <w:r w:rsidRPr="006A1EC7">
              <w:rPr>
                <w:sz w:val="13"/>
                <w:szCs w:val="13"/>
              </w:rPr>
              <w:t>0</w:t>
            </w:r>
          </w:p>
        </w:tc>
        <w:tc>
          <w:tcPr>
            <w:tcW w:w="460" w:type="dxa"/>
            <w:shd w:val="clear" w:color="auto" w:fill="FFFF00"/>
          </w:tcPr>
          <w:p w14:paraId="30A7F763" w14:textId="77777777" w:rsidR="0087601C" w:rsidRPr="006A1EC7" w:rsidRDefault="0087601C" w:rsidP="00D56051">
            <w:pPr>
              <w:rPr>
                <w:sz w:val="13"/>
                <w:szCs w:val="13"/>
              </w:rPr>
            </w:pPr>
            <w:r w:rsidRPr="006A1EC7">
              <w:rPr>
                <w:sz w:val="13"/>
                <w:szCs w:val="13"/>
              </w:rPr>
              <w:t>33</w:t>
            </w:r>
          </w:p>
        </w:tc>
        <w:tc>
          <w:tcPr>
            <w:tcW w:w="477" w:type="dxa"/>
            <w:shd w:val="clear" w:color="auto" w:fill="FFFF00"/>
          </w:tcPr>
          <w:p w14:paraId="36CA615D" w14:textId="77777777" w:rsidR="0087601C" w:rsidRPr="006A1EC7" w:rsidRDefault="0087601C" w:rsidP="00D56051">
            <w:pPr>
              <w:rPr>
                <w:sz w:val="13"/>
                <w:szCs w:val="13"/>
              </w:rPr>
            </w:pPr>
            <w:r w:rsidRPr="006A1EC7">
              <w:rPr>
                <w:sz w:val="13"/>
                <w:szCs w:val="13"/>
              </w:rPr>
              <w:t>27</w:t>
            </w:r>
          </w:p>
        </w:tc>
        <w:tc>
          <w:tcPr>
            <w:tcW w:w="403" w:type="dxa"/>
          </w:tcPr>
          <w:p w14:paraId="0D0602CE"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3AA66065" w14:textId="77777777" w:rsidR="0087601C" w:rsidRPr="006A1EC7" w:rsidRDefault="0087601C" w:rsidP="00D56051">
            <w:pPr>
              <w:rPr>
                <w:sz w:val="13"/>
                <w:szCs w:val="13"/>
              </w:rPr>
            </w:pPr>
            <w:r w:rsidRPr="006A1EC7">
              <w:rPr>
                <w:sz w:val="13"/>
                <w:szCs w:val="13"/>
              </w:rPr>
              <w:t>30</w:t>
            </w:r>
          </w:p>
        </w:tc>
        <w:tc>
          <w:tcPr>
            <w:tcW w:w="477" w:type="dxa"/>
            <w:shd w:val="clear" w:color="auto" w:fill="FFFF00"/>
          </w:tcPr>
          <w:p w14:paraId="1BCCC814" w14:textId="77777777" w:rsidR="0087601C" w:rsidRPr="006A1EC7" w:rsidRDefault="0087601C" w:rsidP="00D56051">
            <w:pPr>
              <w:rPr>
                <w:sz w:val="13"/>
                <w:szCs w:val="13"/>
              </w:rPr>
            </w:pPr>
            <w:r w:rsidRPr="006A1EC7">
              <w:rPr>
                <w:sz w:val="13"/>
                <w:szCs w:val="13"/>
              </w:rPr>
              <w:t>22</w:t>
            </w:r>
          </w:p>
        </w:tc>
        <w:tc>
          <w:tcPr>
            <w:tcW w:w="403" w:type="dxa"/>
          </w:tcPr>
          <w:p w14:paraId="1A246263"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00DF2F82" w14:textId="77777777" w:rsidR="0087601C" w:rsidRPr="006A1EC7" w:rsidRDefault="0087601C" w:rsidP="00D56051">
            <w:pPr>
              <w:rPr>
                <w:sz w:val="13"/>
                <w:szCs w:val="13"/>
              </w:rPr>
            </w:pPr>
            <w:r w:rsidRPr="006A1EC7">
              <w:rPr>
                <w:sz w:val="13"/>
                <w:szCs w:val="13"/>
              </w:rPr>
              <w:t>27</w:t>
            </w:r>
          </w:p>
        </w:tc>
        <w:tc>
          <w:tcPr>
            <w:tcW w:w="477" w:type="dxa"/>
            <w:shd w:val="clear" w:color="auto" w:fill="FFFF00"/>
          </w:tcPr>
          <w:p w14:paraId="0D2E42E8" w14:textId="77777777" w:rsidR="0087601C" w:rsidRPr="006A1EC7" w:rsidRDefault="0087601C" w:rsidP="00D56051">
            <w:pPr>
              <w:rPr>
                <w:sz w:val="13"/>
                <w:szCs w:val="13"/>
              </w:rPr>
            </w:pPr>
            <w:r w:rsidRPr="006A1EC7">
              <w:rPr>
                <w:sz w:val="13"/>
                <w:szCs w:val="13"/>
              </w:rPr>
              <w:t>19</w:t>
            </w:r>
          </w:p>
        </w:tc>
        <w:tc>
          <w:tcPr>
            <w:tcW w:w="403" w:type="dxa"/>
          </w:tcPr>
          <w:p w14:paraId="42C965FF"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435AB0F4" w14:textId="77777777" w:rsidR="0087601C" w:rsidRPr="006A1EC7" w:rsidRDefault="0087601C" w:rsidP="00D56051">
            <w:pPr>
              <w:rPr>
                <w:sz w:val="13"/>
                <w:szCs w:val="13"/>
              </w:rPr>
            </w:pPr>
            <w:r w:rsidRPr="006A1EC7">
              <w:rPr>
                <w:sz w:val="13"/>
                <w:szCs w:val="13"/>
              </w:rPr>
              <w:t>25</w:t>
            </w:r>
          </w:p>
        </w:tc>
        <w:tc>
          <w:tcPr>
            <w:tcW w:w="478" w:type="dxa"/>
            <w:shd w:val="clear" w:color="auto" w:fill="FFFF00"/>
          </w:tcPr>
          <w:p w14:paraId="0943638D" w14:textId="77777777" w:rsidR="0087601C" w:rsidRPr="006A1EC7" w:rsidRDefault="0087601C" w:rsidP="00D56051">
            <w:pPr>
              <w:rPr>
                <w:sz w:val="13"/>
                <w:szCs w:val="13"/>
              </w:rPr>
            </w:pPr>
            <w:r w:rsidRPr="006A1EC7">
              <w:rPr>
                <w:sz w:val="13"/>
                <w:szCs w:val="13"/>
              </w:rPr>
              <w:t>29</w:t>
            </w:r>
          </w:p>
        </w:tc>
        <w:tc>
          <w:tcPr>
            <w:tcW w:w="403" w:type="dxa"/>
          </w:tcPr>
          <w:p w14:paraId="794EC2B4" w14:textId="77777777" w:rsidR="0087601C" w:rsidRPr="006A1EC7" w:rsidRDefault="0087601C" w:rsidP="00D56051">
            <w:pPr>
              <w:rPr>
                <w:sz w:val="13"/>
                <w:szCs w:val="13"/>
              </w:rPr>
            </w:pPr>
            <w:r w:rsidRPr="006A1EC7">
              <w:rPr>
                <w:sz w:val="13"/>
                <w:szCs w:val="13"/>
              </w:rPr>
              <w:t>0</w:t>
            </w:r>
          </w:p>
        </w:tc>
        <w:tc>
          <w:tcPr>
            <w:tcW w:w="478" w:type="dxa"/>
            <w:shd w:val="clear" w:color="auto" w:fill="FFFF00"/>
          </w:tcPr>
          <w:p w14:paraId="5D907338" w14:textId="77777777" w:rsidR="0087601C" w:rsidRPr="006A1EC7" w:rsidRDefault="0087601C" w:rsidP="00D56051">
            <w:pPr>
              <w:rPr>
                <w:sz w:val="13"/>
                <w:szCs w:val="13"/>
              </w:rPr>
            </w:pPr>
            <w:r w:rsidRPr="006A1EC7">
              <w:rPr>
                <w:sz w:val="13"/>
                <w:szCs w:val="13"/>
              </w:rPr>
              <w:t>23</w:t>
            </w:r>
          </w:p>
        </w:tc>
        <w:tc>
          <w:tcPr>
            <w:tcW w:w="478" w:type="dxa"/>
            <w:shd w:val="clear" w:color="auto" w:fill="FFFF00"/>
          </w:tcPr>
          <w:p w14:paraId="09A100B1" w14:textId="77777777" w:rsidR="0087601C" w:rsidRPr="006A1EC7" w:rsidRDefault="0087601C" w:rsidP="00D56051">
            <w:pPr>
              <w:rPr>
                <w:sz w:val="13"/>
                <w:szCs w:val="13"/>
              </w:rPr>
            </w:pPr>
            <w:r w:rsidRPr="006A1EC7">
              <w:rPr>
                <w:sz w:val="13"/>
                <w:szCs w:val="13"/>
              </w:rPr>
              <w:t>21</w:t>
            </w:r>
          </w:p>
        </w:tc>
        <w:tc>
          <w:tcPr>
            <w:tcW w:w="403" w:type="dxa"/>
          </w:tcPr>
          <w:p w14:paraId="00A43583" w14:textId="77777777" w:rsidR="0087601C" w:rsidRPr="006A1EC7" w:rsidRDefault="0087601C" w:rsidP="00D56051">
            <w:pPr>
              <w:rPr>
                <w:sz w:val="13"/>
                <w:szCs w:val="13"/>
              </w:rPr>
            </w:pPr>
            <w:r w:rsidRPr="006A1EC7">
              <w:rPr>
                <w:sz w:val="13"/>
                <w:szCs w:val="13"/>
              </w:rPr>
              <w:t>0</w:t>
            </w:r>
          </w:p>
        </w:tc>
        <w:tc>
          <w:tcPr>
            <w:tcW w:w="403" w:type="dxa"/>
            <w:shd w:val="clear" w:color="auto" w:fill="auto"/>
          </w:tcPr>
          <w:p w14:paraId="36A58056" w14:textId="77777777" w:rsidR="0087601C" w:rsidRPr="006A1EC7" w:rsidRDefault="0087601C" w:rsidP="00D56051">
            <w:pPr>
              <w:rPr>
                <w:sz w:val="13"/>
                <w:szCs w:val="13"/>
              </w:rPr>
            </w:pPr>
            <w:r w:rsidRPr="006A1EC7">
              <w:rPr>
                <w:sz w:val="13"/>
                <w:szCs w:val="13"/>
              </w:rPr>
              <w:t>1/8</w:t>
            </w:r>
          </w:p>
        </w:tc>
        <w:tc>
          <w:tcPr>
            <w:tcW w:w="403" w:type="dxa"/>
            <w:shd w:val="clear" w:color="auto" w:fill="auto"/>
          </w:tcPr>
          <w:p w14:paraId="0639415B" w14:textId="77777777" w:rsidR="0087601C" w:rsidRPr="006A1EC7" w:rsidRDefault="0087601C" w:rsidP="00D56051">
            <w:pPr>
              <w:rPr>
                <w:sz w:val="13"/>
                <w:szCs w:val="13"/>
              </w:rPr>
            </w:pPr>
            <w:r w:rsidRPr="006A1EC7">
              <w:rPr>
                <w:sz w:val="13"/>
                <w:szCs w:val="13"/>
              </w:rPr>
              <w:t>13%</w:t>
            </w:r>
          </w:p>
        </w:tc>
      </w:tr>
      <w:tr w:rsidR="00744A8E" w:rsidRPr="006A1EC7" w14:paraId="512CEBA6" w14:textId="77777777" w:rsidTr="00D56051">
        <w:tc>
          <w:tcPr>
            <w:tcW w:w="636" w:type="dxa"/>
          </w:tcPr>
          <w:p w14:paraId="05EE6359" w14:textId="77777777" w:rsidR="0087601C" w:rsidRPr="006A1EC7" w:rsidRDefault="0087601C" w:rsidP="00D56051">
            <w:pPr>
              <w:rPr>
                <w:sz w:val="13"/>
                <w:szCs w:val="13"/>
              </w:rPr>
            </w:pPr>
            <w:r w:rsidRPr="006A1EC7">
              <w:rPr>
                <w:sz w:val="13"/>
                <w:szCs w:val="13"/>
              </w:rPr>
              <w:lastRenderedPageBreak/>
              <w:t>Percent agreement (%)</w:t>
            </w:r>
          </w:p>
        </w:tc>
        <w:tc>
          <w:tcPr>
            <w:tcW w:w="475" w:type="dxa"/>
            <w:shd w:val="clear" w:color="auto" w:fill="FFFF00"/>
          </w:tcPr>
          <w:p w14:paraId="2565F9D7" w14:textId="77777777" w:rsidR="0087601C" w:rsidRPr="006A1EC7" w:rsidRDefault="0087601C" w:rsidP="00D56051">
            <w:pPr>
              <w:rPr>
                <w:sz w:val="13"/>
                <w:szCs w:val="13"/>
              </w:rPr>
            </w:pPr>
          </w:p>
        </w:tc>
        <w:tc>
          <w:tcPr>
            <w:tcW w:w="475" w:type="dxa"/>
            <w:shd w:val="clear" w:color="auto" w:fill="FFFF00"/>
          </w:tcPr>
          <w:p w14:paraId="542E82E6" w14:textId="77777777" w:rsidR="0087601C" w:rsidRPr="006A1EC7" w:rsidRDefault="0087601C" w:rsidP="00D56051">
            <w:pPr>
              <w:rPr>
                <w:sz w:val="13"/>
                <w:szCs w:val="13"/>
              </w:rPr>
            </w:pPr>
          </w:p>
        </w:tc>
        <w:tc>
          <w:tcPr>
            <w:tcW w:w="472" w:type="dxa"/>
          </w:tcPr>
          <w:p w14:paraId="17608A93" w14:textId="77777777" w:rsidR="0087601C" w:rsidRPr="006A1EC7" w:rsidRDefault="0087601C" w:rsidP="00D56051">
            <w:pPr>
              <w:rPr>
                <w:sz w:val="13"/>
                <w:szCs w:val="13"/>
              </w:rPr>
            </w:pPr>
            <w:r w:rsidRPr="006A1EC7">
              <w:rPr>
                <w:sz w:val="13"/>
                <w:szCs w:val="13"/>
              </w:rPr>
              <w:t>100</w:t>
            </w:r>
          </w:p>
        </w:tc>
        <w:tc>
          <w:tcPr>
            <w:tcW w:w="476" w:type="dxa"/>
            <w:shd w:val="clear" w:color="auto" w:fill="FFFF00"/>
          </w:tcPr>
          <w:p w14:paraId="6DB0D4C9" w14:textId="77777777" w:rsidR="0087601C" w:rsidRPr="006A1EC7" w:rsidRDefault="0087601C" w:rsidP="00D56051">
            <w:pPr>
              <w:rPr>
                <w:sz w:val="13"/>
                <w:szCs w:val="13"/>
              </w:rPr>
            </w:pPr>
          </w:p>
        </w:tc>
        <w:tc>
          <w:tcPr>
            <w:tcW w:w="476" w:type="dxa"/>
            <w:shd w:val="clear" w:color="auto" w:fill="FFFF00"/>
          </w:tcPr>
          <w:p w14:paraId="33E00361" w14:textId="77777777" w:rsidR="0087601C" w:rsidRPr="006A1EC7" w:rsidRDefault="0087601C" w:rsidP="00D56051">
            <w:pPr>
              <w:rPr>
                <w:sz w:val="13"/>
                <w:szCs w:val="13"/>
              </w:rPr>
            </w:pPr>
          </w:p>
        </w:tc>
        <w:tc>
          <w:tcPr>
            <w:tcW w:w="454" w:type="dxa"/>
          </w:tcPr>
          <w:p w14:paraId="33EE6A7E" w14:textId="77777777" w:rsidR="0087601C" w:rsidRPr="006A1EC7" w:rsidRDefault="0087601C" w:rsidP="00D56051">
            <w:pPr>
              <w:rPr>
                <w:sz w:val="13"/>
                <w:szCs w:val="13"/>
              </w:rPr>
            </w:pPr>
            <w:r w:rsidRPr="006A1EC7">
              <w:rPr>
                <w:sz w:val="13"/>
                <w:szCs w:val="13"/>
              </w:rPr>
              <w:t>90</w:t>
            </w:r>
          </w:p>
        </w:tc>
        <w:tc>
          <w:tcPr>
            <w:tcW w:w="477" w:type="dxa"/>
            <w:shd w:val="clear" w:color="auto" w:fill="FFFF00"/>
          </w:tcPr>
          <w:p w14:paraId="5C783DD6" w14:textId="77777777" w:rsidR="0087601C" w:rsidRPr="006A1EC7" w:rsidRDefault="0087601C" w:rsidP="00D56051">
            <w:pPr>
              <w:rPr>
                <w:sz w:val="13"/>
                <w:szCs w:val="13"/>
              </w:rPr>
            </w:pPr>
          </w:p>
        </w:tc>
        <w:tc>
          <w:tcPr>
            <w:tcW w:w="460" w:type="dxa"/>
            <w:shd w:val="clear" w:color="auto" w:fill="FFFF00"/>
          </w:tcPr>
          <w:p w14:paraId="0BE92153" w14:textId="77777777" w:rsidR="0087601C" w:rsidRPr="006A1EC7" w:rsidRDefault="0087601C" w:rsidP="00D56051">
            <w:pPr>
              <w:rPr>
                <w:sz w:val="13"/>
                <w:szCs w:val="13"/>
              </w:rPr>
            </w:pPr>
          </w:p>
        </w:tc>
        <w:tc>
          <w:tcPr>
            <w:tcW w:w="403" w:type="dxa"/>
            <w:shd w:val="clear" w:color="auto" w:fill="auto"/>
          </w:tcPr>
          <w:p w14:paraId="09B013D2" w14:textId="77777777" w:rsidR="0087601C" w:rsidRPr="006A1EC7" w:rsidRDefault="0087601C" w:rsidP="00D56051">
            <w:pPr>
              <w:rPr>
                <w:sz w:val="13"/>
                <w:szCs w:val="13"/>
              </w:rPr>
            </w:pPr>
            <w:r w:rsidRPr="006A1EC7">
              <w:rPr>
                <w:sz w:val="13"/>
                <w:szCs w:val="13"/>
              </w:rPr>
              <w:t>80</w:t>
            </w:r>
          </w:p>
        </w:tc>
        <w:tc>
          <w:tcPr>
            <w:tcW w:w="460" w:type="dxa"/>
            <w:shd w:val="clear" w:color="auto" w:fill="FFFF00"/>
          </w:tcPr>
          <w:p w14:paraId="42F50846" w14:textId="77777777" w:rsidR="0087601C" w:rsidRPr="006A1EC7" w:rsidRDefault="0087601C" w:rsidP="00D56051">
            <w:pPr>
              <w:rPr>
                <w:sz w:val="13"/>
                <w:szCs w:val="13"/>
              </w:rPr>
            </w:pPr>
          </w:p>
        </w:tc>
        <w:tc>
          <w:tcPr>
            <w:tcW w:w="477" w:type="dxa"/>
            <w:shd w:val="clear" w:color="auto" w:fill="FFFF00"/>
          </w:tcPr>
          <w:p w14:paraId="4D4B4CFB" w14:textId="77777777" w:rsidR="0087601C" w:rsidRPr="006A1EC7" w:rsidRDefault="0087601C" w:rsidP="00D56051">
            <w:pPr>
              <w:rPr>
                <w:sz w:val="13"/>
                <w:szCs w:val="13"/>
              </w:rPr>
            </w:pPr>
          </w:p>
        </w:tc>
        <w:tc>
          <w:tcPr>
            <w:tcW w:w="403" w:type="dxa"/>
          </w:tcPr>
          <w:p w14:paraId="5CD51412" w14:textId="77777777" w:rsidR="0087601C" w:rsidRPr="006A1EC7" w:rsidRDefault="0087601C" w:rsidP="00D56051">
            <w:pPr>
              <w:rPr>
                <w:sz w:val="13"/>
                <w:szCs w:val="13"/>
              </w:rPr>
            </w:pPr>
            <w:r w:rsidRPr="006A1EC7">
              <w:rPr>
                <w:sz w:val="13"/>
                <w:szCs w:val="13"/>
              </w:rPr>
              <w:t>80</w:t>
            </w:r>
          </w:p>
        </w:tc>
        <w:tc>
          <w:tcPr>
            <w:tcW w:w="477" w:type="dxa"/>
            <w:shd w:val="clear" w:color="auto" w:fill="FFFF00"/>
          </w:tcPr>
          <w:p w14:paraId="756FDD0A" w14:textId="77777777" w:rsidR="0087601C" w:rsidRPr="006A1EC7" w:rsidRDefault="0087601C" w:rsidP="00D56051">
            <w:pPr>
              <w:rPr>
                <w:sz w:val="13"/>
                <w:szCs w:val="13"/>
              </w:rPr>
            </w:pPr>
          </w:p>
        </w:tc>
        <w:tc>
          <w:tcPr>
            <w:tcW w:w="477" w:type="dxa"/>
            <w:shd w:val="clear" w:color="auto" w:fill="FFFF00"/>
          </w:tcPr>
          <w:p w14:paraId="5F7FB50D" w14:textId="77777777" w:rsidR="0087601C" w:rsidRPr="006A1EC7" w:rsidRDefault="0087601C" w:rsidP="00D56051">
            <w:pPr>
              <w:rPr>
                <w:sz w:val="13"/>
                <w:szCs w:val="13"/>
              </w:rPr>
            </w:pPr>
          </w:p>
        </w:tc>
        <w:tc>
          <w:tcPr>
            <w:tcW w:w="403" w:type="dxa"/>
          </w:tcPr>
          <w:p w14:paraId="4151ADA2" w14:textId="77777777" w:rsidR="0087601C" w:rsidRPr="006A1EC7" w:rsidRDefault="0087601C" w:rsidP="00D56051">
            <w:pPr>
              <w:rPr>
                <w:sz w:val="13"/>
                <w:szCs w:val="13"/>
              </w:rPr>
            </w:pPr>
            <w:r w:rsidRPr="006A1EC7">
              <w:rPr>
                <w:sz w:val="13"/>
                <w:szCs w:val="13"/>
              </w:rPr>
              <w:t>60</w:t>
            </w:r>
          </w:p>
        </w:tc>
        <w:tc>
          <w:tcPr>
            <w:tcW w:w="477" w:type="dxa"/>
            <w:shd w:val="clear" w:color="auto" w:fill="FFFF00"/>
          </w:tcPr>
          <w:p w14:paraId="757EE7A1" w14:textId="77777777" w:rsidR="0087601C" w:rsidRPr="006A1EC7" w:rsidRDefault="0087601C" w:rsidP="00D56051">
            <w:pPr>
              <w:rPr>
                <w:sz w:val="13"/>
                <w:szCs w:val="13"/>
              </w:rPr>
            </w:pPr>
          </w:p>
        </w:tc>
        <w:tc>
          <w:tcPr>
            <w:tcW w:w="477" w:type="dxa"/>
            <w:shd w:val="clear" w:color="auto" w:fill="FFFF00"/>
          </w:tcPr>
          <w:p w14:paraId="20890C24" w14:textId="77777777" w:rsidR="0087601C" w:rsidRPr="006A1EC7" w:rsidRDefault="0087601C" w:rsidP="00D56051">
            <w:pPr>
              <w:rPr>
                <w:sz w:val="13"/>
                <w:szCs w:val="13"/>
              </w:rPr>
            </w:pPr>
          </w:p>
        </w:tc>
        <w:tc>
          <w:tcPr>
            <w:tcW w:w="403" w:type="dxa"/>
          </w:tcPr>
          <w:p w14:paraId="44A39646" w14:textId="77777777" w:rsidR="0087601C" w:rsidRPr="006A1EC7" w:rsidRDefault="0087601C" w:rsidP="00D56051">
            <w:pPr>
              <w:rPr>
                <w:sz w:val="13"/>
                <w:szCs w:val="13"/>
              </w:rPr>
            </w:pPr>
            <w:r w:rsidRPr="006A1EC7">
              <w:rPr>
                <w:sz w:val="13"/>
                <w:szCs w:val="13"/>
              </w:rPr>
              <w:t>60</w:t>
            </w:r>
          </w:p>
        </w:tc>
        <w:tc>
          <w:tcPr>
            <w:tcW w:w="477" w:type="dxa"/>
            <w:shd w:val="clear" w:color="auto" w:fill="FFFF00"/>
          </w:tcPr>
          <w:p w14:paraId="52C8C30F" w14:textId="77777777" w:rsidR="0087601C" w:rsidRPr="006A1EC7" w:rsidRDefault="0087601C" w:rsidP="00D56051">
            <w:pPr>
              <w:rPr>
                <w:sz w:val="13"/>
                <w:szCs w:val="13"/>
              </w:rPr>
            </w:pPr>
          </w:p>
        </w:tc>
        <w:tc>
          <w:tcPr>
            <w:tcW w:w="478" w:type="dxa"/>
            <w:shd w:val="clear" w:color="auto" w:fill="FFFF00"/>
          </w:tcPr>
          <w:p w14:paraId="7AF00929" w14:textId="77777777" w:rsidR="0087601C" w:rsidRPr="006A1EC7" w:rsidRDefault="0087601C" w:rsidP="00D56051">
            <w:pPr>
              <w:rPr>
                <w:sz w:val="13"/>
                <w:szCs w:val="13"/>
              </w:rPr>
            </w:pPr>
          </w:p>
        </w:tc>
        <w:tc>
          <w:tcPr>
            <w:tcW w:w="403" w:type="dxa"/>
          </w:tcPr>
          <w:p w14:paraId="659C6D9E" w14:textId="77777777" w:rsidR="0087601C" w:rsidRPr="006A1EC7" w:rsidRDefault="0087601C" w:rsidP="00D56051">
            <w:pPr>
              <w:rPr>
                <w:sz w:val="13"/>
                <w:szCs w:val="13"/>
              </w:rPr>
            </w:pPr>
            <w:r w:rsidRPr="006A1EC7">
              <w:rPr>
                <w:sz w:val="13"/>
                <w:szCs w:val="13"/>
              </w:rPr>
              <w:t>70</w:t>
            </w:r>
          </w:p>
        </w:tc>
        <w:tc>
          <w:tcPr>
            <w:tcW w:w="478" w:type="dxa"/>
            <w:shd w:val="clear" w:color="auto" w:fill="FFFF00"/>
          </w:tcPr>
          <w:p w14:paraId="3D262CD3" w14:textId="77777777" w:rsidR="0087601C" w:rsidRPr="006A1EC7" w:rsidRDefault="0087601C" w:rsidP="00D56051">
            <w:pPr>
              <w:rPr>
                <w:sz w:val="13"/>
                <w:szCs w:val="13"/>
              </w:rPr>
            </w:pPr>
          </w:p>
        </w:tc>
        <w:tc>
          <w:tcPr>
            <w:tcW w:w="478" w:type="dxa"/>
            <w:shd w:val="clear" w:color="auto" w:fill="FFFF00"/>
          </w:tcPr>
          <w:p w14:paraId="7C92801A" w14:textId="77777777" w:rsidR="0087601C" w:rsidRPr="006A1EC7" w:rsidRDefault="0087601C" w:rsidP="00D56051">
            <w:pPr>
              <w:rPr>
                <w:sz w:val="13"/>
                <w:szCs w:val="13"/>
              </w:rPr>
            </w:pPr>
          </w:p>
        </w:tc>
        <w:tc>
          <w:tcPr>
            <w:tcW w:w="403" w:type="dxa"/>
          </w:tcPr>
          <w:p w14:paraId="1B496367" w14:textId="77777777" w:rsidR="0087601C" w:rsidRPr="006A1EC7" w:rsidRDefault="0087601C" w:rsidP="00D56051">
            <w:pPr>
              <w:rPr>
                <w:sz w:val="13"/>
                <w:szCs w:val="13"/>
              </w:rPr>
            </w:pPr>
            <w:r w:rsidRPr="006A1EC7">
              <w:rPr>
                <w:sz w:val="13"/>
                <w:szCs w:val="13"/>
              </w:rPr>
              <w:t>70</w:t>
            </w:r>
          </w:p>
        </w:tc>
        <w:tc>
          <w:tcPr>
            <w:tcW w:w="403" w:type="dxa"/>
            <w:shd w:val="clear" w:color="auto" w:fill="auto"/>
          </w:tcPr>
          <w:p w14:paraId="697726EE" w14:textId="77777777" w:rsidR="0087601C" w:rsidRPr="006A1EC7" w:rsidRDefault="0087601C" w:rsidP="00D56051">
            <w:pPr>
              <w:rPr>
                <w:sz w:val="13"/>
                <w:szCs w:val="13"/>
              </w:rPr>
            </w:pPr>
          </w:p>
        </w:tc>
        <w:tc>
          <w:tcPr>
            <w:tcW w:w="403" w:type="dxa"/>
            <w:shd w:val="clear" w:color="auto" w:fill="auto"/>
          </w:tcPr>
          <w:p w14:paraId="1B1D615D" w14:textId="77777777" w:rsidR="0087601C" w:rsidRPr="006A1EC7" w:rsidRDefault="0087601C" w:rsidP="00D56051">
            <w:pPr>
              <w:rPr>
                <w:sz w:val="13"/>
                <w:szCs w:val="13"/>
              </w:rPr>
            </w:pPr>
          </w:p>
        </w:tc>
      </w:tr>
    </w:tbl>
    <w:p w14:paraId="4359285B" w14:textId="77777777" w:rsidR="0087601C" w:rsidRPr="006A1EC7" w:rsidRDefault="0087601C" w:rsidP="0087601C">
      <w:pPr>
        <w:rPr>
          <w:b/>
          <w:bCs/>
          <w:sz w:val="13"/>
          <w:szCs w:val="13"/>
        </w:rPr>
      </w:pPr>
    </w:p>
    <w:p w14:paraId="4E6DF7DC" w14:textId="77777777" w:rsidR="0087601C" w:rsidRPr="006A1EC7" w:rsidRDefault="0087601C" w:rsidP="0087601C">
      <w:pPr>
        <w:rPr>
          <w:b/>
          <w:bCs/>
          <w:sz w:val="13"/>
          <w:szCs w:val="13"/>
        </w:rPr>
      </w:pPr>
    </w:p>
    <w:p w14:paraId="6BCA93BA" w14:textId="77777777" w:rsidR="0087601C" w:rsidRPr="006A1EC7" w:rsidRDefault="0087601C" w:rsidP="0087601C">
      <w:pPr>
        <w:rPr>
          <w:b/>
          <w:bCs/>
          <w:sz w:val="13"/>
          <w:szCs w:val="13"/>
        </w:rPr>
      </w:pPr>
      <w:r w:rsidRPr="006A1EC7">
        <w:rPr>
          <w:b/>
          <w:bCs/>
          <w:sz w:val="13"/>
          <w:szCs w:val="13"/>
        </w:rPr>
        <w:t>VIGNETTE 5: ALESSANDRO</w:t>
      </w:r>
    </w:p>
    <w:p w14:paraId="55923A7C" w14:textId="77777777" w:rsidR="0087601C" w:rsidRPr="006A1EC7" w:rsidRDefault="0087601C" w:rsidP="0087601C">
      <w:pPr>
        <w:rPr>
          <w:b/>
          <w:bCs/>
          <w:sz w:val="13"/>
          <w:szCs w:val="13"/>
        </w:rPr>
      </w:pPr>
    </w:p>
    <w:tbl>
      <w:tblPr>
        <w:tblStyle w:val="TableGrid"/>
        <w:tblW w:w="0" w:type="auto"/>
        <w:tblLook w:val="04A0" w:firstRow="1" w:lastRow="0" w:firstColumn="1" w:lastColumn="0" w:noHBand="0" w:noVBand="1"/>
      </w:tblPr>
      <w:tblGrid>
        <w:gridCol w:w="758"/>
        <w:gridCol w:w="476"/>
        <w:gridCol w:w="476"/>
        <w:gridCol w:w="477"/>
        <w:gridCol w:w="477"/>
        <w:gridCol w:w="477"/>
        <w:gridCol w:w="458"/>
        <w:gridCol w:w="477"/>
        <w:gridCol w:w="406"/>
        <w:gridCol w:w="411"/>
        <w:gridCol w:w="406"/>
        <w:gridCol w:w="520"/>
      </w:tblGrid>
      <w:tr w:rsidR="0087601C" w:rsidRPr="006A1EC7" w14:paraId="4F680E78" w14:textId="77777777" w:rsidTr="00D56051">
        <w:trPr>
          <w:trHeight w:val="558"/>
        </w:trPr>
        <w:tc>
          <w:tcPr>
            <w:tcW w:w="636" w:type="dxa"/>
          </w:tcPr>
          <w:p w14:paraId="65DA80E2" w14:textId="77777777" w:rsidR="0087601C" w:rsidRPr="006A1EC7" w:rsidRDefault="0087601C" w:rsidP="00D56051">
            <w:pPr>
              <w:rPr>
                <w:sz w:val="13"/>
                <w:szCs w:val="13"/>
              </w:rPr>
            </w:pPr>
          </w:p>
        </w:tc>
        <w:tc>
          <w:tcPr>
            <w:tcW w:w="476" w:type="dxa"/>
            <w:shd w:val="clear" w:color="auto" w:fill="FFFF00"/>
          </w:tcPr>
          <w:p w14:paraId="0A8F5624" w14:textId="77777777" w:rsidR="0087601C" w:rsidRPr="006A1EC7" w:rsidRDefault="0087601C" w:rsidP="00D56051">
            <w:pPr>
              <w:rPr>
                <w:sz w:val="13"/>
                <w:szCs w:val="13"/>
              </w:rPr>
            </w:pPr>
            <w:r w:rsidRPr="006A1EC7">
              <w:rPr>
                <w:sz w:val="13"/>
                <w:szCs w:val="13"/>
              </w:rPr>
              <w:t>J1 (1)</w:t>
            </w:r>
          </w:p>
        </w:tc>
        <w:tc>
          <w:tcPr>
            <w:tcW w:w="476" w:type="dxa"/>
            <w:shd w:val="clear" w:color="auto" w:fill="FFFF00"/>
          </w:tcPr>
          <w:p w14:paraId="37E8561B" w14:textId="77777777" w:rsidR="0087601C" w:rsidRPr="006A1EC7" w:rsidRDefault="0087601C" w:rsidP="00D56051">
            <w:pPr>
              <w:rPr>
                <w:sz w:val="13"/>
                <w:szCs w:val="13"/>
              </w:rPr>
            </w:pPr>
            <w:r w:rsidRPr="006A1EC7">
              <w:rPr>
                <w:sz w:val="13"/>
                <w:szCs w:val="13"/>
              </w:rPr>
              <w:t>J1 (2)</w:t>
            </w:r>
          </w:p>
        </w:tc>
        <w:tc>
          <w:tcPr>
            <w:tcW w:w="477" w:type="dxa"/>
          </w:tcPr>
          <w:p w14:paraId="673C1808" w14:textId="77777777" w:rsidR="0087601C" w:rsidRPr="006A1EC7" w:rsidRDefault="0087601C" w:rsidP="00D56051">
            <w:pPr>
              <w:rPr>
                <w:sz w:val="13"/>
                <w:szCs w:val="13"/>
              </w:rPr>
            </w:pPr>
          </w:p>
        </w:tc>
        <w:tc>
          <w:tcPr>
            <w:tcW w:w="477" w:type="dxa"/>
            <w:shd w:val="clear" w:color="auto" w:fill="FFFF00"/>
          </w:tcPr>
          <w:p w14:paraId="0772DD07" w14:textId="77777777" w:rsidR="0087601C" w:rsidRPr="006A1EC7" w:rsidRDefault="0087601C" w:rsidP="00D56051">
            <w:pPr>
              <w:rPr>
                <w:sz w:val="13"/>
                <w:szCs w:val="13"/>
              </w:rPr>
            </w:pPr>
            <w:r w:rsidRPr="006A1EC7">
              <w:rPr>
                <w:sz w:val="13"/>
                <w:szCs w:val="13"/>
              </w:rPr>
              <w:t>J2 (1)</w:t>
            </w:r>
          </w:p>
        </w:tc>
        <w:tc>
          <w:tcPr>
            <w:tcW w:w="477" w:type="dxa"/>
            <w:shd w:val="clear" w:color="auto" w:fill="FFFF00"/>
          </w:tcPr>
          <w:p w14:paraId="5C95FB28" w14:textId="77777777" w:rsidR="0087601C" w:rsidRPr="006A1EC7" w:rsidRDefault="0087601C" w:rsidP="00D56051">
            <w:pPr>
              <w:rPr>
                <w:sz w:val="13"/>
                <w:szCs w:val="13"/>
              </w:rPr>
            </w:pPr>
            <w:r w:rsidRPr="006A1EC7">
              <w:rPr>
                <w:sz w:val="13"/>
                <w:szCs w:val="13"/>
              </w:rPr>
              <w:t>J2 (2)</w:t>
            </w:r>
          </w:p>
        </w:tc>
        <w:tc>
          <w:tcPr>
            <w:tcW w:w="458" w:type="dxa"/>
          </w:tcPr>
          <w:p w14:paraId="00D10E6B" w14:textId="77777777" w:rsidR="0087601C" w:rsidRPr="006A1EC7" w:rsidRDefault="0087601C" w:rsidP="00D56051">
            <w:pPr>
              <w:rPr>
                <w:sz w:val="13"/>
                <w:szCs w:val="13"/>
              </w:rPr>
            </w:pPr>
          </w:p>
        </w:tc>
        <w:tc>
          <w:tcPr>
            <w:tcW w:w="477" w:type="dxa"/>
            <w:shd w:val="clear" w:color="auto" w:fill="FFFF00"/>
          </w:tcPr>
          <w:p w14:paraId="6F22CD06" w14:textId="77777777" w:rsidR="0087601C" w:rsidRPr="006A1EC7" w:rsidRDefault="0087601C" w:rsidP="00D56051">
            <w:pPr>
              <w:rPr>
                <w:sz w:val="13"/>
                <w:szCs w:val="13"/>
              </w:rPr>
            </w:pPr>
            <w:r w:rsidRPr="006A1EC7">
              <w:rPr>
                <w:sz w:val="13"/>
                <w:szCs w:val="13"/>
              </w:rPr>
              <w:t>J3 (1)</w:t>
            </w:r>
          </w:p>
        </w:tc>
        <w:tc>
          <w:tcPr>
            <w:tcW w:w="406" w:type="dxa"/>
            <w:shd w:val="clear" w:color="auto" w:fill="FFFF00"/>
          </w:tcPr>
          <w:p w14:paraId="25205B30" w14:textId="77777777" w:rsidR="0087601C" w:rsidRPr="006A1EC7" w:rsidRDefault="0087601C" w:rsidP="00D56051">
            <w:pPr>
              <w:rPr>
                <w:sz w:val="13"/>
                <w:szCs w:val="13"/>
              </w:rPr>
            </w:pPr>
            <w:r w:rsidRPr="006A1EC7">
              <w:rPr>
                <w:sz w:val="13"/>
                <w:szCs w:val="13"/>
              </w:rPr>
              <w:t>J3 2)</w:t>
            </w:r>
          </w:p>
        </w:tc>
        <w:tc>
          <w:tcPr>
            <w:tcW w:w="406" w:type="dxa"/>
          </w:tcPr>
          <w:p w14:paraId="65571721" w14:textId="77777777" w:rsidR="0087601C" w:rsidRPr="006A1EC7" w:rsidRDefault="0087601C" w:rsidP="00D56051">
            <w:pPr>
              <w:rPr>
                <w:sz w:val="13"/>
                <w:szCs w:val="13"/>
              </w:rPr>
            </w:pPr>
          </w:p>
        </w:tc>
        <w:tc>
          <w:tcPr>
            <w:tcW w:w="406" w:type="dxa"/>
            <w:shd w:val="clear" w:color="auto" w:fill="auto"/>
          </w:tcPr>
          <w:p w14:paraId="591F2CE5" w14:textId="77777777" w:rsidR="0087601C" w:rsidRPr="006A1EC7" w:rsidRDefault="0087601C" w:rsidP="00D56051">
            <w:pPr>
              <w:rPr>
                <w:sz w:val="13"/>
                <w:szCs w:val="13"/>
              </w:rPr>
            </w:pPr>
          </w:p>
        </w:tc>
        <w:tc>
          <w:tcPr>
            <w:tcW w:w="406" w:type="dxa"/>
            <w:shd w:val="clear" w:color="auto" w:fill="auto"/>
          </w:tcPr>
          <w:p w14:paraId="1C0A3A37" w14:textId="77777777" w:rsidR="0087601C" w:rsidRPr="006A1EC7" w:rsidRDefault="0087601C" w:rsidP="00D56051">
            <w:pPr>
              <w:rPr>
                <w:sz w:val="13"/>
                <w:szCs w:val="13"/>
              </w:rPr>
            </w:pPr>
          </w:p>
        </w:tc>
      </w:tr>
      <w:tr w:rsidR="0087601C" w:rsidRPr="006A1EC7" w14:paraId="4B823E36" w14:textId="77777777" w:rsidTr="00D56051">
        <w:tc>
          <w:tcPr>
            <w:tcW w:w="636" w:type="dxa"/>
          </w:tcPr>
          <w:p w14:paraId="65FFFE2A" w14:textId="77777777" w:rsidR="0087601C" w:rsidRPr="006A1EC7" w:rsidRDefault="0087601C" w:rsidP="00D56051">
            <w:pPr>
              <w:rPr>
                <w:sz w:val="13"/>
                <w:szCs w:val="13"/>
              </w:rPr>
            </w:pPr>
            <w:r w:rsidRPr="006A1EC7">
              <w:rPr>
                <w:sz w:val="13"/>
                <w:szCs w:val="13"/>
              </w:rPr>
              <w:t>FCE</w:t>
            </w:r>
          </w:p>
        </w:tc>
        <w:tc>
          <w:tcPr>
            <w:tcW w:w="476" w:type="dxa"/>
            <w:shd w:val="clear" w:color="auto" w:fill="FFFF00"/>
          </w:tcPr>
          <w:p w14:paraId="28C672AB"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6029C2B1" w14:textId="77777777" w:rsidR="0087601C" w:rsidRPr="006A1EC7" w:rsidRDefault="0087601C" w:rsidP="00D56051">
            <w:pPr>
              <w:rPr>
                <w:sz w:val="13"/>
                <w:szCs w:val="13"/>
              </w:rPr>
            </w:pPr>
            <w:r w:rsidRPr="006A1EC7">
              <w:rPr>
                <w:sz w:val="13"/>
                <w:szCs w:val="13"/>
              </w:rPr>
              <w:t>3</w:t>
            </w:r>
          </w:p>
        </w:tc>
        <w:tc>
          <w:tcPr>
            <w:tcW w:w="477" w:type="dxa"/>
          </w:tcPr>
          <w:p w14:paraId="3D1EDF7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46F7F91" w14:textId="77777777" w:rsidR="0087601C" w:rsidRPr="006A1EC7" w:rsidRDefault="0087601C" w:rsidP="00D56051">
            <w:pPr>
              <w:rPr>
                <w:sz w:val="13"/>
                <w:szCs w:val="13"/>
              </w:rPr>
            </w:pPr>
            <w:r w:rsidRPr="006A1EC7">
              <w:rPr>
                <w:sz w:val="13"/>
                <w:szCs w:val="13"/>
              </w:rPr>
              <w:t>4</w:t>
            </w:r>
          </w:p>
        </w:tc>
        <w:tc>
          <w:tcPr>
            <w:tcW w:w="477" w:type="dxa"/>
            <w:shd w:val="clear" w:color="auto" w:fill="FFFF00"/>
          </w:tcPr>
          <w:p w14:paraId="247DC561" w14:textId="77777777" w:rsidR="0087601C" w:rsidRPr="006A1EC7" w:rsidRDefault="0087601C" w:rsidP="00D56051">
            <w:pPr>
              <w:rPr>
                <w:sz w:val="13"/>
                <w:szCs w:val="13"/>
              </w:rPr>
            </w:pPr>
            <w:r w:rsidRPr="006A1EC7">
              <w:rPr>
                <w:sz w:val="13"/>
                <w:szCs w:val="13"/>
              </w:rPr>
              <w:t>3</w:t>
            </w:r>
          </w:p>
        </w:tc>
        <w:tc>
          <w:tcPr>
            <w:tcW w:w="458" w:type="dxa"/>
          </w:tcPr>
          <w:p w14:paraId="0809DCB4"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D649D49" w14:textId="77777777" w:rsidR="0087601C" w:rsidRPr="006A1EC7" w:rsidRDefault="0087601C" w:rsidP="00D56051">
            <w:pPr>
              <w:rPr>
                <w:sz w:val="13"/>
                <w:szCs w:val="13"/>
              </w:rPr>
            </w:pPr>
            <w:r w:rsidRPr="006A1EC7">
              <w:rPr>
                <w:sz w:val="13"/>
                <w:szCs w:val="13"/>
              </w:rPr>
              <w:t>4</w:t>
            </w:r>
          </w:p>
        </w:tc>
        <w:tc>
          <w:tcPr>
            <w:tcW w:w="406" w:type="dxa"/>
            <w:shd w:val="clear" w:color="auto" w:fill="FFFF00"/>
          </w:tcPr>
          <w:p w14:paraId="17F2E6B1" w14:textId="77777777" w:rsidR="0087601C" w:rsidRPr="006A1EC7" w:rsidRDefault="0087601C" w:rsidP="00D56051">
            <w:pPr>
              <w:rPr>
                <w:sz w:val="13"/>
                <w:szCs w:val="13"/>
              </w:rPr>
            </w:pPr>
            <w:r w:rsidRPr="006A1EC7">
              <w:rPr>
                <w:sz w:val="13"/>
                <w:szCs w:val="13"/>
              </w:rPr>
              <w:t>4</w:t>
            </w:r>
          </w:p>
        </w:tc>
        <w:tc>
          <w:tcPr>
            <w:tcW w:w="406" w:type="dxa"/>
          </w:tcPr>
          <w:p w14:paraId="5C88E0CD"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0A2503C6"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490E7A9A" w14:textId="77777777" w:rsidR="0087601C" w:rsidRPr="006A1EC7" w:rsidRDefault="0087601C" w:rsidP="00D56051">
            <w:pPr>
              <w:rPr>
                <w:sz w:val="13"/>
                <w:szCs w:val="13"/>
              </w:rPr>
            </w:pPr>
            <w:r w:rsidRPr="006A1EC7">
              <w:rPr>
                <w:sz w:val="13"/>
                <w:szCs w:val="13"/>
              </w:rPr>
              <w:t>100%</w:t>
            </w:r>
          </w:p>
        </w:tc>
      </w:tr>
      <w:tr w:rsidR="0087601C" w:rsidRPr="006A1EC7" w14:paraId="190CDCFE" w14:textId="77777777" w:rsidTr="00D56051">
        <w:tc>
          <w:tcPr>
            <w:tcW w:w="636" w:type="dxa"/>
          </w:tcPr>
          <w:p w14:paraId="5E997668" w14:textId="77777777" w:rsidR="0087601C" w:rsidRPr="006A1EC7" w:rsidRDefault="0087601C" w:rsidP="00D56051">
            <w:pPr>
              <w:rPr>
                <w:sz w:val="13"/>
                <w:szCs w:val="13"/>
              </w:rPr>
            </w:pPr>
            <w:r w:rsidRPr="006A1EC7">
              <w:rPr>
                <w:sz w:val="13"/>
                <w:szCs w:val="13"/>
              </w:rPr>
              <w:t>EPY</w:t>
            </w:r>
          </w:p>
        </w:tc>
        <w:tc>
          <w:tcPr>
            <w:tcW w:w="476" w:type="dxa"/>
            <w:shd w:val="clear" w:color="auto" w:fill="FFFF00"/>
          </w:tcPr>
          <w:p w14:paraId="406056FD" w14:textId="77777777" w:rsidR="0087601C" w:rsidRPr="006A1EC7" w:rsidRDefault="0087601C" w:rsidP="00D56051">
            <w:pPr>
              <w:rPr>
                <w:sz w:val="13"/>
                <w:szCs w:val="13"/>
              </w:rPr>
            </w:pPr>
            <w:r w:rsidRPr="006A1EC7">
              <w:rPr>
                <w:sz w:val="13"/>
                <w:szCs w:val="13"/>
              </w:rPr>
              <w:t>0</w:t>
            </w:r>
          </w:p>
        </w:tc>
        <w:tc>
          <w:tcPr>
            <w:tcW w:w="476" w:type="dxa"/>
            <w:shd w:val="clear" w:color="auto" w:fill="FFFF00"/>
          </w:tcPr>
          <w:p w14:paraId="4AF5EE44" w14:textId="77777777" w:rsidR="0087601C" w:rsidRPr="006A1EC7" w:rsidRDefault="0087601C" w:rsidP="00D56051">
            <w:pPr>
              <w:rPr>
                <w:sz w:val="13"/>
                <w:szCs w:val="13"/>
              </w:rPr>
            </w:pPr>
            <w:r w:rsidRPr="006A1EC7">
              <w:rPr>
                <w:sz w:val="13"/>
                <w:szCs w:val="13"/>
              </w:rPr>
              <w:t>0</w:t>
            </w:r>
          </w:p>
        </w:tc>
        <w:tc>
          <w:tcPr>
            <w:tcW w:w="477" w:type="dxa"/>
          </w:tcPr>
          <w:p w14:paraId="57C2960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F03210D"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1617CFA2" w14:textId="77777777" w:rsidR="0087601C" w:rsidRPr="006A1EC7" w:rsidRDefault="0087601C" w:rsidP="00D56051">
            <w:pPr>
              <w:rPr>
                <w:sz w:val="13"/>
                <w:szCs w:val="13"/>
              </w:rPr>
            </w:pPr>
            <w:r w:rsidRPr="006A1EC7">
              <w:rPr>
                <w:sz w:val="13"/>
                <w:szCs w:val="13"/>
              </w:rPr>
              <w:t>0</w:t>
            </w:r>
          </w:p>
        </w:tc>
        <w:tc>
          <w:tcPr>
            <w:tcW w:w="458" w:type="dxa"/>
          </w:tcPr>
          <w:p w14:paraId="2A854083"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508A014" w14:textId="77777777" w:rsidR="0087601C" w:rsidRPr="006A1EC7" w:rsidRDefault="0087601C" w:rsidP="00D56051">
            <w:pPr>
              <w:rPr>
                <w:sz w:val="13"/>
                <w:szCs w:val="13"/>
              </w:rPr>
            </w:pPr>
            <w:r w:rsidRPr="006A1EC7">
              <w:rPr>
                <w:sz w:val="13"/>
                <w:szCs w:val="13"/>
              </w:rPr>
              <w:t>0</w:t>
            </w:r>
          </w:p>
        </w:tc>
        <w:tc>
          <w:tcPr>
            <w:tcW w:w="406" w:type="dxa"/>
            <w:shd w:val="clear" w:color="auto" w:fill="FFFF00"/>
          </w:tcPr>
          <w:p w14:paraId="46F20BD6" w14:textId="77777777" w:rsidR="0087601C" w:rsidRPr="006A1EC7" w:rsidRDefault="0087601C" w:rsidP="00D56051">
            <w:pPr>
              <w:rPr>
                <w:sz w:val="13"/>
                <w:szCs w:val="13"/>
              </w:rPr>
            </w:pPr>
            <w:r w:rsidRPr="006A1EC7">
              <w:rPr>
                <w:sz w:val="13"/>
                <w:szCs w:val="13"/>
              </w:rPr>
              <w:t>0</w:t>
            </w:r>
          </w:p>
        </w:tc>
        <w:tc>
          <w:tcPr>
            <w:tcW w:w="406" w:type="dxa"/>
          </w:tcPr>
          <w:p w14:paraId="4EBCF226"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41A27ABD"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114B83D2" w14:textId="77777777" w:rsidR="0087601C" w:rsidRPr="006A1EC7" w:rsidRDefault="0087601C" w:rsidP="00D56051">
            <w:pPr>
              <w:rPr>
                <w:sz w:val="13"/>
                <w:szCs w:val="13"/>
              </w:rPr>
            </w:pPr>
            <w:r w:rsidRPr="006A1EC7">
              <w:rPr>
                <w:sz w:val="13"/>
                <w:szCs w:val="13"/>
              </w:rPr>
              <w:t>100%</w:t>
            </w:r>
          </w:p>
        </w:tc>
      </w:tr>
      <w:tr w:rsidR="0087601C" w:rsidRPr="006A1EC7" w14:paraId="2CA9C5BD" w14:textId="77777777" w:rsidTr="00D56051">
        <w:tc>
          <w:tcPr>
            <w:tcW w:w="636" w:type="dxa"/>
          </w:tcPr>
          <w:p w14:paraId="1D86BD9D" w14:textId="77777777" w:rsidR="0087601C" w:rsidRPr="006A1EC7" w:rsidRDefault="0087601C" w:rsidP="00D56051">
            <w:pPr>
              <w:rPr>
                <w:sz w:val="13"/>
                <w:szCs w:val="13"/>
              </w:rPr>
            </w:pPr>
            <w:r w:rsidRPr="006A1EC7">
              <w:rPr>
                <w:sz w:val="13"/>
                <w:szCs w:val="13"/>
              </w:rPr>
              <w:t>GST</w:t>
            </w:r>
          </w:p>
        </w:tc>
        <w:tc>
          <w:tcPr>
            <w:tcW w:w="476" w:type="dxa"/>
            <w:shd w:val="clear" w:color="auto" w:fill="FFFF00"/>
          </w:tcPr>
          <w:p w14:paraId="5524F27F" w14:textId="77777777" w:rsidR="0087601C" w:rsidRPr="006A1EC7" w:rsidRDefault="0087601C" w:rsidP="00D56051">
            <w:pPr>
              <w:rPr>
                <w:sz w:val="13"/>
                <w:szCs w:val="13"/>
              </w:rPr>
            </w:pPr>
            <w:r w:rsidRPr="006A1EC7">
              <w:rPr>
                <w:sz w:val="13"/>
                <w:szCs w:val="13"/>
              </w:rPr>
              <w:t>21</w:t>
            </w:r>
          </w:p>
        </w:tc>
        <w:tc>
          <w:tcPr>
            <w:tcW w:w="476" w:type="dxa"/>
            <w:shd w:val="clear" w:color="auto" w:fill="FFFF00"/>
          </w:tcPr>
          <w:p w14:paraId="0577D067" w14:textId="77777777" w:rsidR="0087601C" w:rsidRPr="006A1EC7" w:rsidRDefault="0087601C" w:rsidP="00D56051">
            <w:pPr>
              <w:rPr>
                <w:sz w:val="13"/>
                <w:szCs w:val="13"/>
              </w:rPr>
            </w:pPr>
            <w:r w:rsidRPr="006A1EC7">
              <w:rPr>
                <w:sz w:val="13"/>
                <w:szCs w:val="13"/>
              </w:rPr>
              <w:t>21</w:t>
            </w:r>
          </w:p>
        </w:tc>
        <w:tc>
          <w:tcPr>
            <w:tcW w:w="477" w:type="dxa"/>
          </w:tcPr>
          <w:p w14:paraId="60829FD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E3BADB7" w14:textId="77777777" w:rsidR="0087601C" w:rsidRPr="006A1EC7" w:rsidRDefault="0087601C" w:rsidP="00D56051">
            <w:pPr>
              <w:rPr>
                <w:sz w:val="13"/>
                <w:szCs w:val="13"/>
              </w:rPr>
            </w:pPr>
            <w:r w:rsidRPr="006A1EC7">
              <w:rPr>
                <w:sz w:val="13"/>
                <w:szCs w:val="13"/>
              </w:rPr>
              <w:t>21</w:t>
            </w:r>
          </w:p>
        </w:tc>
        <w:tc>
          <w:tcPr>
            <w:tcW w:w="477" w:type="dxa"/>
            <w:shd w:val="clear" w:color="auto" w:fill="FFFF00"/>
          </w:tcPr>
          <w:p w14:paraId="22840373" w14:textId="77777777" w:rsidR="0087601C" w:rsidRPr="006A1EC7" w:rsidRDefault="0087601C" w:rsidP="00D56051">
            <w:pPr>
              <w:rPr>
                <w:sz w:val="13"/>
                <w:szCs w:val="13"/>
              </w:rPr>
            </w:pPr>
            <w:r w:rsidRPr="006A1EC7">
              <w:rPr>
                <w:sz w:val="13"/>
                <w:szCs w:val="13"/>
              </w:rPr>
              <w:t>21</w:t>
            </w:r>
          </w:p>
        </w:tc>
        <w:tc>
          <w:tcPr>
            <w:tcW w:w="458" w:type="dxa"/>
          </w:tcPr>
          <w:p w14:paraId="3D850E9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48CCEEE" w14:textId="77777777" w:rsidR="0087601C" w:rsidRPr="006A1EC7" w:rsidRDefault="0087601C" w:rsidP="00D56051">
            <w:pPr>
              <w:rPr>
                <w:sz w:val="13"/>
                <w:szCs w:val="13"/>
              </w:rPr>
            </w:pPr>
            <w:r w:rsidRPr="006A1EC7">
              <w:rPr>
                <w:sz w:val="13"/>
                <w:szCs w:val="13"/>
              </w:rPr>
              <w:t>21</w:t>
            </w:r>
          </w:p>
        </w:tc>
        <w:tc>
          <w:tcPr>
            <w:tcW w:w="406" w:type="dxa"/>
            <w:shd w:val="clear" w:color="auto" w:fill="FFFF00"/>
          </w:tcPr>
          <w:p w14:paraId="18EB5CC6" w14:textId="77777777" w:rsidR="0087601C" w:rsidRPr="006A1EC7" w:rsidRDefault="0087601C" w:rsidP="00D56051">
            <w:pPr>
              <w:rPr>
                <w:sz w:val="13"/>
                <w:szCs w:val="13"/>
              </w:rPr>
            </w:pPr>
            <w:r w:rsidRPr="006A1EC7">
              <w:rPr>
                <w:sz w:val="13"/>
                <w:szCs w:val="13"/>
              </w:rPr>
              <w:t>21</w:t>
            </w:r>
          </w:p>
        </w:tc>
        <w:tc>
          <w:tcPr>
            <w:tcW w:w="406" w:type="dxa"/>
          </w:tcPr>
          <w:p w14:paraId="1852E961"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3FCFF2B9"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279F7DCC" w14:textId="77777777" w:rsidR="0087601C" w:rsidRPr="006A1EC7" w:rsidRDefault="0087601C" w:rsidP="00D56051">
            <w:pPr>
              <w:rPr>
                <w:sz w:val="13"/>
                <w:szCs w:val="13"/>
              </w:rPr>
            </w:pPr>
            <w:r w:rsidRPr="006A1EC7">
              <w:rPr>
                <w:sz w:val="13"/>
                <w:szCs w:val="13"/>
              </w:rPr>
              <w:t>100%</w:t>
            </w:r>
          </w:p>
        </w:tc>
      </w:tr>
      <w:tr w:rsidR="0087601C" w:rsidRPr="006A1EC7" w14:paraId="7F302FE5" w14:textId="77777777" w:rsidTr="00D56051">
        <w:tc>
          <w:tcPr>
            <w:tcW w:w="636" w:type="dxa"/>
          </w:tcPr>
          <w:p w14:paraId="0813BA35" w14:textId="77777777" w:rsidR="0087601C" w:rsidRPr="006A1EC7" w:rsidRDefault="0087601C" w:rsidP="00D56051">
            <w:pPr>
              <w:rPr>
                <w:sz w:val="13"/>
                <w:szCs w:val="13"/>
              </w:rPr>
            </w:pPr>
            <w:r w:rsidRPr="006A1EC7">
              <w:rPr>
                <w:sz w:val="13"/>
                <w:szCs w:val="13"/>
              </w:rPr>
              <w:t>CRS</w:t>
            </w:r>
          </w:p>
        </w:tc>
        <w:tc>
          <w:tcPr>
            <w:tcW w:w="476" w:type="dxa"/>
            <w:shd w:val="clear" w:color="auto" w:fill="FFFF00"/>
          </w:tcPr>
          <w:p w14:paraId="77DB2EDC" w14:textId="77777777" w:rsidR="0087601C" w:rsidRPr="006A1EC7" w:rsidRDefault="0087601C" w:rsidP="00D56051">
            <w:pPr>
              <w:rPr>
                <w:sz w:val="13"/>
                <w:szCs w:val="13"/>
              </w:rPr>
            </w:pPr>
            <w:r w:rsidRPr="006A1EC7">
              <w:rPr>
                <w:sz w:val="13"/>
                <w:szCs w:val="13"/>
              </w:rPr>
              <w:t>5</w:t>
            </w:r>
          </w:p>
        </w:tc>
        <w:tc>
          <w:tcPr>
            <w:tcW w:w="476" w:type="dxa"/>
            <w:shd w:val="clear" w:color="auto" w:fill="FFFF00"/>
          </w:tcPr>
          <w:p w14:paraId="2EA1A330" w14:textId="77777777" w:rsidR="0087601C" w:rsidRPr="006A1EC7" w:rsidRDefault="0087601C" w:rsidP="00D56051">
            <w:pPr>
              <w:rPr>
                <w:sz w:val="13"/>
                <w:szCs w:val="13"/>
              </w:rPr>
            </w:pPr>
            <w:r w:rsidRPr="006A1EC7">
              <w:rPr>
                <w:sz w:val="13"/>
                <w:szCs w:val="13"/>
              </w:rPr>
              <w:t>5</w:t>
            </w:r>
          </w:p>
        </w:tc>
        <w:tc>
          <w:tcPr>
            <w:tcW w:w="477" w:type="dxa"/>
          </w:tcPr>
          <w:p w14:paraId="09FE264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60E5FD4" w14:textId="77777777" w:rsidR="0087601C" w:rsidRPr="006A1EC7" w:rsidRDefault="0087601C" w:rsidP="00D56051">
            <w:pPr>
              <w:rPr>
                <w:sz w:val="13"/>
                <w:szCs w:val="13"/>
              </w:rPr>
            </w:pPr>
            <w:r w:rsidRPr="006A1EC7">
              <w:rPr>
                <w:sz w:val="13"/>
                <w:szCs w:val="13"/>
              </w:rPr>
              <w:t>5</w:t>
            </w:r>
          </w:p>
        </w:tc>
        <w:tc>
          <w:tcPr>
            <w:tcW w:w="477" w:type="dxa"/>
            <w:shd w:val="clear" w:color="auto" w:fill="FFFF00"/>
          </w:tcPr>
          <w:p w14:paraId="207F4E84" w14:textId="77777777" w:rsidR="0087601C" w:rsidRPr="006A1EC7" w:rsidRDefault="0087601C" w:rsidP="00D56051">
            <w:pPr>
              <w:rPr>
                <w:sz w:val="13"/>
                <w:szCs w:val="13"/>
              </w:rPr>
            </w:pPr>
            <w:r w:rsidRPr="006A1EC7">
              <w:rPr>
                <w:sz w:val="13"/>
                <w:szCs w:val="13"/>
              </w:rPr>
              <w:t>5</w:t>
            </w:r>
          </w:p>
        </w:tc>
        <w:tc>
          <w:tcPr>
            <w:tcW w:w="458" w:type="dxa"/>
          </w:tcPr>
          <w:p w14:paraId="4EF3D33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7AFB3787" w14:textId="77777777" w:rsidR="0087601C" w:rsidRPr="006A1EC7" w:rsidRDefault="0087601C" w:rsidP="00D56051">
            <w:pPr>
              <w:rPr>
                <w:sz w:val="13"/>
                <w:szCs w:val="13"/>
              </w:rPr>
            </w:pPr>
            <w:r w:rsidRPr="006A1EC7">
              <w:rPr>
                <w:sz w:val="13"/>
                <w:szCs w:val="13"/>
              </w:rPr>
              <w:t>5</w:t>
            </w:r>
          </w:p>
        </w:tc>
        <w:tc>
          <w:tcPr>
            <w:tcW w:w="406" w:type="dxa"/>
            <w:shd w:val="clear" w:color="auto" w:fill="FFFF00"/>
          </w:tcPr>
          <w:p w14:paraId="128E1F9F" w14:textId="77777777" w:rsidR="0087601C" w:rsidRPr="006A1EC7" w:rsidRDefault="0087601C" w:rsidP="00D56051">
            <w:pPr>
              <w:rPr>
                <w:sz w:val="13"/>
                <w:szCs w:val="13"/>
              </w:rPr>
            </w:pPr>
            <w:r w:rsidRPr="006A1EC7">
              <w:rPr>
                <w:sz w:val="13"/>
                <w:szCs w:val="13"/>
              </w:rPr>
              <w:t>5</w:t>
            </w:r>
          </w:p>
        </w:tc>
        <w:tc>
          <w:tcPr>
            <w:tcW w:w="406" w:type="dxa"/>
          </w:tcPr>
          <w:p w14:paraId="715FC7B0"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027C9C3C"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01824F7D" w14:textId="77777777" w:rsidR="0087601C" w:rsidRPr="006A1EC7" w:rsidRDefault="0087601C" w:rsidP="00D56051">
            <w:pPr>
              <w:rPr>
                <w:sz w:val="13"/>
                <w:szCs w:val="13"/>
              </w:rPr>
            </w:pPr>
            <w:r w:rsidRPr="006A1EC7">
              <w:rPr>
                <w:sz w:val="13"/>
                <w:szCs w:val="13"/>
              </w:rPr>
              <w:t>100%</w:t>
            </w:r>
          </w:p>
        </w:tc>
      </w:tr>
      <w:tr w:rsidR="0087601C" w:rsidRPr="006A1EC7" w14:paraId="6AA210FA" w14:textId="77777777" w:rsidTr="00D56051">
        <w:tc>
          <w:tcPr>
            <w:tcW w:w="636" w:type="dxa"/>
          </w:tcPr>
          <w:p w14:paraId="76AA71F2" w14:textId="77777777" w:rsidR="0087601C" w:rsidRPr="006A1EC7" w:rsidRDefault="0087601C" w:rsidP="00D56051">
            <w:pPr>
              <w:rPr>
                <w:sz w:val="13"/>
                <w:szCs w:val="13"/>
              </w:rPr>
            </w:pPr>
            <w:r w:rsidRPr="006A1EC7">
              <w:rPr>
                <w:sz w:val="13"/>
                <w:szCs w:val="13"/>
              </w:rPr>
              <w:t>CNS</w:t>
            </w:r>
          </w:p>
        </w:tc>
        <w:tc>
          <w:tcPr>
            <w:tcW w:w="476" w:type="dxa"/>
            <w:shd w:val="clear" w:color="auto" w:fill="FFFF00"/>
          </w:tcPr>
          <w:p w14:paraId="03E25790" w14:textId="77777777" w:rsidR="0087601C" w:rsidRPr="006A1EC7" w:rsidRDefault="0087601C" w:rsidP="00D56051">
            <w:pPr>
              <w:rPr>
                <w:sz w:val="13"/>
                <w:szCs w:val="13"/>
              </w:rPr>
            </w:pPr>
            <w:r w:rsidRPr="006A1EC7">
              <w:rPr>
                <w:sz w:val="13"/>
                <w:szCs w:val="13"/>
              </w:rPr>
              <w:t>15</w:t>
            </w:r>
          </w:p>
        </w:tc>
        <w:tc>
          <w:tcPr>
            <w:tcW w:w="476" w:type="dxa"/>
            <w:shd w:val="clear" w:color="auto" w:fill="FFFF00"/>
          </w:tcPr>
          <w:p w14:paraId="1D45F287" w14:textId="77777777" w:rsidR="0087601C" w:rsidRPr="006A1EC7" w:rsidRDefault="0087601C" w:rsidP="00D56051">
            <w:pPr>
              <w:rPr>
                <w:sz w:val="13"/>
                <w:szCs w:val="13"/>
              </w:rPr>
            </w:pPr>
            <w:r w:rsidRPr="006A1EC7">
              <w:rPr>
                <w:sz w:val="13"/>
                <w:szCs w:val="13"/>
              </w:rPr>
              <w:t>15</w:t>
            </w:r>
          </w:p>
        </w:tc>
        <w:tc>
          <w:tcPr>
            <w:tcW w:w="477" w:type="dxa"/>
          </w:tcPr>
          <w:p w14:paraId="1F75D5E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069B9C85" w14:textId="77777777" w:rsidR="0087601C" w:rsidRPr="006A1EC7" w:rsidRDefault="0087601C" w:rsidP="00D56051">
            <w:pPr>
              <w:rPr>
                <w:sz w:val="13"/>
                <w:szCs w:val="13"/>
              </w:rPr>
            </w:pPr>
            <w:r w:rsidRPr="006A1EC7">
              <w:rPr>
                <w:sz w:val="13"/>
                <w:szCs w:val="13"/>
              </w:rPr>
              <w:t>16</w:t>
            </w:r>
          </w:p>
        </w:tc>
        <w:tc>
          <w:tcPr>
            <w:tcW w:w="477" w:type="dxa"/>
            <w:shd w:val="clear" w:color="auto" w:fill="FFFF00"/>
          </w:tcPr>
          <w:p w14:paraId="1AD04421" w14:textId="77777777" w:rsidR="0087601C" w:rsidRPr="006A1EC7" w:rsidRDefault="0087601C" w:rsidP="00D56051">
            <w:pPr>
              <w:rPr>
                <w:sz w:val="13"/>
                <w:szCs w:val="13"/>
              </w:rPr>
            </w:pPr>
            <w:r w:rsidRPr="006A1EC7">
              <w:rPr>
                <w:sz w:val="13"/>
                <w:szCs w:val="13"/>
              </w:rPr>
              <w:t>15</w:t>
            </w:r>
          </w:p>
        </w:tc>
        <w:tc>
          <w:tcPr>
            <w:tcW w:w="458" w:type="dxa"/>
          </w:tcPr>
          <w:p w14:paraId="42D2671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1CCA245E" w14:textId="77777777" w:rsidR="0087601C" w:rsidRPr="006A1EC7" w:rsidRDefault="0087601C" w:rsidP="00D56051">
            <w:pPr>
              <w:rPr>
                <w:sz w:val="13"/>
                <w:szCs w:val="13"/>
              </w:rPr>
            </w:pPr>
            <w:r w:rsidRPr="006A1EC7">
              <w:rPr>
                <w:sz w:val="13"/>
                <w:szCs w:val="13"/>
              </w:rPr>
              <w:t>14</w:t>
            </w:r>
          </w:p>
        </w:tc>
        <w:tc>
          <w:tcPr>
            <w:tcW w:w="406" w:type="dxa"/>
            <w:shd w:val="clear" w:color="auto" w:fill="FFFF00"/>
          </w:tcPr>
          <w:p w14:paraId="11E1EE69" w14:textId="77777777" w:rsidR="0087601C" w:rsidRPr="006A1EC7" w:rsidRDefault="0087601C" w:rsidP="00D56051">
            <w:pPr>
              <w:rPr>
                <w:sz w:val="13"/>
                <w:szCs w:val="13"/>
              </w:rPr>
            </w:pPr>
            <w:r w:rsidRPr="006A1EC7">
              <w:rPr>
                <w:sz w:val="13"/>
                <w:szCs w:val="13"/>
              </w:rPr>
              <w:t>14</w:t>
            </w:r>
          </w:p>
        </w:tc>
        <w:tc>
          <w:tcPr>
            <w:tcW w:w="406" w:type="dxa"/>
          </w:tcPr>
          <w:p w14:paraId="2383F7D4"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18C75703"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3261BD25" w14:textId="77777777" w:rsidR="0087601C" w:rsidRPr="006A1EC7" w:rsidRDefault="0087601C" w:rsidP="00D56051">
            <w:pPr>
              <w:rPr>
                <w:sz w:val="13"/>
                <w:szCs w:val="13"/>
              </w:rPr>
            </w:pPr>
            <w:r w:rsidRPr="006A1EC7">
              <w:rPr>
                <w:sz w:val="13"/>
                <w:szCs w:val="13"/>
              </w:rPr>
              <w:t>100%</w:t>
            </w:r>
          </w:p>
        </w:tc>
      </w:tr>
      <w:tr w:rsidR="0087601C" w:rsidRPr="006A1EC7" w14:paraId="6103E81A" w14:textId="77777777" w:rsidTr="00D56051">
        <w:tc>
          <w:tcPr>
            <w:tcW w:w="636" w:type="dxa"/>
          </w:tcPr>
          <w:p w14:paraId="66722D2C" w14:textId="77777777" w:rsidR="0087601C" w:rsidRPr="006A1EC7" w:rsidRDefault="0087601C" w:rsidP="00D56051">
            <w:pPr>
              <w:rPr>
                <w:sz w:val="13"/>
                <w:szCs w:val="13"/>
              </w:rPr>
            </w:pPr>
            <w:r w:rsidRPr="006A1EC7">
              <w:rPr>
                <w:sz w:val="13"/>
                <w:szCs w:val="13"/>
              </w:rPr>
              <w:t>FUC</w:t>
            </w:r>
          </w:p>
        </w:tc>
        <w:tc>
          <w:tcPr>
            <w:tcW w:w="476" w:type="dxa"/>
            <w:shd w:val="clear" w:color="auto" w:fill="FFFF00"/>
          </w:tcPr>
          <w:p w14:paraId="453BCF78" w14:textId="77777777" w:rsidR="0087601C" w:rsidRPr="006A1EC7" w:rsidRDefault="0087601C" w:rsidP="00D56051">
            <w:pPr>
              <w:rPr>
                <w:sz w:val="13"/>
                <w:szCs w:val="13"/>
              </w:rPr>
            </w:pPr>
            <w:r w:rsidRPr="006A1EC7">
              <w:rPr>
                <w:sz w:val="13"/>
                <w:szCs w:val="13"/>
              </w:rPr>
              <w:t>11</w:t>
            </w:r>
          </w:p>
        </w:tc>
        <w:tc>
          <w:tcPr>
            <w:tcW w:w="476" w:type="dxa"/>
            <w:shd w:val="clear" w:color="auto" w:fill="FFFF00"/>
          </w:tcPr>
          <w:p w14:paraId="22930A4F" w14:textId="77777777" w:rsidR="0087601C" w:rsidRPr="006A1EC7" w:rsidRDefault="0087601C" w:rsidP="00D56051">
            <w:pPr>
              <w:rPr>
                <w:sz w:val="13"/>
                <w:szCs w:val="13"/>
              </w:rPr>
            </w:pPr>
            <w:r w:rsidRPr="006A1EC7">
              <w:rPr>
                <w:sz w:val="13"/>
                <w:szCs w:val="13"/>
              </w:rPr>
              <w:t>11</w:t>
            </w:r>
          </w:p>
        </w:tc>
        <w:tc>
          <w:tcPr>
            <w:tcW w:w="477" w:type="dxa"/>
          </w:tcPr>
          <w:p w14:paraId="7DFF38C2"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331764B" w14:textId="77777777" w:rsidR="0087601C" w:rsidRPr="006A1EC7" w:rsidRDefault="0087601C" w:rsidP="00D56051">
            <w:pPr>
              <w:rPr>
                <w:sz w:val="13"/>
                <w:szCs w:val="13"/>
              </w:rPr>
            </w:pPr>
            <w:r w:rsidRPr="006A1EC7">
              <w:rPr>
                <w:sz w:val="13"/>
                <w:szCs w:val="13"/>
              </w:rPr>
              <w:t>10</w:t>
            </w:r>
          </w:p>
        </w:tc>
        <w:tc>
          <w:tcPr>
            <w:tcW w:w="477" w:type="dxa"/>
            <w:shd w:val="clear" w:color="auto" w:fill="FFFF00"/>
          </w:tcPr>
          <w:p w14:paraId="5B93F2FC" w14:textId="77777777" w:rsidR="0087601C" w:rsidRPr="006A1EC7" w:rsidRDefault="0087601C" w:rsidP="00D56051">
            <w:pPr>
              <w:rPr>
                <w:sz w:val="13"/>
                <w:szCs w:val="13"/>
              </w:rPr>
            </w:pPr>
            <w:r w:rsidRPr="006A1EC7">
              <w:rPr>
                <w:sz w:val="13"/>
                <w:szCs w:val="13"/>
              </w:rPr>
              <w:t>11</w:t>
            </w:r>
          </w:p>
        </w:tc>
        <w:tc>
          <w:tcPr>
            <w:tcW w:w="458" w:type="dxa"/>
          </w:tcPr>
          <w:p w14:paraId="55DDA249"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32A7A436" w14:textId="77777777" w:rsidR="0087601C" w:rsidRPr="006A1EC7" w:rsidRDefault="0087601C" w:rsidP="00D56051">
            <w:pPr>
              <w:rPr>
                <w:sz w:val="13"/>
                <w:szCs w:val="13"/>
              </w:rPr>
            </w:pPr>
            <w:r w:rsidRPr="006A1EC7">
              <w:rPr>
                <w:sz w:val="13"/>
                <w:szCs w:val="13"/>
              </w:rPr>
              <w:t>11</w:t>
            </w:r>
          </w:p>
        </w:tc>
        <w:tc>
          <w:tcPr>
            <w:tcW w:w="406" w:type="dxa"/>
            <w:shd w:val="clear" w:color="auto" w:fill="FFFF00"/>
          </w:tcPr>
          <w:p w14:paraId="64536F5A" w14:textId="77777777" w:rsidR="0087601C" w:rsidRPr="006A1EC7" w:rsidRDefault="0087601C" w:rsidP="00D56051">
            <w:pPr>
              <w:rPr>
                <w:sz w:val="13"/>
                <w:szCs w:val="13"/>
              </w:rPr>
            </w:pPr>
            <w:r w:rsidRPr="006A1EC7">
              <w:rPr>
                <w:sz w:val="13"/>
                <w:szCs w:val="13"/>
              </w:rPr>
              <w:t>11</w:t>
            </w:r>
          </w:p>
        </w:tc>
        <w:tc>
          <w:tcPr>
            <w:tcW w:w="406" w:type="dxa"/>
          </w:tcPr>
          <w:p w14:paraId="6FE3B153"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0D16B0FF"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3A90D338" w14:textId="77777777" w:rsidR="0087601C" w:rsidRPr="006A1EC7" w:rsidRDefault="0087601C" w:rsidP="00D56051">
            <w:pPr>
              <w:rPr>
                <w:sz w:val="13"/>
                <w:szCs w:val="13"/>
              </w:rPr>
            </w:pPr>
            <w:r w:rsidRPr="006A1EC7">
              <w:rPr>
                <w:sz w:val="13"/>
                <w:szCs w:val="13"/>
              </w:rPr>
              <w:t>100%</w:t>
            </w:r>
          </w:p>
        </w:tc>
      </w:tr>
      <w:tr w:rsidR="0087601C" w:rsidRPr="006A1EC7" w14:paraId="2E271C12" w14:textId="77777777" w:rsidTr="00D56051">
        <w:tc>
          <w:tcPr>
            <w:tcW w:w="636" w:type="dxa"/>
          </w:tcPr>
          <w:p w14:paraId="6DEC28B3" w14:textId="77777777" w:rsidR="0087601C" w:rsidRPr="006A1EC7" w:rsidRDefault="0087601C" w:rsidP="00D56051">
            <w:pPr>
              <w:rPr>
                <w:sz w:val="13"/>
                <w:szCs w:val="13"/>
              </w:rPr>
            </w:pPr>
            <w:r w:rsidRPr="006A1EC7">
              <w:rPr>
                <w:sz w:val="13"/>
                <w:szCs w:val="13"/>
              </w:rPr>
              <w:t>IMU</w:t>
            </w:r>
          </w:p>
        </w:tc>
        <w:tc>
          <w:tcPr>
            <w:tcW w:w="476" w:type="dxa"/>
            <w:shd w:val="clear" w:color="auto" w:fill="FFFF00"/>
          </w:tcPr>
          <w:p w14:paraId="17E25384" w14:textId="77777777" w:rsidR="0087601C" w:rsidRPr="006A1EC7" w:rsidRDefault="0087601C" w:rsidP="00D56051">
            <w:pPr>
              <w:rPr>
                <w:sz w:val="13"/>
                <w:szCs w:val="13"/>
              </w:rPr>
            </w:pPr>
            <w:r w:rsidRPr="006A1EC7">
              <w:rPr>
                <w:sz w:val="13"/>
                <w:szCs w:val="13"/>
              </w:rPr>
              <w:t>10</w:t>
            </w:r>
          </w:p>
        </w:tc>
        <w:tc>
          <w:tcPr>
            <w:tcW w:w="476" w:type="dxa"/>
            <w:shd w:val="clear" w:color="auto" w:fill="FFFF00"/>
          </w:tcPr>
          <w:p w14:paraId="60AAA56D" w14:textId="77777777" w:rsidR="0087601C" w:rsidRPr="006A1EC7" w:rsidRDefault="0087601C" w:rsidP="00D56051">
            <w:pPr>
              <w:rPr>
                <w:sz w:val="13"/>
                <w:szCs w:val="13"/>
              </w:rPr>
            </w:pPr>
            <w:r w:rsidRPr="006A1EC7">
              <w:rPr>
                <w:sz w:val="13"/>
                <w:szCs w:val="13"/>
              </w:rPr>
              <w:t>9</w:t>
            </w:r>
          </w:p>
        </w:tc>
        <w:tc>
          <w:tcPr>
            <w:tcW w:w="477" w:type="dxa"/>
          </w:tcPr>
          <w:p w14:paraId="0D99227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46CBD6DE" w14:textId="77777777" w:rsidR="0087601C" w:rsidRPr="006A1EC7" w:rsidRDefault="0087601C" w:rsidP="00D56051">
            <w:pPr>
              <w:rPr>
                <w:sz w:val="13"/>
                <w:szCs w:val="13"/>
              </w:rPr>
            </w:pPr>
            <w:r w:rsidRPr="006A1EC7">
              <w:rPr>
                <w:sz w:val="13"/>
                <w:szCs w:val="13"/>
              </w:rPr>
              <w:t>7</w:t>
            </w:r>
          </w:p>
        </w:tc>
        <w:tc>
          <w:tcPr>
            <w:tcW w:w="477" w:type="dxa"/>
            <w:shd w:val="clear" w:color="auto" w:fill="FFFF00"/>
          </w:tcPr>
          <w:p w14:paraId="14FEDFDD" w14:textId="77777777" w:rsidR="0087601C" w:rsidRPr="006A1EC7" w:rsidRDefault="0087601C" w:rsidP="00D56051">
            <w:pPr>
              <w:rPr>
                <w:sz w:val="13"/>
                <w:szCs w:val="13"/>
              </w:rPr>
            </w:pPr>
            <w:r w:rsidRPr="006A1EC7">
              <w:rPr>
                <w:sz w:val="13"/>
                <w:szCs w:val="13"/>
              </w:rPr>
              <w:t>9</w:t>
            </w:r>
          </w:p>
        </w:tc>
        <w:tc>
          <w:tcPr>
            <w:tcW w:w="458" w:type="dxa"/>
          </w:tcPr>
          <w:p w14:paraId="10DED344" w14:textId="77777777" w:rsidR="0087601C" w:rsidRPr="006A1EC7" w:rsidRDefault="0087601C" w:rsidP="00D56051">
            <w:pPr>
              <w:rPr>
                <w:sz w:val="13"/>
                <w:szCs w:val="13"/>
              </w:rPr>
            </w:pPr>
            <w:r w:rsidRPr="006A1EC7">
              <w:rPr>
                <w:sz w:val="13"/>
                <w:szCs w:val="13"/>
              </w:rPr>
              <w:t>0</w:t>
            </w:r>
          </w:p>
        </w:tc>
        <w:tc>
          <w:tcPr>
            <w:tcW w:w="477" w:type="dxa"/>
            <w:shd w:val="clear" w:color="auto" w:fill="FFFF00"/>
          </w:tcPr>
          <w:p w14:paraId="4F5B9119" w14:textId="77777777" w:rsidR="0087601C" w:rsidRPr="006A1EC7" w:rsidRDefault="0087601C" w:rsidP="00D56051">
            <w:pPr>
              <w:rPr>
                <w:sz w:val="13"/>
                <w:szCs w:val="13"/>
              </w:rPr>
            </w:pPr>
            <w:r w:rsidRPr="006A1EC7">
              <w:rPr>
                <w:sz w:val="13"/>
                <w:szCs w:val="13"/>
              </w:rPr>
              <w:t>7</w:t>
            </w:r>
          </w:p>
        </w:tc>
        <w:tc>
          <w:tcPr>
            <w:tcW w:w="406" w:type="dxa"/>
            <w:shd w:val="clear" w:color="auto" w:fill="FFFF00"/>
          </w:tcPr>
          <w:p w14:paraId="06DA4B2B" w14:textId="77777777" w:rsidR="0087601C" w:rsidRPr="006A1EC7" w:rsidRDefault="0087601C" w:rsidP="00D56051">
            <w:pPr>
              <w:rPr>
                <w:sz w:val="13"/>
                <w:szCs w:val="13"/>
              </w:rPr>
            </w:pPr>
            <w:r w:rsidRPr="006A1EC7">
              <w:rPr>
                <w:sz w:val="13"/>
                <w:szCs w:val="13"/>
              </w:rPr>
              <w:t>7</w:t>
            </w:r>
          </w:p>
        </w:tc>
        <w:tc>
          <w:tcPr>
            <w:tcW w:w="406" w:type="dxa"/>
          </w:tcPr>
          <w:p w14:paraId="7F82775A"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4B29A384" w14:textId="77777777" w:rsidR="0087601C" w:rsidRPr="006A1EC7" w:rsidRDefault="0087601C" w:rsidP="00D56051">
            <w:pPr>
              <w:rPr>
                <w:sz w:val="13"/>
                <w:szCs w:val="13"/>
              </w:rPr>
            </w:pPr>
            <w:r w:rsidRPr="006A1EC7">
              <w:rPr>
                <w:sz w:val="13"/>
                <w:szCs w:val="13"/>
              </w:rPr>
              <w:t>2/3</w:t>
            </w:r>
          </w:p>
        </w:tc>
        <w:tc>
          <w:tcPr>
            <w:tcW w:w="406" w:type="dxa"/>
            <w:shd w:val="clear" w:color="auto" w:fill="auto"/>
          </w:tcPr>
          <w:p w14:paraId="1772E77B" w14:textId="77777777" w:rsidR="0087601C" w:rsidRPr="006A1EC7" w:rsidRDefault="0087601C" w:rsidP="00D56051">
            <w:pPr>
              <w:rPr>
                <w:sz w:val="13"/>
                <w:szCs w:val="13"/>
              </w:rPr>
            </w:pPr>
            <w:r w:rsidRPr="006A1EC7">
              <w:rPr>
                <w:sz w:val="13"/>
                <w:szCs w:val="13"/>
              </w:rPr>
              <w:t>67%</w:t>
            </w:r>
          </w:p>
        </w:tc>
      </w:tr>
      <w:tr w:rsidR="0087601C" w:rsidRPr="006A1EC7" w14:paraId="157FCB2E" w14:textId="77777777" w:rsidTr="00D56051">
        <w:tc>
          <w:tcPr>
            <w:tcW w:w="636" w:type="dxa"/>
          </w:tcPr>
          <w:p w14:paraId="2D6CB5D5" w14:textId="77777777" w:rsidR="0087601C" w:rsidRPr="006A1EC7" w:rsidRDefault="0087601C" w:rsidP="00D56051">
            <w:pPr>
              <w:rPr>
                <w:sz w:val="13"/>
                <w:szCs w:val="13"/>
              </w:rPr>
            </w:pPr>
            <w:r w:rsidRPr="006A1EC7">
              <w:rPr>
                <w:sz w:val="13"/>
                <w:szCs w:val="13"/>
              </w:rPr>
              <w:t>SLP</w:t>
            </w:r>
          </w:p>
        </w:tc>
        <w:tc>
          <w:tcPr>
            <w:tcW w:w="476" w:type="dxa"/>
            <w:shd w:val="clear" w:color="auto" w:fill="FFFF00"/>
          </w:tcPr>
          <w:p w14:paraId="3E88774F" w14:textId="77777777" w:rsidR="0087601C" w:rsidRPr="006A1EC7" w:rsidRDefault="0087601C" w:rsidP="00D56051">
            <w:pPr>
              <w:rPr>
                <w:sz w:val="13"/>
                <w:szCs w:val="13"/>
              </w:rPr>
            </w:pPr>
            <w:r w:rsidRPr="006A1EC7">
              <w:rPr>
                <w:sz w:val="13"/>
                <w:szCs w:val="13"/>
              </w:rPr>
              <w:t>3</w:t>
            </w:r>
          </w:p>
        </w:tc>
        <w:tc>
          <w:tcPr>
            <w:tcW w:w="476" w:type="dxa"/>
            <w:shd w:val="clear" w:color="auto" w:fill="FFFF00"/>
          </w:tcPr>
          <w:p w14:paraId="1455DDC1" w14:textId="77777777" w:rsidR="0087601C" w:rsidRPr="006A1EC7" w:rsidRDefault="0087601C" w:rsidP="00D56051">
            <w:pPr>
              <w:rPr>
                <w:sz w:val="13"/>
                <w:szCs w:val="13"/>
              </w:rPr>
            </w:pPr>
            <w:r w:rsidRPr="006A1EC7">
              <w:rPr>
                <w:sz w:val="13"/>
                <w:szCs w:val="13"/>
              </w:rPr>
              <w:t>3</w:t>
            </w:r>
          </w:p>
        </w:tc>
        <w:tc>
          <w:tcPr>
            <w:tcW w:w="477" w:type="dxa"/>
          </w:tcPr>
          <w:p w14:paraId="3D28F69A"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7894257" w14:textId="77777777" w:rsidR="0087601C" w:rsidRPr="006A1EC7" w:rsidRDefault="0087601C" w:rsidP="00D56051">
            <w:pPr>
              <w:rPr>
                <w:sz w:val="13"/>
                <w:szCs w:val="13"/>
              </w:rPr>
            </w:pPr>
            <w:r w:rsidRPr="006A1EC7">
              <w:rPr>
                <w:sz w:val="13"/>
                <w:szCs w:val="13"/>
              </w:rPr>
              <w:t>3</w:t>
            </w:r>
          </w:p>
        </w:tc>
        <w:tc>
          <w:tcPr>
            <w:tcW w:w="477" w:type="dxa"/>
            <w:shd w:val="clear" w:color="auto" w:fill="FFFF00"/>
          </w:tcPr>
          <w:p w14:paraId="17C2FFFD" w14:textId="77777777" w:rsidR="0087601C" w:rsidRPr="006A1EC7" w:rsidRDefault="0087601C" w:rsidP="00D56051">
            <w:pPr>
              <w:rPr>
                <w:sz w:val="13"/>
                <w:szCs w:val="13"/>
              </w:rPr>
            </w:pPr>
            <w:r w:rsidRPr="006A1EC7">
              <w:rPr>
                <w:sz w:val="13"/>
                <w:szCs w:val="13"/>
              </w:rPr>
              <w:t>3</w:t>
            </w:r>
          </w:p>
        </w:tc>
        <w:tc>
          <w:tcPr>
            <w:tcW w:w="458" w:type="dxa"/>
          </w:tcPr>
          <w:p w14:paraId="2EE35478"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22C44FA" w14:textId="77777777" w:rsidR="0087601C" w:rsidRPr="006A1EC7" w:rsidRDefault="0087601C" w:rsidP="00D56051">
            <w:pPr>
              <w:rPr>
                <w:sz w:val="13"/>
                <w:szCs w:val="13"/>
              </w:rPr>
            </w:pPr>
            <w:r w:rsidRPr="006A1EC7">
              <w:rPr>
                <w:sz w:val="13"/>
                <w:szCs w:val="13"/>
              </w:rPr>
              <w:t>3</w:t>
            </w:r>
          </w:p>
        </w:tc>
        <w:tc>
          <w:tcPr>
            <w:tcW w:w="406" w:type="dxa"/>
            <w:shd w:val="clear" w:color="auto" w:fill="FFFF00"/>
          </w:tcPr>
          <w:p w14:paraId="575F0C4D" w14:textId="77777777" w:rsidR="0087601C" w:rsidRPr="006A1EC7" w:rsidRDefault="0087601C" w:rsidP="00D56051">
            <w:pPr>
              <w:rPr>
                <w:sz w:val="13"/>
                <w:szCs w:val="13"/>
              </w:rPr>
            </w:pPr>
            <w:r w:rsidRPr="006A1EC7">
              <w:rPr>
                <w:sz w:val="13"/>
                <w:szCs w:val="13"/>
              </w:rPr>
              <w:t>3</w:t>
            </w:r>
          </w:p>
        </w:tc>
        <w:tc>
          <w:tcPr>
            <w:tcW w:w="406" w:type="dxa"/>
          </w:tcPr>
          <w:p w14:paraId="7467CBDF"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4D052B6A"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5A5F4FA8" w14:textId="77777777" w:rsidR="0087601C" w:rsidRPr="006A1EC7" w:rsidRDefault="0087601C" w:rsidP="00D56051">
            <w:pPr>
              <w:rPr>
                <w:sz w:val="13"/>
                <w:szCs w:val="13"/>
              </w:rPr>
            </w:pPr>
            <w:r w:rsidRPr="006A1EC7">
              <w:rPr>
                <w:sz w:val="13"/>
                <w:szCs w:val="13"/>
              </w:rPr>
              <w:t>100%</w:t>
            </w:r>
          </w:p>
        </w:tc>
      </w:tr>
      <w:tr w:rsidR="0087601C" w:rsidRPr="006A1EC7" w14:paraId="66E5762E" w14:textId="77777777" w:rsidTr="00D56051">
        <w:tc>
          <w:tcPr>
            <w:tcW w:w="636" w:type="dxa"/>
          </w:tcPr>
          <w:p w14:paraId="62A273CF" w14:textId="77777777" w:rsidR="0087601C" w:rsidRPr="006A1EC7" w:rsidRDefault="0087601C" w:rsidP="00D56051">
            <w:pPr>
              <w:rPr>
                <w:sz w:val="13"/>
                <w:szCs w:val="13"/>
              </w:rPr>
            </w:pPr>
            <w:r w:rsidRPr="006A1EC7">
              <w:rPr>
                <w:sz w:val="13"/>
                <w:szCs w:val="13"/>
              </w:rPr>
              <w:t>CRE</w:t>
            </w:r>
          </w:p>
        </w:tc>
        <w:tc>
          <w:tcPr>
            <w:tcW w:w="476" w:type="dxa"/>
            <w:shd w:val="clear" w:color="auto" w:fill="FFFF00"/>
          </w:tcPr>
          <w:p w14:paraId="0D41ACB6" w14:textId="77777777" w:rsidR="0087601C" w:rsidRPr="006A1EC7" w:rsidRDefault="0087601C" w:rsidP="00D56051">
            <w:pPr>
              <w:rPr>
                <w:sz w:val="13"/>
                <w:szCs w:val="13"/>
              </w:rPr>
            </w:pPr>
            <w:r w:rsidRPr="006A1EC7">
              <w:rPr>
                <w:sz w:val="13"/>
                <w:szCs w:val="13"/>
              </w:rPr>
              <w:t>1</w:t>
            </w:r>
          </w:p>
        </w:tc>
        <w:tc>
          <w:tcPr>
            <w:tcW w:w="476" w:type="dxa"/>
            <w:shd w:val="clear" w:color="auto" w:fill="FFFF00"/>
          </w:tcPr>
          <w:p w14:paraId="2B8B73CC" w14:textId="77777777" w:rsidR="0087601C" w:rsidRPr="006A1EC7" w:rsidRDefault="0087601C" w:rsidP="00D56051">
            <w:pPr>
              <w:rPr>
                <w:sz w:val="13"/>
                <w:szCs w:val="13"/>
              </w:rPr>
            </w:pPr>
            <w:r w:rsidRPr="006A1EC7">
              <w:rPr>
                <w:sz w:val="13"/>
                <w:szCs w:val="13"/>
              </w:rPr>
              <w:t>1</w:t>
            </w:r>
          </w:p>
        </w:tc>
        <w:tc>
          <w:tcPr>
            <w:tcW w:w="477" w:type="dxa"/>
          </w:tcPr>
          <w:p w14:paraId="1FE61CFF"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9F32BD7"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60E5C2B3" w14:textId="77777777" w:rsidR="0087601C" w:rsidRPr="006A1EC7" w:rsidRDefault="0087601C" w:rsidP="00D56051">
            <w:pPr>
              <w:rPr>
                <w:sz w:val="13"/>
                <w:szCs w:val="13"/>
              </w:rPr>
            </w:pPr>
            <w:r w:rsidRPr="006A1EC7">
              <w:rPr>
                <w:sz w:val="13"/>
                <w:szCs w:val="13"/>
              </w:rPr>
              <w:t>1</w:t>
            </w:r>
          </w:p>
        </w:tc>
        <w:tc>
          <w:tcPr>
            <w:tcW w:w="458" w:type="dxa"/>
          </w:tcPr>
          <w:p w14:paraId="696B46EF"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38D2CF8" w14:textId="77777777" w:rsidR="0087601C" w:rsidRPr="006A1EC7" w:rsidRDefault="0087601C" w:rsidP="00D56051">
            <w:pPr>
              <w:rPr>
                <w:sz w:val="13"/>
                <w:szCs w:val="13"/>
              </w:rPr>
            </w:pPr>
            <w:r w:rsidRPr="006A1EC7">
              <w:rPr>
                <w:sz w:val="13"/>
                <w:szCs w:val="13"/>
              </w:rPr>
              <w:t>1</w:t>
            </w:r>
          </w:p>
        </w:tc>
        <w:tc>
          <w:tcPr>
            <w:tcW w:w="406" w:type="dxa"/>
            <w:shd w:val="clear" w:color="auto" w:fill="FFFF00"/>
          </w:tcPr>
          <w:p w14:paraId="6A030061" w14:textId="77777777" w:rsidR="0087601C" w:rsidRPr="006A1EC7" w:rsidRDefault="0087601C" w:rsidP="00D56051">
            <w:pPr>
              <w:rPr>
                <w:sz w:val="13"/>
                <w:szCs w:val="13"/>
              </w:rPr>
            </w:pPr>
            <w:r w:rsidRPr="006A1EC7">
              <w:rPr>
                <w:sz w:val="13"/>
                <w:szCs w:val="13"/>
              </w:rPr>
              <w:t>1</w:t>
            </w:r>
          </w:p>
        </w:tc>
        <w:tc>
          <w:tcPr>
            <w:tcW w:w="406" w:type="dxa"/>
          </w:tcPr>
          <w:p w14:paraId="103284B9"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7D1A6DDE"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79F5D47B" w14:textId="77777777" w:rsidR="0087601C" w:rsidRPr="006A1EC7" w:rsidRDefault="0087601C" w:rsidP="00D56051">
            <w:pPr>
              <w:rPr>
                <w:sz w:val="13"/>
                <w:szCs w:val="13"/>
              </w:rPr>
            </w:pPr>
            <w:r w:rsidRPr="006A1EC7">
              <w:rPr>
                <w:sz w:val="13"/>
                <w:szCs w:val="13"/>
              </w:rPr>
              <w:t>100%</w:t>
            </w:r>
          </w:p>
        </w:tc>
      </w:tr>
      <w:tr w:rsidR="0087601C" w:rsidRPr="006A1EC7" w14:paraId="78212E26" w14:textId="77777777" w:rsidTr="00D56051">
        <w:tc>
          <w:tcPr>
            <w:tcW w:w="636" w:type="dxa"/>
          </w:tcPr>
          <w:p w14:paraId="0BF3BA86" w14:textId="77777777" w:rsidR="0087601C" w:rsidRPr="006A1EC7" w:rsidRDefault="0087601C" w:rsidP="00D56051">
            <w:pPr>
              <w:rPr>
                <w:sz w:val="13"/>
                <w:szCs w:val="13"/>
              </w:rPr>
            </w:pPr>
            <w:r w:rsidRPr="006A1EC7">
              <w:rPr>
                <w:sz w:val="13"/>
                <w:szCs w:val="13"/>
              </w:rPr>
              <w:t>TTL</w:t>
            </w:r>
          </w:p>
        </w:tc>
        <w:tc>
          <w:tcPr>
            <w:tcW w:w="476" w:type="dxa"/>
            <w:shd w:val="clear" w:color="auto" w:fill="FFFF00"/>
          </w:tcPr>
          <w:p w14:paraId="20476B2B" w14:textId="77777777" w:rsidR="0087601C" w:rsidRPr="006A1EC7" w:rsidRDefault="0087601C" w:rsidP="00D56051">
            <w:pPr>
              <w:rPr>
                <w:sz w:val="13"/>
                <w:szCs w:val="13"/>
              </w:rPr>
            </w:pPr>
            <w:r w:rsidRPr="006A1EC7">
              <w:rPr>
                <w:sz w:val="13"/>
                <w:szCs w:val="13"/>
              </w:rPr>
              <w:t>69</w:t>
            </w:r>
          </w:p>
        </w:tc>
        <w:tc>
          <w:tcPr>
            <w:tcW w:w="476" w:type="dxa"/>
            <w:shd w:val="clear" w:color="auto" w:fill="FFFF00"/>
          </w:tcPr>
          <w:p w14:paraId="6EE704D8" w14:textId="77777777" w:rsidR="0087601C" w:rsidRPr="006A1EC7" w:rsidRDefault="0087601C" w:rsidP="00D56051">
            <w:pPr>
              <w:rPr>
                <w:sz w:val="13"/>
                <w:szCs w:val="13"/>
              </w:rPr>
            </w:pPr>
            <w:r w:rsidRPr="006A1EC7">
              <w:rPr>
                <w:sz w:val="13"/>
                <w:szCs w:val="13"/>
              </w:rPr>
              <w:t>68</w:t>
            </w:r>
          </w:p>
        </w:tc>
        <w:tc>
          <w:tcPr>
            <w:tcW w:w="477" w:type="dxa"/>
          </w:tcPr>
          <w:p w14:paraId="2FB1C376"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51A45C69" w14:textId="77777777" w:rsidR="0087601C" w:rsidRPr="006A1EC7" w:rsidRDefault="0087601C" w:rsidP="00D56051">
            <w:pPr>
              <w:rPr>
                <w:sz w:val="13"/>
                <w:szCs w:val="13"/>
              </w:rPr>
            </w:pPr>
            <w:r w:rsidRPr="006A1EC7">
              <w:rPr>
                <w:sz w:val="13"/>
                <w:szCs w:val="13"/>
              </w:rPr>
              <w:t>67</w:t>
            </w:r>
          </w:p>
        </w:tc>
        <w:tc>
          <w:tcPr>
            <w:tcW w:w="477" w:type="dxa"/>
            <w:shd w:val="clear" w:color="auto" w:fill="FFFF00"/>
          </w:tcPr>
          <w:p w14:paraId="2979FA1E" w14:textId="77777777" w:rsidR="0087601C" w:rsidRPr="006A1EC7" w:rsidRDefault="0087601C" w:rsidP="00D56051">
            <w:pPr>
              <w:rPr>
                <w:sz w:val="13"/>
                <w:szCs w:val="13"/>
              </w:rPr>
            </w:pPr>
            <w:r w:rsidRPr="006A1EC7">
              <w:rPr>
                <w:sz w:val="13"/>
                <w:szCs w:val="13"/>
              </w:rPr>
              <w:t>68</w:t>
            </w:r>
          </w:p>
        </w:tc>
        <w:tc>
          <w:tcPr>
            <w:tcW w:w="458" w:type="dxa"/>
          </w:tcPr>
          <w:p w14:paraId="477D1FCC" w14:textId="77777777" w:rsidR="0087601C" w:rsidRPr="006A1EC7" w:rsidRDefault="0087601C" w:rsidP="00D56051">
            <w:pPr>
              <w:rPr>
                <w:sz w:val="13"/>
                <w:szCs w:val="13"/>
              </w:rPr>
            </w:pPr>
            <w:r w:rsidRPr="006A1EC7">
              <w:rPr>
                <w:sz w:val="13"/>
                <w:szCs w:val="13"/>
              </w:rPr>
              <w:t>1</w:t>
            </w:r>
          </w:p>
        </w:tc>
        <w:tc>
          <w:tcPr>
            <w:tcW w:w="477" w:type="dxa"/>
            <w:shd w:val="clear" w:color="auto" w:fill="FFFF00"/>
          </w:tcPr>
          <w:p w14:paraId="2639B937" w14:textId="77777777" w:rsidR="0087601C" w:rsidRPr="006A1EC7" w:rsidRDefault="0087601C" w:rsidP="00D56051">
            <w:pPr>
              <w:rPr>
                <w:sz w:val="13"/>
                <w:szCs w:val="13"/>
              </w:rPr>
            </w:pPr>
            <w:r w:rsidRPr="006A1EC7">
              <w:rPr>
                <w:sz w:val="13"/>
                <w:szCs w:val="13"/>
              </w:rPr>
              <w:t>66</w:t>
            </w:r>
          </w:p>
        </w:tc>
        <w:tc>
          <w:tcPr>
            <w:tcW w:w="406" w:type="dxa"/>
            <w:shd w:val="clear" w:color="auto" w:fill="FFFF00"/>
          </w:tcPr>
          <w:p w14:paraId="0F83403C" w14:textId="77777777" w:rsidR="0087601C" w:rsidRPr="006A1EC7" w:rsidRDefault="0087601C" w:rsidP="00D56051">
            <w:pPr>
              <w:rPr>
                <w:sz w:val="13"/>
                <w:szCs w:val="13"/>
              </w:rPr>
            </w:pPr>
            <w:r w:rsidRPr="006A1EC7">
              <w:rPr>
                <w:sz w:val="13"/>
                <w:szCs w:val="13"/>
              </w:rPr>
              <w:t>66</w:t>
            </w:r>
          </w:p>
        </w:tc>
        <w:tc>
          <w:tcPr>
            <w:tcW w:w="406" w:type="dxa"/>
          </w:tcPr>
          <w:p w14:paraId="3943FBB0" w14:textId="77777777" w:rsidR="0087601C" w:rsidRPr="006A1EC7" w:rsidRDefault="0087601C" w:rsidP="00D56051">
            <w:pPr>
              <w:rPr>
                <w:sz w:val="13"/>
                <w:szCs w:val="13"/>
              </w:rPr>
            </w:pPr>
            <w:r w:rsidRPr="006A1EC7">
              <w:rPr>
                <w:sz w:val="13"/>
                <w:szCs w:val="13"/>
              </w:rPr>
              <w:t>1</w:t>
            </w:r>
          </w:p>
        </w:tc>
        <w:tc>
          <w:tcPr>
            <w:tcW w:w="406" w:type="dxa"/>
            <w:shd w:val="clear" w:color="auto" w:fill="auto"/>
          </w:tcPr>
          <w:p w14:paraId="001B6A21" w14:textId="77777777" w:rsidR="0087601C" w:rsidRPr="006A1EC7" w:rsidRDefault="0087601C" w:rsidP="00D56051">
            <w:pPr>
              <w:rPr>
                <w:sz w:val="13"/>
                <w:szCs w:val="13"/>
              </w:rPr>
            </w:pPr>
            <w:r w:rsidRPr="006A1EC7">
              <w:rPr>
                <w:sz w:val="13"/>
                <w:szCs w:val="13"/>
              </w:rPr>
              <w:t>3/3</w:t>
            </w:r>
          </w:p>
        </w:tc>
        <w:tc>
          <w:tcPr>
            <w:tcW w:w="406" w:type="dxa"/>
            <w:shd w:val="clear" w:color="auto" w:fill="auto"/>
          </w:tcPr>
          <w:p w14:paraId="36C329A3" w14:textId="77777777" w:rsidR="0087601C" w:rsidRPr="006A1EC7" w:rsidRDefault="0087601C" w:rsidP="00D56051">
            <w:pPr>
              <w:rPr>
                <w:sz w:val="13"/>
                <w:szCs w:val="13"/>
              </w:rPr>
            </w:pPr>
            <w:r w:rsidRPr="006A1EC7">
              <w:rPr>
                <w:sz w:val="13"/>
                <w:szCs w:val="13"/>
              </w:rPr>
              <w:t>100%</w:t>
            </w:r>
          </w:p>
        </w:tc>
      </w:tr>
      <w:tr w:rsidR="0087601C" w:rsidRPr="006A1EC7" w14:paraId="1E99DDBB" w14:textId="77777777" w:rsidTr="00D56051">
        <w:tc>
          <w:tcPr>
            <w:tcW w:w="636" w:type="dxa"/>
          </w:tcPr>
          <w:p w14:paraId="2BF47186" w14:textId="77777777" w:rsidR="0087601C" w:rsidRPr="006A1EC7" w:rsidRDefault="0087601C" w:rsidP="00D56051">
            <w:pPr>
              <w:rPr>
                <w:sz w:val="13"/>
                <w:szCs w:val="13"/>
              </w:rPr>
            </w:pPr>
            <w:r w:rsidRPr="006A1EC7">
              <w:rPr>
                <w:sz w:val="13"/>
                <w:szCs w:val="13"/>
              </w:rPr>
              <w:t>Percent agreement (%)</w:t>
            </w:r>
          </w:p>
        </w:tc>
        <w:tc>
          <w:tcPr>
            <w:tcW w:w="476" w:type="dxa"/>
            <w:shd w:val="clear" w:color="auto" w:fill="FFFF00"/>
          </w:tcPr>
          <w:p w14:paraId="5BB3F61F" w14:textId="77777777" w:rsidR="0087601C" w:rsidRPr="006A1EC7" w:rsidRDefault="0087601C" w:rsidP="00D56051">
            <w:pPr>
              <w:rPr>
                <w:sz w:val="13"/>
                <w:szCs w:val="13"/>
              </w:rPr>
            </w:pPr>
          </w:p>
        </w:tc>
        <w:tc>
          <w:tcPr>
            <w:tcW w:w="476" w:type="dxa"/>
            <w:shd w:val="clear" w:color="auto" w:fill="FFFF00"/>
          </w:tcPr>
          <w:p w14:paraId="21F5F84D" w14:textId="77777777" w:rsidR="0087601C" w:rsidRPr="006A1EC7" w:rsidRDefault="0087601C" w:rsidP="00D56051">
            <w:pPr>
              <w:rPr>
                <w:sz w:val="13"/>
                <w:szCs w:val="13"/>
              </w:rPr>
            </w:pPr>
          </w:p>
        </w:tc>
        <w:tc>
          <w:tcPr>
            <w:tcW w:w="477" w:type="dxa"/>
          </w:tcPr>
          <w:p w14:paraId="7443712B" w14:textId="77777777" w:rsidR="0087601C" w:rsidRPr="006A1EC7" w:rsidRDefault="0087601C" w:rsidP="00D56051">
            <w:pPr>
              <w:rPr>
                <w:sz w:val="13"/>
                <w:szCs w:val="13"/>
              </w:rPr>
            </w:pPr>
            <w:r w:rsidRPr="006A1EC7">
              <w:rPr>
                <w:sz w:val="13"/>
                <w:szCs w:val="13"/>
              </w:rPr>
              <w:t>100</w:t>
            </w:r>
          </w:p>
        </w:tc>
        <w:tc>
          <w:tcPr>
            <w:tcW w:w="477" w:type="dxa"/>
            <w:shd w:val="clear" w:color="auto" w:fill="FFFF00"/>
          </w:tcPr>
          <w:p w14:paraId="5A597E99" w14:textId="77777777" w:rsidR="0087601C" w:rsidRPr="006A1EC7" w:rsidRDefault="0087601C" w:rsidP="00D56051">
            <w:pPr>
              <w:rPr>
                <w:sz w:val="13"/>
                <w:szCs w:val="13"/>
              </w:rPr>
            </w:pPr>
          </w:p>
        </w:tc>
        <w:tc>
          <w:tcPr>
            <w:tcW w:w="477" w:type="dxa"/>
            <w:shd w:val="clear" w:color="auto" w:fill="FFFF00"/>
          </w:tcPr>
          <w:p w14:paraId="365A96B7" w14:textId="77777777" w:rsidR="0087601C" w:rsidRPr="006A1EC7" w:rsidRDefault="0087601C" w:rsidP="00D56051">
            <w:pPr>
              <w:rPr>
                <w:sz w:val="13"/>
                <w:szCs w:val="13"/>
              </w:rPr>
            </w:pPr>
          </w:p>
        </w:tc>
        <w:tc>
          <w:tcPr>
            <w:tcW w:w="458" w:type="dxa"/>
          </w:tcPr>
          <w:p w14:paraId="4C54A9DF" w14:textId="77777777" w:rsidR="0087601C" w:rsidRPr="006A1EC7" w:rsidRDefault="0087601C" w:rsidP="00D56051">
            <w:pPr>
              <w:rPr>
                <w:sz w:val="13"/>
                <w:szCs w:val="13"/>
              </w:rPr>
            </w:pPr>
            <w:r w:rsidRPr="006A1EC7">
              <w:rPr>
                <w:sz w:val="13"/>
                <w:szCs w:val="13"/>
              </w:rPr>
              <w:t>90</w:t>
            </w:r>
          </w:p>
        </w:tc>
        <w:tc>
          <w:tcPr>
            <w:tcW w:w="477" w:type="dxa"/>
            <w:shd w:val="clear" w:color="auto" w:fill="FFFF00"/>
          </w:tcPr>
          <w:p w14:paraId="67059D1C" w14:textId="77777777" w:rsidR="0087601C" w:rsidRPr="006A1EC7" w:rsidRDefault="0087601C" w:rsidP="00D56051">
            <w:pPr>
              <w:rPr>
                <w:sz w:val="13"/>
                <w:szCs w:val="13"/>
              </w:rPr>
            </w:pPr>
          </w:p>
        </w:tc>
        <w:tc>
          <w:tcPr>
            <w:tcW w:w="406" w:type="dxa"/>
            <w:shd w:val="clear" w:color="auto" w:fill="FFFF00"/>
          </w:tcPr>
          <w:p w14:paraId="5D6937DA" w14:textId="77777777" w:rsidR="0087601C" w:rsidRPr="006A1EC7" w:rsidRDefault="0087601C" w:rsidP="00D56051">
            <w:pPr>
              <w:rPr>
                <w:sz w:val="13"/>
                <w:szCs w:val="13"/>
              </w:rPr>
            </w:pPr>
          </w:p>
        </w:tc>
        <w:tc>
          <w:tcPr>
            <w:tcW w:w="406" w:type="dxa"/>
          </w:tcPr>
          <w:p w14:paraId="289089A0" w14:textId="77777777" w:rsidR="0087601C" w:rsidRPr="006A1EC7" w:rsidRDefault="0087601C" w:rsidP="00D56051">
            <w:pPr>
              <w:rPr>
                <w:sz w:val="13"/>
                <w:szCs w:val="13"/>
              </w:rPr>
            </w:pPr>
            <w:r w:rsidRPr="006A1EC7">
              <w:rPr>
                <w:sz w:val="13"/>
                <w:szCs w:val="13"/>
              </w:rPr>
              <w:t>100</w:t>
            </w:r>
          </w:p>
        </w:tc>
        <w:tc>
          <w:tcPr>
            <w:tcW w:w="406" w:type="dxa"/>
            <w:shd w:val="clear" w:color="auto" w:fill="auto"/>
          </w:tcPr>
          <w:p w14:paraId="4BFC9A63" w14:textId="77777777" w:rsidR="0087601C" w:rsidRPr="006A1EC7" w:rsidRDefault="0087601C" w:rsidP="00D56051">
            <w:pPr>
              <w:rPr>
                <w:sz w:val="13"/>
                <w:szCs w:val="13"/>
              </w:rPr>
            </w:pPr>
          </w:p>
        </w:tc>
        <w:tc>
          <w:tcPr>
            <w:tcW w:w="406" w:type="dxa"/>
            <w:shd w:val="clear" w:color="auto" w:fill="auto"/>
          </w:tcPr>
          <w:p w14:paraId="34BBAAF2" w14:textId="77777777" w:rsidR="0087601C" w:rsidRPr="006A1EC7" w:rsidRDefault="0087601C" w:rsidP="00D56051">
            <w:pPr>
              <w:rPr>
                <w:sz w:val="13"/>
                <w:szCs w:val="13"/>
              </w:rPr>
            </w:pPr>
          </w:p>
        </w:tc>
      </w:tr>
    </w:tbl>
    <w:p w14:paraId="0FDC2448" w14:textId="77777777" w:rsidR="0087601C" w:rsidRPr="006A1EC7" w:rsidRDefault="0087601C" w:rsidP="0087601C">
      <w:pPr>
        <w:rPr>
          <w:b/>
          <w:bCs/>
          <w:sz w:val="13"/>
          <w:szCs w:val="13"/>
        </w:rPr>
      </w:pPr>
    </w:p>
    <w:p w14:paraId="0B688D5D" w14:textId="77777777" w:rsidR="0087601C" w:rsidRPr="006A1EC7" w:rsidRDefault="0087601C" w:rsidP="0087601C"/>
    <w:p w14:paraId="4503ECE5" w14:textId="77777777" w:rsidR="0087601C" w:rsidRPr="006A1EC7" w:rsidRDefault="0087601C" w:rsidP="0087601C"/>
    <w:p w14:paraId="42A3EB4D" w14:textId="77777777" w:rsidR="0087601C" w:rsidRPr="006A1EC7" w:rsidRDefault="0087601C" w:rsidP="0087601C"/>
    <w:p w14:paraId="2586C835" w14:textId="77777777" w:rsidR="0087601C" w:rsidRPr="006A1EC7" w:rsidRDefault="0087601C" w:rsidP="0087601C"/>
    <w:p w14:paraId="3EBB6DEC" w14:textId="77777777" w:rsidR="0087601C" w:rsidRPr="006A1EC7" w:rsidRDefault="0087601C" w:rsidP="0087601C"/>
    <w:p w14:paraId="3774DA51" w14:textId="77777777" w:rsidR="0087601C" w:rsidRPr="006A1EC7" w:rsidRDefault="0087601C" w:rsidP="0087601C"/>
    <w:p w14:paraId="18E81844" w14:textId="77777777" w:rsidR="0087601C" w:rsidRPr="006A1EC7" w:rsidRDefault="0087601C" w:rsidP="0087601C"/>
    <w:p w14:paraId="1AF79D15" w14:textId="77777777" w:rsidR="0087601C" w:rsidRPr="006A1EC7" w:rsidRDefault="0087601C" w:rsidP="0087601C">
      <w:pPr>
        <w:sectPr w:rsidR="0087601C" w:rsidRPr="006A1EC7" w:rsidSect="00D56051">
          <w:type w:val="nextColumn"/>
          <w:pgSz w:w="15840" w:h="12240" w:orient="landscape"/>
          <w:pgMar w:top="1440" w:right="1701" w:bottom="1440" w:left="1701" w:header="708" w:footer="708" w:gutter="0"/>
          <w:cols w:space="708"/>
          <w:docGrid w:linePitch="360"/>
        </w:sectPr>
      </w:pPr>
    </w:p>
    <w:p w14:paraId="2851E0D5" w14:textId="577F86B3" w:rsidR="0087601C" w:rsidRPr="006A1EC7" w:rsidRDefault="0087601C" w:rsidP="0087601C">
      <w:pPr>
        <w:pStyle w:val="Heading4"/>
        <w:rPr>
          <w:rFonts w:ascii="Times New Roman" w:hAnsi="Times New Roman" w:cs="Times New Roman"/>
        </w:rPr>
      </w:pPr>
      <w:bookmarkStart w:id="332" w:name="_Toc38821501"/>
      <w:r w:rsidRPr="006A1EC7">
        <w:rPr>
          <w:rFonts w:ascii="Times New Roman" w:hAnsi="Times New Roman" w:cs="Times New Roman"/>
        </w:rPr>
        <w:lastRenderedPageBreak/>
        <w:t>Appendix 7.10: Hypothesis testing</w:t>
      </w:r>
      <w:bookmarkEnd w:id="327"/>
      <w:bookmarkEnd w:id="332"/>
      <w:r w:rsidRPr="006A1EC7">
        <w:rPr>
          <w:rFonts w:ascii="Times New Roman" w:hAnsi="Times New Roman" w:cs="Times New Roman"/>
        </w:rPr>
        <w:br/>
      </w:r>
    </w:p>
    <w:p w14:paraId="682B19AD" w14:textId="038D1C33" w:rsidR="0087601C" w:rsidRPr="006A1EC7" w:rsidRDefault="0087601C" w:rsidP="0087601C">
      <w:pPr>
        <w:pStyle w:val="Heading4"/>
        <w:rPr>
          <w:rFonts w:ascii="Times New Roman" w:hAnsi="Times New Roman" w:cs="Times New Roman"/>
        </w:rPr>
      </w:pPr>
      <w:bookmarkStart w:id="333" w:name="_Toc38821503"/>
      <w:r w:rsidRPr="006A1EC7">
        <w:rPr>
          <w:rFonts w:ascii="Times New Roman" w:hAnsi="Times New Roman" w:cs="Times New Roman"/>
        </w:rPr>
        <w:t>Appendix 7.10A: One-way ANOVA to investigate differences in ratings for between consultants/registrars and less qualified medical professionals; plus corresponding boxplot</w:t>
      </w:r>
      <w:bookmarkEnd w:id="333"/>
    </w:p>
    <w:p w14:paraId="5884FAEE" w14:textId="77777777" w:rsidR="0087601C" w:rsidRPr="006A1EC7" w:rsidRDefault="0087601C" w:rsidP="0087601C"/>
    <w:p w14:paraId="009B6AAF" w14:textId="77777777" w:rsidR="0087601C" w:rsidRPr="006A1EC7" w:rsidRDefault="0087601C" w:rsidP="0087601C">
      <w:r w:rsidRPr="006A1EC7">
        <w:rPr>
          <w:noProof/>
          <w:lang w:eastAsia="en-GB"/>
        </w:rPr>
        <w:drawing>
          <wp:inline distT="0" distB="0" distL="0" distR="0" wp14:anchorId="39AB89EF" wp14:editId="04D75E6F">
            <wp:extent cx="4500748" cy="4816370"/>
            <wp:effectExtent l="0" t="0" r="0" b="3810"/>
            <wp:docPr id="39" name="Picture 3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05811" cy="4821788"/>
                    </a:xfrm>
                    <a:prstGeom prst="rect">
                      <a:avLst/>
                    </a:prstGeom>
                  </pic:spPr>
                </pic:pic>
              </a:graphicData>
            </a:graphic>
          </wp:inline>
        </w:drawing>
      </w:r>
    </w:p>
    <w:p w14:paraId="65587677" w14:textId="77777777" w:rsidR="0087601C" w:rsidRPr="006A1EC7" w:rsidRDefault="0087601C" w:rsidP="0087601C"/>
    <w:p w14:paraId="0DC5AA99" w14:textId="77777777" w:rsidR="0087601C" w:rsidRPr="006A1EC7" w:rsidRDefault="0087601C" w:rsidP="0087601C"/>
    <w:p w14:paraId="732E55B8" w14:textId="77777777" w:rsidR="0087601C" w:rsidRPr="006A1EC7" w:rsidRDefault="0087601C" w:rsidP="0087601C"/>
    <w:p w14:paraId="539B5F24" w14:textId="77777777" w:rsidR="0087601C" w:rsidRPr="006A1EC7" w:rsidRDefault="0087601C" w:rsidP="0087601C"/>
    <w:p w14:paraId="0A9DC61E" w14:textId="77777777" w:rsidR="0087601C" w:rsidRPr="006A1EC7" w:rsidRDefault="0087601C" w:rsidP="0087601C"/>
    <w:p w14:paraId="61C61ECD" w14:textId="77777777" w:rsidR="0087601C" w:rsidRPr="006A1EC7" w:rsidRDefault="0087601C" w:rsidP="0087601C">
      <w:r w:rsidRPr="006A1EC7">
        <w:br w:type="page"/>
      </w:r>
    </w:p>
    <w:p w14:paraId="5C24288B" w14:textId="254DDB8E" w:rsidR="0087601C" w:rsidRPr="006A1EC7" w:rsidRDefault="0087601C" w:rsidP="0087601C">
      <w:pPr>
        <w:pStyle w:val="Heading4"/>
        <w:rPr>
          <w:rFonts w:ascii="Times New Roman" w:hAnsi="Times New Roman" w:cs="Times New Roman"/>
        </w:rPr>
      </w:pPr>
      <w:bookmarkStart w:id="334" w:name="_Toc17978001"/>
      <w:r w:rsidRPr="006A1EC7">
        <w:rPr>
          <w:rFonts w:ascii="Times New Roman" w:hAnsi="Times New Roman" w:cs="Times New Roman"/>
        </w:rPr>
        <w:lastRenderedPageBreak/>
        <w:t>Appendix 7.10B: One-way ANOVA to investigate difference in ratings for Fineen (Time 1) for consultants/registrars versus less qualified medical professionals</w:t>
      </w:r>
      <w:bookmarkEnd w:id="334"/>
      <w:r w:rsidRPr="006A1EC7">
        <w:rPr>
          <w:rFonts w:ascii="Times New Roman" w:hAnsi="Times New Roman" w:cs="Times New Roman"/>
        </w:rPr>
        <w:t xml:space="preserve"> &amp; corresponding boxplot</w:t>
      </w:r>
    </w:p>
    <w:p w14:paraId="72344937" w14:textId="77777777" w:rsidR="0087601C" w:rsidRPr="006A1EC7" w:rsidRDefault="0087601C" w:rsidP="0087601C"/>
    <w:p w14:paraId="5AE9B253" w14:textId="77777777" w:rsidR="0087601C" w:rsidRPr="006A1EC7" w:rsidRDefault="0087601C" w:rsidP="0087601C">
      <w:r w:rsidRPr="006A1EC7">
        <w:rPr>
          <w:noProof/>
          <w:sz w:val="26"/>
          <w:szCs w:val="26"/>
          <w:lang w:eastAsia="en-GB"/>
        </w:rPr>
        <w:drawing>
          <wp:inline distT="0" distB="0" distL="0" distR="0" wp14:anchorId="554E7C2C" wp14:editId="3EFE9880">
            <wp:extent cx="3645725" cy="3566658"/>
            <wp:effectExtent l="0" t="0" r="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71047" cy="3591430"/>
                    </a:xfrm>
                    <a:prstGeom prst="rect">
                      <a:avLst/>
                    </a:prstGeom>
                  </pic:spPr>
                </pic:pic>
              </a:graphicData>
            </a:graphic>
          </wp:inline>
        </w:drawing>
      </w:r>
    </w:p>
    <w:p w14:paraId="526AF0FE" w14:textId="77777777" w:rsidR="0087601C" w:rsidRPr="006A1EC7" w:rsidRDefault="0087601C" w:rsidP="0087601C">
      <w:pPr>
        <w:sectPr w:rsidR="0087601C" w:rsidRPr="006A1EC7" w:rsidSect="00D56051">
          <w:type w:val="nextColumn"/>
          <w:pgSz w:w="12240" w:h="15840"/>
          <w:pgMar w:top="1440" w:right="1701" w:bottom="1440" w:left="1701" w:header="708" w:footer="708" w:gutter="0"/>
          <w:cols w:space="708"/>
          <w:docGrid w:linePitch="360"/>
        </w:sectPr>
      </w:pPr>
      <w:r w:rsidRPr="006A1EC7">
        <w:rPr>
          <w:rFonts w:eastAsiaTheme="minorHAnsi"/>
          <w:noProof/>
          <w:lang w:eastAsia="en-GB"/>
        </w:rPr>
        <w:drawing>
          <wp:inline distT="0" distB="0" distL="0" distR="0" wp14:anchorId="482D2B49" wp14:editId="07E25F9F">
            <wp:extent cx="4298868" cy="3445064"/>
            <wp:effectExtent l="0" t="0" r="6985" b="3175"/>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4341837" cy="3479498"/>
                    </a:xfrm>
                    <a:prstGeom prst="rect">
                      <a:avLst/>
                    </a:prstGeom>
                    <a:noFill/>
                    <a:ln>
                      <a:noFill/>
                    </a:ln>
                  </pic:spPr>
                </pic:pic>
              </a:graphicData>
            </a:graphic>
          </wp:inline>
        </w:drawing>
      </w:r>
    </w:p>
    <w:p w14:paraId="6BAC2E1E" w14:textId="77777777" w:rsidR="0087601C" w:rsidRPr="006A1EC7" w:rsidRDefault="0087601C" w:rsidP="0087601C">
      <w:pPr>
        <w:pStyle w:val="Heading4"/>
        <w:rPr>
          <w:rFonts w:ascii="Times New Roman" w:hAnsi="Times New Roman" w:cs="Times New Roman"/>
        </w:rPr>
      </w:pPr>
      <w:bookmarkStart w:id="335" w:name="_Toc38821504"/>
      <w:r w:rsidRPr="006A1EC7">
        <w:rPr>
          <w:rFonts w:ascii="Times New Roman" w:hAnsi="Times New Roman" w:cs="Times New Roman"/>
        </w:rPr>
        <w:lastRenderedPageBreak/>
        <w:t>Appendix 7.11.2: Testing of Hypothesis B – One-way ANOVA to investigate differences in scores given by those who have previously heard of WHS and those who have not.</w:t>
      </w:r>
      <w:bookmarkEnd w:id="335"/>
    </w:p>
    <w:p w14:paraId="477219AD" w14:textId="77777777" w:rsidR="0087601C" w:rsidRPr="006A1EC7" w:rsidRDefault="0087601C" w:rsidP="0087601C"/>
    <w:p w14:paraId="7F4FE786" w14:textId="77777777" w:rsidR="0087601C" w:rsidRPr="006A1EC7" w:rsidRDefault="0087601C" w:rsidP="0087601C">
      <w:r w:rsidRPr="006A1EC7">
        <w:rPr>
          <w:noProof/>
          <w:lang w:eastAsia="en-GB"/>
        </w:rPr>
        <w:drawing>
          <wp:inline distT="0" distB="0" distL="0" distR="0" wp14:anchorId="127B10E9" wp14:editId="16446C53">
            <wp:extent cx="3190900" cy="3458015"/>
            <wp:effectExtent l="0" t="0" r="0" b="0"/>
            <wp:docPr id="43" name="Picture 4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9-07-09 at 19.28.32.png"/>
                    <pic:cNvPicPr/>
                  </pic:nvPicPr>
                  <pic:blipFill>
                    <a:blip r:embed="rId57">
                      <a:extLst>
                        <a:ext uri="{28A0092B-C50C-407E-A947-70E740481C1C}">
                          <a14:useLocalDpi xmlns:a14="http://schemas.microsoft.com/office/drawing/2010/main"/>
                        </a:ext>
                      </a:extLst>
                    </a:blip>
                    <a:stretch>
                      <a:fillRect/>
                    </a:stretch>
                  </pic:blipFill>
                  <pic:spPr>
                    <a:xfrm>
                      <a:off x="0" y="0"/>
                      <a:ext cx="3202247" cy="3470312"/>
                    </a:xfrm>
                    <a:prstGeom prst="rect">
                      <a:avLst/>
                    </a:prstGeom>
                  </pic:spPr>
                </pic:pic>
              </a:graphicData>
            </a:graphic>
          </wp:inline>
        </w:drawing>
      </w:r>
    </w:p>
    <w:p w14:paraId="3771EC2D" w14:textId="77777777" w:rsidR="0087601C" w:rsidRPr="006A1EC7" w:rsidRDefault="0087601C" w:rsidP="0087601C"/>
    <w:p w14:paraId="287E54CA" w14:textId="77777777" w:rsidR="0087601C" w:rsidRPr="006A1EC7" w:rsidRDefault="0087601C" w:rsidP="0087601C">
      <w:pPr>
        <w:sectPr w:rsidR="0087601C" w:rsidRPr="006A1EC7" w:rsidSect="00D56051">
          <w:type w:val="nextColumn"/>
          <w:pgSz w:w="12240" w:h="15840"/>
          <w:pgMar w:top="1440" w:right="1701" w:bottom="1440" w:left="1701" w:header="708" w:footer="708" w:gutter="0"/>
          <w:cols w:space="708"/>
          <w:docGrid w:linePitch="360"/>
        </w:sectPr>
      </w:pPr>
    </w:p>
    <w:p w14:paraId="11878614" w14:textId="77777777" w:rsidR="0087601C" w:rsidRPr="006A1EC7" w:rsidRDefault="0087601C" w:rsidP="0087601C">
      <w:pPr>
        <w:pStyle w:val="Heading4"/>
        <w:rPr>
          <w:rFonts w:ascii="Times New Roman" w:hAnsi="Times New Roman" w:cs="Times New Roman"/>
        </w:rPr>
      </w:pPr>
      <w:r w:rsidRPr="006A1EC7">
        <w:rPr>
          <w:rFonts w:ascii="Times New Roman" w:hAnsi="Times New Roman" w:cs="Times New Roman"/>
        </w:rPr>
        <w:lastRenderedPageBreak/>
        <w:t>Appendix 7.11.3: Results from the paired samples T-Tests for testing a priori hypotheses</w:t>
      </w:r>
    </w:p>
    <w:p w14:paraId="172F65B0" w14:textId="77777777" w:rsidR="0087601C" w:rsidRPr="006A1EC7" w:rsidRDefault="0087601C" w:rsidP="0087601C"/>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1"/>
        <w:gridCol w:w="950"/>
        <w:gridCol w:w="851"/>
        <w:gridCol w:w="992"/>
        <w:gridCol w:w="851"/>
        <w:gridCol w:w="708"/>
        <w:gridCol w:w="1418"/>
        <w:gridCol w:w="850"/>
        <w:gridCol w:w="567"/>
        <w:gridCol w:w="567"/>
      </w:tblGrid>
      <w:tr w:rsidR="0087601C" w:rsidRPr="006A1EC7" w14:paraId="565D14D6" w14:textId="77777777" w:rsidTr="00D56051">
        <w:trPr>
          <w:cantSplit/>
        </w:trPr>
        <w:tc>
          <w:tcPr>
            <w:tcW w:w="8505" w:type="dxa"/>
            <w:gridSpan w:val="10"/>
            <w:tcBorders>
              <w:top w:val="nil"/>
              <w:left w:val="nil"/>
              <w:bottom w:val="nil"/>
              <w:right w:val="nil"/>
            </w:tcBorders>
            <w:shd w:val="clear" w:color="auto" w:fill="FFFFFF"/>
            <w:vAlign w:val="center"/>
          </w:tcPr>
          <w:p w14:paraId="105CE22A" w14:textId="77777777" w:rsidR="0087601C" w:rsidRPr="006A1EC7" w:rsidRDefault="0087601C" w:rsidP="00D56051">
            <w:pPr>
              <w:spacing w:line="320" w:lineRule="atLeast"/>
              <w:ind w:left="60" w:right="60"/>
              <w:jc w:val="center"/>
              <w:rPr>
                <w:color w:val="010205"/>
                <w:sz w:val="18"/>
                <w:szCs w:val="30"/>
              </w:rPr>
            </w:pPr>
            <w:r w:rsidRPr="006A1EC7">
              <w:rPr>
                <w:b/>
                <w:bCs/>
                <w:color w:val="010205"/>
                <w:sz w:val="18"/>
                <w:szCs w:val="30"/>
              </w:rPr>
              <w:t>Paired Samples Test</w:t>
            </w:r>
          </w:p>
        </w:tc>
      </w:tr>
      <w:tr w:rsidR="0087601C" w:rsidRPr="006A1EC7" w14:paraId="68782A92" w14:textId="77777777" w:rsidTr="00D56051">
        <w:trPr>
          <w:cantSplit/>
        </w:trPr>
        <w:tc>
          <w:tcPr>
            <w:tcW w:w="1701" w:type="dxa"/>
            <w:gridSpan w:val="2"/>
            <w:vMerge w:val="restart"/>
            <w:tcBorders>
              <w:top w:val="nil"/>
              <w:left w:val="nil"/>
              <w:bottom w:val="nil"/>
              <w:right w:val="nil"/>
            </w:tcBorders>
            <w:shd w:val="clear" w:color="auto" w:fill="FFFFFF"/>
            <w:vAlign w:val="bottom"/>
          </w:tcPr>
          <w:p w14:paraId="4BF53CB1" w14:textId="77777777" w:rsidR="0087601C" w:rsidRPr="006A1EC7" w:rsidRDefault="0087601C" w:rsidP="00D56051">
            <w:pPr>
              <w:rPr>
                <w:sz w:val="18"/>
              </w:rPr>
            </w:pPr>
          </w:p>
        </w:tc>
        <w:tc>
          <w:tcPr>
            <w:tcW w:w="4820" w:type="dxa"/>
            <w:gridSpan w:val="5"/>
            <w:tcBorders>
              <w:top w:val="nil"/>
              <w:left w:val="nil"/>
              <w:bottom w:val="nil"/>
              <w:right w:val="single" w:sz="8" w:space="0" w:color="E0E0E0"/>
            </w:tcBorders>
            <w:shd w:val="clear" w:color="auto" w:fill="FFFFFF"/>
            <w:vAlign w:val="bottom"/>
          </w:tcPr>
          <w:p w14:paraId="1A26422C" w14:textId="77777777" w:rsidR="0087601C" w:rsidRPr="006A1EC7" w:rsidRDefault="0087601C" w:rsidP="00D56051">
            <w:pPr>
              <w:spacing w:line="320" w:lineRule="atLeast"/>
              <w:ind w:left="60" w:right="60"/>
              <w:jc w:val="center"/>
              <w:rPr>
                <w:color w:val="264A60"/>
                <w:sz w:val="18"/>
              </w:rPr>
            </w:pPr>
            <w:r w:rsidRPr="006A1EC7">
              <w:rPr>
                <w:color w:val="264A60"/>
                <w:sz w:val="18"/>
              </w:rPr>
              <w:t>Paired Differences</w:t>
            </w:r>
          </w:p>
        </w:tc>
        <w:tc>
          <w:tcPr>
            <w:tcW w:w="850" w:type="dxa"/>
            <w:vMerge w:val="restart"/>
            <w:tcBorders>
              <w:top w:val="nil"/>
              <w:left w:val="single" w:sz="8" w:space="0" w:color="E0E0E0"/>
              <w:bottom w:val="nil"/>
              <w:right w:val="single" w:sz="8" w:space="0" w:color="E0E0E0"/>
            </w:tcBorders>
            <w:shd w:val="clear" w:color="auto" w:fill="FFFFFF"/>
            <w:vAlign w:val="bottom"/>
          </w:tcPr>
          <w:p w14:paraId="48C54CBA" w14:textId="77777777" w:rsidR="0087601C" w:rsidRPr="006A1EC7" w:rsidRDefault="0087601C" w:rsidP="00D56051">
            <w:pPr>
              <w:spacing w:line="320" w:lineRule="atLeast"/>
              <w:ind w:left="60" w:right="60"/>
              <w:jc w:val="center"/>
              <w:rPr>
                <w:color w:val="264A60"/>
                <w:sz w:val="18"/>
              </w:rPr>
            </w:pPr>
            <w:r w:rsidRPr="006A1EC7">
              <w:rPr>
                <w:color w:val="264A60"/>
                <w:sz w:val="18"/>
              </w:rPr>
              <w:t>t</w:t>
            </w:r>
          </w:p>
        </w:tc>
        <w:tc>
          <w:tcPr>
            <w:tcW w:w="567" w:type="dxa"/>
            <w:vMerge w:val="restart"/>
            <w:tcBorders>
              <w:top w:val="nil"/>
              <w:left w:val="single" w:sz="8" w:space="0" w:color="E0E0E0"/>
              <w:bottom w:val="nil"/>
              <w:right w:val="single" w:sz="8" w:space="0" w:color="E0E0E0"/>
            </w:tcBorders>
            <w:shd w:val="clear" w:color="auto" w:fill="FFFFFF"/>
            <w:vAlign w:val="bottom"/>
          </w:tcPr>
          <w:p w14:paraId="541D64FE" w14:textId="77777777" w:rsidR="0087601C" w:rsidRPr="006A1EC7" w:rsidRDefault="0087601C" w:rsidP="00D56051">
            <w:pPr>
              <w:spacing w:line="320" w:lineRule="atLeast"/>
              <w:ind w:left="60" w:right="60"/>
              <w:jc w:val="center"/>
              <w:rPr>
                <w:color w:val="264A60"/>
                <w:sz w:val="18"/>
              </w:rPr>
            </w:pPr>
            <w:r w:rsidRPr="006A1EC7">
              <w:rPr>
                <w:color w:val="264A60"/>
                <w:sz w:val="18"/>
              </w:rPr>
              <w:t>df</w:t>
            </w:r>
          </w:p>
        </w:tc>
        <w:tc>
          <w:tcPr>
            <w:tcW w:w="567" w:type="dxa"/>
            <w:vMerge w:val="restart"/>
            <w:tcBorders>
              <w:top w:val="nil"/>
              <w:left w:val="single" w:sz="8" w:space="0" w:color="E0E0E0"/>
              <w:bottom w:val="nil"/>
              <w:right w:val="nil"/>
            </w:tcBorders>
            <w:shd w:val="clear" w:color="auto" w:fill="FFFFFF"/>
            <w:vAlign w:val="bottom"/>
          </w:tcPr>
          <w:p w14:paraId="06B853EC" w14:textId="77777777" w:rsidR="0087601C" w:rsidRPr="006A1EC7" w:rsidRDefault="0087601C" w:rsidP="00D56051">
            <w:pPr>
              <w:spacing w:line="320" w:lineRule="atLeast"/>
              <w:ind w:left="60" w:right="60"/>
              <w:jc w:val="center"/>
              <w:rPr>
                <w:color w:val="264A60"/>
                <w:sz w:val="18"/>
              </w:rPr>
            </w:pPr>
            <w:r w:rsidRPr="006A1EC7">
              <w:rPr>
                <w:color w:val="264A60"/>
                <w:sz w:val="18"/>
              </w:rPr>
              <w:t>Sig. (2-tailed)</w:t>
            </w:r>
          </w:p>
        </w:tc>
      </w:tr>
      <w:tr w:rsidR="0087601C" w:rsidRPr="006A1EC7" w14:paraId="2CC07885" w14:textId="77777777" w:rsidTr="00D56051">
        <w:trPr>
          <w:cantSplit/>
        </w:trPr>
        <w:tc>
          <w:tcPr>
            <w:tcW w:w="1701" w:type="dxa"/>
            <w:gridSpan w:val="2"/>
            <w:vMerge/>
            <w:tcBorders>
              <w:top w:val="nil"/>
              <w:left w:val="nil"/>
              <w:bottom w:val="nil"/>
              <w:right w:val="nil"/>
            </w:tcBorders>
            <w:shd w:val="clear" w:color="auto" w:fill="FFFFFF"/>
            <w:vAlign w:val="bottom"/>
          </w:tcPr>
          <w:p w14:paraId="650618D3" w14:textId="77777777" w:rsidR="0087601C" w:rsidRPr="006A1EC7" w:rsidRDefault="0087601C" w:rsidP="00D56051">
            <w:pPr>
              <w:rPr>
                <w:color w:val="264A60"/>
                <w:sz w:val="18"/>
              </w:rPr>
            </w:pPr>
          </w:p>
        </w:tc>
        <w:tc>
          <w:tcPr>
            <w:tcW w:w="851" w:type="dxa"/>
            <w:vMerge w:val="restart"/>
            <w:tcBorders>
              <w:top w:val="nil"/>
              <w:left w:val="nil"/>
              <w:bottom w:val="nil"/>
              <w:right w:val="single" w:sz="8" w:space="0" w:color="E0E0E0"/>
            </w:tcBorders>
            <w:shd w:val="clear" w:color="auto" w:fill="FFFFFF"/>
            <w:vAlign w:val="bottom"/>
          </w:tcPr>
          <w:p w14:paraId="35F3452C" w14:textId="77777777" w:rsidR="0087601C" w:rsidRPr="006A1EC7" w:rsidRDefault="0087601C" w:rsidP="00D56051">
            <w:pPr>
              <w:spacing w:line="320" w:lineRule="atLeast"/>
              <w:ind w:left="60" w:right="60"/>
              <w:jc w:val="center"/>
              <w:rPr>
                <w:color w:val="264A60"/>
                <w:sz w:val="18"/>
              </w:rPr>
            </w:pPr>
            <w:r w:rsidRPr="006A1EC7">
              <w:rPr>
                <w:color w:val="264A60"/>
                <w:sz w:val="18"/>
              </w:rPr>
              <w:t>Mean</w:t>
            </w:r>
          </w:p>
        </w:tc>
        <w:tc>
          <w:tcPr>
            <w:tcW w:w="992" w:type="dxa"/>
            <w:vMerge w:val="restart"/>
            <w:tcBorders>
              <w:top w:val="nil"/>
              <w:left w:val="single" w:sz="8" w:space="0" w:color="E0E0E0"/>
              <w:bottom w:val="nil"/>
              <w:right w:val="single" w:sz="8" w:space="0" w:color="E0E0E0"/>
            </w:tcBorders>
            <w:shd w:val="clear" w:color="auto" w:fill="FFFFFF"/>
            <w:vAlign w:val="bottom"/>
          </w:tcPr>
          <w:p w14:paraId="50B17FC0" w14:textId="77777777" w:rsidR="0087601C" w:rsidRPr="006A1EC7" w:rsidRDefault="0087601C" w:rsidP="00D56051">
            <w:pPr>
              <w:spacing w:line="320" w:lineRule="atLeast"/>
              <w:ind w:left="60" w:right="60"/>
              <w:jc w:val="center"/>
              <w:rPr>
                <w:color w:val="264A60"/>
                <w:sz w:val="18"/>
              </w:rPr>
            </w:pPr>
            <w:r w:rsidRPr="006A1EC7">
              <w:rPr>
                <w:color w:val="264A60"/>
                <w:sz w:val="18"/>
              </w:rPr>
              <w:t>Std. Deviation</w:t>
            </w:r>
          </w:p>
        </w:tc>
        <w:tc>
          <w:tcPr>
            <w:tcW w:w="851" w:type="dxa"/>
            <w:vMerge w:val="restart"/>
            <w:tcBorders>
              <w:top w:val="nil"/>
              <w:left w:val="single" w:sz="8" w:space="0" w:color="E0E0E0"/>
              <w:bottom w:val="nil"/>
              <w:right w:val="single" w:sz="8" w:space="0" w:color="E0E0E0"/>
            </w:tcBorders>
            <w:shd w:val="clear" w:color="auto" w:fill="FFFFFF"/>
            <w:vAlign w:val="bottom"/>
          </w:tcPr>
          <w:p w14:paraId="447ECFA0" w14:textId="77777777" w:rsidR="0087601C" w:rsidRPr="006A1EC7" w:rsidRDefault="0087601C" w:rsidP="00D56051">
            <w:pPr>
              <w:spacing w:line="320" w:lineRule="atLeast"/>
              <w:ind w:left="60" w:right="60"/>
              <w:jc w:val="center"/>
              <w:rPr>
                <w:color w:val="264A60"/>
                <w:sz w:val="18"/>
              </w:rPr>
            </w:pPr>
            <w:r w:rsidRPr="006A1EC7">
              <w:rPr>
                <w:color w:val="264A60"/>
                <w:sz w:val="18"/>
              </w:rPr>
              <w:t>Std. Error Mean</w:t>
            </w:r>
          </w:p>
        </w:tc>
        <w:tc>
          <w:tcPr>
            <w:tcW w:w="2126" w:type="dxa"/>
            <w:gridSpan w:val="2"/>
            <w:tcBorders>
              <w:top w:val="nil"/>
              <w:left w:val="single" w:sz="8" w:space="0" w:color="E0E0E0"/>
              <w:bottom w:val="nil"/>
              <w:right w:val="single" w:sz="8" w:space="0" w:color="E0E0E0"/>
            </w:tcBorders>
            <w:shd w:val="clear" w:color="auto" w:fill="FFFFFF"/>
            <w:vAlign w:val="bottom"/>
          </w:tcPr>
          <w:p w14:paraId="4FF01606" w14:textId="77777777" w:rsidR="0087601C" w:rsidRPr="006A1EC7" w:rsidRDefault="0087601C" w:rsidP="00D56051">
            <w:pPr>
              <w:spacing w:line="320" w:lineRule="atLeast"/>
              <w:ind w:left="60" w:right="60"/>
              <w:jc w:val="center"/>
              <w:rPr>
                <w:color w:val="264A60"/>
                <w:sz w:val="18"/>
              </w:rPr>
            </w:pPr>
            <w:r w:rsidRPr="006A1EC7">
              <w:rPr>
                <w:color w:val="264A60"/>
                <w:sz w:val="18"/>
              </w:rPr>
              <w:t>95% Confidence Interval of the Difference</w:t>
            </w:r>
          </w:p>
        </w:tc>
        <w:tc>
          <w:tcPr>
            <w:tcW w:w="850" w:type="dxa"/>
            <w:vMerge/>
            <w:tcBorders>
              <w:top w:val="nil"/>
              <w:left w:val="single" w:sz="8" w:space="0" w:color="E0E0E0"/>
              <w:bottom w:val="nil"/>
              <w:right w:val="single" w:sz="8" w:space="0" w:color="E0E0E0"/>
            </w:tcBorders>
            <w:shd w:val="clear" w:color="auto" w:fill="FFFFFF"/>
            <w:vAlign w:val="bottom"/>
          </w:tcPr>
          <w:p w14:paraId="4889C968" w14:textId="77777777" w:rsidR="0087601C" w:rsidRPr="006A1EC7" w:rsidRDefault="0087601C" w:rsidP="00D56051">
            <w:pPr>
              <w:rPr>
                <w:color w:val="264A60"/>
                <w:sz w:val="18"/>
              </w:rPr>
            </w:pPr>
          </w:p>
        </w:tc>
        <w:tc>
          <w:tcPr>
            <w:tcW w:w="567" w:type="dxa"/>
            <w:vMerge/>
            <w:tcBorders>
              <w:top w:val="nil"/>
              <w:left w:val="single" w:sz="8" w:space="0" w:color="E0E0E0"/>
              <w:bottom w:val="nil"/>
              <w:right w:val="single" w:sz="8" w:space="0" w:color="E0E0E0"/>
            </w:tcBorders>
            <w:shd w:val="clear" w:color="auto" w:fill="FFFFFF"/>
            <w:vAlign w:val="bottom"/>
          </w:tcPr>
          <w:p w14:paraId="690083D4" w14:textId="77777777" w:rsidR="0087601C" w:rsidRPr="006A1EC7" w:rsidRDefault="0087601C" w:rsidP="00D56051">
            <w:pPr>
              <w:rPr>
                <w:color w:val="264A60"/>
                <w:sz w:val="18"/>
              </w:rPr>
            </w:pPr>
          </w:p>
        </w:tc>
        <w:tc>
          <w:tcPr>
            <w:tcW w:w="567" w:type="dxa"/>
            <w:vMerge/>
            <w:tcBorders>
              <w:top w:val="nil"/>
              <w:left w:val="single" w:sz="8" w:space="0" w:color="E0E0E0"/>
              <w:bottom w:val="nil"/>
              <w:right w:val="nil"/>
            </w:tcBorders>
            <w:shd w:val="clear" w:color="auto" w:fill="FFFFFF"/>
            <w:vAlign w:val="bottom"/>
          </w:tcPr>
          <w:p w14:paraId="53CE4F2E" w14:textId="77777777" w:rsidR="0087601C" w:rsidRPr="006A1EC7" w:rsidRDefault="0087601C" w:rsidP="00D56051">
            <w:pPr>
              <w:rPr>
                <w:color w:val="264A60"/>
                <w:sz w:val="18"/>
              </w:rPr>
            </w:pPr>
          </w:p>
        </w:tc>
      </w:tr>
      <w:tr w:rsidR="0087601C" w:rsidRPr="006A1EC7" w14:paraId="6CEF33BC" w14:textId="77777777" w:rsidTr="00D56051">
        <w:trPr>
          <w:cantSplit/>
        </w:trPr>
        <w:tc>
          <w:tcPr>
            <w:tcW w:w="1701" w:type="dxa"/>
            <w:gridSpan w:val="2"/>
            <w:vMerge/>
            <w:tcBorders>
              <w:top w:val="nil"/>
              <w:left w:val="nil"/>
              <w:bottom w:val="nil"/>
              <w:right w:val="nil"/>
            </w:tcBorders>
            <w:shd w:val="clear" w:color="auto" w:fill="FFFFFF"/>
            <w:vAlign w:val="bottom"/>
          </w:tcPr>
          <w:p w14:paraId="6EDC53DD" w14:textId="77777777" w:rsidR="0087601C" w:rsidRPr="006A1EC7" w:rsidRDefault="0087601C" w:rsidP="00D56051">
            <w:pPr>
              <w:rPr>
                <w:color w:val="264A60"/>
                <w:sz w:val="18"/>
              </w:rPr>
            </w:pPr>
          </w:p>
        </w:tc>
        <w:tc>
          <w:tcPr>
            <w:tcW w:w="851" w:type="dxa"/>
            <w:vMerge/>
            <w:tcBorders>
              <w:top w:val="nil"/>
              <w:left w:val="nil"/>
              <w:bottom w:val="nil"/>
              <w:right w:val="single" w:sz="8" w:space="0" w:color="E0E0E0"/>
            </w:tcBorders>
            <w:shd w:val="clear" w:color="auto" w:fill="FFFFFF"/>
            <w:vAlign w:val="bottom"/>
          </w:tcPr>
          <w:p w14:paraId="158A456A" w14:textId="77777777" w:rsidR="0087601C" w:rsidRPr="006A1EC7" w:rsidRDefault="0087601C" w:rsidP="00D56051">
            <w:pPr>
              <w:rPr>
                <w:color w:val="264A60"/>
                <w:sz w:val="18"/>
              </w:rPr>
            </w:pPr>
          </w:p>
        </w:tc>
        <w:tc>
          <w:tcPr>
            <w:tcW w:w="992" w:type="dxa"/>
            <w:vMerge/>
            <w:tcBorders>
              <w:top w:val="nil"/>
              <w:left w:val="single" w:sz="8" w:space="0" w:color="E0E0E0"/>
              <w:bottom w:val="nil"/>
              <w:right w:val="single" w:sz="8" w:space="0" w:color="E0E0E0"/>
            </w:tcBorders>
            <w:shd w:val="clear" w:color="auto" w:fill="FFFFFF"/>
            <w:vAlign w:val="bottom"/>
          </w:tcPr>
          <w:p w14:paraId="7495BE5C" w14:textId="77777777" w:rsidR="0087601C" w:rsidRPr="006A1EC7" w:rsidRDefault="0087601C" w:rsidP="00D56051">
            <w:pPr>
              <w:rPr>
                <w:color w:val="264A60"/>
                <w:sz w:val="18"/>
              </w:rPr>
            </w:pPr>
          </w:p>
        </w:tc>
        <w:tc>
          <w:tcPr>
            <w:tcW w:w="851" w:type="dxa"/>
            <w:vMerge/>
            <w:tcBorders>
              <w:top w:val="nil"/>
              <w:left w:val="single" w:sz="8" w:space="0" w:color="E0E0E0"/>
              <w:bottom w:val="nil"/>
              <w:right w:val="single" w:sz="8" w:space="0" w:color="E0E0E0"/>
            </w:tcBorders>
            <w:shd w:val="clear" w:color="auto" w:fill="FFFFFF"/>
            <w:vAlign w:val="bottom"/>
          </w:tcPr>
          <w:p w14:paraId="2FB4BADF" w14:textId="77777777" w:rsidR="0087601C" w:rsidRPr="006A1EC7" w:rsidRDefault="0087601C" w:rsidP="00D56051">
            <w:pPr>
              <w:rPr>
                <w:color w:val="264A60"/>
                <w:sz w:val="18"/>
              </w:rPr>
            </w:pP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4371C2C5" w14:textId="77777777" w:rsidR="0087601C" w:rsidRPr="006A1EC7" w:rsidRDefault="0087601C" w:rsidP="00D56051">
            <w:pPr>
              <w:spacing w:line="320" w:lineRule="atLeast"/>
              <w:ind w:left="60" w:right="60"/>
              <w:jc w:val="center"/>
              <w:rPr>
                <w:color w:val="264A60"/>
                <w:sz w:val="18"/>
              </w:rPr>
            </w:pPr>
            <w:r w:rsidRPr="006A1EC7">
              <w:rPr>
                <w:color w:val="264A60"/>
                <w:sz w:val="18"/>
              </w:rPr>
              <w:t>Lower</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7E49DD86" w14:textId="77777777" w:rsidR="0087601C" w:rsidRPr="006A1EC7" w:rsidRDefault="0087601C" w:rsidP="00D56051">
            <w:pPr>
              <w:spacing w:line="320" w:lineRule="atLeast"/>
              <w:ind w:left="60" w:right="60"/>
              <w:jc w:val="center"/>
              <w:rPr>
                <w:color w:val="264A60"/>
                <w:sz w:val="18"/>
              </w:rPr>
            </w:pPr>
            <w:r w:rsidRPr="006A1EC7">
              <w:rPr>
                <w:color w:val="264A60"/>
                <w:sz w:val="18"/>
              </w:rPr>
              <w:t>Upper</w:t>
            </w:r>
          </w:p>
        </w:tc>
        <w:tc>
          <w:tcPr>
            <w:tcW w:w="850" w:type="dxa"/>
            <w:vMerge/>
            <w:tcBorders>
              <w:top w:val="nil"/>
              <w:left w:val="single" w:sz="8" w:space="0" w:color="E0E0E0"/>
              <w:bottom w:val="nil"/>
              <w:right w:val="single" w:sz="8" w:space="0" w:color="E0E0E0"/>
            </w:tcBorders>
            <w:shd w:val="clear" w:color="auto" w:fill="FFFFFF"/>
            <w:vAlign w:val="bottom"/>
          </w:tcPr>
          <w:p w14:paraId="72C45556" w14:textId="77777777" w:rsidR="0087601C" w:rsidRPr="006A1EC7" w:rsidRDefault="0087601C" w:rsidP="00D56051">
            <w:pPr>
              <w:rPr>
                <w:color w:val="264A60"/>
                <w:sz w:val="18"/>
              </w:rPr>
            </w:pPr>
          </w:p>
        </w:tc>
        <w:tc>
          <w:tcPr>
            <w:tcW w:w="567" w:type="dxa"/>
            <w:vMerge/>
            <w:tcBorders>
              <w:top w:val="nil"/>
              <w:left w:val="single" w:sz="8" w:space="0" w:color="E0E0E0"/>
              <w:bottom w:val="nil"/>
              <w:right w:val="single" w:sz="8" w:space="0" w:color="E0E0E0"/>
            </w:tcBorders>
            <w:shd w:val="clear" w:color="auto" w:fill="FFFFFF"/>
            <w:vAlign w:val="bottom"/>
          </w:tcPr>
          <w:p w14:paraId="710AC797" w14:textId="77777777" w:rsidR="0087601C" w:rsidRPr="006A1EC7" w:rsidRDefault="0087601C" w:rsidP="00D56051">
            <w:pPr>
              <w:rPr>
                <w:color w:val="264A60"/>
                <w:sz w:val="18"/>
              </w:rPr>
            </w:pPr>
          </w:p>
        </w:tc>
        <w:tc>
          <w:tcPr>
            <w:tcW w:w="567" w:type="dxa"/>
            <w:vMerge/>
            <w:tcBorders>
              <w:top w:val="nil"/>
              <w:left w:val="single" w:sz="8" w:space="0" w:color="E0E0E0"/>
              <w:bottom w:val="nil"/>
              <w:right w:val="nil"/>
            </w:tcBorders>
            <w:shd w:val="clear" w:color="auto" w:fill="FFFFFF"/>
            <w:vAlign w:val="bottom"/>
          </w:tcPr>
          <w:p w14:paraId="4597D5BB" w14:textId="77777777" w:rsidR="0087601C" w:rsidRPr="006A1EC7" w:rsidRDefault="0087601C" w:rsidP="00D56051">
            <w:pPr>
              <w:rPr>
                <w:color w:val="264A60"/>
                <w:sz w:val="18"/>
              </w:rPr>
            </w:pPr>
          </w:p>
        </w:tc>
      </w:tr>
      <w:tr w:rsidR="0087601C" w:rsidRPr="006A1EC7" w14:paraId="56CCFBFE" w14:textId="77777777" w:rsidTr="00D56051">
        <w:trPr>
          <w:cantSplit/>
        </w:trPr>
        <w:tc>
          <w:tcPr>
            <w:tcW w:w="751" w:type="dxa"/>
            <w:tcBorders>
              <w:top w:val="single" w:sz="8" w:space="0" w:color="152935"/>
              <w:left w:val="nil"/>
              <w:bottom w:val="single" w:sz="8" w:space="0" w:color="AEAEAE"/>
              <w:right w:val="nil"/>
            </w:tcBorders>
            <w:shd w:val="clear" w:color="auto" w:fill="E0E0E0"/>
          </w:tcPr>
          <w:p w14:paraId="2FA0941B" w14:textId="77777777" w:rsidR="0087601C" w:rsidRPr="006A1EC7" w:rsidRDefault="0087601C" w:rsidP="00D56051">
            <w:pPr>
              <w:spacing w:line="320" w:lineRule="atLeast"/>
              <w:ind w:left="60" w:right="60"/>
              <w:rPr>
                <w:color w:val="264A60"/>
                <w:sz w:val="18"/>
              </w:rPr>
            </w:pPr>
            <w:r w:rsidRPr="006A1EC7">
              <w:rPr>
                <w:color w:val="264A60"/>
                <w:sz w:val="18"/>
              </w:rPr>
              <w:t>Pair 1</w:t>
            </w:r>
          </w:p>
        </w:tc>
        <w:tc>
          <w:tcPr>
            <w:tcW w:w="950" w:type="dxa"/>
            <w:tcBorders>
              <w:top w:val="single" w:sz="8" w:space="0" w:color="152935"/>
              <w:left w:val="nil"/>
              <w:bottom w:val="single" w:sz="8" w:space="0" w:color="AEAEAE"/>
              <w:right w:val="nil"/>
            </w:tcBorders>
            <w:shd w:val="clear" w:color="auto" w:fill="E0E0E0"/>
          </w:tcPr>
          <w:p w14:paraId="3E5E9D5C" w14:textId="77777777" w:rsidR="0087601C" w:rsidRPr="006A1EC7" w:rsidRDefault="0087601C" w:rsidP="00D56051">
            <w:pPr>
              <w:spacing w:line="320" w:lineRule="atLeast"/>
              <w:ind w:left="60" w:right="60"/>
              <w:rPr>
                <w:color w:val="264A60"/>
                <w:sz w:val="18"/>
              </w:rPr>
            </w:pPr>
            <w:r w:rsidRPr="006A1EC7">
              <w:rPr>
                <w:color w:val="264A60"/>
                <w:sz w:val="18"/>
              </w:rPr>
              <w:t>T1Fineen_Total - T1Alessandro_Total</w:t>
            </w:r>
          </w:p>
        </w:tc>
        <w:tc>
          <w:tcPr>
            <w:tcW w:w="851" w:type="dxa"/>
            <w:tcBorders>
              <w:top w:val="single" w:sz="8" w:space="0" w:color="152935"/>
              <w:left w:val="nil"/>
              <w:bottom w:val="single" w:sz="8" w:space="0" w:color="AEAEAE"/>
              <w:right w:val="single" w:sz="8" w:space="0" w:color="E0E0E0"/>
            </w:tcBorders>
            <w:shd w:val="clear" w:color="auto" w:fill="FFFFFF"/>
          </w:tcPr>
          <w:p w14:paraId="4EC7AC2F" w14:textId="77777777" w:rsidR="0087601C" w:rsidRPr="006A1EC7" w:rsidRDefault="0087601C" w:rsidP="00D56051">
            <w:pPr>
              <w:spacing w:line="320" w:lineRule="atLeast"/>
              <w:ind w:left="60" w:right="60"/>
              <w:jc w:val="right"/>
              <w:rPr>
                <w:color w:val="010205"/>
                <w:sz w:val="18"/>
              </w:rPr>
            </w:pPr>
            <w:r w:rsidRPr="006A1EC7">
              <w:rPr>
                <w:color w:val="010205"/>
                <w:sz w:val="18"/>
              </w:rPr>
              <w:t>-41.500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5D257824" w14:textId="77777777" w:rsidR="0087601C" w:rsidRPr="006A1EC7" w:rsidRDefault="0087601C" w:rsidP="00D56051">
            <w:pPr>
              <w:spacing w:line="320" w:lineRule="atLeast"/>
              <w:ind w:left="60" w:right="60"/>
              <w:jc w:val="right"/>
              <w:rPr>
                <w:color w:val="010205"/>
                <w:sz w:val="18"/>
              </w:rPr>
            </w:pPr>
            <w:r w:rsidRPr="006A1EC7">
              <w:rPr>
                <w:color w:val="010205"/>
                <w:sz w:val="18"/>
              </w:rPr>
              <w:t>5.323</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017EDA98" w14:textId="77777777" w:rsidR="0087601C" w:rsidRPr="006A1EC7" w:rsidRDefault="0087601C" w:rsidP="00D56051">
            <w:pPr>
              <w:spacing w:line="320" w:lineRule="atLeast"/>
              <w:ind w:left="60" w:right="60"/>
              <w:jc w:val="right"/>
              <w:rPr>
                <w:color w:val="010205"/>
                <w:sz w:val="18"/>
              </w:rPr>
            </w:pPr>
            <w:r w:rsidRPr="006A1EC7">
              <w:rPr>
                <w:color w:val="010205"/>
                <w:sz w:val="18"/>
              </w:rPr>
              <w:t>2.661</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7A94A0B4" w14:textId="77777777" w:rsidR="0087601C" w:rsidRPr="006A1EC7" w:rsidRDefault="0087601C" w:rsidP="00D56051">
            <w:pPr>
              <w:spacing w:line="320" w:lineRule="atLeast"/>
              <w:ind w:left="60" w:right="60"/>
              <w:jc w:val="right"/>
              <w:rPr>
                <w:color w:val="010205"/>
                <w:sz w:val="18"/>
              </w:rPr>
            </w:pPr>
            <w:r w:rsidRPr="006A1EC7">
              <w:rPr>
                <w:color w:val="010205"/>
                <w:sz w:val="18"/>
              </w:rPr>
              <w:t>-49.970</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14:paraId="32E60F08" w14:textId="77777777" w:rsidR="0087601C" w:rsidRPr="006A1EC7" w:rsidRDefault="0087601C" w:rsidP="00D56051">
            <w:pPr>
              <w:spacing w:line="320" w:lineRule="atLeast"/>
              <w:ind w:left="60" w:right="60"/>
              <w:jc w:val="right"/>
              <w:rPr>
                <w:color w:val="010205"/>
                <w:sz w:val="18"/>
              </w:rPr>
            </w:pPr>
            <w:r w:rsidRPr="006A1EC7">
              <w:rPr>
                <w:color w:val="010205"/>
                <w:sz w:val="18"/>
              </w:rPr>
              <w:t>-33.030</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3EDB6BAA" w14:textId="77777777" w:rsidR="0087601C" w:rsidRPr="006A1EC7" w:rsidRDefault="0087601C" w:rsidP="00D56051">
            <w:pPr>
              <w:spacing w:line="320" w:lineRule="atLeast"/>
              <w:ind w:left="60" w:right="60"/>
              <w:jc w:val="right"/>
              <w:rPr>
                <w:color w:val="010205"/>
                <w:sz w:val="18"/>
              </w:rPr>
            </w:pPr>
            <w:r w:rsidRPr="006A1EC7">
              <w:rPr>
                <w:color w:val="010205"/>
                <w:sz w:val="18"/>
              </w:rPr>
              <w:t>-15.593</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02BE36B9" w14:textId="77777777" w:rsidR="0087601C" w:rsidRPr="006A1EC7" w:rsidRDefault="0087601C" w:rsidP="00D56051">
            <w:pPr>
              <w:spacing w:line="320" w:lineRule="atLeast"/>
              <w:ind w:left="60" w:right="60"/>
              <w:jc w:val="right"/>
              <w:rPr>
                <w:color w:val="010205"/>
                <w:sz w:val="18"/>
              </w:rPr>
            </w:pPr>
            <w:r w:rsidRPr="006A1EC7">
              <w:rPr>
                <w:color w:val="010205"/>
                <w:sz w:val="18"/>
              </w:rPr>
              <w:t>3</w:t>
            </w:r>
          </w:p>
        </w:tc>
        <w:tc>
          <w:tcPr>
            <w:tcW w:w="567" w:type="dxa"/>
            <w:tcBorders>
              <w:top w:val="single" w:sz="8" w:space="0" w:color="152935"/>
              <w:left w:val="single" w:sz="8" w:space="0" w:color="E0E0E0"/>
              <w:bottom w:val="single" w:sz="8" w:space="0" w:color="AEAEAE"/>
              <w:right w:val="nil"/>
            </w:tcBorders>
            <w:shd w:val="clear" w:color="auto" w:fill="FFFFFF"/>
          </w:tcPr>
          <w:p w14:paraId="56460224" w14:textId="77777777" w:rsidR="0087601C" w:rsidRPr="006A1EC7" w:rsidRDefault="0087601C" w:rsidP="00D56051">
            <w:pPr>
              <w:spacing w:line="320" w:lineRule="atLeast"/>
              <w:ind w:left="60" w:right="60"/>
              <w:jc w:val="right"/>
              <w:rPr>
                <w:color w:val="010205"/>
                <w:sz w:val="18"/>
              </w:rPr>
            </w:pPr>
            <w:r w:rsidRPr="006A1EC7">
              <w:rPr>
                <w:color w:val="010205"/>
                <w:sz w:val="18"/>
              </w:rPr>
              <w:t>.001</w:t>
            </w:r>
          </w:p>
        </w:tc>
      </w:tr>
      <w:tr w:rsidR="0087601C" w:rsidRPr="006A1EC7" w14:paraId="77C1FB3F"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10EC12BF" w14:textId="77777777" w:rsidR="0087601C" w:rsidRPr="006A1EC7" w:rsidRDefault="0087601C" w:rsidP="00D56051">
            <w:pPr>
              <w:spacing w:line="320" w:lineRule="atLeast"/>
              <w:ind w:left="60" w:right="60"/>
              <w:rPr>
                <w:color w:val="264A60"/>
                <w:sz w:val="18"/>
              </w:rPr>
            </w:pPr>
            <w:r w:rsidRPr="006A1EC7">
              <w:rPr>
                <w:color w:val="264A60"/>
                <w:sz w:val="18"/>
              </w:rPr>
              <w:t>Pair 2</w:t>
            </w:r>
          </w:p>
        </w:tc>
        <w:tc>
          <w:tcPr>
            <w:tcW w:w="950" w:type="dxa"/>
            <w:tcBorders>
              <w:top w:val="single" w:sz="8" w:space="0" w:color="AEAEAE"/>
              <w:left w:val="nil"/>
              <w:bottom w:val="single" w:sz="8" w:space="0" w:color="AEAEAE"/>
              <w:right w:val="nil"/>
            </w:tcBorders>
            <w:shd w:val="clear" w:color="auto" w:fill="E0E0E0"/>
          </w:tcPr>
          <w:p w14:paraId="4B97EA33" w14:textId="77777777" w:rsidR="0087601C" w:rsidRPr="006A1EC7" w:rsidRDefault="0087601C" w:rsidP="00D56051">
            <w:pPr>
              <w:spacing w:line="320" w:lineRule="atLeast"/>
              <w:ind w:left="60" w:right="60"/>
              <w:rPr>
                <w:color w:val="264A60"/>
                <w:sz w:val="18"/>
              </w:rPr>
            </w:pPr>
            <w:r w:rsidRPr="006A1EC7">
              <w:rPr>
                <w:color w:val="264A60"/>
                <w:sz w:val="18"/>
              </w:rPr>
              <w:t>T1Alessandro_Total - T1Bronagh_Total</w:t>
            </w:r>
          </w:p>
        </w:tc>
        <w:tc>
          <w:tcPr>
            <w:tcW w:w="851" w:type="dxa"/>
            <w:tcBorders>
              <w:top w:val="single" w:sz="8" w:space="0" w:color="AEAEAE"/>
              <w:left w:val="nil"/>
              <w:bottom w:val="single" w:sz="8" w:space="0" w:color="AEAEAE"/>
              <w:right w:val="single" w:sz="8" w:space="0" w:color="E0E0E0"/>
            </w:tcBorders>
            <w:shd w:val="clear" w:color="auto" w:fill="FFFFFF"/>
          </w:tcPr>
          <w:p w14:paraId="1E0084F0" w14:textId="77777777" w:rsidR="0087601C" w:rsidRPr="006A1EC7" w:rsidRDefault="0087601C" w:rsidP="00D56051">
            <w:pPr>
              <w:spacing w:line="320" w:lineRule="atLeast"/>
              <w:ind w:left="60" w:right="60"/>
              <w:jc w:val="right"/>
              <w:rPr>
                <w:color w:val="010205"/>
                <w:sz w:val="18"/>
              </w:rPr>
            </w:pPr>
            <w:r w:rsidRPr="006A1EC7">
              <w:rPr>
                <w:color w:val="010205"/>
                <w:sz w:val="18"/>
              </w:rPr>
              <w:t>47.750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4F8BFEF" w14:textId="77777777" w:rsidR="0087601C" w:rsidRPr="006A1EC7" w:rsidRDefault="0087601C" w:rsidP="00D56051">
            <w:pPr>
              <w:spacing w:line="320" w:lineRule="atLeast"/>
              <w:ind w:left="60" w:right="60"/>
              <w:jc w:val="right"/>
              <w:rPr>
                <w:color w:val="010205"/>
                <w:sz w:val="18"/>
              </w:rPr>
            </w:pPr>
            <w:r w:rsidRPr="006A1EC7">
              <w:rPr>
                <w:color w:val="010205"/>
                <w:sz w:val="18"/>
              </w:rPr>
              <w:t>4.132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5E7F803" w14:textId="77777777" w:rsidR="0087601C" w:rsidRPr="006A1EC7" w:rsidRDefault="0087601C" w:rsidP="00D56051">
            <w:pPr>
              <w:spacing w:line="320" w:lineRule="atLeast"/>
              <w:ind w:left="60" w:right="60"/>
              <w:jc w:val="right"/>
              <w:rPr>
                <w:color w:val="010205"/>
                <w:sz w:val="18"/>
              </w:rPr>
            </w:pPr>
            <w:r w:rsidRPr="006A1EC7">
              <w:rPr>
                <w:color w:val="010205"/>
                <w:sz w:val="18"/>
              </w:rPr>
              <w:t>1.461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F2249CE" w14:textId="77777777" w:rsidR="0087601C" w:rsidRPr="006A1EC7" w:rsidRDefault="0087601C" w:rsidP="00D56051">
            <w:pPr>
              <w:spacing w:line="320" w:lineRule="atLeast"/>
              <w:ind w:left="60" w:right="60"/>
              <w:jc w:val="right"/>
              <w:rPr>
                <w:color w:val="010205"/>
                <w:sz w:val="18"/>
              </w:rPr>
            </w:pPr>
            <w:r w:rsidRPr="006A1EC7">
              <w:rPr>
                <w:color w:val="010205"/>
                <w:sz w:val="18"/>
              </w:rPr>
              <w:t>44.296</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1763EF2" w14:textId="77777777" w:rsidR="0087601C" w:rsidRPr="006A1EC7" w:rsidRDefault="0087601C" w:rsidP="00D56051">
            <w:pPr>
              <w:spacing w:line="320" w:lineRule="atLeast"/>
              <w:ind w:left="60" w:right="60"/>
              <w:jc w:val="right"/>
              <w:rPr>
                <w:color w:val="010205"/>
                <w:sz w:val="18"/>
              </w:rPr>
            </w:pPr>
            <w:r w:rsidRPr="006A1EC7">
              <w:rPr>
                <w:color w:val="010205"/>
                <w:sz w:val="18"/>
              </w:rPr>
              <w:t>51.204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059C552" w14:textId="77777777" w:rsidR="0087601C" w:rsidRPr="006A1EC7" w:rsidRDefault="0087601C" w:rsidP="00D56051">
            <w:pPr>
              <w:spacing w:line="320" w:lineRule="atLeast"/>
              <w:ind w:left="60" w:right="60"/>
              <w:jc w:val="right"/>
              <w:rPr>
                <w:color w:val="010205"/>
                <w:sz w:val="18"/>
              </w:rPr>
            </w:pPr>
            <w:r w:rsidRPr="006A1EC7">
              <w:rPr>
                <w:color w:val="010205"/>
                <w:sz w:val="18"/>
              </w:rPr>
              <w:t>32.688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F3BAEB" w14:textId="77777777" w:rsidR="0087601C" w:rsidRPr="006A1EC7" w:rsidRDefault="0087601C" w:rsidP="00D56051">
            <w:pPr>
              <w:spacing w:line="320" w:lineRule="atLeast"/>
              <w:ind w:left="60" w:right="60"/>
              <w:jc w:val="right"/>
              <w:rPr>
                <w:color w:val="010205"/>
                <w:sz w:val="18"/>
              </w:rPr>
            </w:pPr>
            <w:r w:rsidRPr="006A1EC7">
              <w:rPr>
                <w:color w:val="010205"/>
                <w:sz w:val="18"/>
              </w:rPr>
              <w:t>7</w:t>
            </w:r>
          </w:p>
        </w:tc>
        <w:tc>
          <w:tcPr>
            <w:tcW w:w="567" w:type="dxa"/>
            <w:tcBorders>
              <w:top w:val="single" w:sz="8" w:space="0" w:color="AEAEAE"/>
              <w:left w:val="single" w:sz="8" w:space="0" w:color="E0E0E0"/>
              <w:bottom w:val="single" w:sz="8" w:space="0" w:color="AEAEAE"/>
              <w:right w:val="nil"/>
            </w:tcBorders>
            <w:shd w:val="clear" w:color="auto" w:fill="FFFFFF"/>
          </w:tcPr>
          <w:p w14:paraId="1756CB4D"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326CE739"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67D09B84" w14:textId="77777777" w:rsidR="0087601C" w:rsidRPr="006A1EC7" w:rsidRDefault="0087601C" w:rsidP="00D56051">
            <w:pPr>
              <w:spacing w:line="320" w:lineRule="atLeast"/>
              <w:ind w:left="60" w:right="60"/>
              <w:rPr>
                <w:color w:val="264A60"/>
                <w:sz w:val="18"/>
              </w:rPr>
            </w:pPr>
            <w:r w:rsidRPr="006A1EC7">
              <w:rPr>
                <w:color w:val="264A60"/>
                <w:sz w:val="18"/>
              </w:rPr>
              <w:t>Pair 3</w:t>
            </w:r>
          </w:p>
        </w:tc>
        <w:tc>
          <w:tcPr>
            <w:tcW w:w="950" w:type="dxa"/>
            <w:tcBorders>
              <w:top w:val="single" w:sz="8" w:space="0" w:color="AEAEAE"/>
              <w:left w:val="nil"/>
              <w:bottom w:val="single" w:sz="8" w:space="0" w:color="AEAEAE"/>
              <w:right w:val="nil"/>
            </w:tcBorders>
            <w:shd w:val="clear" w:color="auto" w:fill="E0E0E0"/>
          </w:tcPr>
          <w:p w14:paraId="48EB0C11" w14:textId="77777777" w:rsidR="0087601C" w:rsidRPr="006A1EC7" w:rsidRDefault="0087601C" w:rsidP="00D56051">
            <w:pPr>
              <w:spacing w:line="320" w:lineRule="atLeast"/>
              <w:ind w:left="60" w:right="60"/>
              <w:rPr>
                <w:color w:val="264A60"/>
                <w:sz w:val="18"/>
              </w:rPr>
            </w:pPr>
            <w:r w:rsidRPr="006A1EC7">
              <w:rPr>
                <w:color w:val="264A60"/>
                <w:sz w:val="18"/>
              </w:rPr>
              <w:t>T1Fineen_Total - T1Joshua_Total</w:t>
            </w:r>
          </w:p>
        </w:tc>
        <w:tc>
          <w:tcPr>
            <w:tcW w:w="851" w:type="dxa"/>
            <w:tcBorders>
              <w:top w:val="single" w:sz="8" w:space="0" w:color="AEAEAE"/>
              <w:left w:val="nil"/>
              <w:bottom w:val="single" w:sz="8" w:space="0" w:color="AEAEAE"/>
              <w:right w:val="single" w:sz="8" w:space="0" w:color="E0E0E0"/>
            </w:tcBorders>
            <w:shd w:val="clear" w:color="auto" w:fill="FFFFFF"/>
          </w:tcPr>
          <w:p w14:paraId="7C3ABE57" w14:textId="77777777" w:rsidR="0087601C" w:rsidRPr="006A1EC7" w:rsidRDefault="0087601C" w:rsidP="00D56051">
            <w:pPr>
              <w:spacing w:line="320" w:lineRule="atLeast"/>
              <w:ind w:left="60" w:right="60"/>
              <w:jc w:val="right"/>
              <w:rPr>
                <w:color w:val="010205"/>
                <w:sz w:val="18"/>
              </w:rPr>
            </w:pPr>
            <w:r w:rsidRPr="006A1EC7">
              <w:rPr>
                <w:color w:val="010205"/>
                <w:sz w:val="18"/>
              </w:rPr>
              <w:t>-33.000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4A50B76" w14:textId="77777777" w:rsidR="0087601C" w:rsidRPr="006A1EC7" w:rsidRDefault="0087601C" w:rsidP="00D56051">
            <w:pPr>
              <w:spacing w:line="320" w:lineRule="atLeast"/>
              <w:ind w:left="60" w:right="60"/>
              <w:jc w:val="right"/>
              <w:rPr>
                <w:color w:val="010205"/>
                <w:sz w:val="18"/>
              </w:rPr>
            </w:pPr>
            <w:r w:rsidRPr="006A1EC7">
              <w:rPr>
                <w:color w:val="010205"/>
                <w:sz w:val="18"/>
              </w:rPr>
              <w:t>6.042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AB59172" w14:textId="77777777" w:rsidR="0087601C" w:rsidRPr="006A1EC7" w:rsidRDefault="0087601C" w:rsidP="00D56051">
            <w:pPr>
              <w:spacing w:line="320" w:lineRule="atLeast"/>
              <w:ind w:left="60" w:right="60"/>
              <w:jc w:val="right"/>
              <w:rPr>
                <w:color w:val="010205"/>
                <w:sz w:val="18"/>
              </w:rPr>
            </w:pPr>
            <w:r w:rsidRPr="006A1EC7">
              <w:rPr>
                <w:color w:val="010205"/>
                <w:sz w:val="18"/>
              </w:rPr>
              <w:t>2.014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299ABB1" w14:textId="77777777" w:rsidR="0087601C" w:rsidRPr="006A1EC7" w:rsidRDefault="0087601C" w:rsidP="00D56051">
            <w:pPr>
              <w:spacing w:line="320" w:lineRule="atLeast"/>
              <w:ind w:left="60" w:right="60"/>
              <w:jc w:val="right"/>
              <w:rPr>
                <w:color w:val="010205"/>
                <w:sz w:val="18"/>
              </w:rPr>
            </w:pPr>
            <w:r w:rsidRPr="006A1EC7">
              <w:rPr>
                <w:color w:val="010205"/>
                <w:sz w:val="18"/>
              </w:rPr>
              <w:t>-37.644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C5C60B7" w14:textId="77777777" w:rsidR="0087601C" w:rsidRPr="006A1EC7" w:rsidRDefault="0087601C" w:rsidP="00D56051">
            <w:pPr>
              <w:spacing w:line="320" w:lineRule="atLeast"/>
              <w:ind w:left="60" w:right="60"/>
              <w:jc w:val="right"/>
              <w:rPr>
                <w:color w:val="010205"/>
                <w:sz w:val="18"/>
              </w:rPr>
            </w:pPr>
            <w:r w:rsidRPr="006A1EC7">
              <w:rPr>
                <w:color w:val="010205"/>
                <w:sz w:val="18"/>
              </w:rPr>
              <w:t>-28.356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EF74E41" w14:textId="77777777" w:rsidR="0087601C" w:rsidRPr="006A1EC7" w:rsidRDefault="0087601C" w:rsidP="00D56051">
            <w:pPr>
              <w:spacing w:line="320" w:lineRule="atLeast"/>
              <w:ind w:left="60" w:right="60"/>
              <w:jc w:val="right"/>
              <w:rPr>
                <w:color w:val="010205"/>
                <w:sz w:val="18"/>
              </w:rPr>
            </w:pPr>
            <w:r w:rsidRPr="006A1EC7">
              <w:rPr>
                <w:color w:val="010205"/>
                <w:sz w:val="18"/>
              </w:rPr>
              <w:t>-16.387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820487"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46F4A50E"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6D2395EB"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16EF4715" w14:textId="77777777" w:rsidR="0087601C" w:rsidRPr="006A1EC7" w:rsidRDefault="0087601C" w:rsidP="00D56051">
            <w:pPr>
              <w:spacing w:line="320" w:lineRule="atLeast"/>
              <w:ind w:left="60" w:right="60"/>
              <w:rPr>
                <w:color w:val="264A60"/>
                <w:sz w:val="18"/>
              </w:rPr>
            </w:pPr>
            <w:r w:rsidRPr="006A1EC7">
              <w:rPr>
                <w:color w:val="264A60"/>
                <w:sz w:val="18"/>
              </w:rPr>
              <w:t>Pair 4</w:t>
            </w:r>
          </w:p>
        </w:tc>
        <w:tc>
          <w:tcPr>
            <w:tcW w:w="950" w:type="dxa"/>
            <w:tcBorders>
              <w:top w:val="single" w:sz="8" w:space="0" w:color="AEAEAE"/>
              <w:left w:val="nil"/>
              <w:bottom w:val="single" w:sz="8" w:space="0" w:color="AEAEAE"/>
              <w:right w:val="nil"/>
            </w:tcBorders>
            <w:shd w:val="clear" w:color="auto" w:fill="E0E0E0"/>
          </w:tcPr>
          <w:p w14:paraId="7486AE24" w14:textId="77777777" w:rsidR="0087601C" w:rsidRPr="006A1EC7" w:rsidRDefault="0087601C" w:rsidP="00D56051">
            <w:pPr>
              <w:spacing w:line="320" w:lineRule="atLeast"/>
              <w:ind w:left="60" w:right="60"/>
              <w:rPr>
                <w:color w:val="264A60"/>
                <w:sz w:val="18"/>
              </w:rPr>
            </w:pPr>
            <w:r w:rsidRPr="006A1EC7">
              <w:rPr>
                <w:color w:val="264A60"/>
                <w:sz w:val="18"/>
              </w:rPr>
              <w:t>T1Joshua_Total - T1Emma_Total</w:t>
            </w:r>
          </w:p>
        </w:tc>
        <w:tc>
          <w:tcPr>
            <w:tcW w:w="851" w:type="dxa"/>
            <w:tcBorders>
              <w:top w:val="single" w:sz="8" w:space="0" w:color="AEAEAE"/>
              <w:left w:val="nil"/>
              <w:bottom w:val="single" w:sz="8" w:space="0" w:color="AEAEAE"/>
              <w:right w:val="single" w:sz="8" w:space="0" w:color="E0E0E0"/>
            </w:tcBorders>
            <w:shd w:val="clear" w:color="auto" w:fill="FFFFFF"/>
          </w:tcPr>
          <w:p w14:paraId="6DD3A026" w14:textId="77777777" w:rsidR="0087601C" w:rsidRPr="006A1EC7" w:rsidRDefault="0087601C" w:rsidP="00D56051">
            <w:pPr>
              <w:spacing w:line="320" w:lineRule="atLeast"/>
              <w:ind w:left="60" w:right="60"/>
              <w:jc w:val="right"/>
              <w:rPr>
                <w:color w:val="010205"/>
                <w:sz w:val="18"/>
              </w:rPr>
            </w:pPr>
            <w:r w:rsidRPr="006A1EC7">
              <w:rPr>
                <w:color w:val="010205"/>
                <w:sz w:val="18"/>
              </w:rPr>
              <w:t>1.750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AB3C26B" w14:textId="77777777" w:rsidR="0087601C" w:rsidRPr="006A1EC7" w:rsidRDefault="0087601C" w:rsidP="00D56051">
            <w:pPr>
              <w:spacing w:line="320" w:lineRule="atLeast"/>
              <w:ind w:left="60" w:right="60"/>
              <w:jc w:val="right"/>
              <w:rPr>
                <w:color w:val="010205"/>
                <w:sz w:val="18"/>
              </w:rPr>
            </w:pPr>
            <w:r w:rsidRPr="006A1EC7">
              <w:rPr>
                <w:color w:val="010205"/>
                <w:sz w:val="18"/>
              </w:rPr>
              <w:t>8.016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D368360" w14:textId="77777777" w:rsidR="0087601C" w:rsidRPr="006A1EC7" w:rsidRDefault="0087601C" w:rsidP="00D56051">
            <w:pPr>
              <w:spacing w:line="320" w:lineRule="atLeast"/>
              <w:ind w:left="60" w:right="60"/>
              <w:jc w:val="right"/>
              <w:rPr>
                <w:color w:val="010205"/>
                <w:sz w:val="18"/>
              </w:rPr>
            </w:pPr>
            <w:r w:rsidRPr="006A1EC7">
              <w:rPr>
                <w:color w:val="010205"/>
                <w:sz w:val="18"/>
              </w:rPr>
              <w:t>4.008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F5AC10E" w14:textId="77777777" w:rsidR="0087601C" w:rsidRPr="006A1EC7" w:rsidRDefault="0087601C" w:rsidP="00D56051">
            <w:pPr>
              <w:spacing w:line="320" w:lineRule="atLeast"/>
              <w:ind w:left="60" w:right="60"/>
              <w:jc w:val="right"/>
              <w:rPr>
                <w:color w:val="010205"/>
                <w:sz w:val="18"/>
              </w:rPr>
            </w:pPr>
            <w:r w:rsidRPr="006A1EC7">
              <w:rPr>
                <w:color w:val="010205"/>
                <w:sz w:val="18"/>
              </w:rPr>
              <w:t>-11.005</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7AD255A" w14:textId="77777777" w:rsidR="0087601C" w:rsidRPr="006A1EC7" w:rsidRDefault="0087601C" w:rsidP="00D56051">
            <w:pPr>
              <w:spacing w:line="320" w:lineRule="atLeast"/>
              <w:ind w:left="60" w:right="60"/>
              <w:jc w:val="right"/>
              <w:rPr>
                <w:color w:val="010205"/>
                <w:sz w:val="18"/>
              </w:rPr>
            </w:pPr>
            <w:r w:rsidRPr="006A1EC7">
              <w:rPr>
                <w:color w:val="010205"/>
                <w:sz w:val="18"/>
              </w:rPr>
              <w:t>14.505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87EE3DC" w14:textId="77777777" w:rsidR="0087601C" w:rsidRPr="006A1EC7" w:rsidRDefault="0087601C" w:rsidP="00D56051">
            <w:pPr>
              <w:spacing w:line="320" w:lineRule="atLeast"/>
              <w:ind w:left="60" w:right="60"/>
              <w:jc w:val="right"/>
              <w:rPr>
                <w:color w:val="010205"/>
                <w:sz w:val="18"/>
              </w:rPr>
            </w:pPr>
            <w:r w:rsidRPr="006A1EC7">
              <w:rPr>
                <w:color w:val="010205"/>
                <w:sz w:val="18"/>
              </w:rPr>
              <w:t>.437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F8338F" w14:textId="77777777" w:rsidR="0087601C" w:rsidRPr="006A1EC7" w:rsidRDefault="0087601C" w:rsidP="00D56051">
            <w:pPr>
              <w:spacing w:line="320" w:lineRule="atLeast"/>
              <w:ind w:left="60" w:right="60"/>
              <w:jc w:val="right"/>
              <w:rPr>
                <w:color w:val="010205"/>
                <w:sz w:val="18"/>
              </w:rPr>
            </w:pPr>
            <w:r w:rsidRPr="006A1EC7">
              <w:rPr>
                <w:color w:val="010205"/>
                <w:sz w:val="18"/>
              </w:rPr>
              <w:t>3</w:t>
            </w:r>
          </w:p>
        </w:tc>
        <w:tc>
          <w:tcPr>
            <w:tcW w:w="567" w:type="dxa"/>
            <w:tcBorders>
              <w:top w:val="single" w:sz="8" w:space="0" w:color="AEAEAE"/>
              <w:left w:val="single" w:sz="8" w:space="0" w:color="E0E0E0"/>
              <w:bottom w:val="single" w:sz="8" w:space="0" w:color="AEAEAE"/>
              <w:right w:val="nil"/>
            </w:tcBorders>
            <w:shd w:val="clear" w:color="auto" w:fill="FFFFFF"/>
          </w:tcPr>
          <w:p w14:paraId="1ADEB71D" w14:textId="77777777" w:rsidR="0087601C" w:rsidRPr="006A1EC7" w:rsidRDefault="0087601C" w:rsidP="00D56051">
            <w:pPr>
              <w:spacing w:line="320" w:lineRule="atLeast"/>
              <w:ind w:left="60" w:right="60"/>
              <w:jc w:val="right"/>
              <w:rPr>
                <w:color w:val="010205"/>
                <w:sz w:val="18"/>
              </w:rPr>
            </w:pPr>
            <w:r w:rsidRPr="006A1EC7">
              <w:rPr>
                <w:color w:val="010205"/>
                <w:sz w:val="18"/>
              </w:rPr>
              <w:t>.692</w:t>
            </w:r>
          </w:p>
        </w:tc>
      </w:tr>
      <w:tr w:rsidR="0087601C" w:rsidRPr="006A1EC7" w14:paraId="16602279"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093B5608" w14:textId="77777777" w:rsidR="0087601C" w:rsidRPr="006A1EC7" w:rsidRDefault="0087601C" w:rsidP="00D56051">
            <w:pPr>
              <w:spacing w:line="320" w:lineRule="atLeast"/>
              <w:ind w:left="60" w:right="60"/>
              <w:rPr>
                <w:color w:val="264A60"/>
                <w:sz w:val="18"/>
              </w:rPr>
            </w:pPr>
            <w:r w:rsidRPr="006A1EC7">
              <w:rPr>
                <w:color w:val="264A60"/>
                <w:sz w:val="18"/>
              </w:rPr>
              <w:t>Pair 5</w:t>
            </w:r>
          </w:p>
        </w:tc>
        <w:tc>
          <w:tcPr>
            <w:tcW w:w="950" w:type="dxa"/>
            <w:tcBorders>
              <w:top w:val="single" w:sz="8" w:space="0" w:color="AEAEAE"/>
              <w:left w:val="nil"/>
              <w:bottom w:val="single" w:sz="8" w:space="0" w:color="AEAEAE"/>
              <w:right w:val="nil"/>
            </w:tcBorders>
            <w:shd w:val="clear" w:color="auto" w:fill="E0E0E0"/>
          </w:tcPr>
          <w:p w14:paraId="4460158C" w14:textId="77777777" w:rsidR="0087601C" w:rsidRPr="006A1EC7" w:rsidRDefault="0087601C" w:rsidP="00D56051">
            <w:pPr>
              <w:spacing w:line="320" w:lineRule="atLeast"/>
              <w:ind w:left="60" w:right="60"/>
              <w:rPr>
                <w:color w:val="264A60"/>
                <w:sz w:val="18"/>
              </w:rPr>
            </w:pPr>
            <w:r w:rsidRPr="006A1EC7">
              <w:rPr>
                <w:color w:val="264A60"/>
                <w:sz w:val="18"/>
              </w:rPr>
              <w:t>T1Emma_Face - T1Joshua_Face</w:t>
            </w:r>
          </w:p>
        </w:tc>
        <w:tc>
          <w:tcPr>
            <w:tcW w:w="851" w:type="dxa"/>
            <w:tcBorders>
              <w:top w:val="single" w:sz="8" w:space="0" w:color="AEAEAE"/>
              <w:left w:val="nil"/>
              <w:bottom w:val="single" w:sz="8" w:space="0" w:color="AEAEAE"/>
              <w:right w:val="single" w:sz="8" w:space="0" w:color="E0E0E0"/>
            </w:tcBorders>
            <w:shd w:val="clear" w:color="auto" w:fill="FFFFFF"/>
          </w:tcPr>
          <w:p w14:paraId="35276EE2" w14:textId="77777777" w:rsidR="0087601C" w:rsidRPr="006A1EC7" w:rsidRDefault="0087601C" w:rsidP="00D56051">
            <w:pPr>
              <w:spacing w:line="320" w:lineRule="atLeast"/>
              <w:ind w:left="60" w:right="60"/>
              <w:jc w:val="right"/>
              <w:rPr>
                <w:color w:val="010205"/>
                <w:sz w:val="18"/>
              </w:rPr>
            </w:pPr>
            <w:r w:rsidRPr="006A1EC7">
              <w:rPr>
                <w:color w:val="010205"/>
                <w:sz w:val="18"/>
              </w:rPr>
              <w:t>-2.500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4D59178" w14:textId="77777777" w:rsidR="0087601C" w:rsidRPr="006A1EC7" w:rsidRDefault="0087601C" w:rsidP="00D56051">
            <w:pPr>
              <w:spacing w:line="320" w:lineRule="atLeast"/>
              <w:ind w:left="60" w:right="60"/>
              <w:jc w:val="right"/>
              <w:rPr>
                <w:color w:val="010205"/>
                <w:sz w:val="18"/>
              </w:rPr>
            </w:pPr>
            <w:r w:rsidRPr="006A1EC7">
              <w:rPr>
                <w:color w:val="010205"/>
                <w:sz w:val="18"/>
              </w:rPr>
              <w:t>.548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03A795E" w14:textId="77777777" w:rsidR="0087601C" w:rsidRPr="006A1EC7" w:rsidRDefault="0087601C" w:rsidP="00D56051">
            <w:pPr>
              <w:spacing w:line="320" w:lineRule="atLeast"/>
              <w:ind w:left="60" w:right="60"/>
              <w:jc w:val="right"/>
              <w:rPr>
                <w:color w:val="010205"/>
                <w:sz w:val="18"/>
              </w:rPr>
            </w:pPr>
            <w:r w:rsidRPr="006A1EC7">
              <w:rPr>
                <w:color w:val="010205"/>
                <w:sz w:val="18"/>
              </w:rPr>
              <w:t>.224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E4EDDA4" w14:textId="77777777" w:rsidR="0087601C" w:rsidRPr="006A1EC7" w:rsidRDefault="0087601C" w:rsidP="00D56051">
            <w:pPr>
              <w:spacing w:line="320" w:lineRule="atLeast"/>
              <w:ind w:left="60" w:right="60"/>
              <w:jc w:val="right"/>
              <w:rPr>
                <w:color w:val="010205"/>
                <w:sz w:val="18"/>
              </w:rPr>
            </w:pPr>
            <w:r w:rsidRPr="006A1EC7">
              <w:rPr>
                <w:color w:val="010205"/>
                <w:sz w:val="18"/>
              </w:rPr>
              <w:t>-3.075</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299DC41" w14:textId="77777777" w:rsidR="0087601C" w:rsidRPr="006A1EC7" w:rsidRDefault="0087601C" w:rsidP="00D56051">
            <w:pPr>
              <w:spacing w:line="320" w:lineRule="atLeast"/>
              <w:ind w:left="60" w:right="60"/>
              <w:jc w:val="right"/>
              <w:rPr>
                <w:color w:val="010205"/>
                <w:sz w:val="18"/>
              </w:rPr>
            </w:pPr>
            <w:r w:rsidRPr="006A1EC7">
              <w:rPr>
                <w:color w:val="010205"/>
                <w:sz w:val="18"/>
              </w:rPr>
              <w:t>-1.925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3A3973C" w14:textId="77777777" w:rsidR="0087601C" w:rsidRPr="006A1EC7" w:rsidRDefault="0087601C" w:rsidP="00D56051">
            <w:pPr>
              <w:spacing w:line="320" w:lineRule="atLeast"/>
              <w:ind w:left="60" w:right="60"/>
              <w:jc w:val="right"/>
              <w:rPr>
                <w:color w:val="010205"/>
                <w:sz w:val="18"/>
              </w:rPr>
            </w:pPr>
            <w:r w:rsidRPr="006A1EC7">
              <w:rPr>
                <w:color w:val="010205"/>
                <w:sz w:val="18"/>
              </w:rPr>
              <w:t>-11.180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EDA8AB" w14:textId="77777777" w:rsidR="0087601C" w:rsidRPr="006A1EC7" w:rsidRDefault="0087601C" w:rsidP="00D56051">
            <w:pPr>
              <w:spacing w:line="320" w:lineRule="atLeast"/>
              <w:ind w:left="60" w:right="60"/>
              <w:jc w:val="right"/>
              <w:rPr>
                <w:color w:val="010205"/>
                <w:sz w:val="18"/>
              </w:rPr>
            </w:pPr>
            <w:r w:rsidRPr="006A1EC7">
              <w:rPr>
                <w:color w:val="010205"/>
                <w:sz w:val="18"/>
              </w:rPr>
              <w:t>5</w:t>
            </w:r>
          </w:p>
        </w:tc>
        <w:tc>
          <w:tcPr>
            <w:tcW w:w="567" w:type="dxa"/>
            <w:tcBorders>
              <w:top w:val="single" w:sz="8" w:space="0" w:color="AEAEAE"/>
              <w:left w:val="single" w:sz="8" w:space="0" w:color="E0E0E0"/>
              <w:bottom w:val="single" w:sz="8" w:space="0" w:color="AEAEAE"/>
              <w:right w:val="nil"/>
            </w:tcBorders>
            <w:shd w:val="clear" w:color="auto" w:fill="FFFFFF"/>
          </w:tcPr>
          <w:p w14:paraId="396C9A16"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645ACF62"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011745B1" w14:textId="77777777" w:rsidR="0087601C" w:rsidRPr="006A1EC7" w:rsidRDefault="0087601C" w:rsidP="00D56051">
            <w:pPr>
              <w:spacing w:line="320" w:lineRule="atLeast"/>
              <w:ind w:left="60" w:right="60"/>
              <w:rPr>
                <w:color w:val="264A60"/>
                <w:sz w:val="18"/>
              </w:rPr>
            </w:pPr>
            <w:r w:rsidRPr="006A1EC7">
              <w:rPr>
                <w:color w:val="264A60"/>
                <w:sz w:val="18"/>
              </w:rPr>
              <w:t>Pair 6</w:t>
            </w:r>
          </w:p>
        </w:tc>
        <w:tc>
          <w:tcPr>
            <w:tcW w:w="950" w:type="dxa"/>
            <w:tcBorders>
              <w:top w:val="single" w:sz="8" w:space="0" w:color="AEAEAE"/>
              <w:left w:val="nil"/>
              <w:bottom w:val="single" w:sz="8" w:space="0" w:color="AEAEAE"/>
              <w:right w:val="nil"/>
            </w:tcBorders>
            <w:shd w:val="clear" w:color="auto" w:fill="E0E0E0"/>
          </w:tcPr>
          <w:p w14:paraId="74D94095" w14:textId="77777777" w:rsidR="0087601C" w:rsidRPr="006A1EC7" w:rsidRDefault="0087601C" w:rsidP="00D56051">
            <w:pPr>
              <w:spacing w:line="320" w:lineRule="atLeast"/>
              <w:ind w:left="60" w:right="60"/>
              <w:rPr>
                <w:color w:val="264A60"/>
                <w:sz w:val="18"/>
              </w:rPr>
            </w:pPr>
            <w:r w:rsidRPr="006A1EC7">
              <w:rPr>
                <w:color w:val="264A60"/>
                <w:sz w:val="18"/>
              </w:rPr>
              <w:t>T1Bronagh_Face - T1Alessandro_Face</w:t>
            </w:r>
          </w:p>
        </w:tc>
        <w:tc>
          <w:tcPr>
            <w:tcW w:w="851" w:type="dxa"/>
            <w:tcBorders>
              <w:top w:val="single" w:sz="8" w:space="0" w:color="AEAEAE"/>
              <w:left w:val="nil"/>
              <w:bottom w:val="single" w:sz="8" w:space="0" w:color="AEAEAE"/>
              <w:right w:val="single" w:sz="8" w:space="0" w:color="E0E0E0"/>
            </w:tcBorders>
            <w:shd w:val="clear" w:color="auto" w:fill="FFFFFF"/>
          </w:tcPr>
          <w:p w14:paraId="4D8F978E" w14:textId="77777777" w:rsidR="0087601C" w:rsidRPr="006A1EC7" w:rsidRDefault="0087601C" w:rsidP="00D56051">
            <w:pPr>
              <w:spacing w:line="320" w:lineRule="atLeast"/>
              <w:ind w:left="60" w:right="60"/>
              <w:jc w:val="right"/>
              <w:rPr>
                <w:color w:val="010205"/>
                <w:sz w:val="18"/>
              </w:rPr>
            </w:pPr>
            <w:r w:rsidRPr="006A1EC7">
              <w:rPr>
                <w:color w:val="010205"/>
                <w:sz w:val="18"/>
              </w:rPr>
              <w:t>-2.444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8B5F888" w14:textId="77777777" w:rsidR="0087601C" w:rsidRPr="006A1EC7" w:rsidRDefault="0087601C" w:rsidP="00D56051">
            <w:pPr>
              <w:spacing w:line="320" w:lineRule="atLeast"/>
              <w:ind w:left="60" w:right="60"/>
              <w:jc w:val="right"/>
              <w:rPr>
                <w:color w:val="010205"/>
                <w:sz w:val="18"/>
              </w:rPr>
            </w:pPr>
            <w:r w:rsidRPr="006A1EC7">
              <w:rPr>
                <w:color w:val="010205"/>
                <w:sz w:val="18"/>
              </w:rPr>
              <w:t>.527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80C39FF" w14:textId="77777777" w:rsidR="0087601C" w:rsidRPr="006A1EC7" w:rsidRDefault="0087601C" w:rsidP="00D56051">
            <w:pPr>
              <w:spacing w:line="320" w:lineRule="atLeast"/>
              <w:ind w:left="60" w:right="60"/>
              <w:jc w:val="right"/>
              <w:rPr>
                <w:color w:val="010205"/>
                <w:sz w:val="18"/>
              </w:rPr>
            </w:pPr>
            <w:r w:rsidRPr="006A1EC7">
              <w:rPr>
                <w:color w:val="010205"/>
                <w:sz w:val="18"/>
              </w:rPr>
              <w:t>.176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819B525" w14:textId="77777777" w:rsidR="0087601C" w:rsidRPr="006A1EC7" w:rsidRDefault="0087601C" w:rsidP="00D56051">
            <w:pPr>
              <w:spacing w:line="320" w:lineRule="atLeast"/>
              <w:ind w:left="60" w:right="60"/>
              <w:jc w:val="right"/>
              <w:rPr>
                <w:color w:val="010205"/>
                <w:sz w:val="18"/>
              </w:rPr>
            </w:pPr>
            <w:r w:rsidRPr="006A1EC7">
              <w:rPr>
                <w:color w:val="010205"/>
                <w:sz w:val="18"/>
              </w:rPr>
              <w:t>-2.850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D47072F" w14:textId="77777777" w:rsidR="0087601C" w:rsidRPr="006A1EC7" w:rsidRDefault="0087601C" w:rsidP="00D56051">
            <w:pPr>
              <w:spacing w:line="320" w:lineRule="atLeast"/>
              <w:ind w:left="60" w:right="60"/>
              <w:jc w:val="right"/>
              <w:rPr>
                <w:color w:val="010205"/>
                <w:sz w:val="18"/>
              </w:rPr>
            </w:pPr>
            <w:r w:rsidRPr="006A1EC7">
              <w:rPr>
                <w:color w:val="010205"/>
                <w:sz w:val="18"/>
              </w:rPr>
              <w:t>-2.039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8EB7F80" w14:textId="77777777" w:rsidR="0087601C" w:rsidRPr="006A1EC7" w:rsidRDefault="0087601C" w:rsidP="00D56051">
            <w:pPr>
              <w:spacing w:line="320" w:lineRule="atLeast"/>
              <w:ind w:left="60" w:right="60"/>
              <w:jc w:val="right"/>
              <w:rPr>
                <w:color w:val="010205"/>
                <w:sz w:val="18"/>
              </w:rPr>
            </w:pPr>
            <w:r w:rsidRPr="006A1EC7">
              <w:rPr>
                <w:color w:val="010205"/>
                <w:sz w:val="18"/>
              </w:rPr>
              <w:t>-13.914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871ADA"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731E16BA"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29E88F0F"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0AD2DF83" w14:textId="77777777" w:rsidR="0087601C" w:rsidRPr="006A1EC7" w:rsidRDefault="0087601C" w:rsidP="00D56051">
            <w:pPr>
              <w:spacing w:line="320" w:lineRule="atLeast"/>
              <w:ind w:left="60" w:right="60"/>
              <w:rPr>
                <w:color w:val="264A60"/>
                <w:sz w:val="18"/>
              </w:rPr>
            </w:pPr>
            <w:r w:rsidRPr="006A1EC7">
              <w:rPr>
                <w:color w:val="264A60"/>
                <w:sz w:val="18"/>
              </w:rPr>
              <w:t>Pair 7</w:t>
            </w:r>
          </w:p>
        </w:tc>
        <w:tc>
          <w:tcPr>
            <w:tcW w:w="950" w:type="dxa"/>
            <w:tcBorders>
              <w:top w:val="single" w:sz="8" w:space="0" w:color="AEAEAE"/>
              <w:left w:val="nil"/>
              <w:bottom w:val="single" w:sz="8" w:space="0" w:color="AEAEAE"/>
              <w:right w:val="nil"/>
            </w:tcBorders>
            <w:shd w:val="clear" w:color="auto" w:fill="E0E0E0"/>
          </w:tcPr>
          <w:p w14:paraId="56D55032" w14:textId="77777777" w:rsidR="0087601C" w:rsidRPr="006A1EC7" w:rsidRDefault="0087601C" w:rsidP="00D56051">
            <w:pPr>
              <w:spacing w:line="320" w:lineRule="atLeast"/>
              <w:ind w:left="60" w:right="60"/>
              <w:rPr>
                <w:color w:val="264A60"/>
                <w:sz w:val="18"/>
              </w:rPr>
            </w:pPr>
            <w:r w:rsidRPr="006A1EC7">
              <w:rPr>
                <w:color w:val="264A60"/>
                <w:sz w:val="18"/>
              </w:rPr>
              <w:t>T1Bronagh_Epilepsy - T1Fineen_Epilepsy</w:t>
            </w:r>
          </w:p>
        </w:tc>
        <w:tc>
          <w:tcPr>
            <w:tcW w:w="851" w:type="dxa"/>
            <w:tcBorders>
              <w:top w:val="single" w:sz="8" w:space="0" w:color="AEAEAE"/>
              <w:left w:val="nil"/>
              <w:bottom w:val="single" w:sz="8" w:space="0" w:color="AEAEAE"/>
              <w:right w:val="single" w:sz="8" w:space="0" w:color="E0E0E0"/>
            </w:tcBorders>
            <w:shd w:val="clear" w:color="auto" w:fill="FFFFFF"/>
          </w:tcPr>
          <w:p w14:paraId="5072836D" w14:textId="77777777" w:rsidR="0087601C" w:rsidRPr="006A1EC7" w:rsidRDefault="0087601C" w:rsidP="00D56051">
            <w:pPr>
              <w:spacing w:line="320" w:lineRule="atLeast"/>
              <w:ind w:left="60" w:right="60"/>
              <w:jc w:val="right"/>
              <w:rPr>
                <w:color w:val="010205"/>
                <w:sz w:val="18"/>
              </w:rPr>
            </w:pPr>
            <w:r w:rsidRPr="006A1EC7">
              <w:rPr>
                <w:color w:val="010205"/>
                <w:sz w:val="18"/>
              </w:rPr>
              <w:t>1.778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428D0B3" w14:textId="77777777" w:rsidR="0087601C" w:rsidRPr="006A1EC7" w:rsidRDefault="0087601C" w:rsidP="00D56051">
            <w:pPr>
              <w:spacing w:line="320" w:lineRule="atLeast"/>
              <w:ind w:left="60" w:right="60"/>
              <w:jc w:val="right"/>
              <w:rPr>
                <w:color w:val="010205"/>
                <w:sz w:val="18"/>
              </w:rPr>
            </w:pPr>
            <w:r w:rsidRPr="006A1EC7">
              <w:rPr>
                <w:color w:val="010205"/>
                <w:sz w:val="18"/>
              </w:rPr>
              <w:t>1.302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CDB56A4" w14:textId="77777777" w:rsidR="0087601C" w:rsidRPr="006A1EC7" w:rsidRDefault="0087601C" w:rsidP="00D56051">
            <w:pPr>
              <w:spacing w:line="320" w:lineRule="atLeast"/>
              <w:ind w:left="60" w:right="60"/>
              <w:jc w:val="right"/>
              <w:rPr>
                <w:color w:val="010205"/>
                <w:sz w:val="18"/>
              </w:rPr>
            </w:pPr>
            <w:r w:rsidRPr="006A1EC7">
              <w:rPr>
                <w:color w:val="010205"/>
                <w:sz w:val="18"/>
              </w:rPr>
              <w:t>.434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597B5D5" w14:textId="77777777" w:rsidR="0087601C" w:rsidRPr="006A1EC7" w:rsidRDefault="0087601C" w:rsidP="00D56051">
            <w:pPr>
              <w:spacing w:line="320" w:lineRule="atLeast"/>
              <w:ind w:left="60" w:right="60"/>
              <w:jc w:val="right"/>
              <w:rPr>
                <w:color w:val="010205"/>
                <w:sz w:val="18"/>
              </w:rPr>
            </w:pPr>
            <w:r w:rsidRPr="006A1EC7">
              <w:rPr>
                <w:color w:val="010205"/>
                <w:sz w:val="18"/>
              </w:rPr>
              <w:t>.777</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8278791" w14:textId="77777777" w:rsidR="0087601C" w:rsidRPr="006A1EC7" w:rsidRDefault="0087601C" w:rsidP="00D56051">
            <w:pPr>
              <w:spacing w:line="320" w:lineRule="atLeast"/>
              <w:ind w:left="60" w:right="60"/>
              <w:jc w:val="right"/>
              <w:rPr>
                <w:color w:val="010205"/>
                <w:sz w:val="18"/>
              </w:rPr>
            </w:pPr>
            <w:r w:rsidRPr="006A1EC7">
              <w:rPr>
                <w:color w:val="010205"/>
                <w:sz w:val="18"/>
              </w:rPr>
              <w:t>2.778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F88A1B0" w14:textId="77777777" w:rsidR="0087601C" w:rsidRPr="006A1EC7" w:rsidRDefault="0087601C" w:rsidP="00D56051">
            <w:pPr>
              <w:spacing w:line="320" w:lineRule="atLeast"/>
              <w:ind w:left="60" w:right="60"/>
              <w:jc w:val="right"/>
              <w:rPr>
                <w:color w:val="010205"/>
                <w:sz w:val="18"/>
              </w:rPr>
            </w:pPr>
            <w:r w:rsidRPr="006A1EC7">
              <w:rPr>
                <w:color w:val="010205"/>
                <w:sz w:val="18"/>
              </w:rPr>
              <w:t>4.097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AFB8E0"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3B543E58" w14:textId="77777777" w:rsidR="0087601C" w:rsidRPr="006A1EC7" w:rsidRDefault="0087601C" w:rsidP="00D56051">
            <w:pPr>
              <w:spacing w:line="320" w:lineRule="atLeast"/>
              <w:ind w:left="60" w:right="60"/>
              <w:jc w:val="right"/>
              <w:rPr>
                <w:color w:val="010205"/>
                <w:sz w:val="18"/>
              </w:rPr>
            </w:pPr>
            <w:r w:rsidRPr="006A1EC7">
              <w:rPr>
                <w:color w:val="010205"/>
                <w:sz w:val="18"/>
              </w:rPr>
              <w:t>.003</w:t>
            </w:r>
          </w:p>
        </w:tc>
      </w:tr>
      <w:tr w:rsidR="0087601C" w:rsidRPr="006A1EC7" w14:paraId="0294E0A7"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59C50B2A" w14:textId="77777777" w:rsidR="0087601C" w:rsidRPr="006A1EC7" w:rsidRDefault="0087601C" w:rsidP="00D56051">
            <w:pPr>
              <w:spacing w:line="320" w:lineRule="atLeast"/>
              <w:ind w:left="60" w:right="60"/>
              <w:rPr>
                <w:color w:val="264A60"/>
                <w:sz w:val="18"/>
              </w:rPr>
            </w:pPr>
            <w:r w:rsidRPr="006A1EC7">
              <w:rPr>
                <w:color w:val="264A60"/>
                <w:sz w:val="18"/>
              </w:rPr>
              <w:t>Pair 8</w:t>
            </w:r>
          </w:p>
        </w:tc>
        <w:tc>
          <w:tcPr>
            <w:tcW w:w="950" w:type="dxa"/>
            <w:tcBorders>
              <w:top w:val="single" w:sz="8" w:space="0" w:color="AEAEAE"/>
              <w:left w:val="nil"/>
              <w:bottom w:val="single" w:sz="8" w:space="0" w:color="AEAEAE"/>
              <w:right w:val="nil"/>
            </w:tcBorders>
            <w:shd w:val="clear" w:color="auto" w:fill="E0E0E0"/>
          </w:tcPr>
          <w:p w14:paraId="774A267E" w14:textId="77777777" w:rsidR="0087601C" w:rsidRPr="006A1EC7" w:rsidRDefault="0087601C" w:rsidP="00D56051">
            <w:pPr>
              <w:spacing w:line="320" w:lineRule="atLeast"/>
              <w:ind w:left="60" w:right="60"/>
              <w:rPr>
                <w:color w:val="264A60"/>
                <w:sz w:val="18"/>
              </w:rPr>
            </w:pPr>
            <w:r w:rsidRPr="006A1EC7">
              <w:rPr>
                <w:color w:val="264A60"/>
                <w:sz w:val="18"/>
              </w:rPr>
              <w:t>T1Emma_Epilepsy - T1Bronagh_Epilepsy</w:t>
            </w:r>
          </w:p>
        </w:tc>
        <w:tc>
          <w:tcPr>
            <w:tcW w:w="851" w:type="dxa"/>
            <w:tcBorders>
              <w:top w:val="single" w:sz="8" w:space="0" w:color="AEAEAE"/>
              <w:left w:val="nil"/>
              <w:bottom w:val="single" w:sz="8" w:space="0" w:color="AEAEAE"/>
              <w:right w:val="single" w:sz="8" w:space="0" w:color="E0E0E0"/>
            </w:tcBorders>
            <w:shd w:val="clear" w:color="auto" w:fill="FFFFFF"/>
          </w:tcPr>
          <w:p w14:paraId="72B3A09D" w14:textId="77777777" w:rsidR="0087601C" w:rsidRPr="006A1EC7" w:rsidRDefault="0087601C" w:rsidP="00D56051">
            <w:pPr>
              <w:spacing w:line="320" w:lineRule="atLeast"/>
              <w:ind w:left="60" w:right="60"/>
              <w:jc w:val="right"/>
              <w:rPr>
                <w:color w:val="010205"/>
                <w:sz w:val="18"/>
              </w:rPr>
            </w:pPr>
            <w:r w:rsidRPr="006A1EC7">
              <w:rPr>
                <w:color w:val="010205"/>
                <w:sz w:val="18"/>
              </w:rPr>
              <w:t>9.429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0259627" w14:textId="77777777" w:rsidR="0087601C" w:rsidRPr="006A1EC7" w:rsidRDefault="0087601C" w:rsidP="00D56051">
            <w:pPr>
              <w:spacing w:line="320" w:lineRule="atLeast"/>
              <w:ind w:left="60" w:right="60"/>
              <w:jc w:val="right"/>
              <w:rPr>
                <w:color w:val="010205"/>
                <w:sz w:val="18"/>
              </w:rPr>
            </w:pPr>
            <w:r w:rsidRPr="006A1EC7">
              <w:rPr>
                <w:color w:val="010205"/>
                <w:sz w:val="18"/>
              </w:rPr>
              <w:t>.535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CFE3E64" w14:textId="77777777" w:rsidR="0087601C" w:rsidRPr="006A1EC7" w:rsidRDefault="0087601C" w:rsidP="00D56051">
            <w:pPr>
              <w:spacing w:line="320" w:lineRule="atLeast"/>
              <w:ind w:left="60" w:right="60"/>
              <w:jc w:val="right"/>
              <w:rPr>
                <w:color w:val="010205"/>
                <w:sz w:val="18"/>
              </w:rPr>
            </w:pPr>
            <w:r w:rsidRPr="006A1EC7">
              <w:rPr>
                <w:color w:val="010205"/>
                <w:sz w:val="18"/>
              </w:rPr>
              <w:t>.202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0AC75A4" w14:textId="77777777" w:rsidR="0087601C" w:rsidRPr="006A1EC7" w:rsidRDefault="0087601C" w:rsidP="00D56051">
            <w:pPr>
              <w:spacing w:line="320" w:lineRule="atLeast"/>
              <w:ind w:left="60" w:right="60"/>
              <w:jc w:val="right"/>
              <w:rPr>
                <w:color w:val="010205"/>
                <w:sz w:val="18"/>
              </w:rPr>
            </w:pPr>
            <w:r w:rsidRPr="006A1EC7">
              <w:rPr>
                <w:color w:val="010205"/>
                <w:sz w:val="18"/>
              </w:rPr>
              <w:t>8.934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32A0366" w14:textId="77777777" w:rsidR="0087601C" w:rsidRPr="006A1EC7" w:rsidRDefault="0087601C" w:rsidP="00D56051">
            <w:pPr>
              <w:spacing w:line="320" w:lineRule="atLeast"/>
              <w:ind w:left="60" w:right="60"/>
              <w:jc w:val="right"/>
              <w:rPr>
                <w:color w:val="010205"/>
                <w:sz w:val="18"/>
              </w:rPr>
            </w:pPr>
            <w:r w:rsidRPr="006A1EC7">
              <w:rPr>
                <w:color w:val="010205"/>
                <w:sz w:val="18"/>
              </w:rPr>
              <w:t>9.923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DD12C69" w14:textId="77777777" w:rsidR="0087601C" w:rsidRPr="006A1EC7" w:rsidRDefault="0087601C" w:rsidP="00D56051">
            <w:pPr>
              <w:spacing w:line="320" w:lineRule="atLeast"/>
              <w:ind w:left="60" w:right="60"/>
              <w:jc w:val="right"/>
              <w:rPr>
                <w:color w:val="010205"/>
                <w:sz w:val="18"/>
              </w:rPr>
            </w:pPr>
            <w:r w:rsidRPr="006A1EC7">
              <w:rPr>
                <w:color w:val="010205"/>
                <w:sz w:val="18"/>
              </w:rPr>
              <w:t>46.669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A16F23" w14:textId="77777777" w:rsidR="0087601C" w:rsidRPr="006A1EC7" w:rsidRDefault="0087601C" w:rsidP="00D56051">
            <w:pPr>
              <w:spacing w:line="320" w:lineRule="atLeast"/>
              <w:ind w:left="60" w:right="60"/>
              <w:jc w:val="right"/>
              <w:rPr>
                <w:color w:val="010205"/>
                <w:sz w:val="18"/>
              </w:rPr>
            </w:pPr>
            <w:r w:rsidRPr="006A1EC7">
              <w:rPr>
                <w:color w:val="010205"/>
                <w:sz w:val="18"/>
              </w:rPr>
              <w:t>6</w:t>
            </w:r>
          </w:p>
        </w:tc>
        <w:tc>
          <w:tcPr>
            <w:tcW w:w="567" w:type="dxa"/>
            <w:tcBorders>
              <w:top w:val="single" w:sz="8" w:space="0" w:color="AEAEAE"/>
              <w:left w:val="single" w:sz="8" w:space="0" w:color="E0E0E0"/>
              <w:bottom w:val="single" w:sz="8" w:space="0" w:color="AEAEAE"/>
              <w:right w:val="nil"/>
            </w:tcBorders>
            <w:shd w:val="clear" w:color="auto" w:fill="FFFFFF"/>
          </w:tcPr>
          <w:p w14:paraId="58319E5B"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44D35F87"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247B271C" w14:textId="77777777" w:rsidR="0087601C" w:rsidRPr="006A1EC7" w:rsidRDefault="0087601C" w:rsidP="00D56051">
            <w:pPr>
              <w:spacing w:line="320" w:lineRule="atLeast"/>
              <w:ind w:left="60" w:right="60"/>
              <w:rPr>
                <w:color w:val="264A60"/>
                <w:sz w:val="18"/>
              </w:rPr>
            </w:pPr>
            <w:r w:rsidRPr="006A1EC7">
              <w:rPr>
                <w:color w:val="264A60"/>
                <w:sz w:val="18"/>
              </w:rPr>
              <w:lastRenderedPageBreak/>
              <w:t>Pair 9</w:t>
            </w:r>
          </w:p>
        </w:tc>
        <w:tc>
          <w:tcPr>
            <w:tcW w:w="950" w:type="dxa"/>
            <w:tcBorders>
              <w:top w:val="single" w:sz="8" w:space="0" w:color="AEAEAE"/>
              <w:left w:val="nil"/>
              <w:bottom w:val="single" w:sz="8" w:space="0" w:color="AEAEAE"/>
              <w:right w:val="nil"/>
            </w:tcBorders>
            <w:shd w:val="clear" w:color="auto" w:fill="E0E0E0"/>
          </w:tcPr>
          <w:p w14:paraId="239818BF" w14:textId="77777777" w:rsidR="0087601C" w:rsidRPr="006A1EC7" w:rsidRDefault="0087601C" w:rsidP="00D56051">
            <w:pPr>
              <w:spacing w:line="320" w:lineRule="atLeast"/>
              <w:ind w:left="60" w:right="60"/>
              <w:rPr>
                <w:color w:val="264A60"/>
                <w:sz w:val="18"/>
              </w:rPr>
            </w:pPr>
            <w:r w:rsidRPr="006A1EC7">
              <w:rPr>
                <w:color w:val="264A60"/>
                <w:sz w:val="18"/>
              </w:rPr>
              <w:t>T1Bronagh_Epilepsy - T1Joshua_Epilepsy</w:t>
            </w:r>
          </w:p>
        </w:tc>
        <w:tc>
          <w:tcPr>
            <w:tcW w:w="851" w:type="dxa"/>
            <w:tcBorders>
              <w:top w:val="single" w:sz="8" w:space="0" w:color="AEAEAE"/>
              <w:left w:val="nil"/>
              <w:bottom w:val="single" w:sz="8" w:space="0" w:color="AEAEAE"/>
              <w:right w:val="single" w:sz="8" w:space="0" w:color="E0E0E0"/>
            </w:tcBorders>
            <w:shd w:val="clear" w:color="auto" w:fill="FFFFFF"/>
          </w:tcPr>
          <w:p w14:paraId="1CFA0B04" w14:textId="77777777" w:rsidR="0087601C" w:rsidRPr="006A1EC7" w:rsidRDefault="0087601C" w:rsidP="00D56051">
            <w:pPr>
              <w:spacing w:line="320" w:lineRule="atLeast"/>
              <w:ind w:left="60" w:right="60"/>
              <w:jc w:val="right"/>
              <w:rPr>
                <w:color w:val="010205"/>
                <w:sz w:val="18"/>
              </w:rPr>
            </w:pPr>
            <w:r w:rsidRPr="006A1EC7">
              <w:rPr>
                <w:color w:val="010205"/>
                <w:sz w:val="18"/>
              </w:rPr>
              <w:t>-11.400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F8551B3" w14:textId="77777777" w:rsidR="0087601C" w:rsidRPr="006A1EC7" w:rsidRDefault="0087601C" w:rsidP="00D56051">
            <w:pPr>
              <w:spacing w:line="320" w:lineRule="atLeast"/>
              <w:ind w:left="60" w:right="60"/>
              <w:jc w:val="right"/>
              <w:rPr>
                <w:color w:val="010205"/>
                <w:sz w:val="18"/>
              </w:rPr>
            </w:pPr>
            <w:r w:rsidRPr="006A1EC7">
              <w:rPr>
                <w:color w:val="010205"/>
                <w:sz w:val="18"/>
              </w:rPr>
              <w:t>.966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89C112C" w14:textId="77777777" w:rsidR="0087601C" w:rsidRPr="006A1EC7" w:rsidRDefault="0087601C" w:rsidP="00D56051">
            <w:pPr>
              <w:spacing w:line="320" w:lineRule="atLeast"/>
              <w:ind w:left="60" w:right="60"/>
              <w:jc w:val="right"/>
              <w:rPr>
                <w:color w:val="010205"/>
                <w:sz w:val="18"/>
              </w:rPr>
            </w:pPr>
            <w:r w:rsidRPr="006A1EC7">
              <w:rPr>
                <w:color w:val="010205"/>
                <w:sz w:val="18"/>
              </w:rPr>
              <w:t>.306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64BBA53" w14:textId="77777777" w:rsidR="0087601C" w:rsidRPr="006A1EC7" w:rsidRDefault="0087601C" w:rsidP="00D56051">
            <w:pPr>
              <w:spacing w:line="320" w:lineRule="atLeast"/>
              <w:ind w:left="60" w:right="60"/>
              <w:jc w:val="right"/>
              <w:rPr>
                <w:color w:val="010205"/>
                <w:sz w:val="18"/>
              </w:rPr>
            </w:pPr>
            <w:r w:rsidRPr="006A1EC7">
              <w:rPr>
                <w:color w:val="010205"/>
                <w:sz w:val="18"/>
              </w:rPr>
              <w:t>-12.091</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237C702" w14:textId="77777777" w:rsidR="0087601C" w:rsidRPr="006A1EC7" w:rsidRDefault="0087601C" w:rsidP="00D56051">
            <w:pPr>
              <w:spacing w:line="320" w:lineRule="atLeast"/>
              <w:ind w:left="60" w:right="60"/>
              <w:jc w:val="right"/>
              <w:rPr>
                <w:color w:val="010205"/>
                <w:sz w:val="18"/>
              </w:rPr>
            </w:pPr>
            <w:r w:rsidRPr="006A1EC7">
              <w:rPr>
                <w:color w:val="010205"/>
                <w:sz w:val="18"/>
              </w:rPr>
              <w:t>-10.709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0DA9528" w14:textId="77777777" w:rsidR="0087601C" w:rsidRPr="006A1EC7" w:rsidRDefault="0087601C" w:rsidP="00D56051">
            <w:pPr>
              <w:spacing w:line="320" w:lineRule="atLeast"/>
              <w:ind w:left="60" w:right="60"/>
              <w:jc w:val="right"/>
              <w:rPr>
                <w:color w:val="010205"/>
                <w:sz w:val="18"/>
              </w:rPr>
            </w:pPr>
            <w:r w:rsidRPr="006A1EC7">
              <w:rPr>
                <w:color w:val="010205"/>
                <w:sz w:val="18"/>
              </w:rPr>
              <w:t>-37.315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98FC11"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540AFE87"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07A7F665"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7C0499C0" w14:textId="77777777" w:rsidR="0087601C" w:rsidRPr="006A1EC7" w:rsidRDefault="0087601C" w:rsidP="00D56051">
            <w:pPr>
              <w:spacing w:line="320" w:lineRule="atLeast"/>
              <w:ind w:left="60" w:right="60"/>
              <w:rPr>
                <w:color w:val="264A60"/>
                <w:sz w:val="18"/>
              </w:rPr>
            </w:pPr>
            <w:r w:rsidRPr="006A1EC7">
              <w:rPr>
                <w:color w:val="264A60"/>
                <w:sz w:val="18"/>
              </w:rPr>
              <w:t>Pair 10</w:t>
            </w:r>
          </w:p>
        </w:tc>
        <w:tc>
          <w:tcPr>
            <w:tcW w:w="950" w:type="dxa"/>
            <w:tcBorders>
              <w:top w:val="single" w:sz="8" w:space="0" w:color="AEAEAE"/>
              <w:left w:val="nil"/>
              <w:bottom w:val="single" w:sz="8" w:space="0" w:color="AEAEAE"/>
              <w:right w:val="nil"/>
            </w:tcBorders>
            <w:shd w:val="clear" w:color="auto" w:fill="E0E0E0"/>
          </w:tcPr>
          <w:p w14:paraId="578B678A" w14:textId="77777777" w:rsidR="0087601C" w:rsidRPr="006A1EC7" w:rsidRDefault="0087601C" w:rsidP="00D56051">
            <w:pPr>
              <w:spacing w:line="320" w:lineRule="atLeast"/>
              <w:ind w:left="60" w:right="60"/>
              <w:rPr>
                <w:color w:val="264A60"/>
                <w:sz w:val="18"/>
              </w:rPr>
            </w:pPr>
            <w:r w:rsidRPr="006A1EC7">
              <w:rPr>
                <w:color w:val="264A60"/>
                <w:sz w:val="18"/>
              </w:rPr>
              <w:t>T1Joshua_Epilepsy - T1Alessandro_Epilepsy</w:t>
            </w:r>
          </w:p>
        </w:tc>
        <w:tc>
          <w:tcPr>
            <w:tcW w:w="851" w:type="dxa"/>
            <w:tcBorders>
              <w:top w:val="single" w:sz="8" w:space="0" w:color="AEAEAE"/>
              <w:left w:val="nil"/>
              <w:bottom w:val="single" w:sz="8" w:space="0" w:color="AEAEAE"/>
              <w:right w:val="single" w:sz="8" w:space="0" w:color="E0E0E0"/>
            </w:tcBorders>
            <w:shd w:val="clear" w:color="auto" w:fill="FFFFFF"/>
          </w:tcPr>
          <w:p w14:paraId="1A0FFEAA" w14:textId="77777777" w:rsidR="0087601C" w:rsidRPr="006A1EC7" w:rsidRDefault="0087601C" w:rsidP="00D56051">
            <w:pPr>
              <w:spacing w:line="320" w:lineRule="atLeast"/>
              <w:ind w:left="60" w:right="60"/>
              <w:jc w:val="right"/>
              <w:rPr>
                <w:color w:val="010205"/>
                <w:sz w:val="18"/>
              </w:rPr>
            </w:pPr>
            <w:r w:rsidRPr="006A1EC7">
              <w:rPr>
                <w:color w:val="010205"/>
                <w:sz w:val="18"/>
              </w:rPr>
              <w:t>12.375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2A977F4" w14:textId="77777777" w:rsidR="0087601C" w:rsidRPr="006A1EC7" w:rsidRDefault="0087601C" w:rsidP="00D56051">
            <w:pPr>
              <w:spacing w:line="320" w:lineRule="atLeast"/>
              <w:ind w:left="60" w:right="60"/>
              <w:jc w:val="right"/>
              <w:rPr>
                <w:color w:val="010205"/>
                <w:sz w:val="18"/>
              </w:rPr>
            </w:pPr>
            <w:r w:rsidRPr="006A1EC7">
              <w:rPr>
                <w:color w:val="010205"/>
                <w:sz w:val="18"/>
              </w:rPr>
              <w:t>1.061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A6BAE52" w14:textId="77777777" w:rsidR="0087601C" w:rsidRPr="006A1EC7" w:rsidRDefault="0087601C" w:rsidP="00D56051">
            <w:pPr>
              <w:spacing w:line="320" w:lineRule="atLeast"/>
              <w:ind w:left="60" w:right="60"/>
              <w:jc w:val="right"/>
              <w:rPr>
                <w:color w:val="010205"/>
                <w:sz w:val="18"/>
              </w:rPr>
            </w:pPr>
            <w:r w:rsidRPr="006A1EC7">
              <w:rPr>
                <w:color w:val="010205"/>
                <w:sz w:val="18"/>
              </w:rPr>
              <w:t>.375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00B622C" w14:textId="77777777" w:rsidR="0087601C" w:rsidRPr="006A1EC7" w:rsidRDefault="0087601C" w:rsidP="00D56051">
            <w:pPr>
              <w:spacing w:line="320" w:lineRule="atLeast"/>
              <w:ind w:left="60" w:right="60"/>
              <w:jc w:val="right"/>
              <w:rPr>
                <w:color w:val="010205"/>
                <w:sz w:val="18"/>
              </w:rPr>
            </w:pPr>
            <w:r w:rsidRPr="006A1EC7">
              <w:rPr>
                <w:color w:val="010205"/>
                <w:sz w:val="18"/>
              </w:rPr>
              <w:t>11.488</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FC1F86C" w14:textId="77777777" w:rsidR="0087601C" w:rsidRPr="006A1EC7" w:rsidRDefault="0087601C" w:rsidP="00D56051">
            <w:pPr>
              <w:spacing w:line="320" w:lineRule="atLeast"/>
              <w:ind w:left="60" w:right="60"/>
              <w:jc w:val="right"/>
              <w:rPr>
                <w:color w:val="010205"/>
                <w:sz w:val="18"/>
              </w:rPr>
            </w:pPr>
            <w:r w:rsidRPr="006A1EC7">
              <w:rPr>
                <w:color w:val="010205"/>
                <w:sz w:val="18"/>
              </w:rPr>
              <w:t>13.262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F63F0D2" w14:textId="77777777" w:rsidR="0087601C" w:rsidRPr="006A1EC7" w:rsidRDefault="0087601C" w:rsidP="00D56051">
            <w:pPr>
              <w:spacing w:line="320" w:lineRule="atLeast"/>
              <w:ind w:left="60" w:right="60"/>
              <w:jc w:val="right"/>
              <w:rPr>
                <w:color w:val="010205"/>
                <w:sz w:val="18"/>
              </w:rPr>
            </w:pPr>
            <w:r w:rsidRPr="006A1EC7">
              <w:rPr>
                <w:color w:val="010205"/>
                <w:sz w:val="18"/>
              </w:rPr>
              <w:t>33.000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1A7ADC" w14:textId="77777777" w:rsidR="0087601C" w:rsidRPr="006A1EC7" w:rsidRDefault="0087601C" w:rsidP="00D56051">
            <w:pPr>
              <w:spacing w:line="320" w:lineRule="atLeast"/>
              <w:ind w:left="60" w:right="60"/>
              <w:jc w:val="right"/>
              <w:rPr>
                <w:color w:val="010205"/>
                <w:sz w:val="18"/>
              </w:rPr>
            </w:pPr>
            <w:r w:rsidRPr="006A1EC7">
              <w:rPr>
                <w:color w:val="010205"/>
                <w:sz w:val="18"/>
              </w:rPr>
              <w:t>7</w:t>
            </w:r>
          </w:p>
        </w:tc>
        <w:tc>
          <w:tcPr>
            <w:tcW w:w="567" w:type="dxa"/>
            <w:tcBorders>
              <w:top w:val="single" w:sz="8" w:space="0" w:color="AEAEAE"/>
              <w:left w:val="single" w:sz="8" w:space="0" w:color="E0E0E0"/>
              <w:bottom w:val="single" w:sz="8" w:space="0" w:color="AEAEAE"/>
              <w:right w:val="nil"/>
            </w:tcBorders>
            <w:shd w:val="clear" w:color="auto" w:fill="FFFFFF"/>
          </w:tcPr>
          <w:p w14:paraId="0AE82A35"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535D00D6"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51A42A93" w14:textId="77777777" w:rsidR="0087601C" w:rsidRPr="006A1EC7" w:rsidRDefault="0087601C" w:rsidP="00D56051">
            <w:pPr>
              <w:spacing w:line="320" w:lineRule="atLeast"/>
              <w:ind w:left="60" w:right="60"/>
              <w:rPr>
                <w:color w:val="264A60"/>
                <w:sz w:val="18"/>
              </w:rPr>
            </w:pPr>
            <w:r w:rsidRPr="006A1EC7">
              <w:rPr>
                <w:color w:val="264A60"/>
                <w:sz w:val="18"/>
              </w:rPr>
              <w:t>Pair 11</w:t>
            </w:r>
          </w:p>
        </w:tc>
        <w:tc>
          <w:tcPr>
            <w:tcW w:w="950" w:type="dxa"/>
            <w:tcBorders>
              <w:top w:val="single" w:sz="8" w:space="0" w:color="AEAEAE"/>
              <w:left w:val="nil"/>
              <w:bottom w:val="single" w:sz="8" w:space="0" w:color="AEAEAE"/>
              <w:right w:val="nil"/>
            </w:tcBorders>
            <w:shd w:val="clear" w:color="auto" w:fill="E0E0E0"/>
          </w:tcPr>
          <w:p w14:paraId="220237D9" w14:textId="77777777" w:rsidR="0087601C" w:rsidRPr="006A1EC7" w:rsidRDefault="0087601C" w:rsidP="00D56051">
            <w:pPr>
              <w:spacing w:line="320" w:lineRule="atLeast"/>
              <w:ind w:left="60" w:right="60"/>
              <w:rPr>
                <w:color w:val="264A60"/>
                <w:sz w:val="18"/>
              </w:rPr>
            </w:pPr>
            <w:r w:rsidRPr="006A1EC7">
              <w:rPr>
                <w:color w:val="264A60"/>
                <w:sz w:val="18"/>
              </w:rPr>
              <w:t>T1Alessandro_Gastroin - T1Fineen_Gastroin</w:t>
            </w:r>
          </w:p>
        </w:tc>
        <w:tc>
          <w:tcPr>
            <w:tcW w:w="851" w:type="dxa"/>
            <w:tcBorders>
              <w:top w:val="single" w:sz="8" w:space="0" w:color="AEAEAE"/>
              <w:left w:val="nil"/>
              <w:bottom w:val="single" w:sz="8" w:space="0" w:color="AEAEAE"/>
              <w:right w:val="single" w:sz="8" w:space="0" w:color="E0E0E0"/>
            </w:tcBorders>
            <w:shd w:val="clear" w:color="auto" w:fill="FFFFFF"/>
          </w:tcPr>
          <w:p w14:paraId="4A254FA1" w14:textId="77777777" w:rsidR="0087601C" w:rsidRPr="006A1EC7" w:rsidRDefault="0087601C" w:rsidP="00D56051">
            <w:pPr>
              <w:spacing w:line="320" w:lineRule="atLeast"/>
              <w:ind w:left="60" w:right="60"/>
              <w:jc w:val="right"/>
              <w:rPr>
                <w:color w:val="010205"/>
                <w:sz w:val="18"/>
              </w:rPr>
            </w:pPr>
            <w:r w:rsidRPr="006A1EC7">
              <w:rPr>
                <w:color w:val="010205"/>
                <w:sz w:val="18"/>
              </w:rPr>
              <w:t>16.700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46CBE7D" w14:textId="77777777" w:rsidR="0087601C" w:rsidRPr="006A1EC7" w:rsidRDefault="0087601C" w:rsidP="00D56051">
            <w:pPr>
              <w:spacing w:line="320" w:lineRule="atLeast"/>
              <w:ind w:left="60" w:right="60"/>
              <w:jc w:val="right"/>
              <w:rPr>
                <w:color w:val="010205"/>
                <w:sz w:val="18"/>
              </w:rPr>
            </w:pPr>
            <w:r w:rsidRPr="006A1EC7">
              <w:rPr>
                <w:color w:val="010205"/>
                <w:sz w:val="18"/>
              </w:rPr>
              <w:t>2.111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AD48393" w14:textId="77777777" w:rsidR="0087601C" w:rsidRPr="006A1EC7" w:rsidRDefault="0087601C" w:rsidP="00D56051">
            <w:pPr>
              <w:spacing w:line="320" w:lineRule="atLeast"/>
              <w:ind w:left="60" w:right="60"/>
              <w:jc w:val="right"/>
              <w:rPr>
                <w:color w:val="010205"/>
                <w:sz w:val="18"/>
              </w:rPr>
            </w:pPr>
            <w:r w:rsidRPr="006A1EC7">
              <w:rPr>
                <w:color w:val="010205"/>
                <w:sz w:val="18"/>
              </w:rPr>
              <w:t>.667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5C860CA" w14:textId="77777777" w:rsidR="0087601C" w:rsidRPr="006A1EC7" w:rsidRDefault="0087601C" w:rsidP="00D56051">
            <w:pPr>
              <w:spacing w:line="320" w:lineRule="atLeast"/>
              <w:ind w:left="60" w:right="60"/>
              <w:jc w:val="right"/>
              <w:rPr>
                <w:color w:val="010205"/>
                <w:sz w:val="18"/>
              </w:rPr>
            </w:pPr>
            <w:r w:rsidRPr="006A1EC7">
              <w:rPr>
                <w:color w:val="010205"/>
                <w:sz w:val="18"/>
              </w:rPr>
              <w:t>15.190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335FCAC" w14:textId="77777777" w:rsidR="0087601C" w:rsidRPr="006A1EC7" w:rsidRDefault="0087601C" w:rsidP="00D56051">
            <w:pPr>
              <w:spacing w:line="320" w:lineRule="atLeast"/>
              <w:ind w:left="60" w:right="60"/>
              <w:jc w:val="right"/>
              <w:rPr>
                <w:color w:val="010205"/>
                <w:sz w:val="18"/>
              </w:rPr>
            </w:pPr>
            <w:r w:rsidRPr="006A1EC7">
              <w:rPr>
                <w:color w:val="010205"/>
                <w:sz w:val="18"/>
              </w:rPr>
              <w:t>18.210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92B43C7" w14:textId="77777777" w:rsidR="0087601C" w:rsidRPr="006A1EC7" w:rsidRDefault="0087601C" w:rsidP="00D56051">
            <w:pPr>
              <w:spacing w:line="320" w:lineRule="atLeast"/>
              <w:ind w:left="60" w:right="60"/>
              <w:jc w:val="right"/>
              <w:rPr>
                <w:color w:val="010205"/>
                <w:sz w:val="18"/>
              </w:rPr>
            </w:pPr>
            <w:r w:rsidRPr="006A1EC7">
              <w:rPr>
                <w:color w:val="010205"/>
                <w:sz w:val="18"/>
              </w:rPr>
              <w:t>25.019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D3F558"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0D7818D3"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53C009EF"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31F5F5B3" w14:textId="77777777" w:rsidR="0087601C" w:rsidRPr="006A1EC7" w:rsidRDefault="0087601C" w:rsidP="00D56051">
            <w:pPr>
              <w:spacing w:line="320" w:lineRule="atLeast"/>
              <w:ind w:left="60" w:right="60"/>
              <w:rPr>
                <w:color w:val="264A60"/>
                <w:sz w:val="18"/>
              </w:rPr>
            </w:pPr>
            <w:r w:rsidRPr="006A1EC7">
              <w:rPr>
                <w:color w:val="264A60"/>
                <w:sz w:val="18"/>
              </w:rPr>
              <w:t>Pair 12</w:t>
            </w:r>
          </w:p>
        </w:tc>
        <w:tc>
          <w:tcPr>
            <w:tcW w:w="950" w:type="dxa"/>
            <w:tcBorders>
              <w:top w:val="single" w:sz="8" w:space="0" w:color="AEAEAE"/>
              <w:left w:val="nil"/>
              <w:bottom w:val="single" w:sz="8" w:space="0" w:color="AEAEAE"/>
              <w:right w:val="nil"/>
            </w:tcBorders>
            <w:shd w:val="clear" w:color="auto" w:fill="E0E0E0"/>
          </w:tcPr>
          <w:p w14:paraId="43DF9358" w14:textId="77777777" w:rsidR="0087601C" w:rsidRPr="006A1EC7" w:rsidRDefault="0087601C" w:rsidP="00D56051">
            <w:pPr>
              <w:spacing w:line="320" w:lineRule="atLeast"/>
              <w:ind w:left="60" w:right="60"/>
              <w:rPr>
                <w:color w:val="264A60"/>
                <w:sz w:val="18"/>
              </w:rPr>
            </w:pPr>
            <w:r w:rsidRPr="006A1EC7">
              <w:rPr>
                <w:color w:val="264A60"/>
                <w:sz w:val="18"/>
              </w:rPr>
              <w:t>T1Alessandro_Gastroin - T1Bronagh_Gastroin</w:t>
            </w:r>
          </w:p>
        </w:tc>
        <w:tc>
          <w:tcPr>
            <w:tcW w:w="851" w:type="dxa"/>
            <w:tcBorders>
              <w:top w:val="single" w:sz="8" w:space="0" w:color="AEAEAE"/>
              <w:left w:val="nil"/>
              <w:bottom w:val="single" w:sz="8" w:space="0" w:color="AEAEAE"/>
              <w:right w:val="single" w:sz="8" w:space="0" w:color="E0E0E0"/>
            </w:tcBorders>
            <w:shd w:val="clear" w:color="auto" w:fill="FFFFFF"/>
          </w:tcPr>
          <w:p w14:paraId="73245D19" w14:textId="77777777" w:rsidR="0087601C" w:rsidRPr="006A1EC7" w:rsidRDefault="0087601C" w:rsidP="00D56051">
            <w:pPr>
              <w:spacing w:line="320" w:lineRule="atLeast"/>
              <w:ind w:left="60" w:right="60"/>
              <w:jc w:val="right"/>
              <w:rPr>
                <w:color w:val="010205"/>
                <w:sz w:val="18"/>
              </w:rPr>
            </w:pPr>
            <w:r w:rsidRPr="006A1EC7">
              <w:rPr>
                <w:color w:val="010205"/>
                <w:sz w:val="18"/>
              </w:rPr>
              <w:t>11.333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51488E2" w14:textId="77777777" w:rsidR="0087601C" w:rsidRPr="006A1EC7" w:rsidRDefault="0087601C" w:rsidP="00D56051">
            <w:pPr>
              <w:spacing w:line="320" w:lineRule="atLeast"/>
              <w:ind w:left="60" w:right="60"/>
              <w:jc w:val="right"/>
              <w:rPr>
                <w:color w:val="010205"/>
                <w:sz w:val="18"/>
              </w:rPr>
            </w:pPr>
            <w:r w:rsidRPr="006A1EC7">
              <w:rPr>
                <w:color w:val="010205"/>
                <w:sz w:val="18"/>
              </w:rPr>
              <w:t>2.449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FD4293C" w14:textId="77777777" w:rsidR="0087601C" w:rsidRPr="006A1EC7" w:rsidRDefault="0087601C" w:rsidP="00D56051">
            <w:pPr>
              <w:spacing w:line="320" w:lineRule="atLeast"/>
              <w:ind w:left="60" w:right="60"/>
              <w:jc w:val="right"/>
              <w:rPr>
                <w:color w:val="010205"/>
                <w:sz w:val="18"/>
              </w:rPr>
            </w:pPr>
            <w:r w:rsidRPr="006A1EC7">
              <w:rPr>
                <w:color w:val="010205"/>
                <w:sz w:val="18"/>
              </w:rPr>
              <w:t>.816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93EA22F" w14:textId="77777777" w:rsidR="0087601C" w:rsidRPr="006A1EC7" w:rsidRDefault="0087601C" w:rsidP="00D56051">
            <w:pPr>
              <w:spacing w:line="320" w:lineRule="atLeast"/>
              <w:ind w:left="60" w:right="60"/>
              <w:jc w:val="right"/>
              <w:rPr>
                <w:color w:val="010205"/>
                <w:sz w:val="18"/>
              </w:rPr>
            </w:pPr>
            <w:r w:rsidRPr="006A1EC7">
              <w:rPr>
                <w:color w:val="010205"/>
                <w:sz w:val="18"/>
              </w:rPr>
              <w:t>9.450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2E0D88A" w14:textId="77777777" w:rsidR="0087601C" w:rsidRPr="006A1EC7" w:rsidRDefault="0087601C" w:rsidP="00D56051">
            <w:pPr>
              <w:spacing w:line="320" w:lineRule="atLeast"/>
              <w:ind w:left="60" w:right="60"/>
              <w:jc w:val="right"/>
              <w:rPr>
                <w:color w:val="010205"/>
                <w:sz w:val="18"/>
              </w:rPr>
            </w:pPr>
            <w:r w:rsidRPr="006A1EC7">
              <w:rPr>
                <w:color w:val="010205"/>
                <w:sz w:val="18"/>
              </w:rPr>
              <w:t>13.216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6DFFC74" w14:textId="77777777" w:rsidR="0087601C" w:rsidRPr="006A1EC7" w:rsidRDefault="0087601C" w:rsidP="00D56051">
            <w:pPr>
              <w:spacing w:line="320" w:lineRule="atLeast"/>
              <w:ind w:left="60" w:right="60"/>
              <w:jc w:val="right"/>
              <w:rPr>
                <w:color w:val="010205"/>
                <w:sz w:val="18"/>
              </w:rPr>
            </w:pPr>
            <w:r w:rsidRPr="006A1EC7">
              <w:rPr>
                <w:color w:val="010205"/>
                <w:sz w:val="18"/>
              </w:rPr>
              <w:t>13.880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E4AB35"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4488EB84"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388A294C"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0949EDA5" w14:textId="77777777" w:rsidR="0087601C" w:rsidRPr="006A1EC7" w:rsidRDefault="0087601C" w:rsidP="00D56051">
            <w:pPr>
              <w:spacing w:line="320" w:lineRule="atLeast"/>
              <w:ind w:left="60" w:right="60"/>
              <w:rPr>
                <w:color w:val="264A60"/>
                <w:sz w:val="18"/>
              </w:rPr>
            </w:pPr>
            <w:r w:rsidRPr="006A1EC7">
              <w:rPr>
                <w:color w:val="264A60"/>
                <w:sz w:val="18"/>
              </w:rPr>
              <w:t>Pair 13</w:t>
            </w:r>
          </w:p>
        </w:tc>
        <w:tc>
          <w:tcPr>
            <w:tcW w:w="950" w:type="dxa"/>
            <w:tcBorders>
              <w:top w:val="single" w:sz="8" w:space="0" w:color="AEAEAE"/>
              <w:left w:val="nil"/>
              <w:bottom w:val="single" w:sz="8" w:space="0" w:color="AEAEAE"/>
              <w:right w:val="nil"/>
            </w:tcBorders>
            <w:shd w:val="clear" w:color="auto" w:fill="E0E0E0"/>
          </w:tcPr>
          <w:p w14:paraId="742E81EB" w14:textId="77777777" w:rsidR="0087601C" w:rsidRPr="006A1EC7" w:rsidRDefault="0087601C" w:rsidP="00D56051">
            <w:pPr>
              <w:spacing w:line="320" w:lineRule="atLeast"/>
              <w:ind w:left="60" w:right="60"/>
              <w:rPr>
                <w:color w:val="264A60"/>
                <w:sz w:val="18"/>
              </w:rPr>
            </w:pPr>
            <w:r w:rsidRPr="006A1EC7">
              <w:rPr>
                <w:color w:val="264A60"/>
                <w:sz w:val="18"/>
              </w:rPr>
              <w:t>T1Bronagh_Gastroin - T1Joshua_Gastroin</w:t>
            </w:r>
          </w:p>
        </w:tc>
        <w:tc>
          <w:tcPr>
            <w:tcW w:w="851" w:type="dxa"/>
            <w:tcBorders>
              <w:top w:val="single" w:sz="8" w:space="0" w:color="AEAEAE"/>
              <w:left w:val="nil"/>
              <w:bottom w:val="single" w:sz="8" w:space="0" w:color="AEAEAE"/>
              <w:right w:val="single" w:sz="8" w:space="0" w:color="E0E0E0"/>
            </w:tcBorders>
            <w:shd w:val="clear" w:color="auto" w:fill="FFFFFF"/>
          </w:tcPr>
          <w:p w14:paraId="373B104E" w14:textId="77777777" w:rsidR="0087601C" w:rsidRPr="006A1EC7" w:rsidRDefault="0087601C" w:rsidP="00D56051">
            <w:pPr>
              <w:spacing w:line="320" w:lineRule="atLeast"/>
              <w:ind w:left="60" w:right="60"/>
              <w:jc w:val="right"/>
              <w:rPr>
                <w:color w:val="010205"/>
                <w:sz w:val="18"/>
              </w:rPr>
            </w:pPr>
            <w:r w:rsidRPr="006A1EC7">
              <w:rPr>
                <w:color w:val="010205"/>
                <w:sz w:val="18"/>
              </w:rPr>
              <w:t>-9.111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FED4498" w14:textId="77777777" w:rsidR="0087601C" w:rsidRPr="006A1EC7" w:rsidRDefault="0087601C" w:rsidP="00D56051">
            <w:pPr>
              <w:spacing w:line="320" w:lineRule="atLeast"/>
              <w:ind w:left="60" w:right="60"/>
              <w:jc w:val="right"/>
              <w:rPr>
                <w:color w:val="010205"/>
                <w:sz w:val="18"/>
              </w:rPr>
            </w:pPr>
            <w:r w:rsidRPr="006A1EC7">
              <w:rPr>
                <w:color w:val="010205"/>
                <w:sz w:val="18"/>
              </w:rPr>
              <w:t>1.054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6D6743" w14:textId="77777777" w:rsidR="0087601C" w:rsidRPr="006A1EC7" w:rsidRDefault="0087601C" w:rsidP="00D56051">
            <w:pPr>
              <w:spacing w:line="320" w:lineRule="atLeast"/>
              <w:ind w:left="60" w:right="60"/>
              <w:jc w:val="right"/>
              <w:rPr>
                <w:color w:val="010205"/>
                <w:sz w:val="18"/>
              </w:rPr>
            </w:pPr>
            <w:r w:rsidRPr="006A1EC7">
              <w:rPr>
                <w:color w:val="010205"/>
                <w:sz w:val="18"/>
              </w:rPr>
              <w:t>.351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C1F72D9" w14:textId="77777777" w:rsidR="0087601C" w:rsidRPr="006A1EC7" w:rsidRDefault="0087601C" w:rsidP="00D56051">
            <w:pPr>
              <w:spacing w:line="320" w:lineRule="atLeast"/>
              <w:ind w:left="60" w:right="60"/>
              <w:jc w:val="right"/>
              <w:rPr>
                <w:color w:val="010205"/>
                <w:sz w:val="18"/>
              </w:rPr>
            </w:pPr>
            <w:r w:rsidRPr="006A1EC7">
              <w:rPr>
                <w:color w:val="010205"/>
                <w:sz w:val="18"/>
              </w:rPr>
              <w:t>-9.921</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D85ABE6" w14:textId="77777777" w:rsidR="0087601C" w:rsidRPr="006A1EC7" w:rsidRDefault="0087601C" w:rsidP="00D56051">
            <w:pPr>
              <w:spacing w:line="320" w:lineRule="atLeast"/>
              <w:ind w:left="60" w:right="60"/>
              <w:jc w:val="right"/>
              <w:rPr>
                <w:color w:val="010205"/>
                <w:sz w:val="18"/>
              </w:rPr>
            </w:pPr>
            <w:r w:rsidRPr="006A1EC7">
              <w:rPr>
                <w:color w:val="010205"/>
                <w:sz w:val="18"/>
              </w:rPr>
              <w:t>-8.301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C2071D0" w14:textId="77777777" w:rsidR="0087601C" w:rsidRPr="006A1EC7" w:rsidRDefault="0087601C" w:rsidP="00D56051">
            <w:pPr>
              <w:spacing w:line="320" w:lineRule="atLeast"/>
              <w:ind w:left="60" w:right="60"/>
              <w:jc w:val="right"/>
              <w:rPr>
                <w:color w:val="010205"/>
                <w:sz w:val="18"/>
              </w:rPr>
            </w:pPr>
            <w:r w:rsidRPr="006A1EC7">
              <w:rPr>
                <w:color w:val="010205"/>
                <w:sz w:val="18"/>
              </w:rPr>
              <w:t>-25.931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BB41E9"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41DC392C"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62261F44"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275F1A0F" w14:textId="77777777" w:rsidR="0087601C" w:rsidRPr="006A1EC7" w:rsidRDefault="0087601C" w:rsidP="00D56051">
            <w:pPr>
              <w:spacing w:line="320" w:lineRule="atLeast"/>
              <w:ind w:left="60" w:right="60"/>
              <w:rPr>
                <w:color w:val="264A60"/>
                <w:sz w:val="18"/>
              </w:rPr>
            </w:pPr>
            <w:r w:rsidRPr="006A1EC7">
              <w:rPr>
                <w:color w:val="264A60"/>
                <w:sz w:val="18"/>
              </w:rPr>
              <w:t>Pair 14</w:t>
            </w:r>
          </w:p>
        </w:tc>
        <w:tc>
          <w:tcPr>
            <w:tcW w:w="950" w:type="dxa"/>
            <w:tcBorders>
              <w:top w:val="single" w:sz="8" w:space="0" w:color="AEAEAE"/>
              <w:left w:val="nil"/>
              <w:bottom w:val="single" w:sz="8" w:space="0" w:color="AEAEAE"/>
              <w:right w:val="nil"/>
            </w:tcBorders>
            <w:shd w:val="clear" w:color="auto" w:fill="E0E0E0"/>
          </w:tcPr>
          <w:p w14:paraId="067775F0" w14:textId="77777777" w:rsidR="0087601C" w:rsidRPr="006A1EC7" w:rsidRDefault="0087601C" w:rsidP="00D56051">
            <w:pPr>
              <w:spacing w:line="320" w:lineRule="atLeast"/>
              <w:ind w:left="60" w:right="60"/>
              <w:rPr>
                <w:color w:val="264A60"/>
                <w:sz w:val="18"/>
              </w:rPr>
            </w:pPr>
            <w:r w:rsidRPr="006A1EC7">
              <w:rPr>
                <w:color w:val="264A60"/>
                <w:sz w:val="18"/>
              </w:rPr>
              <w:t>T1Emma_Gastroin - T1Alessandro_Gastroin</w:t>
            </w:r>
          </w:p>
        </w:tc>
        <w:tc>
          <w:tcPr>
            <w:tcW w:w="851" w:type="dxa"/>
            <w:tcBorders>
              <w:top w:val="single" w:sz="8" w:space="0" w:color="AEAEAE"/>
              <w:left w:val="nil"/>
              <w:bottom w:val="single" w:sz="8" w:space="0" w:color="AEAEAE"/>
              <w:right w:val="single" w:sz="8" w:space="0" w:color="E0E0E0"/>
            </w:tcBorders>
            <w:shd w:val="clear" w:color="auto" w:fill="FFFFFF"/>
          </w:tcPr>
          <w:p w14:paraId="2FF42C6A" w14:textId="77777777" w:rsidR="0087601C" w:rsidRPr="006A1EC7" w:rsidRDefault="0087601C" w:rsidP="00D56051">
            <w:pPr>
              <w:spacing w:line="320" w:lineRule="atLeast"/>
              <w:ind w:left="60" w:right="60"/>
              <w:jc w:val="right"/>
              <w:rPr>
                <w:color w:val="010205"/>
                <w:sz w:val="18"/>
              </w:rPr>
            </w:pPr>
            <w:r w:rsidRPr="006A1EC7">
              <w:rPr>
                <w:color w:val="010205"/>
                <w:sz w:val="18"/>
              </w:rPr>
              <w:t>-2.714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558A923" w14:textId="77777777" w:rsidR="0087601C" w:rsidRPr="006A1EC7" w:rsidRDefault="0087601C" w:rsidP="00D56051">
            <w:pPr>
              <w:spacing w:line="320" w:lineRule="atLeast"/>
              <w:ind w:left="60" w:right="60"/>
              <w:jc w:val="right"/>
              <w:rPr>
                <w:color w:val="010205"/>
                <w:sz w:val="18"/>
              </w:rPr>
            </w:pPr>
            <w:r w:rsidRPr="006A1EC7">
              <w:rPr>
                <w:color w:val="010205"/>
                <w:sz w:val="18"/>
              </w:rPr>
              <w:t>1.380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55D7A41" w14:textId="77777777" w:rsidR="0087601C" w:rsidRPr="006A1EC7" w:rsidRDefault="0087601C" w:rsidP="00D56051">
            <w:pPr>
              <w:spacing w:line="320" w:lineRule="atLeast"/>
              <w:ind w:left="60" w:right="60"/>
              <w:jc w:val="right"/>
              <w:rPr>
                <w:color w:val="010205"/>
                <w:sz w:val="18"/>
              </w:rPr>
            </w:pPr>
            <w:r w:rsidRPr="006A1EC7">
              <w:rPr>
                <w:color w:val="010205"/>
                <w:sz w:val="18"/>
              </w:rPr>
              <w:t>.522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E2807F3" w14:textId="77777777" w:rsidR="0087601C" w:rsidRPr="006A1EC7" w:rsidRDefault="0087601C" w:rsidP="00D56051">
            <w:pPr>
              <w:spacing w:line="320" w:lineRule="atLeast"/>
              <w:ind w:left="60" w:right="60"/>
              <w:jc w:val="right"/>
              <w:rPr>
                <w:color w:val="010205"/>
                <w:sz w:val="18"/>
              </w:rPr>
            </w:pPr>
            <w:r w:rsidRPr="006A1EC7">
              <w:rPr>
                <w:color w:val="010205"/>
                <w:sz w:val="18"/>
              </w:rPr>
              <w:t>-3.991</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0C5C455" w14:textId="77777777" w:rsidR="0087601C" w:rsidRPr="006A1EC7" w:rsidRDefault="0087601C" w:rsidP="00D56051">
            <w:pPr>
              <w:spacing w:line="320" w:lineRule="atLeast"/>
              <w:ind w:left="60" w:right="60"/>
              <w:jc w:val="right"/>
              <w:rPr>
                <w:color w:val="010205"/>
                <w:sz w:val="18"/>
              </w:rPr>
            </w:pPr>
            <w:r w:rsidRPr="006A1EC7">
              <w:rPr>
                <w:color w:val="010205"/>
                <w:sz w:val="18"/>
              </w:rPr>
              <w:t>-1.438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E099632" w14:textId="77777777" w:rsidR="0087601C" w:rsidRPr="006A1EC7" w:rsidRDefault="0087601C" w:rsidP="00D56051">
            <w:pPr>
              <w:spacing w:line="320" w:lineRule="atLeast"/>
              <w:ind w:left="60" w:right="60"/>
              <w:jc w:val="right"/>
              <w:rPr>
                <w:color w:val="010205"/>
                <w:sz w:val="18"/>
              </w:rPr>
            </w:pPr>
            <w:r w:rsidRPr="006A1EC7">
              <w:rPr>
                <w:color w:val="010205"/>
                <w:sz w:val="18"/>
              </w:rPr>
              <w:t>-5.203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D3C12D" w14:textId="77777777" w:rsidR="0087601C" w:rsidRPr="006A1EC7" w:rsidRDefault="0087601C" w:rsidP="00D56051">
            <w:pPr>
              <w:spacing w:line="320" w:lineRule="atLeast"/>
              <w:ind w:left="60" w:right="60"/>
              <w:jc w:val="right"/>
              <w:rPr>
                <w:color w:val="010205"/>
                <w:sz w:val="18"/>
              </w:rPr>
            </w:pPr>
            <w:r w:rsidRPr="006A1EC7">
              <w:rPr>
                <w:color w:val="010205"/>
                <w:sz w:val="18"/>
              </w:rPr>
              <w:t>6</w:t>
            </w:r>
          </w:p>
        </w:tc>
        <w:tc>
          <w:tcPr>
            <w:tcW w:w="567" w:type="dxa"/>
            <w:tcBorders>
              <w:top w:val="single" w:sz="8" w:space="0" w:color="AEAEAE"/>
              <w:left w:val="single" w:sz="8" w:space="0" w:color="E0E0E0"/>
              <w:bottom w:val="single" w:sz="8" w:space="0" w:color="AEAEAE"/>
              <w:right w:val="nil"/>
            </w:tcBorders>
            <w:shd w:val="clear" w:color="auto" w:fill="FFFFFF"/>
          </w:tcPr>
          <w:p w14:paraId="26A6A574" w14:textId="77777777" w:rsidR="0087601C" w:rsidRPr="006A1EC7" w:rsidRDefault="0087601C" w:rsidP="00D56051">
            <w:pPr>
              <w:spacing w:line="320" w:lineRule="atLeast"/>
              <w:ind w:left="60" w:right="60"/>
              <w:jc w:val="right"/>
              <w:rPr>
                <w:color w:val="010205"/>
                <w:sz w:val="18"/>
              </w:rPr>
            </w:pPr>
            <w:r w:rsidRPr="006A1EC7">
              <w:rPr>
                <w:color w:val="010205"/>
                <w:sz w:val="18"/>
              </w:rPr>
              <w:t>.002</w:t>
            </w:r>
          </w:p>
        </w:tc>
      </w:tr>
      <w:tr w:rsidR="0087601C" w:rsidRPr="006A1EC7" w14:paraId="38632F2A"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6B8A6285" w14:textId="77777777" w:rsidR="0087601C" w:rsidRPr="006A1EC7" w:rsidRDefault="0087601C" w:rsidP="00D56051">
            <w:pPr>
              <w:spacing w:line="320" w:lineRule="atLeast"/>
              <w:ind w:left="60" w:right="60"/>
              <w:rPr>
                <w:color w:val="264A60"/>
                <w:sz w:val="18"/>
              </w:rPr>
            </w:pPr>
            <w:r w:rsidRPr="006A1EC7">
              <w:rPr>
                <w:color w:val="264A60"/>
                <w:sz w:val="18"/>
              </w:rPr>
              <w:t>Pair 15</w:t>
            </w:r>
          </w:p>
        </w:tc>
        <w:tc>
          <w:tcPr>
            <w:tcW w:w="950" w:type="dxa"/>
            <w:tcBorders>
              <w:top w:val="single" w:sz="8" w:space="0" w:color="AEAEAE"/>
              <w:left w:val="nil"/>
              <w:bottom w:val="single" w:sz="8" w:space="0" w:color="AEAEAE"/>
              <w:right w:val="nil"/>
            </w:tcBorders>
            <w:shd w:val="clear" w:color="auto" w:fill="E0E0E0"/>
          </w:tcPr>
          <w:p w14:paraId="36F27AF5" w14:textId="77777777" w:rsidR="0087601C" w:rsidRPr="006A1EC7" w:rsidRDefault="0087601C" w:rsidP="00D56051">
            <w:pPr>
              <w:spacing w:line="320" w:lineRule="atLeast"/>
              <w:ind w:left="60" w:right="60"/>
              <w:rPr>
                <w:color w:val="264A60"/>
                <w:sz w:val="18"/>
              </w:rPr>
            </w:pPr>
            <w:r w:rsidRPr="006A1EC7">
              <w:rPr>
                <w:color w:val="264A60"/>
                <w:sz w:val="18"/>
              </w:rPr>
              <w:t>T1Bronagh_Cardio - T1Joshua_Cardio</w:t>
            </w:r>
          </w:p>
        </w:tc>
        <w:tc>
          <w:tcPr>
            <w:tcW w:w="851" w:type="dxa"/>
            <w:tcBorders>
              <w:top w:val="single" w:sz="8" w:space="0" w:color="AEAEAE"/>
              <w:left w:val="nil"/>
              <w:bottom w:val="single" w:sz="8" w:space="0" w:color="AEAEAE"/>
              <w:right w:val="single" w:sz="8" w:space="0" w:color="E0E0E0"/>
            </w:tcBorders>
            <w:shd w:val="clear" w:color="auto" w:fill="FFFFFF"/>
          </w:tcPr>
          <w:p w14:paraId="0F63DF8D" w14:textId="77777777" w:rsidR="0087601C" w:rsidRPr="006A1EC7" w:rsidRDefault="0087601C" w:rsidP="00D56051">
            <w:pPr>
              <w:spacing w:line="320" w:lineRule="atLeast"/>
              <w:ind w:left="60" w:right="60"/>
              <w:jc w:val="right"/>
              <w:rPr>
                <w:color w:val="010205"/>
                <w:sz w:val="18"/>
              </w:rPr>
            </w:pPr>
            <w:r w:rsidRPr="006A1EC7">
              <w:rPr>
                <w:color w:val="010205"/>
                <w:sz w:val="18"/>
              </w:rPr>
              <w:t>2.800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583CFD6" w14:textId="77777777" w:rsidR="0087601C" w:rsidRPr="006A1EC7" w:rsidRDefault="0087601C" w:rsidP="00D56051">
            <w:pPr>
              <w:spacing w:line="320" w:lineRule="atLeast"/>
              <w:ind w:left="60" w:right="60"/>
              <w:jc w:val="right"/>
              <w:rPr>
                <w:color w:val="010205"/>
                <w:sz w:val="18"/>
              </w:rPr>
            </w:pPr>
            <w:r w:rsidRPr="006A1EC7">
              <w:rPr>
                <w:color w:val="010205"/>
                <w:sz w:val="18"/>
              </w:rPr>
              <w:t>.919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C8ED48" w14:textId="77777777" w:rsidR="0087601C" w:rsidRPr="006A1EC7" w:rsidRDefault="0087601C" w:rsidP="00D56051">
            <w:pPr>
              <w:spacing w:line="320" w:lineRule="atLeast"/>
              <w:ind w:left="60" w:right="60"/>
              <w:jc w:val="right"/>
              <w:rPr>
                <w:color w:val="010205"/>
                <w:sz w:val="18"/>
              </w:rPr>
            </w:pPr>
            <w:r w:rsidRPr="006A1EC7">
              <w:rPr>
                <w:color w:val="010205"/>
                <w:sz w:val="18"/>
              </w:rPr>
              <w:t>.291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343A0E6" w14:textId="77777777" w:rsidR="0087601C" w:rsidRPr="006A1EC7" w:rsidRDefault="0087601C" w:rsidP="00D56051">
            <w:pPr>
              <w:spacing w:line="320" w:lineRule="atLeast"/>
              <w:ind w:left="60" w:right="60"/>
              <w:jc w:val="right"/>
              <w:rPr>
                <w:color w:val="010205"/>
                <w:sz w:val="18"/>
              </w:rPr>
            </w:pPr>
            <w:r w:rsidRPr="006A1EC7">
              <w:rPr>
                <w:color w:val="010205"/>
                <w:sz w:val="18"/>
              </w:rPr>
              <w:t>2.143</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48064CE" w14:textId="77777777" w:rsidR="0087601C" w:rsidRPr="006A1EC7" w:rsidRDefault="0087601C" w:rsidP="00D56051">
            <w:pPr>
              <w:spacing w:line="320" w:lineRule="atLeast"/>
              <w:ind w:left="60" w:right="60"/>
              <w:jc w:val="right"/>
              <w:rPr>
                <w:color w:val="010205"/>
                <w:sz w:val="18"/>
              </w:rPr>
            </w:pPr>
            <w:r w:rsidRPr="006A1EC7">
              <w:rPr>
                <w:color w:val="010205"/>
                <w:sz w:val="18"/>
              </w:rPr>
              <w:t>3.457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CA81718" w14:textId="77777777" w:rsidR="0087601C" w:rsidRPr="006A1EC7" w:rsidRDefault="0087601C" w:rsidP="00D56051">
            <w:pPr>
              <w:spacing w:line="320" w:lineRule="atLeast"/>
              <w:ind w:left="60" w:right="60"/>
              <w:jc w:val="right"/>
              <w:rPr>
                <w:color w:val="010205"/>
                <w:sz w:val="18"/>
              </w:rPr>
            </w:pPr>
            <w:r w:rsidRPr="006A1EC7">
              <w:rPr>
                <w:color w:val="010205"/>
                <w:sz w:val="18"/>
              </w:rPr>
              <w:t>9.635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8AA88C"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0D70B883"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136B2E70"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5015333A" w14:textId="77777777" w:rsidR="0087601C" w:rsidRPr="006A1EC7" w:rsidRDefault="0087601C" w:rsidP="00D56051">
            <w:pPr>
              <w:spacing w:line="320" w:lineRule="atLeast"/>
              <w:ind w:left="60" w:right="60"/>
              <w:rPr>
                <w:color w:val="264A60"/>
                <w:sz w:val="18"/>
              </w:rPr>
            </w:pPr>
            <w:r w:rsidRPr="006A1EC7">
              <w:rPr>
                <w:color w:val="264A60"/>
                <w:sz w:val="18"/>
              </w:rPr>
              <w:t>Pair 16</w:t>
            </w:r>
          </w:p>
        </w:tc>
        <w:tc>
          <w:tcPr>
            <w:tcW w:w="950" w:type="dxa"/>
            <w:tcBorders>
              <w:top w:val="single" w:sz="8" w:space="0" w:color="AEAEAE"/>
              <w:left w:val="nil"/>
              <w:bottom w:val="single" w:sz="8" w:space="0" w:color="AEAEAE"/>
              <w:right w:val="nil"/>
            </w:tcBorders>
            <w:shd w:val="clear" w:color="auto" w:fill="E0E0E0"/>
          </w:tcPr>
          <w:p w14:paraId="585B1129" w14:textId="77777777" w:rsidR="0087601C" w:rsidRPr="006A1EC7" w:rsidRDefault="0087601C" w:rsidP="00D56051">
            <w:pPr>
              <w:spacing w:line="320" w:lineRule="atLeast"/>
              <w:ind w:left="60" w:right="60"/>
              <w:rPr>
                <w:color w:val="264A60"/>
                <w:sz w:val="18"/>
              </w:rPr>
            </w:pPr>
            <w:r w:rsidRPr="006A1EC7">
              <w:rPr>
                <w:color w:val="264A60"/>
                <w:sz w:val="18"/>
              </w:rPr>
              <w:t>T1Joshua_Cardio - T1Fineen_Cardio</w:t>
            </w:r>
          </w:p>
        </w:tc>
        <w:tc>
          <w:tcPr>
            <w:tcW w:w="851" w:type="dxa"/>
            <w:tcBorders>
              <w:top w:val="single" w:sz="8" w:space="0" w:color="AEAEAE"/>
              <w:left w:val="nil"/>
              <w:bottom w:val="single" w:sz="8" w:space="0" w:color="AEAEAE"/>
              <w:right w:val="single" w:sz="8" w:space="0" w:color="E0E0E0"/>
            </w:tcBorders>
            <w:shd w:val="clear" w:color="auto" w:fill="FFFFFF"/>
          </w:tcPr>
          <w:p w14:paraId="38AE2A9C" w14:textId="77777777" w:rsidR="0087601C" w:rsidRPr="006A1EC7" w:rsidRDefault="0087601C" w:rsidP="00D56051">
            <w:pPr>
              <w:spacing w:line="320" w:lineRule="atLeast"/>
              <w:ind w:left="60" w:right="60"/>
              <w:jc w:val="right"/>
              <w:rPr>
                <w:color w:val="010205"/>
                <w:sz w:val="18"/>
              </w:rPr>
            </w:pPr>
            <w:r w:rsidRPr="006A1EC7">
              <w:rPr>
                <w:color w:val="010205"/>
                <w:sz w:val="18"/>
              </w:rPr>
              <w:t>-3.556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CA57EE9" w14:textId="77777777" w:rsidR="0087601C" w:rsidRPr="006A1EC7" w:rsidRDefault="0087601C" w:rsidP="00D56051">
            <w:pPr>
              <w:spacing w:line="320" w:lineRule="atLeast"/>
              <w:ind w:left="60" w:right="60"/>
              <w:jc w:val="right"/>
              <w:rPr>
                <w:color w:val="010205"/>
                <w:sz w:val="18"/>
              </w:rPr>
            </w:pPr>
            <w:r w:rsidRPr="006A1EC7">
              <w:rPr>
                <w:color w:val="010205"/>
                <w:sz w:val="18"/>
              </w:rPr>
              <w:t>.882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4027B20" w14:textId="77777777" w:rsidR="0087601C" w:rsidRPr="006A1EC7" w:rsidRDefault="0087601C" w:rsidP="00D56051">
            <w:pPr>
              <w:spacing w:line="320" w:lineRule="atLeast"/>
              <w:ind w:left="60" w:right="60"/>
              <w:jc w:val="right"/>
              <w:rPr>
                <w:color w:val="010205"/>
                <w:sz w:val="18"/>
              </w:rPr>
            </w:pPr>
            <w:r w:rsidRPr="006A1EC7">
              <w:rPr>
                <w:color w:val="010205"/>
                <w:sz w:val="18"/>
              </w:rPr>
              <w:t>.294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E3A433B" w14:textId="77777777" w:rsidR="0087601C" w:rsidRPr="006A1EC7" w:rsidRDefault="0087601C" w:rsidP="00D56051">
            <w:pPr>
              <w:spacing w:line="320" w:lineRule="atLeast"/>
              <w:ind w:left="60" w:right="60"/>
              <w:jc w:val="right"/>
              <w:rPr>
                <w:color w:val="010205"/>
                <w:sz w:val="18"/>
              </w:rPr>
            </w:pPr>
            <w:r w:rsidRPr="006A1EC7">
              <w:rPr>
                <w:color w:val="010205"/>
                <w:sz w:val="18"/>
              </w:rPr>
              <w:t>-4.233</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C3208A7" w14:textId="77777777" w:rsidR="0087601C" w:rsidRPr="006A1EC7" w:rsidRDefault="0087601C" w:rsidP="00D56051">
            <w:pPr>
              <w:spacing w:line="320" w:lineRule="atLeast"/>
              <w:ind w:left="60" w:right="60"/>
              <w:jc w:val="right"/>
              <w:rPr>
                <w:color w:val="010205"/>
                <w:sz w:val="18"/>
              </w:rPr>
            </w:pPr>
            <w:r w:rsidRPr="006A1EC7">
              <w:rPr>
                <w:color w:val="010205"/>
                <w:sz w:val="18"/>
              </w:rPr>
              <w:t>-2.878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6829674" w14:textId="77777777" w:rsidR="0087601C" w:rsidRPr="006A1EC7" w:rsidRDefault="0087601C" w:rsidP="00D56051">
            <w:pPr>
              <w:spacing w:line="320" w:lineRule="atLeast"/>
              <w:ind w:left="60" w:right="60"/>
              <w:jc w:val="right"/>
              <w:rPr>
                <w:color w:val="010205"/>
                <w:sz w:val="18"/>
              </w:rPr>
            </w:pPr>
            <w:r w:rsidRPr="006A1EC7">
              <w:rPr>
                <w:color w:val="010205"/>
                <w:sz w:val="18"/>
              </w:rPr>
              <w:t>-12.095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AD2CB4B"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53CDA621"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1B3AF92D"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11E12820" w14:textId="77777777" w:rsidR="0087601C" w:rsidRPr="006A1EC7" w:rsidRDefault="0087601C" w:rsidP="00D56051">
            <w:pPr>
              <w:spacing w:line="320" w:lineRule="atLeast"/>
              <w:ind w:left="60" w:right="60"/>
              <w:rPr>
                <w:color w:val="264A60"/>
                <w:sz w:val="18"/>
              </w:rPr>
            </w:pPr>
            <w:r w:rsidRPr="006A1EC7">
              <w:rPr>
                <w:color w:val="264A60"/>
                <w:sz w:val="18"/>
              </w:rPr>
              <w:t>Pair 17</w:t>
            </w:r>
          </w:p>
        </w:tc>
        <w:tc>
          <w:tcPr>
            <w:tcW w:w="950" w:type="dxa"/>
            <w:tcBorders>
              <w:top w:val="single" w:sz="8" w:space="0" w:color="AEAEAE"/>
              <w:left w:val="nil"/>
              <w:bottom w:val="single" w:sz="8" w:space="0" w:color="AEAEAE"/>
              <w:right w:val="nil"/>
            </w:tcBorders>
            <w:shd w:val="clear" w:color="auto" w:fill="E0E0E0"/>
          </w:tcPr>
          <w:p w14:paraId="05CD1843" w14:textId="77777777" w:rsidR="0087601C" w:rsidRPr="006A1EC7" w:rsidRDefault="0087601C" w:rsidP="00D56051">
            <w:pPr>
              <w:spacing w:line="320" w:lineRule="atLeast"/>
              <w:ind w:left="60" w:right="60"/>
              <w:rPr>
                <w:color w:val="264A60"/>
                <w:sz w:val="18"/>
              </w:rPr>
            </w:pPr>
            <w:r w:rsidRPr="006A1EC7">
              <w:rPr>
                <w:color w:val="264A60"/>
                <w:sz w:val="18"/>
              </w:rPr>
              <w:t>T1Emma_Cardio - T1Alessandro_Cardio</w:t>
            </w:r>
          </w:p>
        </w:tc>
        <w:tc>
          <w:tcPr>
            <w:tcW w:w="851" w:type="dxa"/>
            <w:tcBorders>
              <w:top w:val="single" w:sz="8" w:space="0" w:color="AEAEAE"/>
              <w:left w:val="nil"/>
              <w:bottom w:val="single" w:sz="8" w:space="0" w:color="AEAEAE"/>
              <w:right w:val="single" w:sz="8" w:space="0" w:color="E0E0E0"/>
            </w:tcBorders>
            <w:shd w:val="clear" w:color="auto" w:fill="FFFFFF"/>
          </w:tcPr>
          <w:p w14:paraId="28288481" w14:textId="77777777" w:rsidR="0087601C" w:rsidRPr="006A1EC7" w:rsidRDefault="0087601C" w:rsidP="00D56051">
            <w:pPr>
              <w:spacing w:line="320" w:lineRule="atLeast"/>
              <w:ind w:left="60" w:right="60"/>
              <w:jc w:val="right"/>
              <w:rPr>
                <w:color w:val="010205"/>
                <w:sz w:val="18"/>
              </w:rPr>
            </w:pPr>
            <w:r w:rsidRPr="006A1EC7">
              <w:rPr>
                <w:color w:val="010205"/>
                <w:sz w:val="18"/>
              </w:rPr>
              <w:t>-1.200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5700B40" w14:textId="77777777" w:rsidR="0087601C" w:rsidRPr="006A1EC7" w:rsidRDefault="0087601C" w:rsidP="00D56051">
            <w:pPr>
              <w:spacing w:line="320" w:lineRule="atLeast"/>
              <w:ind w:left="60" w:right="60"/>
              <w:jc w:val="right"/>
              <w:rPr>
                <w:color w:val="010205"/>
                <w:sz w:val="18"/>
              </w:rPr>
            </w:pPr>
            <w:r w:rsidRPr="006A1EC7">
              <w:rPr>
                <w:color w:val="010205"/>
                <w:sz w:val="18"/>
              </w:rPr>
              <w:t>.422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66C6D8B" w14:textId="77777777" w:rsidR="0087601C" w:rsidRPr="006A1EC7" w:rsidRDefault="0087601C" w:rsidP="00D56051">
            <w:pPr>
              <w:spacing w:line="320" w:lineRule="atLeast"/>
              <w:ind w:left="60" w:right="60"/>
              <w:jc w:val="right"/>
              <w:rPr>
                <w:color w:val="010205"/>
                <w:sz w:val="18"/>
              </w:rPr>
            </w:pPr>
            <w:r w:rsidRPr="006A1EC7">
              <w:rPr>
                <w:color w:val="010205"/>
                <w:sz w:val="18"/>
              </w:rPr>
              <w:t>.133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8B3386D" w14:textId="77777777" w:rsidR="0087601C" w:rsidRPr="006A1EC7" w:rsidRDefault="0087601C" w:rsidP="00D56051">
            <w:pPr>
              <w:spacing w:line="320" w:lineRule="atLeast"/>
              <w:ind w:left="60" w:right="60"/>
              <w:jc w:val="right"/>
              <w:rPr>
                <w:color w:val="010205"/>
                <w:sz w:val="18"/>
              </w:rPr>
            </w:pPr>
            <w:r w:rsidRPr="006A1EC7">
              <w:rPr>
                <w:color w:val="010205"/>
                <w:sz w:val="18"/>
              </w:rPr>
              <w:t>-1.502</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E8879A5" w14:textId="77777777" w:rsidR="0087601C" w:rsidRPr="006A1EC7" w:rsidRDefault="0087601C" w:rsidP="00D56051">
            <w:pPr>
              <w:spacing w:line="320" w:lineRule="atLeast"/>
              <w:ind w:left="60" w:right="60"/>
              <w:jc w:val="right"/>
              <w:rPr>
                <w:color w:val="010205"/>
                <w:sz w:val="18"/>
              </w:rPr>
            </w:pPr>
            <w:r w:rsidRPr="006A1EC7">
              <w:rPr>
                <w:color w:val="010205"/>
                <w:sz w:val="18"/>
              </w:rPr>
              <w:t>-.898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4AFBD28" w14:textId="77777777" w:rsidR="0087601C" w:rsidRPr="006A1EC7" w:rsidRDefault="0087601C" w:rsidP="00D56051">
            <w:pPr>
              <w:spacing w:line="320" w:lineRule="atLeast"/>
              <w:ind w:left="60" w:right="60"/>
              <w:jc w:val="right"/>
              <w:rPr>
                <w:color w:val="010205"/>
                <w:sz w:val="18"/>
              </w:rPr>
            </w:pPr>
            <w:r w:rsidRPr="006A1EC7">
              <w:rPr>
                <w:color w:val="010205"/>
                <w:sz w:val="18"/>
              </w:rPr>
              <w:t>-9.000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F87814"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7B237B37"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7625B3C8"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4075E121" w14:textId="77777777" w:rsidR="0087601C" w:rsidRPr="006A1EC7" w:rsidRDefault="0087601C" w:rsidP="00D56051">
            <w:pPr>
              <w:spacing w:line="320" w:lineRule="atLeast"/>
              <w:ind w:left="60" w:right="60"/>
              <w:rPr>
                <w:color w:val="264A60"/>
                <w:sz w:val="18"/>
              </w:rPr>
            </w:pPr>
            <w:r w:rsidRPr="006A1EC7">
              <w:rPr>
                <w:color w:val="264A60"/>
                <w:sz w:val="18"/>
              </w:rPr>
              <w:lastRenderedPageBreak/>
              <w:t>Pair 18</w:t>
            </w:r>
          </w:p>
        </w:tc>
        <w:tc>
          <w:tcPr>
            <w:tcW w:w="950" w:type="dxa"/>
            <w:tcBorders>
              <w:top w:val="single" w:sz="8" w:space="0" w:color="AEAEAE"/>
              <w:left w:val="nil"/>
              <w:bottom w:val="single" w:sz="8" w:space="0" w:color="AEAEAE"/>
              <w:right w:val="nil"/>
            </w:tcBorders>
            <w:shd w:val="clear" w:color="auto" w:fill="E0E0E0"/>
          </w:tcPr>
          <w:p w14:paraId="054A8828" w14:textId="77777777" w:rsidR="0087601C" w:rsidRPr="006A1EC7" w:rsidRDefault="0087601C" w:rsidP="00D56051">
            <w:pPr>
              <w:spacing w:line="320" w:lineRule="atLeast"/>
              <w:ind w:left="60" w:right="60"/>
              <w:rPr>
                <w:color w:val="264A60"/>
                <w:sz w:val="18"/>
              </w:rPr>
            </w:pPr>
            <w:r w:rsidRPr="006A1EC7">
              <w:rPr>
                <w:color w:val="264A60"/>
                <w:sz w:val="18"/>
              </w:rPr>
              <w:t>T1Alessandro_CNS - T1Bronagh_CNS</w:t>
            </w:r>
          </w:p>
        </w:tc>
        <w:tc>
          <w:tcPr>
            <w:tcW w:w="851" w:type="dxa"/>
            <w:tcBorders>
              <w:top w:val="single" w:sz="8" w:space="0" w:color="AEAEAE"/>
              <w:left w:val="nil"/>
              <w:bottom w:val="single" w:sz="8" w:space="0" w:color="AEAEAE"/>
              <w:right w:val="single" w:sz="8" w:space="0" w:color="E0E0E0"/>
            </w:tcBorders>
            <w:shd w:val="clear" w:color="auto" w:fill="FFFFFF"/>
          </w:tcPr>
          <w:p w14:paraId="17561FDB" w14:textId="77777777" w:rsidR="0087601C" w:rsidRPr="006A1EC7" w:rsidRDefault="0087601C" w:rsidP="00D56051">
            <w:pPr>
              <w:spacing w:line="320" w:lineRule="atLeast"/>
              <w:ind w:left="60" w:right="60"/>
              <w:jc w:val="right"/>
              <w:rPr>
                <w:color w:val="010205"/>
                <w:sz w:val="18"/>
              </w:rPr>
            </w:pPr>
            <w:r w:rsidRPr="006A1EC7">
              <w:rPr>
                <w:color w:val="010205"/>
                <w:sz w:val="18"/>
              </w:rPr>
              <w:t>14.333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E10C64F" w14:textId="77777777" w:rsidR="0087601C" w:rsidRPr="006A1EC7" w:rsidRDefault="0087601C" w:rsidP="00D56051">
            <w:pPr>
              <w:spacing w:line="320" w:lineRule="atLeast"/>
              <w:ind w:left="60" w:right="60"/>
              <w:jc w:val="right"/>
              <w:rPr>
                <w:color w:val="010205"/>
                <w:sz w:val="18"/>
              </w:rPr>
            </w:pPr>
            <w:r w:rsidRPr="006A1EC7">
              <w:rPr>
                <w:color w:val="010205"/>
                <w:sz w:val="18"/>
              </w:rPr>
              <w:t>2.179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494B5EA" w14:textId="77777777" w:rsidR="0087601C" w:rsidRPr="006A1EC7" w:rsidRDefault="0087601C" w:rsidP="00D56051">
            <w:pPr>
              <w:spacing w:line="320" w:lineRule="atLeast"/>
              <w:ind w:left="60" w:right="60"/>
              <w:jc w:val="right"/>
              <w:rPr>
                <w:color w:val="010205"/>
                <w:sz w:val="18"/>
              </w:rPr>
            </w:pPr>
            <w:r w:rsidRPr="006A1EC7">
              <w:rPr>
                <w:color w:val="010205"/>
                <w:sz w:val="18"/>
              </w:rPr>
              <w:t>.726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813BD75" w14:textId="77777777" w:rsidR="0087601C" w:rsidRPr="006A1EC7" w:rsidRDefault="0087601C" w:rsidP="00D56051">
            <w:pPr>
              <w:spacing w:line="320" w:lineRule="atLeast"/>
              <w:ind w:left="60" w:right="60"/>
              <w:jc w:val="right"/>
              <w:rPr>
                <w:color w:val="010205"/>
                <w:sz w:val="18"/>
              </w:rPr>
            </w:pPr>
            <w:r w:rsidRPr="006A1EC7">
              <w:rPr>
                <w:color w:val="010205"/>
                <w:sz w:val="18"/>
              </w:rPr>
              <w:t>12.658</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857F71D" w14:textId="77777777" w:rsidR="0087601C" w:rsidRPr="006A1EC7" w:rsidRDefault="0087601C" w:rsidP="00D56051">
            <w:pPr>
              <w:spacing w:line="320" w:lineRule="atLeast"/>
              <w:ind w:left="60" w:right="60"/>
              <w:jc w:val="right"/>
              <w:rPr>
                <w:color w:val="010205"/>
                <w:sz w:val="18"/>
              </w:rPr>
            </w:pPr>
            <w:r w:rsidRPr="006A1EC7">
              <w:rPr>
                <w:color w:val="010205"/>
                <w:sz w:val="18"/>
              </w:rPr>
              <w:t>16.009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1AFE38E" w14:textId="77777777" w:rsidR="0087601C" w:rsidRPr="006A1EC7" w:rsidRDefault="0087601C" w:rsidP="00D56051">
            <w:pPr>
              <w:spacing w:line="320" w:lineRule="atLeast"/>
              <w:ind w:left="60" w:right="60"/>
              <w:jc w:val="right"/>
              <w:rPr>
                <w:color w:val="010205"/>
                <w:sz w:val="18"/>
              </w:rPr>
            </w:pPr>
            <w:r w:rsidRPr="006A1EC7">
              <w:rPr>
                <w:color w:val="010205"/>
                <w:sz w:val="18"/>
              </w:rPr>
              <w:t>19.730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B9BE7E"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07CD9DA7"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3861E522"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1F6EEEA1" w14:textId="77777777" w:rsidR="0087601C" w:rsidRPr="006A1EC7" w:rsidRDefault="0087601C" w:rsidP="00D56051">
            <w:pPr>
              <w:spacing w:line="320" w:lineRule="atLeast"/>
              <w:ind w:left="60" w:right="60"/>
              <w:rPr>
                <w:color w:val="264A60"/>
                <w:sz w:val="18"/>
              </w:rPr>
            </w:pPr>
            <w:r w:rsidRPr="006A1EC7">
              <w:rPr>
                <w:color w:val="264A60"/>
                <w:sz w:val="18"/>
              </w:rPr>
              <w:t>Pair 19</w:t>
            </w:r>
          </w:p>
        </w:tc>
        <w:tc>
          <w:tcPr>
            <w:tcW w:w="950" w:type="dxa"/>
            <w:tcBorders>
              <w:top w:val="single" w:sz="8" w:space="0" w:color="AEAEAE"/>
              <w:left w:val="nil"/>
              <w:bottom w:val="single" w:sz="8" w:space="0" w:color="AEAEAE"/>
              <w:right w:val="nil"/>
            </w:tcBorders>
            <w:shd w:val="clear" w:color="auto" w:fill="E0E0E0"/>
          </w:tcPr>
          <w:p w14:paraId="7DC54A69" w14:textId="77777777" w:rsidR="0087601C" w:rsidRPr="006A1EC7" w:rsidRDefault="0087601C" w:rsidP="00D56051">
            <w:pPr>
              <w:spacing w:line="320" w:lineRule="atLeast"/>
              <w:ind w:left="60" w:right="60"/>
              <w:rPr>
                <w:color w:val="264A60"/>
                <w:sz w:val="18"/>
              </w:rPr>
            </w:pPr>
            <w:r w:rsidRPr="006A1EC7">
              <w:rPr>
                <w:color w:val="264A60"/>
                <w:sz w:val="18"/>
              </w:rPr>
              <w:t>T1Joshua_CNS - T1Fineen_CNS</w:t>
            </w:r>
          </w:p>
        </w:tc>
        <w:tc>
          <w:tcPr>
            <w:tcW w:w="851" w:type="dxa"/>
            <w:tcBorders>
              <w:top w:val="single" w:sz="8" w:space="0" w:color="AEAEAE"/>
              <w:left w:val="nil"/>
              <w:bottom w:val="single" w:sz="8" w:space="0" w:color="AEAEAE"/>
              <w:right w:val="single" w:sz="8" w:space="0" w:color="E0E0E0"/>
            </w:tcBorders>
            <w:shd w:val="clear" w:color="auto" w:fill="FFFFFF"/>
          </w:tcPr>
          <w:p w14:paraId="14C499A1" w14:textId="77777777" w:rsidR="0087601C" w:rsidRPr="006A1EC7" w:rsidRDefault="0087601C" w:rsidP="00D56051">
            <w:pPr>
              <w:spacing w:line="320" w:lineRule="atLeast"/>
              <w:ind w:left="60" w:right="60"/>
              <w:jc w:val="right"/>
              <w:rPr>
                <w:color w:val="010205"/>
                <w:sz w:val="18"/>
              </w:rPr>
            </w:pPr>
            <w:r w:rsidRPr="006A1EC7">
              <w:rPr>
                <w:color w:val="010205"/>
                <w:sz w:val="18"/>
              </w:rPr>
              <w:t>7.700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5467627" w14:textId="77777777" w:rsidR="0087601C" w:rsidRPr="006A1EC7" w:rsidRDefault="0087601C" w:rsidP="00D56051">
            <w:pPr>
              <w:spacing w:line="320" w:lineRule="atLeast"/>
              <w:ind w:left="60" w:right="60"/>
              <w:jc w:val="right"/>
              <w:rPr>
                <w:color w:val="010205"/>
                <w:sz w:val="18"/>
              </w:rPr>
            </w:pPr>
            <w:r w:rsidRPr="006A1EC7">
              <w:rPr>
                <w:color w:val="010205"/>
                <w:sz w:val="18"/>
              </w:rPr>
              <w:t>2.003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B2F86A5" w14:textId="77777777" w:rsidR="0087601C" w:rsidRPr="006A1EC7" w:rsidRDefault="0087601C" w:rsidP="00D56051">
            <w:pPr>
              <w:spacing w:line="320" w:lineRule="atLeast"/>
              <w:ind w:left="60" w:right="60"/>
              <w:jc w:val="right"/>
              <w:rPr>
                <w:color w:val="010205"/>
                <w:sz w:val="18"/>
              </w:rPr>
            </w:pPr>
            <w:r w:rsidRPr="006A1EC7">
              <w:rPr>
                <w:color w:val="010205"/>
                <w:sz w:val="18"/>
              </w:rPr>
              <w:t>.633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94D1E91" w14:textId="77777777" w:rsidR="0087601C" w:rsidRPr="006A1EC7" w:rsidRDefault="0087601C" w:rsidP="00D56051">
            <w:pPr>
              <w:spacing w:line="320" w:lineRule="atLeast"/>
              <w:ind w:left="60" w:right="60"/>
              <w:jc w:val="right"/>
              <w:rPr>
                <w:color w:val="010205"/>
                <w:sz w:val="18"/>
              </w:rPr>
            </w:pPr>
            <w:r w:rsidRPr="006A1EC7">
              <w:rPr>
                <w:color w:val="010205"/>
                <w:sz w:val="18"/>
              </w:rPr>
              <w:t>6.267</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E9A641C" w14:textId="77777777" w:rsidR="0087601C" w:rsidRPr="006A1EC7" w:rsidRDefault="0087601C" w:rsidP="00D56051">
            <w:pPr>
              <w:spacing w:line="320" w:lineRule="atLeast"/>
              <w:ind w:left="60" w:right="60"/>
              <w:jc w:val="right"/>
              <w:rPr>
                <w:color w:val="010205"/>
                <w:sz w:val="18"/>
              </w:rPr>
            </w:pPr>
            <w:r w:rsidRPr="006A1EC7">
              <w:rPr>
                <w:color w:val="010205"/>
                <w:sz w:val="18"/>
              </w:rPr>
              <w:t>9.133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3FF724B" w14:textId="77777777" w:rsidR="0087601C" w:rsidRPr="006A1EC7" w:rsidRDefault="0087601C" w:rsidP="00D56051">
            <w:pPr>
              <w:spacing w:line="320" w:lineRule="atLeast"/>
              <w:ind w:left="60" w:right="60"/>
              <w:jc w:val="right"/>
              <w:rPr>
                <w:color w:val="010205"/>
                <w:sz w:val="18"/>
              </w:rPr>
            </w:pPr>
            <w:r w:rsidRPr="006A1EC7">
              <w:rPr>
                <w:color w:val="010205"/>
                <w:sz w:val="18"/>
              </w:rPr>
              <w:t>12.158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D08534"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2F93138D"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2E80EC9C"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1EA02C2F" w14:textId="77777777" w:rsidR="0087601C" w:rsidRPr="006A1EC7" w:rsidRDefault="0087601C" w:rsidP="00D56051">
            <w:pPr>
              <w:spacing w:line="320" w:lineRule="atLeast"/>
              <w:ind w:left="60" w:right="60"/>
              <w:rPr>
                <w:color w:val="264A60"/>
                <w:sz w:val="18"/>
              </w:rPr>
            </w:pPr>
            <w:r w:rsidRPr="006A1EC7">
              <w:rPr>
                <w:color w:val="264A60"/>
                <w:sz w:val="18"/>
              </w:rPr>
              <w:t>Pair 20</w:t>
            </w:r>
          </w:p>
        </w:tc>
        <w:tc>
          <w:tcPr>
            <w:tcW w:w="950" w:type="dxa"/>
            <w:tcBorders>
              <w:top w:val="single" w:sz="8" w:space="0" w:color="AEAEAE"/>
              <w:left w:val="nil"/>
              <w:bottom w:val="single" w:sz="8" w:space="0" w:color="AEAEAE"/>
              <w:right w:val="nil"/>
            </w:tcBorders>
            <w:shd w:val="clear" w:color="auto" w:fill="E0E0E0"/>
          </w:tcPr>
          <w:p w14:paraId="01CBD0F5" w14:textId="77777777" w:rsidR="0087601C" w:rsidRPr="006A1EC7" w:rsidRDefault="0087601C" w:rsidP="00D56051">
            <w:pPr>
              <w:spacing w:line="320" w:lineRule="atLeast"/>
              <w:ind w:left="60" w:right="60"/>
              <w:rPr>
                <w:color w:val="264A60"/>
                <w:sz w:val="18"/>
              </w:rPr>
            </w:pPr>
            <w:r w:rsidRPr="006A1EC7">
              <w:rPr>
                <w:color w:val="264A60"/>
                <w:sz w:val="18"/>
              </w:rPr>
              <w:t>T1Emma_CNS - T1Alessandro_CNS</w:t>
            </w:r>
          </w:p>
        </w:tc>
        <w:tc>
          <w:tcPr>
            <w:tcW w:w="851" w:type="dxa"/>
            <w:tcBorders>
              <w:top w:val="single" w:sz="8" w:space="0" w:color="AEAEAE"/>
              <w:left w:val="nil"/>
              <w:bottom w:val="single" w:sz="8" w:space="0" w:color="AEAEAE"/>
              <w:right w:val="single" w:sz="8" w:space="0" w:color="E0E0E0"/>
            </w:tcBorders>
            <w:shd w:val="clear" w:color="auto" w:fill="FFFFFF"/>
          </w:tcPr>
          <w:p w14:paraId="031BFE3B" w14:textId="77777777" w:rsidR="0087601C" w:rsidRPr="006A1EC7" w:rsidRDefault="0087601C" w:rsidP="00D56051">
            <w:pPr>
              <w:spacing w:line="320" w:lineRule="atLeast"/>
              <w:ind w:left="60" w:right="60"/>
              <w:jc w:val="right"/>
              <w:rPr>
                <w:color w:val="010205"/>
                <w:sz w:val="18"/>
              </w:rPr>
            </w:pPr>
            <w:r w:rsidRPr="006A1EC7">
              <w:rPr>
                <w:color w:val="010205"/>
                <w:sz w:val="18"/>
              </w:rPr>
              <w:t>-12.000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3F4CBE4" w14:textId="77777777" w:rsidR="0087601C" w:rsidRPr="006A1EC7" w:rsidRDefault="0087601C" w:rsidP="00D56051">
            <w:pPr>
              <w:spacing w:line="320" w:lineRule="atLeast"/>
              <w:ind w:left="60" w:right="60"/>
              <w:jc w:val="right"/>
              <w:rPr>
                <w:color w:val="010205"/>
                <w:sz w:val="18"/>
              </w:rPr>
            </w:pPr>
            <w:r w:rsidRPr="006A1EC7">
              <w:rPr>
                <w:color w:val="010205"/>
                <w:sz w:val="18"/>
              </w:rPr>
              <w:t>4.555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13ECBFB" w14:textId="77777777" w:rsidR="0087601C" w:rsidRPr="006A1EC7" w:rsidRDefault="0087601C" w:rsidP="00D56051">
            <w:pPr>
              <w:spacing w:line="320" w:lineRule="atLeast"/>
              <w:ind w:left="60" w:right="60"/>
              <w:jc w:val="right"/>
              <w:rPr>
                <w:color w:val="010205"/>
                <w:sz w:val="18"/>
              </w:rPr>
            </w:pPr>
            <w:r w:rsidRPr="006A1EC7">
              <w:rPr>
                <w:color w:val="010205"/>
                <w:sz w:val="18"/>
              </w:rPr>
              <w:t>1.518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1242C6F" w14:textId="77777777" w:rsidR="0087601C" w:rsidRPr="006A1EC7" w:rsidRDefault="0087601C" w:rsidP="00D56051">
            <w:pPr>
              <w:spacing w:line="320" w:lineRule="atLeast"/>
              <w:ind w:left="60" w:right="60"/>
              <w:jc w:val="right"/>
              <w:rPr>
                <w:color w:val="010205"/>
                <w:sz w:val="18"/>
              </w:rPr>
            </w:pPr>
            <w:r w:rsidRPr="006A1EC7">
              <w:rPr>
                <w:color w:val="010205"/>
                <w:sz w:val="18"/>
              </w:rPr>
              <w:t>-15.501</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3C96669" w14:textId="77777777" w:rsidR="0087601C" w:rsidRPr="006A1EC7" w:rsidRDefault="0087601C" w:rsidP="00D56051">
            <w:pPr>
              <w:spacing w:line="320" w:lineRule="atLeast"/>
              <w:ind w:left="60" w:right="60"/>
              <w:jc w:val="right"/>
              <w:rPr>
                <w:color w:val="010205"/>
                <w:sz w:val="18"/>
              </w:rPr>
            </w:pPr>
            <w:r w:rsidRPr="006A1EC7">
              <w:rPr>
                <w:color w:val="010205"/>
                <w:sz w:val="18"/>
              </w:rPr>
              <w:t>-8.499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06A7394" w14:textId="77777777" w:rsidR="0087601C" w:rsidRPr="006A1EC7" w:rsidRDefault="0087601C" w:rsidP="00D56051">
            <w:pPr>
              <w:spacing w:line="320" w:lineRule="atLeast"/>
              <w:ind w:left="60" w:right="60"/>
              <w:jc w:val="right"/>
              <w:rPr>
                <w:color w:val="010205"/>
                <w:sz w:val="18"/>
              </w:rPr>
            </w:pPr>
            <w:r w:rsidRPr="006A1EC7">
              <w:rPr>
                <w:color w:val="010205"/>
                <w:sz w:val="18"/>
              </w:rPr>
              <w:t>-7.903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E0DFC3"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43F5245D"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247FBB3A"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2301FAEF" w14:textId="77777777" w:rsidR="0087601C" w:rsidRPr="006A1EC7" w:rsidRDefault="0087601C" w:rsidP="00D56051">
            <w:pPr>
              <w:spacing w:line="320" w:lineRule="atLeast"/>
              <w:ind w:left="60" w:right="60"/>
              <w:rPr>
                <w:color w:val="264A60"/>
                <w:sz w:val="18"/>
              </w:rPr>
            </w:pPr>
            <w:r w:rsidRPr="006A1EC7">
              <w:rPr>
                <w:color w:val="264A60"/>
                <w:sz w:val="18"/>
              </w:rPr>
              <w:t>Pair 21</w:t>
            </w:r>
          </w:p>
        </w:tc>
        <w:tc>
          <w:tcPr>
            <w:tcW w:w="950" w:type="dxa"/>
            <w:tcBorders>
              <w:top w:val="single" w:sz="8" w:space="0" w:color="AEAEAE"/>
              <w:left w:val="nil"/>
              <w:bottom w:val="single" w:sz="8" w:space="0" w:color="AEAEAE"/>
              <w:right w:val="nil"/>
            </w:tcBorders>
            <w:shd w:val="clear" w:color="auto" w:fill="E0E0E0"/>
          </w:tcPr>
          <w:p w14:paraId="1E0469A2" w14:textId="77777777" w:rsidR="0087601C" w:rsidRPr="006A1EC7" w:rsidRDefault="0087601C" w:rsidP="00D56051">
            <w:pPr>
              <w:spacing w:line="320" w:lineRule="atLeast"/>
              <w:ind w:left="60" w:right="60"/>
              <w:rPr>
                <w:color w:val="264A60"/>
                <w:sz w:val="18"/>
              </w:rPr>
            </w:pPr>
            <w:r w:rsidRPr="006A1EC7">
              <w:rPr>
                <w:color w:val="264A60"/>
                <w:sz w:val="18"/>
              </w:rPr>
              <w:t>T1Alessandro_Immun - T1Fineen_Immun</w:t>
            </w:r>
          </w:p>
        </w:tc>
        <w:tc>
          <w:tcPr>
            <w:tcW w:w="851" w:type="dxa"/>
            <w:tcBorders>
              <w:top w:val="single" w:sz="8" w:space="0" w:color="AEAEAE"/>
              <w:left w:val="nil"/>
              <w:bottom w:val="single" w:sz="8" w:space="0" w:color="AEAEAE"/>
              <w:right w:val="single" w:sz="8" w:space="0" w:color="E0E0E0"/>
            </w:tcBorders>
            <w:shd w:val="clear" w:color="auto" w:fill="FFFFFF"/>
          </w:tcPr>
          <w:p w14:paraId="2A553848" w14:textId="77777777" w:rsidR="0087601C" w:rsidRPr="006A1EC7" w:rsidRDefault="0087601C" w:rsidP="00D56051">
            <w:pPr>
              <w:spacing w:line="320" w:lineRule="atLeast"/>
              <w:ind w:left="60" w:right="60"/>
              <w:jc w:val="right"/>
              <w:rPr>
                <w:color w:val="010205"/>
                <w:sz w:val="18"/>
              </w:rPr>
            </w:pPr>
            <w:r w:rsidRPr="006A1EC7">
              <w:rPr>
                <w:color w:val="010205"/>
                <w:sz w:val="18"/>
              </w:rPr>
              <w:t>4.800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25CE020" w14:textId="77777777" w:rsidR="0087601C" w:rsidRPr="006A1EC7" w:rsidRDefault="0087601C" w:rsidP="00D56051">
            <w:pPr>
              <w:spacing w:line="320" w:lineRule="atLeast"/>
              <w:ind w:left="60" w:right="60"/>
              <w:jc w:val="right"/>
              <w:rPr>
                <w:color w:val="010205"/>
                <w:sz w:val="18"/>
              </w:rPr>
            </w:pPr>
            <w:r w:rsidRPr="006A1EC7">
              <w:rPr>
                <w:color w:val="010205"/>
                <w:sz w:val="18"/>
              </w:rPr>
              <w:t>1.317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00EE76B" w14:textId="77777777" w:rsidR="0087601C" w:rsidRPr="006A1EC7" w:rsidRDefault="0087601C" w:rsidP="00D56051">
            <w:pPr>
              <w:spacing w:line="320" w:lineRule="atLeast"/>
              <w:ind w:left="60" w:right="60"/>
              <w:jc w:val="right"/>
              <w:rPr>
                <w:color w:val="010205"/>
                <w:sz w:val="18"/>
              </w:rPr>
            </w:pPr>
            <w:r w:rsidRPr="006A1EC7">
              <w:rPr>
                <w:color w:val="010205"/>
                <w:sz w:val="18"/>
              </w:rPr>
              <w:t>.416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6D0CBC3" w14:textId="77777777" w:rsidR="0087601C" w:rsidRPr="006A1EC7" w:rsidRDefault="0087601C" w:rsidP="00D56051">
            <w:pPr>
              <w:spacing w:line="320" w:lineRule="atLeast"/>
              <w:ind w:left="60" w:right="60"/>
              <w:jc w:val="right"/>
              <w:rPr>
                <w:color w:val="010205"/>
                <w:sz w:val="18"/>
              </w:rPr>
            </w:pPr>
            <w:r w:rsidRPr="006A1EC7">
              <w:rPr>
                <w:color w:val="010205"/>
                <w:sz w:val="18"/>
              </w:rPr>
              <w:t>3.858</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325D428" w14:textId="77777777" w:rsidR="0087601C" w:rsidRPr="006A1EC7" w:rsidRDefault="0087601C" w:rsidP="00D56051">
            <w:pPr>
              <w:spacing w:line="320" w:lineRule="atLeast"/>
              <w:ind w:left="60" w:right="60"/>
              <w:jc w:val="right"/>
              <w:rPr>
                <w:color w:val="010205"/>
                <w:sz w:val="18"/>
              </w:rPr>
            </w:pPr>
            <w:r w:rsidRPr="006A1EC7">
              <w:rPr>
                <w:color w:val="010205"/>
                <w:sz w:val="18"/>
              </w:rPr>
              <w:t>5.742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D48AD9D" w14:textId="77777777" w:rsidR="0087601C" w:rsidRPr="006A1EC7" w:rsidRDefault="0087601C" w:rsidP="00D56051">
            <w:pPr>
              <w:spacing w:line="320" w:lineRule="atLeast"/>
              <w:ind w:left="60" w:right="60"/>
              <w:jc w:val="right"/>
              <w:rPr>
                <w:color w:val="010205"/>
                <w:sz w:val="18"/>
              </w:rPr>
            </w:pPr>
            <w:r w:rsidRPr="006A1EC7">
              <w:rPr>
                <w:color w:val="010205"/>
                <w:sz w:val="18"/>
              </w:rPr>
              <w:t>11.529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394AE3"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58FAB1B1"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32B4FD47"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533E7770" w14:textId="77777777" w:rsidR="0087601C" w:rsidRPr="006A1EC7" w:rsidRDefault="0087601C" w:rsidP="00D56051">
            <w:pPr>
              <w:spacing w:line="320" w:lineRule="atLeast"/>
              <w:ind w:left="60" w:right="60"/>
              <w:rPr>
                <w:color w:val="264A60"/>
                <w:sz w:val="18"/>
              </w:rPr>
            </w:pPr>
            <w:r w:rsidRPr="006A1EC7">
              <w:rPr>
                <w:color w:val="264A60"/>
                <w:sz w:val="18"/>
              </w:rPr>
              <w:t>Pair 22</w:t>
            </w:r>
          </w:p>
        </w:tc>
        <w:tc>
          <w:tcPr>
            <w:tcW w:w="950" w:type="dxa"/>
            <w:tcBorders>
              <w:top w:val="single" w:sz="8" w:space="0" w:color="AEAEAE"/>
              <w:left w:val="nil"/>
              <w:bottom w:val="single" w:sz="8" w:space="0" w:color="AEAEAE"/>
              <w:right w:val="nil"/>
            </w:tcBorders>
            <w:shd w:val="clear" w:color="auto" w:fill="E0E0E0"/>
          </w:tcPr>
          <w:p w14:paraId="1E78D596" w14:textId="77777777" w:rsidR="0087601C" w:rsidRPr="006A1EC7" w:rsidRDefault="0087601C" w:rsidP="00D56051">
            <w:pPr>
              <w:spacing w:line="320" w:lineRule="atLeast"/>
              <w:ind w:left="60" w:right="60"/>
              <w:rPr>
                <w:color w:val="264A60"/>
                <w:sz w:val="18"/>
              </w:rPr>
            </w:pPr>
            <w:r w:rsidRPr="006A1EC7">
              <w:rPr>
                <w:color w:val="264A60"/>
                <w:sz w:val="18"/>
              </w:rPr>
              <w:t>T1Bronagh_Immun - T1Joshua_Immun</w:t>
            </w:r>
          </w:p>
        </w:tc>
        <w:tc>
          <w:tcPr>
            <w:tcW w:w="851" w:type="dxa"/>
            <w:tcBorders>
              <w:top w:val="single" w:sz="8" w:space="0" w:color="AEAEAE"/>
              <w:left w:val="nil"/>
              <w:bottom w:val="single" w:sz="8" w:space="0" w:color="AEAEAE"/>
              <w:right w:val="single" w:sz="8" w:space="0" w:color="E0E0E0"/>
            </w:tcBorders>
            <w:shd w:val="clear" w:color="auto" w:fill="FFFFFF"/>
          </w:tcPr>
          <w:p w14:paraId="1CA6A36D" w14:textId="77777777" w:rsidR="0087601C" w:rsidRPr="006A1EC7" w:rsidRDefault="0087601C" w:rsidP="00D56051">
            <w:pPr>
              <w:spacing w:line="320" w:lineRule="atLeast"/>
              <w:ind w:left="60" w:right="60"/>
              <w:jc w:val="right"/>
              <w:rPr>
                <w:color w:val="010205"/>
                <w:sz w:val="18"/>
              </w:rPr>
            </w:pPr>
            <w:r w:rsidRPr="006A1EC7">
              <w:rPr>
                <w:color w:val="010205"/>
                <w:sz w:val="18"/>
              </w:rPr>
              <w:t>-.300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FD84E76" w14:textId="77777777" w:rsidR="0087601C" w:rsidRPr="006A1EC7" w:rsidRDefault="0087601C" w:rsidP="00D56051">
            <w:pPr>
              <w:spacing w:line="320" w:lineRule="atLeast"/>
              <w:ind w:left="60" w:right="60"/>
              <w:jc w:val="right"/>
              <w:rPr>
                <w:color w:val="010205"/>
                <w:sz w:val="18"/>
              </w:rPr>
            </w:pPr>
            <w:r w:rsidRPr="006A1EC7">
              <w:rPr>
                <w:color w:val="010205"/>
                <w:sz w:val="18"/>
              </w:rPr>
              <w:t>.949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846D1BE" w14:textId="77777777" w:rsidR="0087601C" w:rsidRPr="006A1EC7" w:rsidRDefault="0087601C" w:rsidP="00D56051">
            <w:pPr>
              <w:spacing w:line="320" w:lineRule="atLeast"/>
              <w:ind w:left="60" w:right="60"/>
              <w:jc w:val="right"/>
              <w:rPr>
                <w:color w:val="010205"/>
                <w:sz w:val="18"/>
              </w:rPr>
            </w:pPr>
            <w:r w:rsidRPr="006A1EC7">
              <w:rPr>
                <w:color w:val="010205"/>
                <w:sz w:val="18"/>
              </w:rPr>
              <w:t>.300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FE94DCC" w14:textId="77777777" w:rsidR="0087601C" w:rsidRPr="006A1EC7" w:rsidRDefault="0087601C" w:rsidP="00D56051">
            <w:pPr>
              <w:spacing w:line="320" w:lineRule="atLeast"/>
              <w:ind w:left="60" w:right="60"/>
              <w:jc w:val="right"/>
              <w:rPr>
                <w:color w:val="010205"/>
                <w:sz w:val="18"/>
              </w:rPr>
            </w:pPr>
            <w:r w:rsidRPr="006A1EC7">
              <w:rPr>
                <w:color w:val="010205"/>
                <w:sz w:val="18"/>
              </w:rPr>
              <w:t>-.979</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45A7AE7" w14:textId="77777777" w:rsidR="0087601C" w:rsidRPr="006A1EC7" w:rsidRDefault="0087601C" w:rsidP="00D56051">
            <w:pPr>
              <w:spacing w:line="320" w:lineRule="atLeast"/>
              <w:ind w:left="60" w:right="60"/>
              <w:jc w:val="right"/>
              <w:rPr>
                <w:color w:val="010205"/>
                <w:sz w:val="18"/>
              </w:rPr>
            </w:pPr>
            <w:r w:rsidRPr="006A1EC7">
              <w:rPr>
                <w:color w:val="010205"/>
                <w:sz w:val="18"/>
              </w:rPr>
              <w:t>.379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E29CA0F" w14:textId="77777777" w:rsidR="0087601C" w:rsidRPr="006A1EC7" w:rsidRDefault="0087601C" w:rsidP="00D56051">
            <w:pPr>
              <w:spacing w:line="320" w:lineRule="atLeast"/>
              <w:ind w:left="60" w:right="60"/>
              <w:jc w:val="right"/>
              <w:rPr>
                <w:color w:val="010205"/>
                <w:sz w:val="18"/>
              </w:rPr>
            </w:pPr>
            <w:r w:rsidRPr="006A1EC7">
              <w:rPr>
                <w:color w:val="010205"/>
                <w:sz w:val="18"/>
              </w:rPr>
              <w:t>-1.000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3968A1"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596FD7C1" w14:textId="77777777" w:rsidR="0087601C" w:rsidRPr="006A1EC7" w:rsidRDefault="0087601C" w:rsidP="00D56051">
            <w:pPr>
              <w:spacing w:line="320" w:lineRule="atLeast"/>
              <w:ind w:left="60" w:right="60"/>
              <w:jc w:val="right"/>
              <w:rPr>
                <w:color w:val="010205"/>
                <w:sz w:val="18"/>
              </w:rPr>
            </w:pPr>
            <w:r w:rsidRPr="006A1EC7">
              <w:rPr>
                <w:color w:val="010205"/>
                <w:sz w:val="18"/>
              </w:rPr>
              <w:t>.343</w:t>
            </w:r>
          </w:p>
        </w:tc>
      </w:tr>
      <w:tr w:rsidR="0087601C" w:rsidRPr="006A1EC7" w14:paraId="3312C49F"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6465516D" w14:textId="77777777" w:rsidR="0087601C" w:rsidRPr="006A1EC7" w:rsidRDefault="0087601C" w:rsidP="00D56051">
            <w:pPr>
              <w:spacing w:line="320" w:lineRule="atLeast"/>
              <w:ind w:left="60" w:right="60"/>
              <w:rPr>
                <w:color w:val="264A60"/>
                <w:sz w:val="18"/>
              </w:rPr>
            </w:pPr>
            <w:r w:rsidRPr="006A1EC7">
              <w:rPr>
                <w:color w:val="264A60"/>
                <w:sz w:val="18"/>
              </w:rPr>
              <w:t>Pair 23</w:t>
            </w:r>
          </w:p>
        </w:tc>
        <w:tc>
          <w:tcPr>
            <w:tcW w:w="950" w:type="dxa"/>
            <w:tcBorders>
              <w:top w:val="single" w:sz="8" w:space="0" w:color="AEAEAE"/>
              <w:left w:val="nil"/>
              <w:bottom w:val="single" w:sz="8" w:space="0" w:color="AEAEAE"/>
              <w:right w:val="nil"/>
            </w:tcBorders>
            <w:shd w:val="clear" w:color="auto" w:fill="E0E0E0"/>
          </w:tcPr>
          <w:p w14:paraId="1DF1AB20" w14:textId="77777777" w:rsidR="0087601C" w:rsidRPr="006A1EC7" w:rsidRDefault="0087601C" w:rsidP="00D56051">
            <w:pPr>
              <w:spacing w:line="320" w:lineRule="atLeast"/>
              <w:ind w:left="60" w:right="60"/>
              <w:rPr>
                <w:color w:val="264A60"/>
                <w:sz w:val="18"/>
              </w:rPr>
            </w:pPr>
            <w:r w:rsidRPr="006A1EC7">
              <w:rPr>
                <w:color w:val="264A60"/>
                <w:sz w:val="18"/>
              </w:rPr>
              <w:t>T1Emma_Immun - T1Alessandro_Immun</w:t>
            </w:r>
          </w:p>
        </w:tc>
        <w:tc>
          <w:tcPr>
            <w:tcW w:w="851" w:type="dxa"/>
            <w:tcBorders>
              <w:top w:val="single" w:sz="8" w:space="0" w:color="AEAEAE"/>
              <w:left w:val="nil"/>
              <w:bottom w:val="single" w:sz="8" w:space="0" w:color="AEAEAE"/>
              <w:right w:val="single" w:sz="8" w:space="0" w:color="E0E0E0"/>
            </w:tcBorders>
            <w:shd w:val="clear" w:color="auto" w:fill="FFFFFF"/>
          </w:tcPr>
          <w:p w14:paraId="5B3EAD03" w14:textId="77777777" w:rsidR="0087601C" w:rsidRPr="006A1EC7" w:rsidRDefault="0087601C" w:rsidP="00D56051">
            <w:pPr>
              <w:spacing w:line="320" w:lineRule="atLeast"/>
              <w:ind w:left="60" w:right="60"/>
              <w:jc w:val="right"/>
              <w:rPr>
                <w:color w:val="010205"/>
                <w:sz w:val="18"/>
              </w:rPr>
            </w:pPr>
            <w:r w:rsidRPr="006A1EC7">
              <w:rPr>
                <w:color w:val="010205"/>
                <w:sz w:val="18"/>
              </w:rPr>
              <w:t>-5.400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E802362" w14:textId="77777777" w:rsidR="0087601C" w:rsidRPr="006A1EC7" w:rsidRDefault="0087601C" w:rsidP="00D56051">
            <w:pPr>
              <w:spacing w:line="320" w:lineRule="atLeast"/>
              <w:ind w:left="60" w:right="60"/>
              <w:jc w:val="right"/>
              <w:rPr>
                <w:color w:val="010205"/>
                <w:sz w:val="18"/>
              </w:rPr>
            </w:pPr>
            <w:r w:rsidRPr="006A1EC7">
              <w:rPr>
                <w:color w:val="010205"/>
                <w:sz w:val="18"/>
              </w:rPr>
              <w:t>2.119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4DA3187" w14:textId="77777777" w:rsidR="0087601C" w:rsidRPr="006A1EC7" w:rsidRDefault="0087601C" w:rsidP="00D56051">
            <w:pPr>
              <w:spacing w:line="320" w:lineRule="atLeast"/>
              <w:ind w:left="60" w:right="60"/>
              <w:jc w:val="right"/>
              <w:rPr>
                <w:color w:val="010205"/>
                <w:sz w:val="18"/>
              </w:rPr>
            </w:pPr>
            <w:r w:rsidRPr="006A1EC7">
              <w:rPr>
                <w:color w:val="010205"/>
                <w:sz w:val="18"/>
              </w:rPr>
              <w:t>.670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1AAFA76" w14:textId="77777777" w:rsidR="0087601C" w:rsidRPr="006A1EC7" w:rsidRDefault="0087601C" w:rsidP="00D56051">
            <w:pPr>
              <w:spacing w:line="320" w:lineRule="atLeast"/>
              <w:ind w:left="60" w:right="60"/>
              <w:jc w:val="right"/>
              <w:rPr>
                <w:color w:val="010205"/>
                <w:sz w:val="18"/>
              </w:rPr>
            </w:pPr>
            <w:r w:rsidRPr="006A1EC7">
              <w:rPr>
                <w:color w:val="010205"/>
                <w:sz w:val="18"/>
              </w:rPr>
              <w:t>-6.916</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757425B" w14:textId="77777777" w:rsidR="0087601C" w:rsidRPr="006A1EC7" w:rsidRDefault="0087601C" w:rsidP="00D56051">
            <w:pPr>
              <w:spacing w:line="320" w:lineRule="atLeast"/>
              <w:ind w:left="60" w:right="60"/>
              <w:jc w:val="right"/>
              <w:rPr>
                <w:color w:val="010205"/>
                <w:sz w:val="18"/>
              </w:rPr>
            </w:pPr>
            <w:r w:rsidRPr="006A1EC7">
              <w:rPr>
                <w:color w:val="010205"/>
                <w:sz w:val="18"/>
              </w:rPr>
              <w:t>-3.884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9996D75" w14:textId="77777777" w:rsidR="0087601C" w:rsidRPr="006A1EC7" w:rsidRDefault="0087601C" w:rsidP="00D56051">
            <w:pPr>
              <w:spacing w:line="320" w:lineRule="atLeast"/>
              <w:ind w:left="60" w:right="60"/>
              <w:jc w:val="right"/>
              <w:rPr>
                <w:color w:val="010205"/>
                <w:sz w:val="18"/>
              </w:rPr>
            </w:pPr>
            <w:r w:rsidRPr="006A1EC7">
              <w:rPr>
                <w:color w:val="010205"/>
                <w:sz w:val="18"/>
              </w:rPr>
              <w:t>-8.060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E08F785"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390C973D"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3B051A55"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720DC9D9" w14:textId="77777777" w:rsidR="0087601C" w:rsidRPr="006A1EC7" w:rsidRDefault="0087601C" w:rsidP="00D56051">
            <w:pPr>
              <w:spacing w:line="320" w:lineRule="atLeast"/>
              <w:ind w:left="60" w:right="60"/>
              <w:rPr>
                <w:color w:val="264A60"/>
                <w:sz w:val="18"/>
              </w:rPr>
            </w:pPr>
            <w:r w:rsidRPr="006A1EC7">
              <w:rPr>
                <w:color w:val="264A60"/>
                <w:sz w:val="18"/>
              </w:rPr>
              <w:t>Pair 24</w:t>
            </w:r>
          </w:p>
        </w:tc>
        <w:tc>
          <w:tcPr>
            <w:tcW w:w="950" w:type="dxa"/>
            <w:tcBorders>
              <w:top w:val="single" w:sz="8" w:space="0" w:color="AEAEAE"/>
              <w:left w:val="nil"/>
              <w:bottom w:val="single" w:sz="8" w:space="0" w:color="AEAEAE"/>
              <w:right w:val="nil"/>
            </w:tcBorders>
            <w:shd w:val="clear" w:color="auto" w:fill="E0E0E0"/>
          </w:tcPr>
          <w:p w14:paraId="16056B9E" w14:textId="77777777" w:rsidR="0087601C" w:rsidRPr="006A1EC7" w:rsidRDefault="0087601C" w:rsidP="00D56051">
            <w:pPr>
              <w:spacing w:line="320" w:lineRule="atLeast"/>
              <w:ind w:left="60" w:right="60"/>
              <w:rPr>
                <w:color w:val="264A60"/>
                <w:sz w:val="18"/>
              </w:rPr>
            </w:pPr>
            <w:r w:rsidRPr="006A1EC7">
              <w:rPr>
                <w:color w:val="264A60"/>
                <w:sz w:val="18"/>
              </w:rPr>
              <w:t>T1Bronagh_Func - T1Alessandro_Func</w:t>
            </w:r>
          </w:p>
        </w:tc>
        <w:tc>
          <w:tcPr>
            <w:tcW w:w="851" w:type="dxa"/>
            <w:tcBorders>
              <w:top w:val="single" w:sz="8" w:space="0" w:color="AEAEAE"/>
              <w:left w:val="nil"/>
              <w:bottom w:val="single" w:sz="8" w:space="0" w:color="AEAEAE"/>
              <w:right w:val="single" w:sz="8" w:space="0" w:color="E0E0E0"/>
            </w:tcBorders>
            <w:shd w:val="clear" w:color="auto" w:fill="FFFFFF"/>
          </w:tcPr>
          <w:p w14:paraId="68FE4185" w14:textId="77777777" w:rsidR="0087601C" w:rsidRPr="006A1EC7" w:rsidRDefault="0087601C" w:rsidP="00D56051">
            <w:pPr>
              <w:spacing w:line="320" w:lineRule="atLeast"/>
              <w:ind w:left="60" w:right="60"/>
              <w:jc w:val="right"/>
              <w:rPr>
                <w:color w:val="010205"/>
                <w:sz w:val="18"/>
              </w:rPr>
            </w:pPr>
            <w:r w:rsidRPr="006A1EC7">
              <w:rPr>
                <w:color w:val="010205"/>
                <w:sz w:val="18"/>
              </w:rPr>
              <w:t>-7.750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D248333" w14:textId="77777777" w:rsidR="0087601C" w:rsidRPr="006A1EC7" w:rsidRDefault="0087601C" w:rsidP="00D56051">
            <w:pPr>
              <w:spacing w:line="320" w:lineRule="atLeast"/>
              <w:ind w:left="60" w:right="60"/>
              <w:jc w:val="right"/>
              <w:rPr>
                <w:color w:val="010205"/>
                <w:sz w:val="18"/>
              </w:rPr>
            </w:pPr>
            <w:r w:rsidRPr="006A1EC7">
              <w:rPr>
                <w:color w:val="010205"/>
                <w:sz w:val="18"/>
              </w:rPr>
              <w:t>1.035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CA2D57" w14:textId="77777777" w:rsidR="0087601C" w:rsidRPr="006A1EC7" w:rsidRDefault="0087601C" w:rsidP="00D56051">
            <w:pPr>
              <w:spacing w:line="320" w:lineRule="atLeast"/>
              <w:ind w:left="60" w:right="60"/>
              <w:jc w:val="right"/>
              <w:rPr>
                <w:color w:val="010205"/>
                <w:sz w:val="18"/>
              </w:rPr>
            </w:pPr>
            <w:r w:rsidRPr="006A1EC7">
              <w:rPr>
                <w:color w:val="010205"/>
                <w:sz w:val="18"/>
              </w:rPr>
              <w:t>.366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33A5F82" w14:textId="77777777" w:rsidR="0087601C" w:rsidRPr="006A1EC7" w:rsidRDefault="0087601C" w:rsidP="00D56051">
            <w:pPr>
              <w:spacing w:line="320" w:lineRule="atLeast"/>
              <w:ind w:left="60" w:right="60"/>
              <w:jc w:val="right"/>
              <w:rPr>
                <w:color w:val="010205"/>
                <w:sz w:val="18"/>
              </w:rPr>
            </w:pPr>
            <w:r w:rsidRPr="006A1EC7">
              <w:rPr>
                <w:color w:val="010205"/>
                <w:sz w:val="18"/>
              </w:rPr>
              <w:t>-8.615</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16EF6A3" w14:textId="77777777" w:rsidR="0087601C" w:rsidRPr="006A1EC7" w:rsidRDefault="0087601C" w:rsidP="00D56051">
            <w:pPr>
              <w:spacing w:line="320" w:lineRule="atLeast"/>
              <w:ind w:left="60" w:right="60"/>
              <w:jc w:val="right"/>
              <w:rPr>
                <w:color w:val="010205"/>
                <w:sz w:val="18"/>
              </w:rPr>
            </w:pPr>
            <w:r w:rsidRPr="006A1EC7">
              <w:rPr>
                <w:color w:val="010205"/>
                <w:sz w:val="18"/>
              </w:rPr>
              <w:t>-6.885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8F8A129" w14:textId="77777777" w:rsidR="0087601C" w:rsidRPr="006A1EC7" w:rsidRDefault="0087601C" w:rsidP="00D56051">
            <w:pPr>
              <w:spacing w:line="320" w:lineRule="atLeast"/>
              <w:ind w:left="60" w:right="60"/>
              <w:jc w:val="right"/>
              <w:rPr>
                <w:color w:val="010205"/>
                <w:sz w:val="18"/>
              </w:rPr>
            </w:pPr>
            <w:r w:rsidRPr="006A1EC7">
              <w:rPr>
                <w:color w:val="010205"/>
                <w:sz w:val="18"/>
              </w:rPr>
              <w:t>-21.177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4B627C" w14:textId="77777777" w:rsidR="0087601C" w:rsidRPr="006A1EC7" w:rsidRDefault="0087601C" w:rsidP="00D56051">
            <w:pPr>
              <w:spacing w:line="320" w:lineRule="atLeast"/>
              <w:ind w:left="60" w:right="60"/>
              <w:jc w:val="right"/>
              <w:rPr>
                <w:color w:val="010205"/>
                <w:sz w:val="18"/>
              </w:rPr>
            </w:pPr>
            <w:r w:rsidRPr="006A1EC7">
              <w:rPr>
                <w:color w:val="010205"/>
                <w:sz w:val="18"/>
              </w:rPr>
              <w:t>7</w:t>
            </w:r>
          </w:p>
        </w:tc>
        <w:tc>
          <w:tcPr>
            <w:tcW w:w="567" w:type="dxa"/>
            <w:tcBorders>
              <w:top w:val="single" w:sz="8" w:space="0" w:color="AEAEAE"/>
              <w:left w:val="single" w:sz="8" w:space="0" w:color="E0E0E0"/>
              <w:bottom w:val="single" w:sz="8" w:space="0" w:color="AEAEAE"/>
              <w:right w:val="nil"/>
            </w:tcBorders>
            <w:shd w:val="clear" w:color="auto" w:fill="FFFFFF"/>
          </w:tcPr>
          <w:p w14:paraId="280DF88E"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6783D470"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4DCFF1F0" w14:textId="77777777" w:rsidR="0087601C" w:rsidRPr="006A1EC7" w:rsidRDefault="0087601C" w:rsidP="00D56051">
            <w:pPr>
              <w:spacing w:line="320" w:lineRule="atLeast"/>
              <w:ind w:left="60" w:right="60"/>
              <w:rPr>
                <w:color w:val="264A60"/>
                <w:sz w:val="18"/>
              </w:rPr>
            </w:pPr>
            <w:r w:rsidRPr="006A1EC7">
              <w:rPr>
                <w:color w:val="264A60"/>
                <w:sz w:val="18"/>
              </w:rPr>
              <w:t>Pair 25</w:t>
            </w:r>
          </w:p>
        </w:tc>
        <w:tc>
          <w:tcPr>
            <w:tcW w:w="950" w:type="dxa"/>
            <w:tcBorders>
              <w:top w:val="single" w:sz="8" w:space="0" w:color="AEAEAE"/>
              <w:left w:val="nil"/>
              <w:bottom w:val="single" w:sz="8" w:space="0" w:color="AEAEAE"/>
              <w:right w:val="nil"/>
            </w:tcBorders>
            <w:shd w:val="clear" w:color="auto" w:fill="E0E0E0"/>
          </w:tcPr>
          <w:p w14:paraId="3D8173D5" w14:textId="77777777" w:rsidR="0087601C" w:rsidRPr="006A1EC7" w:rsidRDefault="0087601C" w:rsidP="00D56051">
            <w:pPr>
              <w:spacing w:line="320" w:lineRule="atLeast"/>
              <w:ind w:left="60" w:right="60"/>
              <w:rPr>
                <w:color w:val="264A60"/>
                <w:sz w:val="18"/>
              </w:rPr>
            </w:pPr>
            <w:r w:rsidRPr="006A1EC7">
              <w:rPr>
                <w:color w:val="264A60"/>
                <w:sz w:val="18"/>
              </w:rPr>
              <w:t>T1Joshua_Func - T1Emma_Func</w:t>
            </w:r>
          </w:p>
        </w:tc>
        <w:tc>
          <w:tcPr>
            <w:tcW w:w="851" w:type="dxa"/>
            <w:tcBorders>
              <w:top w:val="single" w:sz="8" w:space="0" w:color="AEAEAE"/>
              <w:left w:val="nil"/>
              <w:bottom w:val="single" w:sz="8" w:space="0" w:color="AEAEAE"/>
              <w:right w:val="single" w:sz="8" w:space="0" w:color="E0E0E0"/>
            </w:tcBorders>
            <w:shd w:val="clear" w:color="auto" w:fill="FFFFFF"/>
          </w:tcPr>
          <w:p w14:paraId="2A457E95" w14:textId="77777777" w:rsidR="0087601C" w:rsidRPr="006A1EC7" w:rsidRDefault="0087601C" w:rsidP="00D56051">
            <w:pPr>
              <w:spacing w:line="320" w:lineRule="atLeast"/>
              <w:ind w:left="60" w:right="60"/>
              <w:jc w:val="right"/>
              <w:rPr>
                <w:color w:val="010205"/>
                <w:sz w:val="18"/>
              </w:rPr>
            </w:pPr>
            <w:r w:rsidRPr="006A1EC7">
              <w:rPr>
                <w:color w:val="010205"/>
                <w:sz w:val="18"/>
              </w:rPr>
              <w:t>.600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715E98E" w14:textId="77777777" w:rsidR="0087601C" w:rsidRPr="006A1EC7" w:rsidRDefault="0087601C" w:rsidP="00D56051">
            <w:pPr>
              <w:spacing w:line="320" w:lineRule="atLeast"/>
              <w:ind w:left="60" w:right="60"/>
              <w:jc w:val="right"/>
              <w:rPr>
                <w:color w:val="010205"/>
                <w:sz w:val="18"/>
              </w:rPr>
            </w:pPr>
            <w:r w:rsidRPr="006A1EC7">
              <w:rPr>
                <w:color w:val="010205"/>
                <w:sz w:val="18"/>
              </w:rPr>
              <w:t>.548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EADB4BE" w14:textId="77777777" w:rsidR="0087601C" w:rsidRPr="006A1EC7" w:rsidRDefault="0087601C" w:rsidP="00D56051">
            <w:pPr>
              <w:spacing w:line="320" w:lineRule="atLeast"/>
              <w:ind w:left="60" w:right="60"/>
              <w:jc w:val="right"/>
              <w:rPr>
                <w:color w:val="010205"/>
                <w:sz w:val="18"/>
              </w:rPr>
            </w:pPr>
            <w:r w:rsidRPr="006A1EC7">
              <w:rPr>
                <w:color w:val="010205"/>
                <w:sz w:val="18"/>
              </w:rPr>
              <w:t>.245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8FBB3CA" w14:textId="77777777" w:rsidR="0087601C" w:rsidRPr="006A1EC7" w:rsidRDefault="0087601C" w:rsidP="00D56051">
            <w:pPr>
              <w:spacing w:line="320" w:lineRule="atLeast"/>
              <w:ind w:left="60" w:right="60"/>
              <w:jc w:val="right"/>
              <w:rPr>
                <w:color w:val="010205"/>
                <w:sz w:val="18"/>
              </w:rPr>
            </w:pPr>
            <w:r w:rsidRPr="006A1EC7">
              <w:rPr>
                <w:color w:val="010205"/>
                <w:sz w:val="18"/>
              </w:rPr>
              <w:t>-.080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B2D3342" w14:textId="77777777" w:rsidR="0087601C" w:rsidRPr="006A1EC7" w:rsidRDefault="0087601C" w:rsidP="00D56051">
            <w:pPr>
              <w:spacing w:line="320" w:lineRule="atLeast"/>
              <w:ind w:left="60" w:right="60"/>
              <w:jc w:val="right"/>
              <w:rPr>
                <w:color w:val="010205"/>
                <w:sz w:val="18"/>
              </w:rPr>
            </w:pPr>
            <w:r w:rsidRPr="006A1EC7">
              <w:rPr>
                <w:color w:val="010205"/>
                <w:sz w:val="18"/>
              </w:rPr>
              <w:t>1.280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01453E1" w14:textId="77777777" w:rsidR="0087601C" w:rsidRPr="006A1EC7" w:rsidRDefault="0087601C" w:rsidP="00D56051">
            <w:pPr>
              <w:spacing w:line="320" w:lineRule="atLeast"/>
              <w:ind w:left="60" w:right="60"/>
              <w:jc w:val="right"/>
              <w:rPr>
                <w:color w:val="010205"/>
                <w:sz w:val="18"/>
              </w:rPr>
            </w:pPr>
            <w:r w:rsidRPr="006A1EC7">
              <w:rPr>
                <w:color w:val="010205"/>
                <w:sz w:val="18"/>
              </w:rPr>
              <w:t>2.449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E29D9A" w14:textId="77777777" w:rsidR="0087601C" w:rsidRPr="006A1EC7" w:rsidRDefault="0087601C" w:rsidP="00D56051">
            <w:pPr>
              <w:spacing w:line="320" w:lineRule="atLeast"/>
              <w:ind w:left="60" w:right="60"/>
              <w:jc w:val="right"/>
              <w:rPr>
                <w:color w:val="010205"/>
                <w:sz w:val="18"/>
              </w:rPr>
            </w:pPr>
            <w:r w:rsidRPr="006A1EC7">
              <w:rPr>
                <w:color w:val="010205"/>
                <w:sz w:val="18"/>
              </w:rPr>
              <w:t>4</w:t>
            </w:r>
          </w:p>
        </w:tc>
        <w:tc>
          <w:tcPr>
            <w:tcW w:w="567" w:type="dxa"/>
            <w:tcBorders>
              <w:top w:val="single" w:sz="8" w:space="0" w:color="AEAEAE"/>
              <w:left w:val="single" w:sz="8" w:space="0" w:color="E0E0E0"/>
              <w:bottom w:val="single" w:sz="8" w:space="0" w:color="AEAEAE"/>
              <w:right w:val="nil"/>
            </w:tcBorders>
            <w:shd w:val="clear" w:color="auto" w:fill="FFFFFF"/>
          </w:tcPr>
          <w:p w14:paraId="7EC505FE" w14:textId="77777777" w:rsidR="0087601C" w:rsidRPr="006A1EC7" w:rsidRDefault="0087601C" w:rsidP="00D56051">
            <w:pPr>
              <w:spacing w:line="320" w:lineRule="atLeast"/>
              <w:ind w:left="60" w:right="60"/>
              <w:jc w:val="right"/>
              <w:rPr>
                <w:color w:val="010205"/>
                <w:sz w:val="18"/>
              </w:rPr>
            </w:pPr>
            <w:r w:rsidRPr="006A1EC7">
              <w:rPr>
                <w:color w:val="010205"/>
                <w:sz w:val="18"/>
              </w:rPr>
              <w:t>.070</w:t>
            </w:r>
          </w:p>
        </w:tc>
      </w:tr>
      <w:tr w:rsidR="0087601C" w:rsidRPr="006A1EC7" w14:paraId="6FE9BBFC"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4779AD92" w14:textId="77777777" w:rsidR="0087601C" w:rsidRPr="006A1EC7" w:rsidRDefault="0087601C" w:rsidP="00D56051">
            <w:pPr>
              <w:spacing w:line="320" w:lineRule="atLeast"/>
              <w:ind w:left="60" w:right="60"/>
              <w:rPr>
                <w:color w:val="264A60"/>
                <w:sz w:val="18"/>
              </w:rPr>
            </w:pPr>
            <w:r w:rsidRPr="006A1EC7">
              <w:rPr>
                <w:color w:val="264A60"/>
                <w:sz w:val="18"/>
              </w:rPr>
              <w:t>Pair 26</w:t>
            </w:r>
          </w:p>
        </w:tc>
        <w:tc>
          <w:tcPr>
            <w:tcW w:w="950" w:type="dxa"/>
            <w:tcBorders>
              <w:top w:val="single" w:sz="8" w:space="0" w:color="AEAEAE"/>
              <w:left w:val="nil"/>
              <w:bottom w:val="single" w:sz="8" w:space="0" w:color="AEAEAE"/>
              <w:right w:val="nil"/>
            </w:tcBorders>
            <w:shd w:val="clear" w:color="auto" w:fill="E0E0E0"/>
          </w:tcPr>
          <w:p w14:paraId="22048E8F" w14:textId="77777777" w:rsidR="0087601C" w:rsidRPr="006A1EC7" w:rsidRDefault="0087601C" w:rsidP="00D56051">
            <w:pPr>
              <w:spacing w:line="320" w:lineRule="atLeast"/>
              <w:ind w:left="60" w:right="60"/>
              <w:rPr>
                <w:color w:val="264A60"/>
                <w:sz w:val="18"/>
              </w:rPr>
            </w:pPr>
            <w:r w:rsidRPr="006A1EC7">
              <w:rPr>
                <w:color w:val="264A60"/>
                <w:sz w:val="18"/>
              </w:rPr>
              <w:t>T1Fineen_Func - T1Emma_Func</w:t>
            </w:r>
          </w:p>
        </w:tc>
        <w:tc>
          <w:tcPr>
            <w:tcW w:w="851" w:type="dxa"/>
            <w:tcBorders>
              <w:top w:val="single" w:sz="8" w:space="0" w:color="AEAEAE"/>
              <w:left w:val="nil"/>
              <w:bottom w:val="single" w:sz="8" w:space="0" w:color="AEAEAE"/>
              <w:right w:val="single" w:sz="8" w:space="0" w:color="E0E0E0"/>
            </w:tcBorders>
            <w:shd w:val="clear" w:color="auto" w:fill="FFFFFF"/>
          </w:tcPr>
          <w:p w14:paraId="23DDD998" w14:textId="77777777" w:rsidR="0087601C" w:rsidRPr="006A1EC7" w:rsidRDefault="0087601C" w:rsidP="00D56051">
            <w:pPr>
              <w:spacing w:line="320" w:lineRule="atLeast"/>
              <w:ind w:left="60" w:right="60"/>
              <w:jc w:val="right"/>
              <w:rPr>
                <w:color w:val="010205"/>
                <w:sz w:val="18"/>
              </w:rPr>
            </w:pPr>
            <w:r w:rsidRPr="006A1EC7">
              <w:rPr>
                <w:color w:val="010205"/>
                <w:sz w:val="18"/>
              </w:rPr>
              <w:t>-3.500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0F1674D" w14:textId="77777777" w:rsidR="0087601C" w:rsidRPr="006A1EC7" w:rsidRDefault="0087601C" w:rsidP="00D56051">
            <w:pPr>
              <w:spacing w:line="320" w:lineRule="atLeast"/>
              <w:ind w:left="60" w:right="60"/>
              <w:jc w:val="right"/>
              <w:rPr>
                <w:color w:val="010205"/>
                <w:sz w:val="18"/>
              </w:rPr>
            </w:pPr>
            <w:r w:rsidRPr="006A1EC7">
              <w:rPr>
                <w:color w:val="010205"/>
                <w:sz w:val="18"/>
              </w:rPr>
              <w:t>2.121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814A89A" w14:textId="77777777" w:rsidR="0087601C" w:rsidRPr="006A1EC7" w:rsidRDefault="0087601C" w:rsidP="00D56051">
            <w:pPr>
              <w:spacing w:line="320" w:lineRule="atLeast"/>
              <w:ind w:left="60" w:right="60"/>
              <w:jc w:val="right"/>
              <w:rPr>
                <w:color w:val="010205"/>
                <w:sz w:val="18"/>
              </w:rPr>
            </w:pPr>
            <w:r w:rsidRPr="006A1EC7">
              <w:rPr>
                <w:color w:val="010205"/>
                <w:sz w:val="18"/>
              </w:rPr>
              <w:t>1.500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B94D530" w14:textId="77777777" w:rsidR="0087601C" w:rsidRPr="006A1EC7" w:rsidRDefault="0087601C" w:rsidP="00D56051">
            <w:pPr>
              <w:spacing w:line="320" w:lineRule="atLeast"/>
              <w:ind w:left="60" w:right="60"/>
              <w:jc w:val="right"/>
              <w:rPr>
                <w:color w:val="010205"/>
                <w:sz w:val="18"/>
              </w:rPr>
            </w:pPr>
            <w:r w:rsidRPr="006A1EC7">
              <w:rPr>
                <w:color w:val="010205"/>
                <w:sz w:val="18"/>
              </w:rPr>
              <w:t>-22.559</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7C389F3" w14:textId="77777777" w:rsidR="0087601C" w:rsidRPr="006A1EC7" w:rsidRDefault="0087601C" w:rsidP="00D56051">
            <w:pPr>
              <w:spacing w:line="320" w:lineRule="atLeast"/>
              <w:ind w:left="60" w:right="60"/>
              <w:jc w:val="right"/>
              <w:rPr>
                <w:color w:val="010205"/>
                <w:sz w:val="18"/>
              </w:rPr>
            </w:pPr>
            <w:r w:rsidRPr="006A1EC7">
              <w:rPr>
                <w:color w:val="010205"/>
                <w:sz w:val="18"/>
              </w:rPr>
              <w:t>15.559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38FFE54" w14:textId="77777777" w:rsidR="0087601C" w:rsidRPr="006A1EC7" w:rsidRDefault="0087601C" w:rsidP="00D56051">
            <w:pPr>
              <w:spacing w:line="320" w:lineRule="atLeast"/>
              <w:ind w:left="60" w:right="60"/>
              <w:jc w:val="right"/>
              <w:rPr>
                <w:color w:val="010205"/>
                <w:sz w:val="18"/>
              </w:rPr>
            </w:pPr>
            <w:r w:rsidRPr="006A1EC7">
              <w:rPr>
                <w:color w:val="010205"/>
                <w:sz w:val="18"/>
              </w:rPr>
              <w:t>-2.333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1CA832" w14:textId="77777777" w:rsidR="0087601C" w:rsidRPr="006A1EC7" w:rsidRDefault="0087601C" w:rsidP="00D56051">
            <w:pPr>
              <w:spacing w:line="320" w:lineRule="atLeast"/>
              <w:ind w:left="60" w:right="60"/>
              <w:jc w:val="right"/>
              <w:rPr>
                <w:color w:val="010205"/>
                <w:sz w:val="18"/>
              </w:rPr>
            </w:pPr>
            <w:r w:rsidRPr="006A1EC7">
              <w:rPr>
                <w:color w:val="010205"/>
                <w:sz w:val="18"/>
              </w:rPr>
              <w:t>1</w:t>
            </w:r>
          </w:p>
        </w:tc>
        <w:tc>
          <w:tcPr>
            <w:tcW w:w="567" w:type="dxa"/>
            <w:tcBorders>
              <w:top w:val="single" w:sz="8" w:space="0" w:color="AEAEAE"/>
              <w:left w:val="single" w:sz="8" w:space="0" w:color="E0E0E0"/>
              <w:bottom w:val="single" w:sz="8" w:space="0" w:color="AEAEAE"/>
              <w:right w:val="nil"/>
            </w:tcBorders>
            <w:shd w:val="clear" w:color="auto" w:fill="FFFFFF"/>
          </w:tcPr>
          <w:p w14:paraId="046D4B2D" w14:textId="77777777" w:rsidR="0087601C" w:rsidRPr="006A1EC7" w:rsidRDefault="0087601C" w:rsidP="00D56051">
            <w:pPr>
              <w:spacing w:line="320" w:lineRule="atLeast"/>
              <w:ind w:left="60" w:right="60"/>
              <w:jc w:val="right"/>
              <w:rPr>
                <w:color w:val="010205"/>
                <w:sz w:val="18"/>
              </w:rPr>
            </w:pPr>
            <w:r w:rsidRPr="006A1EC7">
              <w:rPr>
                <w:color w:val="010205"/>
                <w:sz w:val="18"/>
              </w:rPr>
              <w:t>.258</w:t>
            </w:r>
          </w:p>
        </w:tc>
      </w:tr>
      <w:tr w:rsidR="0087601C" w:rsidRPr="006A1EC7" w14:paraId="08EB858F"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74DDAD0D" w14:textId="77777777" w:rsidR="0087601C" w:rsidRPr="006A1EC7" w:rsidRDefault="0087601C" w:rsidP="00D56051">
            <w:pPr>
              <w:spacing w:line="320" w:lineRule="atLeast"/>
              <w:ind w:left="60" w:right="60"/>
              <w:rPr>
                <w:color w:val="264A60"/>
                <w:sz w:val="18"/>
              </w:rPr>
            </w:pPr>
            <w:r w:rsidRPr="006A1EC7">
              <w:rPr>
                <w:color w:val="264A60"/>
                <w:sz w:val="18"/>
              </w:rPr>
              <w:t>Pair 27</w:t>
            </w:r>
          </w:p>
        </w:tc>
        <w:tc>
          <w:tcPr>
            <w:tcW w:w="950" w:type="dxa"/>
            <w:tcBorders>
              <w:top w:val="single" w:sz="8" w:space="0" w:color="AEAEAE"/>
              <w:left w:val="nil"/>
              <w:bottom w:val="single" w:sz="8" w:space="0" w:color="AEAEAE"/>
              <w:right w:val="nil"/>
            </w:tcBorders>
            <w:shd w:val="clear" w:color="auto" w:fill="E0E0E0"/>
          </w:tcPr>
          <w:p w14:paraId="7744CB53" w14:textId="77777777" w:rsidR="0087601C" w:rsidRPr="006A1EC7" w:rsidRDefault="0087601C" w:rsidP="00D56051">
            <w:pPr>
              <w:spacing w:line="320" w:lineRule="atLeast"/>
              <w:ind w:left="60" w:right="60"/>
              <w:rPr>
                <w:color w:val="264A60"/>
                <w:sz w:val="18"/>
              </w:rPr>
            </w:pPr>
            <w:r w:rsidRPr="006A1EC7">
              <w:rPr>
                <w:color w:val="264A60"/>
                <w:sz w:val="18"/>
              </w:rPr>
              <w:t>Sleep - Sleep</w:t>
            </w:r>
          </w:p>
        </w:tc>
        <w:tc>
          <w:tcPr>
            <w:tcW w:w="851" w:type="dxa"/>
            <w:tcBorders>
              <w:top w:val="single" w:sz="8" w:space="0" w:color="AEAEAE"/>
              <w:left w:val="nil"/>
              <w:bottom w:val="single" w:sz="8" w:space="0" w:color="AEAEAE"/>
              <w:right w:val="single" w:sz="8" w:space="0" w:color="E0E0E0"/>
            </w:tcBorders>
            <w:shd w:val="clear" w:color="auto" w:fill="FFFFFF"/>
          </w:tcPr>
          <w:p w14:paraId="253915E2" w14:textId="77777777" w:rsidR="0087601C" w:rsidRPr="006A1EC7" w:rsidRDefault="0087601C" w:rsidP="00D56051">
            <w:pPr>
              <w:spacing w:line="320" w:lineRule="atLeast"/>
              <w:ind w:left="60" w:right="60"/>
              <w:jc w:val="right"/>
              <w:rPr>
                <w:color w:val="010205"/>
                <w:sz w:val="18"/>
              </w:rPr>
            </w:pPr>
            <w:r w:rsidRPr="006A1EC7">
              <w:rPr>
                <w:color w:val="010205"/>
                <w:sz w:val="18"/>
              </w:rPr>
              <w:t>2.800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A0933C7" w14:textId="77777777" w:rsidR="0087601C" w:rsidRPr="006A1EC7" w:rsidRDefault="0087601C" w:rsidP="00D56051">
            <w:pPr>
              <w:spacing w:line="320" w:lineRule="atLeast"/>
              <w:ind w:left="60" w:right="60"/>
              <w:jc w:val="right"/>
              <w:rPr>
                <w:color w:val="010205"/>
                <w:sz w:val="18"/>
              </w:rPr>
            </w:pPr>
            <w:r w:rsidRPr="006A1EC7">
              <w:rPr>
                <w:color w:val="010205"/>
                <w:sz w:val="18"/>
              </w:rPr>
              <w:t>.632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E14275E" w14:textId="77777777" w:rsidR="0087601C" w:rsidRPr="006A1EC7" w:rsidRDefault="0087601C" w:rsidP="00D56051">
            <w:pPr>
              <w:spacing w:line="320" w:lineRule="atLeast"/>
              <w:ind w:left="60" w:right="60"/>
              <w:jc w:val="right"/>
              <w:rPr>
                <w:color w:val="010205"/>
                <w:sz w:val="18"/>
              </w:rPr>
            </w:pPr>
            <w:r w:rsidRPr="006A1EC7">
              <w:rPr>
                <w:color w:val="010205"/>
                <w:sz w:val="18"/>
              </w:rPr>
              <w:t>.200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6372555" w14:textId="77777777" w:rsidR="0087601C" w:rsidRPr="006A1EC7" w:rsidRDefault="0087601C" w:rsidP="00D56051">
            <w:pPr>
              <w:spacing w:line="320" w:lineRule="atLeast"/>
              <w:ind w:left="60" w:right="60"/>
              <w:jc w:val="right"/>
              <w:rPr>
                <w:color w:val="010205"/>
                <w:sz w:val="18"/>
              </w:rPr>
            </w:pPr>
            <w:r w:rsidRPr="006A1EC7">
              <w:rPr>
                <w:color w:val="010205"/>
                <w:sz w:val="18"/>
              </w:rPr>
              <w:t>2.348</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C9FDBCF" w14:textId="77777777" w:rsidR="0087601C" w:rsidRPr="006A1EC7" w:rsidRDefault="0087601C" w:rsidP="00D56051">
            <w:pPr>
              <w:spacing w:line="320" w:lineRule="atLeast"/>
              <w:ind w:left="60" w:right="60"/>
              <w:jc w:val="right"/>
              <w:rPr>
                <w:color w:val="010205"/>
                <w:sz w:val="18"/>
              </w:rPr>
            </w:pPr>
            <w:r w:rsidRPr="006A1EC7">
              <w:rPr>
                <w:color w:val="010205"/>
                <w:sz w:val="18"/>
              </w:rPr>
              <w:t>3.252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BC07B4C" w14:textId="77777777" w:rsidR="0087601C" w:rsidRPr="006A1EC7" w:rsidRDefault="0087601C" w:rsidP="00D56051">
            <w:pPr>
              <w:spacing w:line="320" w:lineRule="atLeast"/>
              <w:ind w:left="60" w:right="60"/>
              <w:jc w:val="right"/>
              <w:rPr>
                <w:color w:val="010205"/>
                <w:sz w:val="18"/>
              </w:rPr>
            </w:pPr>
            <w:r w:rsidRPr="006A1EC7">
              <w:rPr>
                <w:color w:val="010205"/>
                <w:sz w:val="18"/>
              </w:rPr>
              <w:t>14.000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47106B"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1B4D8B73"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5DBFA961"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4E6F7D10" w14:textId="77777777" w:rsidR="0087601C" w:rsidRPr="006A1EC7" w:rsidRDefault="0087601C" w:rsidP="00D56051">
            <w:pPr>
              <w:spacing w:line="320" w:lineRule="atLeast"/>
              <w:ind w:left="60" w:right="60"/>
              <w:rPr>
                <w:color w:val="264A60"/>
                <w:sz w:val="18"/>
              </w:rPr>
            </w:pPr>
            <w:r w:rsidRPr="006A1EC7">
              <w:rPr>
                <w:color w:val="264A60"/>
                <w:sz w:val="18"/>
              </w:rPr>
              <w:t>Pair 28</w:t>
            </w:r>
          </w:p>
        </w:tc>
        <w:tc>
          <w:tcPr>
            <w:tcW w:w="950" w:type="dxa"/>
            <w:tcBorders>
              <w:top w:val="single" w:sz="8" w:space="0" w:color="AEAEAE"/>
              <w:left w:val="nil"/>
              <w:bottom w:val="single" w:sz="8" w:space="0" w:color="AEAEAE"/>
              <w:right w:val="nil"/>
            </w:tcBorders>
            <w:shd w:val="clear" w:color="auto" w:fill="E0E0E0"/>
          </w:tcPr>
          <w:p w14:paraId="261DBEE8" w14:textId="77777777" w:rsidR="0087601C" w:rsidRPr="006A1EC7" w:rsidRDefault="0087601C" w:rsidP="00D56051">
            <w:pPr>
              <w:spacing w:line="320" w:lineRule="atLeast"/>
              <w:ind w:left="60" w:right="60"/>
              <w:rPr>
                <w:color w:val="264A60"/>
                <w:sz w:val="18"/>
              </w:rPr>
            </w:pPr>
            <w:r w:rsidRPr="006A1EC7">
              <w:rPr>
                <w:color w:val="264A60"/>
                <w:sz w:val="18"/>
              </w:rPr>
              <w:t>Sleep - Sleep</w:t>
            </w:r>
          </w:p>
        </w:tc>
        <w:tc>
          <w:tcPr>
            <w:tcW w:w="851" w:type="dxa"/>
            <w:tcBorders>
              <w:top w:val="single" w:sz="8" w:space="0" w:color="AEAEAE"/>
              <w:left w:val="nil"/>
              <w:bottom w:val="single" w:sz="8" w:space="0" w:color="AEAEAE"/>
              <w:right w:val="single" w:sz="8" w:space="0" w:color="E0E0E0"/>
            </w:tcBorders>
            <w:shd w:val="clear" w:color="auto" w:fill="FFFFFF"/>
          </w:tcPr>
          <w:p w14:paraId="5E3199EE" w14:textId="77777777" w:rsidR="0087601C" w:rsidRPr="006A1EC7" w:rsidRDefault="0087601C" w:rsidP="00D56051">
            <w:pPr>
              <w:spacing w:line="320" w:lineRule="atLeast"/>
              <w:ind w:left="60" w:right="60"/>
              <w:jc w:val="right"/>
              <w:rPr>
                <w:color w:val="010205"/>
                <w:sz w:val="18"/>
              </w:rPr>
            </w:pPr>
            <w:r w:rsidRPr="006A1EC7">
              <w:rPr>
                <w:color w:val="010205"/>
                <w:sz w:val="18"/>
              </w:rPr>
              <w:t>-1.167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FEB1C86" w14:textId="77777777" w:rsidR="0087601C" w:rsidRPr="006A1EC7" w:rsidRDefault="0087601C" w:rsidP="00D56051">
            <w:pPr>
              <w:spacing w:line="320" w:lineRule="atLeast"/>
              <w:ind w:left="60" w:right="60"/>
              <w:jc w:val="right"/>
              <w:rPr>
                <w:color w:val="010205"/>
                <w:sz w:val="18"/>
              </w:rPr>
            </w:pPr>
            <w:r w:rsidRPr="006A1EC7">
              <w:rPr>
                <w:color w:val="010205"/>
                <w:sz w:val="18"/>
              </w:rPr>
              <w:t>.707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9B20B15" w14:textId="77777777" w:rsidR="0087601C" w:rsidRPr="006A1EC7" w:rsidRDefault="0087601C" w:rsidP="00D56051">
            <w:pPr>
              <w:spacing w:line="320" w:lineRule="atLeast"/>
              <w:ind w:left="60" w:right="60"/>
              <w:jc w:val="right"/>
              <w:rPr>
                <w:color w:val="010205"/>
                <w:sz w:val="18"/>
              </w:rPr>
            </w:pPr>
            <w:r w:rsidRPr="006A1EC7">
              <w:rPr>
                <w:color w:val="010205"/>
                <w:sz w:val="18"/>
              </w:rPr>
              <w:t>.236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E600CA0" w14:textId="77777777" w:rsidR="0087601C" w:rsidRPr="006A1EC7" w:rsidRDefault="0087601C" w:rsidP="00D56051">
            <w:pPr>
              <w:spacing w:line="320" w:lineRule="atLeast"/>
              <w:ind w:left="60" w:right="60"/>
              <w:jc w:val="right"/>
              <w:rPr>
                <w:color w:val="010205"/>
                <w:sz w:val="18"/>
              </w:rPr>
            </w:pPr>
            <w:r w:rsidRPr="006A1EC7">
              <w:rPr>
                <w:color w:val="010205"/>
                <w:sz w:val="18"/>
              </w:rPr>
              <w:t>-1.710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5D15AD2" w14:textId="77777777" w:rsidR="0087601C" w:rsidRPr="006A1EC7" w:rsidRDefault="0087601C" w:rsidP="00D56051">
            <w:pPr>
              <w:spacing w:line="320" w:lineRule="atLeast"/>
              <w:ind w:left="60" w:right="60"/>
              <w:jc w:val="right"/>
              <w:rPr>
                <w:color w:val="010205"/>
                <w:sz w:val="18"/>
              </w:rPr>
            </w:pPr>
            <w:r w:rsidRPr="006A1EC7">
              <w:rPr>
                <w:color w:val="010205"/>
                <w:sz w:val="18"/>
              </w:rPr>
              <w:t>-.623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B961E80" w14:textId="77777777" w:rsidR="0087601C" w:rsidRPr="006A1EC7" w:rsidRDefault="0087601C" w:rsidP="00D56051">
            <w:pPr>
              <w:spacing w:line="320" w:lineRule="atLeast"/>
              <w:ind w:left="60" w:right="60"/>
              <w:jc w:val="right"/>
              <w:rPr>
                <w:color w:val="010205"/>
                <w:sz w:val="18"/>
              </w:rPr>
            </w:pPr>
            <w:r w:rsidRPr="006A1EC7">
              <w:rPr>
                <w:color w:val="010205"/>
                <w:sz w:val="18"/>
              </w:rPr>
              <w:t>-4.950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1D0A36"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7A1DA13D" w14:textId="77777777" w:rsidR="0087601C" w:rsidRPr="006A1EC7" w:rsidRDefault="0087601C" w:rsidP="00D56051">
            <w:pPr>
              <w:spacing w:line="320" w:lineRule="atLeast"/>
              <w:ind w:left="60" w:right="60"/>
              <w:jc w:val="right"/>
              <w:rPr>
                <w:color w:val="010205"/>
                <w:sz w:val="18"/>
              </w:rPr>
            </w:pPr>
            <w:r w:rsidRPr="006A1EC7">
              <w:rPr>
                <w:color w:val="010205"/>
                <w:sz w:val="18"/>
              </w:rPr>
              <w:t>.001</w:t>
            </w:r>
          </w:p>
        </w:tc>
      </w:tr>
      <w:tr w:rsidR="0087601C" w:rsidRPr="006A1EC7" w14:paraId="3B4BAAC5"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1CD1D0C5" w14:textId="77777777" w:rsidR="0087601C" w:rsidRPr="006A1EC7" w:rsidRDefault="0087601C" w:rsidP="00D56051">
            <w:pPr>
              <w:spacing w:line="320" w:lineRule="atLeast"/>
              <w:ind w:left="60" w:right="60"/>
              <w:rPr>
                <w:color w:val="264A60"/>
                <w:sz w:val="18"/>
              </w:rPr>
            </w:pPr>
            <w:r w:rsidRPr="006A1EC7">
              <w:rPr>
                <w:color w:val="264A60"/>
                <w:sz w:val="18"/>
              </w:rPr>
              <w:lastRenderedPageBreak/>
              <w:t>Pair 29</w:t>
            </w:r>
          </w:p>
        </w:tc>
        <w:tc>
          <w:tcPr>
            <w:tcW w:w="950" w:type="dxa"/>
            <w:tcBorders>
              <w:top w:val="single" w:sz="8" w:space="0" w:color="AEAEAE"/>
              <w:left w:val="nil"/>
              <w:bottom w:val="single" w:sz="8" w:space="0" w:color="AEAEAE"/>
              <w:right w:val="nil"/>
            </w:tcBorders>
            <w:shd w:val="clear" w:color="auto" w:fill="E0E0E0"/>
          </w:tcPr>
          <w:p w14:paraId="3842E9F0" w14:textId="77777777" w:rsidR="0087601C" w:rsidRPr="006A1EC7" w:rsidRDefault="0087601C" w:rsidP="00D56051">
            <w:pPr>
              <w:spacing w:line="320" w:lineRule="atLeast"/>
              <w:ind w:left="60" w:right="60"/>
              <w:rPr>
                <w:color w:val="264A60"/>
                <w:sz w:val="18"/>
              </w:rPr>
            </w:pPr>
            <w:r w:rsidRPr="006A1EC7">
              <w:rPr>
                <w:color w:val="264A60"/>
                <w:sz w:val="18"/>
              </w:rPr>
              <w:t>Sleep - Sleep</w:t>
            </w:r>
          </w:p>
        </w:tc>
        <w:tc>
          <w:tcPr>
            <w:tcW w:w="851" w:type="dxa"/>
            <w:tcBorders>
              <w:top w:val="single" w:sz="8" w:space="0" w:color="AEAEAE"/>
              <w:left w:val="nil"/>
              <w:bottom w:val="single" w:sz="8" w:space="0" w:color="AEAEAE"/>
              <w:right w:val="single" w:sz="8" w:space="0" w:color="E0E0E0"/>
            </w:tcBorders>
            <w:shd w:val="clear" w:color="auto" w:fill="FFFFFF"/>
          </w:tcPr>
          <w:p w14:paraId="7A1563E4" w14:textId="77777777" w:rsidR="0087601C" w:rsidRPr="006A1EC7" w:rsidRDefault="0087601C" w:rsidP="00D56051">
            <w:pPr>
              <w:spacing w:line="320" w:lineRule="atLeast"/>
              <w:ind w:left="60" w:right="60"/>
              <w:jc w:val="right"/>
              <w:rPr>
                <w:color w:val="010205"/>
                <w:sz w:val="18"/>
              </w:rPr>
            </w:pPr>
            <w:r w:rsidRPr="006A1EC7">
              <w:rPr>
                <w:color w:val="010205"/>
                <w:sz w:val="18"/>
              </w:rPr>
              <w:t>-2.800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1A61B84" w14:textId="77777777" w:rsidR="0087601C" w:rsidRPr="006A1EC7" w:rsidRDefault="0087601C" w:rsidP="00D56051">
            <w:pPr>
              <w:spacing w:line="320" w:lineRule="atLeast"/>
              <w:ind w:left="60" w:right="60"/>
              <w:jc w:val="right"/>
              <w:rPr>
                <w:color w:val="010205"/>
                <w:sz w:val="18"/>
              </w:rPr>
            </w:pPr>
            <w:r w:rsidRPr="006A1EC7">
              <w:rPr>
                <w:color w:val="010205"/>
                <w:sz w:val="18"/>
              </w:rPr>
              <w:t>.632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7A49D3" w14:textId="77777777" w:rsidR="0087601C" w:rsidRPr="006A1EC7" w:rsidRDefault="0087601C" w:rsidP="00D56051">
            <w:pPr>
              <w:spacing w:line="320" w:lineRule="atLeast"/>
              <w:ind w:left="60" w:right="60"/>
              <w:jc w:val="right"/>
              <w:rPr>
                <w:color w:val="010205"/>
                <w:sz w:val="18"/>
              </w:rPr>
            </w:pPr>
            <w:r w:rsidRPr="006A1EC7">
              <w:rPr>
                <w:color w:val="010205"/>
                <w:sz w:val="18"/>
              </w:rPr>
              <w:t>.200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A6F30AA" w14:textId="77777777" w:rsidR="0087601C" w:rsidRPr="006A1EC7" w:rsidRDefault="0087601C" w:rsidP="00D56051">
            <w:pPr>
              <w:spacing w:line="320" w:lineRule="atLeast"/>
              <w:ind w:left="60" w:right="60"/>
              <w:jc w:val="right"/>
              <w:rPr>
                <w:color w:val="010205"/>
                <w:sz w:val="18"/>
              </w:rPr>
            </w:pPr>
            <w:r w:rsidRPr="006A1EC7">
              <w:rPr>
                <w:color w:val="010205"/>
                <w:sz w:val="18"/>
              </w:rPr>
              <w:t>-3.252</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6AAE445" w14:textId="77777777" w:rsidR="0087601C" w:rsidRPr="006A1EC7" w:rsidRDefault="0087601C" w:rsidP="00D56051">
            <w:pPr>
              <w:spacing w:line="320" w:lineRule="atLeast"/>
              <w:ind w:left="60" w:right="60"/>
              <w:jc w:val="right"/>
              <w:rPr>
                <w:color w:val="010205"/>
                <w:sz w:val="18"/>
              </w:rPr>
            </w:pPr>
            <w:r w:rsidRPr="006A1EC7">
              <w:rPr>
                <w:color w:val="010205"/>
                <w:sz w:val="18"/>
              </w:rPr>
              <w:t>-2.348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503DDF2" w14:textId="77777777" w:rsidR="0087601C" w:rsidRPr="006A1EC7" w:rsidRDefault="0087601C" w:rsidP="00D56051">
            <w:pPr>
              <w:spacing w:line="320" w:lineRule="atLeast"/>
              <w:ind w:left="60" w:right="60"/>
              <w:jc w:val="right"/>
              <w:rPr>
                <w:color w:val="010205"/>
                <w:sz w:val="18"/>
              </w:rPr>
            </w:pPr>
            <w:r w:rsidRPr="006A1EC7">
              <w:rPr>
                <w:color w:val="010205"/>
                <w:sz w:val="18"/>
              </w:rPr>
              <w:t>-14.000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664D33"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1FAC97E3" w14:textId="77777777" w:rsidR="0087601C" w:rsidRPr="006A1EC7" w:rsidRDefault="0087601C" w:rsidP="00D56051">
            <w:pPr>
              <w:spacing w:line="320" w:lineRule="atLeast"/>
              <w:ind w:left="60" w:right="60"/>
              <w:jc w:val="right"/>
              <w:rPr>
                <w:color w:val="010205"/>
                <w:sz w:val="18"/>
              </w:rPr>
            </w:pPr>
            <w:r w:rsidRPr="006A1EC7">
              <w:rPr>
                <w:color w:val="010205"/>
                <w:sz w:val="18"/>
              </w:rPr>
              <w:t>.000</w:t>
            </w:r>
          </w:p>
        </w:tc>
      </w:tr>
      <w:tr w:rsidR="0087601C" w:rsidRPr="006A1EC7" w14:paraId="77C97185"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60E31018" w14:textId="77777777" w:rsidR="0087601C" w:rsidRPr="006A1EC7" w:rsidRDefault="0087601C" w:rsidP="00D56051">
            <w:pPr>
              <w:spacing w:line="320" w:lineRule="atLeast"/>
              <w:ind w:left="60" w:right="60"/>
              <w:rPr>
                <w:color w:val="264A60"/>
                <w:sz w:val="18"/>
              </w:rPr>
            </w:pPr>
            <w:r w:rsidRPr="006A1EC7">
              <w:rPr>
                <w:color w:val="264A60"/>
                <w:sz w:val="18"/>
              </w:rPr>
              <w:t>Pair 30</w:t>
            </w:r>
          </w:p>
        </w:tc>
        <w:tc>
          <w:tcPr>
            <w:tcW w:w="950" w:type="dxa"/>
            <w:tcBorders>
              <w:top w:val="single" w:sz="8" w:space="0" w:color="AEAEAE"/>
              <w:left w:val="nil"/>
              <w:bottom w:val="single" w:sz="8" w:space="0" w:color="AEAEAE"/>
              <w:right w:val="nil"/>
            </w:tcBorders>
            <w:shd w:val="clear" w:color="auto" w:fill="E0E0E0"/>
          </w:tcPr>
          <w:p w14:paraId="01ED6255" w14:textId="77777777" w:rsidR="0087601C" w:rsidRPr="006A1EC7" w:rsidRDefault="0087601C" w:rsidP="00D56051">
            <w:pPr>
              <w:spacing w:line="320" w:lineRule="atLeast"/>
              <w:ind w:left="60" w:right="60"/>
              <w:rPr>
                <w:color w:val="264A60"/>
                <w:sz w:val="18"/>
              </w:rPr>
            </w:pPr>
            <w:r w:rsidRPr="006A1EC7">
              <w:rPr>
                <w:color w:val="264A60"/>
                <w:sz w:val="18"/>
              </w:rPr>
              <w:t>Level of care - Level of care</w:t>
            </w:r>
          </w:p>
        </w:tc>
        <w:tc>
          <w:tcPr>
            <w:tcW w:w="851" w:type="dxa"/>
            <w:tcBorders>
              <w:top w:val="single" w:sz="8" w:space="0" w:color="AEAEAE"/>
              <w:left w:val="nil"/>
              <w:bottom w:val="single" w:sz="8" w:space="0" w:color="AEAEAE"/>
              <w:right w:val="single" w:sz="8" w:space="0" w:color="E0E0E0"/>
            </w:tcBorders>
            <w:shd w:val="clear" w:color="auto" w:fill="FFFFFF"/>
          </w:tcPr>
          <w:p w14:paraId="0AE202CA" w14:textId="77777777" w:rsidR="0087601C" w:rsidRPr="006A1EC7" w:rsidRDefault="0087601C" w:rsidP="00D56051">
            <w:pPr>
              <w:spacing w:line="320" w:lineRule="atLeast"/>
              <w:ind w:left="60" w:right="60"/>
              <w:jc w:val="right"/>
              <w:rPr>
                <w:color w:val="010205"/>
                <w:sz w:val="18"/>
              </w:rPr>
            </w:pPr>
            <w:r w:rsidRPr="006A1EC7">
              <w:rPr>
                <w:color w:val="010205"/>
                <w:sz w:val="18"/>
              </w:rPr>
              <w:t>.333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B91C3CC" w14:textId="77777777" w:rsidR="0087601C" w:rsidRPr="006A1EC7" w:rsidRDefault="0087601C" w:rsidP="00D56051">
            <w:pPr>
              <w:spacing w:line="320" w:lineRule="atLeast"/>
              <w:ind w:left="60" w:right="60"/>
              <w:jc w:val="right"/>
              <w:rPr>
                <w:color w:val="010205"/>
                <w:sz w:val="18"/>
              </w:rPr>
            </w:pPr>
            <w:r w:rsidRPr="006A1EC7">
              <w:rPr>
                <w:color w:val="010205"/>
                <w:sz w:val="18"/>
              </w:rPr>
              <w:t>.500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112D5C" w14:textId="77777777" w:rsidR="0087601C" w:rsidRPr="006A1EC7" w:rsidRDefault="0087601C" w:rsidP="00D56051">
            <w:pPr>
              <w:spacing w:line="320" w:lineRule="atLeast"/>
              <w:ind w:left="60" w:right="60"/>
              <w:jc w:val="right"/>
              <w:rPr>
                <w:color w:val="010205"/>
                <w:sz w:val="18"/>
              </w:rPr>
            </w:pPr>
            <w:r w:rsidRPr="006A1EC7">
              <w:rPr>
                <w:color w:val="010205"/>
                <w:sz w:val="18"/>
              </w:rPr>
              <w:t>.167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805FF39" w14:textId="77777777" w:rsidR="0087601C" w:rsidRPr="006A1EC7" w:rsidRDefault="0087601C" w:rsidP="00D56051">
            <w:pPr>
              <w:spacing w:line="320" w:lineRule="atLeast"/>
              <w:ind w:left="60" w:right="60"/>
              <w:jc w:val="right"/>
              <w:rPr>
                <w:color w:val="010205"/>
                <w:sz w:val="18"/>
              </w:rPr>
            </w:pPr>
            <w:r w:rsidRPr="006A1EC7">
              <w:rPr>
                <w:color w:val="010205"/>
                <w:sz w:val="18"/>
              </w:rPr>
              <w:t>-.051</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91CF2F2" w14:textId="77777777" w:rsidR="0087601C" w:rsidRPr="006A1EC7" w:rsidRDefault="0087601C" w:rsidP="00D56051">
            <w:pPr>
              <w:spacing w:line="320" w:lineRule="atLeast"/>
              <w:ind w:left="60" w:right="60"/>
              <w:jc w:val="right"/>
              <w:rPr>
                <w:color w:val="010205"/>
                <w:sz w:val="18"/>
              </w:rPr>
            </w:pPr>
            <w:r w:rsidRPr="006A1EC7">
              <w:rPr>
                <w:color w:val="010205"/>
                <w:sz w:val="18"/>
              </w:rPr>
              <w:t>.718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6A0DB19" w14:textId="77777777" w:rsidR="0087601C" w:rsidRPr="006A1EC7" w:rsidRDefault="0087601C" w:rsidP="00D56051">
            <w:pPr>
              <w:spacing w:line="320" w:lineRule="atLeast"/>
              <w:ind w:left="60" w:right="60"/>
              <w:jc w:val="right"/>
              <w:rPr>
                <w:color w:val="010205"/>
                <w:sz w:val="18"/>
              </w:rPr>
            </w:pPr>
            <w:r w:rsidRPr="006A1EC7">
              <w:rPr>
                <w:color w:val="010205"/>
                <w:sz w:val="18"/>
              </w:rPr>
              <w:t>2.000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0215DD" w14:textId="77777777" w:rsidR="0087601C" w:rsidRPr="006A1EC7" w:rsidRDefault="0087601C" w:rsidP="00D56051">
            <w:pPr>
              <w:spacing w:line="320" w:lineRule="atLeast"/>
              <w:ind w:left="60" w:right="60"/>
              <w:jc w:val="right"/>
              <w:rPr>
                <w:color w:val="010205"/>
                <w:sz w:val="18"/>
              </w:rPr>
            </w:pPr>
            <w:r w:rsidRPr="006A1EC7">
              <w:rPr>
                <w:color w:val="010205"/>
                <w:sz w:val="18"/>
              </w:rPr>
              <w:t>8</w:t>
            </w:r>
          </w:p>
        </w:tc>
        <w:tc>
          <w:tcPr>
            <w:tcW w:w="567" w:type="dxa"/>
            <w:tcBorders>
              <w:top w:val="single" w:sz="8" w:space="0" w:color="AEAEAE"/>
              <w:left w:val="single" w:sz="8" w:space="0" w:color="E0E0E0"/>
              <w:bottom w:val="single" w:sz="8" w:space="0" w:color="AEAEAE"/>
              <w:right w:val="nil"/>
            </w:tcBorders>
            <w:shd w:val="clear" w:color="auto" w:fill="FFFFFF"/>
          </w:tcPr>
          <w:p w14:paraId="6F0D9992" w14:textId="77777777" w:rsidR="0087601C" w:rsidRPr="006A1EC7" w:rsidRDefault="0087601C" w:rsidP="00D56051">
            <w:pPr>
              <w:spacing w:line="320" w:lineRule="atLeast"/>
              <w:ind w:left="60" w:right="60"/>
              <w:jc w:val="right"/>
              <w:rPr>
                <w:color w:val="010205"/>
                <w:sz w:val="18"/>
              </w:rPr>
            </w:pPr>
            <w:r w:rsidRPr="006A1EC7">
              <w:rPr>
                <w:color w:val="010205"/>
                <w:sz w:val="18"/>
              </w:rPr>
              <w:t>.081</w:t>
            </w:r>
          </w:p>
        </w:tc>
      </w:tr>
      <w:tr w:rsidR="0087601C" w:rsidRPr="006A1EC7" w14:paraId="606CADCC" w14:textId="77777777" w:rsidTr="00D56051">
        <w:trPr>
          <w:cantSplit/>
        </w:trPr>
        <w:tc>
          <w:tcPr>
            <w:tcW w:w="751" w:type="dxa"/>
            <w:tcBorders>
              <w:top w:val="single" w:sz="8" w:space="0" w:color="AEAEAE"/>
              <w:left w:val="nil"/>
              <w:bottom w:val="single" w:sz="8" w:space="0" w:color="AEAEAE"/>
              <w:right w:val="nil"/>
            </w:tcBorders>
            <w:shd w:val="clear" w:color="auto" w:fill="E0E0E0"/>
          </w:tcPr>
          <w:p w14:paraId="0614E259" w14:textId="77777777" w:rsidR="0087601C" w:rsidRPr="006A1EC7" w:rsidRDefault="0087601C" w:rsidP="00D56051">
            <w:pPr>
              <w:spacing w:line="320" w:lineRule="atLeast"/>
              <w:ind w:left="60" w:right="60"/>
              <w:rPr>
                <w:color w:val="264A60"/>
                <w:sz w:val="18"/>
              </w:rPr>
            </w:pPr>
            <w:r w:rsidRPr="006A1EC7">
              <w:rPr>
                <w:color w:val="264A60"/>
                <w:sz w:val="18"/>
              </w:rPr>
              <w:t>Pair 31</w:t>
            </w:r>
          </w:p>
        </w:tc>
        <w:tc>
          <w:tcPr>
            <w:tcW w:w="950" w:type="dxa"/>
            <w:tcBorders>
              <w:top w:val="single" w:sz="8" w:space="0" w:color="AEAEAE"/>
              <w:left w:val="nil"/>
              <w:bottom w:val="single" w:sz="8" w:space="0" w:color="AEAEAE"/>
              <w:right w:val="nil"/>
            </w:tcBorders>
            <w:shd w:val="clear" w:color="auto" w:fill="E0E0E0"/>
          </w:tcPr>
          <w:p w14:paraId="6A3C1A84" w14:textId="77777777" w:rsidR="0087601C" w:rsidRPr="006A1EC7" w:rsidRDefault="0087601C" w:rsidP="00D56051">
            <w:pPr>
              <w:spacing w:line="320" w:lineRule="atLeast"/>
              <w:ind w:left="60" w:right="60"/>
              <w:rPr>
                <w:color w:val="264A60"/>
                <w:sz w:val="18"/>
              </w:rPr>
            </w:pPr>
            <w:r w:rsidRPr="006A1EC7">
              <w:rPr>
                <w:color w:val="264A60"/>
                <w:sz w:val="18"/>
              </w:rPr>
              <w:t>Level of care - Level of care</w:t>
            </w:r>
          </w:p>
        </w:tc>
        <w:tc>
          <w:tcPr>
            <w:tcW w:w="851" w:type="dxa"/>
            <w:tcBorders>
              <w:top w:val="single" w:sz="8" w:space="0" w:color="AEAEAE"/>
              <w:left w:val="nil"/>
              <w:bottom w:val="single" w:sz="8" w:space="0" w:color="AEAEAE"/>
              <w:right w:val="single" w:sz="8" w:space="0" w:color="E0E0E0"/>
            </w:tcBorders>
            <w:shd w:val="clear" w:color="auto" w:fill="FFFFFF"/>
          </w:tcPr>
          <w:p w14:paraId="1ED21DE9" w14:textId="77777777" w:rsidR="0087601C" w:rsidRPr="006A1EC7" w:rsidRDefault="0087601C" w:rsidP="00D56051">
            <w:pPr>
              <w:spacing w:line="320" w:lineRule="atLeast"/>
              <w:ind w:left="60" w:right="60"/>
              <w:jc w:val="right"/>
              <w:rPr>
                <w:color w:val="010205"/>
                <w:sz w:val="18"/>
              </w:rPr>
            </w:pPr>
            <w:r w:rsidRPr="006A1EC7">
              <w:rPr>
                <w:color w:val="010205"/>
                <w:sz w:val="18"/>
              </w:rPr>
              <w:t>-.600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DD232F5" w14:textId="77777777" w:rsidR="0087601C" w:rsidRPr="006A1EC7" w:rsidRDefault="0087601C" w:rsidP="00D56051">
            <w:pPr>
              <w:spacing w:line="320" w:lineRule="atLeast"/>
              <w:ind w:left="60" w:right="60"/>
              <w:jc w:val="right"/>
              <w:rPr>
                <w:color w:val="010205"/>
                <w:sz w:val="18"/>
              </w:rPr>
            </w:pPr>
            <w:r w:rsidRPr="006A1EC7">
              <w:rPr>
                <w:color w:val="010205"/>
                <w:sz w:val="18"/>
              </w:rPr>
              <w:t>.516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3F9CD81" w14:textId="77777777" w:rsidR="0087601C" w:rsidRPr="006A1EC7" w:rsidRDefault="0087601C" w:rsidP="00D56051">
            <w:pPr>
              <w:spacing w:line="320" w:lineRule="atLeast"/>
              <w:ind w:left="60" w:right="60"/>
              <w:jc w:val="right"/>
              <w:rPr>
                <w:color w:val="010205"/>
                <w:sz w:val="18"/>
              </w:rPr>
            </w:pPr>
            <w:r w:rsidRPr="006A1EC7">
              <w:rPr>
                <w:color w:val="010205"/>
                <w:sz w:val="18"/>
              </w:rPr>
              <w:t>.163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14D81F1" w14:textId="77777777" w:rsidR="0087601C" w:rsidRPr="006A1EC7" w:rsidRDefault="0087601C" w:rsidP="00D56051">
            <w:pPr>
              <w:spacing w:line="320" w:lineRule="atLeast"/>
              <w:ind w:left="60" w:right="60"/>
              <w:jc w:val="right"/>
              <w:rPr>
                <w:color w:val="010205"/>
                <w:sz w:val="18"/>
              </w:rPr>
            </w:pPr>
            <w:r w:rsidRPr="006A1EC7">
              <w:rPr>
                <w:color w:val="010205"/>
                <w:sz w:val="18"/>
              </w:rPr>
              <w:t>-.969</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57EB73E" w14:textId="77777777" w:rsidR="0087601C" w:rsidRPr="006A1EC7" w:rsidRDefault="0087601C" w:rsidP="00D56051">
            <w:pPr>
              <w:spacing w:line="320" w:lineRule="atLeast"/>
              <w:ind w:left="60" w:right="60"/>
              <w:jc w:val="right"/>
              <w:rPr>
                <w:color w:val="010205"/>
                <w:sz w:val="18"/>
              </w:rPr>
            </w:pPr>
            <w:r w:rsidRPr="006A1EC7">
              <w:rPr>
                <w:color w:val="010205"/>
                <w:sz w:val="18"/>
              </w:rPr>
              <w:t>-.231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948A44E" w14:textId="77777777" w:rsidR="0087601C" w:rsidRPr="006A1EC7" w:rsidRDefault="0087601C" w:rsidP="00D56051">
            <w:pPr>
              <w:spacing w:line="320" w:lineRule="atLeast"/>
              <w:ind w:left="60" w:right="60"/>
              <w:jc w:val="right"/>
              <w:rPr>
                <w:color w:val="010205"/>
                <w:sz w:val="18"/>
              </w:rPr>
            </w:pPr>
            <w:r w:rsidRPr="006A1EC7">
              <w:rPr>
                <w:color w:val="010205"/>
                <w:sz w:val="18"/>
              </w:rPr>
              <w:t>-3.674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D43BEC" w14:textId="77777777" w:rsidR="0087601C" w:rsidRPr="006A1EC7" w:rsidRDefault="0087601C" w:rsidP="00D56051">
            <w:pPr>
              <w:spacing w:line="320" w:lineRule="atLeast"/>
              <w:ind w:left="60" w:right="60"/>
              <w:jc w:val="right"/>
              <w:rPr>
                <w:color w:val="010205"/>
                <w:sz w:val="18"/>
              </w:rPr>
            </w:pPr>
            <w:r w:rsidRPr="006A1EC7">
              <w:rPr>
                <w:color w:val="010205"/>
                <w:sz w:val="18"/>
              </w:rPr>
              <w:t>9</w:t>
            </w:r>
          </w:p>
        </w:tc>
        <w:tc>
          <w:tcPr>
            <w:tcW w:w="567" w:type="dxa"/>
            <w:tcBorders>
              <w:top w:val="single" w:sz="8" w:space="0" w:color="AEAEAE"/>
              <w:left w:val="single" w:sz="8" w:space="0" w:color="E0E0E0"/>
              <w:bottom w:val="single" w:sz="8" w:space="0" w:color="AEAEAE"/>
              <w:right w:val="nil"/>
            </w:tcBorders>
            <w:shd w:val="clear" w:color="auto" w:fill="FFFFFF"/>
          </w:tcPr>
          <w:p w14:paraId="330BA2AE" w14:textId="77777777" w:rsidR="0087601C" w:rsidRPr="006A1EC7" w:rsidRDefault="0087601C" w:rsidP="00D56051">
            <w:pPr>
              <w:spacing w:line="320" w:lineRule="atLeast"/>
              <w:ind w:left="60" w:right="60"/>
              <w:jc w:val="right"/>
              <w:rPr>
                <w:color w:val="010205"/>
                <w:sz w:val="18"/>
              </w:rPr>
            </w:pPr>
            <w:r w:rsidRPr="006A1EC7">
              <w:rPr>
                <w:color w:val="010205"/>
                <w:sz w:val="18"/>
              </w:rPr>
              <w:t>.005</w:t>
            </w:r>
          </w:p>
        </w:tc>
      </w:tr>
      <w:tr w:rsidR="0087601C" w:rsidRPr="006A1EC7" w14:paraId="55F6203B" w14:textId="77777777" w:rsidTr="00D56051">
        <w:trPr>
          <w:cantSplit/>
        </w:trPr>
        <w:tc>
          <w:tcPr>
            <w:tcW w:w="751" w:type="dxa"/>
            <w:tcBorders>
              <w:top w:val="single" w:sz="8" w:space="0" w:color="AEAEAE"/>
              <w:left w:val="nil"/>
              <w:bottom w:val="single" w:sz="8" w:space="0" w:color="152935"/>
              <w:right w:val="nil"/>
            </w:tcBorders>
            <w:shd w:val="clear" w:color="auto" w:fill="E0E0E0"/>
          </w:tcPr>
          <w:p w14:paraId="44545AFA" w14:textId="77777777" w:rsidR="0087601C" w:rsidRPr="006A1EC7" w:rsidRDefault="0087601C" w:rsidP="00D56051">
            <w:pPr>
              <w:spacing w:line="320" w:lineRule="atLeast"/>
              <w:ind w:left="60" w:right="60"/>
              <w:rPr>
                <w:color w:val="264A60"/>
                <w:sz w:val="18"/>
              </w:rPr>
            </w:pPr>
            <w:r w:rsidRPr="006A1EC7">
              <w:rPr>
                <w:color w:val="264A60"/>
                <w:sz w:val="18"/>
              </w:rPr>
              <w:t>Pair 32</w:t>
            </w:r>
          </w:p>
        </w:tc>
        <w:tc>
          <w:tcPr>
            <w:tcW w:w="950" w:type="dxa"/>
            <w:tcBorders>
              <w:top w:val="single" w:sz="8" w:space="0" w:color="AEAEAE"/>
              <w:left w:val="nil"/>
              <w:bottom w:val="single" w:sz="8" w:space="0" w:color="152935"/>
              <w:right w:val="nil"/>
            </w:tcBorders>
            <w:shd w:val="clear" w:color="auto" w:fill="E0E0E0"/>
          </w:tcPr>
          <w:p w14:paraId="733309ED" w14:textId="77777777" w:rsidR="0087601C" w:rsidRPr="006A1EC7" w:rsidRDefault="0087601C" w:rsidP="00D56051">
            <w:pPr>
              <w:spacing w:line="320" w:lineRule="atLeast"/>
              <w:ind w:left="60" w:right="60"/>
              <w:rPr>
                <w:color w:val="264A60"/>
                <w:sz w:val="18"/>
              </w:rPr>
            </w:pPr>
            <w:r w:rsidRPr="006A1EC7">
              <w:rPr>
                <w:color w:val="264A60"/>
                <w:sz w:val="18"/>
              </w:rPr>
              <w:t>Level of care - Level of care</w:t>
            </w:r>
          </w:p>
        </w:tc>
        <w:tc>
          <w:tcPr>
            <w:tcW w:w="851" w:type="dxa"/>
            <w:tcBorders>
              <w:top w:val="single" w:sz="8" w:space="0" w:color="AEAEAE"/>
              <w:left w:val="nil"/>
              <w:bottom w:val="single" w:sz="8" w:space="0" w:color="152935"/>
              <w:right w:val="single" w:sz="8" w:space="0" w:color="E0E0E0"/>
            </w:tcBorders>
            <w:shd w:val="clear" w:color="auto" w:fill="FFFFFF"/>
          </w:tcPr>
          <w:p w14:paraId="0810B287" w14:textId="77777777" w:rsidR="0087601C" w:rsidRPr="006A1EC7" w:rsidRDefault="0087601C" w:rsidP="00D56051">
            <w:pPr>
              <w:spacing w:line="320" w:lineRule="atLeast"/>
              <w:ind w:left="60" w:right="60"/>
              <w:jc w:val="right"/>
              <w:rPr>
                <w:color w:val="010205"/>
                <w:sz w:val="18"/>
              </w:rPr>
            </w:pPr>
            <w:r w:rsidRPr="006A1EC7">
              <w:rPr>
                <w:color w:val="010205"/>
                <w:sz w:val="18"/>
              </w:rPr>
              <w:t>.833</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039D880A" w14:textId="77777777" w:rsidR="0087601C" w:rsidRPr="006A1EC7" w:rsidRDefault="0087601C" w:rsidP="00D56051">
            <w:pPr>
              <w:spacing w:line="320" w:lineRule="atLeast"/>
              <w:ind w:left="60" w:right="60"/>
              <w:jc w:val="right"/>
              <w:rPr>
                <w:color w:val="010205"/>
                <w:sz w:val="18"/>
              </w:rPr>
            </w:pPr>
            <w:r w:rsidRPr="006A1EC7">
              <w:rPr>
                <w:color w:val="010205"/>
                <w:sz w:val="18"/>
              </w:rPr>
              <w:t>.408</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4D789470" w14:textId="77777777" w:rsidR="0087601C" w:rsidRPr="006A1EC7" w:rsidRDefault="0087601C" w:rsidP="00D56051">
            <w:pPr>
              <w:spacing w:line="320" w:lineRule="atLeast"/>
              <w:ind w:left="60" w:right="60"/>
              <w:jc w:val="right"/>
              <w:rPr>
                <w:color w:val="010205"/>
                <w:sz w:val="18"/>
              </w:rPr>
            </w:pPr>
            <w:r w:rsidRPr="006A1EC7">
              <w:rPr>
                <w:color w:val="010205"/>
                <w:sz w:val="18"/>
              </w:rPr>
              <w:t>.167</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25E37E5B" w14:textId="77777777" w:rsidR="0087601C" w:rsidRPr="006A1EC7" w:rsidRDefault="0087601C" w:rsidP="00D56051">
            <w:pPr>
              <w:spacing w:line="320" w:lineRule="atLeast"/>
              <w:ind w:left="60" w:right="60"/>
              <w:jc w:val="right"/>
              <w:rPr>
                <w:color w:val="010205"/>
                <w:sz w:val="18"/>
              </w:rPr>
            </w:pPr>
            <w:r w:rsidRPr="006A1EC7">
              <w:rPr>
                <w:color w:val="010205"/>
                <w:sz w:val="18"/>
              </w:rPr>
              <w:t>.405</w:t>
            </w:r>
          </w:p>
        </w:tc>
        <w:tc>
          <w:tcPr>
            <w:tcW w:w="1418" w:type="dxa"/>
            <w:tcBorders>
              <w:top w:val="single" w:sz="8" w:space="0" w:color="AEAEAE"/>
              <w:left w:val="single" w:sz="8" w:space="0" w:color="E0E0E0"/>
              <w:bottom w:val="single" w:sz="8" w:space="0" w:color="152935"/>
              <w:right w:val="single" w:sz="8" w:space="0" w:color="E0E0E0"/>
            </w:tcBorders>
            <w:shd w:val="clear" w:color="auto" w:fill="FFFFFF"/>
          </w:tcPr>
          <w:p w14:paraId="23733197" w14:textId="77777777" w:rsidR="0087601C" w:rsidRPr="006A1EC7" w:rsidRDefault="0087601C" w:rsidP="00D56051">
            <w:pPr>
              <w:spacing w:line="320" w:lineRule="atLeast"/>
              <w:ind w:left="60" w:right="60"/>
              <w:jc w:val="right"/>
              <w:rPr>
                <w:color w:val="010205"/>
                <w:sz w:val="18"/>
              </w:rPr>
            </w:pPr>
            <w:r w:rsidRPr="006A1EC7">
              <w:rPr>
                <w:color w:val="010205"/>
                <w:sz w:val="18"/>
              </w:rPr>
              <w:t>1.262</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1542411B" w14:textId="77777777" w:rsidR="0087601C" w:rsidRPr="006A1EC7" w:rsidRDefault="0087601C" w:rsidP="00D56051">
            <w:pPr>
              <w:spacing w:line="320" w:lineRule="atLeast"/>
              <w:ind w:left="60" w:right="60"/>
              <w:jc w:val="right"/>
              <w:rPr>
                <w:color w:val="010205"/>
                <w:sz w:val="18"/>
              </w:rPr>
            </w:pPr>
            <w:r w:rsidRPr="006A1EC7">
              <w:rPr>
                <w:color w:val="010205"/>
                <w:sz w:val="18"/>
              </w:rPr>
              <w:t>5.000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29C854B8" w14:textId="77777777" w:rsidR="0087601C" w:rsidRPr="006A1EC7" w:rsidRDefault="0087601C" w:rsidP="00D56051">
            <w:pPr>
              <w:spacing w:line="320" w:lineRule="atLeast"/>
              <w:ind w:left="60" w:right="60"/>
              <w:jc w:val="right"/>
              <w:rPr>
                <w:color w:val="010205"/>
                <w:sz w:val="18"/>
              </w:rPr>
            </w:pPr>
            <w:r w:rsidRPr="006A1EC7">
              <w:rPr>
                <w:color w:val="010205"/>
                <w:sz w:val="18"/>
              </w:rPr>
              <w:t>5</w:t>
            </w:r>
          </w:p>
        </w:tc>
        <w:tc>
          <w:tcPr>
            <w:tcW w:w="567" w:type="dxa"/>
            <w:tcBorders>
              <w:top w:val="single" w:sz="8" w:space="0" w:color="AEAEAE"/>
              <w:left w:val="single" w:sz="8" w:space="0" w:color="E0E0E0"/>
              <w:bottom w:val="single" w:sz="8" w:space="0" w:color="152935"/>
              <w:right w:val="nil"/>
            </w:tcBorders>
            <w:shd w:val="clear" w:color="auto" w:fill="FFFFFF"/>
          </w:tcPr>
          <w:p w14:paraId="0566DB42" w14:textId="77777777" w:rsidR="0087601C" w:rsidRPr="006A1EC7" w:rsidRDefault="0087601C" w:rsidP="00D56051">
            <w:pPr>
              <w:spacing w:line="320" w:lineRule="atLeast"/>
              <w:ind w:left="60" w:right="60"/>
              <w:jc w:val="right"/>
              <w:rPr>
                <w:color w:val="010205"/>
                <w:sz w:val="18"/>
              </w:rPr>
            </w:pPr>
            <w:r w:rsidRPr="006A1EC7">
              <w:rPr>
                <w:color w:val="010205"/>
                <w:sz w:val="18"/>
              </w:rPr>
              <w:t>.004</w:t>
            </w:r>
          </w:p>
        </w:tc>
      </w:tr>
    </w:tbl>
    <w:p w14:paraId="5E3F6C8C" w14:textId="77777777" w:rsidR="0087601C" w:rsidRPr="006A1EC7" w:rsidRDefault="0087601C" w:rsidP="0087601C">
      <w:pPr>
        <w:sectPr w:rsidR="0087601C" w:rsidRPr="006A1EC7" w:rsidSect="00D56051">
          <w:type w:val="nextColumn"/>
          <w:pgSz w:w="11900" w:h="16840"/>
          <w:pgMar w:top="1440" w:right="1701" w:bottom="1440" w:left="1701" w:header="720" w:footer="720" w:gutter="0"/>
          <w:cols w:space="720"/>
          <w:docGrid w:linePitch="360"/>
        </w:sectPr>
      </w:pPr>
    </w:p>
    <w:p w14:paraId="42340D07" w14:textId="77777777" w:rsidR="0087601C" w:rsidRPr="006A1EC7" w:rsidRDefault="0087601C" w:rsidP="0087601C">
      <w:pPr>
        <w:pStyle w:val="Heading4"/>
        <w:rPr>
          <w:rFonts w:ascii="Times New Roman" w:hAnsi="Times New Roman" w:cs="Times New Roman"/>
        </w:rPr>
      </w:pPr>
      <w:bookmarkStart w:id="336" w:name="_Toc38821505"/>
      <w:r w:rsidRPr="006A1EC7">
        <w:rPr>
          <w:rFonts w:ascii="Times New Roman" w:hAnsi="Times New Roman" w:cs="Times New Roman"/>
        </w:rPr>
        <w:lastRenderedPageBreak/>
        <w:t>Appendix 7.12: Thematic Table for Theme 2: Comments about the Vignette Methodology</w:t>
      </w:r>
      <w:bookmarkEnd w:id="336"/>
    </w:p>
    <w:tbl>
      <w:tblPr>
        <w:tblStyle w:val="TableGrid"/>
        <w:tblW w:w="14312" w:type="dxa"/>
        <w:tblLook w:val="04A0" w:firstRow="1" w:lastRow="0" w:firstColumn="1" w:lastColumn="0" w:noHBand="0" w:noVBand="1"/>
      </w:tblPr>
      <w:tblGrid>
        <w:gridCol w:w="1413"/>
        <w:gridCol w:w="12899"/>
      </w:tblGrid>
      <w:tr w:rsidR="0087601C" w:rsidRPr="006A1EC7" w14:paraId="542B0D29" w14:textId="77777777" w:rsidTr="00D56051">
        <w:tc>
          <w:tcPr>
            <w:tcW w:w="1413" w:type="dxa"/>
            <w:shd w:val="clear" w:color="auto" w:fill="auto"/>
          </w:tcPr>
          <w:p w14:paraId="61E49B09" w14:textId="77777777" w:rsidR="0087601C" w:rsidRPr="006A1EC7" w:rsidRDefault="0087601C" w:rsidP="00D56051">
            <w:r w:rsidRPr="006A1EC7">
              <w:t xml:space="preserve">Participant ID </w:t>
            </w:r>
          </w:p>
        </w:tc>
        <w:tc>
          <w:tcPr>
            <w:tcW w:w="12899" w:type="dxa"/>
            <w:shd w:val="clear" w:color="auto" w:fill="auto"/>
          </w:tcPr>
          <w:p w14:paraId="1A1C8BC7" w14:textId="77777777" w:rsidR="0087601C" w:rsidRPr="006A1EC7" w:rsidRDefault="0087601C" w:rsidP="00D56051">
            <w:r w:rsidRPr="006A1EC7">
              <w:t>Subtheme</w:t>
            </w:r>
          </w:p>
        </w:tc>
      </w:tr>
      <w:tr w:rsidR="0087601C" w:rsidRPr="006A1EC7" w14:paraId="32805229" w14:textId="77777777" w:rsidTr="00D56051">
        <w:tc>
          <w:tcPr>
            <w:tcW w:w="1413" w:type="dxa"/>
            <w:shd w:val="clear" w:color="auto" w:fill="70AD47" w:themeFill="accent6"/>
          </w:tcPr>
          <w:p w14:paraId="12A4BCC2" w14:textId="77777777" w:rsidR="0087601C" w:rsidRPr="006A1EC7" w:rsidRDefault="0087601C" w:rsidP="00D56051"/>
        </w:tc>
        <w:tc>
          <w:tcPr>
            <w:tcW w:w="12899" w:type="dxa"/>
            <w:shd w:val="clear" w:color="auto" w:fill="70AD47" w:themeFill="accent6"/>
          </w:tcPr>
          <w:p w14:paraId="54EA104E" w14:textId="77777777" w:rsidR="0087601C" w:rsidRPr="006A1EC7" w:rsidRDefault="0087601C" w:rsidP="00D56051">
            <w:r w:rsidRPr="006A1EC7">
              <w:t>Spelling mistake in vignettes</w:t>
            </w:r>
          </w:p>
        </w:tc>
      </w:tr>
      <w:tr w:rsidR="0087601C" w:rsidRPr="006A1EC7" w14:paraId="2753A0EF" w14:textId="77777777" w:rsidTr="00D56051">
        <w:tc>
          <w:tcPr>
            <w:tcW w:w="1413" w:type="dxa"/>
            <w:tcBorders>
              <w:bottom w:val="single" w:sz="4" w:space="0" w:color="auto"/>
            </w:tcBorders>
          </w:tcPr>
          <w:p w14:paraId="7FDCAFDB" w14:textId="77777777" w:rsidR="0087601C" w:rsidRPr="006A1EC7" w:rsidRDefault="0087601C" w:rsidP="00D56051">
            <w:r w:rsidRPr="006A1EC7">
              <w:t>107</w:t>
            </w:r>
          </w:p>
        </w:tc>
        <w:tc>
          <w:tcPr>
            <w:tcW w:w="12899" w:type="dxa"/>
          </w:tcPr>
          <w:p w14:paraId="505350E7" w14:textId="77777777" w:rsidR="0087601C" w:rsidRPr="006A1EC7" w:rsidRDefault="0087601C" w:rsidP="00D56051">
            <w:r w:rsidRPr="006A1EC7">
              <w:t>A few spelling/sentence/grammar mistakes in the scenario case studies e.g. “Alessandro is registered as deaf.it”</w:t>
            </w:r>
          </w:p>
        </w:tc>
      </w:tr>
      <w:tr w:rsidR="0087601C" w:rsidRPr="006A1EC7" w14:paraId="31CD5975" w14:textId="77777777" w:rsidTr="00D56051">
        <w:tc>
          <w:tcPr>
            <w:tcW w:w="14312" w:type="dxa"/>
            <w:gridSpan w:val="2"/>
            <w:tcBorders>
              <w:top w:val="nil"/>
            </w:tcBorders>
            <w:shd w:val="clear" w:color="auto" w:fill="70AD47" w:themeFill="accent6"/>
          </w:tcPr>
          <w:p w14:paraId="4E51C3B2" w14:textId="77777777" w:rsidR="0087601C" w:rsidRPr="006A1EC7" w:rsidRDefault="0087601C" w:rsidP="00D56051">
            <w:r w:rsidRPr="006A1EC7">
              <w:t>Missing information in vignette</w:t>
            </w:r>
          </w:p>
        </w:tc>
      </w:tr>
      <w:tr w:rsidR="0087601C" w:rsidRPr="006A1EC7" w14:paraId="2B76EC2C" w14:textId="77777777" w:rsidTr="00D56051">
        <w:tc>
          <w:tcPr>
            <w:tcW w:w="1413" w:type="dxa"/>
          </w:tcPr>
          <w:p w14:paraId="2DEDB685" w14:textId="77777777" w:rsidR="0087601C" w:rsidRPr="006A1EC7" w:rsidRDefault="0087601C" w:rsidP="00D56051">
            <w:r w:rsidRPr="006A1EC7">
              <w:t>81</w:t>
            </w:r>
          </w:p>
        </w:tc>
        <w:tc>
          <w:tcPr>
            <w:tcW w:w="12899" w:type="dxa"/>
          </w:tcPr>
          <w:p w14:paraId="137FDE11" w14:textId="77777777" w:rsidR="0087601C" w:rsidRPr="006A1EC7" w:rsidRDefault="0087601C" w:rsidP="00D56051">
            <w:r w:rsidRPr="006A1EC7">
              <w:t>Bronagh age?</w:t>
            </w:r>
          </w:p>
        </w:tc>
      </w:tr>
      <w:tr w:rsidR="0087601C" w:rsidRPr="006A1EC7" w14:paraId="4E7E7181" w14:textId="77777777" w:rsidTr="00D56051">
        <w:tc>
          <w:tcPr>
            <w:tcW w:w="1413" w:type="dxa"/>
          </w:tcPr>
          <w:p w14:paraId="0C4F1E18" w14:textId="77777777" w:rsidR="0087601C" w:rsidRPr="006A1EC7" w:rsidRDefault="0087601C" w:rsidP="00D56051">
            <w:r w:rsidRPr="006A1EC7">
              <w:t>33</w:t>
            </w:r>
          </w:p>
        </w:tc>
        <w:tc>
          <w:tcPr>
            <w:tcW w:w="12899" w:type="dxa"/>
          </w:tcPr>
          <w:p w14:paraId="5242247B" w14:textId="77777777" w:rsidR="0087601C" w:rsidRPr="006A1EC7" w:rsidRDefault="0087601C" w:rsidP="00D56051">
            <w:r w:rsidRPr="006A1EC7">
              <w:t>The case studies were more or less enough to score on COA, but some details were missing which made it difficult to complete.</w:t>
            </w:r>
          </w:p>
        </w:tc>
      </w:tr>
      <w:tr w:rsidR="0087601C" w:rsidRPr="006A1EC7" w14:paraId="3CD772FE" w14:textId="77777777" w:rsidTr="00D56051">
        <w:tc>
          <w:tcPr>
            <w:tcW w:w="1413" w:type="dxa"/>
          </w:tcPr>
          <w:p w14:paraId="63D52E23" w14:textId="77777777" w:rsidR="0087601C" w:rsidRPr="006A1EC7" w:rsidRDefault="0087601C" w:rsidP="00D56051">
            <w:r w:rsidRPr="006A1EC7">
              <w:t>33</w:t>
            </w:r>
          </w:p>
        </w:tc>
        <w:tc>
          <w:tcPr>
            <w:tcW w:w="12899" w:type="dxa"/>
          </w:tcPr>
          <w:p w14:paraId="0457F179" w14:textId="77777777" w:rsidR="0087601C" w:rsidRPr="006A1EC7" w:rsidRDefault="0087601C" w:rsidP="00D56051">
            <w:r w:rsidRPr="006A1EC7">
              <w:t>Fineen: 1) How many infections a year, 2) Take a more detailed social history 3) Get patients personal details correct eg DOB 4) Pregnancy history</w:t>
            </w:r>
          </w:p>
        </w:tc>
      </w:tr>
      <w:tr w:rsidR="0087601C" w:rsidRPr="006A1EC7" w14:paraId="79A71C94" w14:textId="77777777" w:rsidTr="00D56051">
        <w:tc>
          <w:tcPr>
            <w:tcW w:w="1413" w:type="dxa"/>
          </w:tcPr>
          <w:p w14:paraId="3063516B" w14:textId="77777777" w:rsidR="0087601C" w:rsidRPr="006A1EC7" w:rsidRDefault="0087601C" w:rsidP="00D56051">
            <w:r w:rsidRPr="006A1EC7">
              <w:t>33</w:t>
            </w:r>
          </w:p>
        </w:tc>
        <w:tc>
          <w:tcPr>
            <w:tcW w:w="12899" w:type="dxa"/>
          </w:tcPr>
          <w:p w14:paraId="6D3732DC" w14:textId="77777777" w:rsidR="0087601C" w:rsidRPr="006A1EC7" w:rsidRDefault="0087601C" w:rsidP="00D56051">
            <w:r w:rsidRPr="006A1EC7">
              <w:t>Alessandro: Hard without all the info</w:t>
            </w:r>
          </w:p>
        </w:tc>
      </w:tr>
      <w:tr w:rsidR="0087601C" w:rsidRPr="006A1EC7" w14:paraId="63B400FB" w14:textId="77777777" w:rsidTr="00D56051">
        <w:trPr>
          <w:trHeight w:val="513"/>
        </w:trPr>
        <w:tc>
          <w:tcPr>
            <w:tcW w:w="1413" w:type="dxa"/>
          </w:tcPr>
          <w:p w14:paraId="1B0040F2" w14:textId="77777777" w:rsidR="0087601C" w:rsidRPr="006A1EC7" w:rsidRDefault="0087601C" w:rsidP="00D56051">
            <w:r w:rsidRPr="006A1EC7">
              <w:t>35</w:t>
            </w:r>
          </w:p>
        </w:tc>
        <w:tc>
          <w:tcPr>
            <w:tcW w:w="12899" w:type="dxa"/>
          </w:tcPr>
          <w:p w14:paraId="73C83C08" w14:textId="77777777" w:rsidR="0087601C" w:rsidRPr="006A1EC7" w:rsidRDefault="0087601C" w:rsidP="00D56051">
            <w:r w:rsidRPr="006A1EC7">
              <w:t>Some questions which were asked were vaguely answered (or not) in the case provided. Therefore some guesswork was needed.</w:t>
            </w:r>
          </w:p>
        </w:tc>
      </w:tr>
      <w:tr w:rsidR="0087601C" w:rsidRPr="006A1EC7" w14:paraId="4E86EC37" w14:textId="77777777" w:rsidTr="00D56051">
        <w:tc>
          <w:tcPr>
            <w:tcW w:w="1413" w:type="dxa"/>
          </w:tcPr>
          <w:p w14:paraId="0B96839D" w14:textId="77777777" w:rsidR="0087601C" w:rsidRPr="006A1EC7" w:rsidRDefault="0087601C" w:rsidP="00D56051">
            <w:r w:rsidRPr="006A1EC7">
              <w:t>39</w:t>
            </w:r>
          </w:p>
        </w:tc>
        <w:tc>
          <w:tcPr>
            <w:tcW w:w="12899" w:type="dxa"/>
          </w:tcPr>
          <w:p w14:paraId="2843DD20" w14:textId="77777777" w:rsidR="0087601C" w:rsidRPr="006A1EC7" w:rsidRDefault="0087601C" w:rsidP="00D56051">
            <w:r w:rsidRPr="006A1EC7">
              <w:t>Bronagh: Need to ask more specific Qs – could use the tool as an interview style approach/checklist</w:t>
            </w:r>
          </w:p>
        </w:tc>
      </w:tr>
      <w:tr w:rsidR="0087601C" w:rsidRPr="006A1EC7" w14:paraId="064075D8" w14:textId="77777777" w:rsidTr="00D56051">
        <w:tc>
          <w:tcPr>
            <w:tcW w:w="1413" w:type="dxa"/>
          </w:tcPr>
          <w:p w14:paraId="2920E0C9" w14:textId="77777777" w:rsidR="0087601C" w:rsidRPr="006A1EC7" w:rsidRDefault="0087601C" w:rsidP="00D56051">
            <w:r w:rsidRPr="006A1EC7">
              <w:t>39</w:t>
            </w:r>
          </w:p>
        </w:tc>
        <w:tc>
          <w:tcPr>
            <w:tcW w:w="12899" w:type="dxa"/>
          </w:tcPr>
          <w:p w14:paraId="6D5C3A96" w14:textId="77777777" w:rsidR="0087601C" w:rsidRPr="006A1EC7" w:rsidRDefault="0087601C" w:rsidP="00D56051">
            <w:r w:rsidRPr="006A1EC7">
              <w:t>Alessandro: Need some further info from parents</w:t>
            </w:r>
          </w:p>
        </w:tc>
      </w:tr>
      <w:tr w:rsidR="0087601C" w:rsidRPr="006A1EC7" w14:paraId="20B2512B" w14:textId="77777777" w:rsidTr="00D56051">
        <w:tc>
          <w:tcPr>
            <w:tcW w:w="1413" w:type="dxa"/>
          </w:tcPr>
          <w:p w14:paraId="71F5A1ED" w14:textId="77777777" w:rsidR="0087601C" w:rsidRPr="006A1EC7" w:rsidRDefault="0087601C" w:rsidP="00D56051">
            <w:r w:rsidRPr="006A1EC7">
              <w:t>106</w:t>
            </w:r>
          </w:p>
        </w:tc>
        <w:tc>
          <w:tcPr>
            <w:tcW w:w="12899" w:type="dxa"/>
          </w:tcPr>
          <w:p w14:paraId="775205B8" w14:textId="77777777" w:rsidR="0087601C" w:rsidRPr="006A1EC7" w:rsidRDefault="0087601C" w:rsidP="00D56051">
            <w:r w:rsidRPr="006A1EC7">
              <w:t>No mention in vignette on many issues – I suppose if patient was in front of you it would make very good almost ‘tickbox’ tool to guide consultation.</w:t>
            </w:r>
          </w:p>
        </w:tc>
      </w:tr>
      <w:tr w:rsidR="0087601C" w:rsidRPr="006A1EC7" w14:paraId="0CDE06C8" w14:textId="77777777" w:rsidTr="00D56051">
        <w:tc>
          <w:tcPr>
            <w:tcW w:w="1413" w:type="dxa"/>
          </w:tcPr>
          <w:p w14:paraId="73E092B2" w14:textId="77777777" w:rsidR="0087601C" w:rsidRPr="006A1EC7" w:rsidRDefault="0087601C" w:rsidP="00D56051">
            <w:r w:rsidRPr="006A1EC7">
              <w:t>106</w:t>
            </w:r>
          </w:p>
        </w:tc>
        <w:tc>
          <w:tcPr>
            <w:tcW w:w="12899" w:type="dxa"/>
          </w:tcPr>
          <w:p w14:paraId="096899B9" w14:textId="77777777" w:rsidR="0087601C" w:rsidRPr="006A1EC7" w:rsidRDefault="0087601C" w:rsidP="00D56051">
            <w:r w:rsidRPr="006A1EC7">
              <w:rPr>
                <w:u w:val="single"/>
              </w:rPr>
              <w:t>Emma:</w:t>
            </w:r>
            <w:r w:rsidRPr="006A1EC7">
              <w:t xml:space="preserve"> No information given re appearance.</w:t>
            </w:r>
          </w:p>
        </w:tc>
      </w:tr>
      <w:tr w:rsidR="0087601C" w:rsidRPr="006A1EC7" w14:paraId="7F5649CD" w14:textId="77777777" w:rsidTr="00D56051">
        <w:tc>
          <w:tcPr>
            <w:tcW w:w="1413" w:type="dxa"/>
          </w:tcPr>
          <w:p w14:paraId="3CB6DF74" w14:textId="77777777" w:rsidR="0087601C" w:rsidRPr="006A1EC7" w:rsidRDefault="0087601C" w:rsidP="00D56051">
            <w:r w:rsidRPr="006A1EC7">
              <w:t>14</w:t>
            </w:r>
          </w:p>
        </w:tc>
        <w:tc>
          <w:tcPr>
            <w:tcW w:w="12899" w:type="dxa"/>
          </w:tcPr>
          <w:p w14:paraId="4EA732D7" w14:textId="77777777" w:rsidR="0087601C" w:rsidRPr="006A1EC7" w:rsidRDefault="0087601C" w:rsidP="00D56051">
            <w:r w:rsidRPr="006A1EC7">
              <w:rPr>
                <w:u w:val="single"/>
              </w:rPr>
              <w:t>Joshua:</w:t>
            </w:r>
            <w:r w:rsidRPr="006A1EC7">
              <w:t xml:space="preserve"> I have assumed where features haven’t been commented on that they are negative e.g. structural heart defects</w:t>
            </w:r>
          </w:p>
        </w:tc>
      </w:tr>
      <w:tr w:rsidR="0087601C" w:rsidRPr="006A1EC7" w14:paraId="54504CB5" w14:textId="77777777" w:rsidTr="00D56051">
        <w:tc>
          <w:tcPr>
            <w:tcW w:w="1413" w:type="dxa"/>
          </w:tcPr>
          <w:p w14:paraId="2C5A4CAA" w14:textId="77777777" w:rsidR="0087601C" w:rsidRPr="006A1EC7" w:rsidRDefault="0087601C" w:rsidP="00D56051">
            <w:r w:rsidRPr="006A1EC7">
              <w:t>82</w:t>
            </w:r>
          </w:p>
        </w:tc>
        <w:tc>
          <w:tcPr>
            <w:tcW w:w="12899" w:type="dxa"/>
          </w:tcPr>
          <w:p w14:paraId="1F3BCDBB" w14:textId="77777777" w:rsidR="0087601C" w:rsidRPr="006A1EC7" w:rsidRDefault="0087601C" w:rsidP="00D56051">
            <w:r w:rsidRPr="006A1EC7">
              <w:t>Based on vignettes, some info not available</w:t>
            </w:r>
          </w:p>
        </w:tc>
      </w:tr>
      <w:tr w:rsidR="0087601C" w:rsidRPr="006A1EC7" w14:paraId="214D36D3" w14:textId="77777777" w:rsidTr="00D56051">
        <w:tc>
          <w:tcPr>
            <w:tcW w:w="1413" w:type="dxa"/>
          </w:tcPr>
          <w:p w14:paraId="279BAA6D" w14:textId="77777777" w:rsidR="0087601C" w:rsidRPr="006A1EC7" w:rsidRDefault="0087601C" w:rsidP="00D56051">
            <w:r w:rsidRPr="006A1EC7">
              <w:t>38</w:t>
            </w:r>
          </w:p>
        </w:tc>
        <w:tc>
          <w:tcPr>
            <w:tcW w:w="12899" w:type="dxa"/>
          </w:tcPr>
          <w:p w14:paraId="19E5D5F1" w14:textId="77777777" w:rsidR="0087601C" w:rsidRPr="006A1EC7" w:rsidRDefault="0087601C" w:rsidP="00D56051">
            <w:r w:rsidRPr="006A1EC7">
              <w:t>Joshua: Some features were not described in the history and I had to deduct them, i.e. no mentioned there were not present, DOB msising</w:t>
            </w:r>
          </w:p>
        </w:tc>
      </w:tr>
      <w:tr w:rsidR="0087601C" w:rsidRPr="006A1EC7" w14:paraId="2E9DBAB7" w14:textId="77777777" w:rsidTr="00D56051">
        <w:tc>
          <w:tcPr>
            <w:tcW w:w="1413" w:type="dxa"/>
          </w:tcPr>
          <w:p w14:paraId="2A3CFFF1" w14:textId="77777777" w:rsidR="0087601C" w:rsidRPr="006A1EC7" w:rsidRDefault="0087601C" w:rsidP="00D56051">
            <w:r w:rsidRPr="006A1EC7">
              <w:t>67</w:t>
            </w:r>
          </w:p>
        </w:tc>
        <w:tc>
          <w:tcPr>
            <w:tcW w:w="12899" w:type="dxa"/>
          </w:tcPr>
          <w:p w14:paraId="01337860" w14:textId="77777777" w:rsidR="0087601C" w:rsidRPr="006A1EC7" w:rsidRDefault="0087601C" w:rsidP="00D56051">
            <w:r w:rsidRPr="006A1EC7">
              <w:t>Emma: Not all clinical details given for each category so left blank ?Score too low</w:t>
            </w:r>
          </w:p>
        </w:tc>
      </w:tr>
      <w:tr w:rsidR="0087601C" w:rsidRPr="006A1EC7" w14:paraId="7D8EE0FF" w14:textId="77777777" w:rsidTr="00D56051">
        <w:tc>
          <w:tcPr>
            <w:tcW w:w="1413" w:type="dxa"/>
          </w:tcPr>
          <w:p w14:paraId="7410CF07" w14:textId="77777777" w:rsidR="0087601C" w:rsidRPr="006A1EC7" w:rsidRDefault="0087601C" w:rsidP="00D56051">
            <w:r w:rsidRPr="006A1EC7">
              <w:t>23</w:t>
            </w:r>
          </w:p>
        </w:tc>
        <w:tc>
          <w:tcPr>
            <w:tcW w:w="12899" w:type="dxa"/>
          </w:tcPr>
          <w:p w14:paraId="43E32F00" w14:textId="77777777" w:rsidR="0087601C" w:rsidRPr="006A1EC7" w:rsidRDefault="0087601C" w:rsidP="00D56051">
            <w:r w:rsidRPr="006A1EC7">
              <w:t>Fineen: ? Number of infections yearly</w:t>
            </w:r>
          </w:p>
        </w:tc>
      </w:tr>
      <w:tr w:rsidR="0087601C" w:rsidRPr="006A1EC7" w14:paraId="331B53D7" w14:textId="77777777" w:rsidTr="00D56051">
        <w:tc>
          <w:tcPr>
            <w:tcW w:w="1413" w:type="dxa"/>
          </w:tcPr>
          <w:p w14:paraId="6D5A9A35" w14:textId="77777777" w:rsidR="0087601C" w:rsidRPr="006A1EC7" w:rsidRDefault="0087601C" w:rsidP="00D56051">
            <w:r w:rsidRPr="006A1EC7">
              <w:t>26</w:t>
            </w:r>
          </w:p>
        </w:tc>
        <w:tc>
          <w:tcPr>
            <w:tcW w:w="12899" w:type="dxa"/>
          </w:tcPr>
          <w:p w14:paraId="47DAE1F5" w14:textId="77777777" w:rsidR="0087601C" w:rsidRPr="006A1EC7" w:rsidRDefault="0087601C" w:rsidP="00D56051">
            <w:r w:rsidRPr="006A1EC7">
              <w:t>Emma: Unable to score facial features, Inaccurate score as unable to fully assess</w:t>
            </w:r>
          </w:p>
        </w:tc>
      </w:tr>
      <w:tr w:rsidR="0087601C" w:rsidRPr="006A1EC7" w14:paraId="7B679109" w14:textId="77777777" w:rsidTr="00D56051">
        <w:tc>
          <w:tcPr>
            <w:tcW w:w="1413" w:type="dxa"/>
          </w:tcPr>
          <w:p w14:paraId="3A6C1ECC" w14:textId="77777777" w:rsidR="0087601C" w:rsidRPr="006A1EC7" w:rsidRDefault="0087601C" w:rsidP="00D56051">
            <w:r w:rsidRPr="006A1EC7">
              <w:t>26</w:t>
            </w:r>
          </w:p>
        </w:tc>
        <w:tc>
          <w:tcPr>
            <w:tcW w:w="12899" w:type="dxa"/>
          </w:tcPr>
          <w:p w14:paraId="60E63AB8" w14:textId="77777777" w:rsidR="0087601C" w:rsidRPr="006A1EC7" w:rsidRDefault="0087601C" w:rsidP="00D56051">
            <w:r w:rsidRPr="006A1EC7">
              <w:t xml:space="preserve">Joshua 2: Likely underestimate; </w:t>
            </w:r>
          </w:p>
        </w:tc>
      </w:tr>
      <w:tr w:rsidR="0087601C" w:rsidRPr="006A1EC7" w14:paraId="60740E91" w14:textId="77777777" w:rsidTr="00D56051">
        <w:tc>
          <w:tcPr>
            <w:tcW w:w="1413" w:type="dxa"/>
          </w:tcPr>
          <w:p w14:paraId="4F341190" w14:textId="77777777" w:rsidR="0087601C" w:rsidRPr="006A1EC7" w:rsidRDefault="0087601C" w:rsidP="00D56051">
            <w:r w:rsidRPr="006A1EC7">
              <w:lastRenderedPageBreak/>
              <w:t>26</w:t>
            </w:r>
          </w:p>
        </w:tc>
        <w:tc>
          <w:tcPr>
            <w:tcW w:w="12899" w:type="dxa"/>
          </w:tcPr>
          <w:p w14:paraId="1B928E91" w14:textId="77777777" w:rsidR="0087601C" w:rsidRPr="006A1EC7" w:rsidRDefault="0087601C" w:rsidP="00D56051">
            <w:r w:rsidRPr="006A1EC7">
              <w:t>Emma 2: underestimate due to lack of info re facial features</w:t>
            </w:r>
          </w:p>
        </w:tc>
      </w:tr>
      <w:tr w:rsidR="0087601C" w:rsidRPr="006A1EC7" w14:paraId="5954DF6A" w14:textId="77777777" w:rsidTr="00D56051">
        <w:tc>
          <w:tcPr>
            <w:tcW w:w="1413" w:type="dxa"/>
          </w:tcPr>
          <w:p w14:paraId="5F5FABDD" w14:textId="77777777" w:rsidR="0087601C" w:rsidRPr="006A1EC7" w:rsidRDefault="0087601C" w:rsidP="00D56051">
            <w:r w:rsidRPr="006A1EC7">
              <w:t>60</w:t>
            </w:r>
          </w:p>
        </w:tc>
        <w:tc>
          <w:tcPr>
            <w:tcW w:w="12899" w:type="dxa"/>
          </w:tcPr>
          <w:p w14:paraId="7451194B" w14:textId="77777777" w:rsidR="0087601C" w:rsidRPr="006A1EC7" w:rsidRDefault="0087601C" w:rsidP="00D56051">
            <w:r w:rsidRPr="006A1EC7">
              <w:t>Emma</w:t>
            </w:r>
          </w:p>
          <w:p w14:paraId="6644548B" w14:textId="77777777" w:rsidR="0087601C" w:rsidRPr="006A1EC7" w:rsidRDefault="0087601C" w:rsidP="00D56051">
            <w:pPr>
              <w:pStyle w:val="ListParagraph"/>
              <w:numPr>
                <w:ilvl w:val="0"/>
                <w:numId w:val="21"/>
              </w:numPr>
              <w:spacing w:after="0"/>
              <w:rPr>
                <w:rFonts w:ascii="Times New Roman" w:hAnsi="Times New Roman" w:cs="Times New Roman"/>
              </w:rPr>
            </w:pPr>
            <w:r w:rsidRPr="006A1EC7">
              <w:rPr>
                <w:rFonts w:ascii="Times New Roman" w:hAnsi="Times New Roman" w:cs="Times New Roman"/>
              </w:rPr>
              <w:t>Socialising?</w:t>
            </w:r>
          </w:p>
          <w:p w14:paraId="666C53E7" w14:textId="77777777" w:rsidR="0087601C" w:rsidRPr="006A1EC7" w:rsidRDefault="0087601C" w:rsidP="00D56051">
            <w:pPr>
              <w:pStyle w:val="ListParagraph"/>
              <w:numPr>
                <w:ilvl w:val="0"/>
                <w:numId w:val="21"/>
              </w:numPr>
              <w:spacing w:after="0"/>
              <w:rPr>
                <w:rFonts w:ascii="Times New Roman" w:hAnsi="Times New Roman" w:cs="Times New Roman"/>
              </w:rPr>
            </w:pPr>
            <w:r w:rsidRPr="006A1EC7">
              <w:rPr>
                <w:rFonts w:ascii="Times New Roman" w:hAnsi="Times New Roman" w:cs="Times New Roman"/>
              </w:rPr>
              <w:t>Extent of communication</w:t>
            </w:r>
          </w:p>
          <w:p w14:paraId="64DBA4F9" w14:textId="77777777" w:rsidR="0087601C" w:rsidRPr="006A1EC7" w:rsidRDefault="0087601C" w:rsidP="00D56051">
            <w:pPr>
              <w:pStyle w:val="ListParagraph"/>
              <w:numPr>
                <w:ilvl w:val="0"/>
                <w:numId w:val="21"/>
              </w:numPr>
              <w:spacing w:after="0"/>
              <w:rPr>
                <w:rFonts w:ascii="Times New Roman" w:hAnsi="Times New Roman" w:cs="Times New Roman"/>
              </w:rPr>
            </w:pPr>
            <w:r w:rsidRPr="006A1EC7">
              <w:rPr>
                <w:rFonts w:ascii="Times New Roman" w:hAnsi="Times New Roman" w:cs="Times New Roman"/>
              </w:rPr>
              <w:t>(illegible)</w:t>
            </w:r>
          </w:p>
        </w:tc>
      </w:tr>
      <w:tr w:rsidR="0087601C" w:rsidRPr="006A1EC7" w14:paraId="63E6CCB5" w14:textId="77777777" w:rsidTr="00D56051">
        <w:tc>
          <w:tcPr>
            <w:tcW w:w="1413" w:type="dxa"/>
          </w:tcPr>
          <w:p w14:paraId="280BC21F" w14:textId="77777777" w:rsidR="0087601C" w:rsidRPr="006A1EC7" w:rsidRDefault="0087601C" w:rsidP="00D56051">
            <w:r w:rsidRPr="006A1EC7">
              <w:t>84</w:t>
            </w:r>
          </w:p>
        </w:tc>
        <w:tc>
          <w:tcPr>
            <w:tcW w:w="12899" w:type="dxa"/>
          </w:tcPr>
          <w:p w14:paraId="6622E638" w14:textId="77777777" w:rsidR="0087601C" w:rsidRPr="006A1EC7" w:rsidRDefault="0087601C" w:rsidP="00D56051">
            <w:r w:rsidRPr="006A1EC7">
              <w:t>Fineen: Struggled? Mainstream school or SEN school (illegible) attending SEN classes</w:t>
            </w:r>
          </w:p>
        </w:tc>
      </w:tr>
      <w:tr w:rsidR="0087601C" w:rsidRPr="006A1EC7" w14:paraId="2F0721F0" w14:textId="77777777" w:rsidTr="00D56051">
        <w:tc>
          <w:tcPr>
            <w:tcW w:w="1413" w:type="dxa"/>
          </w:tcPr>
          <w:p w14:paraId="284817D8" w14:textId="77777777" w:rsidR="0087601C" w:rsidRPr="006A1EC7" w:rsidRDefault="0087601C" w:rsidP="00D56051">
            <w:r w:rsidRPr="006A1EC7">
              <w:t>31</w:t>
            </w:r>
          </w:p>
        </w:tc>
        <w:tc>
          <w:tcPr>
            <w:tcW w:w="12899" w:type="dxa"/>
          </w:tcPr>
          <w:p w14:paraId="70C77602" w14:textId="77777777" w:rsidR="0087601C" w:rsidRPr="006A1EC7" w:rsidRDefault="0087601C" w:rsidP="00D56051">
            <w:r w:rsidRPr="006A1EC7">
              <w:rPr>
                <w:u w:val="single"/>
              </w:rPr>
              <w:t>Bronagh:</w:t>
            </w:r>
            <w:r w:rsidRPr="006A1EC7">
              <w:t xml:space="preserve"> Age not known, made knowing inferrals since last hospital admission at age 5 difficult.</w:t>
            </w:r>
          </w:p>
        </w:tc>
      </w:tr>
      <w:tr w:rsidR="0087601C" w:rsidRPr="006A1EC7" w14:paraId="4785D3CF" w14:textId="77777777" w:rsidTr="00D56051">
        <w:tc>
          <w:tcPr>
            <w:tcW w:w="1413" w:type="dxa"/>
          </w:tcPr>
          <w:p w14:paraId="3FADCDBA" w14:textId="77777777" w:rsidR="0087601C" w:rsidRPr="006A1EC7" w:rsidRDefault="0087601C" w:rsidP="00D56051">
            <w:r w:rsidRPr="006A1EC7">
              <w:t>90</w:t>
            </w:r>
          </w:p>
        </w:tc>
        <w:tc>
          <w:tcPr>
            <w:tcW w:w="12899" w:type="dxa"/>
          </w:tcPr>
          <w:p w14:paraId="09BA34BC" w14:textId="77777777" w:rsidR="0087601C" w:rsidRPr="006A1EC7" w:rsidRDefault="0087601C" w:rsidP="00D56051">
            <w:r w:rsidRPr="006A1EC7">
              <w:rPr>
                <w:u w:val="single"/>
              </w:rPr>
              <w:t>Fineen:</w:t>
            </w:r>
            <w:r w:rsidRPr="006A1EC7">
              <w:t xml:space="preserve"> Difficult to assess some areas based on information provided</w:t>
            </w:r>
          </w:p>
        </w:tc>
      </w:tr>
      <w:tr w:rsidR="0087601C" w:rsidRPr="006A1EC7" w14:paraId="22B9C9F0" w14:textId="77777777" w:rsidTr="00D56051">
        <w:tc>
          <w:tcPr>
            <w:tcW w:w="1413" w:type="dxa"/>
          </w:tcPr>
          <w:p w14:paraId="741B78EC" w14:textId="77777777" w:rsidR="0087601C" w:rsidRPr="006A1EC7" w:rsidRDefault="0087601C" w:rsidP="00D56051">
            <w:r w:rsidRPr="006A1EC7">
              <w:t>90</w:t>
            </w:r>
          </w:p>
        </w:tc>
        <w:tc>
          <w:tcPr>
            <w:tcW w:w="12899" w:type="dxa"/>
          </w:tcPr>
          <w:p w14:paraId="5CFAF5EF" w14:textId="77777777" w:rsidR="0087601C" w:rsidRPr="006A1EC7" w:rsidRDefault="0087601C" w:rsidP="00D56051">
            <w:r w:rsidRPr="006A1EC7">
              <w:rPr>
                <w:u w:val="single"/>
              </w:rPr>
              <w:t>Emma:</w:t>
            </w:r>
            <w:r w:rsidRPr="006A1EC7">
              <w:t xml:space="preserve"> The clinical information provided did not provide enough evidence for an accurate Clinical Outcome Assessment.</w:t>
            </w:r>
          </w:p>
        </w:tc>
      </w:tr>
      <w:tr w:rsidR="0087601C" w:rsidRPr="006A1EC7" w14:paraId="3B76F7D7" w14:textId="77777777" w:rsidTr="00D56051">
        <w:tc>
          <w:tcPr>
            <w:tcW w:w="1413" w:type="dxa"/>
          </w:tcPr>
          <w:p w14:paraId="4C84B62E" w14:textId="77777777" w:rsidR="0087601C" w:rsidRPr="006A1EC7" w:rsidRDefault="0087601C" w:rsidP="00D56051">
            <w:r w:rsidRPr="006A1EC7">
              <w:t>99</w:t>
            </w:r>
          </w:p>
        </w:tc>
        <w:tc>
          <w:tcPr>
            <w:tcW w:w="12899" w:type="dxa"/>
          </w:tcPr>
          <w:p w14:paraId="1A4DF32E" w14:textId="77777777" w:rsidR="0087601C" w:rsidRPr="006A1EC7" w:rsidRDefault="0087601C" w:rsidP="00D56051">
            <w:r w:rsidRPr="006A1EC7">
              <w:t>Cannot fully answer all questions as not all information in vignette (Alessandro)</w:t>
            </w:r>
          </w:p>
        </w:tc>
      </w:tr>
      <w:tr w:rsidR="0087601C" w:rsidRPr="006A1EC7" w14:paraId="4F802A3F" w14:textId="77777777" w:rsidTr="00D56051">
        <w:tc>
          <w:tcPr>
            <w:tcW w:w="1413" w:type="dxa"/>
          </w:tcPr>
          <w:p w14:paraId="5E0EBB8F" w14:textId="77777777" w:rsidR="0087601C" w:rsidRPr="006A1EC7" w:rsidRDefault="0087601C" w:rsidP="00D56051">
            <w:r w:rsidRPr="006A1EC7">
              <w:t>4</w:t>
            </w:r>
          </w:p>
        </w:tc>
        <w:tc>
          <w:tcPr>
            <w:tcW w:w="12899" w:type="dxa"/>
          </w:tcPr>
          <w:p w14:paraId="763E4F96" w14:textId="77777777" w:rsidR="0087601C" w:rsidRPr="006A1EC7" w:rsidRDefault="0087601C" w:rsidP="00D56051">
            <w:r w:rsidRPr="006A1EC7">
              <w:t>Unable to assess some aspects as not obtained enough information, have assumed no/given benefit of doubt when unsure (Joshua)</w:t>
            </w:r>
          </w:p>
        </w:tc>
      </w:tr>
      <w:tr w:rsidR="0087601C" w:rsidRPr="006A1EC7" w14:paraId="245EB089" w14:textId="77777777" w:rsidTr="00D56051">
        <w:tc>
          <w:tcPr>
            <w:tcW w:w="14312" w:type="dxa"/>
            <w:gridSpan w:val="2"/>
            <w:shd w:val="clear" w:color="auto" w:fill="70AD47" w:themeFill="accent6"/>
          </w:tcPr>
          <w:p w14:paraId="02E19D5D" w14:textId="77777777" w:rsidR="0087601C" w:rsidRPr="006A1EC7" w:rsidRDefault="0087601C" w:rsidP="00D56051">
            <w:r w:rsidRPr="006A1EC7">
              <w:t>Information in vignette/s doesn’t fit the correct boxes</w:t>
            </w:r>
          </w:p>
        </w:tc>
      </w:tr>
      <w:tr w:rsidR="0087601C" w:rsidRPr="006A1EC7" w14:paraId="614444C3" w14:textId="77777777" w:rsidTr="00D56051">
        <w:tc>
          <w:tcPr>
            <w:tcW w:w="1413" w:type="dxa"/>
          </w:tcPr>
          <w:p w14:paraId="5FA730A4" w14:textId="77777777" w:rsidR="0087601C" w:rsidRPr="006A1EC7" w:rsidRDefault="0087601C" w:rsidP="00D56051">
            <w:r w:rsidRPr="006A1EC7">
              <w:t>105</w:t>
            </w:r>
          </w:p>
        </w:tc>
        <w:tc>
          <w:tcPr>
            <w:tcW w:w="12899" w:type="dxa"/>
          </w:tcPr>
          <w:p w14:paraId="2C01EF40" w14:textId="77777777" w:rsidR="0087601C" w:rsidRPr="006A1EC7" w:rsidRDefault="0087601C" w:rsidP="00D56051">
            <w:r w:rsidRPr="006A1EC7">
              <w:t>Alessandro: Need some further info from parents</w:t>
            </w:r>
          </w:p>
        </w:tc>
      </w:tr>
      <w:tr w:rsidR="0087601C" w:rsidRPr="006A1EC7" w14:paraId="625859DF" w14:textId="77777777" w:rsidTr="00D56051">
        <w:tc>
          <w:tcPr>
            <w:tcW w:w="1413" w:type="dxa"/>
          </w:tcPr>
          <w:p w14:paraId="130ED6DE" w14:textId="77777777" w:rsidR="0087601C" w:rsidRPr="006A1EC7" w:rsidRDefault="0087601C" w:rsidP="00D56051">
            <w:r w:rsidRPr="006A1EC7">
              <w:t>85</w:t>
            </w:r>
          </w:p>
        </w:tc>
        <w:tc>
          <w:tcPr>
            <w:tcW w:w="12899" w:type="dxa"/>
          </w:tcPr>
          <w:p w14:paraId="3B55B6F3" w14:textId="77777777" w:rsidR="0087601C" w:rsidRPr="006A1EC7" w:rsidRDefault="0087601C" w:rsidP="00D56051">
            <w:r w:rsidRPr="006A1EC7">
              <w:t>Fineen: Q7C not correct answered but most appropriate situation not covered in the answers</w:t>
            </w:r>
          </w:p>
        </w:tc>
      </w:tr>
      <w:tr w:rsidR="0087601C" w:rsidRPr="006A1EC7" w14:paraId="2A7E1FF5" w14:textId="77777777" w:rsidTr="00D56051">
        <w:tc>
          <w:tcPr>
            <w:tcW w:w="1413" w:type="dxa"/>
          </w:tcPr>
          <w:p w14:paraId="727CB8CB" w14:textId="77777777" w:rsidR="0087601C" w:rsidRPr="006A1EC7" w:rsidRDefault="0087601C" w:rsidP="00D56051">
            <w:r w:rsidRPr="006A1EC7">
              <w:t>61</w:t>
            </w:r>
          </w:p>
        </w:tc>
        <w:tc>
          <w:tcPr>
            <w:tcW w:w="12899" w:type="dxa"/>
          </w:tcPr>
          <w:p w14:paraId="35CA3C75" w14:textId="77777777" w:rsidR="0087601C" w:rsidRPr="006A1EC7" w:rsidRDefault="0087601C" w:rsidP="00D56051">
            <w:r w:rsidRPr="006A1EC7">
              <w:t>Alessandro: For some questions I didn’t feel any of the answers were applicable for this patient</w:t>
            </w:r>
          </w:p>
        </w:tc>
      </w:tr>
      <w:tr w:rsidR="0087601C" w:rsidRPr="006A1EC7" w14:paraId="1824BC64" w14:textId="77777777" w:rsidTr="00D56051">
        <w:tc>
          <w:tcPr>
            <w:tcW w:w="1413" w:type="dxa"/>
          </w:tcPr>
          <w:p w14:paraId="439CD079" w14:textId="77777777" w:rsidR="0087601C" w:rsidRPr="006A1EC7" w:rsidRDefault="0087601C" w:rsidP="00D56051">
            <w:r w:rsidRPr="006A1EC7">
              <w:t>95</w:t>
            </w:r>
          </w:p>
        </w:tc>
        <w:tc>
          <w:tcPr>
            <w:tcW w:w="12899" w:type="dxa"/>
          </w:tcPr>
          <w:p w14:paraId="71F67CF5" w14:textId="77777777" w:rsidR="0087601C" w:rsidRPr="006A1EC7" w:rsidRDefault="0087601C" w:rsidP="00D56051">
            <w:r w:rsidRPr="006A1EC7">
              <w:t xml:space="preserve">Sleep: Don’t know what to choose as vignette said ‘most nights’ </w:t>
            </w:r>
          </w:p>
        </w:tc>
      </w:tr>
      <w:tr w:rsidR="0087601C" w:rsidRPr="006A1EC7" w14:paraId="3BF4F12F" w14:textId="77777777" w:rsidTr="00D56051">
        <w:tc>
          <w:tcPr>
            <w:tcW w:w="1413" w:type="dxa"/>
          </w:tcPr>
          <w:p w14:paraId="545C05B2" w14:textId="77777777" w:rsidR="0087601C" w:rsidRPr="006A1EC7" w:rsidRDefault="0087601C" w:rsidP="00D56051">
            <w:r w:rsidRPr="006A1EC7">
              <w:t>25</w:t>
            </w:r>
          </w:p>
        </w:tc>
        <w:tc>
          <w:tcPr>
            <w:tcW w:w="12899" w:type="dxa"/>
          </w:tcPr>
          <w:p w14:paraId="69534E6F" w14:textId="77777777" w:rsidR="0087601C" w:rsidRPr="006A1EC7" w:rsidRDefault="0087601C" w:rsidP="00D56051">
            <w:r w:rsidRPr="006A1EC7">
              <w:t>Query about vignette indicating bladder/bowel both same when describing “toilet in day” (Bronagh)</w:t>
            </w:r>
          </w:p>
        </w:tc>
      </w:tr>
      <w:tr w:rsidR="0087601C" w:rsidRPr="006A1EC7" w14:paraId="4C2DDA5E" w14:textId="77777777" w:rsidTr="00D56051">
        <w:tc>
          <w:tcPr>
            <w:tcW w:w="1413" w:type="dxa"/>
          </w:tcPr>
          <w:p w14:paraId="3ED57164" w14:textId="77777777" w:rsidR="0087601C" w:rsidRPr="006A1EC7" w:rsidRDefault="0087601C" w:rsidP="00D56051">
            <w:r w:rsidRPr="006A1EC7">
              <w:t>25</w:t>
            </w:r>
          </w:p>
        </w:tc>
        <w:tc>
          <w:tcPr>
            <w:tcW w:w="12899" w:type="dxa"/>
          </w:tcPr>
          <w:p w14:paraId="1D6BD096" w14:textId="77777777" w:rsidR="0087601C" w:rsidRPr="006A1EC7" w:rsidRDefault="0087601C" w:rsidP="00D56051">
            <w:r w:rsidRPr="006A1EC7">
              <w:t>Query about whether use of ipad when can’t sleep means ‘able to self sooth’ (Fineen)</w:t>
            </w:r>
          </w:p>
        </w:tc>
      </w:tr>
      <w:tr w:rsidR="0087601C" w:rsidRPr="006A1EC7" w14:paraId="41459127" w14:textId="77777777" w:rsidTr="00D56051">
        <w:tc>
          <w:tcPr>
            <w:tcW w:w="14312" w:type="dxa"/>
            <w:gridSpan w:val="2"/>
            <w:shd w:val="clear" w:color="auto" w:fill="70AD47" w:themeFill="accent6"/>
          </w:tcPr>
          <w:p w14:paraId="161F13C1" w14:textId="77777777" w:rsidR="0087601C" w:rsidRPr="006A1EC7" w:rsidRDefault="0087601C" w:rsidP="00D56051">
            <w:r w:rsidRPr="006A1EC7">
              <w:t>Extra comments re vignettes</w:t>
            </w:r>
          </w:p>
        </w:tc>
      </w:tr>
      <w:tr w:rsidR="0087601C" w:rsidRPr="006A1EC7" w14:paraId="412C0124" w14:textId="77777777" w:rsidTr="00D56051">
        <w:tc>
          <w:tcPr>
            <w:tcW w:w="1413" w:type="dxa"/>
          </w:tcPr>
          <w:p w14:paraId="24DE6E4B" w14:textId="77777777" w:rsidR="0087601C" w:rsidRPr="006A1EC7" w:rsidRDefault="0087601C" w:rsidP="00D56051">
            <w:r w:rsidRPr="006A1EC7">
              <w:t>54</w:t>
            </w:r>
          </w:p>
        </w:tc>
        <w:tc>
          <w:tcPr>
            <w:tcW w:w="12899" w:type="dxa"/>
          </w:tcPr>
          <w:p w14:paraId="043A0705" w14:textId="77777777" w:rsidR="0087601C" w:rsidRPr="006A1EC7" w:rsidRDefault="0087601C" w:rsidP="00D56051">
            <w:r w:rsidRPr="006A1EC7">
              <w:t>Joshua: No info given on any formal vision/hearing assessment which could have been useful as his lack of response to environmental stimuli could indicate there is a problem?</w:t>
            </w:r>
          </w:p>
        </w:tc>
      </w:tr>
      <w:tr w:rsidR="0087601C" w:rsidRPr="006A1EC7" w14:paraId="0B854C9C" w14:textId="77777777" w:rsidTr="00D56051">
        <w:tc>
          <w:tcPr>
            <w:tcW w:w="14312" w:type="dxa"/>
            <w:gridSpan w:val="2"/>
            <w:shd w:val="clear" w:color="auto" w:fill="70AD47" w:themeFill="accent6"/>
          </w:tcPr>
          <w:p w14:paraId="50349001" w14:textId="77777777" w:rsidR="0087601C" w:rsidRPr="006A1EC7" w:rsidRDefault="0087601C" w:rsidP="00D56051">
            <w:r w:rsidRPr="006A1EC7">
              <w:t>Artificial situation</w:t>
            </w:r>
          </w:p>
        </w:tc>
      </w:tr>
      <w:tr w:rsidR="0087601C" w:rsidRPr="006A1EC7" w14:paraId="6DC75370" w14:textId="77777777" w:rsidTr="00D56051">
        <w:tc>
          <w:tcPr>
            <w:tcW w:w="1413" w:type="dxa"/>
          </w:tcPr>
          <w:p w14:paraId="13D8B2C6" w14:textId="77777777" w:rsidR="0087601C" w:rsidRPr="006A1EC7" w:rsidRDefault="0087601C" w:rsidP="00D56051">
            <w:r w:rsidRPr="006A1EC7">
              <w:t>97</w:t>
            </w:r>
          </w:p>
        </w:tc>
        <w:tc>
          <w:tcPr>
            <w:tcW w:w="12899" w:type="dxa"/>
          </w:tcPr>
          <w:p w14:paraId="7B4F0EF2" w14:textId="77777777" w:rsidR="0087601C" w:rsidRPr="006A1EC7" w:rsidRDefault="0087601C" w:rsidP="00D56051">
            <w:r w:rsidRPr="006A1EC7">
              <w:t>Patient not seen F2F, so difficult to comment further.</w:t>
            </w:r>
          </w:p>
          <w:p w14:paraId="22FD62E3" w14:textId="77777777" w:rsidR="0087601C" w:rsidRPr="006A1EC7" w:rsidRDefault="0087601C" w:rsidP="00D56051">
            <w:r w:rsidRPr="006A1EC7">
              <w:t>Wasn’t sure where to comment on bib I wasn’t sure about.</w:t>
            </w:r>
          </w:p>
        </w:tc>
      </w:tr>
      <w:tr w:rsidR="0087601C" w:rsidRPr="006A1EC7" w14:paraId="4AB5211B" w14:textId="77777777" w:rsidTr="00D56051">
        <w:tc>
          <w:tcPr>
            <w:tcW w:w="1413" w:type="dxa"/>
          </w:tcPr>
          <w:p w14:paraId="12D8D9A4" w14:textId="77777777" w:rsidR="0087601C" w:rsidRPr="006A1EC7" w:rsidRDefault="0087601C" w:rsidP="00D56051">
            <w:r w:rsidRPr="006A1EC7">
              <w:t>30</w:t>
            </w:r>
          </w:p>
        </w:tc>
        <w:tc>
          <w:tcPr>
            <w:tcW w:w="12899" w:type="dxa"/>
          </w:tcPr>
          <w:p w14:paraId="24221610" w14:textId="77777777" w:rsidR="0087601C" w:rsidRPr="006A1EC7" w:rsidRDefault="0087601C" w:rsidP="00D56051">
            <w:r w:rsidRPr="006A1EC7">
              <w:t>Difficult to complete part 1 without having seen the patient</w:t>
            </w:r>
          </w:p>
        </w:tc>
      </w:tr>
      <w:tr w:rsidR="0087601C" w:rsidRPr="006A1EC7" w14:paraId="7073A7A6" w14:textId="77777777" w:rsidTr="00D56051">
        <w:tc>
          <w:tcPr>
            <w:tcW w:w="14312" w:type="dxa"/>
            <w:gridSpan w:val="2"/>
            <w:shd w:val="clear" w:color="auto" w:fill="70AD47" w:themeFill="accent6"/>
          </w:tcPr>
          <w:p w14:paraId="21C3D29D" w14:textId="77777777" w:rsidR="0087601C" w:rsidRPr="006A1EC7" w:rsidRDefault="0087601C" w:rsidP="00D56051">
            <w:r w:rsidRPr="006A1EC7">
              <w:lastRenderedPageBreak/>
              <w:t>Positive comments</w:t>
            </w:r>
          </w:p>
        </w:tc>
      </w:tr>
      <w:tr w:rsidR="0087601C" w:rsidRPr="006A1EC7" w14:paraId="2EBFF921" w14:textId="77777777" w:rsidTr="00D56051">
        <w:tc>
          <w:tcPr>
            <w:tcW w:w="1413" w:type="dxa"/>
          </w:tcPr>
          <w:p w14:paraId="1FF38A9C" w14:textId="77777777" w:rsidR="0087601C" w:rsidRPr="006A1EC7" w:rsidRDefault="0087601C" w:rsidP="00D56051">
            <w:r w:rsidRPr="006A1EC7">
              <w:t>24</w:t>
            </w:r>
          </w:p>
        </w:tc>
        <w:tc>
          <w:tcPr>
            <w:tcW w:w="12899" w:type="dxa"/>
          </w:tcPr>
          <w:p w14:paraId="5D194D86" w14:textId="77777777" w:rsidR="0087601C" w:rsidRPr="006A1EC7" w:rsidRDefault="0087601C" w:rsidP="00D56051">
            <w:r w:rsidRPr="006A1EC7">
              <w:t>Well-worded case studies. Easy to follow</w:t>
            </w:r>
          </w:p>
        </w:tc>
      </w:tr>
    </w:tbl>
    <w:p w14:paraId="15C52C99" w14:textId="77777777" w:rsidR="0087601C" w:rsidRPr="006A1EC7" w:rsidRDefault="0087601C" w:rsidP="0087601C">
      <w:pPr>
        <w:sectPr w:rsidR="0087601C" w:rsidRPr="006A1EC7" w:rsidSect="00D56051">
          <w:type w:val="nextColumn"/>
          <w:pgSz w:w="16840" w:h="11900" w:orient="landscape"/>
          <w:pgMar w:top="1440" w:right="1701" w:bottom="1440" w:left="1701" w:header="720" w:footer="720" w:gutter="0"/>
          <w:cols w:space="720"/>
          <w:docGrid w:linePitch="360"/>
        </w:sectPr>
      </w:pPr>
    </w:p>
    <w:p w14:paraId="484CB99B" w14:textId="3AE4E225" w:rsidR="0087601C" w:rsidRPr="006A1EC7" w:rsidRDefault="0087601C" w:rsidP="0087601C">
      <w:pPr>
        <w:pStyle w:val="Heading4"/>
        <w:rPr>
          <w:rFonts w:ascii="Times New Roman" w:hAnsi="Times New Roman" w:cs="Times New Roman"/>
        </w:rPr>
      </w:pPr>
      <w:bookmarkStart w:id="337" w:name="_Toc38821506"/>
      <w:r w:rsidRPr="006A1EC7">
        <w:rPr>
          <w:rFonts w:ascii="Times New Roman" w:hAnsi="Times New Roman" w:cs="Times New Roman"/>
        </w:rPr>
        <w:lastRenderedPageBreak/>
        <w:t>Appendix 7.13: Final version of the COA, after assessment of validity and construct validity</w:t>
      </w:r>
      <w:bookmarkEnd w:id="337"/>
    </w:p>
    <w:p w14:paraId="427948D9" w14:textId="77777777" w:rsidR="0087601C" w:rsidRPr="006A1EC7" w:rsidRDefault="0087601C" w:rsidP="0087601C"/>
    <w:p w14:paraId="41EC88FE" w14:textId="77777777" w:rsidR="0087601C" w:rsidRPr="006A1EC7" w:rsidRDefault="0087601C" w:rsidP="0087601C">
      <w:pPr>
        <w:jc w:val="center"/>
        <w:rPr>
          <w:b/>
          <w:sz w:val="15"/>
          <w:szCs w:val="15"/>
        </w:rPr>
      </w:pPr>
      <w:r w:rsidRPr="006A1EC7">
        <w:rPr>
          <w:b/>
          <w:sz w:val="15"/>
          <w:szCs w:val="15"/>
        </w:rPr>
        <w:t>CLINICAL OUTCOME ASSESSMENT FOR Wolf-Hirschhorn syndrome</w:t>
      </w:r>
    </w:p>
    <w:p w14:paraId="2A506226" w14:textId="77777777" w:rsidR="0087601C" w:rsidRPr="006A1EC7" w:rsidRDefault="0087601C" w:rsidP="0087601C">
      <w:pPr>
        <w:rPr>
          <w:sz w:val="15"/>
          <w:szCs w:val="15"/>
        </w:rPr>
      </w:pPr>
    </w:p>
    <w:p w14:paraId="68D21887" w14:textId="77777777" w:rsidR="0087601C" w:rsidRPr="006A1EC7" w:rsidRDefault="0087601C" w:rsidP="0087601C">
      <w:pPr>
        <w:rPr>
          <w:i/>
          <w:sz w:val="15"/>
          <w:szCs w:val="15"/>
        </w:rPr>
      </w:pPr>
      <w:r w:rsidRPr="006A1EC7">
        <w:rPr>
          <w:i/>
          <w:sz w:val="15"/>
          <w:szCs w:val="15"/>
        </w:rPr>
        <w:t>Instructions for assessors:</w:t>
      </w:r>
    </w:p>
    <w:p w14:paraId="5F03F33E" w14:textId="77777777" w:rsidR="0087601C" w:rsidRPr="006A1EC7" w:rsidRDefault="0087601C" w:rsidP="0087601C">
      <w:pPr>
        <w:rPr>
          <w:sz w:val="15"/>
          <w:szCs w:val="15"/>
        </w:rPr>
      </w:pPr>
    </w:p>
    <w:p w14:paraId="3597898F" w14:textId="77777777" w:rsidR="0087601C" w:rsidRPr="006A1EC7" w:rsidRDefault="0087601C" w:rsidP="0087601C">
      <w:pPr>
        <w:rPr>
          <w:sz w:val="15"/>
          <w:szCs w:val="15"/>
        </w:rPr>
      </w:pPr>
      <w:r w:rsidRPr="006A1EC7">
        <w:rPr>
          <w:sz w:val="15"/>
          <w:szCs w:val="15"/>
        </w:rPr>
        <w:t xml:space="preserve">This comprehensive clinician-rated Clinical Outcome Assessment has been developed by researchers at the University of Sheffield to aid the assessment of patients with Wolf-Hirschhorn syndrome. </w:t>
      </w:r>
      <w:r w:rsidRPr="006A1EC7">
        <w:rPr>
          <w:sz w:val="15"/>
          <w:szCs w:val="15"/>
        </w:rPr>
        <w:br/>
        <w:t xml:space="preserve">It is based on the scientific literature as well as expert input (obtained via interviews from patient caregivers). Its content has undergone peer-review by international experts in the field of Wolf-Hirschhorn syndrome. </w:t>
      </w:r>
      <w:r w:rsidRPr="006A1EC7">
        <w:rPr>
          <w:sz w:val="15"/>
          <w:szCs w:val="15"/>
        </w:rPr>
        <w:br/>
      </w:r>
    </w:p>
    <w:p w14:paraId="11850C58" w14:textId="77777777" w:rsidR="0087601C" w:rsidRPr="006A1EC7" w:rsidRDefault="0087601C" w:rsidP="0087601C">
      <w:pPr>
        <w:rPr>
          <w:sz w:val="15"/>
          <w:szCs w:val="15"/>
        </w:rPr>
      </w:pPr>
      <w:r w:rsidRPr="006A1EC7">
        <w:rPr>
          <w:sz w:val="15"/>
          <w:szCs w:val="15"/>
        </w:rPr>
        <w:t xml:space="preserve">It is split in nine sections/domains, and instructions are contained within these domains. If you think a question/item is not applicable to the patient you are assessing, you can either choose the ‘N/A’ (not applicable) answer option or choose the corresponding answer. </w:t>
      </w:r>
    </w:p>
    <w:p w14:paraId="383733D5" w14:textId="77777777" w:rsidR="0087601C" w:rsidRPr="006A1EC7" w:rsidRDefault="0087601C" w:rsidP="0087601C">
      <w:pPr>
        <w:rPr>
          <w:sz w:val="15"/>
          <w:szCs w:val="15"/>
        </w:rPr>
      </w:pPr>
    </w:p>
    <w:p w14:paraId="38CC3E22" w14:textId="77777777" w:rsidR="0087601C" w:rsidRPr="006A1EC7" w:rsidRDefault="0087601C" w:rsidP="0087601C">
      <w:pPr>
        <w:rPr>
          <w:sz w:val="15"/>
          <w:szCs w:val="15"/>
        </w:rPr>
      </w:pPr>
      <w:r w:rsidRPr="006A1EC7">
        <w:rPr>
          <w:sz w:val="15"/>
          <w:szCs w:val="15"/>
        </w:rPr>
        <w:t xml:space="preserve">The rating scale is designed in such a way that you can use it during your consultation. You, as the assessor, transform reports from caregivers (such as parent, care worker) into ratings along the scales provided. </w:t>
      </w:r>
    </w:p>
    <w:p w14:paraId="0E786A55" w14:textId="77777777" w:rsidR="0087601C" w:rsidRPr="006A1EC7" w:rsidRDefault="0087601C" w:rsidP="0087601C">
      <w:pPr>
        <w:rPr>
          <w:sz w:val="15"/>
          <w:szCs w:val="15"/>
        </w:rPr>
      </w:pPr>
    </w:p>
    <w:p w14:paraId="3C93F966" w14:textId="77777777" w:rsidR="0087601C" w:rsidRPr="006A1EC7" w:rsidRDefault="0087601C" w:rsidP="0087601C">
      <w:pPr>
        <w:rPr>
          <w:sz w:val="15"/>
          <w:szCs w:val="15"/>
        </w:rPr>
      </w:pPr>
      <w:r w:rsidRPr="006A1EC7">
        <w:rPr>
          <w:sz w:val="15"/>
          <w:szCs w:val="15"/>
        </w:rPr>
        <w:t xml:space="preserve">For some of the question, such as domain 1 (Facial features) or domain 7 (Functional assessment), you can base your score on your own observations of that patient as well as reports from caregivers. </w:t>
      </w:r>
    </w:p>
    <w:p w14:paraId="13D39294" w14:textId="77777777" w:rsidR="0087601C" w:rsidRPr="006A1EC7" w:rsidRDefault="0087601C" w:rsidP="0087601C">
      <w:pPr>
        <w:rPr>
          <w:sz w:val="15"/>
          <w:szCs w:val="15"/>
        </w:rPr>
      </w:pPr>
    </w:p>
    <w:p w14:paraId="36AAE70C" w14:textId="77777777" w:rsidR="0087601C" w:rsidRPr="006A1EC7" w:rsidRDefault="0087601C" w:rsidP="0087601C">
      <w:pPr>
        <w:rPr>
          <w:sz w:val="15"/>
          <w:szCs w:val="15"/>
        </w:rPr>
      </w:pPr>
      <w:r w:rsidRPr="006A1EC7">
        <w:rPr>
          <w:sz w:val="15"/>
          <w:szCs w:val="15"/>
        </w:rPr>
        <w:t>Ultimately, you make the final decision about the functioning of the patient that you are assessing – in accordance with the information you are given and the observations of the patient you are making.</w:t>
      </w:r>
    </w:p>
    <w:p w14:paraId="556E8270" w14:textId="77777777" w:rsidR="0087601C" w:rsidRPr="006A1EC7" w:rsidRDefault="0087601C" w:rsidP="0087601C">
      <w:pPr>
        <w:rPr>
          <w:sz w:val="15"/>
          <w:szCs w:val="15"/>
        </w:rPr>
      </w:pPr>
    </w:p>
    <w:p w14:paraId="0B8EDCAE" w14:textId="77777777" w:rsidR="0087601C" w:rsidRPr="006A1EC7" w:rsidRDefault="0087601C" w:rsidP="0087601C">
      <w:pPr>
        <w:rPr>
          <w:sz w:val="15"/>
          <w:szCs w:val="15"/>
        </w:rPr>
      </w:pPr>
    </w:p>
    <w:p w14:paraId="02B4B876" w14:textId="77777777" w:rsidR="0087601C" w:rsidRPr="006A1EC7" w:rsidRDefault="0087601C" w:rsidP="0087601C">
      <w:pPr>
        <w:rPr>
          <w:sz w:val="15"/>
          <w:szCs w:val="15"/>
        </w:rPr>
      </w:pPr>
      <w:r w:rsidRPr="006A1EC7">
        <w:rPr>
          <w:sz w:val="15"/>
          <w:szCs w:val="15"/>
        </w:rPr>
        <w:t>The rating scale can be administered just once to gain a comprehensive overview of patient functioning, or in regular intervals to monitor patient progression or functioning over time.</w:t>
      </w:r>
    </w:p>
    <w:p w14:paraId="6A1531A6" w14:textId="77777777" w:rsidR="0087601C" w:rsidRPr="006A1EC7" w:rsidRDefault="0087601C" w:rsidP="0087601C">
      <w:pPr>
        <w:rPr>
          <w:sz w:val="15"/>
          <w:szCs w:val="15"/>
        </w:rPr>
      </w:pPr>
    </w:p>
    <w:p w14:paraId="4A1EA2A5" w14:textId="77777777" w:rsidR="0087601C" w:rsidRPr="006A1EC7" w:rsidRDefault="0087601C" w:rsidP="0087601C">
      <w:pPr>
        <w:rPr>
          <w:sz w:val="15"/>
          <w:szCs w:val="15"/>
        </w:rPr>
      </w:pPr>
    </w:p>
    <w:p w14:paraId="14526FA8" w14:textId="77777777" w:rsidR="0087601C" w:rsidRPr="006A1EC7" w:rsidRDefault="0087601C" w:rsidP="0087601C">
      <w:pPr>
        <w:rPr>
          <w:b/>
          <w:bCs/>
          <w:sz w:val="15"/>
          <w:szCs w:val="15"/>
          <w:u w:val="single"/>
        </w:rPr>
      </w:pPr>
      <w:r w:rsidRPr="006A1EC7">
        <w:rPr>
          <w:b/>
          <w:bCs/>
          <w:sz w:val="15"/>
          <w:szCs w:val="15"/>
          <w:u w:val="single"/>
        </w:rPr>
        <w:t>Patient details</w:t>
      </w:r>
    </w:p>
    <w:p w14:paraId="39924018" w14:textId="77777777" w:rsidR="0087601C" w:rsidRPr="006A1EC7" w:rsidRDefault="0087601C" w:rsidP="0087601C">
      <w:pPr>
        <w:rPr>
          <w:sz w:val="15"/>
          <w:szCs w:val="15"/>
        </w:rPr>
      </w:pPr>
    </w:p>
    <w:p w14:paraId="3AB1BE2C" w14:textId="77777777" w:rsidR="0087601C" w:rsidRPr="006A1EC7" w:rsidRDefault="0087601C" w:rsidP="0087601C">
      <w:pPr>
        <w:rPr>
          <w:sz w:val="15"/>
          <w:szCs w:val="15"/>
        </w:rPr>
      </w:pPr>
      <w:r w:rsidRPr="006A1EC7">
        <w:rPr>
          <w:sz w:val="15"/>
          <w:szCs w:val="15"/>
        </w:rPr>
        <w:t>Patient name:</w:t>
      </w:r>
      <w:r w:rsidRPr="006A1EC7">
        <w:rPr>
          <w:sz w:val="15"/>
          <w:szCs w:val="15"/>
        </w:rPr>
        <w:tab/>
      </w:r>
      <w:r w:rsidRPr="006A1EC7">
        <w:rPr>
          <w:sz w:val="15"/>
          <w:szCs w:val="15"/>
        </w:rPr>
        <w:tab/>
      </w:r>
      <w:r w:rsidRPr="006A1EC7">
        <w:rPr>
          <w:sz w:val="15"/>
          <w:szCs w:val="15"/>
        </w:rPr>
        <w:tab/>
      </w:r>
      <w:r w:rsidRPr="006A1EC7">
        <w:rPr>
          <w:sz w:val="15"/>
          <w:szCs w:val="15"/>
        </w:rPr>
        <w:tab/>
      </w:r>
    </w:p>
    <w:p w14:paraId="4FD97593" w14:textId="77777777" w:rsidR="0087601C" w:rsidRPr="006A1EC7" w:rsidRDefault="0087601C" w:rsidP="0087601C">
      <w:pPr>
        <w:rPr>
          <w:sz w:val="15"/>
          <w:szCs w:val="15"/>
        </w:rPr>
      </w:pPr>
    </w:p>
    <w:p w14:paraId="64806F34" w14:textId="77777777" w:rsidR="0087601C" w:rsidRPr="006A1EC7" w:rsidRDefault="0087601C" w:rsidP="0087601C">
      <w:pPr>
        <w:rPr>
          <w:sz w:val="15"/>
          <w:szCs w:val="15"/>
        </w:rPr>
      </w:pPr>
    </w:p>
    <w:p w14:paraId="2E36FFD3" w14:textId="77777777" w:rsidR="0087601C" w:rsidRPr="006A1EC7" w:rsidRDefault="0087601C" w:rsidP="0087601C">
      <w:pPr>
        <w:rPr>
          <w:sz w:val="15"/>
          <w:szCs w:val="15"/>
        </w:rPr>
      </w:pPr>
    </w:p>
    <w:p w14:paraId="0F0104A4" w14:textId="77777777" w:rsidR="0087601C" w:rsidRPr="006A1EC7" w:rsidRDefault="0087601C" w:rsidP="0087601C">
      <w:pPr>
        <w:rPr>
          <w:sz w:val="15"/>
          <w:szCs w:val="15"/>
        </w:rPr>
      </w:pPr>
    </w:p>
    <w:p w14:paraId="351BC9E4" w14:textId="77777777" w:rsidR="0087601C" w:rsidRPr="006A1EC7" w:rsidRDefault="0087601C" w:rsidP="0087601C">
      <w:pPr>
        <w:rPr>
          <w:sz w:val="15"/>
          <w:szCs w:val="15"/>
        </w:rPr>
      </w:pPr>
    </w:p>
    <w:p w14:paraId="061D0028" w14:textId="77777777" w:rsidR="0087601C" w:rsidRPr="006A1EC7" w:rsidRDefault="0087601C" w:rsidP="0087601C">
      <w:pPr>
        <w:rPr>
          <w:sz w:val="15"/>
          <w:szCs w:val="15"/>
        </w:rPr>
      </w:pPr>
    </w:p>
    <w:p w14:paraId="219BA738" w14:textId="77777777" w:rsidR="0087601C" w:rsidRPr="006A1EC7" w:rsidRDefault="0087601C" w:rsidP="0087601C">
      <w:pPr>
        <w:rPr>
          <w:sz w:val="15"/>
          <w:szCs w:val="15"/>
        </w:rPr>
      </w:pPr>
      <w:r w:rsidRPr="006A1EC7">
        <w:rPr>
          <w:sz w:val="15"/>
          <w:szCs w:val="15"/>
        </w:rPr>
        <w:t>(Alternatively, put patient sicker here)</w:t>
      </w:r>
    </w:p>
    <w:p w14:paraId="6B6ADB05" w14:textId="77777777" w:rsidR="0087601C" w:rsidRPr="006A1EC7" w:rsidRDefault="0087601C" w:rsidP="0087601C">
      <w:pPr>
        <w:rPr>
          <w:sz w:val="15"/>
          <w:szCs w:val="15"/>
        </w:rPr>
      </w:pPr>
    </w:p>
    <w:p w14:paraId="7D613A2F" w14:textId="77777777" w:rsidR="0087601C" w:rsidRPr="006A1EC7" w:rsidRDefault="0087601C" w:rsidP="0087601C">
      <w:pPr>
        <w:rPr>
          <w:sz w:val="15"/>
          <w:szCs w:val="15"/>
        </w:rPr>
      </w:pPr>
    </w:p>
    <w:p w14:paraId="16022885" w14:textId="77777777" w:rsidR="0087601C" w:rsidRPr="006A1EC7" w:rsidRDefault="0087601C" w:rsidP="0087601C">
      <w:pPr>
        <w:rPr>
          <w:sz w:val="15"/>
          <w:szCs w:val="15"/>
        </w:rPr>
      </w:pPr>
      <w:r w:rsidRPr="006A1EC7">
        <w:rPr>
          <w:sz w:val="15"/>
          <w:szCs w:val="15"/>
        </w:rPr>
        <w:t>Date information obtained:</w:t>
      </w:r>
    </w:p>
    <w:p w14:paraId="6BD92B23" w14:textId="77777777" w:rsidR="0087601C" w:rsidRPr="006A1EC7" w:rsidRDefault="0087601C" w:rsidP="0087601C">
      <w:pPr>
        <w:rPr>
          <w:sz w:val="15"/>
          <w:szCs w:val="15"/>
        </w:rPr>
      </w:pPr>
    </w:p>
    <w:p w14:paraId="0558E018" w14:textId="77777777" w:rsidR="0087601C" w:rsidRPr="006A1EC7" w:rsidRDefault="0087601C" w:rsidP="0087601C">
      <w:pPr>
        <w:rPr>
          <w:sz w:val="15"/>
          <w:szCs w:val="15"/>
        </w:rPr>
      </w:pPr>
      <w:r w:rsidRPr="006A1EC7">
        <w:rPr>
          <w:sz w:val="15"/>
          <w:szCs w:val="15"/>
        </w:rPr>
        <w:t>DOB:  ____/____/____</w:t>
      </w:r>
      <w:r w:rsidRPr="006A1EC7">
        <w:rPr>
          <w:sz w:val="15"/>
          <w:szCs w:val="15"/>
        </w:rPr>
        <w:tab/>
        <w:t xml:space="preserve"> </w:t>
      </w:r>
    </w:p>
    <w:p w14:paraId="3D99AE4B" w14:textId="77777777" w:rsidR="0087601C" w:rsidRPr="006A1EC7" w:rsidRDefault="0087601C" w:rsidP="0087601C">
      <w:pPr>
        <w:rPr>
          <w:sz w:val="15"/>
          <w:szCs w:val="15"/>
        </w:rPr>
      </w:pPr>
    </w:p>
    <w:p w14:paraId="4BC04837" w14:textId="77777777" w:rsidR="0087601C" w:rsidRPr="006A1EC7" w:rsidRDefault="0087601C" w:rsidP="0087601C">
      <w:pPr>
        <w:rPr>
          <w:sz w:val="15"/>
          <w:szCs w:val="15"/>
        </w:rPr>
      </w:pPr>
      <w:r w:rsidRPr="006A1EC7">
        <w:rPr>
          <w:sz w:val="15"/>
          <w:szCs w:val="15"/>
        </w:rPr>
        <w:t xml:space="preserve">Age: </w:t>
      </w:r>
    </w:p>
    <w:p w14:paraId="2A9F3F12" w14:textId="77777777" w:rsidR="0087601C" w:rsidRPr="006A1EC7" w:rsidRDefault="0087601C" w:rsidP="0087601C">
      <w:pPr>
        <w:rPr>
          <w:sz w:val="15"/>
          <w:szCs w:val="15"/>
        </w:rPr>
      </w:pPr>
    </w:p>
    <w:p w14:paraId="3A436E41" w14:textId="77777777" w:rsidR="0087601C" w:rsidRPr="006A1EC7" w:rsidRDefault="0087601C" w:rsidP="0087601C">
      <w:pPr>
        <w:rPr>
          <w:sz w:val="15"/>
          <w:szCs w:val="15"/>
        </w:rPr>
      </w:pPr>
      <w:r w:rsidRPr="006A1EC7">
        <w:rPr>
          <w:sz w:val="15"/>
          <w:szCs w:val="15"/>
        </w:rPr>
        <w:t>Born at gestational week:</w:t>
      </w:r>
    </w:p>
    <w:p w14:paraId="47E98FDA" w14:textId="77777777" w:rsidR="0087601C" w:rsidRPr="006A1EC7" w:rsidRDefault="0087601C" w:rsidP="0087601C">
      <w:pPr>
        <w:rPr>
          <w:sz w:val="15"/>
          <w:szCs w:val="15"/>
        </w:rPr>
      </w:pPr>
    </w:p>
    <w:p w14:paraId="664068AC" w14:textId="77777777" w:rsidR="0087601C" w:rsidRPr="006A1EC7" w:rsidRDefault="0087601C" w:rsidP="0087601C">
      <w:pPr>
        <w:rPr>
          <w:sz w:val="15"/>
          <w:szCs w:val="15"/>
        </w:rPr>
      </w:pPr>
      <w:r w:rsidRPr="006A1EC7">
        <w:rPr>
          <w:sz w:val="15"/>
          <w:szCs w:val="15"/>
        </w:rPr>
        <w:t xml:space="preserve">Sex: </w:t>
      </w:r>
      <w:r w:rsidRPr="006A1EC7">
        <w:rPr>
          <w:sz w:val="15"/>
          <w:szCs w:val="15"/>
        </w:rPr>
        <w:tab/>
        <w:t xml:space="preserve">Male </w:t>
      </w:r>
      <w:r w:rsidRPr="006A1EC7">
        <w:rPr>
          <w:sz w:val="15"/>
          <w:szCs w:val="15"/>
        </w:rPr>
        <w:tab/>
        <w:t>Female</w:t>
      </w:r>
    </w:p>
    <w:p w14:paraId="4FFC7D74" w14:textId="77777777" w:rsidR="0087601C" w:rsidRPr="006A1EC7" w:rsidRDefault="0087601C" w:rsidP="0087601C">
      <w:pPr>
        <w:rPr>
          <w:sz w:val="15"/>
          <w:szCs w:val="15"/>
        </w:rPr>
      </w:pPr>
    </w:p>
    <w:p w14:paraId="2465A55B" w14:textId="77777777" w:rsidR="0087601C" w:rsidRPr="006A1EC7" w:rsidRDefault="0087601C" w:rsidP="0087601C">
      <w:pPr>
        <w:rPr>
          <w:sz w:val="15"/>
          <w:szCs w:val="15"/>
        </w:rPr>
      </w:pPr>
      <w:r w:rsidRPr="006A1EC7">
        <w:rPr>
          <w:sz w:val="15"/>
          <w:szCs w:val="15"/>
        </w:rPr>
        <w:t>Details re genetic abnormalities (i.e. deletion, deletion size, translocation, etc.):</w:t>
      </w:r>
    </w:p>
    <w:p w14:paraId="6A856235" w14:textId="77777777" w:rsidR="0087601C" w:rsidRPr="006A1EC7" w:rsidRDefault="0087601C" w:rsidP="0087601C">
      <w:pPr>
        <w:rPr>
          <w:sz w:val="15"/>
          <w:szCs w:val="15"/>
        </w:rPr>
      </w:pPr>
    </w:p>
    <w:p w14:paraId="1A157667" w14:textId="77777777" w:rsidR="0087601C" w:rsidRPr="006A1EC7" w:rsidRDefault="0087601C" w:rsidP="0087601C">
      <w:pPr>
        <w:rPr>
          <w:sz w:val="15"/>
          <w:szCs w:val="15"/>
        </w:rPr>
      </w:pPr>
      <w:r w:rsidRPr="006A1EC7">
        <w:rPr>
          <w:sz w:val="15"/>
          <w:szCs w:val="15"/>
        </w:rPr>
        <w:t>No of unaffected siblings:</w:t>
      </w:r>
    </w:p>
    <w:p w14:paraId="446C1D84" w14:textId="77777777" w:rsidR="0087601C" w:rsidRPr="006A1EC7" w:rsidRDefault="0087601C" w:rsidP="0087601C">
      <w:pPr>
        <w:rPr>
          <w:sz w:val="15"/>
          <w:szCs w:val="15"/>
        </w:rPr>
      </w:pPr>
    </w:p>
    <w:p w14:paraId="02B53177" w14:textId="77777777" w:rsidR="0087601C" w:rsidRPr="006A1EC7" w:rsidRDefault="0087601C" w:rsidP="0087601C">
      <w:pPr>
        <w:rPr>
          <w:sz w:val="15"/>
          <w:szCs w:val="15"/>
        </w:rPr>
      </w:pPr>
      <w:r w:rsidRPr="006A1EC7">
        <w:rPr>
          <w:sz w:val="15"/>
          <w:szCs w:val="15"/>
        </w:rPr>
        <w:t>No. of affected siblings:</w:t>
      </w:r>
    </w:p>
    <w:p w14:paraId="7C3753E8" w14:textId="77777777" w:rsidR="0087601C" w:rsidRPr="006A1EC7" w:rsidRDefault="0087601C" w:rsidP="0087601C">
      <w:pPr>
        <w:rPr>
          <w:sz w:val="15"/>
          <w:szCs w:val="15"/>
        </w:rPr>
      </w:pPr>
    </w:p>
    <w:p w14:paraId="719AD587" w14:textId="77777777" w:rsidR="0087601C" w:rsidRPr="006A1EC7" w:rsidRDefault="0087601C" w:rsidP="0087601C">
      <w:pPr>
        <w:rPr>
          <w:sz w:val="15"/>
          <w:szCs w:val="15"/>
        </w:rPr>
      </w:pPr>
      <w:r w:rsidRPr="006A1EC7">
        <w:rPr>
          <w:sz w:val="15"/>
          <w:szCs w:val="15"/>
        </w:rPr>
        <w:t>Weight:</w:t>
      </w:r>
    </w:p>
    <w:p w14:paraId="5BFEA2B0" w14:textId="77777777" w:rsidR="0087601C" w:rsidRPr="006A1EC7" w:rsidRDefault="0087601C" w:rsidP="0087601C">
      <w:pPr>
        <w:rPr>
          <w:sz w:val="15"/>
          <w:szCs w:val="15"/>
        </w:rPr>
      </w:pPr>
    </w:p>
    <w:p w14:paraId="52B42383" w14:textId="77777777" w:rsidR="0087601C" w:rsidRPr="006A1EC7" w:rsidRDefault="0087601C" w:rsidP="0087601C">
      <w:pPr>
        <w:rPr>
          <w:sz w:val="15"/>
          <w:szCs w:val="15"/>
        </w:rPr>
      </w:pPr>
      <w:r w:rsidRPr="006A1EC7">
        <w:rPr>
          <w:sz w:val="15"/>
          <w:szCs w:val="15"/>
        </w:rPr>
        <w:t>Height:</w:t>
      </w:r>
    </w:p>
    <w:p w14:paraId="63C32FCE" w14:textId="77777777" w:rsidR="0087601C" w:rsidRPr="006A1EC7" w:rsidRDefault="0087601C" w:rsidP="0087601C">
      <w:pPr>
        <w:rPr>
          <w:sz w:val="15"/>
          <w:szCs w:val="15"/>
        </w:rPr>
      </w:pPr>
    </w:p>
    <w:p w14:paraId="520DDC29" w14:textId="77777777" w:rsidR="0087601C" w:rsidRPr="006A1EC7" w:rsidRDefault="0087601C" w:rsidP="0087601C">
      <w:pPr>
        <w:rPr>
          <w:sz w:val="15"/>
          <w:szCs w:val="15"/>
        </w:rPr>
      </w:pPr>
      <w:r w:rsidRPr="006A1EC7">
        <w:rPr>
          <w:sz w:val="15"/>
          <w:szCs w:val="15"/>
        </w:rPr>
        <w:t>Occipitofrontal circumference (OCP):</w:t>
      </w:r>
    </w:p>
    <w:p w14:paraId="78C3E111" w14:textId="77777777" w:rsidR="0087601C" w:rsidRPr="006A1EC7" w:rsidRDefault="0087601C" w:rsidP="0087601C">
      <w:pPr>
        <w:rPr>
          <w:sz w:val="15"/>
          <w:szCs w:val="15"/>
        </w:rPr>
      </w:pPr>
    </w:p>
    <w:p w14:paraId="0D9E30A8" w14:textId="77777777" w:rsidR="0087601C" w:rsidRPr="006A1EC7" w:rsidRDefault="0087601C" w:rsidP="0087601C">
      <w:pPr>
        <w:rPr>
          <w:sz w:val="15"/>
          <w:szCs w:val="15"/>
        </w:rPr>
      </w:pPr>
      <w:r w:rsidRPr="006A1EC7">
        <w:rPr>
          <w:sz w:val="15"/>
          <w:szCs w:val="15"/>
        </w:rPr>
        <w:t>Simple family tree:</w:t>
      </w:r>
    </w:p>
    <w:p w14:paraId="08BD4AAB" w14:textId="77777777" w:rsidR="0087601C" w:rsidRPr="006A1EC7" w:rsidRDefault="0087601C" w:rsidP="0087601C">
      <w:pPr>
        <w:rPr>
          <w:sz w:val="15"/>
          <w:szCs w:val="15"/>
        </w:rPr>
      </w:pPr>
    </w:p>
    <w:p w14:paraId="60E626FC" w14:textId="77777777" w:rsidR="0087601C" w:rsidRPr="006A1EC7" w:rsidRDefault="0087601C" w:rsidP="0087601C">
      <w:pPr>
        <w:rPr>
          <w:b/>
          <w:sz w:val="15"/>
          <w:szCs w:val="15"/>
          <w:u w:val="single"/>
        </w:rPr>
      </w:pPr>
    </w:p>
    <w:p w14:paraId="78727978" w14:textId="77777777" w:rsidR="0087601C" w:rsidRPr="006A1EC7" w:rsidRDefault="0087601C" w:rsidP="0087601C">
      <w:pPr>
        <w:rPr>
          <w:b/>
          <w:sz w:val="15"/>
          <w:szCs w:val="15"/>
          <w:u w:val="single"/>
        </w:rPr>
      </w:pPr>
    </w:p>
    <w:p w14:paraId="5AAAEE52" w14:textId="77777777" w:rsidR="0087601C" w:rsidRPr="006A1EC7" w:rsidRDefault="0087601C" w:rsidP="0087601C">
      <w:pPr>
        <w:rPr>
          <w:b/>
          <w:sz w:val="15"/>
          <w:szCs w:val="15"/>
          <w:u w:val="single"/>
        </w:rPr>
      </w:pPr>
    </w:p>
    <w:p w14:paraId="6A85B832" w14:textId="77777777" w:rsidR="0087601C" w:rsidRPr="006A1EC7" w:rsidRDefault="0087601C" w:rsidP="0087601C">
      <w:pPr>
        <w:rPr>
          <w:b/>
          <w:sz w:val="15"/>
          <w:szCs w:val="15"/>
          <w:u w:val="single"/>
        </w:rPr>
      </w:pPr>
    </w:p>
    <w:p w14:paraId="26F85266" w14:textId="77777777" w:rsidR="0087601C" w:rsidRPr="006A1EC7" w:rsidRDefault="0087601C" w:rsidP="0087601C">
      <w:pPr>
        <w:rPr>
          <w:b/>
          <w:sz w:val="15"/>
          <w:szCs w:val="15"/>
          <w:u w:val="single"/>
        </w:rPr>
      </w:pPr>
    </w:p>
    <w:p w14:paraId="1F7DCCAD" w14:textId="77777777" w:rsidR="0087601C" w:rsidRPr="006A1EC7" w:rsidRDefault="0087601C" w:rsidP="0087601C">
      <w:pPr>
        <w:rPr>
          <w:b/>
          <w:sz w:val="15"/>
          <w:szCs w:val="15"/>
          <w:u w:val="single"/>
        </w:rPr>
      </w:pPr>
    </w:p>
    <w:p w14:paraId="3821D679" w14:textId="77777777" w:rsidR="0087601C" w:rsidRPr="006A1EC7" w:rsidRDefault="0087601C" w:rsidP="0087601C">
      <w:pPr>
        <w:rPr>
          <w:b/>
          <w:sz w:val="15"/>
          <w:szCs w:val="15"/>
          <w:u w:val="single"/>
        </w:rPr>
      </w:pPr>
    </w:p>
    <w:p w14:paraId="052DC0B2" w14:textId="77777777" w:rsidR="0087601C" w:rsidRPr="006A1EC7" w:rsidRDefault="0087601C" w:rsidP="0087601C">
      <w:pPr>
        <w:rPr>
          <w:b/>
          <w:sz w:val="15"/>
          <w:szCs w:val="15"/>
          <w:u w:val="single"/>
        </w:rPr>
      </w:pPr>
    </w:p>
    <w:p w14:paraId="47460CE2" w14:textId="77777777" w:rsidR="0087601C" w:rsidRPr="006A1EC7" w:rsidRDefault="0087601C" w:rsidP="0087601C">
      <w:pPr>
        <w:rPr>
          <w:b/>
          <w:sz w:val="15"/>
          <w:szCs w:val="15"/>
          <w:u w:val="single"/>
        </w:rPr>
      </w:pPr>
    </w:p>
    <w:p w14:paraId="656917FC" w14:textId="77777777" w:rsidR="0087601C" w:rsidRPr="006A1EC7" w:rsidRDefault="0087601C" w:rsidP="0087601C">
      <w:pPr>
        <w:rPr>
          <w:b/>
          <w:sz w:val="15"/>
          <w:szCs w:val="15"/>
          <w:u w:val="single"/>
        </w:rPr>
      </w:pPr>
    </w:p>
    <w:p w14:paraId="0BCA0F3E" w14:textId="77777777" w:rsidR="0087601C" w:rsidRPr="006A1EC7" w:rsidRDefault="0087601C" w:rsidP="0087601C">
      <w:pPr>
        <w:rPr>
          <w:b/>
          <w:sz w:val="15"/>
          <w:szCs w:val="15"/>
          <w:u w:val="single"/>
        </w:rPr>
      </w:pPr>
    </w:p>
    <w:p w14:paraId="61B77831" w14:textId="77777777" w:rsidR="0087601C" w:rsidRPr="006A1EC7" w:rsidRDefault="0087601C" w:rsidP="0087601C">
      <w:pPr>
        <w:rPr>
          <w:b/>
          <w:sz w:val="15"/>
          <w:szCs w:val="15"/>
          <w:u w:val="single"/>
        </w:rPr>
      </w:pPr>
    </w:p>
    <w:p w14:paraId="568AD241" w14:textId="77777777" w:rsidR="0087601C" w:rsidRPr="006A1EC7" w:rsidRDefault="0087601C" w:rsidP="0087601C">
      <w:pPr>
        <w:rPr>
          <w:b/>
          <w:sz w:val="15"/>
          <w:szCs w:val="15"/>
          <w:u w:val="single"/>
        </w:rPr>
      </w:pPr>
    </w:p>
    <w:p w14:paraId="26B0FB61" w14:textId="77777777" w:rsidR="0087601C" w:rsidRPr="006A1EC7" w:rsidRDefault="0087601C" w:rsidP="0087601C">
      <w:pPr>
        <w:rPr>
          <w:b/>
          <w:sz w:val="15"/>
          <w:szCs w:val="15"/>
          <w:u w:val="single"/>
        </w:rPr>
      </w:pPr>
    </w:p>
    <w:p w14:paraId="6EA88410" w14:textId="77777777" w:rsidR="0087601C" w:rsidRPr="006A1EC7" w:rsidRDefault="0087601C" w:rsidP="0087601C">
      <w:pPr>
        <w:rPr>
          <w:b/>
          <w:sz w:val="15"/>
          <w:szCs w:val="15"/>
          <w:u w:val="single"/>
        </w:rPr>
      </w:pPr>
    </w:p>
    <w:p w14:paraId="51DF531F" w14:textId="77777777" w:rsidR="0087601C" w:rsidRPr="006A1EC7" w:rsidRDefault="0087601C" w:rsidP="0087601C">
      <w:pPr>
        <w:rPr>
          <w:b/>
          <w:sz w:val="15"/>
          <w:szCs w:val="15"/>
          <w:u w:val="single"/>
        </w:rPr>
      </w:pPr>
    </w:p>
    <w:p w14:paraId="7F84A918" w14:textId="77777777" w:rsidR="0087601C" w:rsidRPr="006A1EC7" w:rsidRDefault="0087601C" w:rsidP="0087601C">
      <w:pPr>
        <w:rPr>
          <w:b/>
          <w:sz w:val="15"/>
          <w:szCs w:val="15"/>
          <w:u w:val="single"/>
        </w:rPr>
      </w:pPr>
    </w:p>
    <w:p w14:paraId="1F57FFF2" w14:textId="77777777" w:rsidR="0087601C" w:rsidRPr="006A1EC7" w:rsidRDefault="0087601C" w:rsidP="0087601C">
      <w:pPr>
        <w:rPr>
          <w:b/>
          <w:sz w:val="15"/>
          <w:szCs w:val="15"/>
          <w:u w:val="single"/>
        </w:rPr>
      </w:pPr>
      <w:r w:rsidRPr="006A1EC7">
        <w:rPr>
          <w:b/>
          <w:sz w:val="15"/>
          <w:szCs w:val="15"/>
          <w:u w:val="single"/>
        </w:rPr>
        <w:t>Section 1: Facial features</w:t>
      </w:r>
    </w:p>
    <w:p w14:paraId="0E02B511" w14:textId="77777777" w:rsidR="0087601C" w:rsidRPr="006A1EC7" w:rsidRDefault="0087601C" w:rsidP="0087601C">
      <w:pPr>
        <w:rPr>
          <w:b/>
          <w:sz w:val="15"/>
          <w:szCs w:val="15"/>
          <w:u w:val="single"/>
        </w:rPr>
      </w:pPr>
    </w:p>
    <w:tbl>
      <w:tblPr>
        <w:tblStyle w:val="TableGrid"/>
        <w:tblW w:w="0" w:type="auto"/>
        <w:tblLook w:val="04A0" w:firstRow="1" w:lastRow="0" w:firstColumn="1" w:lastColumn="0" w:noHBand="0" w:noVBand="1"/>
      </w:tblPr>
      <w:tblGrid>
        <w:gridCol w:w="470"/>
        <w:gridCol w:w="1325"/>
        <w:gridCol w:w="1845"/>
        <w:gridCol w:w="1226"/>
      </w:tblGrid>
      <w:tr w:rsidR="0087601C" w:rsidRPr="006A1EC7" w14:paraId="41535E47" w14:textId="77777777" w:rsidTr="00D56051">
        <w:tc>
          <w:tcPr>
            <w:tcW w:w="470" w:type="dxa"/>
          </w:tcPr>
          <w:p w14:paraId="18E911F6" w14:textId="77777777" w:rsidR="0087601C" w:rsidRPr="006A1EC7" w:rsidRDefault="0087601C" w:rsidP="00D56051">
            <w:pPr>
              <w:rPr>
                <w:sz w:val="15"/>
                <w:szCs w:val="15"/>
              </w:rPr>
            </w:pPr>
          </w:p>
        </w:tc>
        <w:tc>
          <w:tcPr>
            <w:tcW w:w="1325" w:type="dxa"/>
          </w:tcPr>
          <w:p w14:paraId="4062DA77" w14:textId="77777777" w:rsidR="0087601C" w:rsidRPr="006A1EC7" w:rsidRDefault="0087601C" w:rsidP="00D56051">
            <w:pPr>
              <w:rPr>
                <w:sz w:val="15"/>
                <w:szCs w:val="15"/>
              </w:rPr>
            </w:pPr>
          </w:p>
        </w:tc>
        <w:tc>
          <w:tcPr>
            <w:tcW w:w="1845" w:type="dxa"/>
          </w:tcPr>
          <w:p w14:paraId="2B63E7BD" w14:textId="77777777" w:rsidR="0087601C" w:rsidRPr="006A1EC7" w:rsidRDefault="0087601C" w:rsidP="00D56051">
            <w:pPr>
              <w:rPr>
                <w:sz w:val="15"/>
                <w:szCs w:val="15"/>
              </w:rPr>
            </w:pPr>
            <w:r w:rsidRPr="006A1EC7">
              <w:rPr>
                <w:sz w:val="15"/>
                <w:szCs w:val="15"/>
              </w:rPr>
              <w:t>Present</w:t>
            </w:r>
          </w:p>
        </w:tc>
        <w:tc>
          <w:tcPr>
            <w:tcW w:w="1226" w:type="dxa"/>
          </w:tcPr>
          <w:p w14:paraId="32BE15B4" w14:textId="77777777" w:rsidR="0087601C" w:rsidRPr="006A1EC7" w:rsidRDefault="0087601C" w:rsidP="00D56051">
            <w:pPr>
              <w:rPr>
                <w:sz w:val="15"/>
                <w:szCs w:val="15"/>
              </w:rPr>
            </w:pPr>
            <w:r w:rsidRPr="006A1EC7">
              <w:rPr>
                <w:sz w:val="15"/>
                <w:szCs w:val="15"/>
              </w:rPr>
              <w:t>Absent</w:t>
            </w:r>
          </w:p>
        </w:tc>
      </w:tr>
      <w:tr w:rsidR="0087601C" w:rsidRPr="006A1EC7" w14:paraId="635064C0" w14:textId="77777777" w:rsidTr="00D56051">
        <w:tc>
          <w:tcPr>
            <w:tcW w:w="470" w:type="dxa"/>
          </w:tcPr>
          <w:p w14:paraId="36549300" w14:textId="77777777" w:rsidR="0087601C" w:rsidRPr="006A1EC7" w:rsidRDefault="0087601C" w:rsidP="00D56051">
            <w:pPr>
              <w:rPr>
                <w:sz w:val="15"/>
                <w:szCs w:val="15"/>
              </w:rPr>
            </w:pPr>
            <w:r w:rsidRPr="006A1EC7">
              <w:rPr>
                <w:sz w:val="15"/>
                <w:szCs w:val="15"/>
              </w:rPr>
              <w:t>1A</w:t>
            </w:r>
          </w:p>
        </w:tc>
        <w:tc>
          <w:tcPr>
            <w:tcW w:w="1325" w:type="dxa"/>
          </w:tcPr>
          <w:p w14:paraId="65982C3B" w14:textId="77777777" w:rsidR="0087601C" w:rsidRPr="006A1EC7" w:rsidRDefault="0087601C" w:rsidP="00D56051">
            <w:pPr>
              <w:rPr>
                <w:sz w:val="15"/>
                <w:szCs w:val="15"/>
              </w:rPr>
            </w:pPr>
            <w:r w:rsidRPr="006A1EC7">
              <w:rPr>
                <w:sz w:val="15"/>
                <w:szCs w:val="15"/>
              </w:rPr>
              <w:t>Broad/ prominent nasal bridge</w:t>
            </w:r>
          </w:p>
          <w:p w14:paraId="19E5CD58" w14:textId="77777777" w:rsidR="0087601C" w:rsidRPr="006A1EC7" w:rsidRDefault="0087601C" w:rsidP="00D56051">
            <w:pPr>
              <w:rPr>
                <w:sz w:val="15"/>
                <w:szCs w:val="15"/>
              </w:rPr>
            </w:pPr>
          </w:p>
        </w:tc>
        <w:tc>
          <w:tcPr>
            <w:tcW w:w="1845" w:type="dxa"/>
          </w:tcPr>
          <w:p w14:paraId="200370C1" w14:textId="77777777" w:rsidR="0087601C" w:rsidRPr="006A1EC7" w:rsidRDefault="0087601C" w:rsidP="00D56051">
            <w:pPr>
              <w:rPr>
                <w:sz w:val="15"/>
                <w:szCs w:val="15"/>
              </w:rPr>
            </w:pPr>
            <w:r w:rsidRPr="006A1EC7">
              <w:rPr>
                <w:sz w:val="15"/>
                <w:szCs w:val="15"/>
              </w:rPr>
              <w:t>1</w:t>
            </w:r>
          </w:p>
        </w:tc>
        <w:tc>
          <w:tcPr>
            <w:tcW w:w="1226" w:type="dxa"/>
          </w:tcPr>
          <w:p w14:paraId="3F09500A" w14:textId="77777777" w:rsidR="0087601C" w:rsidRPr="006A1EC7" w:rsidRDefault="0087601C" w:rsidP="00D56051">
            <w:pPr>
              <w:rPr>
                <w:sz w:val="15"/>
                <w:szCs w:val="15"/>
              </w:rPr>
            </w:pPr>
            <w:r w:rsidRPr="006A1EC7">
              <w:rPr>
                <w:sz w:val="15"/>
                <w:szCs w:val="15"/>
              </w:rPr>
              <w:t>0</w:t>
            </w:r>
          </w:p>
        </w:tc>
      </w:tr>
      <w:tr w:rsidR="0087601C" w:rsidRPr="006A1EC7" w14:paraId="7455FEEA" w14:textId="77777777" w:rsidTr="00D56051">
        <w:tc>
          <w:tcPr>
            <w:tcW w:w="470" w:type="dxa"/>
          </w:tcPr>
          <w:p w14:paraId="1E3600C7" w14:textId="77777777" w:rsidR="0087601C" w:rsidRPr="006A1EC7" w:rsidRDefault="0087601C" w:rsidP="00D56051">
            <w:pPr>
              <w:rPr>
                <w:sz w:val="15"/>
                <w:szCs w:val="15"/>
              </w:rPr>
            </w:pPr>
            <w:r w:rsidRPr="006A1EC7">
              <w:rPr>
                <w:sz w:val="15"/>
                <w:szCs w:val="15"/>
              </w:rPr>
              <w:t>1B</w:t>
            </w:r>
          </w:p>
        </w:tc>
        <w:tc>
          <w:tcPr>
            <w:tcW w:w="1325" w:type="dxa"/>
          </w:tcPr>
          <w:p w14:paraId="18C8A2C5" w14:textId="77777777" w:rsidR="0087601C" w:rsidRPr="006A1EC7" w:rsidRDefault="0087601C" w:rsidP="00D56051">
            <w:pPr>
              <w:rPr>
                <w:bCs/>
                <w:sz w:val="15"/>
                <w:szCs w:val="15"/>
              </w:rPr>
            </w:pPr>
            <w:r w:rsidRPr="006A1EC7">
              <w:rPr>
                <w:bCs/>
                <w:color w:val="000000" w:themeColor="text1"/>
                <w:sz w:val="15"/>
                <w:szCs w:val="15"/>
              </w:rPr>
              <w:t xml:space="preserve">Prominent glabella </w:t>
            </w:r>
            <w:r w:rsidRPr="006A1EC7">
              <w:rPr>
                <w:bCs/>
                <w:color w:val="FF0000"/>
                <w:sz w:val="15"/>
                <w:szCs w:val="15"/>
              </w:rPr>
              <w:t>(= skin between eyebrows and nose)</w:t>
            </w:r>
          </w:p>
        </w:tc>
        <w:tc>
          <w:tcPr>
            <w:tcW w:w="1845" w:type="dxa"/>
          </w:tcPr>
          <w:p w14:paraId="64191630" w14:textId="77777777" w:rsidR="0087601C" w:rsidRPr="006A1EC7" w:rsidRDefault="0087601C" w:rsidP="00D56051">
            <w:pPr>
              <w:rPr>
                <w:sz w:val="15"/>
                <w:szCs w:val="15"/>
              </w:rPr>
            </w:pPr>
            <w:r w:rsidRPr="006A1EC7">
              <w:rPr>
                <w:sz w:val="15"/>
                <w:szCs w:val="15"/>
              </w:rPr>
              <w:t>1</w:t>
            </w:r>
          </w:p>
        </w:tc>
        <w:tc>
          <w:tcPr>
            <w:tcW w:w="1226" w:type="dxa"/>
          </w:tcPr>
          <w:p w14:paraId="3175193D" w14:textId="77777777" w:rsidR="0087601C" w:rsidRPr="006A1EC7" w:rsidRDefault="0087601C" w:rsidP="00D56051">
            <w:pPr>
              <w:rPr>
                <w:sz w:val="15"/>
                <w:szCs w:val="15"/>
              </w:rPr>
            </w:pPr>
            <w:r w:rsidRPr="006A1EC7">
              <w:rPr>
                <w:sz w:val="15"/>
                <w:szCs w:val="15"/>
              </w:rPr>
              <w:t>0</w:t>
            </w:r>
          </w:p>
        </w:tc>
      </w:tr>
      <w:tr w:rsidR="0087601C" w:rsidRPr="006A1EC7" w14:paraId="6C8FE139" w14:textId="77777777" w:rsidTr="00D56051">
        <w:tc>
          <w:tcPr>
            <w:tcW w:w="470" w:type="dxa"/>
          </w:tcPr>
          <w:p w14:paraId="22215B55" w14:textId="77777777" w:rsidR="0087601C" w:rsidRPr="006A1EC7" w:rsidRDefault="0087601C" w:rsidP="00D56051">
            <w:pPr>
              <w:rPr>
                <w:sz w:val="15"/>
                <w:szCs w:val="15"/>
              </w:rPr>
            </w:pPr>
            <w:r w:rsidRPr="006A1EC7">
              <w:rPr>
                <w:sz w:val="15"/>
                <w:szCs w:val="15"/>
              </w:rPr>
              <w:t>1C</w:t>
            </w:r>
          </w:p>
        </w:tc>
        <w:tc>
          <w:tcPr>
            <w:tcW w:w="1325" w:type="dxa"/>
          </w:tcPr>
          <w:p w14:paraId="74B99D53" w14:textId="77777777" w:rsidR="0087601C" w:rsidRPr="006A1EC7" w:rsidRDefault="0087601C" w:rsidP="00D56051">
            <w:pPr>
              <w:rPr>
                <w:sz w:val="15"/>
                <w:szCs w:val="15"/>
              </w:rPr>
            </w:pPr>
            <w:r w:rsidRPr="006A1EC7">
              <w:rPr>
                <w:sz w:val="15"/>
                <w:szCs w:val="15"/>
              </w:rPr>
              <w:t>Highly arched eyebrows</w:t>
            </w:r>
          </w:p>
        </w:tc>
        <w:tc>
          <w:tcPr>
            <w:tcW w:w="1845" w:type="dxa"/>
          </w:tcPr>
          <w:p w14:paraId="0FD56401" w14:textId="77777777" w:rsidR="0087601C" w:rsidRPr="006A1EC7" w:rsidRDefault="0087601C" w:rsidP="00D56051">
            <w:pPr>
              <w:rPr>
                <w:sz w:val="15"/>
                <w:szCs w:val="15"/>
              </w:rPr>
            </w:pPr>
            <w:r w:rsidRPr="006A1EC7">
              <w:rPr>
                <w:sz w:val="15"/>
                <w:szCs w:val="15"/>
              </w:rPr>
              <w:t>1</w:t>
            </w:r>
          </w:p>
        </w:tc>
        <w:tc>
          <w:tcPr>
            <w:tcW w:w="1226" w:type="dxa"/>
          </w:tcPr>
          <w:p w14:paraId="086A2EBE" w14:textId="77777777" w:rsidR="0087601C" w:rsidRPr="006A1EC7" w:rsidRDefault="0087601C" w:rsidP="00D56051">
            <w:pPr>
              <w:rPr>
                <w:sz w:val="15"/>
                <w:szCs w:val="15"/>
              </w:rPr>
            </w:pPr>
            <w:r w:rsidRPr="006A1EC7">
              <w:rPr>
                <w:sz w:val="15"/>
                <w:szCs w:val="15"/>
              </w:rPr>
              <w:t>0</w:t>
            </w:r>
          </w:p>
        </w:tc>
      </w:tr>
      <w:tr w:rsidR="0087601C" w:rsidRPr="006A1EC7" w14:paraId="34A83B7D" w14:textId="77777777" w:rsidTr="00D56051">
        <w:tc>
          <w:tcPr>
            <w:tcW w:w="470" w:type="dxa"/>
          </w:tcPr>
          <w:p w14:paraId="66C03C5E" w14:textId="77777777" w:rsidR="0087601C" w:rsidRPr="006A1EC7" w:rsidRDefault="0087601C" w:rsidP="00D56051">
            <w:pPr>
              <w:rPr>
                <w:sz w:val="15"/>
                <w:szCs w:val="15"/>
              </w:rPr>
            </w:pPr>
            <w:r w:rsidRPr="006A1EC7">
              <w:rPr>
                <w:sz w:val="15"/>
                <w:szCs w:val="15"/>
              </w:rPr>
              <w:t>1D</w:t>
            </w:r>
          </w:p>
        </w:tc>
        <w:tc>
          <w:tcPr>
            <w:tcW w:w="1325" w:type="dxa"/>
          </w:tcPr>
          <w:p w14:paraId="77D8DB4E" w14:textId="77777777" w:rsidR="0087601C" w:rsidRPr="006A1EC7" w:rsidRDefault="0087601C" w:rsidP="00D56051">
            <w:pPr>
              <w:rPr>
                <w:sz w:val="15"/>
                <w:szCs w:val="15"/>
              </w:rPr>
            </w:pPr>
            <w:r w:rsidRPr="006A1EC7">
              <w:rPr>
                <w:sz w:val="15"/>
                <w:szCs w:val="15"/>
              </w:rPr>
              <w:t xml:space="preserve">Prominent, widely - spaced eyes </w:t>
            </w:r>
            <w:r w:rsidRPr="006A1EC7">
              <w:rPr>
                <w:color w:val="FF0000"/>
                <w:sz w:val="15"/>
                <w:szCs w:val="15"/>
              </w:rPr>
              <w:t>(hypertelorism)</w:t>
            </w:r>
          </w:p>
          <w:p w14:paraId="55623486" w14:textId="77777777" w:rsidR="0087601C" w:rsidRPr="006A1EC7" w:rsidRDefault="0087601C" w:rsidP="00D56051">
            <w:pPr>
              <w:rPr>
                <w:sz w:val="15"/>
                <w:szCs w:val="15"/>
              </w:rPr>
            </w:pPr>
          </w:p>
        </w:tc>
        <w:tc>
          <w:tcPr>
            <w:tcW w:w="1845" w:type="dxa"/>
          </w:tcPr>
          <w:p w14:paraId="3385D5D1" w14:textId="77777777" w:rsidR="0087601C" w:rsidRPr="006A1EC7" w:rsidRDefault="0087601C" w:rsidP="00D56051">
            <w:pPr>
              <w:rPr>
                <w:sz w:val="15"/>
                <w:szCs w:val="15"/>
              </w:rPr>
            </w:pPr>
            <w:r w:rsidRPr="006A1EC7">
              <w:rPr>
                <w:sz w:val="15"/>
                <w:szCs w:val="15"/>
              </w:rPr>
              <w:t>1</w:t>
            </w:r>
          </w:p>
        </w:tc>
        <w:tc>
          <w:tcPr>
            <w:tcW w:w="1226" w:type="dxa"/>
          </w:tcPr>
          <w:p w14:paraId="3068844D" w14:textId="77777777" w:rsidR="0087601C" w:rsidRPr="006A1EC7" w:rsidRDefault="0087601C" w:rsidP="00D56051">
            <w:pPr>
              <w:rPr>
                <w:sz w:val="15"/>
                <w:szCs w:val="15"/>
              </w:rPr>
            </w:pPr>
            <w:r w:rsidRPr="006A1EC7">
              <w:rPr>
                <w:sz w:val="15"/>
                <w:szCs w:val="15"/>
              </w:rPr>
              <w:t>0</w:t>
            </w:r>
          </w:p>
        </w:tc>
      </w:tr>
      <w:tr w:rsidR="0087601C" w:rsidRPr="006A1EC7" w14:paraId="3A08E12D" w14:textId="77777777" w:rsidTr="00D56051">
        <w:tc>
          <w:tcPr>
            <w:tcW w:w="470" w:type="dxa"/>
          </w:tcPr>
          <w:p w14:paraId="34FF091F" w14:textId="77777777" w:rsidR="0087601C" w:rsidRPr="006A1EC7" w:rsidRDefault="0087601C" w:rsidP="00D56051">
            <w:pPr>
              <w:rPr>
                <w:sz w:val="15"/>
                <w:szCs w:val="15"/>
              </w:rPr>
            </w:pPr>
            <w:r w:rsidRPr="006A1EC7">
              <w:rPr>
                <w:sz w:val="15"/>
                <w:szCs w:val="15"/>
              </w:rPr>
              <w:t>1E</w:t>
            </w:r>
          </w:p>
        </w:tc>
        <w:tc>
          <w:tcPr>
            <w:tcW w:w="1325" w:type="dxa"/>
          </w:tcPr>
          <w:p w14:paraId="370DB484" w14:textId="77777777" w:rsidR="0087601C" w:rsidRPr="006A1EC7" w:rsidRDefault="0087601C" w:rsidP="00D56051">
            <w:pPr>
              <w:rPr>
                <w:sz w:val="15"/>
                <w:szCs w:val="15"/>
              </w:rPr>
            </w:pPr>
            <w:r w:rsidRPr="006A1EC7">
              <w:rPr>
                <w:sz w:val="15"/>
                <w:szCs w:val="15"/>
              </w:rPr>
              <w:t xml:space="preserve">Short philtrum </w:t>
            </w:r>
          </w:p>
          <w:p w14:paraId="23D30605" w14:textId="77777777" w:rsidR="0087601C" w:rsidRPr="006A1EC7" w:rsidRDefault="0087601C" w:rsidP="00D56051">
            <w:pPr>
              <w:rPr>
                <w:sz w:val="15"/>
                <w:szCs w:val="15"/>
              </w:rPr>
            </w:pPr>
          </w:p>
        </w:tc>
        <w:tc>
          <w:tcPr>
            <w:tcW w:w="1845" w:type="dxa"/>
          </w:tcPr>
          <w:p w14:paraId="719AAE07" w14:textId="77777777" w:rsidR="0087601C" w:rsidRPr="006A1EC7" w:rsidRDefault="0087601C" w:rsidP="00D56051">
            <w:pPr>
              <w:rPr>
                <w:sz w:val="15"/>
                <w:szCs w:val="15"/>
              </w:rPr>
            </w:pPr>
            <w:r w:rsidRPr="006A1EC7">
              <w:rPr>
                <w:sz w:val="15"/>
                <w:szCs w:val="15"/>
              </w:rPr>
              <w:t>1</w:t>
            </w:r>
          </w:p>
        </w:tc>
        <w:tc>
          <w:tcPr>
            <w:tcW w:w="1226" w:type="dxa"/>
          </w:tcPr>
          <w:p w14:paraId="561335EE" w14:textId="77777777" w:rsidR="0087601C" w:rsidRPr="006A1EC7" w:rsidRDefault="0087601C" w:rsidP="00D56051">
            <w:pPr>
              <w:rPr>
                <w:sz w:val="15"/>
                <w:szCs w:val="15"/>
              </w:rPr>
            </w:pPr>
            <w:r w:rsidRPr="006A1EC7">
              <w:rPr>
                <w:sz w:val="15"/>
                <w:szCs w:val="15"/>
              </w:rPr>
              <w:t>0</w:t>
            </w:r>
          </w:p>
        </w:tc>
      </w:tr>
      <w:tr w:rsidR="0087601C" w:rsidRPr="006A1EC7" w14:paraId="67C0DAC8" w14:textId="77777777" w:rsidTr="00D56051">
        <w:tc>
          <w:tcPr>
            <w:tcW w:w="470" w:type="dxa"/>
          </w:tcPr>
          <w:p w14:paraId="01B33C8A" w14:textId="77777777" w:rsidR="0087601C" w:rsidRPr="006A1EC7" w:rsidRDefault="0087601C" w:rsidP="00D56051">
            <w:pPr>
              <w:rPr>
                <w:sz w:val="15"/>
                <w:szCs w:val="15"/>
              </w:rPr>
            </w:pPr>
            <w:r w:rsidRPr="006A1EC7">
              <w:rPr>
                <w:sz w:val="15"/>
                <w:szCs w:val="15"/>
              </w:rPr>
              <w:t>1F</w:t>
            </w:r>
          </w:p>
        </w:tc>
        <w:tc>
          <w:tcPr>
            <w:tcW w:w="1325" w:type="dxa"/>
          </w:tcPr>
          <w:p w14:paraId="54262EA8" w14:textId="77777777" w:rsidR="0087601C" w:rsidRPr="006A1EC7" w:rsidRDefault="0087601C" w:rsidP="00D56051">
            <w:pPr>
              <w:rPr>
                <w:sz w:val="15"/>
                <w:szCs w:val="15"/>
              </w:rPr>
            </w:pPr>
            <w:r w:rsidRPr="006A1EC7">
              <w:rPr>
                <w:sz w:val="15"/>
                <w:szCs w:val="15"/>
              </w:rPr>
              <w:t>Downturned corners of the mouth</w:t>
            </w:r>
          </w:p>
        </w:tc>
        <w:tc>
          <w:tcPr>
            <w:tcW w:w="1845" w:type="dxa"/>
          </w:tcPr>
          <w:p w14:paraId="57D8C989" w14:textId="77777777" w:rsidR="0087601C" w:rsidRPr="006A1EC7" w:rsidRDefault="0087601C" w:rsidP="00D56051">
            <w:pPr>
              <w:rPr>
                <w:sz w:val="15"/>
                <w:szCs w:val="15"/>
              </w:rPr>
            </w:pPr>
            <w:r w:rsidRPr="006A1EC7">
              <w:rPr>
                <w:sz w:val="15"/>
                <w:szCs w:val="15"/>
              </w:rPr>
              <w:t>1</w:t>
            </w:r>
          </w:p>
        </w:tc>
        <w:tc>
          <w:tcPr>
            <w:tcW w:w="1226" w:type="dxa"/>
          </w:tcPr>
          <w:p w14:paraId="32B869D5" w14:textId="77777777" w:rsidR="0087601C" w:rsidRPr="006A1EC7" w:rsidRDefault="0087601C" w:rsidP="00D56051">
            <w:pPr>
              <w:rPr>
                <w:sz w:val="15"/>
                <w:szCs w:val="15"/>
              </w:rPr>
            </w:pPr>
            <w:r w:rsidRPr="006A1EC7">
              <w:rPr>
                <w:sz w:val="15"/>
                <w:szCs w:val="15"/>
              </w:rPr>
              <w:t>0</w:t>
            </w:r>
          </w:p>
        </w:tc>
      </w:tr>
      <w:tr w:rsidR="0087601C" w:rsidRPr="006A1EC7" w14:paraId="2D027E04" w14:textId="77777777" w:rsidTr="00D56051">
        <w:tc>
          <w:tcPr>
            <w:tcW w:w="470" w:type="dxa"/>
          </w:tcPr>
          <w:p w14:paraId="6C9612A8" w14:textId="77777777" w:rsidR="0087601C" w:rsidRPr="006A1EC7" w:rsidRDefault="0087601C" w:rsidP="00D56051">
            <w:pPr>
              <w:rPr>
                <w:sz w:val="15"/>
                <w:szCs w:val="15"/>
              </w:rPr>
            </w:pPr>
            <w:r w:rsidRPr="006A1EC7">
              <w:rPr>
                <w:sz w:val="15"/>
                <w:szCs w:val="15"/>
              </w:rPr>
              <w:t>1G</w:t>
            </w:r>
          </w:p>
        </w:tc>
        <w:tc>
          <w:tcPr>
            <w:tcW w:w="1325" w:type="dxa"/>
          </w:tcPr>
          <w:p w14:paraId="5456955D" w14:textId="77777777" w:rsidR="0087601C" w:rsidRPr="006A1EC7" w:rsidRDefault="0087601C" w:rsidP="00D56051">
            <w:pPr>
              <w:rPr>
                <w:sz w:val="15"/>
                <w:szCs w:val="15"/>
              </w:rPr>
            </w:pPr>
            <w:r w:rsidRPr="006A1EC7">
              <w:rPr>
                <w:sz w:val="15"/>
                <w:szCs w:val="15"/>
              </w:rPr>
              <w:t>Greek warrior helmet appearance</w:t>
            </w:r>
          </w:p>
        </w:tc>
        <w:tc>
          <w:tcPr>
            <w:tcW w:w="1845" w:type="dxa"/>
          </w:tcPr>
          <w:p w14:paraId="18AD0500" w14:textId="77777777" w:rsidR="0087601C" w:rsidRPr="006A1EC7" w:rsidRDefault="0087601C" w:rsidP="00D56051">
            <w:pPr>
              <w:rPr>
                <w:sz w:val="15"/>
                <w:szCs w:val="15"/>
              </w:rPr>
            </w:pPr>
            <w:r w:rsidRPr="006A1EC7">
              <w:rPr>
                <w:sz w:val="15"/>
                <w:szCs w:val="15"/>
              </w:rPr>
              <w:t>1</w:t>
            </w:r>
          </w:p>
        </w:tc>
        <w:tc>
          <w:tcPr>
            <w:tcW w:w="1226" w:type="dxa"/>
          </w:tcPr>
          <w:p w14:paraId="40A5A046" w14:textId="77777777" w:rsidR="0087601C" w:rsidRPr="006A1EC7" w:rsidRDefault="0087601C" w:rsidP="00D56051">
            <w:pPr>
              <w:rPr>
                <w:sz w:val="15"/>
                <w:szCs w:val="15"/>
              </w:rPr>
            </w:pPr>
            <w:r w:rsidRPr="006A1EC7">
              <w:rPr>
                <w:sz w:val="15"/>
                <w:szCs w:val="15"/>
              </w:rPr>
              <w:t>0</w:t>
            </w:r>
          </w:p>
        </w:tc>
      </w:tr>
      <w:tr w:rsidR="0087601C" w:rsidRPr="006A1EC7" w14:paraId="4A1D4BE2" w14:textId="77777777" w:rsidTr="00D56051">
        <w:tc>
          <w:tcPr>
            <w:tcW w:w="470" w:type="dxa"/>
          </w:tcPr>
          <w:p w14:paraId="53A91819" w14:textId="77777777" w:rsidR="0087601C" w:rsidRPr="006A1EC7" w:rsidRDefault="0087601C" w:rsidP="00D56051">
            <w:pPr>
              <w:rPr>
                <w:sz w:val="15"/>
                <w:szCs w:val="15"/>
              </w:rPr>
            </w:pPr>
            <w:r w:rsidRPr="006A1EC7">
              <w:rPr>
                <w:sz w:val="15"/>
                <w:szCs w:val="15"/>
              </w:rPr>
              <w:t>1H</w:t>
            </w:r>
          </w:p>
        </w:tc>
        <w:tc>
          <w:tcPr>
            <w:tcW w:w="1325" w:type="dxa"/>
          </w:tcPr>
          <w:p w14:paraId="190E5D36" w14:textId="77777777" w:rsidR="0087601C" w:rsidRPr="006A1EC7" w:rsidRDefault="0087601C" w:rsidP="00D56051">
            <w:pPr>
              <w:rPr>
                <w:sz w:val="15"/>
                <w:szCs w:val="15"/>
              </w:rPr>
            </w:pPr>
            <w:r w:rsidRPr="006A1EC7">
              <w:rPr>
                <w:sz w:val="15"/>
                <w:szCs w:val="15"/>
              </w:rPr>
              <w:t>Microcephaly</w:t>
            </w:r>
          </w:p>
          <w:p w14:paraId="571AAA32" w14:textId="77777777" w:rsidR="0087601C" w:rsidRPr="006A1EC7" w:rsidRDefault="0087601C" w:rsidP="00D56051">
            <w:pPr>
              <w:rPr>
                <w:sz w:val="15"/>
                <w:szCs w:val="15"/>
              </w:rPr>
            </w:pPr>
            <w:r w:rsidRPr="006A1EC7">
              <w:rPr>
                <w:sz w:val="15"/>
                <w:szCs w:val="15"/>
              </w:rPr>
              <w:t>(Head circumference under the second centile)</w:t>
            </w:r>
          </w:p>
        </w:tc>
        <w:tc>
          <w:tcPr>
            <w:tcW w:w="1845" w:type="dxa"/>
          </w:tcPr>
          <w:p w14:paraId="3500283E" w14:textId="77777777" w:rsidR="0087601C" w:rsidRPr="006A1EC7" w:rsidRDefault="0087601C" w:rsidP="00D56051">
            <w:pPr>
              <w:rPr>
                <w:sz w:val="15"/>
                <w:szCs w:val="15"/>
              </w:rPr>
            </w:pPr>
            <w:r w:rsidRPr="006A1EC7">
              <w:rPr>
                <w:sz w:val="15"/>
                <w:szCs w:val="15"/>
              </w:rPr>
              <w:t>1</w:t>
            </w:r>
          </w:p>
        </w:tc>
        <w:tc>
          <w:tcPr>
            <w:tcW w:w="1226" w:type="dxa"/>
          </w:tcPr>
          <w:p w14:paraId="62149176" w14:textId="77777777" w:rsidR="0087601C" w:rsidRPr="006A1EC7" w:rsidRDefault="0087601C" w:rsidP="00D56051">
            <w:pPr>
              <w:rPr>
                <w:sz w:val="15"/>
                <w:szCs w:val="15"/>
              </w:rPr>
            </w:pPr>
            <w:r w:rsidRPr="006A1EC7">
              <w:rPr>
                <w:sz w:val="15"/>
                <w:szCs w:val="15"/>
              </w:rPr>
              <w:t>0</w:t>
            </w:r>
          </w:p>
        </w:tc>
      </w:tr>
      <w:tr w:rsidR="0087601C" w:rsidRPr="006A1EC7" w14:paraId="175784A5" w14:textId="77777777" w:rsidTr="00D56051">
        <w:tc>
          <w:tcPr>
            <w:tcW w:w="470" w:type="dxa"/>
          </w:tcPr>
          <w:p w14:paraId="60F50C25" w14:textId="77777777" w:rsidR="0087601C" w:rsidRPr="006A1EC7" w:rsidRDefault="0087601C" w:rsidP="00D56051">
            <w:pPr>
              <w:rPr>
                <w:sz w:val="15"/>
                <w:szCs w:val="15"/>
              </w:rPr>
            </w:pPr>
            <w:r w:rsidRPr="006A1EC7">
              <w:rPr>
                <w:sz w:val="15"/>
                <w:szCs w:val="15"/>
              </w:rPr>
              <w:t>1I</w:t>
            </w:r>
          </w:p>
        </w:tc>
        <w:tc>
          <w:tcPr>
            <w:tcW w:w="1325" w:type="dxa"/>
          </w:tcPr>
          <w:p w14:paraId="33DFC8A0" w14:textId="77777777" w:rsidR="0087601C" w:rsidRPr="006A1EC7" w:rsidRDefault="0087601C" w:rsidP="00D56051">
            <w:pPr>
              <w:rPr>
                <w:sz w:val="15"/>
                <w:szCs w:val="15"/>
              </w:rPr>
            </w:pPr>
            <w:r w:rsidRPr="006A1EC7">
              <w:rPr>
                <w:sz w:val="15"/>
                <w:szCs w:val="15"/>
              </w:rPr>
              <w:t>High hairline</w:t>
            </w:r>
          </w:p>
          <w:p w14:paraId="2B206C28" w14:textId="77777777" w:rsidR="0087601C" w:rsidRPr="006A1EC7" w:rsidRDefault="0087601C" w:rsidP="00D56051">
            <w:pPr>
              <w:rPr>
                <w:sz w:val="15"/>
                <w:szCs w:val="15"/>
              </w:rPr>
            </w:pPr>
          </w:p>
        </w:tc>
        <w:tc>
          <w:tcPr>
            <w:tcW w:w="1845" w:type="dxa"/>
          </w:tcPr>
          <w:p w14:paraId="15E1FFB1" w14:textId="77777777" w:rsidR="0087601C" w:rsidRPr="006A1EC7" w:rsidRDefault="0087601C" w:rsidP="00D56051">
            <w:pPr>
              <w:rPr>
                <w:sz w:val="15"/>
                <w:szCs w:val="15"/>
              </w:rPr>
            </w:pPr>
            <w:r w:rsidRPr="006A1EC7">
              <w:rPr>
                <w:sz w:val="15"/>
                <w:szCs w:val="15"/>
              </w:rPr>
              <w:t>1</w:t>
            </w:r>
          </w:p>
        </w:tc>
        <w:tc>
          <w:tcPr>
            <w:tcW w:w="1226" w:type="dxa"/>
          </w:tcPr>
          <w:p w14:paraId="1A1AF5E1" w14:textId="77777777" w:rsidR="0087601C" w:rsidRPr="006A1EC7" w:rsidRDefault="0087601C" w:rsidP="00D56051">
            <w:pPr>
              <w:rPr>
                <w:sz w:val="15"/>
                <w:szCs w:val="15"/>
              </w:rPr>
            </w:pPr>
            <w:r w:rsidRPr="006A1EC7">
              <w:rPr>
                <w:sz w:val="15"/>
                <w:szCs w:val="15"/>
              </w:rPr>
              <w:t>0</w:t>
            </w:r>
          </w:p>
        </w:tc>
      </w:tr>
      <w:tr w:rsidR="0087601C" w:rsidRPr="006A1EC7" w14:paraId="458FDC41" w14:textId="77777777" w:rsidTr="00D56051">
        <w:tc>
          <w:tcPr>
            <w:tcW w:w="470" w:type="dxa"/>
          </w:tcPr>
          <w:p w14:paraId="1388617F" w14:textId="77777777" w:rsidR="0087601C" w:rsidRPr="006A1EC7" w:rsidRDefault="0087601C" w:rsidP="00D56051">
            <w:pPr>
              <w:rPr>
                <w:sz w:val="15"/>
                <w:szCs w:val="15"/>
              </w:rPr>
            </w:pPr>
            <w:r w:rsidRPr="006A1EC7">
              <w:rPr>
                <w:sz w:val="15"/>
                <w:szCs w:val="15"/>
              </w:rPr>
              <w:t>1K</w:t>
            </w:r>
          </w:p>
        </w:tc>
        <w:tc>
          <w:tcPr>
            <w:tcW w:w="1325" w:type="dxa"/>
          </w:tcPr>
          <w:p w14:paraId="7210F769" w14:textId="77777777" w:rsidR="0087601C" w:rsidRPr="006A1EC7" w:rsidRDefault="0087601C" w:rsidP="00D56051">
            <w:pPr>
              <w:rPr>
                <w:sz w:val="15"/>
                <w:szCs w:val="15"/>
              </w:rPr>
            </w:pPr>
            <w:r w:rsidRPr="006A1EC7">
              <w:rPr>
                <w:sz w:val="15"/>
                <w:szCs w:val="15"/>
              </w:rPr>
              <w:t>Cleft lip</w:t>
            </w:r>
          </w:p>
          <w:p w14:paraId="0FF072C8" w14:textId="77777777" w:rsidR="0087601C" w:rsidRPr="006A1EC7" w:rsidRDefault="0087601C" w:rsidP="00D56051">
            <w:pPr>
              <w:rPr>
                <w:sz w:val="15"/>
                <w:szCs w:val="15"/>
              </w:rPr>
            </w:pPr>
          </w:p>
          <w:p w14:paraId="16700B0C" w14:textId="77777777" w:rsidR="0087601C" w:rsidRPr="006A1EC7" w:rsidRDefault="0087601C" w:rsidP="00D56051">
            <w:pPr>
              <w:rPr>
                <w:sz w:val="15"/>
                <w:szCs w:val="15"/>
              </w:rPr>
            </w:pPr>
            <w:r w:rsidRPr="006A1EC7">
              <w:rPr>
                <w:sz w:val="15"/>
                <w:szCs w:val="15"/>
              </w:rPr>
              <w:t>* if present, height of cleft:</w:t>
            </w:r>
          </w:p>
        </w:tc>
        <w:tc>
          <w:tcPr>
            <w:tcW w:w="1845" w:type="dxa"/>
          </w:tcPr>
          <w:p w14:paraId="63647B29" w14:textId="77777777" w:rsidR="0087601C" w:rsidRPr="006A1EC7" w:rsidRDefault="0087601C" w:rsidP="00D56051">
            <w:pPr>
              <w:rPr>
                <w:sz w:val="15"/>
                <w:szCs w:val="15"/>
              </w:rPr>
            </w:pPr>
            <w:r w:rsidRPr="006A1EC7">
              <w:rPr>
                <w:sz w:val="15"/>
                <w:szCs w:val="15"/>
              </w:rPr>
              <w:t>1</w:t>
            </w:r>
          </w:p>
        </w:tc>
        <w:tc>
          <w:tcPr>
            <w:tcW w:w="1226" w:type="dxa"/>
          </w:tcPr>
          <w:p w14:paraId="20D5CFC1" w14:textId="77777777" w:rsidR="0087601C" w:rsidRPr="006A1EC7" w:rsidRDefault="0087601C" w:rsidP="00D56051">
            <w:pPr>
              <w:rPr>
                <w:sz w:val="15"/>
                <w:szCs w:val="15"/>
              </w:rPr>
            </w:pPr>
            <w:r w:rsidRPr="006A1EC7">
              <w:rPr>
                <w:sz w:val="15"/>
                <w:szCs w:val="15"/>
              </w:rPr>
              <w:t>0</w:t>
            </w:r>
          </w:p>
        </w:tc>
      </w:tr>
      <w:tr w:rsidR="0087601C" w:rsidRPr="006A1EC7" w14:paraId="4D7C694F" w14:textId="77777777" w:rsidTr="00D56051">
        <w:tc>
          <w:tcPr>
            <w:tcW w:w="470" w:type="dxa"/>
          </w:tcPr>
          <w:p w14:paraId="3B018BD8" w14:textId="77777777" w:rsidR="0087601C" w:rsidRPr="006A1EC7" w:rsidRDefault="0087601C" w:rsidP="00D56051">
            <w:pPr>
              <w:rPr>
                <w:sz w:val="15"/>
                <w:szCs w:val="15"/>
              </w:rPr>
            </w:pPr>
            <w:r w:rsidRPr="006A1EC7">
              <w:rPr>
                <w:sz w:val="15"/>
                <w:szCs w:val="15"/>
              </w:rPr>
              <w:t>1L</w:t>
            </w:r>
          </w:p>
        </w:tc>
        <w:tc>
          <w:tcPr>
            <w:tcW w:w="1325" w:type="dxa"/>
          </w:tcPr>
          <w:p w14:paraId="455EBC54" w14:textId="77777777" w:rsidR="0087601C" w:rsidRPr="006A1EC7" w:rsidRDefault="0087601C" w:rsidP="00D56051">
            <w:pPr>
              <w:rPr>
                <w:sz w:val="15"/>
                <w:szCs w:val="15"/>
              </w:rPr>
            </w:pPr>
            <w:r w:rsidRPr="006A1EC7">
              <w:rPr>
                <w:sz w:val="15"/>
                <w:szCs w:val="15"/>
              </w:rPr>
              <w:t>Cleft palate</w:t>
            </w:r>
          </w:p>
          <w:p w14:paraId="5E6BBAB4" w14:textId="77777777" w:rsidR="0087601C" w:rsidRPr="006A1EC7" w:rsidRDefault="0087601C" w:rsidP="00D56051">
            <w:pPr>
              <w:rPr>
                <w:sz w:val="15"/>
                <w:szCs w:val="15"/>
              </w:rPr>
            </w:pPr>
            <w:r w:rsidRPr="006A1EC7">
              <w:rPr>
                <w:sz w:val="15"/>
                <w:szCs w:val="15"/>
              </w:rPr>
              <w:t>* if present, height of cleft:</w:t>
            </w:r>
          </w:p>
          <w:p w14:paraId="65E68393" w14:textId="77777777" w:rsidR="0087601C" w:rsidRPr="006A1EC7" w:rsidRDefault="0087601C" w:rsidP="00D56051">
            <w:pPr>
              <w:rPr>
                <w:sz w:val="15"/>
                <w:szCs w:val="15"/>
              </w:rPr>
            </w:pPr>
          </w:p>
          <w:p w14:paraId="575285BA" w14:textId="77777777" w:rsidR="0087601C" w:rsidRPr="006A1EC7" w:rsidRDefault="0087601C" w:rsidP="00D56051">
            <w:pPr>
              <w:rPr>
                <w:sz w:val="15"/>
                <w:szCs w:val="15"/>
              </w:rPr>
            </w:pPr>
          </w:p>
        </w:tc>
        <w:tc>
          <w:tcPr>
            <w:tcW w:w="1845" w:type="dxa"/>
          </w:tcPr>
          <w:p w14:paraId="13E11CEB" w14:textId="77777777" w:rsidR="0087601C" w:rsidRPr="006A1EC7" w:rsidRDefault="0087601C" w:rsidP="00D56051">
            <w:pPr>
              <w:rPr>
                <w:sz w:val="15"/>
                <w:szCs w:val="15"/>
              </w:rPr>
            </w:pPr>
            <w:r w:rsidRPr="006A1EC7">
              <w:rPr>
                <w:sz w:val="15"/>
                <w:szCs w:val="15"/>
              </w:rPr>
              <w:t>1</w:t>
            </w:r>
          </w:p>
        </w:tc>
        <w:tc>
          <w:tcPr>
            <w:tcW w:w="1226" w:type="dxa"/>
          </w:tcPr>
          <w:p w14:paraId="3E1F2FE0" w14:textId="77777777" w:rsidR="0087601C" w:rsidRPr="006A1EC7" w:rsidRDefault="0087601C" w:rsidP="00D56051">
            <w:pPr>
              <w:rPr>
                <w:sz w:val="15"/>
                <w:szCs w:val="15"/>
              </w:rPr>
            </w:pPr>
            <w:r w:rsidRPr="006A1EC7">
              <w:rPr>
                <w:sz w:val="15"/>
                <w:szCs w:val="15"/>
              </w:rPr>
              <w:t>0</w:t>
            </w:r>
          </w:p>
        </w:tc>
      </w:tr>
    </w:tbl>
    <w:p w14:paraId="38E0D9BC" w14:textId="77777777" w:rsidR="0087601C" w:rsidRPr="006A1EC7" w:rsidRDefault="0087601C" w:rsidP="0087601C">
      <w:pPr>
        <w:rPr>
          <w:sz w:val="15"/>
          <w:szCs w:val="15"/>
        </w:rPr>
      </w:pPr>
    </w:p>
    <w:tbl>
      <w:tblPr>
        <w:tblStyle w:val="TableGrid"/>
        <w:tblW w:w="0" w:type="auto"/>
        <w:tblLook w:val="04A0" w:firstRow="1" w:lastRow="0" w:firstColumn="1" w:lastColumn="0" w:noHBand="0" w:noVBand="1"/>
      </w:tblPr>
      <w:tblGrid>
        <w:gridCol w:w="2830"/>
        <w:gridCol w:w="2036"/>
      </w:tblGrid>
      <w:tr w:rsidR="0087601C" w:rsidRPr="006A1EC7" w14:paraId="5F3C4706" w14:textId="77777777" w:rsidTr="00D56051">
        <w:tc>
          <w:tcPr>
            <w:tcW w:w="2830" w:type="dxa"/>
            <w:shd w:val="clear" w:color="auto" w:fill="E7E6E6" w:themeFill="background2"/>
          </w:tcPr>
          <w:p w14:paraId="250DD990" w14:textId="77777777" w:rsidR="0087601C" w:rsidRPr="006A1EC7" w:rsidRDefault="0087601C" w:rsidP="00D56051">
            <w:pPr>
              <w:rPr>
                <w:b/>
                <w:sz w:val="15"/>
                <w:szCs w:val="15"/>
              </w:rPr>
            </w:pPr>
            <w:r w:rsidRPr="006A1EC7">
              <w:rPr>
                <w:b/>
                <w:sz w:val="15"/>
                <w:szCs w:val="15"/>
              </w:rPr>
              <w:t>Total Section 1:</w:t>
            </w:r>
          </w:p>
          <w:p w14:paraId="1F60421B" w14:textId="77777777" w:rsidR="0087601C" w:rsidRPr="006A1EC7" w:rsidRDefault="0087601C" w:rsidP="00D56051">
            <w:pPr>
              <w:rPr>
                <w:b/>
                <w:sz w:val="15"/>
                <w:szCs w:val="15"/>
              </w:rPr>
            </w:pPr>
            <w:r w:rsidRPr="006A1EC7">
              <w:rPr>
                <w:b/>
                <w:sz w:val="15"/>
                <w:szCs w:val="15"/>
              </w:rPr>
              <w:t>(Maximum points 11)</w:t>
            </w:r>
          </w:p>
        </w:tc>
        <w:tc>
          <w:tcPr>
            <w:tcW w:w="2036" w:type="dxa"/>
            <w:shd w:val="clear" w:color="auto" w:fill="E7E6E6" w:themeFill="background2"/>
          </w:tcPr>
          <w:p w14:paraId="4AD4C2A6" w14:textId="77777777" w:rsidR="0087601C" w:rsidRPr="006A1EC7" w:rsidRDefault="0087601C" w:rsidP="00D56051">
            <w:pPr>
              <w:rPr>
                <w:b/>
                <w:sz w:val="15"/>
                <w:szCs w:val="15"/>
              </w:rPr>
            </w:pPr>
          </w:p>
        </w:tc>
      </w:tr>
    </w:tbl>
    <w:p w14:paraId="267DA086" w14:textId="77777777" w:rsidR="0087601C" w:rsidRPr="006A1EC7" w:rsidRDefault="0087601C" w:rsidP="0087601C">
      <w:pPr>
        <w:rPr>
          <w:sz w:val="15"/>
          <w:szCs w:val="15"/>
        </w:rPr>
      </w:pPr>
    </w:p>
    <w:p w14:paraId="3C840B5F" w14:textId="77777777" w:rsidR="0087601C" w:rsidRPr="006A1EC7" w:rsidRDefault="0087601C" w:rsidP="0087601C">
      <w:pPr>
        <w:rPr>
          <w:sz w:val="15"/>
          <w:szCs w:val="15"/>
        </w:rPr>
      </w:pPr>
    </w:p>
    <w:p w14:paraId="30B51B6C" w14:textId="77777777" w:rsidR="0087601C" w:rsidRPr="006A1EC7" w:rsidRDefault="0087601C" w:rsidP="0087601C">
      <w:pPr>
        <w:rPr>
          <w:b/>
          <w:sz w:val="15"/>
          <w:szCs w:val="15"/>
          <w:u w:val="single"/>
        </w:rPr>
      </w:pPr>
      <w:r w:rsidRPr="006A1EC7">
        <w:rPr>
          <w:b/>
          <w:sz w:val="15"/>
          <w:szCs w:val="15"/>
          <w:u w:val="single"/>
        </w:rPr>
        <w:t>Section 2: Epilepsy and seizures</w:t>
      </w:r>
    </w:p>
    <w:p w14:paraId="2EE9C4E5"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459"/>
        <w:gridCol w:w="2262"/>
        <w:gridCol w:w="1094"/>
        <w:gridCol w:w="1142"/>
      </w:tblGrid>
      <w:tr w:rsidR="0087601C" w:rsidRPr="006A1EC7" w14:paraId="3635FCBF" w14:textId="77777777" w:rsidTr="00D56051">
        <w:trPr>
          <w:trHeight w:val="369"/>
        </w:trPr>
        <w:tc>
          <w:tcPr>
            <w:tcW w:w="2721" w:type="dxa"/>
            <w:gridSpan w:val="2"/>
          </w:tcPr>
          <w:p w14:paraId="593343AE" w14:textId="77777777" w:rsidR="0087601C" w:rsidRPr="006A1EC7" w:rsidRDefault="0087601C" w:rsidP="00D56051">
            <w:pPr>
              <w:rPr>
                <w:sz w:val="15"/>
                <w:szCs w:val="15"/>
              </w:rPr>
            </w:pPr>
          </w:p>
        </w:tc>
        <w:tc>
          <w:tcPr>
            <w:tcW w:w="1094" w:type="dxa"/>
          </w:tcPr>
          <w:p w14:paraId="1EB856C9" w14:textId="77777777" w:rsidR="0087601C" w:rsidRPr="006A1EC7" w:rsidRDefault="0087601C" w:rsidP="00D56051">
            <w:pPr>
              <w:rPr>
                <w:sz w:val="15"/>
                <w:szCs w:val="15"/>
              </w:rPr>
            </w:pPr>
            <w:r w:rsidRPr="006A1EC7">
              <w:rPr>
                <w:sz w:val="15"/>
                <w:szCs w:val="15"/>
              </w:rPr>
              <w:t>Yes</w:t>
            </w:r>
          </w:p>
        </w:tc>
        <w:tc>
          <w:tcPr>
            <w:tcW w:w="1142" w:type="dxa"/>
          </w:tcPr>
          <w:p w14:paraId="20E61811" w14:textId="77777777" w:rsidR="0087601C" w:rsidRPr="006A1EC7" w:rsidRDefault="0087601C" w:rsidP="00D56051">
            <w:pPr>
              <w:rPr>
                <w:sz w:val="15"/>
                <w:szCs w:val="15"/>
              </w:rPr>
            </w:pPr>
            <w:r w:rsidRPr="006A1EC7">
              <w:rPr>
                <w:sz w:val="15"/>
                <w:szCs w:val="15"/>
              </w:rPr>
              <w:t>No</w:t>
            </w:r>
          </w:p>
        </w:tc>
      </w:tr>
      <w:tr w:rsidR="0087601C" w:rsidRPr="006A1EC7" w14:paraId="24DCA440" w14:textId="77777777" w:rsidTr="00D56051">
        <w:tc>
          <w:tcPr>
            <w:tcW w:w="459" w:type="dxa"/>
          </w:tcPr>
          <w:p w14:paraId="502E0A8C" w14:textId="77777777" w:rsidR="0087601C" w:rsidRPr="006A1EC7" w:rsidRDefault="0087601C" w:rsidP="00D56051">
            <w:pPr>
              <w:rPr>
                <w:sz w:val="15"/>
                <w:szCs w:val="15"/>
              </w:rPr>
            </w:pPr>
            <w:r w:rsidRPr="006A1EC7">
              <w:rPr>
                <w:sz w:val="15"/>
                <w:szCs w:val="15"/>
              </w:rPr>
              <w:t>2A</w:t>
            </w:r>
          </w:p>
        </w:tc>
        <w:tc>
          <w:tcPr>
            <w:tcW w:w="2262" w:type="dxa"/>
          </w:tcPr>
          <w:p w14:paraId="11576A90" w14:textId="77777777" w:rsidR="0087601C" w:rsidRPr="006A1EC7" w:rsidRDefault="0087601C" w:rsidP="00D56051">
            <w:pPr>
              <w:rPr>
                <w:sz w:val="15"/>
                <w:szCs w:val="15"/>
              </w:rPr>
            </w:pPr>
            <w:r w:rsidRPr="006A1EC7">
              <w:rPr>
                <w:sz w:val="15"/>
                <w:szCs w:val="15"/>
              </w:rPr>
              <w:t xml:space="preserve">Has the patient ever had a diagnosis of febrile seizure/s? </w:t>
            </w:r>
          </w:p>
        </w:tc>
        <w:tc>
          <w:tcPr>
            <w:tcW w:w="1094" w:type="dxa"/>
          </w:tcPr>
          <w:p w14:paraId="619FD7A6" w14:textId="77777777" w:rsidR="0087601C" w:rsidRPr="006A1EC7" w:rsidRDefault="0087601C" w:rsidP="00D56051">
            <w:pPr>
              <w:rPr>
                <w:sz w:val="15"/>
                <w:szCs w:val="15"/>
              </w:rPr>
            </w:pPr>
            <w:r w:rsidRPr="006A1EC7">
              <w:rPr>
                <w:sz w:val="15"/>
                <w:szCs w:val="15"/>
              </w:rPr>
              <w:t>1</w:t>
            </w:r>
          </w:p>
        </w:tc>
        <w:tc>
          <w:tcPr>
            <w:tcW w:w="1142" w:type="dxa"/>
          </w:tcPr>
          <w:p w14:paraId="4C20E421" w14:textId="77777777" w:rsidR="0087601C" w:rsidRPr="006A1EC7" w:rsidRDefault="0087601C" w:rsidP="00D56051">
            <w:pPr>
              <w:rPr>
                <w:sz w:val="15"/>
                <w:szCs w:val="15"/>
              </w:rPr>
            </w:pPr>
            <w:r w:rsidRPr="006A1EC7">
              <w:rPr>
                <w:sz w:val="15"/>
                <w:szCs w:val="15"/>
              </w:rPr>
              <w:t>0</w:t>
            </w:r>
          </w:p>
        </w:tc>
      </w:tr>
      <w:tr w:rsidR="0087601C" w:rsidRPr="006A1EC7" w14:paraId="28A7E79F" w14:textId="77777777" w:rsidTr="00D56051">
        <w:tc>
          <w:tcPr>
            <w:tcW w:w="459" w:type="dxa"/>
          </w:tcPr>
          <w:p w14:paraId="3F95F20F" w14:textId="77777777" w:rsidR="0087601C" w:rsidRPr="006A1EC7" w:rsidRDefault="0087601C" w:rsidP="00D56051">
            <w:pPr>
              <w:rPr>
                <w:sz w:val="15"/>
                <w:szCs w:val="15"/>
              </w:rPr>
            </w:pPr>
            <w:r w:rsidRPr="006A1EC7">
              <w:rPr>
                <w:sz w:val="15"/>
                <w:szCs w:val="15"/>
              </w:rPr>
              <w:t>2B</w:t>
            </w:r>
          </w:p>
        </w:tc>
        <w:tc>
          <w:tcPr>
            <w:tcW w:w="2262" w:type="dxa"/>
          </w:tcPr>
          <w:p w14:paraId="7673F5E0" w14:textId="77777777" w:rsidR="0087601C" w:rsidRPr="006A1EC7" w:rsidRDefault="0087601C" w:rsidP="00D56051">
            <w:pPr>
              <w:rPr>
                <w:sz w:val="15"/>
                <w:szCs w:val="15"/>
              </w:rPr>
            </w:pPr>
            <w:r w:rsidRPr="006A1EC7">
              <w:rPr>
                <w:sz w:val="15"/>
                <w:szCs w:val="15"/>
              </w:rPr>
              <w:t xml:space="preserve">Has the patient ever had a diagnosis of epilepsy, </w:t>
            </w:r>
            <w:r w:rsidRPr="006A1EC7">
              <w:rPr>
                <w:bCs/>
                <w:color w:val="FF0000"/>
                <w:sz w:val="15"/>
                <w:szCs w:val="15"/>
              </w:rPr>
              <w:t>i.e. ever had any seizures that were not febrile?</w:t>
            </w:r>
          </w:p>
        </w:tc>
        <w:tc>
          <w:tcPr>
            <w:tcW w:w="1094" w:type="dxa"/>
          </w:tcPr>
          <w:p w14:paraId="59AC76B4" w14:textId="77777777" w:rsidR="0087601C" w:rsidRPr="006A1EC7" w:rsidRDefault="0087601C" w:rsidP="00D56051">
            <w:pPr>
              <w:rPr>
                <w:sz w:val="15"/>
                <w:szCs w:val="15"/>
              </w:rPr>
            </w:pPr>
            <w:r w:rsidRPr="006A1EC7">
              <w:rPr>
                <w:sz w:val="15"/>
                <w:szCs w:val="15"/>
              </w:rPr>
              <w:t>1</w:t>
            </w:r>
          </w:p>
        </w:tc>
        <w:tc>
          <w:tcPr>
            <w:tcW w:w="1142" w:type="dxa"/>
          </w:tcPr>
          <w:p w14:paraId="4852B99F" w14:textId="77777777" w:rsidR="0087601C" w:rsidRPr="006A1EC7" w:rsidRDefault="0087601C" w:rsidP="00D56051">
            <w:pPr>
              <w:rPr>
                <w:sz w:val="15"/>
                <w:szCs w:val="15"/>
              </w:rPr>
            </w:pPr>
            <w:r w:rsidRPr="006A1EC7">
              <w:rPr>
                <w:sz w:val="15"/>
                <w:szCs w:val="15"/>
              </w:rPr>
              <w:t>0</w:t>
            </w:r>
          </w:p>
        </w:tc>
      </w:tr>
      <w:tr w:rsidR="0087601C" w:rsidRPr="006A1EC7" w14:paraId="5CA1584E" w14:textId="77777777" w:rsidTr="00D56051">
        <w:tc>
          <w:tcPr>
            <w:tcW w:w="459" w:type="dxa"/>
          </w:tcPr>
          <w:p w14:paraId="4C6D96F4" w14:textId="77777777" w:rsidR="0087601C" w:rsidRPr="006A1EC7" w:rsidRDefault="0087601C" w:rsidP="00D56051">
            <w:pPr>
              <w:rPr>
                <w:sz w:val="15"/>
                <w:szCs w:val="15"/>
              </w:rPr>
            </w:pPr>
            <w:r w:rsidRPr="006A1EC7">
              <w:rPr>
                <w:sz w:val="15"/>
                <w:szCs w:val="15"/>
              </w:rPr>
              <w:t>2C</w:t>
            </w:r>
          </w:p>
        </w:tc>
        <w:tc>
          <w:tcPr>
            <w:tcW w:w="2262" w:type="dxa"/>
          </w:tcPr>
          <w:p w14:paraId="2344E077" w14:textId="77777777" w:rsidR="0087601C" w:rsidRPr="006A1EC7" w:rsidRDefault="0087601C" w:rsidP="00D56051">
            <w:pPr>
              <w:rPr>
                <w:sz w:val="15"/>
                <w:szCs w:val="15"/>
              </w:rPr>
            </w:pPr>
            <w:r w:rsidRPr="006A1EC7">
              <w:rPr>
                <w:sz w:val="15"/>
                <w:szCs w:val="15"/>
              </w:rPr>
              <w:t xml:space="preserve">Does the patient </w:t>
            </w:r>
            <w:r w:rsidRPr="006A1EC7">
              <w:rPr>
                <w:bCs/>
                <w:color w:val="FF0000"/>
                <w:sz w:val="15"/>
                <w:szCs w:val="15"/>
              </w:rPr>
              <w:t xml:space="preserve">CURRENTLY </w:t>
            </w:r>
            <w:r w:rsidRPr="006A1EC7">
              <w:rPr>
                <w:sz w:val="15"/>
                <w:szCs w:val="15"/>
              </w:rPr>
              <w:t>have epileptic seizures (= unprovoked seizures)?</w:t>
            </w:r>
          </w:p>
        </w:tc>
        <w:tc>
          <w:tcPr>
            <w:tcW w:w="1094" w:type="dxa"/>
          </w:tcPr>
          <w:p w14:paraId="2463F632" w14:textId="77777777" w:rsidR="0087601C" w:rsidRPr="006A1EC7" w:rsidRDefault="0087601C" w:rsidP="00D56051">
            <w:pPr>
              <w:rPr>
                <w:sz w:val="15"/>
                <w:szCs w:val="15"/>
              </w:rPr>
            </w:pPr>
            <w:r w:rsidRPr="006A1EC7">
              <w:rPr>
                <w:sz w:val="15"/>
                <w:szCs w:val="15"/>
              </w:rPr>
              <w:t>1</w:t>
            </w:r>
          </w:p>
        </w:tc>
        <w:tc>
          <w:tcPr>
            <w:tcW w:w="1142" w:type="dxa"/>
          </w:tcPr>
          <w:p w14:paraId="29E8A226" w14:textId="77777777" w:rsidR="0087601C" w:rsidRPr="006A1EC7" w:rsidRDefault="0087601C" w:rsidP="00D56051">
            <w:pPr>
              <w:rPr>
                <w:sz w:val="15"/>
                <w:szCs w:val="15"/>
              </w:rPr>
            </w:pPr>
            <w:r w:rsidRPr="006A1EC7">
              <w:rPr>
                <w:sz w:val="15"/>
                <w:szCs w:val="15"/>
              </w:rPr>
              <w:t>0</w:t>
            </w:r>
          </w:p>
        </w:tc>
      </w:tr>
    </w:tbl>
    <w:p w14:paraId="34C593A2" w14:textId="77777777" w:rsidR="0087601C" w:rsidRPr="006A1EC7" w:rsidRDefault="0087601C" w:rsidP="0087601C">
      <w:pPr>
        <w:rPr>
          <w:b/>
          <w:sz w:val="15"/>
          <w:szCs w:val="15"/>
        </w:rPr>
      </w:pPr>
    </w:p>
    <w:p w14:paraId="1ABD8BE4" w14:textId="77777777" w:rsidR="0087601C" w:rsidRPr="006A1EC7" w:rsidRDefault="0087601C" w:rsidP="0087601C">
      <w:pPr>
        <w:ind w:left="720"/>
        <w:rPr>
          <w:b/>
          <w:sz w:val="15"/>
          <w:szCs w:val="15"/>
        </w:rPr>
      </w:pPr>
      <w:r w:rsidRPr="006A1EC7">
        <w:rPr>
          <w:b/>
          <w:sz w:val="15"/>
          <w:szCs w:val="15"/>
        </w:rPr>
        <w:t xml:space="preserve">If </w:t>
      </w:r>
      <w:r w:rsidRPr="006A1EC7">
        <w:rPr>
          <w:b/>
          <w:sz w:val="15"/>
          <w:szCs w:val="15"/>
          <w:u w:val="single"/>
        </w:rPr>
        <w:t>2A, 2B and 2C</w:t>
      </w:r>
      <w:r w:rsidRPr="006A1EC7">
        <w:rPr>
          <w:b/>
          <w:sz w:val="15"/>
          <w:szCs w:val="15"/>
        </w:rPr>
        <w:t xml:space="preserve"> were </w:t>
      </w:r>
      <w:r w:rsidRPr="006A1EC7">
        <w:rPr>
          <w:b/>
          <w:sz w:val="15"/>
          <w:szCs w:val="15"/>
          <w:u w:val="single"/>
        </w:rPr>
        <w:t>all</w:t>
      </w:r>
      <w:r w:rsidRPr="006A1EC7">
        <w:rPr>
          <w:b/>
          <w:sz w:val="15"/>
          <w:szCs w:val="15"/>
        </w:rPr>
        <w:t xml:space="preserve"> answered no (=no febrile seizures, no status epilepticus, never had seizure activity), please proceed to Section3. If not, continue in this section.</w:t>
      </w:r>
    </w:p>
    <w:p w14:paraId="74AC5BBA" w14:textId="77777777" w:rsidR="0087601C" w:rsidRPr="006A1EC7" w:rsidRDefault="0087601C" w:rsidP="0087601C">
      <w:pPr>
        <w:ind w:left="720"/>
        <w:rPr>
          <w:b/>
          <w:sz w:val="15"/>
          <w:szCs w:val="15"/>
        </w:rPr>
      </w:pPr>
    </w:p>
    <w:tbl>
      <w:tblPr>
        <w:tblStyle w:val="TableGrid"/>
        <w:tblW w:w="4957" w:type="dxa"/>
        <w:tblLook w:val="04A0" w:firstRow="1" w:lastRow="0" w:firstColumn="1" w:lastColumn="0" w:noHBand="0" w:noVBand="1"/>
      </w:tblPr>
      <w:tblGrid>
        <w:gridCol w:w="533"/>
        <w:gridCol w:w="3574"/>
        <w:gridCol w:w="850"/>
      </w:tblGrid>
      <w:tr w:rsidR="0087601C" w:rsidRPr="006A1EC7" w14:paraId="2BEA98FD" w14:textId="77777777" w:rsidTr="00D56051">
        <w:tc>
          <w:tcPr>
            <w:tcW w:w="533" w:type="dxa"/>
          </w:tcPr>
          <w:p w14:paraId="1347EDBA" w14:textId="77777777" w:rsidR="0087601C" w:rsidRPr="006A1EC7" w:rsidRDefault="0087601C" w:rsidP="00D56051">
            <w:pPr>
              <w:rPr>
                <w:sz w:val="15"/>
                <w:szCs w:val="15"/>
              </w:rPr>
            </w:pPr>
            <w:r w:rsidRPr="006A1EC7">
              <w:rPr>
                <w:sz w:val="15"/>
                <w:szCs w:val="15"/>
              </w:rPr>
              <w:t>2D.2</w:t>
            </w:r>
          </w:p>
          <w:p w14:paraId="4977B57D" w14:textId="77777777" w:rsidR="0087601C" w:rsidRPr="006A1EC7" w:rsidRDefault="0087601C" w:rsidP="00D56051">
            <w:pPr>
              <w:rPr>
                <w:sz w:val="15"/>
                <w:szCs w:val="15"/>
              </w:rPr>
            </w:pPr>
          </w:p>
        </w:tc>
        <w:tc>
          <w:tcPr>
            <w:tcW w:w="3574" w:type="dxa"/>
          </w:tcPr>
          <w:p w14:paraId="107A49BD" w14:textId="77777777" w:rsidR="0087601C" w:rsidRPr="006A1EC7" w:rsidRDefault="0087601C" w:rsidP="00D56051">
            <w:pPr>
              <w:rPr>
                <w:sz w:val="15"/>
                <w:szCs w:val="15"/>
              </w:rPr>
            </w:pPr>
            <w:r w:rsidRPr="006A1EC7">
              <w:rPr>
                <w:sz w:val="15"/>
                <w:szCs w:val="15"/>
              </w:rPr>
              <w:lastRenderedPageBreak/>
              <w:t>What is the patient’s current seizure frequency?</w:t>
            </w:r>
          </w:p>
          <w:p w14:paraId="3E6B9C85" w14:textId="77777777" w:rsidR="0087601C" w:rsidRPr="006A1EC7" w:rsidRDefault="0087601C" w:rsidP="00D56051">
            <w:pPr>
              <w:rPr>
                <w:sz w:val="15"/>
                <w:szCs w:val="15"/>
              </w:rPr>
            </w:pPr>
          </w:p>
        </w:tc>
        <w:tc>
          <w:tcPr>
            <w:tcW w:w="850" w:type="dxa"/>
          </w:tcPr>
          <w:p w14:paraId="41607162" w14:textId="77777777" w:rsidR="0087601C" w:rsidRPr="006A1EC7" w:rsidRDefault="0087601C" w:rsidP="00D56051">
            <w:pPr>
              <w:rPr>
                <w:sz w:val="15"/>
                <w:szCs w:val="15"/>
              </w:rPr>
            </w:pPr>
          </w:p>
        </w:tc>
      </w:tr>
      <w:tr w:rsidR="0087601C" w:rsidRPr="006A1EC7" w14:paraId="32901AB4" w14:textId="77777777" w:rsidTr="00D56051">
        <w:tc>
          <w:tcPr>
            <w:tcW w:w="4107" w:type="dxa"/>
            <w:gridSpan w:val="2"/>
          </w:tcPr>
          <w:p w14:paraId="61FBFA53" w14:textId="77777777" w:rsidR="0087601C" w:rsidRPr="006A1EC7" w:rsidRDefault="0087601C" w:rsidP="00D56051">
            <w:pPr>
              <w:pStyle w:val="Default"/>
              <w:rPr>
                <w:color w:val="000000" w:themeColor="text1"/>
                <w:sz w:val="15"/>
                <w:szCs w:val="15"/>
              </w:rPr>
            </w:pPr>
            <w:r w:rsidRPr="006A1EC7">
              <w:rPr>
                <w:color w:val="000000" w:themeColor="text1"/>
                <w:sz w:val="15"/>
                <w:szCs w:val="15"/>
              </w:rPr>
              <w:t xml:space="preserve">One seizure a day or more </w:t>
            </w:r>
          </w:p>
        </w:tc>
        <w:tc>
          <w:tcPr>
            <w:tcW w:w="850" w:type="dxa"/>
          </w:tcPr>
          <w:p w14:paraId="1ABF28E2" w14:textId="77777777" w:rsidR="0087601C" w:rsidRPr="006A1EC7" w:rsidRDefault="0087601C" w:rsidP="00D56051">
            <w:pPr>
              <w:rPr>
                <w:sz w:val="15"/>
                <w:szCs w:val="15"/>
              </w:rPr>
            </w:pPr>
            <w:r w:rsidRPr="006A1EC7">
              <w:rPr>
                <w:sz w:val="15"/>
                <w:szCs w:val="15"/>
              </w:rPr>
              <w:t>6</w:t>
            </w:r>
          </w:p>
        </w:tc>
      </w:tr>
      <w:tr w:rsidR="0087601C" w:rsidRPr="006A1EC7" w14:paraId="1D6E0E89" w14:textId="77777777" w:rsidTr="00D56051">
        <w:tc>
          <w:tcPr>
            <w:tcW w:w="4107" w:type="dxa"/>
            <w:gridSpan w:val="2"/>
          </w:tcPr>
          <w:p w14:paraId="5D5D327F" w14:textId="77777777" w:rsidR="0087601C" w:rsidRPr="006A1EC7" w:rsidRDefault="0087601C" w:rsidP="00D56051">
            <w:pPr>
              <w:rPr>
                <w:color w:val="000000" w:themeColor="text1"/>
                <w:sz w:val="15"/>
                <w:szCs w:val="15"/>
              </w:rPr>
            </w:pPr>
            <w:r w:rsidRPr="006A1EC7">
              <w:rPr>
                <w:color w:val="000000" w:themeColor="text1"/>
                <w:sz w:val="15"/>
                <w:szCs w:val="15"/>
              </w:rPr>
              <w:t xml:space="preserve">One seizure a week </w:t>
            </w:r>
          </w:p>
        </w:tc>
        <w:tc>
          <w:tcPr>
            <w:tcW w:w="850" w:type="dxa"/>
          </w:tcPr>
          <w:p w14:paraId="5B671A70" w14:textId="77777777" w:rsidR="0087601C" w:rsidRPr="006A1EC7" w:rsidRDefault="0087601C" w:rsidP="00D56051">
            <w:pPr>
              <w:rPr>
                <w:sz w:val="15"/>
                <w:szCs w:val="15"/>
              </w:rPr>
            </w:pPr>
            <w:r w:rsidRPr="006A1EC7">
              <w:rPr>
                <w:sz w:val="15"/>
                <w:szCs w:val="15"/>
              </w:rPr>
              <w:t>5</w:t>
            </w:r>
          </w:p>
        </w:tc>
      </w:tr>
      <w:tr w:rsidR="0087601C" w:rsidRPr="006A1EC7" w14:paraId="20C90A05" w14:textId="77777777" w:rsidTr="00D56051">
        <w:tc>
          <w:tcPr>
            <w:tcW w:w="4107" w:type="dxa"/>
            <w:gridSpan w:val="2"/>
          </w:tcPr>
          <w:p w14:paraId="22305B10" w14:textId="77777777" w:rsidR="0087601C" w:rsidRPr="006A1EC7" w:rsidRDefault="0087601C" w:rsidP="00D56051">
            <w:pPr>
              <w:rPr>
                <w:color w:val="000000" w:themeColor="text1"/>
                <w:sz w:val="15"/>
                <w:szCs w:val="15"/>
              </w:rPr>
            </w:pPr>
            <w:r w:rsidRPr="006A1EC7">
              <w:rPr>
                <w:color w:val="000000" w:themeColor="text1"/>
                <w:sz w:val="15"/>
                <w:szCs w:val="15"/>
              </w:rPr>
              <w:t>One to three seizure in the last four weeks</w:t>
            </w:r>
          </w:p>
        </w:tc>
        <w:tc>
          <w:tcPr>
            <w:tcW w:w="850" w:type="dxa"/>
          </w:tcPr>
          <w:p w14:paraId="34223E9E" w14:textId="77777777" w:rsidR="0087601C" w:rsidRPr="006A1EC7" w:rsidRDefault="0087601C" w:rsidP="00D56051">
            <w:pPr>
              <w:rPr>
                <w:sz w:val="15"/>
                <w:szCs w:val="15"/>
              </w:rPr>
            </w:pPr>
            <w:r w:rsidRPr="006A1EC7">
              <w:rPr>
                <w:sz w:val="15"/>
                <w:szCs w:val="15"/>
              </w:rPr>
              <w:t>4</w:t>
            </w:r>
          </w:p>
        </w:tc>
      </w:tr>
      <w:tr w:rsidR="0087601C" w:rsidRPr="006A1EC7" w14:paraId="43E7AD13" w14:textId="77777777" w:rsidTr="00D56051">
        <w:tc>
          <w:tcPr>
            <w:tcW w:w="4107" w:type="dxa"/>
            <w:gridSpan w:val="2"/>
          </w:tcPr>
          <w:p w14:paraId="5B921464" w14:textId="77777777" w:rsidR="0087601C" w:rsidRPr="006A1EC7" w:rsidRDefault="0087601C" w:rsidP="00D56051">
            <w:pPr>
              <w:pStyle w:val="Default"/>
              <w:rPr>
                <w:color w:val="000000" w:themeColor="text1"/>
                <w:sz w:val="15"/>
                <w:szCs w:val="15"/>
              </w:rPr>
            </w:pPr>
            <w:r w:rsidRPr="006A1EC7">
              <w:rPr>
                <w:color w:val="000000" w:themeColor="text1"/>
                <w:sz w:val="15"/>
                <w:szCs w:val="15"/>
              </w:rPr>
              <w:t xml:space="preserve">One seizure in the last 1-3 months </w:t>
            </w:r>
          </w:p>
        </w:tc>
        <w:tc>
          <w:tcPr>
            <w:tcW w:w="850" w:type="dxa"/>
          </w:tcPr>
          <w:p w14:paraId="0E253179" w14:textId="77777777" w:rsidR="0087601C" w:rsidRPr="006A1EC7" w:rsidRDefault="0087601C" w:rsidP="00D56051">
            <w:pPr>
              <w:rPr>
                <w:sz w:val="15"/>
                <w:szCs w:val="15"/>
              </w:rPr>
            </w:pPr>
            <w:r w:rsidRPr="006A1EC7">
              <w:rPr>
                <w:sz w:val="15"/>
                <w:szCs w:val="15"/>
              </w:rPr>
              <w:t>3</w:t>
            </w:r>
          </w:p>
        </w:tc>
      </w:tr>
      <w:tr w:rsidR="0087601C" w:rsidRPr="006A1EC7" w14:paraId="0A6B9C91" w14:textId="77777777" w:rsidTr="00D56051">
        <w:tc>
          <w:tcPr>
            <w:tcW w:w="4107" w:type="dxa"/>
            <w:gridSpan w:val="2"/>
          </w:tcPr>
          <w:p w14:paraId="29E77BA2" w14:textId="77777777" w:rsidR="0087601C" w:rsidRPr="006A1EC7" w:rsidRDefault="0087601C" w:rsidP="00D56051">
            <w:pPr>
              <w:pStyle w:val="Default"/>
              <w:rPr>
                <w:color w:val="000000" w:themeColor="text1"/>
                <w:sz w:val="15"/>
                <w:szCs w:val="15"/>
              </w:rPr>
            </w:pPr>
            <w:r w:rsidRPr="006A1EC7">
              <w:rPr>
                <w:color w:val="000000" w:themeColor="text1"/>
                <w:sz w:val="15"/>
                <w:szCs w:val="15"/>
              </w:rPr>
              <w:t xml:space="preserve">One seizure in the past 3-6 months </w:t>
            </w:r>
          </w:p>
        </w:tc>
        <w:tc>
          <w:tcPr>
            <w:tcW w:w="850" w:type="dxa"/>
          </w:tcPr>
          <w:p w14:paraId="307EC580" w14:textId="77777777" w:rsidR="0087601C" w:rsidRPr="006A1EC7" w:rsidRDefault="0087601C" w:rsidP="00D56051">
            <w:pPr>
              <w:rPr>
                <w:sz w:val="15"/>
                <w:szCs w:val="15"/>
              </w:rPr>
            </w:pPr>
            <w:r w:rsidRPr="006A1EC7">
              <w:rPr>
                <w:sz w:val="15"/>
                <w:szCs w:val="15"/>
              </w:rPr>
              <w:t>2</w:t>
            </w:r>
          </w:p>
        </w:tc>
      </w:tr>
      <w:tr w:rsidR="0087601C" w:rsidRPr="006A1EC7" w14:paraId="1E99AB05" w14:textId="77777777" w:rsidTr="00D56051">
        <w:tc>
          <w:tcPr>
            <w:tcW w:w="4107" w:type="dxa"/>
            <w:gridSpan w:val="2"/>
          </w:tcPr>
          <w:p w14:paraId="5D620AB7" w14:textId="77777777" w:rsidR="0087601C" w:rsidRPr="006A1EC7" w:rsidRDefault="0087601C" w:rsidP="00D56051">
            <w:pPr>
              <w:pStyle w:val="Default"/>
              <w:rPr>
                <w:color w:val="FF0000"/>
                <w:sz w:val="15"/>
                <w:szCs w:val="15"/>
              </w:rPr>
            </w:pPr>
            <w:r w:rsidRPr="006A1EC7">
              <w:rPr>
                <w:color w:val="FF0000"/>
                <w:sz w:val="15"/>
                <w:szCs w:val="15"/>
              </w:rPr>
              <w:t>One seizure in the past 6-12 months</w:t>
            </w:r>
          </w:p>
        </w:tc>
        <w:tc>
          <w:tcPr>
            <w:tcW w:w="850" w:type="dxa"/>
          </w:tcPr>
          <w:p w14:paraId="1541F67C" w14:textId="77777777" w:rsidR="0087601C" w:rsidRPr="006A1EC7" w:rsidRDefault="0087601C" w:rsidP="00D56051">
            <w:pPr>
              <w:rPr>
                <w:sz w:val="15"/>
                <w:szCs w:val="15"/>
              </w:rPr>
            </w:pPr>
            <w:r w:rsidRPr="006A1EC7">
              <w:rPr>
                <w:sz w:val="15"/>
                <w:szCs w:val="15"/>
              </w:rPr>
              <w:t>1</w:t>
            </w:r>
          </w:p>
        </w:tc>
      </w:tr>
      <w:tr w:rsidR="0087601C" w:rsidRPr="006A1EC7" w14:paraId="479AF862" w14:textId="77777777" w:rsidTr="00D56051">
        <w:tc>
          <w:tcPr>
            <w:tcW w:w="4107" w:type="dxa"/>
            <w:gridSpan w:val="2"/>
          </w:tcPr>
          <w:p w14:paraId="0842AC98" w14:textId="77777777" w:rsidR="0087601C" w:rsidRPr="006A1EC7" w:rsidRDefault="0087601C" w:rsidP="00D56051">
            <w:pPr>
              <w:pStyle w:val="Default"/>
              <w:rPr>
                <w:color w:val="000000" w:themeColor="text1"/>
                <w:sz w:val="15"/>
                <w:szCs w:val="15"/>
              </w:rPr>
            </w:pPr>
            <w:r w:rsidRPr="006A1EC7">
              <w:rPr>
                <w:color w:val="000000" w:themeColor="text1"/>
                <w:sz w:val="15"/>
                <w:szCs w:val="15"/>
              </w:rPr>
              <w:t xml:space="preserve">None </w:t>
            </w:r>
          </w:p>
        </w:tc>
        <w:tc>
          <w:tcPr>
            <w:tcW w:w="850" w:type="dxa"/>
          </w:tcPr>
          <w:p w14:paraId="00E40B87" w14:textId="77777777" w:rsidR="0087601C" w:rsidRPr="006A1EC7" w:rsidRDefault="0087601C" w:rsidP="00D56051">
            <w:pPr>
              <w:rPr>
                <w:sz w:val="15"/>
                <w:szCs w:val="15"/>
              </w:rPr>
            </w:pPr>
            <w:r w:rsidRPr="006A1EC7">
              <w:rPr>
                <w:sz w:val="15"/>
                <w:szCs w:val="15"/>
              </w:rPr>
              <w:t>0</w:t>
            </w:r>
          </w:p>
        </w:tc>
      </w:tr>
    </w:tbl>
    <w:p w14:paraId="1F37A63D" w14:textId="77777777" w:rsidR="0087601C" w:rsidRPr="006A1EC7" w:rsidRDefault="0087601C" w:rsidP="0087601C">
      <w:pPr>
        <w:rPr>
          <w:sz w:val="15"/>
          <w:szCs w:val="15"/>
        </w:rPr>
      </w:pPr>
    </w:p>
    <w:p w14:paraId="34F140E9" w14:textId="77777777" w:rsidR="0087601C" w:rsidRPr="006A1EC7" w:rsidRDefault="0087601C" w:rsidP="0087601C">
      <w:pPr>
        <w:rPr>
          <w:sz w:val="15"/>
          <w:szCs w:val="15"/>
        </w:rPr>
      </w:pPr>
    </w:p>
    <w:p w14:paraId="265400D0" w14:textId="77777777" w:rsidR="0087601C" w:rsidRPr="006A1EC7" w:rsidRDefault="0087601C" w:rsidP="0087601C">
      <w:pPr>
        <w:rPr>
          <w:sz w:val="15"/>
          <w:szCs w:val="15"/>
        </w:rPr>
      </w:pPr>
    </w:p>
    <w:p w14:paraId="7FB0010D" w14:textId="77777777" w:rsidR="0087601C" w:rsidRPr="006A1EC7" w:rsidRDefault="0087601C" w:rsidP="0087601C">
      <w:pPr>
        <w:rPr>
          <w:sz w:val="15"/>
          <w:szCs w:val="15"/>
        </w:rPr>
      </w:pPr>
    </w:p>
    <w:p w14:paraId="1E255998" w14:textId="77777777" w:rsidR="0087601C" w:rsidRPr="006A1EC7" w:rsidRDefault="0087601C" w:rsidP="0087601C">
      <w:pPr>
        <w:rPr>
          <w:sz w:val="15"/>
          <w:szCs w:val="15"/>
        </w:rPr>
      </w:pPr>
    </w:p>
    <w:p w14:paraId="19EAD817" w14:textId="77777777" w:rsidR="0087601C" w:rsidRPr="006A1EC7" w:rsidRDefault="0087601C" w:rsidP="0087601C">
      <w:pPr>
        <w:rPr>
          <w:sz w:val="15"/>
          <w:szCs w:val="15"/>
        </w:rPr>
      </w:pPr>
    </w:p>
    <w:p w14:paraId="6170A2DA" w14:textId="77777777" w:rsidR="0087601C" w:rsidRPr="006A1EC7" w:rsidRDefault="0087601C" w:rsidP="0087601C">
      <w:pPr>
        <w:rPr>
          <w:sz w:val="15"/>
          <w:szCs w:val="15"/>
        </w:rPr>
      </w:pPr>
    </w:p>
    <w:p w14:paraId="39245D63" w14:textId="77777777" w:rsidR="0087601C" w:rsidRPr="006A1EC7" w:rsidRDefault="0087601C" w:rsidP="0087601C">
      <w:pPr>
        <w:rPr>
          <w:sz w:val="15"/>
          <w:szCs w:val="15"/>
        </w:rPr>
      </w:pPr>
    </w:p>
    <w:p w14:paraId="431F70C9"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14"/>
        <w:gridCol w:w="3488"/>
        <w:gridCol w:w="855"/>
      </w:tblGrid>
      <w:tr w:rsidR="0087601C" w:rsidRPr="006A1EC7" w14:paraId="173F6189" w14:textId="77777777" w:rsidTr="00D56051">
        <w:tc>
          <w:tcPr>
            <w:tcW w:w="614" w:type="dxa"/>
          </w:tcPr>
          <w:p w14:paraId="2836B659" w14:textId="77777777" w:rsidR="0087601C" w:rsidRPr="006A1EC7" w:rsidRDefault="0087601C" w:rsidP="00D56051">
            <w:pPr>
              <w:rPr>
                <w:i/>
                <w:sz w:val="15"/>
                <w:szCs w:val="15"/>
              </w:rPr>
            </w:pPr>
            <w:r w:rsidRPr="006A1EC7">
              <w:rPr>
                <w:b/>
                <w:sz w:val="15"/>
                <w:szCs w:val="15"/>
                <w:u w:val="single"/>
              </w:rPr>
              <w:t>2D.2</w:t>
            </w:r>
          </w:p>
          <w:p w14:paraId="55FE3A50" w14:textId="77777777" w:rsidR="0087601C" w:rsidRPr="006A1EC7" w:rsidRDefault="0087601C" w:rsidP="00D56051">
            <w:pPr>
              <w:rPr>
                <w:sz w:val="15"/>
                <w:szCs w:val="15"/>
              </w:rPr>
            </w:pPr>
          </w:p>
        </w:tc>
        <w:tc>
          <w:tcPr>
            <w:tcW w:w="3488" w:type="dxa"/>
          </w:tcPr>
          <w:p w14:paraId="151001EE" w14:textId="77777777" w:rsidR="0087601C" w:rsidRPr="006A1EC7" w:rsidRDefault="0087601C" w:rsidP="00D56051">
            <w:pPr>
              <w:rPr>
                <w:sz w:val="15"/>
                <w:szCs w:val="15"/>
              </w:rPr>
            </w:pPr>
            <w:r w:rsidRPr="006A1EC7">
              <w:rPr>
                <w:sz w:val="15"/>
                <w:szCs w:val="15"/>
              </w:rPr>
              <w:t>What types of seizures does the patient experience?</w:t>
            </w:r>
          </w:p>
          <w:p w14:paraId="2226CC66" w14:textId="77777777" w:rsidR="0087601C" w:rsidRPr="006A1EC7" w:rsidRDefault="0087601C" w:rsidP="00D56051">
            <w:pPr>
              <w:rPr>
                <w:sz w:val="15"/>
                <w:szCs w:val="15"/>
              </w:rPr>
            </w:pPr>
          </w:p>
          <w:p w14:paraId="457C1CBA" w14:textId="77777777" w:rsidR="0087601C" w:rsidRPr="006A1EC7" w:rsidRDefault="0087601C" w:rsidP="00D56051">
            <w:pPr>
              <w:rPr>
                <w:sz w:val="15"/>
                <w:szCs w:val="15"/>
              </w:rPr>
            </w:pPr>
            <w:r w:rsidRPr="006A1EC7">
              <w:rPr>
                <w:i/>
                <w:sz w:val="15"/>
                <w:szCs w:val="15"/>
              </w:rPr>
              <w:t>If more than one type of seizure, add up</w:t>
            </w:r>
          </w:p>
        </w:tc>
        <w:tc>
          <w:tcPr>
            <w:tcW w:w="855" w:type="dxa"/>
          </w:tcPr>
          <w:p w14:paraId="4566E3D6" w14:textId="77777777" w:rsidR="0087601C" w:rsidRPr="006A1EC7" w:rsidRDefault="0087601C" w:rsidP="00D56051">
            <w:pPr>
              <w:rPr>
                <w:i/>
                <w:sz w:val="15"/>
                <w:szCs w:val="15"/>
              </w:rPr>
            </w:pPr>
          </w:p>
        </w:tc>
      </w:tr>
      <w:tr w:rsidR="0087601C" w:rsidRPr="006A1EC7" w14:paraId="5E112DBF" w14:textId="77777777" w:rsidTr="00D56051">
        <w:tc>
          <w:tcPr>
            <w:tcW w:w="4102" w:type="dxa"/>
            <w:gridSpan w:val="2"/>
          </w:tcPr>
          <w:p w14:paraId="758D819C" w14:textId="77777777" w:rsidR="0087601C" w:rsidRPr="006A1EC7" w:rsidRDefault="0087601C" w:rsidP="00D56051">
            <w:pPr>
              <w:rPr>
                <w:sz w:val="15"/>
                <w:szCs w:val="15"/>
              </w:rPr>
            </w:pPr>
            <w:r w:rsidRPr="006A1EC7">
              <w:rPr>
                <w:sz w:val="15"/>
                <w:szCs w:val="15"/>
              </w:rPr>
              <w:t>Tonic-clonic</w:t>
            </w:r>
          </w:p>
        </w:tc>
        <w:tc>
          <w:tcPr>
            <w:tcW w:w="855" w:type="dxa"/>
          </w:tcPr>
          <w:p w14:paraId="50B22A64" w14:textId="77777777" w:rsidR="0087601C" w:rsidRPr="006A1EC7" w:rsidRDefault="0087601C" w:rsidP="00D56051">
            <w:pPr>
              <w:rPr>
                <w:sz w:val="15"/>
                <w:szCs w:val="15"/>
              </w:rPr>
            </w:pPr>
            <w:r w:rsidRPr="006A1EC7">
              <w:rPr>
                <w:sz w:val="15"/>
                <w:szCs w:val="15"/>
              </w:rPr>
              <w:t>3</w:t>
            </w:r>
          </w:p>
        </w:tc>
      </w:tr>
      <w:tr w:rsidR="0087601C" w:rsidRPr="006A1EC7" w14:paraId="2CAF86D7" w14:textId="77777777" w:rsidTr="00D56051">
        <w:tc>
          <w:tcPr>
            <w:tcW w:w="4102" w:type="dxa"/>
            <w:gridSpan w:val="2"/>
          </w:tcPr>
          <w:p w14:paraId="5414D60C" w14:textId="77777777" w:rsidR="0087601C" w:rsidRPr="006A1EC7" w:rsidRDefault="0087601C" w:rsidP="00D56051">
            <w:pPr>
              <w:rPr>
                <w:sz w:val="15"/>
                <w:szCs w:val="15"/>
              </w:rPr>
            </w:pPr>
            <w:r w:rsidRPr="006A1EC7">
              <w:rPr>
                <w:sz w:val="15"/>
                <w:szCs w:val="15"/>
              </w:rPr>
              <w:t>Focal</w:t>
            </w:r>
          </w:p>
        </w:tc>
        <w:tc>
          <w:tcPr>
            <w:tcW w:w="855" w:type="dxa"/>
          </w:tcPr>
          <w:p w14:paraId="3E646626" w14:textId="77777777" w:rsidR="0087601C" w:rsidRPr="006A1EC7" w:rsidRDefault="0087601C" w:rsidP="00D56051">
            <w:pPr>
              <w:rPr>
                <w:sz w:val="15"/>
                <w:szCs w:val="15"/>
              </w:rPr>
            </w:pPr>
            <w:r w:rsidRPr="006A1EC7">
              <w:rPr>
                <w:sz w:val="15"/>
                <w:szCs w:val="15"/>
              </w:rPr>
              <w:t>2</w:t>
            </w:r>
          </w:p>
        </w:tc>
      </w:tr>
      <w:tr w:rsidR="0087601C" w:rsidRPr="006A1EC7" w14:paraId="08D080EF" w14:textId="77777777" w:rsidTr="00D56051">
        <w:tc>
          <w:tcPr>
            <w:tcW w:w="4102" w:type="dxa"/>
            <w:gridSpan w:val="2"/>
          </w:tcPr>
          <w:p w14:paraId="64D4A112" w14:textId="77777777" w:rsidR="0087601C" w:rsidRPr="006A1EC7" w:rsidRDefault="0087601C" w:rsidP="00D56051">
            <w:pPr>
              <w:rPr>
                <w:sz w:val="15"/>
                <w:szCs w:val="15"/>
              </w:rPr>
            </w:pPr>
            <w:r w:rsidRPr="006A1EC7">
              <w:rPr>
                <w:sz w:val="15"/>
                <w:szCs w:val="15"/>
              </w:rPr>
              <w:t>Absence</w:t>
            </w:r>
          </w:p>
        </w:tc>
        <w:tc>
          <w:tcPr>
            <w:tcW w:w="855" w:type="dxa"/>
          </w:tcPr>
          <w:p w14:paraId="4C342DDE" w14:textId="77777777" w:rsidR="0087601C" w:rsidRPr="006A1EC7" w:rsidRDefault="0087601C" w:rsidP="00D56051">
            <w:pPr>
              <w:rPr>
                <w:sz w:val="15"/>
                <w:szCs w:val="15"/>
              </w:rPr>
            </w:pPr>
            <w:r w:rsidRPr="006A1EC7">
              <w:rPr>
                <w:sz w:val="15"/>
                <w:szCs w:val="15"/>
              </w:rPr>
              <w:t>1</w:t>
            </w:r>
          </w:p>
        </w:tc>
      </w:tr>
      <w:tr w:rsidR="0087601C" w:rsidRPr="006A1EC7" w14:paraId="572FB297" w14:textId="77777777" w:rsidTr="00D56051">
        <w:tc>
          <w:tcPr>
            <w:tcW w:w="4102" w:type="dxa"/>
            <w:gridSpan w:val="2"/>
          </w:tcPr>
          <w:p w14:paraId="41EEF7CA" w14:textId="77777777" w:rsidR="0087601C" w:rsidRPr="006A1EC7" w:rsidRDefault="0087601C" w:rsidP="00D56051">
            <w:pPr>
              <w:rPr>
                <w:sz w:val="15"/>
                <w:szCs w:val="15"/>
              </w:rPr>
            </w:pPr>
            <w:r w:rsidRPr="006A1EC7">
              <w:rPr>
                <w:sz w:val="15"/>
                <w:szCs w:val="15"/>
              </w:rPr>
              <w:t>Myoclonic</w:t>
            </w:r>
          </w:p>
        </w:tc>
        <w:tc>
          <w:tcPr>
            <w:tcW w:w="855" w:type="dxa"/>
          </w:tcPr>
          <w:p w14:paraId="07A4C53F" w14:textId="77777777" w:rsidR="0087601C" w:rsidRPr="006A1EC7" w:rsidRDefault="0087601C" w:rsidP="00D56051">
            <w:pPr>
              <w:rPr>
                <w:sz w:val="15"/>
                <w:szCs w:val="15"/>
              </w:rPr>
            </w:pPr>
            <w:r w:rsidRPr="006A1EC7">
              <w:rPr>
                <w:sz w:val="15"/>
                <w:szCs w:val="15"/>
              </w:rPr>
              <w:t>1</w:t>
            </w:r>
          </w:p>
        </w:tc>
      </w:tr>
      <w:tr w:rsidR="0087601C" w:rsidRPr="006A1EC7" w14:paraId="2D6BD6EA" w14:textId="77777777" w:rsidTr="00D56051">
        <w:tc>
          <w:tcPr>
            <w:tcW w:w="4102" w:type="dxa"/>
            <w:gridSpan w:val="2"/>
          </w:tcPr>
          <w:p w14:paraId="5BE3273E" w14:textId="77777777" w:rsidR="0087601C" w:rsidRPr="006A1EC7" w:rsidRDefault="0087601C" w:rsidP="00D56051">
            <w:pPr>
              <w:rPr>
                <w:sz w:val="15"/>
                <w:szCs w:val="15"/>
              </w:rPr>
            </w:pPr>
            <w:r w:rsidRPr="006A1EC7">
              <w:rPr>
                <w:sz w:val="15"/>
                <w:szCs w:val="15"/>
              </w:rPr>
              <w:t>No seizures</w:t>
            </w:r>
          </w:p>
        </w:tc>
        <w:tc>
          <w:tcPr>
            <w:tcW w:w="855" w:type="dxa"/>
          </w:tcPr>
          <w:p w14:paraId="34654DF1" w14:textId="77777777" w:rsidR="0087601C" w:rsidRPr="006A1EC7" w:rsidRDefault="0087601C" w:rsidP="00D56051">
            <w:pPr>
              <w:rPr>
                <w:sz w:val="15"/>
                <w:szCs w:val="15"/>
              </w:rPr>
            </w:pPr>
            <w:r w:rsidRPr="006A1EC7">
              <w:rPr>
                <w:sz w:val="15"/>
                <w:szCs w:val="15"/>
              </w:rPr>
              <w:t>0</w:t>
            </w:r>
          </w:p>
        </w:tc>
      </w:tr>
    </w:tbl>
    <w:p w14:paraId="1D20A9F9"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867"/>
        <w:gridCol w:w="3264"/>
        <w:gridCol w:w="826"/>
      </w:tblGrid>
      <w:tr w:rsidR="0087601C" w:rsidRPr="006A1EC7" w14:paraId="6B166D70" w14:textId="77777777" w:rsidTr="00D56051">
        <w:tc>
          <w:tcPr>
            <w:tcW w:w="867" w:type="dxa"/>
          </w:tcPr>
          <w:p w14:paraId="09257C91" w14:textId="77777777" w:rsidR="0087601C" w:rsidRPr="006A1EC7" w:rsidRDefault="0087601C" w:rsidP="00D56051">
            <w:pPr>
              <w:rPr>
                <w:color w:val="000000" w:themeColor="text1"/>
                <w:sz w:val="15"/>
                <w:szCs w:val="15"/>
                <w:u w:val="single"/>
              </w:rPr>
            </w:pPr>
            <w:r w:rsidRPr="006A1EC7">
              <w:rPr>
                <w:b/>
                <w:sz w:val="15"/>
                <w:szCs w:val="15"/>
                <w:u w:val="single"/>
              </w:rPr>
              <w:t>2D.3</w:t>
            </w:r>
            <w:r w:rsidRPr="006A1EC7">
              <w:rPr>
                <w:color w:val="000000" w:themeColor="text1"/>
                <w:sz w:val="15"/>
                <w:szCs w:val="15"/>
                <w:u w:val="single"/>
              </w:rPr>
              <w:t xml:space="preserve"> </w:t>
            </w:r>
          </w:p>
          <w:p w14:paraId="7E28889C" w14:textId="77777777" w:rsidR="0087601C" w:rsidRPr="006A1EC7" w:rsidRDefault="0087601C" w:rsidP="00D56051">
            <w:pPr>
              <w:rPr>
                <w:sz w:val="15"/>
                <w:szCs w:val="15"/>
              </w:rPr>
            </w:pPr>
          </w:p>
        </w:tc>
        <w:tc>
          <w:tcPr>
            <w:tcW w:w="3264" w:type="dxa"/>
          </w:tcPr>
          <w:p w14:paraId="740DC2E1" w14:textId="77777777" w:rsidR="0087601C" w:rsidRPr="006A1EC7" w:rsidRDefault="0087601C" w:rsidP="00D56051">
            <w:pPr>
              <w:rPr>
                <w:sz w:val="15"/>
                <w:szCs w:val="15"/>
              </w:rPr>
            </w:pPr>
            <w:r w:rsidRPr="006A1EC7">
              <w:rPr>
                <w:color w:val="000000" w:themeColor="text1"/>
                <w:sz w:val="15"/>
                <w:szCs w:val="15"/>
              </w:rPr>
              <w:t>What was the maximum level of after-care needed for seizures over the past 6 months?</w:t>
            </w:r>
          </w:p>
        </w:tc>
        <w:tc>
          <w:tcPr>
            <w:tcW w:w="826" w:type="dxa"/>
          </w:tcPr>
          <w:p w14:paraId="4EFA1578" w14:textId="77777777" w:rsidR="0087601C" w:rsidRPr="006A1EC7" w:rsidRDefault="0087601C" w:rsidP="00D56051">
            <w:pPr>
              <w:rPr>
                <w:i/>
                <w:sz w:val="15"/>
                <w:szCs w:val="15"/>
              </w:rPr>
            </w:pPr>
          </w:p>
        </w:tc>
      </w:tr>
      <w:tr w:rsidR="0087601C" w:rsidRPr="006A1EC7" w14:paraId="3FE16B2E" w14:textId="77777777" w:rsidTr="00D56051">
        <w:tc>
          <w:tcPr>
            <w:tcW w:w="4131" w:type="dxa"/>
            <w:gridSpan w:val="2"/>
          </w:tcPr>
          <w:p w14:paraId="56716184" w14:textId="77777777" w:rsidR="0087601C" w:rsidRPr="006A1EC7" w:rsidRDefault="0087601C" w:rsidP="00D56051">
            <w:pPr>
              <w:rPr>
                <w:sz w:val="15"/>
                <w:szCs w:val="15"/>
              </w:rPr>
            </w:pPr>
            <w:r w:rsidRPr="006A1EC7">
              <w:rPr>
                <w:color w:val="000000" w:themeColor="text1"/>
                <w:sz w:val="15"/>
                <w:szCs w:val="15"/>
              </w:rPr>
              <w:t>Hospital admission</w:t>
            </w:r>
          </w:p>
        </w:tc>
        <w:tc>
          <w:tcPr>
            <w:tcW w:w="826" w:type="dxa"/>
          </w:tcPr>
          <w:p w14:paraId="56B6DA4C" w14:textId="77777777" w:rsidR="0087601C" w:rsidRPr="006A1EC7" w:rsidRDefault="0087601C" w:rsidP="00D56051">
            <w:pPr>
              <w:rPr>
                <w:sz w:val="15"/>
                <w:szCs w:val="15"/>
              </w:rPr>
            </w:pPr>
            <w:r w:rsidRPr="006A1EC7">
              <w:rPr>
                <w:sz w:val="15"/>
                <w:szCs w:val="15"/>
              </w:rPr>
              <w:t>3</w:t>
            </w:r>
          </w:p>
        </w:tc>
      </w:tr>
      <w:tr w:rsidR="0087601C" w:rsidRPr="006A1EC7" w14:paraId="3871654A" w14:textId="77777777" w:rsidTr="00D56051">
        <w:tc>
          <w:tcPr>
            <w:tcW w:w="4131" w:type="dxa"/>
            <w:gridSpan w:val="2"/>
          </w:tcPr>
          <w:p w14:paraId="45D987D2" w14:textId="77777777" w:rsidR="0087601C" w:rsidRPr="006A1EC7" w:rsidRDefault="0087601C" w:rsidP="00D56051">
            <w:pPr>
              <w:rPr>
                <w:sz w:val="15"/>
                <w:szCs w:val="15"/>
              </w:rPr>
            </w:pPr>
            <w:r w:rsidRPr="006A1EC7">
              <w:rPr>
                <w:color w:val="000000" w:themeColor="text1"/>
                <w:sz w:val="15"/>
                <w:szCs w:val="15"/>
              </w:rPr>
              <w:t>Ambulance called</w:t>
            </w:r>
          </w:p>
        </w:tc>
        <w:tc>
          <w:tcPr>
            <w:tcW w:w="826" w:type="dxa"/>
          </w:tcPr>
          <w:p w14:paraId="453C6166" w14:textId="77777777" w:rsidR="0087601C" w:rsidRPr="006A1EC7" w:rsidRDefault="0087601C" w:rsidP="00D56051">
            <w:pPr>
              <w:rPr>
                <w:sz w:val="15"/>
                <w:szCs w:val="15"/>
              </w:rPr>
            </w:pPr>
            <w:r w:rsidRPr="006A1EC7">
              <w:rPr>
                <w:sz w:val="15"/>
                <w:szCs w:val="15"/>
              </w:rPr>
              <w:t>2</w:t>
            </w:r>
          </w:p>
        </w:tc>
      </w:tr>
      <w:tr w:rsidR="0087601C" w:rsidRPr="006A1EC7" w14:paraId="368491BF" w14:textId="77777777" w:rsidTr="00D56051">
        <w:tc>
          <w:tcPr>
            <w:tcW w:w="4131" w:type="dxa"/>
            <w:gridSpan w:val="2"/>
          </w:tcPr>
          <w:p w14:paraId="71479C8D" w14:textId="77777777" w:rsidR="0087601C" w:rsidRPr="006A1EC7" w:rsidRDefault="0087601C" w:rsidP="00D56051">
            <w:pPr>
              <w:rPr>
                <w:sz w:val="15"/>
                <w:szCs w:val="15"/>
              </w:rPr>
            </w:pPr>
            <w:r w:rsidRPr="006A1EC7">
              <w:rPr>
                <w:color w:val="000000" w:themeColor="text1"/>
                <w:sz w:val="15"/>
                <w:szCs w:val="15"/>
              </w:rPr>
              <w:t>Parent/caregiver administration of treatment at home</w:t>
            </w:r>
          </w:p>
        </w:tc>
        <w:tc>
          <w:tcPr>
            <w:tcW w:w="826" w:type="dxa"/>
          </w:tcPr>
          <w:p w14:paraId="634DB0CD" w14:textId="77777777" w:rsidR="0087601C" w:rsidRPr="006A1EC7" w:rsidRDefault="0087601C" w:rsidP="00D56051">
            <w:pPr>
              <w:rPr>
                <w:sz w:val="15"/>
                <w:szCs w:val="15"/>
              </w:rPr>
            </w:pPr>
            <w:r w:rsidRPr="006A1EC7">
              <w:rPr>
                <w:sz w:val="15"/>
                <w:szCs w:val="15"/>
              </w:rPr>
              <w:t>1</w:t>
            </w:r>
          </w:p>
        </w:tc>
      </w:tr>
      <w:tr w:rsidR="0087601C" w:rsidRPr="006A1EC7" w14:paraId="3BEAD0EF" w14:textId="77777777" w:rsidTr="00D56051">
        <w:tc>
          <w:tcPr>
            <w:tcW w:w="4131" w:type="dxa"/>
            <w:gridSpan w:val="2"/>
          </w:tcPr>
          <w:p w14:paraId="16D82E19" w14:textId="77777777" w:rsidR="0087601C" w:rsidRPr="006A1EC7" w:rsidRDefault="0087601C" w:rsidP="00D56051">
            <w:pPr>
              <w:rPr>
                <w:sz w:val="15"/>
                <w:szCs w:val="15"/>
              </w:rPr>
            </w:pPr>
            <w:r w:rsidRPr="006A1EC7">
              <w:rPr>
                <w:color w:val="000000" w:themeColor="text1"/>
                <w:sz w:val="15"/>
                <w:szCs w:val="15"/>
              </w:rPr>
              <w:t>None/no after-care required</w:t>
            </w:r>
          </w:p>
        </w:tc>
        <w:tc>
          <w:tcPr>
            <w:tcW w:w="826" w:type="dxa"/>
          </w:tcPr>
          <w:p w14:paraId="7E6D2329" w14:textId="77777777" w:rsidR="0087601C" w:rsidRPr="006A1EC7" w:rsidRDefault="0087601C" w:rsidP="00D56051">
            <w:pPr>
              <w:rPr>
                <w:sz w:val="15"/>
                <w:szCs w:val="15"/>
              </w:rPr>
            </w:pPr>
            <w:r w:rsidRPr="006A1EC7">
              <w:rPr>
                <w:sz w:val="15"/>
                <w:szCs w:val="15"/>
              </w:rPr>
              <w:t>0</w:t>
            </w:r>
          </w:p>
        </w:tc>
      </w:tr>
    </w:tbl>
    <w:p w14:paraId="3A5E302D"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3"/>
        <w:gridCol w:w="2896"/>
        <w:gridCol w:w="567"/>
        <w:gridCol w:w="851"/>
      </w:tblGrid>
      <w:tr w:rsidR="0087601C" w:rsidRPr="006A1EC7" w14:paraId="2B26D1D4" w14:textId="77777777" w:rsidTr="00D56051">
        <w:trPr>
          <w:trHeight w:val="369"/>
        </w:trPr>
        <w:tc>
          <w:tcPr>
            <w:tcW w:w="3539" w:type="dxa"/>
            <w:gridSpan w:val="2"/>
          </w:tcPr>
          <w:p w14:paraId="4A6AEF89" w14:textId="77777777" w:rsidR="0087601C" w:rsidRPr="006A1EC7" w:rsidRDefault="0087601C" w:rsidP="00D56051">
            <w:pPr>
              <w:rPr>
                <w:sz w:val="15"/>
                <w:szCs w:val="15"/>
              </w:rPr>
            </w:pPr>
          </w:p>
        </w:tc>
        <w:tc>
          <w:tcPr>
            <w:tcW w:w="567" w:type="dxa"/>
          </w:tcPr>
          <w:p w14:paraId="037435A9" w14:textId="77777777" w:rsidR="0087601C" w:rsidRPr="006A1EC7" w:rsidRDefault="0087601C" w:rsidP="00D56051">
            <w:pPr>
              <w:rPr>
                <w:sz w:val="15"/>
                <w:szCs w:val="15"/>
              </w:rPr>
            </w:pPr>
            <w:r w:rsidRPr="006A1EC7">
              <w:rPr>
                <w:sz w:val="15"/>
                <w:szCs w:val="15"/>
              </w:rPr>
              <w:t>Yes</w:t>
            </w:r>
          </w:p>
        </w:tc>
        <w:tc>
          <w:tcPr>
            <w:tcW w:w="851" w:type="dxa"/>
          </w:tcPr>
          <w:p w14:paraId="1C3B5489" w14:textId="77777777" w:rsidR="0087601C" w:rsidRPr="006A1EC7" w:rsidRDefault="0087601C" w:rsidP="00D56051">
            <w:pPr>
              <w:rPr>
                <w:sz w:val="15"/>
                <w:szCs w:val="15"/>
              </w:rPr>
            </w:pPr>
            <w:r w:rsidRPr="006A1EC7">
              <w:rPr>
                <w:sz w:val="15"/>
                <w:szCs w:val="15"/>
              </w:rPr>
              <w:t>No</w:t>
            </w:r>
          </w:p>
        </w:tc>
      </w:tr>
      <w:tr w:rsidR="0087601C" w:rsidRPr="006A1EC7" w14:paraId="63901720" w14:textId="77777777" w:rsidTr="00D56051">
        <w:tc>
          <w:tcPr>
            <w:tcW w:w="643" w:type="dxa"/>
          </w:tcPr>
          <w:p w14:paraId="0B4C857D" w14:textId="77777777" w:rsidR="0087601C" w:rsidRPr="006A1EC7" w:rsidRDefault="0087601C" w:rsidP="00D56051">
            <w:pPr>
              <w:rPr>
                <w:sz w:val="15"/>
                <w:szCs w:val="15"/>
              </w:rPr>
            </w:pPr>
            <w:r w:rsidRPr="006A1EC7">
              <w:rPr>
                <w:sz w:val="15"/>
                <w:szCs w:val="15"/>
              </w:rPr>
              <w:t>2E.1</w:t>
            </w:r>
          </w:p>
        </w:tc>
        <w:tc>
          <w:tcPr>
            <w:tcW w:w="2896" w:type="dxa"/>
          </w:tcPr>
          <w:p w14:paraId="11A9CD3A" w14:textId="77777777" w:rsidR="0087601C" w:rsidRPr="006A1EC7" w:rsidRDefault="0087601C" w:rsidP="00D56051">
            <w:pPr>
              <w:rPr>
                <w:sz w:val="15"/>
                <w:szCs w:val="15"/>
              </w:rPr>
            </w:pPr>
            <w:r w:rsidRPr="006A1EC7">
              <w:rPr>
                <w:sz w:val="15"/>
                <w:szCs w:val="15"/>
              </w:rPr>
              <w:t>Is the patient currently taking Medication for epilepsy?</w:t>
            </w:r>
          </w:p>
        </w:tc>
        <w:tc>
          <w:tcPr>
            <w:tcW w:w="567" w:type="dxa"/>
          </w:tcPr>
          <w:p w14:paraId="3A32E21E" w14:textId="77777777" w:rsidR="0087601C" w:rsidRPr="006A1EC7" w:rsidRDefault="0087601C" w:rsidP="00D56051">
            <w:pPr>
              <w:rPr>
                <w:sz w:val="15"/>
                <w:szCs w:val="15"/>
              </w:rPr>
            </w:pPr>
            <w:r w:rsidRPr="006A1EC7">
              <w:rPr>
                <w:sz w:val="15"/>
                <w:szCs w:val="15"/>
              </w:rPr>
              <w:t>1</w:t>
            </w:r>
          </w:p>
        </w:tc>
        <w:tc>
          <w:tcPr>
            <w:tcW w:w="851" w:type="dxa"/>
          </w:tcPr>
          <w:p w14:paraId="4D196DA4" w14:textId="77777777" w:rsidR="0087601C" w:rsidRPr="006A1EC7" w:rsidRDefault="0087601C" w:rsidP="00D56051">
            <w:pPr>
              <w:rPr>
                <w:sz w:val="15"/>
                <w:szCs w:val="15"/>
              </w:rPr>
            </w:pPr>
            <w:r w:rsidRPr="006A1EC7">
              <w:rPr>
                <w:sz w:val="15"/>
                <w:szCs w:val="15"/>
              </w:rPr>
              <w:t>0</w:t>
            </w:r>
          </w:p>
        </w:tc>
      </w:tr>
      <w:tr w:rsidR="0087601C" w:rsidRPr="006A1EC7" w14:paraId="3ACABAE1" w14:textId="77777777" w:rsidTr="00D56051">
        <w:tc>
          <w:tcPr>
            <w:tcW w:w="643" w:type="dxa"/>
          </w:tcPr>
          <w:p w14:paraId="29D40BB4" w14:textId="77777777" w:rsidR="0087601C" w:rsidRPr="006A1EC7" w:rsidRDefault="0087601C" w:rsidP="00D56051">
            <w:pPr>
              <w:rPr>
                <w:sz w:val="15"/>
                <w:szCs w:val="15"/>
              </w:rPr>
            </w:pPr>
            <w:r w:rsidRPr="006A1EC7">
              <w:rPr>
                <w:sz w:val="15"/>
                <w:szCs w:val="15"/>
              </w:rPr>
              <w:t>2E.2</w:t>
            </w:r>
          </w:p>
        </w:tc>
        <w:tc>
          <w:tcPr>
            <w:tcW w:w="2896" w:type="dxa"/>
          </w:tcPr>
          <w:p w14:paraId="46D1D381" w14:textId="77777777" w:rsidR="0087601C" w:rsidRPr="006A1EC7" w:rsidRDefault="0087601C" w:rsidP="00D56051">
            <w:pPr>
              <w:rPr>
                <w:sz w:val="15"/>
                <w:szCs w:val="15"/>
              </w:rPr>
            </w:pPr>
            <w:r w:rsidRPr="006A1EC7">
              <w:rPr>
                <w:sz w:val="15"/>
                <w:szCs w:val="15"/>
              </w:rPr>
              <w:t>Drug Details:</w:t>
            </w:r>
          </w:p>
          <w:p w14:paraId="7AABD0E7" w14:textId="77777777" w:rsidR="0087601C" w:rsidRPr="006A1EC7" w:rsidRDefault="0087601C" w:rsidP="00D56051">
            <w:pPr>
              <w:rPr>
                <w:sz w:val="15"/>
                <w:szCs w:val="15"/>
              </w:rPr>
            </w:pPr>
          </w:p>
          <w:p w14:paraId="2C7A3457" w14:textId="77777777" w:rsidR="0087601C" w:rsidRPr="006A1EC7" w:rsidRDefault="0087601C" w:rsidP="00D56051">
            <w:pPr>
              <w:rPr>
                <w:sz w:val="15"/>
                <w:szCs w:val="15"/>
              </w:rPr>
            </w:pPr>
          </w:p>
        </w:tc>
        <w:tc>
          <w:tcPr>
            <w:tcW w:w="1418" w:type="dxa"/>
            <w:gridSpan w:val="2"/>
          </w:tcPr>
          <w:p w14:paraId="6736C259" w14:textId="77777777" w:rsidR="0087601C" w:rsidRPr="006A1EC7" w:rsidRDefault="0087601C" w:rsidP="00D56051">
            <w:pPr>
              <w:rPr>
                <w:sz w:val="15"/>
                <w:szCs w:val="15"/>
              </w:rPr>
            </w:pPr>
          </w:p>
        </w:tc>
      </w:tr>
      <w:tr w:rsidR="0087601C" w:rsidRPr="006A1EC7" w14:paraId="780BC72B" w14:textId="77777777" w:rsidTr="00D56051">
        <w:tc>
          <w:tcPr>
            <w:tcW w:w="643" w:type="dxa"/>
          </w:tcPr>
          <w:p w14:paraId="0E702ED2" w14:textId="77777777" w:rsidR="0087601C" w:rsidRPr="006A1EC7" w:rsidRDefault="0087601C" w:rsidP="00D56051">
            <w:pPr>
              <w:rPr>
                <w:sz w:val="15"/>
                <w:szCs w:val="15"/>
              </w:rPr>
            </w:pPr>
            <w:r w:rsidRPr="006A1EC7">
              <w:rPr>
                <w:sz w:val="15"/>
                <w:szCs w:val="15"/>
              </w:rPr>
              <w:t>2E.2</w:t>
            </w:r>
          </w:p>
        </w:tc>
        <w:tc>
          <w:tcPr>
            <w:tcW w:w="2896" w:type="dxa"/>
          </w:tcPr>
          <w:p w14:paraId="00C0E30B" w14:textId="77777777" w:rsidR="0087601C" w:rsidRPr="006A1EC7" w:rsidRDefault="0087601C" w:rsidP="00D56051">
            <w:pPr>
              <w:rPr>
                <w:sz w:val="15"/>
                <w:szCs w:val="15"/>
              </w:rPr>
            </w:pPr>
            <w:r w:rsidRPr="006A1EC7">
              <w:rPr>
                <w:color w:val="000000" w:themeColor="text1"/>
                <w:sz w:val="15"/>
                <w:szCs w:val="15"/>
              </w:rPr>
              <w:t>Have there been any changes in epilepsy medication over the past 6 months (i.e. adjustments, drug change)?</w:t>
            </w:r>
          </w:p>
        </w:tc>
        <w:tc>
          <w:tcPr>
            <w:tcW w:w="567" w:type="dxa"/>
          </w:tcPr>
          <w:p w14:paraId="02D2CBAE" w14:textId="77777777" w:rsidR="0087601C" w:rsidRPr="006A1EC7" w:rsidRDefault="0087601C" w:rsidP="00D56051">
            <w:pPr>
              <w:rPr>
                <w:sz w:val="15"/>
                <w:szCs w:val="15"/>
              </w:rPr>
            </w:pPr>
            <w:r w:rsidRPr="006A1EC7">
              <w:rPr>
                <w:sz w:val="15"/>
                <w:szCs w:val="15"/>
              </w:rPr>
              <w:t>Yes</w:t>
            </w:r>
          </w:p>
          <w:p w14:paraId="6BDC8BE8" w14:textId="77777777" w:rsidR="0087601C" w:rsidRPr="006A1EC7" w:rsidRDefault="0087601C" w:rsidP="00D56051">
            <w:pPr>
              <w:rPr>
                <w:sz w:val="15"/>
                <w:szCs w:val="15"/>
              </w:rPr>
            </w:pPr>
          </w:p>
          <w:p w14:paraId="06F02361" w14:textId="77777777" w:rsidR="0087601C" w:rsidRPr="006A1EC7" w:rsidRDefault="0087601C" w:rsidP="00D56051">
            <w:pPr>
              <w:rPr>
                <w:sz w:val="15"/>
                <w:szCs w:val="15"/>
              </w:rPr>
            </w:pPr>
            <w:r w:rsidRPr="006A1EC7">
              <w:rPr>
                <w:sz w:val="15"/>
                <w:szCs w:val="15"/>
              </w:rPr>
              <w:t>1</w:t>
            </w:r>
          </w:p>
        </w:tc>
        <w:tc>
          <w:tcPr>
            <w:tcW w:w="851" w:type="dxa"/>
          </w:tcPr>
          <w:p w14:paraId="4589EE2B" w14:textId="77777777" w:rsidR="0087601C" w:rsidRPr="006A1EC7" w:rsidRDefault="0087601C" w:rsidP="00D56051">
            <w:pPr>
              <w:rPr>
                <w:sz w:val="15"/>
                <w:szCs w:val="15"/>
              </w:rPr>
            </w:pPr>
            <w:r w:rsidRPr="006A1EC7">
              <w:rPr>
                <w:sz w:val="15"/>
                <w:szCs w:val="15"/>
              </w:rPr>
              <w:t>No</w:t>
            </w:r>
          </w:p>
          <w:p w14:paraId="5782CEB9" w14:textId="77777777" w:rsidR="0087601C" w:rsidRPr="006A1EC7" w:rsidRDefault="0087601C" w:rsidP="00D56051">
            <w:pPr>
              <w:rPr>
                <w:sz w:val="15"/>
                <w:szCs w:val="15"/>
              </w:rPr>
            </w:pPr>
          </w:p>
          <w:p w14:paraId="504166A6" w14:textId="77777777" w:rsidR="0087601C" w:rsidRPr="006A1EC7" w:rsidRDefault="0087601C" w:rsidP="00D56051">
            <w:pPr>
              <w:rPr>
                <w:sz w:val="15"/>
                <w:szCs w:val="15"/>
              </w:rPr>
            </w:pPr>
            <w:r w:rsidRPr="006A1EC7">
              <w:rPr>
                <w:sz w:val="15"/>
                <w:szCs w:val="15"/>
              </w:rPr>
              <w:t>0</w:t>
            </w:r>
          </w:p>
        </w:tc>
      </w:tr>
      <w:tr w:rsidR="0087601C" w:rsidRPr="006A1EC7" w14:paraId="59C6BF91" w14:textId="77777777" w:rsidTr="00D56051">
        <w:tc>
          <w:tcPr>
            <w:tcW w:w="643" w:type="dxa"/>
          </w:tcPr>
          <w:p w14:paraId="76E4A6CB" w14:textId="77777777" w:rsidR="0087601C" w:rsidRPr="006A1EC7" w:rsidRDefault="0087601C" w:rsidP="00D56051">
            <w:pPr>
              <w:rPr>
                <w:sz w:val="15"/>
                <w:szCs w:val="15"/>
              </w:rPr>
            </w:pPr>
            <w:r w:rsidRPr="006A1EC7">
              <w:rPr>
                <w:sz w:val="15"/>
                <w:szCs w:val="15"/>
              </w:rPr>
              <w:t>2E.3</w:t>
            </w:r>
          </w:p>
        </w:tc>
        <w:tc>
          <w:tcPr>
            <w:tcW w:w="2896" w:type="dxa"/>
          </w:tcPr>
          <w:p w14:paraId="3CDFA26C" w14:textId="77777777" w:rsidR="0087601C" w:rsidRPr="006A1EC7" w:rsidRDefault="0087601C" w:rsidP="00D56051">
            <w:pPr>
              <w:rPr>
                <w:color w:val="000000" w:themeColor="text1"/>
                <w:sz w:val="15"/>
                <w:szCs w:val="15"/>
              </w:rPr>
            </w:pPr>
            <w:r w:rsidRPr="006A1EC7">
              <w:rPr>
                <w:color w:val="000000" w:themeColor="text1"/>
                <w:sz w:val="15"/>
                <w:szCs w:val="15"/>
              </w:rPr>
              <w:t>Does the patient experience any side effects from epilepsy medication that may affect functioning or indicate a medication review is needed?</w:t>
            </w:r>
          </w:p>
          <w:p w14:paraId="6A66D9A1" w14:textId="77777777" w:rsidR="0087601C" w:rsidRPr="006A1EC7" w:rsidRDefault="0087601C" w:rsidP="00D56051">
            <w:pPr>
              <w:rPr>
                <w:color w:val="000000" w:themeColor="text1"/>
                <w:sz w:val="15"/>
                <w:szCs w:val="15"/>
              </w:rPr>
            </w:pPr>
          </w:p>
        </w:tc>
        <w:tc>
          <w:tcPr>
            <w:tcW w:w="1418" w:type="dxa"/>
            <w:gridSpan w:val="2"/>
          </w:tcPr>
          <w:p w14:paraId="06B7F1E0" w14:textId="77777777" w:rsidR="0087601C" w:rsidRPr="006A1EC7" w:rsidRDefault="0087601C" w:rsidP="00D56051">
            <w:pPr>
              <w:rPr>
                <w:sz w:val="15"/>
                <w:szCs w:val="15"/>
              </w:rPr>
            </w:pPr>
          </w:p>
        </w:tc>
      </w:tr>
    </w:tbl>
    <w:p w14:paraId="38B0096C"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2827"/>
        <w:gridCol w:w="2130"/>
      </w:tblGrid>
      <w:tr w:rsidR="0087601C" w:rsidRPr="006A1EC7" w14:paraId="773C8EBA" w14:textId="77777777" w:rsidTr="00D56051">
        <w:tc>
          <w:tcPr>
            <w:tcW w:w="2827" w:type="dxa"/>
            <w:shd w:val="clear" w:color="auto" w:fill="E7E6E6" w:themeFill="background2"/>
          </w:tcPr>
          <w:p w14:paraId="546655B7" w14:textId="77777777" w:rsidR="0087601C" w:rsidRPr="006A1EC7" w:rsidRDefault="0087601C" w:rsidP="00D56051">
            <w:pPr>
              <w:rPr>
                <w:b/>
                <w:sz w:val="15"/>
                <w:szCs w:val="15"/>
              </w:rPr>
            </w:pPr>
            <w:r w:rsidRPr="006A1EC7">
              <w:rPr>
                <w:b/>
                <w:sz w:val="15"/>
                <w:szCs w:val="15"/>
              </w:rPr>
              <w:t>Total Section 2:</w:t>
            </w:r>
          </w:p>
          <w:p w14:paraId="74F33361" w14:textId="77777777" w:rsidR="0087601C" w:rsidRPr="006A1EC7" w:rsidRDefault="0087601C" w:rsidP="00D56051">
            <w:pPr>
              <w:rPr>
                <w:b/>
                <w:sz w:val="15"/>
                <w:szCs w:val="15"/>
              </w:rPr>
            </w:pPr>
            <w:r w:rsidRPr="006A1EC7">
              <w:rPr>
                <w:b/>
                <w:sz w:val="15"/>
                <w:szCs w:val="15"/>
              </w:rPr>
              <w:t>(Maximum points 21)</w:t>
            </w:r>
          </w:p>
        </w:tc>
        <w:tc>
          <w:tcPr>
            <w:tcW w:w="2130" w:type="dxa"/>
            <w:shd w:val="clear" w:color="auto" w:fill="E7E6E6" w:themeFill="background2"/>
          </w:tcPr>
          <w:p w14:paraId="310711A4" w14:textId="77777777" w:rsidR="0087601C" w:rsidRPr="006A1EC7" w:rsidRDefault="0087601C" w:rsidP="00D56051">
            <w:pPr>
              <w:rPr>
                <w:b/>
                <w:sz w:val="15"/>
                <w:szCs w:val="15"/>
              </w:rPr>
            </w:pPr>
          </w:p>
        </w:tc>
      </w:tr>
    </w:tbl>
    <w:p w14:paraId="693C60B7" w14:textId="77777777" w:rsidR="0087601C" w:rsidRPr="006A1EC7" w:rsidRDefault="0087601C" w:rsidP="0087601C">
      <w:pPr>
        <w:rPr>
          <w:sz w:val="15"/>
          <w:szCs w:val="15"/>
        </w:rPr>
      </w:pPr>
    </w:p>
    <w:p w14:paraId="4C574317" w14:textId="77777777" w:rsidR="0087601C" w:rsidRPr="006A1EC7" w:rsidRDefault="0087601C" w:rsidP="0087601C">
      <w:pPr>
        <w:rPr>
          <w:sz w:val="15"/>
          <w:szCs w:val="15"/>
        </w:rPr>
      </w:pPr>
    </w:p>
    <w:p w14:paraId="4AB5B7CD" w14:textId="77777777" w:rsidR="0087601C" w:rsidRPr="006A1EC7" w:rsidRDefault="0087601C" w:rsidP="0087601C">
      <w:pPr>
        <w:jc w:val="center"/>
        <w:rPr>
          <w:b/>
          <w:bCs/>
          <w:color w:val="FF0000"/>
          <w:sz w:val="15"/>
          <w:szCs w:val="15"/>
          <w:u w:val="single"/>
        </w:rPr>
      </w:pPr>
      <w:r w:rsidRPr="006A1EC7">
        <w:rPr>
          <w:b/>
          <w:bCs/>
          <w:color w:val="FF0000"/>
          <w:sz w:val="15"/>
          <w:szCs w:val="15"/>
        </w:rPr>
        <w:t xml:space="preserve">SECTION </w:t>
      </w:r>
      <w:r w:rsidRPr="006A1EC7">
        <w:rPr>
          <w:b/>
          <w:bCs/>
          <w:color w:val="FF0000"/>
          <w:sz w:val="15"/>
          <w:szCs w:val="15"/>
          <w:u w:val="single"/>
        </w:rPr>
        <w:t>3: GASTROINTESTINAL AND GENITOURINARY</w:t>
      </w:r>
    </w:p>
    <w:p w14:paraId="38590346" w14:textId="77777777" w:rsidR="0087601C" w:rsidRPr="006A1EC7" w:rsidRDefault="0087601C" w:rsidP="0087601C">
      <w:pPr>
        <w:rPr>
          <w:sz w:val="15"/>
          <w:szCs w:val="15"/>
        </w:rPr>
      </w:pPr>
    </w:p>
    <w:p w14:paraId="49DF5910" w14:textId="77777777" w:rsidR="0087601C" w:rsidRPr="006A1EC7" w:rsidRDefault="0087601C" w:rsidP="0087601C">
      <w:pPr>
        <w:ind w:firstLine="720"/>
        <w:rPr>
          <w:b/>
          <w:sz w:val="15"/>
          <w:szCs w:val="15"/>
        </w:rPr>
      </w:pPr>
      <w:r w:rsidRPr="006A1EC7">
        <w:rPr>
          <w:b/>
          <w:sz w:val="15"/>
          <w:szCs w:val="15"/>
        </w:rPr>
        <w:t>Part 1: Feeding</w:t>
      </w:r>
    </w:p>
    <w:p w14:paraId="1868A357"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23DD3D7D" w14:textId="77777777" w:rsidTr="00D56051">
        <w:tc>
          <w:tcPr>
            <w:tcW w:w="640" w:type="dxa"/>
          </w:tcPr>
          <w:p w14:paraId="014F02FF" w14:textId="77777777" w:rsidR="0087601C" w:rsidRPr="006A1EC7" w:rsidRDefault="0087601C" w:rsidP="00D56051">
            <w:pPr>
              <w:rPr>
                <w:sz w:val="15"/>
                <w:szCs w:val="15"/>
              </w:rPr>
            </w:pPr>
            <w:r w:rsidRPr="006A1EC7">
              <w:rPr>
                <w:sz w:val="15"/>
                <w:szCs w:val="15"/>
              </w:rPr>
              <w:t xml:space="preserve">3A.1 </w:t>
            </w:r>
          </w:p>
        </w:tc>
        <w:tc>
          <w:tcPr>
            <w:tcW w:w="2757" w:type="dxa"/>
          </w:tcPr>
          <w:p w14:paraId="4F32A190" w14:textId="77777777" w:rsidR="0087601C" w:rsidRPr="006A1EC7" w:rsidRDefault="0087601C" w:rsidP="00D56051">
            <w:pPr>
              <w:rPr>
                <w:sz w:val="15"/>
                <w:szCs w:val="15"/>
              </w:rPr>
            </w:pPr>
            <w:r w:rsidRPr="006A1EC7">
              <w:rPr>
                <w:sz w:val="15"/>
                <w:szCs w:val="15"/>
              </w:rPr>
              <w:t>Eating, is the patient  …?</w:t>
            </w:r>
          </w:p>
          <w:p w14:paraId="646D029A" w14:textId="77777777" w:rsidR="0087601C" w:rsidRPr="006A1EC7" w:rsidRDefault="0087601C" w:rsidP="00D56051">
            <w:pPr>
              <w:rPr>
                <w:sz w:val="15"/>
                <w:szCs w:val="15"/>
                <w:u w:val="single"/>
              </w:rPr>
            </w:pPr>
          </w:p>
        </w:tc>
        <w:tc>
          <w:tcPr>
            <w:tcW w:w="1560" w:type="dxa"/>
          </w:tcPr>
          <w:p w14:paraId="4509CBD3" w14:textId="77777777" w:rsidR="0087601C" w:rsidRPr="006A1EC7" w:rsidRDefault="0087601C" w:rsidP="00D56051">
            <w:pPr>
              <w:rPr>
                <w:sz w:val="15"/>
                <w:szCs w:val="15"/>
              </w:rPr>
            </w:pPr>
          </w:p>
        </w:tc>
      </w:tr>
      <w:tr w:rsidR="0087601C" w:rsidRPr="006A1EC7" w14:paraId="098CD15C" w14:textId="77777777" w:rsidTr="00D56051">
        <w:tc>
          <w:tcPr>
            <w:tcW w:w="3397" w:type="dxa"/>
            <w:gridSpan w:val="2"/>
          </w:tcPr>
          <w:p w14:paraId="798CA419" w14:textId="77777777" w:rsidR="0087601C" w:rsidRPr="006A1EC7" w:rsidRDefault="0087601C" w:rsidP="00D56051">
            <w:pPr>
              <w:rPr>
                <w:sz w:val="15"/>
                <w:szCs w:val="15"/>
              </w:rPr>
            </w:pPr>
            <w:r w:rsidRPr="006A1EC7">
              <w:rPr>
                <w:sz w:val="15"/>
                <w:szCs w:val="15"/>
              </w:rPr>
              <w:t>Reliant on intervention (PEG feed, nasal gastric tube, jejunostomy) for diet intake</w:t>
            </w:r>
          </w:p>
        </w:tc>
        <w:tc>
          <w:tcPr>
            <w:tcW w:w="1560" w:type="dxa"/>
          </w:tcPr>
          <w:p w14:paraId="23803C0F" w14:textId="77777777" w:rsidR="0087601C" w:rsidRPr="006A1EC7" w:rsidRDefault="0087601C" w:rsidP="00D56051">
            <w:pPr>
              <w:rPr>
                <w:sz w:val="15"/>
                <w:szCs w:val="15"/>
              </w:rPr>
            </w:pPr>
            <w:r w:rsidRPr="006A1EC7">
              <w:rPr>
                <w:sz w:val="15"/>
                <w:szCs w:val="15"/>
              </w:rPr>
              <w:t>2</w:t>
            </w:r>
          </w:p>
        </w:tc>
      </w:tr>
      <w:tr w:rsidR="0087601C" w:rsidRPr="006A1EC7" w14:paraId="1FC23030" w14:textId="77777777" w:rsidTr="00D56051">
        <w:tc>
          <w:tcPr>
            <w:tcW w:w="3397" w:type="dxa"/>
            <w:gridSpan w:val="2"/>
          </w:tcPr>
          <w:p w14:paraId="7A487BF4" w14:textId="77777777" w:rsidR="0087601C" w:rsidRPr="006A1EC7" w:rsidRDefault="0087601C" w:rsidP="00D56051">
            <w:pPr>
              <w:rPr>
                <w:sz w:val="15"/>
                <w:szCs w:val="15"/>
              </w:rPr>
            </w:pPr>
            <w:r w:rsidRPr="006A1EC7">
              <w:rPr>
                <w:sz w:val="15"/>
                <w:szCs w:val="15"/>
              </w:rPr>
              <w:lastRenderedPageBreak/>
              <w:t>Reliant on assistance (mashing or liquidising) but can feed/swallow themselves</w:t>
            </w:r>
          </w:p>
        </w:tc>
        <w:tc>
          <w:tcPr>
            <w:tcW w:w="1560" w:type="dxa"/>
          </w:tcPr>
          <w:p w14:paraId="49C82F0F" w14:textId="77777777" w:rsidR="0087601C" w:rsidRPr="006A1EC7" w:rsidRDefault="0087601C" w:rsidP="00D56051">
            <w:pPr>
              <w:rPr>
                <w:sz w:val="15"/>
                <w:szCs w:val="15"/>
              </w:rPr>
            </w:pPr>
            <w:r w:rsidRPr="006A1EC7">
              <w:rPr>
                <w:sz w:val="15"/>
                <w:szCs w:val="15"/>
              </w:rPr>
              <w:t>1</w:t>
            </w:r>
          </w:p>
        </w:tc>
      </w:tr>
      <w:tr w:rsidR="0087601C" w:rsidRPr="006A1EC7" w14:paraId="4C1033AA" w14:textId="77777777" w:rsidTr="00D56051">
        <w:tc>
          <w:tcPr>
            <w:tcW w:w="3397" w:type="dxa"/>
            <w:gridSpan w:val="2"/>
          </w:tcPr>
          <w:p w14:paraId="77BF5DD4" w14:textId="77777777" w:rsidR="0087601C" w:rsidRPr="006A1EC7" w:rsidRDefault="0087601C" w:rsidP="00D56051">
            <w:pPr>
              <w:rPr>
                <w:sz w:val="15"/>
                <w:szCs w:val="15"/>
              </w:rPr>
            </w:pPr>
            <w:r w:rsidRPr="006A1EC7">
              <w:rPr>
                <w:sz w:val="15"/>
                <w:szCs w:val="15"/>
              </w:rPr>
              <w:t>Able to eat independently (e.g. may need help cutting food</w:t>
            </w:r>
          </w:p>
        </w:tc>
        <w:tc>
          <w:tcPr>
            <w:tcW w:w="1560" w:type="dxa"/>
          </w:tcPr>
          <w:p w14:paraId="037F774B" w14:textId="77777777" w:rsidR="0087601C" w:rsidRPr="006A1EC7" w:rsidRDefault="0087601C" w:rsidP="00D56051">
            <w:pPr>
              <w:rPr>
                <w:sz w:val="15"/>
                <w:szCs w:val="15"/>
              </w:rPr>
            </w:pPr>
            <w:r w:rsidRPr="006A1EC7">
              <w:rPr>
                <w:sz w:val="15"/>
                <w:szCs w:val="15"/>
              </w:rPr>
              <w:t>0</w:t>
            </w:r>
          </w:p>
        </w:tc>
      </w:tr>
    </w:tbl>
    <w:p w14:paraId="249ADC2C"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27"/>
        <w:gridCol w:w="2770"/>
        <w:gridCol w:w="1560"/>
      </w:tblGrid>
      <w:tr w:rsidR="0087601C" w:rsidRPr="006A1EC7" w14:paraId="56A22DAF" w14:textId="77777777" w:rsidTr="00D56051">
        <w:tc>
          <w:tcPr>
            <w:tcW w:w="627" w:type="dxa"/>
          </w:tcPr>
          <w:p w14:paraId="63FD4E89" w14:textId="77777777" w:rsidR="0087601C" w:rsidRPr="006A1EC7" w:rsidRDefault="0087601C" w:rsidP="00D56051">
            <w:pPr>
              <w:rPr>
                <w:sz w:val="15"/>
                <w:szCs w:val="15"/>
              </w:rPr>
            </w:pPr>
            <w:r w:rsidRPr="006A1EC7">
              <w:rPr>
                <w:sz w:val="15"/>
                <w:szCs w:val="15"/>
              </w:rPr>
              <w:t>3A.2</w:t>
            </w:r>
          </w:p>
        </w:tc>
        <w:tc>
          <w:tcPr>
            <w:tcW w:w="2770" w:type="dxa"/>
          </w:tcPr>
          <w:p w14:paraId="07BAD3B6" w14:textId="77777777" w:rsidR="0087601C" w:rsidRPr="006A1EC7" w:rsidRDefault="0087601C" w:rsidP="00D56051">
            <w:pPr>
              <w:rPr>
                <w:sz w:val="15"/>
                <w:szCs w:val="15"/>
              </w:rPr>
            </w:pPr>
            <w:r w:rsidRPr="006A1EC7">
              <w:rPr>
                <w:sz w:val="15"/>
                <w:szCs w:val="15"/>
              </w:rPr>
              <w:t>If reliant on intervention, are there any issues with recurrent infections at the intervention site?</w:t>
            </w:r>
          </w:p>
          <w:p w14:paraId="25589CD9" w14:textId="77777777" w:rsidR="0087601C" w:rsidRPr="006A1EC7" w:rsidRDefault="0087601C" w:rsidP="00D56051">
            <w:pPr>
              <w:rPr>
                <w:sz w:val="15"/>
                <w:szCs w:val="15"/>
              </w:rPr>
            </w:pPr>
          </w:p>
        </w:tc>
        <w:tc>
          <w:tcPr>
            <w:tcW w:w="1560" w:type="dxa"/>
          </w:tcPr>
          <w:p w14:paraId="5385FF5B" w14:textId="77777777" w:rsidR="0087601C" w:rsidRPr="006A1EC7" w:rsidRDefault="0087601C" w:rsidP="00D56051">
            <w:pPr>
              <w:rPr>
                <w:sz w:val="15"/>
                <w:szCs w:val="15"/>
              </w:rPr>
            </w:pPr>
          </w:p>
        </w:tc>
      </w:tr>
      <w:tr w:rsidR="0087601C" w:rsidRPr="006A1EC7" w14:paraId="21AF3067" w14:textId="77777777" w:rsidTr="00D56051">
        <w:tc>
          <w:tcPr>
            <w:tcW w:w="3397" w:type="dxa"/>
            <w:gridSpan w:val="2"/>
          </w:tcPr>
          <w:p w14:paraId="26BF746F" w14:textId="77777777" w:rsidR="0087601C" w:rsidRPr="006A1EC7" w:rsidRDefault="0087601C" w:rsidP="00D56051">
            <w:pPr>
              <w:rPr>
                <w:sz w:val="15"/>
                <w:szCs w:val="15"/>
              </w:rPr>
            </w:pPr>
            <w:r w:rsidRPr="006A1EC7">
              <w:rPr>
                <w:sz w:val="15"/>
                <w:szCs w:val="15"/>
              </w:rPr>
              <w:t>Yes</w:t>
            </w:r>
          </w:p>
        </w:tc>
        <w:tc>
          <w:tcPr>
            <w:tcW w:w="1560" w:type="dxa"/>
          </w:tcPr>
          <w:p w14:paraId="19E28258" w14:textId="77777777" w:rsidR="0087601C" w:rsidRPr="006A1EC7" w:rsidRDefault="0087601C" w:rsidP="00D56051">
            <w:pPr>
              <w:rPr>
                <w:sz w:val="15"/>
                <w:szCs w:val="15"/>
              </w:rPr>
            </w:pPr>
            <w:r w:rsidRPr="006A1EC7">
              <w:rPr>
                <w:sz w:val="15"/>
                <w:szCs w:val="15"/>
              </w:rPr>
              <w:t>1</w:t>
            </w:r>
          </w:p>
        </w:tc>
      </w:tr>
      <w:tr w:rsidR="0087601C" w:rsidRPr="006A1EC7" w14:paraId="2CFB2221" w14:textId="77777777" w:rsidTr="00D56051">
        <w:tc>
          <w:tcPr>
            <w:tcW w:w="3397" w:type="dxa"/>
            <w:gridSpan w:val="2"/>
          </w:tcPr>
          <w:p w14:paraId="58E0AF5E" w14:textId="77777777" w:rsidR="0087601C" w:rsidRPr="006A1EC7" w:rsidRDefault="0087601C" w:rsidP="00D56051">
            <w:pPr>
              <w:rPr>
                <w:sz w:val="15"/>
                <w:szCs w:val="15"/>
              </w:rPr>
            </w:pPr>
            <w:r w:rsidRPr="006A1EC7">
              <w:rPr>
                <w:sz w:val="15"/>
                <w:szCs w:val="15"/>
              </w:rPr>
              <w:t xml:space="preserve">No </w:t>
            </w:r>
          </w:p>
        </w:tc>
        <w:tc>
          <w:tcPr>
            <w:tcW w:w="1560" w:type="dxa"/>
          </w:tcPr>
          <w:p w14:paraId="3EB47BB8" w14:textId="77777777" w:rsidR="0087601C" w:rsidRPr="006A1EC7" w:rsidRDefault="0087601C" w:rsidP="00D56051">
            <w:pPr>
              <w:rPr>
                <w:sz w:val="15"/>
                <w:szCs w:val="15"/>
              </w:rPr>
            </w:pPr>
            <w:r w:rsidRPr="006A1EC7">
              <w:rPr>
                <w:sz w:val="15"/>
                <w:szCs w:val="15"/>
              </w:rPr>
              <w:t>0</w:t>
            </w:r>
          </w:p>
        </w:tc>
      </w:tr>
    </w:tbl>
    <w:p w14:paraId="39590F20"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1DD88B3A" w14:textId="77777777" w:rsidTr="00D56051">
        <w:tc>
          <w:tcPr>
            <w:tcW w:w="640" w:type="dxa"/>
          </w:tcPr>
          <w:p w14:paraId="28A60EE0" w14:textId="77777777" w:rsidR="0087601C" w:rsidRPr="006A1EC7" w:rsidRDefault="0087601C" w:rsidP="00D56051">
            <w:pPr>
              <w:rPr>
                <w:sz w:val="15"/>
                <w:szCs w:val="15"/>
              </w:rPr>
            </w:pPr>
            <w:r w:rsidRPr="006A1EC7">
              <w:rPr>
                <w:sz w:val="15"/>
                <w:szCs w:val="15"/>
              </w:rPr>
              <w:t>3A.3</w:t>
            </w:r>
          </w:p>
        </w:tc>
        <w:tc>
          <w:tcPr>
            <w:tcW w:w="2757" w:type="dxa"/>
          </w:tcPr>
          <w:p w14:paraId="05956F76" w14:textId="77777777" w:rsidR="0087601C" w:rsidRPr="006A1EC7" w:rsidRDefault="0087601C" w:rsidP="00D56051">
            <w:pPr>
              <w:rPr>
                <w:i/>
                <w:sz w:val="15"/>
                <w:szCs w:val="15"/>
              </w:rPr>
            </w:pPr>
            <w:r w:rsidRPr="006A1EC7">
              <w:rPr>
                <w:bCs/>
                <w:color w:val="FF0000"/>
                <w:sz w:val="15"/>
                <w:szCs w:val="15"/>
              </w:rPr>
              <w:t>IF PATIENT IS ABLE TO EAT ORALLY,</w:t>
            </w:r>
            <w:r w:rsidRPr="006A1EC7">
              <w:rPr>
                <w:color w:val="FF0000"/>
                <w:sz w:val="15"/>
                <w:szCs w:val="15"/>
              </w:rPr>
              <w:t xml:space="preserve"> </w:t>
            </w:r>
            <w:r w:rsidRPr="006A1EC7">
              <w:rPr>
                <w:sz w:val="15"/>
                <w:szCs w:val="15"/>
              </w:rPr>
              <w:t>which issues do the family/caregivers face when eating with their relative with Wolf-Hirschhorn syndrome?</w:t>
            </w:r>
            <w:r w:rsidRPr="006A1EC7">
              <w:rPr>
                <w:i/>
                <w:sz w:val="15"/>
                <w:szCs w:val="15"/>
              </w:rPr>
              <w:t xml:space="preserve"> </w:t>
            </w:r>
          </w:p>
          <w:p w14:paraId="50E1AB4D" w14:textId="77777777" w:rsidR="0087601C" w:rsidRPr="006A1EC7" w:rsidRDefault="0087601C" w:rsidP="00D56051">
            <w:pPr>
              <w:rPr>
                <w:i/>
                <w:sz w:val="15"/>
                <w:szCs w:val="15"/>
              </w:rPr>
            </w:pPr>
          </w:p>
          <w:p w14:paraId="7C7593F8" w14:textId="77777777" w:rsidR="0087601C" w:rsidRPr="006A1EC7" w:rsidRDefault="0087601C" w:rsidP="00D56051">
            <w:pPr>
              <w:rPr>
                <w:i/>
                <w:sz w:val="15"/>
                <w:szCs w:val="15"/>
              </w:rPr>
            </w:pPr>
            <w:r w:rsidRPr="006A1EC7">
              <w:rPr>
                <w:i/>
                <w:sz w:val="15"/>
                <w:szCs w:val="15"/>
              </w:rPr>
              <w:t xml:space="preserve">If more than one applicable, add up </w:t>
            </w:r>
          </w:p>
        </w:tc>
        <w:tc>
          <w:tcPr>
            <w:tcW w:w="1560" w:type="dxa"/>
          </w:tcPr>
          <w:p w14:paraId="45BA799E" w14:textId="77777777" w:rsidR="0087601C" w:rsidRPr="006A1EC7" w:rsidRDefault="0087601C" w:rsidP="00D56051">
            <w:pPr>
              <w:rPr>
                <w:sz w:val="15"/>
                <w:szCs w:val="15"/>
              </w:rPr>
            </w:pPr>
          </w:p>
        </w:tc>
      </w:tr>
      <w:tr w:rsidR="0087601C" w:rsidRPr="006A1EC7" w14:paraId="625CF958" w14:textId="77777777" w:rsidTr="00D56051">
        <w:tc>
          <w:tcPr>
            <w:tcW w:w="3397" w:type="dxa"/>
            <w:gridSpan w:val="2"/>
          </w:tcPr>
          <w:p w14:paraId="1761E7F8" w14:textId="77777777" w:rsidR="0087601C" w:rsidRPr="006A1EC7" w:rsidRDefault="0087601C" w:rsidP="00D56051">
            <w:pPr>
              <w:rPr>
                <w:sz w:val="15"/>
                <w:szCs w:val="15"/>
              </w:rPr>
            </w:pPr>
            <w:r w:rsidRPr="006A1EC7">
              <w:rPr>
                <w:sz w:val="15"/>
                <w:szCs w:val="15"/>
              </w:rPr>
              <w:t>Time- consuming to feed due to motor- and coordination difficulties</w:t>
            </w:r>
          </w:p>
        </w:tc>
        <w:tc>
          <w:tcPr>
            <w:tcW w:w="1560" w:type="dxa"/>
          </w:tcPr>
          <w:p w14:paraId="220CDBE7" w14:textId="77777777" w:rsidR="0087601C" w:rsidRPr="006A1EC7" w:rsidRDefault="0087601C" w:rsidP="00D56051">
            <w:pPr>
              <w:rPr>
                <w:sz w:val="15"/>
                <w:szCs w:val="15"/>
              </w:rPr>
            </w:pPr>
            <w:r w:rsidRPr="006A1EC7">
              <w:rPr>
                <w:sz w:val="15"/>
                <w:szCs w:val="15"/>
              </w:rPr>
              <w:t>1</w:t>
            </w:r>
          </w:p>
        </w:tc>
      </w:tr>
      <w:tr w:rsidR="0087601C" w:rsidRPr="006A1EC7" w14:paraId="4ACFD918" w14:textId="77777777" w:rsidTr="00D56051">
        <w:tc>
          <w:tcPr>
            <w:tcW w:w="3397" w:type="dxa"/>
            <w:gridSpan w:val="2"/>
          </w:tcPr>
          <w:p w14:paraId="23D6894D" w14:textId="77777777" w:rsidR="0087601C" w:rsidRPr="006A1EC7" w:rsidRDefault="0087601C" w:rsidP="00D56051">
            <w:pPr>
              <w:rPr>
                <w:sz w:val="15"/>
                <w:szCs w:val="15"/>
              </w:rPr>
            </w:pPr>
            <w:r w:rsidRPr="006A1EC7">
              <w:rPr>
                <w:sz w:val="15"/>
                <w:szCs w:val="15"/>
              </w:rPr>
              <w:t>Difficulty feeding</w:t>
            </w:r>
          </w:p>
        </w:tc>
        <w:tc>
          <w:tcPr>
            <w:tcW w:w="1560" w:type="dxa"/>
          </w:tcPr>
          <w:p w14:paraId="785E0AC3" w14:textId="77777777" w:rsidR="0087601C" w:rsidRPr="006A1EC7" w:rsidRDefault="0087601C" w:rsidP="00D56051">
            <w:pPr>
              <w:rPr>
                <w:sz w:val="15"/>
                <w:szCs w:val="15"/>
              </w:rPr>
            </w:pPr>
            <w:r w:rsidRPr="006A1EC7">
              <w:rPr>
                <w:sz w:val="15"/>
                <w:szCs w:val="15"/>
              </w:rPr>
              <w:t>1</w:t>
            </w:r>
          </w:p>
        </w:tc>
      </w:tr>
      <w:tr w:rsidR="0087601C" w:rsidRPr="006A1EC7" w14:paraId="55F45F6F" w14:textId="77777777" w:rsidTr="00D56051">
        <w:tc>
          <w:tcPr>
            <w:tcW w:w="3397" w:type="dxa"/>
            <w:gridSpan w:val="2"/>
          </w:tcPr>
          <w:p w14:paraId="22C84A1C" w14:textId="77777777" w:rsidR="0087601C" w:rsidRPr="006A1EC7" w:rsidRDefault="0087601C" w:rsidP="00D56051">
            <w:pPr>
              <w:rPr>
                <w:sz w:val="15"/>
                <w:szCs w:val="15"/>
              </w:rPr>
            </w:pPr>
            <w:r w:rsidRPr="006A1EC7">
              <w:rPr>
                <w:sz w:val="15"/>
                <w:szCs w:val="15"/>
              </w:rPr>
              <w:t>No issues</w:t>
            </w:r>
          </w:p>
        </w:tc>
        <w:tc>
          <w:tcPr>
            <w:tcW w:w="1560" w:type="dxa"/>
          </w:tcPr>
          <w:p w14:paraId="78CFC639" w14:textId="77777777" w:rsidR="0087601C" w:rsidRPr="006A1EC7" w:rsidRDefault="0087601C" w:rsidP="00D56051">
            <w:pPr>
              <w:rPr>
                <w:sz w:val="15"/>
                <w:szCs w:val="15"/>
              </w:rPr>
            </w:pPr>
            <w:r w:rsidRPr="006A1EC7">
              <w:rPr>
                <w:sz w:val="15"/>
                <w:szCs w:val="15"/>
              </w:rPr>
              <w:t>0</w:t>
            </w:r>
          </w:p>
        </w:tc>
      </w:tr>
      <w:tr w:rsidR="0087601C" w:rsidRPr="006A1EC7" w14:paraId="2360851A" w14:textId="77777777" w:rsidTr="00D56051">
        <w:tc>
          <w:tcPr>
            <w:tcW w:w="3397" w:type="dxa"/>
            <w:gridSpan w:val="2"/>
          </w:tcPr>
          <w:p w14:paraId="1AFE005D" w14:textId="77777777" w:rsidR="0087601C" w:rsidRPr="006A1EC7" w:rsidRDefault="0087601C" w:rsidP="00D56051">
            <w:pPr>
              <w:rPr>
                <w:sz w:val="15"/>
                <w:szCs w:val="15"/>
              </w:rPr>
            </w:pPr>
            <w:r w:rsidRPr="006A1EC7">
              <w:rPr>
                <w:sz w:val="15"/>
                <w:szCs w:val="15"/>
              </w:rPr>
              <w:t>N/A</w:t>
            </w:r>
          </w:p>
        </w:tc>
        <w:tc>
          <w:tcPr>
            <w:tcW w:w="1560" w:type="dxa"/>
          </w:tcPr>
          <w:p w14:paraId="1D60BDDD" w14:textId="77777777" w:rsidR="0087601C" w:rsidRPr="006A1EC7" w:rsidRDefault="0087601C" w:rsidP="00D56051">
            <w:pPr>
              <w:rPr>
                <w:sz w:val="15"/>
                <w:szCs w:val="15"/>
              </w:rPr>
            </w:pPr>
            <w:r w:rsidRPr="006A1EC7">
              <w:rPr>
                <w:sz w:val="15"/>
                <w:szCs w:val="15"/>
              </w:rPr>
              <w:t>0</w:t>
            </w:r>
          </w:p>
        </w:tc>
      </w:tr>
    </w:tbl>
    <w:p w14:paraId="48DF0AAA"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087C1612" w14:textId="77777777" w:rsidTr="00D56051">
        <w:tc>
          <w:tcPr>
            <w:tcW w:w="640" w:type="dxa"/>
          </w:tcPr>
          <w:p w14:paraId="2FA8FBE4" w14:textId="77777777" w:rsidR="0087601C" w:rsidRPr="006A1EC7" w:rsidRDefault="0087601C" w:rsidP="00D56051">
            <w:pPr>
              <w:rPr>
                <w:sz w:val="15"/>
                <w:szCs w:val="15"/>
              </w:rPr>
            </w:pPr>
            <w:r w:rsidRPr="006A1EC7">
              <w:rPr>
                <w:sz w:val="15"/>
                <w:szCs w:val="15"/>
              </w:rPr>
              <w:t>3B</w:t>
            </w:r>
          </w:p>
        </w:tc>
        <w:tc>
          <w:tcPr>
            <w:tcW w:w="2757" w:type="dxa"/>
          </w:tcPr>
          <w:p w14:paraId="00D43565" w14:textId="77777777" w:rsidR="0087601C" w:rsidRPr="006A1EC7" w:rsidRDefault="0087601C" w:rsidP="00D56051">
            <w:pPr>
              <w:rPr>
                <w:sz w:val="15"/>
                <w:szCs w:val="15"/>
              </w:rPr>
            </w:pPr>
            <w:r w:rsidRPr="006A1EC7">
              <w:rPr>
                <w:sz w:val="15"/>
                <w:szCs w:val="15"/>
              </w:rPr>
              <w:t>For fluid intake/drinking, is the patient….?</w:t>
            </w:r>
          </w:p>
          <w:p w14:paraId="681115D1" w14:textId="77777777" w:rsidR="0087601C" w:rsidRPr="006A1EC7" w:rsidRDefault="0087601C" w:rsidP="00D56051">
            <w:pPr>
              <w:rPr>
                <w:sz w:val="15"/>
                <w:szCs w:val="15"/>
              </w:rPr>
            </w:pPr>
          </w:p>
        </w:tc>
        <w:tc>
          <w:tcPr>
            <w:tcW w:w="1560" w:type="dxa"/>
          </w:tcPr>
          <w:p w14:paraId="727EE09F" w14:textId="77777777" w:rsidR="0087601C" w:rsidRPr="006A1EC7" w:rsidRDefault="0087601C" w:rsidP="00D56051">
            <w:pPr>
              <w:rPr>
                <w:sz w:val="15"/>
                <w:szCs w:val="15"/>
              </w:rPr>
            </w:pPr>
          </w:p>
        </w:tc>
      </w:tr>
      <w:tr w:rsidR="0087601C" w:rsidRPr="006A1EC7" w14:paraId="4DD73685" w14:textId="77777777" w:rsidTr="00D56051">
        <w:tc>
          <w:tcPr>
            <w:tcW w:w="3397" w:type="dxa"/>
            <w:gridSpan w:val="2"/>
          </w:tcPr>
          <w:p w14:paraId="1B677002" w14:textId="77777777" w:rsidR="0087601C" w:rsidRPr="006A1EC7" w:rsidRDefault="0087601C" w:rsidP="00D56051">
            <w:pPr>
              <w:rPr>
                <w:sz w:val="15"/>
                <w:szCs w:val="15"/>
              </w:rPr>
            </w:pPr>
            <w:r w:rsidRPr="006A1EC7">
              <w:rPr>
                <w:sz w:val="15"/>
                <w:szCs w:val="15"/>
              </w:rPr>
              <w:t>Reliant on an intervention for fluid intake, as above</w:t>
            </w:r>
          </w:p>
        </w:tc>
        <w:tc>
          <w:tcPr>
            <w:tcW w:w="1560" w:type="dxa"/>
          </w:tcPr>
          <w:p w14:paraId="6A40AA6E" w14:textId="77777777" w:rsidR="0087601C" w:rsidRPr="006A1EC7" w:rsidRDefault="0087601C" w:rsidP="00D56051">
            <w:pPr>
              <w:rPr>
                <w:sz w:val="15"/>
                <w:szCs w:val="15"/>
              </w:rPr>
            </w:pPr>
            <w:r w:rsidRPr="006A1EC7">
              <w:rPr>
                <w:sz w:val="15"/>
                <w:szCs w:val="15"/>
              </w:rPr>
              <w:t>2</w:t>
            </w:r>
          </w:p>
        </w:tc>
      </w:tr>
      <w:tr w:rsidR="0087601C" w:rsidRPr="006A1EC7" w14:paraId="68284DBC" w14:textId="77777777" w:rsidTr="00D56051">
        <w:tc>
          <w:tcPr>
            <w:tcW w:w="3397" w:type="dxa"/>
            <w:gridSpan w:val="2"/>
          </w:tcPr>
          <w:p w14:paraId="5453701F" w14:textId="77777777" w:rsidR="0087601C" w:rsidRPr="006A1EC7" w:rsidRDefault="0087601C" w:rsidP="00D56051">
            <w:pPr>
              <w:rPr>
                <w:sz w:val="15"/>
                <w:szCs w:val="15"/>
              </w:rPr>
            </w:pPr>
            <w:r w:rsidRPr="006A1EC7">
              <w:rPr>
                <w:sz w:val="15"/>
                <w:szCs w:val="15"/>
              </w:rPr>
              <w:t>Able to drink with assistance items (with straws, special cups</w:t>
            </w:r>
          </w:p>
        </w:tc>
        <w:tc>
          <w:tcPr>
            <w:tcW w:w="1560" w:type="dxa"/>
          </w:tcPr>
          <w:p w14:paraId="20012D01" w14:textId="77777777" w:rsidR="0087601C" w:rsidRPr="006A1EC7" w:rsidRDefault="0087601C" w:rsidP="00D56051">
            <w:pPr>
              <w:rPr>
                <w:sz w:val="15"/>
                <w:szCs w:val="15"/>
              </w:rPr>
            </w:pPr>
            <w:r w:rsidRPr="006A1EC7">
              <w:rPr>
                <w:sz w:val="15"/>
                <w:szCs w:val="15"/>
              </w:rPr>
              <w:t>1</w:t>
            </w:r>
          </w:p>
        </w:tc>
      </w:tr>
      <w:tr w:rsidR="0087601C" w:rsidRPr="006A1EC7" w14:paraId="61E7AA97" w14:textId="77777777" w:rsidTr="00D56051">
        <w:tc>
          <w:tcPr>
            <w:tcW w:w="3397" w:type="dxa"/>
            <w:gridSpan w:val="2"/>
          </w:tcPr>
          <w:p w14:paraId="6D3B2559" w14:textId="77777777" w:rsidR="0087601C" w:rsidRPr="006A1EC7" w:rsidRDefault="0087601C" w:rsidP="00D56051">
            <w:pPr>
              <w:rPr>
                <w:sz w:val="15"/>
                <w:szCs w:val="15"/>
              </w:rPr>
            </w:pPr>
            <w:r w:rsidRPr="006A1EC7">
              <w:rPr>
                <w:sz w:val="15"/>
                <w:szCs w:val="15"/>
              </w:rPr>
              <w:t>Able to drink independently without help</w:t>
            </w:r>
          </w:p>
        </w:tc>
        <w:tc>
          <w:tcPr>
            <w:tcW w:w="1560" w:type="dxa"/>
          </w:tcPr>
          <w:p w14:paraId="1114B16F" w14:textId="77777777" w:rsidR="0087601C" w:rsidRPr="006A1EC7" w:rsidRDefault="0087601C" w:rsidP="00D56051">
            <w:pPr>
              <w:rPr>
                <w:sz w:val="15"/>
                <w:szCs w:val="15"/>
              </w:rPr>
            </w:pPr>
            <w:r w:rsidRPr="006A1EC7">
              <w:rPr>
                <w:sz w:val="15"/>
                <w:szCs w:val="15"/>
              </w:rPr>
              <w:t>0</w:t>
            </w:r>
          </w:p>
        </w:tc>
      </w:tr>
    </w:tbl>
    <w:p w14:paraId="0F8856B3" w14:textId="77777777" w:rsidR="0087601C" w:rsidRPr="006A1EC7" w:rsidRDefault="0087601C" w:rsidP="0087601C">
      <w:pPr>
        <w:rPr>
          <w:b/>
          <w:sz w:val="15"/>
          <w:szCs w:val="15"/>
        </w:rPr>
      </w:pPr>
    </w:p>
    <w:p w14:paraId="7C72BD75" w14:textId="77777777" w:rsidR="0087601C" w:rsidRPr="006A1EC7" w:rsidRDefault="0087601C" w:rsidP="0087601C">
      <w:pPr>
        <w:ind w:firstLine="720"/>
        <w:rPr>
          <w:b/>
          <w:sz w:val="15"/>
          <w:szCs w:val="15"/>
        </w:rPr>
      </w:pPr>
      <w:r w:rsidRPr="006A1EC7">
        <w:rPr>
          <w:b/>
          <w:sz w:val="15"/>
          <w:szCs w:val="15"/>
        </w:rPr>
        <w:t>Part 2: Reflux/Aspiration</w:t>
      </w:r>
    </w:p>
    <w:p w14:paraId="58DB26B1"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44177A53" w14:textId="77777777" w:rsidTr="00D56051">
        <w:tc>
          <w:tcPr>
            <w:tcW w:w="640" w:type="dxa"/>
          </w:tcPr>
          <w:p w14:paraId="6A68316F" w14:textId="77777777" w:rsidR="0087601C" w:rsidRPr="006A1EC7" w:rsidRDefault="0087601C" w:rsidP="00D56051">
            <w:pPr>
              <w:rPr>
                <w:sz w:val="15"/>
                <w:szCs w:val="15"/>
              </w:rPr>
            </w:pPr>
            <w:r w:rsidRPr="006A1EC7">
              <w:rPr>
                <w:sz w:val="15"/>
                <w:szCs w:val="15"/>
              </w:rPr>
              <w:t>3C</w:t>
            </w:r>
          </w:p>
        </w:tc>
        <w:tc>
          <w:tcPr>
            <w:tcW w:w="2757" w:type="dxa"/>
          </w:tcPr>
          <w:p w14:paraId="3A3D670F" w14:textId="77777777" w:rsidR="0087601C" w:rsidRPr="006A1EC7" w:rsidRDefault="0087601C" w:rsidP="00D56051">
            <w:pPr>
              <w:rPr>
                <w:b/>
                <w:color w:val="FF0000"/>
                <w:sz w:val="15"/>
                <w:szCs w:val="15"/>
              </w:rPr>
            </w:pPr>
            <w:r w:rsidRPr="006A1EC7">
              <w:rPr>
                <w:sz w:val="15"/>
                <w:szCs w:val="15"/>
              </w:rPr>
              <w:t xml:space="preserve">Are there issues with aspiration </w:t>
            </w:r>
            <w:r w:rsidRPr="006A1EC7">
              <w:rPr>
                <w:bCs/>
                <w:color w:val="FF0000"/>
                <w:sz w:val="15"/>
                <w:szCs w:val="15"/>
              </w:rPr>
              <w:t>(currently, even if medicated)?</w:t>
            </w:r>
          </w:p>
          <w:p w14:paraId="60A78E54" w14:textId="77777777" w:rsidR="0087601C" w:rsidRPr="006A1EC7" w:rsidRDefault="0087601C" w:rsidP="00D56051">
            <w:pPr>
              <w:rPr>
                <w:sz w:val="15"/>
                <w:szCs w:val="15"/>
              </w:rPr>
            </w:pPr>
          </w:p>
        </w:tc>
        <w:tc>
          <w:tcPr>
            <w:tcW w:w="1560" w:type="dxa"/>
          </w:tcPr>
          <w:p w14:paraId="170C0B3A" w14:textId="77777777" w:rsidR="0087601C" w:rsidRPr="006A1EC7" w:rsidRDefault="0087601C" w:rsidP="00D56051">
            <w:pPr>
              <w:rPr>
                <w:sz w:val="15"/>
                <w:szCs w:val="15"/>
              </w:rPr>
            </w:pPr>
          </w:p>
        </w:tc>
      </w:tr>
      <w:tr w:rsidR="0087601C" w:rsidRPr="006A1EC7" w14:paraId="776ACAF9" w14:textId="77777777" w:rsidTr="00D56051">
        <w:tc>
          <w:tcPr>
            <w:tcW w:w="3397" w:type="dxa"/>
            <w:gridSpan w:val="2"/>
          </w:tcPr>
          <w:p w14:paraId="53BC9C37" w14:textId="77777777" w:rsidR="0087601C" w:rsidRPr="006A1EC7" w:rsidRDefault="0087601C" w:rsidP="00D56051">
            <w:pPr>
              <w:rPr>
                <w:sz w:val="15"/>
                <w:szCs w:val="15"/>
              </w:rPr>
            </w:pPr>
            <w:r w:rsidRPr="006A1EC7">
              <w:rPr>
                <w:sz w:val="15"/>
                <w:szCs w:val="15"/>
              </w:rPr>
              <w:t>Severe issues (e.g. consequentially cannot eat, reliant on intervention as result)</w:t>
            </w:r>
          </w:p>
        </w:tc>
        <w:tc>
          <w:tcPr>
            <w:tcW w:w="1560" w:type="dxa"/>
          </w:tcPr>
          <w:p w14:paraId="05C1D090" w14:textId="77777777" w:rsidR="0087601C" w:rsidRPr="006A1EC7" w:rsidRDefault="0087601C" w:rsidP="00D56051">
            <w:pPr>
              <w:rPr>
                <w:sz w:val="15"/>
                <w:szCs w:val="15"/>
              </w:rPr>
            </w:pPr>
            <w:r w:rsidRPr="006A1EC7">
              <w:rPr>
                <w:sz w:val="15"/>
                <w:szCs w:val="15"/>
              </w:rPr>
              <w:t>2</w:t>
            </w:r>
          </w:p>
        </w:tc>
      </w:tr>
      <w:tr w:rsidR="0087601C" w:rsidRPr="006A1EC7" w14:paraId="43608FBE" w14:textId="77777777" w:rsidTr="00D56051">
        <w:tc>
          <w:tcPr>
            <w:tcW w:w="3397" w:type="dxa"/>
            <w:gridSpan w:val="2"/>
          </w:tcPr>
          <w:p w14:paraId="56F9A82B" w14:textId="77777777" w:rsidR="0087601C" w:rsidRPr="006A1EC7" w:rsidRDefault="0087601C" w:rsidP="00D56051">
            <w:pPr>
              <w:rPr>
                <w:sz w:val="15"/>
                <w:szCs w:val="15"/>
              </w:rPr>
            </w:pPr>
            <w:r w:rsidRPr="006A1EC7">
              <w:rPr>
                <w:sz w:val="15"/>
                <w:szCs w:val="15"/>
              </w:rPr>
              <w:t>Intermittent issues/sometimes</w:t>
            </w:r>
          </w:p>
        </w:tc>
        <w:tc>
          <w:tcPr>
            <w:tcW w:w="1560" w:type="dxa"/>
          </w:tcPr>
          <w:p w14:paraId="42B5613F" w14:textId="77777777" w:rsidR="0087601C" w:rsidRPr="006A1EC7" w:rsidRDefault="0087601C" w:rsidP="00D56051">
            <w:pPr>
              <w:rPr>
                <w:sz w:val="15"/>
                <w:szCs w:val="15"/>
              </w:rPr>
            </w:pPr>
            <w:r w:rsidRPr="006A1EC7">
              <w:rPr>
                <w:sz w:val="15"/>
                <w:szCs w:val="15"/>
              </w:rPr>
              <w:t>1</w:t>
            </w:r>
          </w:p>
        </w:tc>
      </w:tr>
      <w:tr w:rsidR="0087601C" w:rsidRPr="006A1EC7" w14:paraId="084CB7EF" w14:textId="77777777" w:rsidTr="00D56051">
        <w:tc>
          <w:tcPr>
            <w:tcW w:w="3397" w:type="dxa"/>
            <w:gridSpan w:val="2"/>
          </w:tcPr>
          <w:p w14:paraId="6A774E67" w14:textId="77777777" w:rsidR="0087601C" w:rsidRPr="006A1EC7" w:rsidRDefault="0087601C" w:rsidP="00D56051">
            <w:pPr>
              <w:rPr>
                <w:sz w:val="15"/>
                <w:szCs w:val="15"/>
              </w:rPr>
            </w:pPr>
            <w:r w:rsidRPr="006A1EC7">
              <w:rPr>
                <w:sz w:val="15"/>
                <w:szCs w:val="15"/>
              </w:rPr>
              <w:t>No issues</w:t>
            </w:r>
          </w:p>
        </w:tc>
        <w:tc>
          <w:tcPr>
            <w:tcW w:w="1560" w:type="dxa"/>
          </w:tcPr>
          <w:p w14:paraId="7E07B236" w14:textId="77777777" w:rsidR="0087601C" w:rsidRPr="006A1EC7" w:rsidRDefault="0087601C" w:rsidP="00D56051">
            <w:pPr>
              <w:rPr>
                <w:sz w:val="15"/>
                <w:szCs w:val="15"/>
              </w:rPr>
            </w:pPr>
            <w:r w:rsidRPr="006A1EC7">
              <w:rPr>
                <w:sz w:val="15"/>
                <w:szCs w:val="15"/>
              </w:rPr>
              <w:t>0</w:t>
            </w:r>
          </w:p>
        </w:tc>
      </w:tr>
    </w:tbl>
    <w:p w14:paraId="0238F81C"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7E8FA62F" w14:textId="77777777" w:rsidTr="00D56051">
        <w:tc>
          <w:tcPr>
            <w:tcW w:w="640" w:type="dxa"/>
          </w:tcPr>
          <w:p w14:paraId="5E930B0F" w14:textId="77777777" w:rsidR="0087601C" w:rsidRPr="006A1EC7" w:rsidRDefault="0087601C" w:rsidP="00D56051">
            <w:pPr>
              <w:rPr>
                <w:sz w:val="15"/>
                <w:szCs w:val="15"/>
                <w:u w:val="single"/>
              </w:rPr>
            </w:pPr>
            <w:r w:rsidRPr="006A1EC7">
              <w:rPr>
                <w:sz w:val="15"/>
                <w:szCs w:val="15"/>
                <w:u w:val="single"/>
              </w:rPr>
              <w:t>3D.1</w:t>
            </w:r>
          </w:p>
          <w:p w14:paraId="4A1C23D4" w14:textId="77777777" w:rsidR="0087601C" w:rsidRPr="006A1EC7" w:rsidRDefault="0087601C" w:rsidP="00D56051">
            <w:pPr>
              <w:rPr>
                <w:sz w:val="15"/>
                <w:szCs w:val="15"/>
              </w:rPr>
            </w:pPr>
          </w:p>
        </w:tc>
        <w:tc>
          <w:tcPr>
            <w:tcW w:w="2757" w:type="dxa"/>
          </w:tcPr>
          <w:p w14:paraId="349763A4" w14:textId="77777777" w:rsidR="0087601C" w:rsidRPr="006A1EC7" w:rsidRDefault="0087601C" w:rsidP="00D56051">
            <w:pPr>
              <w:rPr>
                <w:sz w:val="15"/>
                <w:szCs w:val="15"/>
              </w:rPr>
            </w:pPr>
            <w:r w:rsidRPr="006A1EC7">
              <w:rPr>
                <w:sz w:val="15"/>
                <w:szCs w:val="15"/>
              </w:rPr>
              <w:t>Does the patient have a diagnosis of reflux (=effortless vomiting)?</w:t>
            </w:r>
          </w:p>
          <w:p w14:paraId="2ED66C70" w14:textId="77777777" w:rsidR="0087601C" w:rsidRPr="006A1EC7" w:rsidRDefault="0087601C" w:rsidP="00D56051">
            <w:pPr>
              <w:rPr>
                <w:sz w:val="15"/>
                <w:szCs w:val="15"/>
                <w:u w:val="single"/>
              </w:rPr>
            </w:pPr>
          </w:p>
        </w:tc>
        <w:tc>
          <w:tcPr>
            <w:tcW w:w="1560" w:type="dxa"/>
          </w:tcPr>
          <w:p w14:paraId="730AC0B4" w14:textId="77777777" w:rsidR="0087601C" w:rsidRPr="006A1EC7" w:rsidRDefault="0087601C" w:rsidP="00D56051">
            <w:pPr>
              <w:rPr>
                <w:sz w:val="15"/>
                <w:szCs w:val="15"/>
              </w:rPr>
            </w:pPr>
          </w:p>
        </w:tc>
      </w:tr>
      <w:tr w:rsidR="0087601C" w:rsidRPr="006A1EC7" w14:paraId="5A1056EC" w14:textId="77777777" w:rsidTr="00D56051">
        <w:tc>
          <w:tcPr>
            <w:tcW w:w="3397" w:type="dxa"/>
            <w:gridSpan w:val="2"/>
          </w:tcPr>
          <w:p w14:paraId="67E74F62" w14:textId="77777777" w:rsidR="0087601C" w:rsidRPr="006A1EC7" w:rsidRDefault="0087601C" w:rsidP="00D56051">
            <w:pPr>
              <w:rPr>
                <w:sz w:val="15"/>
                <w:szCs w:val="15"/>
              </w:rPr>
            </w:pPr>
            <w:r w:rsidRPr="006A1EC7">
              <w:rPr>
                <w:sz w:val="15"/>
                <w:szCs w:val="15"/>
              </w:rPr>
              <w:t>Yes, confirmed by investigation/test</w:t>
            </w:r>
          </w:p>
        </w:tc>
        <w:tc>
          <w:tcPr>
            <w:tcW w:w="1560" w:type="dxa"/>
          </w:tcPr>
          <w:p w14:paraId="2FDD5B9D" w14:textId="77777777" w:rsidR="0087601C" w:rsidRPr="006A1EC7" w:rsidRDefault="0087601C" w:rsidP="00D56051">
            <w:pPr>
              <w:rPr>
                <w:sz w:val="15"/>
                <w:szCs w:val="15"/>
              </w:rPr>
            </w:pPr>
            <w:r w:rsidRPr="006A1EC7">
              <w:rPr>
                <w:sz w:val="15"/>
                <w:szCs w:val="15"/>
              </w:rPr>
              <w:t>2</w:t>
            </w:r>
          </w:p>
        </w:tc>
      </w:tr>
      <w:tr w:rsidR="0087601C" w:rsidRPr="006A1EC7" w14:paraId="5B421774" w14:textId="77777777" w:rsidTr="00D56051">
        <w:tc>
          <w:tcPr>
            <w:tcW w:w="3397" w:type="dxa"/>
            <w:gridSpan w:val="2"/>
          </w:tcPr>
          <w:p w14:paraId="3FE3811D" w14:textId="77777777" w:rsidR="0087601C" w:rsidRPr="006A1EC7" w:rsidRDefault="0087601C" w:rsidP="00D56051">
            <w:pPr>
              <w:rPr>
                <w:sz w:val="15"/>
                <w:szCs w:val="15"/>
              </w:rPr>
            </w:pPr>
            <w:r w:rsidRPr="006A1EC7">
              <w:rPr>
                <w:sz w:val="15"/>
                <w:szCs w:val="15"/>
              </w:rPr>
              <w:t>Yes, clinical diagnosis (without testing)</w:t>
            </w:r>
          </w:p>
        </w:tc>
        <w:tc>
          <w:tcPr>
            <w:tcW w:w="1560" w:type="dxa"/>
          </w:tcPr>
          <w:p w14:paraId="15DD0629" w14:textId="77777777" w:rsidR="0087601C" w:rsidRPr="006A1EC7" w:rsidRDefault="0087601C" w:rsidP="00D56051">
            <w:pPr>
              <w:rPr>
                <w:sz w:val="15"/>
                <w:szCs w:val="15"/>
              </w:rPr>
            </w:pPr>
            <w:r w:rsidRPr="006A1EC7">
              <w:rPr>
                <w:sz w:val="15"/>
                <w:szCs w:val="15"/>
              </w:rPr>
              <w:t>1</w:t>
            </w:r>
          </w:p>
        </w:tc>
      </w:tr>
      <w:tr w:rsidR="0087601C" w:rsidRPr="006A1EC7" w14:paraId="57B601AF" w14:textId="77777777" w:rsidTr="00D56051">
        <w:tc>
          <w:tcPr>
            <w:tcW w:w="3397" w:type="dxa"/>
            <w:gridSpan w:val="2"/>
          </w:tcPr>
          <w:p w14:paraId="118A9EB3" w14:textId="77777777" w:rsidR="0087601C" w:rsidRPr="006A1EC7" w:rsidRDefault="0087601C" w:rsidP="00D56051">
            <w:pPr>
              <w:rPr>
                <w:sz w:val="15"/>
                <w:szCs w:val="15"/>
              </w:rPr>
            </w:pPr>
            <w:r w:rsidRPr="006A1EC7">
              <w:rPr>
                <w:sz w:val="15"/>
                <w:szCs w:val="15"/>
              </w:rPr>
              <w:t>No diagnosis, but suspected by caregivers/parents</w:t>
            </w:r>
          </w:p>
        </w:tc>
        <w:tc>
          <w:tcPr>
            <w:tcW w:w="1560" w:type="dxa"/>
          </w:tcPr>
          <w:p w14:paraId="0DF6FF8A" w14:textId="77777777" w:rsidR="0087601C" w:rsidRPr="006A1EC7" w:rsidRDefault="0087601C" w:rsidP="00D56051">
            <w:pPr>
              <w:rPr>
                <w:sz w:val="15"/>
                <w:szCs w:val="15"/>
              </w:rPr>
            </w:pPr>
            <w:r w:rsidRPr="006A1EC7">
              <w:rPr>
                <w:sz w:val="15"/>
                <w:szCs w:val="15"/>
              </w:rPr>
              <w:t>1</w:t>
            </w:r>
          </w:p>
        </w:tc>
      </w:tr>
      <w:tr w:rsidR="0087601C" w:rsidRPr="006A1EC7" w14:paraId="5C48FAE3" w14:textId="77777777" w:rsidTr="00D56051">
        <w:tc>
          <w:tcPr>
            <w:tcW w:w="3397" w:type="dxa"/>
            <w:gridSpan w:val="2"/>
          </w:tcPr>
          <w:p w14:paraId="7C6B8B62" w14:textId="77777777" w:rsidR="0087601C" w:rsidRPr="006A1EC7" w:rsidRDefault="0087601C" w:rsidP="00D56051">
            <w:pPr>
              <w:rPr>
                <w:sz w:val="15"/>
                <w:szCs w:val="15"/>
              </w:rPr>
            </w:pPr>
            <w:r w:rsidRPr="006A1EC7">
              <w:rPr>
                <w:sz w:val="15"/>
                <w:szCs w:val="15"/>
              </w:rPr>
              <w:t>No</w:t>
            </w:r>
          </w:p>
        </w:tc>
        <w:tc>
          <w:tcPr>
            <w:tcW w:w="1560" w:type="dxa"/>
          </w:tcPr>
          <w:p w14:paraId="44CF359F" w14:textId="77777777" w:rsidR="0087601C" w:rsidRPr="006A1EC7" w:rsidRDefault="0087601C" w:rsidP="00D56051">
            <w:pPr>
              <w:rPr>
                <w:sz w:val="15"/>
                <w:szCs w:val="15"/>
              </w:rPr>
            </w:pPr>
            <w:r w:rsidRPr="006A1EC7">
              <w:rPr>
                <w:sz w:val="15"/>
                <w:szCs w:val="15"/>
              </w:rPr>
              <w:t>0</w:t>
            </w:r>
          </w:p>
        </w:tc>
      </w:tr>
    </w:tbl>
    <w:p w14:paraId="76CDC668"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7B68DED1" w14:textId="77777777" w:rsidTr="00D56051">
        <w:tc>
          <w:tcPr>
            <w:tcW w:w="640" w:type="dxa"/>
          </w:tcPr>
          <w:p w14:paraId="4F416BDB" w14:textId="77777777" w:rsidR="0087601C" w:rsidRPr="006A1EC7" w:rsidRDefault="0087601C" w:rsidP="00D56051">
            <w:pPr>
              <w:rPr>
                <w:sz w:val="15"/>
                <w:szCs w:val="15"/>
              </w:rPr>
            </w:pPr>
            <w:r w:rsidRPr="006A1EC7">
              <w:rPr>
                <w:sz w:val="15"/>
                <w:szCs w:val="15"/>
                <w:u w:val="single"/>
              </w:rPr>
              <w:t>3D.2:</w:t>
            </w:r>
          </w:p>
        </w:tc>
        <w:tc>
          <w:tcPr>
            <w:tcW w:w="2757" w:type="dxa"/>
          </w:tcPr>
          <w:p w14:paraId="1BD395F0" w14:textId="77777777" w:rsidR="0087601C" w:rsidRPr="006A1EC7" w:rsidRDefault="0087601C" w:rsidP="00D56051">
            <w:pPr>
              <w:rPr>
                <w:sz w:val="15"/>
                <w:szCs w:val="15"/>
              </w:rPr>
            </w:pPr>
            <w:r w:rsidRPr="006A1EC7">
              <w:rPr>
                <w:sz w:val="15"/>
                <w:szCs w:val="15"/>
              </w:rPr>
              <w:t>If applicable, does the reflux require medication?</w:t>
            </w:r>
          </w:p>
          <w:p w14:paraId="1F2BE8D0" w14:textId="77777777" w:rsidR="0087601C" w:rsidRPr="006A1EC7" w:rsidRDefault="0087601C" w:rsidP="00D56051">
            <w:pPr>
              <w:rPr>
                <w:sz w:val="15"/>
                <w:szCs w:val="15"/>
              </w:rPr>
            </w:pPr>
          </w:p>
        </w:tc>
        <w:tc>
          <w:tcPr>
            <w:tcW w:w="1560" w:type="dxa"/>
          </w:tcPr>
          <w:p w14:paraId="728F381E" w14:textId="77777777" w:rsidR="0087601C" w:rsidRPr="006A1EC7" w:rsidRDefault="0087601C" w:rsidP="00D56051">
            <w:pPr>
              <w:rPr>
                <w:sz w:val="15"/>
                <w:szCs w:val="15"/>
              </w:rPr>
            </w:pPr>
          </w:p>
        </w:tc>
      </w:tr>
      <w:tr w:rsidR="0087601C" w:rsidRPr="006A1EC7" w14:paraId="59F7B7A5" w14:textId="77777777" w:rsidTr="00D56051">
        <w:tc>
          <w:tcPr>
            <w:tcW w:w="3397" w:type="dxa"/>
            <w:gridSpan w:val="2"/>
          </w:tcPr>
          <w:p w14:paraId="0138E4F3" w14:textId="77777777" w:rsidR="0087601C" w:rsidRPr="006A1EC7" w:rsidRDefault="0087601C" w:rsidP="00D56051">
            <w:pPr>
              <w:rPr>
                <w:sz w:val="15"/>
                <w:szCs w:val="15"/>
              </w:rPr>
            </w:pPr>
            <w:r w:rsidRPr="006A1EC7">
              <w:rPr>
                <w:sz w:val="15"/>
                <w:szCs w:val="15"/>
              </w:rPr>
              <w:t>Yes</w:t>
            </w:r>
          </w:p>
        </w:tc>
        <w:tc>
          <w:tcPr>
            <w:tcW w:w="1560" w:type="dxa"/>
          </w:tcPr>
          <w:p w14:paraId="7EB3FCD7" w14:textId="77777777" w:rsidR="0087601C" w:rsidRPr="006A1EC7" w:rsidRDefault="0087601C" w:rsidP="00D56051">
            <w:pPr>
              <w:rPr>
                <w:sz w:val="15"/>
                <w:szCs w:val="15"/>
              </w:rPr>
            </w:pPr>
            <w:r w:rsidRPr="006A1EC7">
              <w:rPr>
                <w:sz w:val="15"/>
                <w:szCs w:val="15"/>
              </w:rPr>
              <w:t>1</w:t>
            </w:r>
          </w:p>
        </w:tc>
      </w:tr>
      <w:tr w:rsidR="0087601C" w:rsidRPr="006A1EC7" w14:paraId="53798A09" w14:textId="77777777" w:rsidTr="00D56051">
        <w:tc>
          <w:tcPr>
            <w:tcW w:w="3397" w:type="dxa"/>
            <w:gridSpan w:val="2"/>
          </w:tcPr>
          <w:p w14:paraId="0F4D1DC5" w14:textId="77777777" w:rsidR="0087601C" w:rsidRPr="006A1EC7" w:rsidRDefault="0087601C" w:rsidP="00D56051">
            <w:pPr>
              <w:rPr>
                <w:sz w:val="15"/>
                <w:szCs w:val="15"/>
              </w:rPr>
            </w:pPr>
            <w:r w:rsidRPr="006A1EC7">
              <w:rPr>
                <w:sz w:val="15"/>
                <w:szCs w:val="15"/>
              </w:rPr>
              <w:t>No</w:t>
            </w:r>
          </w:p>
        </w:tc>
        <w:tc>
          <w:tcPr>
            <w:tcW w:w="1560" w:type="dxa"/>
          </w:tcPr>
          <w:p w14:paraId="1C7BC677" w14:textId="77777777" w:rsidR="0087601C" w:rsidRPr="006A1EC7" w:rsidRDefault="0087601C" w:rsidP="00D56051">
            <w:pPr>
              <w:rPr>
                <w:sz w:val="15"/>
                <w:szCs w:val="15"/>
              </w:rPr>
            </w:pPr>
            <w:r w:rsidRPr="006A1EC7">
              <w:rPr>
                <w:sz w:val="15"/>
                <w:szCs w:val="15"/>
              </w:rPr>
              <w:t>0</w:t>
            </w:r>
          </w:p>
        </w:tc>
      </w:tr>
      <w:tr w:rsidR="0087601C" w:rsidRPr="006A1EC7" w14:paraId="0261C987" w14:textId="77777777" w:rsidTr="00D56051">
        <w:tc>
          <w:tcPr>
            <w:tcW w:w="3397" w:type="dxa"/>
            <w:gridSpan w:val="2"/>
          </w:tcPr>
          <w:p w14:paraId="78B16E0E" w14:textId="77777777" w:rsidR="0087601C" w:rsidRPr="006A1EC7" w:rsidRDefault="0087601C" w:rsidP="00D56051">
            <w:pPr>
              <w:rPr>
                <w:sz w:val="15"/>
                <w:szCs w:val="15"/>
              </w:rPr>
            </w:pPr>
            <w:r w:rsidRPr="006A1EC7">
              <w:rPr>
                <w:sz w:val="15"/>
                <w:szCs w:val="15"/>
              </w:rPr>
              <w:t>N/A</w:t>
            </w:r>
          </w:p>
        </w:tc>
        <w:tc>
          <w:tcPr>
            <w:tcW w:w="1560" w:type="dxa"/>
          </w:tcPr>
          <w:p w14:paraId="49D819C7" w14:textId="77777777" w:rsidR="0087601C" w:rsidRPr="006A1EC7" w:rsidRDefault="0087601C" w:rsidP="00D56051">
            <w:pPr>
              <w:rPr>
                <w:sz w:val="15"/>
                <w:szCs w:val="15"/>
              </w:rPr>
            </w:pPr>
            <w:r w:rsidRPr="006A1EC7">
              <w:rPr>
                <w:sz w:val="15"/>
                <w:szCs w:val="15"/>
              </w:rPr>
              <w:t>0</w:t>
            </w:r>
          </w:p>
        </w:tc>
      </w:tr>
    </w:tbl>
    <w:p w14:paraId="7C7CF889"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5FD944A5" w14:textId="77777777" w:rsidTr="00D56051">
        <w:tc>
          <w:tcPr>
            <w:tcW w:w="640" w:type="dxa"/>
          </w:tcPr>
          <w:p w14:paraId="61579E53" w14:textId="77777777" w:rsidR="0087601C" w:rsidRPr="006A1EC7" w:rsidRDefault="0087601C" w:rsidP="00D56051">
            <w:pPr>
              <w:rPr>
                <w:sz w:val="15"/>
                <w:szCs w:val="15"/>
              </w:rPr>
            </w:pPr>
            <w:r w:rsidRPr="006A1EC7">
              <w:rPr>
                <w:sz w:val="15"/>
                <w:szCs w:val="15"/>
              </w:rPr>
              <w:t>3D.3</w:t>
            </w:r>
          </w:p>
        </w:tc>
        <w:tc>
          <w:tcPr>
            <w:tcW w:w="2757" w:type="dxa"/>
          </w:tcPr>
          <w:p w14:paraId="7961BEF9" w14:textId="77777777" w:rsidR="0087601C" w:rsidRPr="006A1EC7" w:rsidRDefault="0087601C" w:rsidP="00D56051">
            <w:pPr>
              <w:rPr>
                <w:sz w:val="15"/>
                <w:szCs w:val="15"/>
              </w:rPr>
            </w:pPr>
            <w:r w:rsidRPr="006A1EC7">
              <w:rPr>
                <w:sz w:val="15"/>
                <w:szCs w:val="15"/>
              </w:rPr>
              <w:t>If applicable, does the patient experience apparent reflux symptoms?</w:t>
            </w:r>
          </w:p>
          <w:p w14:paraId="35E85B15" w14:textId="77777777" w:rsidR="0087601C" w:rsidRPr="006A1EC7" w:rsidRDefault="0087601C" w:rsidP="00D56051">
            <w:pPr>
              <w:rPr>
                <w:sz w:val="15"/>
                <w:szCs w:val="15"/>
                <w:u w:val="single"/>
              </w:rPr>
            </w:pPr>
          </w:p>
          <w:p w14:paraId="2DFAFB96" w14:textId="77777777" w:rsidR="0087601C" w:rsidRPr="006A1EC7" w:rsidRDefault="0087601C" w:rsidP="00D56051">
            <w:pPr>
              <w:rPr>
                <w:sz w:val="15"/>
                <w:szCs w:val="15"/>
              </w:rPr>
            </w:pPr>
            <w:r w:rsidRPr="006A1EC7">
              <w:rPr>
                <w:i/>
                <w:sz w:val="15"/>
                <w:szCs w:val="15"/>
              </w:rPr>
              <w:lastRenderedPageBreak/>
              <w:t xml:space="preserve"> If more than one applicable, add up</w:t>
            </w:r>
          </w:p>
        </w:tc>
        <w:tc>
          <w:tcPr>
            <w:tcW w:w="1560" w:type="dxa"/>
          </w:tcPr>
          <w:p w14:paraId="109283DC" w14:textId="77777777" w:rsidR="0087601C" w:rsidRPr="006A1EC7" w:rsidRDefault="0087601C" w:rsidP="00D56051">
            <w:pPr>
              <w:rPr>
                <w:sz w:val="15"/>
                <w:szCs w:val="15"/>
              </w:rPr>
            </w:pPr>
          </w:p>
        </w:tc>
      </w:tr>
      <w:tr w:rsidR="0087601C" w:rsidRPr="006A1EC7" w14:paraId="564E9DAD" w14:textId="77777777" w:rsidTr="00D56051">
        <w:tc>
          <w:tcPr>
            <w:tcW w:w="3397" w:type="dxa"/>
            <w:gridSpan w:val="2"/>
          </w:tcPr>
          <w:p w14:paraId="2D2B50D9" w14:textId="77777777" w:rsidR="0087601C" w:rsidRPr="006A1EC7" w:rsidRDefault="0087601C" w:rsidP="00D56051">
            <w:pPr>
              <w:rPr>
                <w:sz w:val="15"/>
                <w:szCs w:val="15"/>
              </w:rPr>
            </w:pPr>
            <w:r w:rsidRPr="006A1EC7">
              <w:rPr>
                <w:sz w:val="15"/>
                <w:szCs w:val="15"/>
              </w:rPr>
              <w:t>Apparent pain/discomfort</w:t>
            </w:r>
          </w:p>
        </w:tc>
        <w:tc>
          <w:tcPr>
            <w:tcW w:w="1560" w:type="dxa"/>
          </w:tcPr>
          <w:p w14:paraId="71C965AD" w14:textId="77777777" w:rsidR="0087601C" w:rsidRPr="006A1EC7" w:rsidRDefault="0087601C" w:rsidP="00D56051">
            <w:pPr>
              <w:rPr>
                <w:sz w:val="15"/>
                <w:szCs w:val="15"/>
              </w:rPr>
            </w:pPr>
            <w:r w:rsidRPr="006A1EC7">
              <w:rPr>
                <w:sz w:val="15"/>
                <w:szCs w:val="15"/>
              </w:rPr>
              <w:t>1</w:t>
            </w:r>
          </w:p>
        </w:tc>
      </w:tr>
      <w:tr w:rsidR="0087601C" w:rsidRPr="006A1EC7" w14:paraId="1DF6BCA0" w14:textId="77777777" w:rsidTr="00D56051">
        <w:tc>
          <w:tcPr>
            <w:tcW w:w="3397" w:type="dxa"/>
            <w:gridSpan w:val="2"/>
          </w:tcPr>
          <w:p w14:paraId="2103CB31" w14:textId="77777777" w:rsidR="0087601C" w:rsidRPr="006A1EC7" w:rsidRDefault="0087601C" w:rsidP="00D56051">
            <w:pPr>
              <w:rPr>
                <w:sz w:val="15"/>
                <w:szCs w:val="15"/>
              </w:rPr>
            </w:pPr>
            <w:r w:rsidRPr="006A1EC7">
              <w:rPr>
                <w:sz w:val="15"/>
                <w:szCs w:val="15"/>
              </w:rPr>
              <w:t>Vomiting shortly after food</w:t>
            </w:r>
          </w:p>
        </w:tc>
        <w:tc>
          <w:tcPr>
            <w:tcW w:w="1560" w:type="dxa"/>
          </w:tcPr>
          <w:p w14:paraId="2996EC5F" w14:textId="77777777" w:rsidR="0087601C" w:rsidRPr="006A1EC7" w:rsidRDefault="0087601C" w:rsidP="00D56051">
            <w:pPr>
              <w:rPr>
                <w:sz w:val="15"/>
                <w:szCs w:val="15"/>
              </w:rPr>
            </w:pPr>
            <w:r w:rsidRPr="006A1EC7">
              <w:rPr>
                <w:sz w:val="15"/>
                <w:szCs w:val="15"/>
              </w:rPr>
              <w:t>1</w:t>
            </w:r>
          </w:p>
        </w:tc>
      </w:tr>
      <w:tr w:rsidR="0087601C" w:rsidRPr="006A1EC7" w14:paraId="1C10CC8F" w14:textId="77777777" w:rsidTr="00D56051">
        <w:tc>
          <w:tcPr>
            <w:tcW w:w="3397" w:type="dxa"/>
            <w:gridSpan w:val="2"/>
          </w:tcPr>
          <w:p w14:paraId="1DAEFDE0" w14:textId="77777777" w:rsidR="0087601C" w:rsidRPr="006A1EC7" w:rsidRDefault="0087601C" w:rsidP="00D56051">
            <w:pPr>
              <w:rPr>
                <w:sz w:val="15"/>
                <w:szCs w:val="15"/>
              </w:rPr>
            </w:pPr>
            <w:r w:rsidRPr="006A1EC7">
              <w:rPr>
                <w:sz w:val="15"/>
                <w:szCs w:val="15"/>
              </w:rPr>
              <w:t>Back arching</w:t>
            </w:r>
          </w:p>
        </w:tc>
        <w:tc>
          <w:tcPr>
            <w:tcW w:w="1560" w:type="dxa"/>
          </w:tcPr>
          <w:p w14:paraId="5D4E333E" w14:textId="77777777" w:rsidR="0087601C" w:rsidRPr="006A1EC7" w:rsidRDefault="0087601C" w:rsidP="00D56051">
            <w:pPr>
              <w:rPr>
                <w:sz w:val="15"/>
                <w:szCs w:val="15"/>
              </w:rPr>
            </w:pPr>
            <w:r w:rsidRPr="006A1EC7">
              <w:rPr>
                <w:sz w:val="15"/>
                <w:szCs w:val="15"/>
              </w:rPr>
              <w:t>1</w:t>
            </w:r>
          </w:p>
        </w:tc>
      </w:tr>
      <w:tr w:rsidR="0087601C" w:rsidRPr="006A1EC7" w14:paraId="3717063E" w14:textId="77777777" w:rsidTr="00D56051">
        <w:tc>
          <w:tcPr>
            <w:tcW w:w="3397" w:type="dxa"/>
            <w:gridSpan w:val="2"/>
          </w:tcPr>
          <w:p w14:paraId="4B84472A" w14:textId="77777777" w:rsidR="0087601C" w:rsidRPr="006A1EC7" w:rsidRDefault="0087601C" w:rsidP="00D56051">
            <w:pPr>
              <w:rPr>
                <w:sz w:val="15"/>
                <w:szCs w:val="15"/>
              </w:rPr>
            </w:pPr>
            <w:r w:rsidRPr="006A1EC7">
              <w:rPr>
                <w:sz w:val="15"/>
                <w:szCs w:val="15"/>
              </w:rPr>
              <w:t>No symptoms</w:t>
            </w:r>
          </w:p>
        </w:tc>
        <w:tc>
          <w:tcPr>
            <w:tcW w:w="1560" w:type="dxa"/>
          </w:tcPr>
          <w:p w14:paraId="2CAAFF75" w14:textId="77777777" w:rsidR="0087601C" w:rsidRPr="006A1EC7" w:rsidRDefault="0087601C" w:rsidP="00D56051">
            <w:pPr>
              <w:rPr>
                <w:sz w:val="15"/>
                <w:szCs w:val="15"/>
              </w:rPr>
            </w:pPr>
            <w:r w:rsidRPr="006A1EC7">
              <w:rPr>
                <w:sz w:val="15"/>
                <w:szCs w:val="15"/>
              </w:rPr>
              <w:t>0</w:t>
            </w:r>
          </w:p>
        </w:tc>
      </w:tr>
      <w:tr w:rsidR="0087601C" w:rsidRPr="006A1EC7" w14:paraId="14E8D8C1" w14:textId="77777777" w:rsidTr="00D56051">
        <w:tc>
          <w:tcPr>
            <w:tcW w:w="3397" w:type="dxa"/>
            <w:gridSpan w:val="2"/>
          </w:tcPr>
          <w:p w14:paraId="09575118" w14:textId="77777777" w:rsidR="0087601C" w:rsidRPr="006A1EC7" w:rsidRDefault="0087601C" w:rsidP="00D56051">
            <w:pPr>
              <w:rPr>
                <w:sz w:val="15"/>
                <w:szCs w:val="15"/>
              </w:rPr>
            </w:pPr>
            <w:r w:rsidRPr="006A1EC7">
              <w:rPr>
                <w:sz w:val="15"/>
                <w:szCs w:val="15"/>
              </w:rPr>
              <w:t>N/A</w:t>
            </w:r>
          </w:p>
        </w:tc>
        <w:tc>
          <w:tcPr>
            <w:tcW w:w="1560" w:type="dxa"/>
          </w:tcPr>
          <w:p w14:paraId="75CEADA7" w14:textId="77777777" w:rsidR="0087601C" w:rsidRPr="006A1EC7" w:rsidRDefault="0087601C" w:rsidP="00D56051">
            <w:pPr>
              <w:rPr>
                <w:sz w:val="15"/>
                <w:szCs w:val="15"/>
              </w:rPr>
            </w:pPr>
            <w:r w:rsidRPr="006A1EC7">
              <w:rPr>
                <w:sz w:val="15"/>
                <w:szCs w:val="15"/>
              </w:rPr>
              <w:t>0</w:t>
            </w:r>
          </w:p>
        </w:tc>
      </w:tr>
    </w:tbl>
    <w:p w14:paraId="43D02BF8" w14:textId="77777777" w:rsidR="0087601C" w:rsidRPr="006A1EC7" w:rsidRDefault="0087601C" w:rsidP="0087601C">
      <w:pPr>
        <w:rPr>
          <w:sz w:val="15"/>
          <w:szCs w:val="15"/>
        </w:rPr>
      </w:pPr>
    </w:p>
    <w:p w14:paraId="2433AA5A" w14:textId="77777777" w:rsidR="0087601C" w:rsidRPr="006A1EC7" w:rsidRDefault="0087601C" w:rsidP="0087601C">
      <w:pPr>
        <w:ind w:firstLine="720"/>
        <w:rPr>
          <w:b/>
          <w:sz w:val="15"/>
          <w:szCs w:val="15"/>
        </w:rPr>
      </w:pPr>
      <w:r w:rsidRPr="006A1EC7">
        <w:rPr>
          <w:b/>
          <w:sz w:val="15"/>
          <w:szCs w:val="15"/>
        </w:rPr>
        <w:t>Part 3: Vomiting</w:t>
      </w:r>
    </w:p>
    <w:p w14:paraId="6D1B0FB1"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5C7170E0" w14:textId="77777777" w:rsidTr="00D56051">
        <w:tc>
          <w:tcPr>
            <w:tcW w:w="640" w:type="dxa"/>
          </w:tcPr>
          <w:p w14:paraId="4235E0B4" w14:textId="77777777" w:rsidR="0087601C" w:rsidRPr="006A1EC7" w:rsidRDefault="0087601C" w:rsidP="00D56051">
            <w:pPr>
              <w:rPr>
                <w:sz w:val="15"/>
                <w:szCs w:val="15"/>
              </w:rPr>
            </w:pPr>
            <w:r w:rsidRPr="006A1EC7">
              <w:rPr>
                <w:sz w:val="15"/>
                <w:szCs w:val="15"/>
                <w:u w:val="single"/>
              </w:rPr>
              <w:t>3E:</w:t>
            </w:r>
          </w:p>
        </w:tc>
        <w:tc>
          <w:tcPr>
            <w:tcW w:w="2757" w:type="dxa"/>
          </w:tcPr>
          <w:p w14:paraId="27FA2658" w14:textId="77777777" w:rsidR="0087601C" w:rsidRPr="006A1EC7" w:rsidRDefault="0087601C" w:rsidP="00D56051">
            <w:pPr>
              <w:rPr>
                <w:sz w:val="15"/>
                <w:szCs w:val="15"/>
              </w:rPr>
            </w:pPr>
            <w:r w:rsidRPr="006A1EC7">
              <w:rPr>
                <w:sz w:val="15"/>
                <w:szCs w:val="15"/>
              </w:rPr>
              <w:t>Does the patient experience any recurrent episodes of vomiting (not caused by apparent infection, not reflux, not associated with feeding itself)?</w:t>
            </w:r>
          </w:p>
          <w:p w14:paraId="429DC65A" w14:textId="77777777" w:rsidR="0087601C" w:rsidRPr="006A1EC7" w:rsidRDefault="0087601C" w:rsidP="00D56051">
            <w:pPr>
              <w:rPr>
                <w:sz w:val="15"/>
                <w:szCs w:val="15"/>
              </w:rPr>
            </w:pPr>
          </w:p>
        </w:tc>
        <w:tc>
          <w:tcPr>
            <w:tcW w:w="1560" w:type="dxa"/>
          </w:tcPr>
          <w:p w14:paraId="39CF3001" w14:textId="77777777" w:rsidR="0087601C" w:rsidRPr="006A1EC7" w:rsidRDefault="0087601C" w:rsidP="00D56051">
            <w:pPr>
              <w:rPr>
                <w:sz w:val="15"/>
                <w:szCs w:val="15"/>
              </w:rPr>
            </w:pPr>
          </w:p>
        </w:tc>
      </w:tr>
      <w:tr w:rsidR="0087601C" w:rsidRPr="006A1EC7" w14:paraId="4C97DE71" w14:textId="77777777" w:rsidTr="00D56051">
        <w:tc>
          <w:tcPr>
            <w:tcW w:w="3397" w:type="dxa"/>
            <w:gridSpan w:val="2"/>
          </w:tcPr>
          <w:p w14:paraId="07042B67" w14:textId="77777777" w:rsidR="0087601C" w:rsidRPr="006A1EC7" w:rsidRDefault="0087601C" w:rsidP="00D56051">
            <w:pPr>
              <w:rPr>
                <w:sz w:val="15"/>
                <w:szCs w:val="15"/>
              </w:rPr>
            </w:pPr>
            <w:r w:rsidRPr="006A1EC7">
              <w:rPr>
                <w:sz w:val="15"/>
                <w:szCs w:val="15"/>
              </w:rPr>
              <w:t>Yes</w:t>
            </w:r>
          </w:p>
        </w:tc>
        <w:tc>
          <w:tcPr>
            <w:tcW w:w="1560" w:type="dxa"/>
          </w:tcPr>
          <w:p w14:paraId="4601C2B8" w14:textId="77777777" w:rsidR="0087601C" w:rsidRPr="006A1EC7" w:rsidRDefault="0087601C" w:rsidP="00D56051">
            <w:pPr>
              <w:rPr>
                <w:sz w:val="15"/>
                <w:szCs w:val="15"/>
              </w:rPr>
            </w:pPr>
            <w:r w:rsidRPr="006A1EC7">
              <w:rPr>
                <w:sz w:val="15"/>
                <w:szCs w:val="15"/>
              </w:rPr>
              <w:t>2</w:t>
            </w:r>
          </w:p>
        </w:tc>
      </w:tr>
      <w:tr w:rsidR="0087601C" w:rsidRPr="006A1EC7" w14:paraId="6CCFFEC9" w14:textId="77777777" w:rsidTr="00D56051">
        <w:tc>
          <w:tcPr>
            <w:tcW w:w="3397" w:type="dxa"/>
            <w:gridSpan w:val="2"/>
          </w:tcPr>
          <w:p w14:paraId="793D6778" w14:textId="77777777" w:rsidR="0087601C" w:rsidRPr="006A1EC7" w:rsidRDefault="0087601C" w:rsidP="00D56051">
            <w:pPr>
              <w:rPr>
                <w:sz w:val="15"/>
                <w:szCs w:val="15"/>
              </w:rPr>
            </w:pPr>
            <w:r w:rsidRPr="006A1EC7">
              <w:rPr>
                <w:sz w:val="15"/>
                <w:szCs w:val="15"/>
              </w:rPr>
              <w:t>Sometimes/intermittently</w:t>
            </w:r>
          </w:p>
        </w:tc>
        <w:tc>
          <w:tcPr>
            <w:tcW w:w="1560" w:type="dxa"/>
          </w:tcPr>
          <w:p w14:paraId="43B75F4E" w14:textId="77777777" w:rsidR="0087601C" w:rsidRPr="006A1EC7" w:rsidRDefault="0087601C" w:rsidP="00D56051">
            <w:pPr>
              <w:rPr>
                <w:sz w:val="15"/>
                <w:szCs w:val="15"/>
              </w:rPr>
            </w:pPr>
            <w:r w:rsidRPr="006A1EC7">
              <w:rPr>
                <w:sz w:val="15"/>
                <w:szCs w:val="15"/>
              </w:rPr>
              <w:t>1</w:t>
            </w:r>
          </w:p>
        </w:tc>
      </w:tr>
      <w:tr w:rsidR="0087601C" w:rsidRPr="006A1EC7" w14:paraId="7F693E4A" w14:textId="77777777" w:rsidTr="00D56051">
        <w:tc>
          <w:tcPr>
            <w:tcW w:w="3397" w:type="dxa"/>
            <w:gridSpan w:val="2"/>
          </w:tcPr>
          <w:p w14:paraId="026E61DB" w14:textId="77777777" w:rsidR="0087601C" w:rsidRPr="006A1EC7" w:rsidRDefault="0087601C" w:rsidP="00D56051">
            <w:pPr>
              <w:rPr>
                <w:sz w:val="15"/>
                <w:szCs w:val="15"/>
              </w:rPr>
            </w:pPr>
            <w:r w:rsidRPr="006A1EC7">
              <w:rPr>
                <w:sz w:val="15"/>
                <w:szCs w:val="15"/>
              </w:rPr>
              <w:t>No</w:t>
            </w:r>
          </w:p>
        </w:tc>
        <w:tc>
          <w:tcPr>
            <w:tcW w:w="1560" w:type="dxa"/>
          </w:tcPr>
          <w:p w14:paraId="5FACB359" w14:textId="77777777" w:rsidR="0087601C" w:rsidRPr="006A1EC7" w:rsidRDefault="0087601C" w:rsidP="00D56051">
            <w:pPr>
              <w:rPr>
                <w:sz w:val="15"/>
                <w:szCs w:val="15"/>
              </w:rPr>
            </w:pPr>
            <w:r w:rsidRPr="006A1EC7">
              <w:rPr>
                <w:sz w:val="15"/>
                <w:szCs w:val="15"/>
              </w:rPr>
              <w:t>0</w:t>
            </w:r>
          </w:p>
        </w:tc>
      </w:tr>
    </w:tbl>
    <w:p w14:paraId="03878F61" w14:textId="77777777" w:rsidR="0087601C" w:rsidRPr="006A1EC7" w:rsidRDefault="0087601C" w:rsidP="0087601C">
      <w:pPr>
        <w:jc w:val="center"/>
        <w:rPr>
          <w:b/>
          <w:sz w:val="15"/>
          <w:szCs w:val="15"/>
        </w:rPr>
      </w:pPr>
    </w:p>
    <w:p w14:paraId="02941E56" w14:textId="77777777" w:rsidR="0087601C" w:rsidRPr="006A1EC7" w:rsidRDefault="0087601C" w:rsidP="0087601C">
      <w:pPr>
        <w:ind w:firstLine="720"/>
        <w:rPr>
          <w:b/>
          <w:sz w:val="15"/>
          <w:szCs w:val="15"/>
        </w:rPr>
      </w:pPr>
      <w:r w:rsidRPr="006A1EC7">
        <w:rPr>
          <w:b/>
          <w:sz w:val="15"/>
          <w:szCs w:val="15"/>
        </w:rPr>
        <w:t xml:space="preserve">Part 4: </w:t>
      </w:r>
      <w:r w:rsidRPr="006A1EC7">
        <w:rPr>
          <w:b/>
          <w:i/>
          <w:sz w:val="15"/>
          <w:szCs w:val="15"/>
        </w:rPr>
        <w:t>Bladder/Bowel control</w:t>
      </w:r>
    </w:p>
    <w:p w14:paraId="075C6F29"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0C976CB7" w14:textId="77777777" w:rsidTr="00D56051">
        <w:tc>
          <w:tcPr>
            <w:tcW w:w="640" w:type="dxa"/>
          </w:tcPr>
          <w:p w14:paraId="002127EE" w14:textId="77777777" w:rsidR="0087601C" w:rsidRPr="006A1EC7" w:rsidRDefault="0087601C" w:rsidP="00D56051">
            <w:pPr>
              <w:rPr>
                <w:bCs/>
                <w:color w:val="FF0000"/>
                <w:sz w:val="15"/>
                <w:szCs w:val="15"/>
                <w:u w:val="single"/>
              </w:rPr>
            </w:pPr>
            <w:r w:rsidRPr="006A1EC7">
              <w:rPr>
                <w:bCs/>
                <w:color w:val="FF0000"/>
                <w:sz w:val="15"/>
                <w:szCs w:val="15"/>
                <w:u w:val="single"/>
              </w:rPr>
              <w:t>3G.1</w:t>
            </w:r>
          </w:p>
        </w:tc>
        <w:tc>
          <w:tcPr>
            <w:tcW w:w="2757" w:type="dxa"/>
          </w:tcPr>
          <w:p w14:paraId="13058A21" w14:textId="77777777" w:rsidR="0087601C" w:rsidRPr="006A1EC7" w:rsidRDefault="0087601C" w:rsidP="00D56051">
            <w:pPr>
              <w:rPr>
                <w:bCs/>
                <w:color w:val="FF0000"/>
                <w:sz w:val="15"/>
                <w:szCs w:val="15"/>
              </w:rPr>
            </w:pPr>
            <w:r w:rsidRPr="006A1EC7">
              <w:rPr>
                <w:bCs/>
                <w:color w:val="FF0000"/>
                <w:sz w:val="15"/>
                <w:szCs w:val="15"/>
              </w:rPr>
              <w:t>IS THE PATIENT URINARY CONTINENT?</w:t>
            </w:r>
          </w:p>
          <w:p w14:paraId="5690D2CF" w14:textId="77777777" w:rsidR="0087601C" w:rsidRPr="006A1EC7" w:rsidRDefault="0087601C" w:rsidP="00D56051">
            <w:pPr>
              <w:rPr>
                <w:bCs/>
                <w:sz w:val="15"/>
                <w:szCs w:val="15"/>
              </w:rPr>
            </w:pPr>
          </w:p>
        </w:tc>
        <w:tc>
          <w:tcPr>
            <w:tcW w:w="1560" w:type="dxa"/>
          </w:tcPr>
          <w:p w14:paraId="0CF420B5" w14:textId="77777777" w:rsidR="0087601C" w:rsidRPr="006A1EC7" w:rsidRDefault="0087601C" w:rsidP="00D56051">
            <w:pPr>
              <w:rPr>
                <w:bCs/>
                <w:sz w:val="15"/>
                <w:szCs w:val="15"/>
              </w:rPr>
            </w:pPr>
          </w:p>
        </w:tc>
      </w:tr>
      <w:tr w:rsidR="0087601C" w:rsidRPr="006A1EC7" w14:paraId="05DA521E" w14:textId="77777777" w:rsidTr="00D56051">
        <w:tc>
          <w:tcPr>
            <w:tcW w:w="3397" w:type="dxa"/>
            <w:gridSpan w:val="2"/>
          </w:tcPr>
          <w:p w14:paraId="28325B5C" w14:textId="77777777" w:rsidR="0087601C" w:rsidRPr="006A1EC7" w:rsidRDefault="0087601C" w:rsidP="00D56051">
            <w:pPr>
              <w:rPr>
                <w:bCs/>
                <w:sz w:val="15"/>
                <w:szCs w:val="15"/>
              </w:rPr>
            </w:pPr>
            <w:r w:rsidRPr="006A1EC7">
              <w:rPr>
                <w:bCs/>
                <w:color w:val="FF0000"/>
                <w:sz w:val="15"/>
                <w:szCs w:val="15"/>
              </w:rPr>
              <w:t>NO, PATIENT NEEDS PADS/NAPPIES AND CANNOT INDICATE WHETHER TOILET IS NEEDED</w:t>
            </w:r>
          </w:p>
        </w:tc>
        <w:tc>
          <w:tcPr>
            <w:tcW w:w="1560" w:type="dxa"/>
          </w:tcPr>
          <w:p w14:paraId="2EE798B6" w14:textId="77777777" w:rsidR="0087601C" w:rsidRPr="006A1EC7" w:rsidRDefault="0087601C" w:rsidP="00D56051">
            <w:pPr>
              <w:rPr>
                <w:bCs/>
                <w:sz w:val="15"/>
                <w:szCs w:val="15"/>
              </w:rPr>
            </w:pPr>
            <w:r w:rsidRPr="006A1EC7">
              <w:rPr>
                <w:bCs/>
                <w:sz w:val="15"/>
                <w:szCs w:val="15"/>
              </w:rPr>
              <w:t>2</w:t>
            </w:r>
          </w:p>
        </w:tc>
      </w:tr>
      <w:tr w:rsidR="0087601C" w:rsidRPr="006A1EC7" w14:paraId="01D6EB93" w14:textId="77777777" w:rsidTr="00D56051">
        <w:tc>
          <w:tcPr>
            <w:tcW w:w="3397" w:type="dxa"/>
            <w:gridSpan w:val="2"/>
          </w:tcPr>
          <w:p w14:paraId="238CEDC4" w14:textId="77777777" w:rsidR="0087601C" w:rsidRPr="006A1EC7" w:rsidRDefault="0087601C" w:rsidP="00D56051">
            <w:pPr>
              <w:rPr>
                <w:bCs/>
                <w:color w:val="FF0000"/>
                <w:sz w:val="15"/>
                <w:szCs w:val="15"/>
              </w:rPr>
            </w:pPr>
            <w:r w:rsidRPr="006A1EC7">
              <w:rPr>
                <w:bCs/>
                <w:color w:val="FF0000"/>
                <w:sz w:val="15"/>
                <w:szCs w:val="15"/>
              </w:rPr>
              <w:t xml:space="preserve">PATIENT IS PARTLY ABLE TO INDICATE </w:t>
            </w:r>
          </w:p>
        </w:tc>
        <w:tc>
          <w:tcPr>
            <w:tcW w:w="1560" w:type="dxa"/>
          </w:tcPr>
          <w:p w14:paraId="708A39C3" w14:textId="77777777" w:rsidR="0087601C" w:rsidRPr="006A1EC7" w:rsidRDefault="0087601C" w:rsidP="00D56051">
            <w:pPr>
              <w:rPr>
                <w:bCs/>
                <w:sz w:val="15"/>
                <w:szCs w:val="15"/>
              </w:rPr>
            </w:pPr>
            <w:r w:rsidRPr="006A1EC7">
              <w:rPr>
                <w:bCs/>
                <w:sz w:val="15"/>
                <w:szCs w:val="15"/>
              </w:rPr>
              <w:t>1</w:t>
            </w:r>
          </w:p>
        </w:tc>
      </w:tr>
      <w:tr w:rsidR="0087601C" w:rsidRPr="006A1EC7" w14:paraId="70200DE8" w14:textId="77777777" w:rsidTr="00D56051">
        <w:tc>
          <w:tcPr>
            <w:tcW w:w="3397" w:type="dxa"/>
            <w:gridSpan w:val="2"/>
          </w:tcPr>
          <w:p w14:paraId="2D181216" w14:textId="77777777" w:rsidR="0087601C" w:rsidRPr="006A1EC7" w:rsidRDefault="0087601C" w:rsidP="00D56051">
            <w:pPr>
              <w:rPr>
                <w:bCs/>
                <w:color w:val="FF0000"/>
                <w:sz w:val="15"/>
                <w:szCs w:val="15"/>
              </w:rPr>
            </w:pPr>
            <w:r w:rsidRPr="006A1EC7">
              <w:rPr>
                <w:bCs/>
                <w:color w:val="FF0000"/>
                <w:sz w:val="15"/>
                <w:szCs w:val="15"/>
              </w:rPr>
              <w:t xml:space="preserve">YES, INDEPENDENT </w:t>
            </w:r>
          </w:p>
        </w:tc>
        <w:tc>
          <w:tcPr>
            <w:tcW w:w="1560" w:type="dxa"/>
          </w:tcPr>
          <w:p w14:paraId="0F7AABDE" w14:textId="77777777" w:rsidR="0087601C" w:rsidRPr="006A1EC7" w:rsidRDefault="0087601C" w:rsidP="00D56051">
            <w:pPr>
              <w:rPr>
                <w:bCs/>
                <w:sz w:val="15"/>
                <w:szCs w:val="15"/>
              </w:rPr>
            </w:pPr>
            <w:r w:rsidRPr="006A1EC7">
              <w:rPr>
                <w:bCs/>
                <w:sz w:val="15"/>
                <w:szCs w:val="15"/>
              </w:rPr>
              <w:t>0</w:t>
            </w:r>
          </w:p>
        </w:tc>
      </w:tr>
    </w:tbl>
    <w:p w14:paraId="18C26835" w14:textId="77777777" w:rsidR="0087601C" w:rsidRPr="006A1EC7" w:rsidRDefault="0087601C" w:rsidP="0087601C">
      <w:pPr>
        <w:rPr>
          <w:bCs/>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7594A285" w14:textId="77777777" w:rsidTr="00D56051">
        <w:tc>
          <w:tcPr>
            <w:tcW w:w="640" w:type="dxa"/>
          </w:tcPr>
          <w:p w14:paraId="75247485" w14:textId="77777777" w:rsidR="0087601C" w:rsidRPr="006A1EC7" w:rsidRDefault="0087601C" w:rsidP="00D56051">
            <w:pPr>
              <w:rPr>
                <w:bCs/>
                <w:sz w:val="15"/>
                <w:szCs w:val="15"/>
              </w:rPr>
            </w:pPr>
            <w:r w:rsidRPr="006A1EC7">
              <w:rPr>
                <w:bCs/>
                <w:color w:val="FF0000"/>
                <w:sz w:val="15"/>
                <w:szCs w:val="15"/>
              </w:rPr>
              <w:t>3G.2</w:t>
            </w:r>
          </w:p>
        </w:tc>
        <w:tc>
          <w:tcPr>
            <w:tcW w:w="2757" w:type="dxa"/>
          </w:tcPr>
          <w:p w14:paraId="12970629" w14:textId="77777777" w:rsidR="0087601C" w:rsidRPr="006A1EC7" w:rsidRDefault="0087601C" w:rsidP="00D56051">
            <w:pPr>
              <w:rPr>
                <w:bCs/>
                <w:color w:val="FF0000"/>
                <w:sz w:val="15"/>
                <w:szCs w:val="15"/>
              </w:rPr>
            </w:pPr>
            <w:r w:rsidRPr="006A1EC7">
              <w:rPr>
                <w:bCs/>
                <w:color w:val="FF0000"/>
                <w:sz w:val="15"/>
                <w:szCs w:val="15"/>
              </w:rPr>
              <w:t>IS THE PATIENT FAECALLY CONTINENT?</w:t>
            </w:r>
          </w:p>
          <w:p w14:paraId="46D3FF7A" w14:textId="77777777" w:rsidR="0087601C" w:rsidRPr="006A1EC7" w:rsidRDefault="0087601C" w:rsidP="00D56051">
            <w:pPr>
              <w:rPr>
                <w:bCs/>
                <w:sz w:val="15"/>
                <w:szCs w:val="15"/>
              </w:rPr>
            </w:pPr>
          </w:p>
        </w:tc>
        <w:tc>
          <w:tcPr>
            <w:tcW w:w="1560" w:type="dxa"/>
          </w:tcPr>
          <w:p w14:paraId="4DFCC815" w14:textId="77777777" w:rsidR="0087601C" w:rsidRPr="006A1EC7" w:rsidRDefault="0087601C" w:rsidP="00D56051">
            <w:pPr>
              <w:rPr>
                <w:bCs/>
                <w:sz w:val="15"/>
                <w:szCs w:val="15"/>
              </w:rPr>
            </w:pPr>
          </w:p>
        </w:tc>
      </w:tr>
      <w:tr w:rsidR="0087601C" w:rsidRPr="006A1EC7" w14:paraId="13259390" w14:textId="77777777" w:rsidTr="00D56051">
        <w:tc>
          <w:tcPr>
            <w:tcW w:w="3397" w:type="dxa"/>
            <w:gridSpan w:val="2"/>
          </w:tcPr>
          <w:p w14:paraId="622BC0CD" w14:textId="77777777" w:rsidR="0087601C" w:rsidRPr="006A1EC7" w:rsidRDefault="0087601C" w:rsidP="00D56051">
            <w:pPr>
              <w:rPr>
                <w:bCs/>
                <w:sz w:val="15"/>
                <w:szCs w:val="15"/>
              </w:rPr>
            </w:pPr>
            <w:r w:rsidRPr="006A1EC7">
              <w:rPr>
                <w:bCs/>
                <w:color w:val="FF0000"/>
                <w:sz w:val="15"/>
                <w:szCs w:val="15"/>
              </w:rPr>
              <w:t>NO, PATIENT NEEDS PADS/NAPPIES AND CANNOT INDICATE WHETHER TOILET IS NEEDED</w:t>
            </w:r>
          </w:p>
        </w:tc>
        <w:tc>
          <w:tcPr>
            <w:tcW w:w="1560" w:type="dxa"/>
          </w:tcPr>
          <w:p w14:paraId="4390554F" w14:textId="77777777" w:rsidR="0087601C" w:rsidRPr="006A1EC7" w:rsidRDefault="0087601C" w:rsidP="00D56051">
            <w:pPr>
              <w:rPr>
                <w:bCs/>
                <w:sz w:val="15"/>
                <w:szCs w:val="15"/>
              </w:rPr>
            </w:pPr>
            <w:r w:rsidRPr="006A1EC7">
              <w:rPr>
                <w:bCs/>
                <w:sz w:val="15"/>
                <w:szCs w:val="15"/>
              </w:rPr>
              <w:t>2</w:t>
            </w:r>
          </w:p>
        </w:tc>
      </w:tr>
      <w:tr w:rsidR="0087601C" w:rsidRPr="006A1EC7" w14:paraId="556758C5" w14:textId="77777777" w:rsidTr="00D56051">
        <w:tc>
          <w:tcPr>
            <w:tcW w:w="3397" w:type="dxa"/>
            <w:gridSpan w:val="2"/>
          </w:tcPr>
          <w:p w14:paraId="239AC951" w14:textId="77777777" w:rsidR="0087601C" w:rsidRPr="006A1EC7" w:rsidRDefault="0087601C" w:rsidP="00D56051">
            <w:pPr>
              <w:rPr>
                <w:bCs/>
                <w:sz w:val="15"/>
                <w:szCs w:val="15"/>
              </w:rPr>
            </w:pPr>
            <w:r w:rsidRPr="006A1EC7">
              <w:rPr>
                <w:bCs/>
                <w:color w:val="FF0000"/>
                <w:sz w:val="15"/>
                <w:szCs w:val="15"/>
              </w:rPr>
              <w:t>PATIENT IS PARTLY ABLE TO INDICATE</w:t>
            </w:r>
          </w:p>
        </w:tc>
        <w:tc>
          <w:tcPr>
            <w:tcW w:w="1560" w:type="dxa"/>
          </w:tcPr>
          <w:p w14:paraId="0429DF47" w14:textId="77777777" w:rsidR="0087601C" w:rsidRPr="006A1EC7" w:rsidRDefault="0087601C" w:rsidP="00D56051">
            <w:pPr>
              <w:rPr>
                <w:bCs/>
                <w:sz w:val="15"/>
                <w:szCs w:val="15"/>
              </w:rPr>
            </w:pPr>
            <w:r w:rsidRPr="006A1EC7">
              <w:rPr>
                <w:bCs/>
                <w:sz w:val="15"/>
                <w:szCs w:val="15"/>
              </w:rPr>
              <w:t>1</w:t>
            </w:r>
          </w:p>
        </w:tc>
      </w:tr>
      <w:tr w:rsidR="0087601C" w:rsidRPr="006A1EC7" w14:paraId="20A0A2F8" w14:textId="77777777" w:rsidTr="00D56051">
        <w:tc>
          <w:tcPr>
            <w:tcW w:w="3397" w:type="dxa"/>
            <w:gridSpan w:val="2"/>
          </w:tcPr>
          <w:p w14:paraId="78C55D52" w14:textId="77777777" w:rsidR="0087601C" w:rsidRPr="006A1EC7" w:rsidRDefault="0087601C" w:rsidP="00D56051">
            <w:pPr>
              <w:rPr>
                <w:bCs/>
                <w:color w:val="FF0000"/>
                <w:sz w:val="15"/>
                <w:szCs w:val="15"/>
              </w:rPr>
            </w:pPr>
            <w:r w:rsidRPr="006A1EC7">
              <w:rPr>
                <w:bCs/>
                <w:color w:val="FF0000"/>
                <w:sz w:val="15"/>
                <w:szCs w:val="15"/>
              </w:rPr>
              <w:t xml:space="preserve">YES, INDEPENDENT </w:t>
            </w:r>
          </w:p>
        </w:tc>
        <w:tc>
          <w:tcPr>
            <w:tcW w:w="1560" w:type="dxa"/>
          </w:tcPr>
          <w:p w14:paraId="469A183C" w14:textId="77777777" w:rsidR="0087601C" w:rsidRPr="006A1EC7" w:rsidRDefault="0087601C" w:rsidP="00D56051">
            <w:pPr>
              <w:rPr>
                <w:bCs/>
                <w:sz w:val="15"/>
                <w:szCs w:val="15"/>
              </w:rPr>
            </w:pPr>
            <w:r w:rsidRPr="006A1EC7">
              <w:rPr>
                <w:bCs/>
                <w:sz w:val="15"/>
                <w:szCs w:val="15"/>
              </w:rPr>
              <w:t>0</w:t>
            </w:r>
          </w:p>
        </w:tc>
      </w:tr>
    </w:tbl>
    <w:p w14:paraId="4D98D085"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1129"/>
        <w:gridCol w:w="3828"/>
      </w:tblGrid>
      <w:tr w:rsidR="0087601C" w:rsidRPr="006A1EC7" w14:paraId="192D3520" w14:textId="77777777" w:rsidTr="00D56051">
        <w:tc>
          <w:tcPr>
            <w:tcW w:w="1129" w:type="dxa"/>
          </w:tcPr>
          <w:p w14:paraId="7A8462A4" w14:textId="77777777" w:rsidR="0087601C" w:rsidRPr="006A1EC7" w:rsidRDefault="0087601C" w:rsidP="00D56051">
            <w:pPr>
              <w:rPr>
                <w:sz w:val="15"/>
                <w:szCs w:val="15"/>
              </w:rPr>
            </w:pPr>
            <w:r w:rsidRPr="006A1EC7">
              <w:rPr>
                <w:sz w:val="15"/>
                <w:szCs w:val="15"/>
              </w:rPr>
              <w:t>Details:</w:t>
            </w:r>
          </w:p>
        </w:tc>
        <w:tc>
          <w:tcPr>
            <w:tcW w:w="3828" w:type="dxa"/>
          </w:tcPr>
          <w:p w14:paraId="43C93619" w14:textId="77777777" w:rsidR="0087601C" w:rsidRPr="006A1EC7" w:rsidRDefault="0087601C" w:rsidP="00D56051">
            <w:pPr>
              <w:rPr>
                <w:sz w:val="15"/>
                <w:szCs w:val="15"/>
              </w:rPr>
            </w:pPr>
          </w:p>
        </w:tc>
      </w:tr>
    </w:tbl>
    <w:p w14:paraId="765BD082" w14:textId="77777777" w:rsidR="0087601C" w:rsidRPr="006A1EC7" w:rsidRDefault="0087601C" w:rsidP="0087601C">
      <w:pPr>
        <w:rPr>
          <w:sz w:val="15"/>
          <w:szCs w:val="15"/>
        </w:rPr>
      </w:pPr>
    </w:p>
    <w:p w14:paraId="3B5AFACC" w14:textId="77777777" w:rsidR="0087601C" w:rsidRPr="006A1EC7" w:rsidRDefault="0087601C" w:rsidP="0087601C">
      <w:pPr>
        <w:ind w:firstLine="720"/>
        <w:rPr>
          <w:b/>
          <w:sz w:val="15"/>
          <w:szCs w:val="15"/>
        </w:rPr>
      </w:pPr>
      <w:r w:rsidRPr="006A1EC7">
        <w:rPr>
          <w:b/>
          <w:sz w:val="15"/>
          <w:szCs w:val="15"/>
        </w:rPr>
        <w:t>Part 5: Bowel movements</w:t>
      </w:r>
    </w:p>
    <w:p w14:paraId="2C54296B"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158E26AF" w14:textId="77777777" w:rsidTr="00D56051">
        <w:tc>
          <w:tcPr>
            <w:tcW w:w="640" w:type="dxa"/>
          </w:tcPr>
          <w:p w14:paraId="33C5C863" w14:textId="77777777" w:rsidR="0087601C" w:rsidRPr="006A1EC7" w:rsidRDefault="0087601C" w:rsidP="00D56051">
            <w:pPr>
              <w:rPr>
                <w:sz w:val="15"/>
                <w:szCs w:val="15"/>
              </w:rPr>
            </w:pPr>
            <w:r w:rsidRPr="006A1EC7">
              <w:rPr>
                <w:sz w:val="15"/>
                <w:szCs w:val="15"/>
                <w:u w:val="single"/>
              </w:rPr>
              <w:t>3F.1</w:t>
            </w:r>
          </w:p>
        </w:tc>
        <w:tc>
          <w:tcPr>
            <w:tcW w:w="2757" w:type="dxa"/>
          </w:tcPr>
          <w:p w14:paraId="45A541A0" w14:textId="77777777" w:rsidR="0087601C" w:rsidRPr="006A1EC7" w:rsidRDefault="0087601C" w:rsidP="00D56051">
            <w:pPr>
              <w:rPr>
                <w:sz w:val="15"/>
                <w:szCs w:val="15"/>
              </w:rPr>
            </w:pPr>
            <w:r w:rsidRPr="006A1EC7">
              <w:rPr>
                <w:sz w:val="15"/>
                <w:szCs w:val="15"/>
              </w:rPr>
              <w:t>Over the past 6 months, has the patient experienced any issues with constipation?</w:t>
            </w:r>
          </w:p>
          <w:p w14:paraId="6FD371C9" w14:textId="77777777" w:rsidR="0087601C" w:rsidRPr="006A1EC7" w:rsidRDefault="0087601C" w:rsidP="00D56051">
            <w:pPr>
              <w:rPr>
                <w:sz w:val="15"/>
                <w:szCs w:val="15"/>
              </w:rPr>
            </w:pPr>
          </w:p>
        </w:tc>
        <w:tc>
          <w:tcPr>
            <w:tcW w:w="1560" w:type="dxa"/>
          </w:tcPr>
          <w:p w14:paraId="1DC123FB" w14:textId="77777777" w:rsidR="0087601C" w:rsidRPr="006A1EC7" w:rsidRDefault="0087601C" w:rsidP="00D56051">
            <w:pPr>
              <w:rPr>
                <w:sz w:val="15"/>
                <w:szCs w:val="15"/>
              </w:rPr>
            </w:pPr>
          </w:p>
        </w:tc>
      </w:tr>
      <w:tr w:rsidR="0087601C" w:rsidRPr="006A1EC7" w14:paraId="49A41DD9" w14:textId="77777777" w:rsidTr="00D56051">
        <w:tc>
          <w:tcPr>
            <w:tcW w:w="3397" w:type="dxa"/>
            <w:gridSpan w:val="2"/>
          </w:tcPr>
          <w:p w14:paraId="096EBA87" w14:textId="77777777" w:rsidR="0087601C" w:rsidRPr="006A1EC7" w:rsidRDefault="0087601C" w:rsidP="00D56051">
            <w:pPr>
              <w:rPr>
                <w:sz w:val="15"/>
                <w:szCs w:val="15"/>
              </w:rPr>
            </w:pPr>
            <w:r w:rsidRPr="006A1EC7">
              <w:rPr>
                <w:sz w:val="15"/>
                <w:szCs w:val="15"/>
              </w:rPr>
              <w:t xml:space="preserve">Most of the time </w:t>
            </w:r>
          </w:p>
        </w:tc>
        <w:tc>
          <w:tcPr>
            <w:tcW w:w="1560" w:type="dxa"/>
          </w:tcPr>
          <w:p w14:paraId="77F6944C" w14:textId="77777777" w:rsidR="0087601C" w:rsidRPr="006A1EC7" w:rsidRDefault="0087601C" w:rsidP="00D56051">
            <w:pPr>
              <w:rPr>
                <w:sz w:val="15"/>
                <w:szCs w:val="15"/>
              </w:rPr>
            </w:pPr>
            <w:r w:rsidRPr="006A1EC7">
              <w:rPr>
                <w:sz w:val="15"/>
                <w:szCs w:val="15"/>
              </w:rPr>
              <w:t>2</w:t>
            </w:r>
          </w:p>
        </w:tc>
      </w:tr>
      <w:tr w:rsidR="0087601C" w:rsidRPr="006A1EC7" w14:paraId="3BD3AB7A" w14:textId="77777777" w:rsidTr="00D56051">
        <w:tc>
          <w:tcPr>
            <w:tcW w:w="3397" w:type="dxa"/>
            <w:gridSpan w:val="2"/>
          </w:tcPr>
          <w:p w14:paraId="3819D996" w14:textId="77777777" w:rsidR="0087601C" w:rsidRPr="006A1EC7" w:rsidRDefault="0087601C" w:rsidP="00D56051">
            <w:pPr>
              <w:rPr>
                <w:sz w:val="15"/>
                <w:szCs w:val="15"/>
              </w:rPr>
            </w:pPr>
            <w:r w:rsidRPr="006A1EC7">
              <w:rPr>
                <w:sz w:val="15"/>
                <w:szCs w:val="15"/>
              </w:rPr>
              <w:t xml:space="preserve">Some of the time </w:t>
            </w:r>
          </w:p>
        </w:tc>
        <w:tc>
          <w:tcPr>
            <w:tcW w:w="1560" w:type="dxa"/>
          </w:tcPr>
          <w:p w14:paraId="52BD1B78" w14:textId="77777777" w:rsidR="0087601C" w:rsidRPr="006A1EC7" w:rsidRDefault="0087601C" w:rsidP="00D56051">
            <w:pPr>
              <w:rPr>
                <w:sz w:val="15"/>
                <w:szCs w:val="15"/>
              </w:rPr>
            </w:pPr>
            <w:r w:rsidRPr="006A1EC7">
              <w:rPr>
                <w:sz w:val="15"/>
                <w:szCs w:val="15"/>
              </w:rPr>
              <w:t>1</w:t>
            </w:r>
          </w:p>
        </w:tc>
      </w:tr>
      <w:tr w:rsidR="0087601C" w:rsidRPr="006A1EC7" w14:paraId="4B489CD4" w14:textId="77777777" w:rsidTr="00D56051">
        <w:tc>
          <w:tcPr>
            <w:tcW w:w="3397" w:type="dxa"/>
            <w:gridSpan w:val="2"/>
          </w:tcPr>
          <w:p w14:paraId="42663BD7" w14:textId="77777777" w:rsidR="0087601C" w:rsidRPr="006A1EC7" w:rsidRDefault="0087601C" w:rsidP="00D56051">
            <w:pPr>
              <w:rPr>
                <w:sz w:val="15"/>
                <w:szCs w:val="15"/>
              </w:rPr>
            </w:pPr>
            <w:r w:rsidRPr="006A1EC7">
              <w:rPr>
                <w:sz w:val="15"/>
                <w:szCs w:val="15"/>
              </w:rPr>
              <w:t xml:space="preserve">Rarely </w:t>
            </w:r>
          </w:p>
        </w:tc>
        <w:tc>
          <w:tcPr>
            <w:tcW w:w="1560" w:type="dxa"/>
          </w:tcPr>
          <w:p w14:paraId="67127CBF" w14:textId="77777777" w:rsidR="0087601C" w:rsidRPr="006A1EC7" w:rsidRDefault="0087601C" w:rsidP="00D56051">
            <w:pPr>
              <w:rPr>
                <w:sz w:val="15"/>
                <w:szCs w:val="15"/>
              </w:rPr>
            </w:pPr>
            <w:r w:rsidRPr="006A1EC7">
              <w:rPr>
                <w:sz w:val="15"/>
                <w:szCs w:val="15"/>
              </w:rPr>
              <w:t>0</w:t>
            </w:r>
          </w:p>
        </w:tc>
      </w:tr>
    </w:tbl>
    <w:p w14:paraId="3BB54B01"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2B49C7F1" w14:textId="77777777" w:rsidTr="00D56051">
        <w:tc>
          <w:tcPr>
            <w:tcW w:w="640" w:type="dxa"/>
          </w:tcPr>
          <w:p w14:paraId="350B44F9" w14:textId="77777777" w:rsidR="0087601C" w:rsidRPr="006A1EC7" w:rsidRDefault="0087601C" w:rsidP="00D56051">
            <w:pPr>
              <w:rPr>
                <w:sz w:val="15"/>
                <w:szCs w:val="15"/>
              </w:rPr>
            </w:pPr>
            <w:r w:rsidRPr="006A1EC7">
              <w:rPr>
                <w:sz w:val="15"/>
                <w:szCs w:val="15"/>
                <w:u w:val="single"/>
              </w:rPr>
              <w:t>3F.2:</w:t>
            </w:r>
          </w:p>
        </w:tc>
        <w:tc>
          <w:tcPr>
            <w:tcW w:w="2757" w:type="dxa"/>
          </w:tcPr>
          <w:p w14:paraId="0C61D59C" w14:textId="77777777" w:rsidR="0087601C" w:rsidRPr="006A1EC7" w:rsidRDefault="0087601C" w:rsidP="00D56051">
            <w:pPr>
              <w:rPr>
                <w:sz w:val="15"/>
                <w:szCs w:val="15"/>
              </w:rPr>
            </w:pPr>
            <w:r w:rsidRPr="006A1EC7">
              <w:rPr>
                <w:sz w:val="15"/>
                <w:szCs w:val="15"/>
              </w:rPr>
              <w:t xml:space="preserve">If applicable, what specific constipation-related issues does the patient suffer? </w:t>
            </w:r>
          </w:p>
          <w:p w14:paraId="204C6A49" w14:textId="77777777" w:rsidR="0087601C" w:rsidRPr="006A1EC7" w:rsidRDefault="0087601C" w:rsidP="00D56051">
            <w:pPr>
              <w:rPr>
                <w:sz w:val="15"/>
                <w:szCs w:val="15"/>
                <w:u w:val="single"/>
              </w:rPr>
            </w:pPr>
          </w:p>
          <w:p w14:paraId="2E96373B" w14:textId="77777777" w:rsidR="0087601C" w:rsidRPr="006A1EC7" w:rsidRDefault="0087601C" w:rsidP="00D56051">
            <w:pPr>
              <w:rPr>
                <w:sz w:val="15"/>
                <w:szCs w:val="15"/>
                <w:u w:val="single"/>
              </w:rPr>
            </w:pPr>
            <w:r w:rsidRPr="006A1EC7">
              <w:rPr>
                <w:i/>
                <w:sz w:val="15"/>
                <w:szCs w:val="15"/>
              </w:rPr>
              <w:t>If more than one applicable, add up</w:t>
            </w:r>
          </w:p>
        </w:tc>
        <w:tc>
          <w:tcPr>
            <w:tcW w:w="1560" w:type="dxa"/>
          </w:tcPr>
          <w:p w14:paraId="53D19B90" w14:textId="77777777" w:rsidR="0087601C" w:rsidRPr="006A1EC7" w:rsidRDefault="0087601C" w:rsidP="00D56051">
            <w:pPr>
              <w:rPr>
                <w:sz w:val="15"/>
                <w:szCs w:val="15"/>
              </w:rPr>
            </w:pPr>
          </w:p>
        </w:tc>
      </w:tr>
      <w:tr w:rsidR="0087601C" w:rsidRPr="006A1EC7" w14:paraId="6076828F" w14:textId="77777777" w:rsidTr="00D56051">
        <w:tc>
          <w:tcPr>
            <w:tcW w:w="3397" w:type="dxa"/>
            <w:gridSpan w:val="2"/>
          </w:tcPr>
          <w:p w14:paraId="48884037" w14:textId="77777777" w:rsidR="0087601C" w:rsidRPr="006A1EC7" w:rsidRDefault="0087601C" w:rsidP="00D56051">
            <w:pPr>
              <w:rPr>
                <w:sz w:val="15"/>
                <w:szCs w:val="15"/>
              </w:rPr>
            </w:pPr>
            <w:r w:rsidRPr="006A1EC7">
              <w:rPr>
                <w:sz w:val="15"/>
                <w:szCs w:val="15"/>
              </w:rPr>
              <w:t xml:space="preserve">Abdominal distention/bloating </w:t>
            </w:r>
          </w:p>
        </w:tc>
        <w:tc>
          <w:tcPr>
            <w:tcW w:w="1560" w:type="dxa"/>
          </w:tcPr>
          <w:p w14:paraId="2E146BC0" w14:textId="77777777" w:rsidR="0087601C" w:rsidRPr="006A1EC7" w:rsidRDefault="0087601C" w:rsidP="00D56051">
            <w:pPr>
              <w:rPr>
                <w:sz w:val="15"/>
                <w:szCs w:val="15"/>
              </w:rPr>
            </w:pPr>
            <w:r w:rsidRPr="006A1EC7">
              <w:rPr>
                <w:sz w:val="15"/>
                <w:szCs w:val="15"/>
              </w:rPr>
              <w:t>1</w:t>
            </w:r>
          </w:p>
        </w:tc>
      </w:tr>
      <w:tr w:rsidR="0087601C" w:rsidRPr="006A1EC7" w14:paraId="64A5474B" w14:textId="77777777" w:rsidTr="00D56051">
        <w:tc>
          <w:tcPr>
            <w:tcW w:w="3397" w:type="dxa"/>
            <w:gridSpan w:val="2"/>
          </w:tcPr>
          <w:p w14:paraId="3D7B91AC" w14:textId="77777777" w:rsidR="0087601C" w:rsidRPr="006A1EC7" w:rsidRDefault="0087601C" w:rsidP="00D56051">
            <w:pPr>
              <w:rPr>
                <w:sz w:val="15"/>
                <w:szCs w:val="15"/>
              </w:rPr>
            </w:pPr>
            <w:r w:rsidRPr="006A1EC7">
              <w:rPr>
                <w:sz w:val="15"/>
                <w:szCs w:val="15"/>
              </w:rPr>
              <w:t>Inability to pass stool</w:t>
            </w:r>
          </w:p>
        </w:tc>
        <w:tc>
          <w:tcPr>
            <w:tcW w:w="1560" w:type="dxa"/>
          </w:tcPr>
          <w:p w14:paraId="489058A3" w14:textId="77777777" w:rsidR="0087601C" w:rsidRPr="006A1EC7" w:rsidRDefault="0087601C" w:rsidP="00D56051">
            <w:pPr>
              <w:rPr>
                <w:sz w:val="15"/>
                <w:szCs w:val="15"/>
              </w:rPr>
            </w:pPr>
            <w:r w:rsidRPr="006A1EC7">
              <w:rPr>
                <w:sz w:val="15"/>
                <w:szCs w:val="15"/>
              </w:rPr>
              <w:t>1</w:t>
            </w:r>
          </w:p>
        </w:tc>
      </w:tr>
      <w:tr w:rsidR="0087601C" w:rsidRPr="006A1EC7" w14:paraId="71FEDD2D" w14:textId="77777777" w:rsidTr="00D56051">
        <w:tc>
          <w:tcPr>
            <w:tcW w:w="3397" w:type="dxa"/>
            <w:gridSpan w:val="2"/>
          </w:tcPr>
          <w:p w14:paraId="33ACFF88" w14:textId="77777777" w:rsidR="0087601C" w:rsidRPr="006A1EC7" w:rsidRDefault="0087601C" w:rsidP="00D56051">
            <w:pPr>
              <w:rPr>
                <w:sz w:val="15"/>
                <w:szCs w:val="15"/>
              </w:rPr>
            </w:pPr>
            <w:r w:rsidRPr="006A1EC7">
              <w:rPr>
                <w:sz w:val="15"/>
                <w:szCs w:val="15"/>
              </w:rPr>
              <w:t>Observable pain/cramps</w:t>
            </w:r>
          </w:p>
        </w:tc>
        <w:tc>
          <w:tcPr>
            <w:tcW w:w="1560" w:type="dxa"/>
          </w:tcPr>
          <w:p w14:paraId="0ED3E4D8" w14:textId="77777777" w:rsidR="0087601C" w:rsidRPr="006A1EC7" w:rsidRDefault="0087601C" w:rsidP="00D56051">
            <w:pPr>
              <w:rPr>
                <w:sz w:val="15"/>
                <w:szCs w:val="15"/>
              </w:rPr>
            </w:pPr>
            <w:r w:rsidRPr="006A1EC7">
              <w:rPr>
                <w:sz w:val="15"/>
                <w:szCs w:val="15"/>
              </w:rPr>
              <w:t>1</w:t>
            </w:r>
          </w:p>
        </w:tc>
      </w:tr>
    </w:tbl>
    <w:p w14:paraId="5977F5B7"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7D6B222C" w14:textId="77777777" w:rsidTr="00D56051">
        <w:tc>
          <w:tcPr>
            <w:tcW w:w="640" w:type="dxa"/>
          </w:tcPr>
          <w:p w14:paraId="6A1A5CBF" w14:textId="77777777" w:rsidR="0087601C" w:rsidRPr="006A1EC7" w:rsidRDefault="0087601C" w:rsidP="00D56051">
            <w:pPr>
              <w:rPr>
                <w:sz w:val="15"/>
                <w:szCs w:val="15"/>
              </w:rPr>
            </w:pPr>
            <w:r w:rsidRPr="006A1EC7">
              <w:rPr>
                <w:sz w:val="15"/>
                <w:szCs w:val="15"/>
                <w:u w:val="single"/>
              </w:rPr>
              <w:t>3F.3</w:t>
            </w:r>
          </w:p>
        </w:tc>
        <w:tc>
          <w:tcPr>
            <w:tcW w:w="2757" w:type="dxa"/>
          </w:tcPr>
          <w:p w14:paraId="1065017A" w14:textId="77777777" w:rsidR="0087601C" w:rsidRPr="006A1EC7" w:rsidRDefault="0087601C" w:rsidP="00D56051">
            <w:pPr>
              <w:rPr>
                <w:sz w:val="15"/>
                <w:szCs w:val="15"/>
              </w:rPr>
            </w:pPr>
            <w:r w:rsidRPr="006A1EC7">
              <w:rPr>
                <w:sz w:val="15"/>
                <w:szCs w:val="15"/>
              </w:rPr>
              <w:t>Over the past 6 months, has the patient experienced any problems with diarrhoea? (not caused by evident infection)</w:t>
            </w:r>
          </w:p>
          <w:p w14:paraId="0DF662FD" w14:textId="77777777" w:rsidR="0087601C" w:rsidRPr="006A1EC7" w:rsidRDefault="0087601C" w:rsidP="00D56051">
            <w:pPr>
              <w:rPr>
                <w:sz w:val="15"/>
                <w:szCs w:val="15"/>
                <w:u w:val="single"/>
              </w:rPr>
            </w:pPr>
          </w:p>
        </w:tc>
        <w:tc>
          <w:tcPr>
            <w:tcW w:w="1560" w:type="dxa"/>
          </w:tcPr>
          <w:p w14:paraId="40404A31" w14:textId="77777777" w:rsidR="0087601C" w:rsidRPr="006A1EC7" w:rsidRDefault="0087601C" w:rsidP="00D56051">
            <w:pPr>
              <w:rPr>
                <w:sz w:val="15"/>
                <w:szCs w:val="15"/>
              </w:rPr>
            </w:pPr>
          </w:p>
        </w:tc>
      </w:tr>
      <w:tr w:rsidR="0087601C" w:rsidRPr="006A1EC7" w14:paraId="509D8524" w14:textId="77777777" w:rsidTr="00D56051">
        <w:tc>
          <w:tcPr>
            <w:tcW w:w="3397" w:type="dxa"/>
            <w:gridSpan w:val="2"/>
          </w:tcPr>
          <w:p w14:paraId="120AF32A" w14:textId="77777777" w:rsidR="0087601C" w:rsidRPr="006A1EC7" w:rsidRDefault="0087601C" w:rsidP="00D56051">
            <w:pPr>
              <w:rPr>
                <w:sz w:val="15"/>
                <w:szCs w:val="15"/>
              </w:rPr>
            </w:pPr>
            <w:r w:rsidRPr="006A1EC7">
              <w:rPr>
                <w:sz w:val="15"/>
                <w:szCs w:val="15"/>
              </w:rPr>
              <w:lastRenderedPageBreak/>
              <w:t>Most of the time</w:t>
            </w:r>
          </w:p>
        </w:tc>
        <w:tc>
          <w:tcPr>
            <w:tcW w:w="1560" w:type="dxa"/>
          </w:tcPr>
          <w:p w14:paraId="491F4B6E" w14:textId="77777777" w:rsidR="0087601C" w:rsidRPr="006A1EC7" w:rsidRDefault="0087601C" w:rsidP="00D56051">
            <w:pPr>
              <w:rPr>
                <w:sz w:val="15"/>
                <w:szCs w:val="15"/>
              </w:rPr>
            </w:pPr>
            <w:r w:rsidRPr="006A1EC7">
              <w:rPr>
                <w:sz w:val="15"/>
                <w:szCs w:val="15"/>
              </w:rPr>
              <w:t>2</w:t>
            </w:r>
          </w:p>
        </w:tc>
      </w:tr>
      <w:tr w:rsidR="0087601C" w:rsidRPr="006A1EC7" w14:paraId="152AD13B" w14:textId="77777777" w:rsidTr="00D56051">
        <w:tc>
          <w:tcPr>
            <w:tcW w:w="3397" w:type="dxa"/>
            <w:gridSpan w:val="2"/>
          </w:tcPr>
          <w:p w14:paraId="4609892C" w14:textId="77777777" w:rsidR="0087601C" w:rsidRPr="006A1EC7" w:rsidRDefault="0087601C" w:rsidP="00D56051">
            <w:pPr>
              <w:rPr>
                <w:sz w:val="15"/>
                <w:szCs w:val="15"/>
              </w:rPr>
            </w:pPr>
            <w:r w:rsidRPr="006A1EC7">
              <w:rPr>
                <w:sz w:val="15"/>
                <w:szCs w:val="15"/>
              </w:rPr>
              <w:t>Some of the time</w:t>
            </w:r>
          </w:p>
        </w:tc>
        <w:tc>
          <w:tcPr>
            <w:tcW w:w="1560" w:type="dxa"/>
          </w:tcPr>
          <w:p w14:paraId="76E047AE" w14:textId="77777777" w:rsidR="0087601C" w:rsidRPr="006A1EC7" w:rsidRDefault="0087601C" w:rsidP="00D56051">
            <w:pPr>
              <w:rPr>
                <w:sz w:val="15"/>
                <w:szCs w:val="15"/>
              </w:rPr>
            </w:pPr>
            <w:r w:rsidRPr="006A1EC7">
              <w:rPr>
                <w:sz w:val="15"/>
                <w:szCs w:val="15"/>
              </w:rPr>
              <w:t>1</w:t>
            </w:r>
          </w:p>
        </w:tc>
      </w:tr>
      <w:tr w:rsidR="0087601C" w:rsidRPr="006A1EC7" w14:paraId="30F3A9E0" w14:textId="77777777" w:rsidTr="00D56051">
        <w:tc>
          <w:tcPr>
            <w:tcW w:w="3397" w:type="dxa"/>
            <w:gridSpan w:val="2"/>
          </w:tcPr>
          <w:p w14:paraId="26A97105" w14:textId="77777777" w:rsidR="0087601C" w:rsidRPr="006A1EC7" w:rsidRDefault="0087601C" w:rsidP="00D56051">
            <w:pPr>
              <w:rPr>
                <w:sz w:val="15"/>
                <w:szCs w:val="15"/>
              </w:rPr>
            </w:pPr>
            <w:r w:rsidRPr="006A1EC7">
              <w:rPr>
                <w:sz w:val="15"/>
                <w:szCs w:val="15"/>
              </w:rPr>
              <w:t>Rarely</w:t>
            </w:r>
          </w:p>
        </w:tc>
        <w:tc>
          <w:tcPr>
            <w:tcW w:w="1560" w:type="dxa"/>
          </w:tcPr>
          <w:p w14:paraId="4D618337" w14:textId="77777777" w:rsidR="0087601C" w:rsidRPr="006A1EC7" w:rsidRDefault="0087601C" w:rsidP="00D56051">
            <w:pPr>
              <w:rPr>
                <w:sz w:val="15"/>
                <w:szCs w:val="15"/>
              </w:rPr>
            </w:pPr>
            <w:r w:rsidRPr="006A1EC7">
              <w:rPr>
                <w:sz w:val="15"/>
                <w:szCs w:val="15"/>
              </w:rPr>
              <w:t>0</w:t>
            </w:r>
          </w:p>
        </w:tc>
      </w:tr>
    </w:tbl>
    <w:p w14:paraId="0EC8C880"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41D5BDB5" w14:textId="77777777" w:rsidTr="00D56051">
        <w:tc>
          <w:tcPr>
            <w:tcW w:w="640" w:type="dxa"/>
          </w:tcPr>
          <w:p w14:paraId="47C08CF9" w14:textId="77777777" w:rsidR="0087601C" w:rsidRPr="006A1EC7" w:rsidRDefault="0087601C" w:rsidP="00D56051">
            <w:pPr>
              <w:rPr>
                <w:sz w:val="15"/>
                <w:szCs w:val="15"/>
              </w:rPr>
            </w:pPr>
            <w:r w:rsidRPr="006A1EC7">
              <w:rPr>
                <w:sz w:val="15"/>
                <w:szCs w:val="15"/>
                <w:u w:val="single"/>
              </w:rPr>
              <w:t>3F.4</w:t>
            </w:r>
          </w:p>
        </w:tc>
        <w:tc>
          <w:tcPr>
            <w:tcW w:w="2757" w:type="dxa"/>
          </w:tcPr>
          <w:p w14:paraId="40ED0852" w14:textId="77777777" w:rsidR="0087601C" w:rsidRPr="006A1EC7" w:rsidRDefault="0087601C" w:rsidP="00D56051">
            <w:pPr>
              <w:rPr>
                <w:bCs/>
                <w:sz w:val="15"/>
                <w:szCs w:val="15"/>
              </w:rPr>
            </w:pPr>
            <w:r w:rsidRPr="006A1EC7">
              <w:rPr>
                <w:bCs/>
                <w:color w:val="FF0000"/>
                <w:sz w:val="15"/>
                <w:szCs w:val="15"/>
              </w:rPr>
              <w:t>IF APPLICABLE</w:t>
            </w:r>
            <w:r w:rsidRPr="006A1EC7">
              <w:rPr>
                <w:bCs/>
                <w:sz w:val="15"/>
                <w:szCs w:val="15"/>
              </w:rPr>
              <w:t xml:space="preserve">, what specific diarrhoea-related issues does the patient suffer? </w:t>
            </w:r>
          </w:p>
          <w:p w14:paraId="6064FFCA" w14:textId="77777777" w:rsidR="0087601C" w:rsidRPr="006A1EC7" w:rsidRDefault="0087601C" w:rsidP="00D56051">
            <w:pPr>
              <w:rPr>
                <w:bCs/>
                <w:sz w:val="15"/>
                <w:szCs w:val="15"/>
              </w:rPr>
            </w:pPr>
          </w:p>
          <w:p w14:paraId="1DB5C599" w14:textId="77777777" w:rsidR="0087601C" w:rsidRPr="006A1EC7" w:rsidRDefault="0087601C" w:rsidP="00D56051">
            <w:pPr>
              <w:rPr>
                <w:i/>
                <w:sz w:val="15"/>
                <w:szCs w:val="15"/>
              </w:rPr>
            </w:pPr>
            <w:r w:rsidRPr="006A1EC7">
              <w:rPr>
                <w:i/>
                <w:sz w:val="15"/>
                <w:szCs w:val="15"/>
              </w:rPr>
              <w:t>If more than one applicable, add up</w:t>
            </w:r>
          </w:p>
        </w:tc>
        <w:tc>
          <w:tcPr>
            <w:tcW w:w="1560" w:type="dxa"/>
          </w:tcPr>
          <w:p w14:paraId="616A308F" w14:textId="77777777" w:rsidR="0087601C" w:rsidRPr="006A1EC7" w:rsidRDefault="0087601C" w:rsidP="00D56051">
            <w:pPr>
              <w:rPr>
                <w:sz w:val="15"/>
                <w:szCs w:val="15"/>
              </w:rPr>
            </w:pPr>
          </w:p>
        </w:tc>
      </w:tr>
      <w:tr w:rsidR="0087601C" w:rsidRPr="006A1EC7" w14:paraId="0EFA6291" w14:textId="77777777" w:rsidTr="00D56051">
        <w:tc>
          <w:tcPr>
            <w:tcW w:w="3397" w:type="dxa"/>
            <w:gridSpan w:val="2"/>
          </w:tcPr>
          <w:p w14:paraId="3FDBA7D7" w14:textId="77777777" w:rsidR="0087601C" w:rsidRPr="006A1EC7" w:rsidRDefault="0087601C" w:rsidP="00D56051">
            <w:pPr>
              <w:rPr>
                <w:sz w:val="15"/>
                <w:szCs w:val="15"/>
              </w:rPr>
            </w:pPr>
            <w:r w:rsidRPr="006A1EC7">
              <w:rPr>
                <w:sz w:val="15"/>
                <w:szCs w:val="15"/>
              </w:rPr>
              <w:t>Predominantly liquid stools, no solid pieces</w:t>
            </w:r>
          </w:p>
        </w:tc>
        <w:tc>
          <w:tcPr>
            <w:tcW w:w="1560" w:type="dxa"/>
          </w:tcPr>
          <w:p w14:paraId="68C2A9D6" w14:textId="77777777" w:rsidR="0087601C" w:rsidRPr="006A1EC7" w:rsidRDefault="0087601C" w:rsidP="00D56051">
            <w:pPr>
              <w:rPr>
                <w:sz w:val="15"/>
                <w:szCs w:val="15"/>
              </w:rPr>
            </w:pPr>
            <w:r w:rsidRPr="006A1EC7">
              <w:rPr>
                <w:sz w:val="15"/>
                <w:szCs w:val="15"/>
              </w:rPr>
              <w:t>1</w:t>
            </w:r>
          </w:p>
        </w:tc>
      </w:tr>
      <w:tr w:rsidR="0087601C" w:rsidRPr="006A1EC7" w14:paraId="2E5F672D" w14:textId="77777777" w:rsidTr="00D56051">
        <w:tc>
          <w:tcPr>
            <w:tcW w:w="3397" w:type="dxa"/>
            <w:gridSpan w:val="2"/>
          </w:tcPr>
          <w:p w14:paraId="36A416C3" w14:textId="77777777" w:rsidR="0087601C" w:rsidRPr="006A1EC7" w:rsidRDefault="0087601C" w:rsidP="00D56051">
            <w:pPr>
              <w:rPr>
                <w:sz w:val="15"/>
                <w:szCs w:val="15"/>
              </w:rPr>
            </w:pPr>
            <w:r w:rsidRPr="006A1EC7">
              <w:rPr>
                <w:sz w:val="15"/>
                <w:szCs w:val="15"/>
              </w:rPr>
              <w:t>Bloating</w:t>
            </w:r>
          </w:p>
        </w:tc>
        <w:tc>
          <w:tcPr>
            <w:tcW w:w="1560" w:type="dxa"/>
          </w:tcPr>
          <w:p w14:paraId="500A189F" w14:textId="77777777" w:rsidR="0087601C" w:rsidRPr="006A1EC7" w:rsidRDefault="0087601C" w:rsidP="00D56051">
            <w:pPr>
              <w:rPr>
                <w:sz w:val="15"/>
                <w:szCs w:val="15"/>
              </w:rPr>
            </w:pPr>
            <w:r w:rsidRPr="006A1EC7">
              <w:rPr>
                <w:sz w:val="15"/>
                <w:szCs w:val="15"/>
              </w:rPr>
              <w:t>1</w:t>
            </w:r>
          </w:p>
        </w:tc>
      </w:tr>
      <w:tr w:rsidR="0087601C" w:rsidRPr="006A1EC7" w14:paraId="009B1BDF" w14:textId="77777777" w:rsidTr="00D56051">
        <w:tc>
          <w:tcPr>
            <w:tcW w:w="3397" w:type="dxa"/>
            <w:gridSpan w:val="2"/>
          </w:tcPr>
          <w:p w14:paraId="1D05F3E7" w14:textId="77777777" w:rsidR="0087601C" w:rsidRPr="006A1EC7" w:rsidRDefault="0087601C" w:rsidP="00D56051">
            <w:pPr>
              <w:rPr>
                <w:sz w:val="15"/>
                <w:szCs w:val="15"/>
              </w:rPr>
            </w:pPr>
            <w:r w:rsidRPr="006A1EC7">
              <w:rPr>
                <w:sz w:val="15"/>
                <w:szCs w:val="15"/>
              </w:rPr>
              <w:t>Fever</w:t>
            </w:r>
          </w:p>
        </w:tc>
        <w:tc>
          <w:tcPr>
            <w:tcW w:w="1560" w:type="dxa"/>
          </w:tcPr>
          <w:p w14:paraId="086AB47F" w14:textId="77777777" w:rsidR="0087601C" w:rsidRPr="006A1EC7" w:rsidRDefault="0087601C" w:rsidP="00D56051">
            <w:pPr>
              <w:rPr>
                <w:sz w:val="15"/>
                <w:szCs w:val="15"/>
              </w:rPr>
            </w:pPr>
            <w:r w:rsidRPr="006A1EC7">
              <w:rPr>
                <w:sz w:val="15"/>
                <w:szCs w:val="15"/>
              </w:rPr>
              <w:t>1</w:t>
            </w:r>
          </w:p>
        </w:tc>
      </w:tr>
    </w:tbl>
    <w:p w14:paraId="5988E22C" w14:textId="77777777" w:rsidR="0087601C" w:rsidRPr="006A1EC7" w:rsidRDefault="0087601C" w:rsidP="0087601C">
      <w:pPr>
        <w:rPr>
          <w:sz w:val="15"/>
          <w:szCs w:val="15"/>
        </w:rPr>
      </w:pPr>
    </w:p>
    <w:p w14:paraId="7359999C" w14:textId="77777777" w:rsidR="0087601C" w:rsidRPr="006A1EC7" w:rsidRDefault="0087601C" w:rsidP="0087601C">
      <w:pPr>
        <w:ind w:firstLine="720"/>
        <w:rPr>
          <w:b/>
          <w:sz w:val="15"/>
          <w:szCs w:val="15"/>
        </w:rPr>
      </w:pPr>
      <w:r w:rsidRPr="006A1EC7">
        <w:rPr>
          <w:b/>
          <w:sz w:val="15"/>
          <w:szCs w:val="15"/>
        </w:rPr>
        <w:t>Part 6: Genitourinary</w:t>
      </w:r>
    </w:p>
    <w:p w14:paraId="4F66E2FE"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604690FE" w14:textId="77777777" w:rsidTr="00D56051">
        <w:tc>
          <w:tcPr>
            <w:tcW w:w="640" w:type="dxa"/>
          </w:tcPr>
          <w:p w14:paraId="391F04B6" w14:textId="77777777" w:rsidR="0087601C" w:rsidRPr="006A1EC7" w:rsidRDefault="0087601C" w:rsidP="00D56051">
            <w:pPr>
              <w:rPr>
                <w:sz w:val="15"/>
                <w:szCs w:val="15"/>
                <w:u w:val="single"/>
              </w:rPr>
            </w:pPr>
            <w:r w:rsidRPr="006A1EC7">
              <w:rPr>
                <w:sz w:val="15"/>
                <w:szCs w:val="15"/>
                <w:u w:val="single"/>
              </w:rPr>
              <w:t>3I.1</w:t>
            </w:r>
          </w:p>
          <w:p w14:paraId="76049D2B" w14:textId="77777777" w:rsidR="0087601C" w:rsidRPr="006A1EC7" w:rsidRDefault="0087601C" w:rsidP="00D56051">
            <w:pPr>
              <w:rPr>
                <w:sz w:val="15"/>
                <w:szCs w:val="15"/>
              </w:rPr>
            </w:pPr>
          </w:p>
        </w:tc>
        <w:tc>
          <w:tcPr>
            <w:tcW w:w="2757" w:type="dxa"/>
          </w:tcPr>
          <w:p w14:paraId="2A0E7FC5" w14:textId="77777777" w:rsidR="0087601C" w:rsidRPr="006A1EC7" w:rsidRDefault="0087601C" w:rsidP="00D56051">
            <w:pPr>
              <w:rPr>
                <w:sz w:val="15"/>
                <w:szCs w:val="15"/>
              </w:rPr>
            </w:pPr>
            <w:r w:rsidRPr="006A1EC7">
              <w:rPr>
                <w:sz w:val="15"/>
                <w:szCs w:val="15"/>
              </w:rPr>
              <w:t>Does the patient suffer recurrent urinary tract infections?</w:t>
            </w:r>
          </w:p>
          <w:p w14:paraId="094879DE" w14:textId="77777777" w:rsidR="0087601C" w:rsidRPr="006A1EC7" w:rsidRDefault="0087601C" w:rsidP="00D56051">
            <w:pPr>
              <w:rPr>
                <w:sz w:val="15"/>
                <w:szCs w:val="15"/>
              </w:rPr>
            </w:pPr>
          </w:p>
        </w:tc>
        <w:tc>
          <w:tcPr>
            <w:tcW w:w="1560" w:type="dxa"/>
          </w:tcPr>
          <w:p w14:paraId="3C77F032" w14:textId="77777777" w:rsidR="0087601C" w:rsidRPr="006A1EC7" w:rsidRDefault="0087601C" w:rsidP="00D56051">
            <w:pPr>
              <w:rPr>
                <w:sz w:val="15"/>
                <w:szCs w:val="15"/>
              </w:rPr>
            </w:pPr>
          </w:p>
        </w:tc>
      </w:tr>
      <w:tr w:rsidR="0087601C" w:rsidRPr="006A1EC7" w14:paraId="026743F5" w14:textId="77777777" w:rsidTr="00D56051">
        <w:tc>
          <w:tcPr>
            <w:tcW w:w="3397" w:type="dxa"/>
            <w:gridSpan w:val="2"/>
          </w:tcPr>
          <w:p w14:paraId="0E355085" w14:textId="77777777" w:rsidR="0087601C" w:rsidRPr="006A1EC7" w:rsidRDefault="0087601C" w:rsidP="00D56051">
            <w:pPr>
              <w:rPr>
                <w:sz w:val="15"/>
                <w:szCs w:val="15"/>
              </w:rPr>
            </w:pPr>
            <w:r w:rsidRPr="006A1EC7">
              <w:rPr>
                <w:sz w:val="15"/>
                <w:szCs w:val="15"/>
              </w:rPr>
              <w:t>Yes</w:t>
            </w:r>
          </w:p>
        </w:tc>
        <w:tc>
          <w:tcPr>
            <w:tcW w:w="1560" w:type="dxa"/>
          </w:tcPr>
          <w:p w14:paraId="2E5EB58A" w14:textId="77777777" w:rsidR="0087601C" w:rsidRPr="006A1EC7" w:rsidRDefault="0087601C" w:rsidP="00D56051">
            <w:pPr>
              <w:rPr>
                <w:sz w:val="15"/>
                <w:szCs w:val="15"/>
              </w:rPr>
            </w:pPr>
            <w:r w:rsidRPr="006A1EC7">
              <w:rPr>
                <w:sz w:val="15"/>
                <w:szCs w:val="15"/>
              </w:rPr>
              <w:t>1</w:t>
            </w:r>
          </w:p>
        </w:tc>
      </w:tr>
      <w:tr w:rsidR="0087601C" w:rsidRPr="006A1EC7" w14:paraId="077649E3" w14:textId="77777777" w:rsidTr="00D56051">
        <w:tc>
          <w:tcPr>
            <w:tcW w:w="3397" w:type="dxa"/>
            <w:gridSpan w:val="2"/>
          </w:tcPr>
          <w:p w14:paraId="4EA6B2CB" w14:textId="77777777" w:rsidR="0087601C" w:rsidRPr="006A1EC7" w:rsidRDefault="0087601C" w:rsidP="00D56051">
            <w:pPr>
              <w:rPr>
                <w:sz w:val="15"/>
                <w:szCs w:val="15"/>
              </w:rPr>
            </w:pPr>
            <w:r w:rsidRPr="006A1EC7">
              <w:rPr>
                <w:sz w:val="15"/>
                <w:szCs w:val="15"/>
              </w:rPr>
              <w:t>No</w:t>
            </w:r>
          </w:p>
        </w:tc>
        <w:tc>
          <w:tcPr>
            <w:tcW w:w="1560" w:type="dxa"/>
          </w:tcPr>
          <w:p w14:paraId="6C25F6B4" w14:textId="77777777" w:rsidR="0087601C" w:rsidRPr="006A1EC7" w:rsidRDefault="0087601C" w:rsidP="00D56051">
            <w:pPr>
              <w:rPr>
                <w:sz w:val="15"/>
                <w:szCs w:val="15"/>
              </w:rPr>
            </w:pPr>
            <w:r w:rsidRPr="006A1EC7">
              <w:rPr>
                <w:sz w:val="15"/>
                <w:szCs w:val="15"/>
              </w:rPr>
              <w:t>0</w:t>
            </w:r>
          </w:p>
        </w:tc>
      </w:tr>
    </w:tbl>
    <w:p w14:paraId="5FFD2B8E" w14:textId="77777777" w:rsidR="0087601C" w:rsidRPr="006A1EC7" w:rsidRDefault="0087601C" w:rsidP="0087601C">
      <w:pPr>
        <w:rPr>
          <w:b/>
          <w:color w:val="FF0000"/>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33AFB9D3" w14:textId="77777777" w:rsidTr="00D56051">
        <w:tc>
          <w:tcPr>
            <w:tcW w:w="640" w:type="dxa"/>
          </w:tcPr>
          <w:p w14:paraId="0E7CD93B" w14:textId="77777777" w:rsidR="0087601C" w:rsidRPr="006A1EC7" w:rsidRDefault="0087601C" w:rsidP="00D56051">
            <w:pPr>
              <w:rPr>
                <w:sz w:val="15"/>
                <w:szCs w:val="15"/>
              </w:rPr>
            </w:pPr>
            <w:r w:rsidRPr="006A1EC7">
              <w:rPr>
                <w:sz w:val="15"/>
                <w:szCs w:val="15"/>
                <w:u w:val="single"/>
              </w:rPr>
              <w:t>3I.2</w:t>
            </w:r>
          </w:p>
        </w:tc>
        <w:tc>
          <w:tcPr>
            <w:tcW w:w="2757" w:type="dxa"/>
          </w:tcPr>
          <w:p w14:paraId="66A65C76" w14:textId="77777777" w:rsidR="0087601C" w:rsidRPr="006A1EC7" w:rsidRDefault="0087601C" w:rsidP="00D56051">
            <w:pPr>
              <w:rPr>
                <w:sz w:val="15"/>
                <w:szCs w:val="15"/>
              </w:rPr>
            </w:pPr>
            <w:r w:rsidRPr="006A1EC7">
              <w:rPr>
                <w:sz w:val="15"/>
                <w:szCs w:val="15"/>
              </w:rPr>
              <w:t>Over the past 6 months, what was the maximum level of care needed to treat urinary infections?</w:t>
            </w:r>
          </w:p>
          <w:p w14:paraId="17360545" w14:textId="77777777" w:rsidR="0087601C" w:rsidRPr="006A1EC7" w:rsidRDefault="0087601C" w:rsidP="00D56051">
            <w:pPr>
              <w:rPr>
                <w:sz w:val="15"/>
                <w:szCs w:val="15"/>
              </w:rPr>
            </w:pPr>
          </w:p>
        </w:tc>
        <w:tc>
          <w:tcPr>
            <w:tcW w:w="1560" w:type="dxa"/>
          </w:tcPr>
          <w:p w14:paraId="0E74D8D9" w14:textId="77777777" w:rsidR="0087601C" w:rsidRPr="006A1EC7" w:rsidRDefault="0087601C" w:rsidP="00D56051">
            <w:pPr>
              <w:rPr>
                <w:sz w:val="15"/>
                <w:szCs w:val="15"/>
              </w:rPr>
            </w:pPr>
          </w:p>
        </w:tc>
      </w:tr>
      <w:tr w:rsidR="0087601C" w:rsidRPr="006A1EC7" w14:paraId="42522EE5" w14:textId="77777777" w:rsidTr="00D56051">
        <w:tc>
          <w:tcPr>
            <w:tcW w:w="3397" w:type="dxa"/>
            <w:gridSpan w:val="2"/>
          </w:tcPr>
          <w:p w14:paraId="7778A7F2" w14:textId="77777777" w:rsidR="0087601C" w:rsidRPr="006A1EC7" w:rsidRDefault="0087601C" w:rsidP="00D56051">
            <w:pPr>
              <w:rPr>
                <w:sz w:val="15"/>
                <w:szCs w:val="15"/>
              </w:rPr>
            </w:pPr>
            <w:r w:rsidRPr="006A1EC7">
              <w:rPr>
                <w:sz w:val="15"/>
                <w:szCs w:val="15"/>
              </w:rPr>
              <w:t xml:space="preserve">Patient required hospital admission </w:t>
            </w:r>
          </w:p>
        </w:tc>
        <w:tc>
          <w:tcPr>
            <w:tcW w:w="1560" w:type="dxa"/>
          </w:tcPr>
          <w:p w14:paraId="6ACFD603" w14:textId="77777777" w:rsidR="0087601C" w:rsidRPr="006A1EC7" w:rsidRDefault="0087601C" w:rsidP="00D56051">
            <w:pPr>
              <w:rPr>
                <w:sz w:val="15"/>
                <w:szCs w:val="15"/>
              </w:rPr>
            </w:pPr>
            <w:r w:rsidRPr="006A1EC7">
              <w:rPr>
                <w:sz w:val="15"/>
                <w:szCs w:val="15"/>
              </w:rPr>
              <w:t>3</w:t>
            </w:r>
          </w:p>
        </w:tc>
      </w:tr>
      <w:tr w:rsidR="0087601C" w:rsidRPr="006A1EC7" w14:paraId="01D82D79" w14:textId="77777777" w:rsidTr="00D56051">
        <w:tc>
          <w:tcPr>
            <w:tcW w:w="3397" w:type="dxa"/>
            <w:gridSpan w:val="2"/>
          </w:tcPr>
          <w:p w14:paraId="65DDE021" w14:textId="77777777" w:rsidR="0087601C" w:rsidRPr="006A1EC7" w:rsidRDefault="0087601C" w:rsidP="00D56051">
            <w:pPr>
              <w:rPr>
                <w:sz w:val="15"/>
                <w:szCs w:val="15"/>
              </w:rPr>
            </w:pPr>
            <w:r w:rsidRPr="006A1EC7">
              <w:rPr>
                <w:sz w:val="15"/>
                <w:szCs w:val="15"/>
              </w:rPr>
              <w:t>Home care/GP care with antibiotics</w:t>
            </w:r>
          </w:p>
        </w:tc>
        <w:tc>
          <w:tcPr>
            <w:tcW w:w="1560" w:type="dxa"/>
          </w:tcPr>
          <w:p w14:paraId="0BEC4322" w14:textId="77777777" w:rsidR="0087601C" w:rsidRPr="006A1EC7" w:rsidRDefault="0087601C" w:rsidP="00D56051">
            <w:pPr>
              <w:rPr>
                <w:sz w:val="15"/>
                <w:szCs w:val="15"/>
              </w:rPr>
            </w:pPr>
            <w:r w:rsidRPr="006A1EC7">
              <w:rPr>
                <w:sz w:val="15"/>
                <w:szCs w:val="15"/>
              </w:rPr>
              <w:t>2</w:t>
            </w:r>
          </w:p>
        </w:tc>
      </w:tr>
      <w:tr w:rsidR="0087601C" w:rsidRPr="006A1EC7" w14:paraId="33AC1D8A" w14:textId="77777777" w:rsidTr="00D56051">
        <w:tc>
          <w:tcPr>
            <w:tcW w:w="3397" w:type="dxa"/>
            <w:gridSpan w:val="2"/>
          </w:tcPr>
          <w:p w14:paraId="5D551E52" w14:textId="77777777" w:rsidR="0087601C" w:rsidRPr="006A1EC7" w:rsidRDefault="0087601C" w:rsidP="00D56051">
            <w:pPr>
              <w:rPr>
                <w:sz w:val="15"/>
                <w:szCs w:val="15"/>
              </w:rPr>
            </w:pPr>
            <w:r w:rsidRPr="006A1EC7">
              <w:rPr>
                <w:sz w:val="15"/>
                <w:szCs w:val="15"/>
              </w:rPr>
              <w:t>Self-care (e.g. painkillers, cranberry supplement)</w:t>
            </w:r>
          </w:p>
        </w:tc>
        <w:tc>
          <w:tcPr>
            <w:tcW w:w="1560" w:type="dxa"/>
          </w:tcPr>
          <w:p w14:paraId="257925CE" w14:textId="77777777" w:rsidR="0087601C" w:rsidRPr="006A1EC7" w:rsidRDefault="0087601C" w:rsidP="00D56051">
            <w:pPr>
              <w:rPr>
                <w:sz w:val="15"/>
                <w:szCs w:val="15"/>
              </w:rPr>
            </w:pPr>
            <w:r w:rsidRPr="006A1EC7">
              <w:rPr>
                <w:sz w:val="15"/>
                <w:szCs w:val="15"/>
              </w:rPr>
              <w:t>1</w:t>
            </w:r>
          </w:p>
        </w:tc>
      </w:tr>
      <w:tr w:rsidR="0087601C" w:rsidRPr="006A1EC7" w14:paraId="38657335" w14:textId="77777777" w:rsidTr="00D56051">
        <w:tc>
          <w:tcPr>
            <w:tcW w:w="3397" w:type="dxa"/>
            <w:gridSpan w:val="2"/>
          </w:tcPr>
          <w:p w14:paraId="6CF5F878" w14:textId="77777777" w:rsidR="0087601C" w:rsidRPr="006A1EC7" w:rsidRDefault="0087601C" w:rsidP="00D56051">
            <w:pPr>
              <w:rPr>
                <w:sz w:val="15"/>
                <w:szCs w:val="15"/>
              </w:rPr>
            </w:pPr>
            <w:r w:rsidRPr="006A1EC7">
              <w:rPr>
                <w:sz w:val="15"/>
                <w:szCs w:val="15"/>
              </w:rPr>
              <w:t>N/A</w:t>
            </w:r>
          </w:p>
        </w:tc>
        <w:tc>
          <w:tcPr>
            <w:tcW w:w="1560" w:type="dxa"/>
          </w:tcPr>
          <w:p w14:paraId="3349FC6B" w14:textId="77777777" w:rsidR="0087601C" w:rsidRPr="006A1EC7" w:rsidRDefault="0087601C" w:rsidP="00D56051">
            <w:pPr>
              <w:rPr>
                <w:sz w:val="15"/>
                <w:szCs w:val="15"/>
              </w:rPr>
            </w:pPr>
            <w:r w:rsidRPr="006A1EC7">
              <w:rPr>
                <w:sz w:val="15"/>
                <w:szCs w:val="15"/>
              </w:rPr>
              <w:t>0</w:t>
            </w:r>
          </w:p>
        </w:tc>
      </w:tr>
    </w:tbl>
    <w:p w14:paraId="27018608"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7ED18D7F" w14:textId="77777777" w:rsidTr="00D56051">
        <w:tc>
          <w:tcPr>
            <w:tcW w:w="640" w:type="dxa"/>
          </w:tcPr>
          <w:p w14:paraId="007FA937" w14:textId="77777777" w:rsidR="0087601C" w:rsidRPr="006A1EC7" w:rsidRDefault="0087601C" w:rsidP="00D56051">
            <w:pPr>
              <w:rPr>
                <w:sz w:val="15"/>
                <w:szCs w:val="15"/>
              </w:rPr>
            </w:pPr>
            <w:r w:rsidRPr="006A1EC7">
              <w:rPr>
                <w:sz w:val="15"/>
                <w:szCs w:val="15"/>
              </w:rPr>
              <w:t>3K.1</w:t>
            </w:r>
          </w:p>
        </w:tc>
        <w:tc>
          <w:tcPr>
            <w:tcW w:w="2757" w:type="dxa"/>
          </w:tcPr>
          <w:p w14:paraId="3C8B6152" w14:textId="77777777" w:rsidR="0087601C" w:rsidRPr="006A1EC7" w:rsidRDefault="0087601C" w:rsidP="00D56051">
            <w:pPr>
              <w:rPr>
                <w:sz w:val="15"/>
                <w:szCs w:val="15"/>
              </w:rPr>
            </w:pPr>
            <w:r w:rsidRPr="006A1EC7">
              <w:rPr>
                <w:sz w:val="15"/>
                <w:szCs w:val="15"/>
              </w:rPr>
              <w:t>Does the patient have any known renal malformations (confirmed on ultrasound etc.)?</w:t>
            </w:r>
          </w:p>
          <w:p w14:paraId="4A21656D" w14:textId="77777777" w:rsidR="0087601C" w:rsidRPr="006A1EC7" w:rsidRDefault="0087601C" w:rsidP="00D56051">
            <w:pPr>
              <w:rPr>
                <w:sz w:val="15"/>
                <w:szCs w:val="15"/>
              </w:rPr>
            </w:pPr>
          </w:p>
        </w:tc>
        <w:tc>
          <w:tcPr>
            <w:tcW w:w="1560" w:type="dxa"/>
          </w:tcPr>
          <w:p w14:paraId="7E3CD558" w14:textId="77777777" w:rsidR="0087601C" w:rsidRPr="006A1EC7" w:rsidRDefault="0087601C" w:rsidP="00D56051">
            <w:pPr>
              <w:rPr>
                <w:sz w:val="15"/>
                <w:szCs w:val="15"/>
              </w:rPr>
            </w:pPr>
          </w:p>
        </w:tc>
      </w:tr>
      <w:tr w:rsidR="0087601C" w:rsidRPr="006A1EC7" w14:paraId="7BE7CB2C" w14:textId="77777777" w:rsidTr="00D56051">
        <w:tc>
          <w:tcPr>
            <w:tcW w:w="3397" w:type="dxa"/>
            <w:gridSpan w:val="2"/>
          </w:tcPr>
          <w:p w14:paraId="482E3D25" w14:textId="77777777" w:rsidR="0087601C" w:rsidRPr="006A1EC7" w:rsidRDefault="0087601C" w:rsidP="00D56051">
            <w:pPr>
              <w:rPr>
                <w:sz w:val="15"/>
                <w:szCs w:val="15"/>
              </w:rPr>
            </w:pPr>
            <w:r w:rsidRPr="006A1EC7">
              <w:rPr>
                <w:sz w:val="15"/>
                <w:szCs w:val="15"/>
              </w:rPr>
              <w:t>Yes</w:t>
            </w:r>
          </w:p>
        </w:tc>
        <w:tc>
          <w:tcPr>
            <w:tcW w:w="1560" w:type="dxa"/>
          </w:tcPr>
          <w:p w14:paraId="30EC7F99" w14:textId="77777777" w:rsidR="0087601C" w:rsidRPr="006A1EC7" w:rsidRDefault="0087601C" w:rsidP="00D56051">
            <w:pPr>
              <w:rPr>
                <w:sz w:val="15"/>
                <w:szCs w:val="15"/>
              </w:rPr>
            </w:pPr>
            <w:r w:rsidRPr="006A1EC7">
              <w:rPr>
                <w:sz w:val="15"/>
                <w:szCs w:val="15"/>
              </w:rPr>
              <w:t>1</w:t>
            </w:r>
          </w:p>
        </w:tc>
      </w:tr>
      <w:tr w:rsidR="0087601C" w:rsidRPr="006A1EC7" w14:paraId="58916B07" w14:textId="77777777" w:rsidTr="00D56051">
        <w:tc>
          <w:tcPr>
            <w:tcW w:w="3397" w:type="dxa"/>
            <w:gridSpan w:val="2"/>
          </w:tcPr>
          <w:p w14:paraId="066A58D7" w14:textId="77777777" w:rsidR="0087601C" w:rsidRPr="006A1EC7" w:rsidRDefault="0087601C" w:rsidP="00D56051">
            <w:pPr>
              <w:rPr>
                <w:sz w:val="15"/>
                <w:szCs w:val="15"/>
              </w:rPr>
            </w:pPr>
            <w:r w:rsidRPr="006A1EC7">
              <w:rPr>
                <w:sz w:val="15"/>
                <w:szCs w:val="15"/>
              </w:rPr>
              <w:t>No</w:t>
            </w:r>
          </w:p>
        </w:tc>
        <w:tc>
          <w:tcPr>
            <w:tcW w:w="1560" w:type="dxa"/>
          </w:tcPr>
          <w:p w14:paraId="38DEDB57" w14:textId="77777777" w:rsidR="0087601C" w:rsidRPr="006A1EC7" w:rsidRDefault="0087601C" w:rsidP="00D56051">
            <w:pPr>
              <w:rPr>
                <w:sz w:val="15"/>
                <w:szCs w:val="15"/>
              </w:rPr>
            </w:pPr>
            <w:r w:rsidRPr="006A1EC7">
              <w:rPr>
                <w:sz w:val="15"/>
                <w:szCs w:val="15"/>
              </w:rPr>
              <w:t>0</w:t>
            </w:r>
          </w:p>
        </w:tc>
      </w:tr>
    </w:tbl>
    <w:p w14:paraId="5DC3BDE3"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1129"/>
        <w:gridCol w:w="3828"/>
      </w:tblGrid>
      <w:tr w:rsidR="0087601C" w:rsidRPr="006A1EC7" w14:paraId="1B2B523D" w14:textId="77777777" w:rsidTr="00D56051">
        <w:tc>
          <w:tcPr>
            <w:tcW w:w="1129" w:type="dxa"/>
          </w:tcPr>
          <w:p w14:paraId="39589F35" w14:textId="77777777" w:rsidR="0087601C" w:rsidRPr="006A1EC7" w:rsidRDefault="0087601C" w:rsidP="00D56051">
            <w:pPr>
              <w:rPr>
                <w:sz w:val="15"/>
                <w:szCs w:val="15"/>
              </w:rPr>
            </w:pPr>
            <w:r w:rsidRPr="006A1EC7">
              <w:rPr>
                <w:sz w:val="15"/>
                <w:szCs w:val="15"/>
              </w:rPr>
              <w:t>Details:</w:t>
            </w:r>
          </w:p>
        </w:tc>
        <w:tc>
          <w:tcPr>
            <w:tcW w:w="3828" w:type="dxa"/>
          </w:tcPr>
          <w:p w14:paraId="17E083C1" w14:textId="77777777" w:rsidR="0087601C" w:rsidRPr="006A1EC7" w:rsidRDefault="0087601C" w:rsidP="00D56051">
            <w:pPr>
              <w:rPr>
                <w:sz w:val="15"/>
                <w:szCs w:val="15"/>
              </w:rPr>
            </w:pPr>
          </w:p>
        </w:tc>
      </w:tr>
    </w:tbl>
    <w:p w14:paraId="67FEC0CE"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08C205FD" w14:textId="77777777" w:rsidTr="00D56051">
        <w:tc>
          <w:tcPr>
            <w:tcW w:w="640" w:type="dxa"/>
          </w:tcPr>
          <w:p w14:paraId="33378617" w14:textId="77777777" w:rsidR="0087601C" w:rsidRPr="006A1EC7" w:rsidRDefault="0087601C" w:rsidP="00D56051">
            <w:pPr>
              <w:rPr>
                <w:sz w:val="15"/>
                <w:szCs w:val="15"/>
              </w:rPr>
            </w:pPr>
            <w:r w:rsidRPr="006A1EC7">
              <w:rPr>
                <w:sz w:val="15"/>
                <w:szCs w:val="15"/>
              </w:rPr>
              <w:t>3K.2</w:t>
            </w:r>
          </w:p>
        </w:tc>
        <w:tc>
          <w:tcPr>
            <w:tcW w:w="2757" w:type="dxa"/>
          </w:tcPr>
          <w:p w14:paraId="741FDF5E" w14:textId="77777777" w:rsidR="0087601C" w:rsidRPr="006A1EC7" w:rsidRDefault="0087601C" w:rsidP="00D56051">
            <w:pPr>
              <w:rPr>
                <w:sz w:val="15"/>
                <w:szCs w:val="15"/>
              </w:rPr>
            </w:pPr>
            <w:r w:rsidRPr="006A1EC7">
              <w:rPr>
                <w:sz w:val="15"/>
                <w:szCs w:val="15"/>
              </w:rPr>
              <w:t>Is the renal malformation symptomatic?</w:t>
            </w:r>
          </w:p>
          <w:p w14:paraId="05C91023" w14:textId="77777777" w:rsidR="0087601C" w:rsidRPr="006A1EC7" w:rsidRDefault="0087601C" w:rsidP="00D56051">
            <w:pPr>
              <w:rPr>
                <w:sz w:val="15"/>
                <w:szCs w:val="15"/>
              </w:rPr>
            </w:pPr>
          </w:p>
        </w:tc>
        <w:tc>
          <w:tcPr>
            <w:tcW w:w="1560" w:type="dxa"/>
          </w:tcPr>
          <w:p w14:paraId="0D7CD347" w14:textId="77777777" w:rsidR="0087601C" w:rsidRPr="006A1EC7" w:rsidRDefault="0087601C" w:rsidP="00D56051">
            <w:pPr>
              <w:rPr>
                <w:sz w:val="15"/>
                <w:szCs w:val="15"/>
              </w:rPr>
            </w:pPr>
          </w:p>
        </w:tc>
      </w:tr>
      <w:tr w:rsidR="0087601C" w:rsidRPr="006A1EC7" w14:paraId="33305FD5" w14:textId="77777777" w:rsidTr="00D56051">
        <w:tc>
          <w:tcPr>
            <w:tcW w:w="3397" w:type="dxa"/>
            <w:gridSpan w:val="2"/>
          </w:tcPr>
          <w:p w14:paraId="166C816C" w14:textId="77777777" w:rsidR="0087601C" w:rsidRPr="006A1EC7" w:rsidRDefault="0087601C" w:rsidP="00D56051">
            <w:pPr>
              <w:rPr>
                <w:sz w:val="15"/>
                <w:szCs w:val="15"/>
              </w:rPr>
            </w:pPr>
            <w:r w:rsidRPr="006A1EC7">
              <w:rPr>
                <w:sz w:val="15"/>
                <w:szCs w:val="15"/>
              </w:rPr>
              <w:t>Yes</w:t>
            </w:r>
          </w:p>
        </w:tc>
        <w:tc>
          <w:tcPr>
            <w:tcW w:w="1560" w:type="dxa"/>
          </w:tcPr>
          <w:p w14:paraId="5BADBCC9" w14:textId="77777777" w:rsidR="0087601C" w:rsidRPr="006A1EC7" w:rsidRDefault="0087601C" w:rsidP="00D56051">
            <w:pPr>
              <w:rPr>
                <w:sz w:val="15"/>
                <w:szCs w:val="15"/>
              </w:rPr>
            </w:pPr>
            <w:r w:rsidRPr="006A1EC7">
              <w:rPr>
                <w:sz w:val="15"/>
                <w:szCs w:val="15"/>
              </w:rPr>
              <w:t>1</w:t>
            </w:r>
          </w:p>
        </w:tc>
      </w:tr>
      <w:tr w:rsidR="0087601C" w:rsidRPr="006A1EC7" w14:paraId="408F3CE5" w14:textId="77777777" w:rsidTr="00D56051">
        <w:tc>
          <w:tcPr>
            <w:tcW w:w="3397" w:type="dxa"/>
            <w:gridSpan w:val="2"/>
          </w:tcPr>
          <w:p w14:paraId="61D94F09" w14:textId="77777777" w:rsidR="0087601C" w:rsidRPr="006A1EC7" w:rsidRDefault="0087601C" w:rsidP="00D56051">
            <w:pPr>
              <w:rPr>
                <w:sz w:val="15"/>
                <w:szCs w:val="15"/>
              </w:rPr>
            </w:pPr>
            <w:r w:rsidRPr="006A1EC7">
              <w:rPr>
                <w:sz w:val="15"/>
                <w:szCs w:val="15"/>
              </w:rPr>
              <w:t>No</w:t>
            </w:r>
          </w:p>
        </w:tc>
        <w:tc>
          <w:tcPr>
            <w:tcW w:w="1560" w:type="dxa"/>
          </w:tcPr>
          <w:p w14:paraId="68B9F23F" w14:textId="77777777" w:rsidR="0087601C" w:rsidRPr="006A1EC7" w:rsidRDefault="0087601C" w:rsidP="00D56051">
            <w:pPr>
              <w:rPr>
                <w:sz w:val="15"/>
                <w:szCs w:val="15"/>
              </w:rPr>
            </w:pPr>
            <w:r w:rsidRPr="006A1EC7">
              <w:rPr>
                <w:sz w:val="15"/>
                <w:szCs w:val="15"/>
              </w:rPr>
              <w:t>0</w:t>
            </w:r>
          </w:p>
        </w:tc>
      </w:tr>
    </w:tbl>
    <w:p w14:paraId="521FE725"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1129"/>
        <w:gridCol w:w="3828"/>
      </w:tblGrid>
      <w:tr w:rsidR="0087601C" w:rsidRPr="006A1EC7" w14:paraId="2A30E3C6" w14:textId="77777777" w:rsidTr="00D56051">
        <w:tc>
          <w:tcPr>
            <w:tcW w:w="1129" w:type="dxa"/>
          </w:tcPr>
          <w:p w14:paraId="2CF35AFF" w14:textId="77777777" w:rsidR="0087601C" w:rsidRPr="006A1EC7" w:rsidRDefault="0087601C" w:rsidP="00D56051">
            <w:pPr>
              <w:rPr>
                <w:sz w:val="15"/>
                <w:szCs w:val="15"/>
              </w:rPr>
            </w:pPr>
            <w:r w:rsidRPr="006A1EC7">
              <w:rPr>
                <w:sz w:val="15"/>
                <w:szCs w:val="15"/>
              </w:rPr>
              <w:t>Symptoms:</w:t>
            </w:r>
          </w:p>
        </w:tc>
        <w:tc>
          <w:tcPr>
            <w:tcW w:w="3828" w:type="dxa"/>
          </w:tcPr>
          <w:p w14:paraId="0EF6B956" w14:textId="77777777" w:rsidR="0087601C" w:rsidRPr="006A1EC7" w:rsidRDefault="0087601C" w:rsidP="00D56051">
            <w:pPr>
              <w:rPr>
                <w:sz w:val="15"/>
                <w:szCs w:val="15"/>
              </w:rPr>
            </w:pPr>
          </w:p>
        </w:tc>
      </w:tr>
    </w:tbl>
    <w:p w14:paraId="309EDA01" w14:textId="77777777" w:rsidR="0087601C" w:rsidRPr="006A1EC7" w:rsidRDefault="0087601C" w:rsidP="0087601C">
      <w:pPr>
        <w:rPr>
          <w:sz w:val="15"/>
          <w:szCs w:val="15"/>
        </w:rPr>
      </w:pPr>
    </w:p>
    <w:p w14:paraId="591E1F3F" w14:textId="77777777" w:rsidR="0087601C" w:rsidRPr="006A1EC7" w:rsidRDefault="0087601C" w:rsidP="0087601C">
      <w:pPr>
        <w:rPr>
          <w:b/>
          <w:i/>
          <w:sz w:val="15"/>
          <w:szCs w:val="15"/>
        </w:rPr>
      </w:pPr>
      <w:r w:rsidRPr="006A1EC7">
        <w:rPr>
          <w:b/>
          <w:i/>
          <w:sz w:val="15"/>
          <w:szCs w:val="15"/>
        </w:rPr>
        <w:t>Items 3L.1 and 3L.2 only applicable if male patient</w:t>
      </w:r>
    </w:p>
    <w:p w14:paraId="73A18747"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4A12483F" w14:textId="77777777" w:rsidTr="00D56051">
        <w:tc>
          <w:tcPr>
            <w:tcW w:w="640" w:type="dxa"/>
          </w:tcPr>
          <w:p w14:paraId="16CFB55E" w14:textId="77777777" w:rsidR="0087601C" w:rsidRPr="006A1EC7" w:rsidRDefault="0087601C" w:rsidP="00D56051">
            <w:pPr>
              <w:rPr>
                <w:sz w:val="15"/>
                <w:szCs w:val="15"/>
                <w:u w:val="single"/>
              </w:rPr>
            </w:pPr>
            <w:r w:rsidRPr="006A1EC7">
              <w:rPr>
                <w:sz w:val="15"/>
                <w:szCs w:val="15"/>
                <w:u w:val="single"/>
              </w:rPr>
              <w:t>3L.1</w:t>
            </w:r>
          </w:p>
          <w:p w14:paraId="396D9351" w14:textId="77777777" w:rsidR="0087601C" w:rsidRPr="006A1EC7" w:rsidRDefault="0087601C" w:rsidP="00D56051">
            <w:pPr>
              <w:rPr>
                <w:sz w:val="15"/>
                <w:szCs w:val="15"/>
              </w:rPr>
            </w:pPr>
          </w:p>
        </w:tc>
        <w:tc>
          <w:tcPr>
            <w:tcW w:w="2757" w:type="dxa"/>
          </w:tcPr>
          <w:p w14:paraId="3BB95ECC" w14:textId="77777777" w:rsidR="0087601C" w:rsidRPr="006A1EC7" w:rsidRDefault="0087601C" w:rsidP="00D56051">
            <w:pPr>
              <w:rPr>
                <w:sz w:val="15"/>
                <w:szCs w:val="15"/>
              </w:rPr>
            </w:pPr>
            <w:r w:rsidRPr="006A1EC7">
              <w:rPr>
                <w:sz w:val="15"/>
                <w:szCs w:val="15"/>
              </w:rPr>
              <w:t>Presence of hypospadias?</w:t>
            </w:r>
          </w:p>
        </w:tc>
        <w:tc>
          <w:tcPr>
            <w:tcW w:w="1560" w:type="dxa"/>
          </w:tcPr>
          <w:p w14:paraId="51767FD1" w14:textId="77777777" w:rsidR="0087601C" w:rsidRPr="006A1EC7" w:rsidRDefault="0087601C" w:rsidP="00D56051">
            <w:pPr>
              <w:rPr>
                <w:sz w:val="15"/>
                <w:szCs w:val="15"/>
              </w:rPr>
            </w:pPr>
          </w:p>
        </w:tc>
      </w:tr>
      <w:tr w:rsidR="0087601C" w:rsidRPr="006A1EC7" w14:paraId="12AEA3CA" w14:textId="77777777" w:rsidTr="00D56051">
        <w:tc>
          <w:tcPr>
            <w:tcW w:w="3397" w:type="dxa"/>
            <w:gridSpan w:val="2"/>
          </w:tcPr>
          <w:p w14:paraId="3A6A7221" w14:textId="77777777" w:rsidR="0087601C" w:rsidRPr="006A1EC7" w:rsidRDefault="0087601C" w:rsidP="00D56051">
            <w:pPr>
              <w:rPr>
                <w:sz w:val="15"/>
                <w:szCs w:val="15"/>
              </w:rPr>
            </w:pPr>
            <w:r w:rsidRPr="006A1EC7">
              <w:rPr>
                <w:sz w:val="15"/>
                <w:szCs w:val="15"/>
              </w:rPr>
              <w:t>Yes</w:t>
            </w:r>
          </w:p>
        </w:tc>
        <w:tc>
          <w:tcPr>
            <w:tcW w:w="1560" w:type="dxa"/>
          </w:tcPr>
          <w:p w14:paraId="20A91C47" w14:textId="77777777" w:rsidR="0087601C" w:rsidRPr="006A1EC7" w:rsidRDefault="0087601C" w:rsidP="00D56051">
            <w:pPr>
              <w:rPr>
                <w:sz w:val="15"/>
                <w:szCs w:val="15"/>
              </w:rPr>
            </w:pPr>
            <w:r w:rsidRPr="006A1EC7">
              <w:rPr>
                <w:sz w:val="15"/>
                <w:szCs w:val="15"/>
              </w:rPr>
              <w:t>1</w:t>
            </w:r>
          </w:p>
        </w:tc>
      </w:tr>
      <w:tr w:rsidR="0087601C" w:rsidRPr="006A1EC7" w14:paraId="0F62ABF4" w14:textId="77777777" w:rsidTr="00D56051">
        <w:tc>
          <w:tcPr>
            <w:tcW w:w="3397" w:type="dxa"/>
            <w:gridSpan w:val="2"/>
          </w:tcPr>
          <w:p w14:paraId="50CE479C" w14:textId="77777777" w:rsidR="0087601C" w:rsidRPr="006A1EC7" w:rsidRDefault="0087601C" w:rsidP="00D56051">
            <w:pPr>
              <w:rPr>
                <w:sz w:val="15"/>
                <w:szCs w:val="15"/>
              </w:rPr>
            </w:pPr>
            <w:r w:rsidRPr="006A1EC7">
              <w:rPr>
                <w:sz w:val="15"/>
                <w:szCs w:val="15"/>
              </w:rPr>
              <w:t>No</w:t>
            </w:r>
          </w:p>
        </w:tc>
        <w:tc>
          <w:tcPr>
            <w:tcW w:w="1560" w:type="dxa"/>
          </w:tcPr>
          <w:p w14:paraId="149E139A" w14:textId="77777777" w:rsidR="0087601C" w:rsidRPr="006A1EC7" w:rsidRDefault="0087601C" w:rsidP="00D56051">
            <w:pPr>
              <w:rPr>
                <w:sz w:val="15"/>
                <w:szCs w:val="15"/>
              </w:rPr>
            </w:pPr>
            <w:r w:rsidRPr="006A1EC7">
              <w:rPr>
                <w:sz w:val="15"/>
                <w:szCs w:val="15"/>
              </w:rPr>
              <w:t>0</w:t>
            </w:r>
          </w:p>
        </w:tc>
      </w:tr>
    </w:tbl>
    <w:p w14:paraId="576B5B2C"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2A9D0BB2" w14:textId="77777777" w:rsidTr="00D56051">
        <w:tc>
          <w:tcPr>
            <w:tcW w:w="640" w:type="dxa"/>
          </w:tcPr>
          <w:p w14:paraId="4C959547" w14:textId="77777777" w:rsidR="0087601C" w:rsidRPr="006A1EC7" w:rsidRDefault="0087601C" w:rsidP="00D56051">
            <w:pPr>
              <w:rPr>
                <w:sz w:val="15"/>
                <w:szCs w:val="15"/>
              </w:rPr>
            </w:pPr>
            <w:r w:rsidRPr="006A1EC7">
              <w:rPr>
                <w:sz w:val="15"/>
                <w:szCs w:val="15"/>
              </w:rPr>
              <w:t>3L.2</w:t>
            </w:r>
          </w:p>
        </w:tc>
        <w:tc>
          <w:tcPr>
            <w:tcW w:w="2757" w:type="dxa"/>
          </w:tcPr>
          <w:p w14:paraId="218CAD05" w14:textId="77777777" w:rsidR="0087601C" w:rsidRPr="006A1EC7" w:rsidRDefault="0087601C" w:rsidP="00D56051">
            <w:pPr>
              <w:rPr>
                <w:sz w:val="15"/>
                <w:szCs w:val="15"/>
              </w:rPr>
            </w:pPr>
            <w:r w:rsidRPr="006A1EC7">
              <w:rPr>
                <w:sz w:val="15"/>
                <w:szCs w:val="15"/>
              </w:rPr>
              <w:t>Does/Did hypospadias require treatment?</w:t>
            </w:r>
          </w:p>
          <w:p w14:paraId="2CD665B2" w14:textId="77777777" w:rsidR="0087601C" w:rsidRPr="006A1EC7" w:rsidRDefault="0087601C" w:rsidP="00D56051">
            <w:pPr>
              <w:rPr>
                <w:sz w:val="15"/>
                <w:szCs w:val="15"/>
              </w:rPr>
            </w:pPr>
          </w:p>
        </w:tc>
        <w:tc>
          <w:tcPr>
            <w:tcW w:w="1560" w:type="dxa"/>
          </w:tcPr>
          <w:p w14:paraId="38081F14" w14:textId="77777777" w:rsidR="0087601C" w:rsidRPr="006A1EC7" w:rsidRDefault="0087601C" w:rsidP="00D56051">
            <w:pPr>
              <w:rPr>
                <w:sz w:val="15"/>
                <w:szCs w:val="15"/>
              </w:rPr>
            </w:pPr>
          </w:p>
        </w:tc>
      </w:tr>
      <w:tr w:rsidR="0087601C" w:rsidRPr="006A1EC7" w14:paraId="052C43BA" w14:textId="77777777" w:rsidTr="00D56051">
        <w:tc>
          <w:tcPr>
            <w:tcW w:w="3397" w:type="dxa"/>
            <w:gridSpan w:val="2"/>
          </w:tcPr>
          <w:p w14:paraId="65D685CD" w14:textId="77777777" w:rsidR="0087601C" w:rsidRPr="006A1EC7" w:rsidRDefault="0087601C" w:rsidP="00D56051">
            <w:pPr>
              <w:rPr>
                <w:sz w:val="15"/>
                <w:szCs w:val="15"/>
              </w:rPr>
            </w:pPr>
            <w:r w:rsidRPr="006A1EC7">
              <w:rPr>
                <w:sz w:val="15"/>
                <w:szCs w:val="15"/>
              </w:rPr>
              <w:t>Surgical management</w:t>
            </w:r>
          </w:p>
        </w:tc>
        <w:tc>
          <w:tcPr>
            <w:tcW w:w="1560" w:type="dxa"/>
          </w:tcPr>
          <w:p w14:paraId="71D7F704" w14:textId="77777777" w:rsidR="0087601C" w:rsidRPr="006A1EC7" w:rsidRDefault="0087601C" w:rsidP="00D56051">
            <w:pPr>
              <w:rPr>
                <w:sz w:val="15"/>
                <w:szCs w:val="15"/>
              </w:rPr>
            </w:pPr>
            <w:r w:rsidRPr="006A1EC7">
              <w:rPr>
                <w:sz w:val="15"/>
                <w:szCs w:val="15"/>
              </w:rPr>
              <w:t>2</w:t>
            </w:r>
          </w:p>
        </w:tc>
      </w:tr>
      <w:tr w:rsidR="0087601C" w:rsidRPr="006A1EC7" w14:paraId="3D8DBEF3" w14:textId="77777777" w:rsidTr="00D56051">
        <w:tc>
          <w:tcPr>
            <w:tcW w:w="3397" w:type="dxa"/>
            <w:gridSpan w:val="2"/>
          </w:tcPr>
          <w:p w14:paraId="0E2EE002" w14:textId="77777777" w:rsidR="0087601C" w:rsidRPr="006A1EC7" w:rsidRDefault="0087601C" w:rsidP="00D56051">
            <w:pPr>
              <w:rPr>
                <w:sz w:val="15"/>
                <w:szCs w:val="15"/>
              </w:rPr>
            </w:pPr>
            <w:r w:rsidRPr="006A1EC7">
              <w:rPr>
                <w:sz w:val="15"/>
                <w:szCs w:val="15"/>
              </w:rPr>
              <w:t xml:space="preserve">Conservative treatment (antibiotics, observation) </w:t>
            </w:r>
          </w:p>
        </w:tc>
        <w:tc>
          <w:tcPr>
            <w:tcW w:w="1560" w:type="dxa"/>
          </w:tcPr>
          <w:p w14:paraId="3754715D" w14:textId="77777777" w:rsidR="0087601C" w:rsidRPr="006A1EC7" w:rsidRDefault="0087601C" w:rsidP="00D56051">
            <w:pPr>
              <w:rPr>
                <w:sz w:val="15"/>
                <w:szCs w:val="15"/>
              </w:rPr>
            </w:pPr>
            <w:r w:rsidRPr="006A1EC7">
              <w:rPr>
                <w:sz w:val="15"/>
                <w:szCs w:val="15"/>
              </w:rPr>
              <w:t>1</w:t>
            </w:r>
          </w:p>
        </w:tc>
      </w:tr>
      <w:tr w:rsidR="0087601C" w:rsidRPr="006A1EC7" w14:paraId="2D4C6CA8" w14:textId="77777777" w:rsidTr="00D56051">
        <w:tc>
          <w:tcPr>
            <w:tcW w:w="3397" w:type="dxa"/>
            <w:gridSpan w:val="2"/>
          </w:tcPr>
          <w:p w14:paraId="01E332AB" w14:textId="77777777" w:rsidR="0087601C" w:rsidRPr="006A1EC7" w:rsidRDefault="0087601C" w:rsidP="00D56051">
            <w:pPr>
              <w:rPr>
                <w:sz w:val="15"/>
                <w:szCs w:val="15"/>
              </w:rPr>
            </w:pPr>
            <w:r w:rsidRPr="006A1EC7">
              <w:rPr>
                <w:sz w:val="15"/>
                <w:szCs w:val="15"/>
              </w:rPr>
              <w:t>No treatment</w:t>
            </w:r>
          </w:p>
        </w:tc>
        <w:tc>
          <w:tcPr>
            <w:tcW w:w="1560" w:type="dxa"/>
          </w:tcPr>
          <w:p w14:paraId="041B7B0E" w14:textId="77777777" w:rsidR="0087601C" w:rsidRPr="006A1EC7" w:rsidRDefault="0087601C" w:rsidP="00D56051">
            <w:pPr>
              <w:rPr>
                <w:sz w:val="15"/>
                <w:szCs w:val="15"/>
              </w:rPr>
            </w:pPr>
            <w:r w:rsidRPr="006A1EC7">
              <w:rPr>
                <w:sz w:val="15"/>
                <w:szCs w:val="15"/>
              </w:rPr>
              <w:t>0</w:t>
            </w:r>
          </w:p>
        </w:tc>
      </w:tr>
    </w:tbl>
    <w:p w14:paraId="67F125B6"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2433"/>
        <w:gridCol w:w="2524"/>
      </w:tblGrid>
      <w:tr w:rsidR="0087601C" w:rsidRPr="006A1EC7" w14:paraId="679E9760" w14:textId="77777777" w:rsidTr="00D56051">
        <w:tc>
          <w:tcPr>
            <w:tcW w:w="2433" w:type="dxa"/>
            <w:shd w:val="clear" w:color="auto" w:fill="E7E6E6" w:themeFill="background2"/>
          </w:tcPr>
          <w:p w14:paraId="2940AD05" w14:textId="77777777" w:rsidR="0087601C" w:rsidRPr="006A1EC7" w:rsidRDefault="0087601C" w:rsidP="00D56051">
            <w:pPr>
              <w:rPr>
                <w:b/>
                <w:sz w:val="15"/>
                <w:szCs w:val="15"/>
              </w:rPr>
            </w:pPr>
            <w:r w:rsidRPr="006A1EC7">
              <w:rPr>
                <w:b/>
                <w:sz w:val="15"/>
                <w:szCs w:val="15"/>
              </w:rPr>
              <w:t>Part 1: Feeding</w:t>
            </w:r>
          </w:p>
          <w:p w14:paraId="313A5835" w14:textId="77777777" w:rsidR="0087601C" w:rsidRPr="006A1EC7" w:rsidRDefault="0087601C" w:rsidP="00D56051">
            <w:pPr>
              <w:rPr>
                <w:b/>
                <w:sz w:val="15"/>
                <w:szCs w:val="15"/>
              </w:rPr>
            </w:pPr>
            <w:r w:rsidRPr="006A1EC7">
              <w:rPr>
                <w:b/>
                <w:sz w:val="15"/>
                <w:szCs w:val="15"/>
              </w:rPr>
              <w:lastRenderedPageBreak/>
              <w:t>(Maximum points 7)</w:t>
            </w:r>
          </w:p>
        </w:tc>
        <w:tc>
          <w:tcPr>
            <w:tcW w:w="2524" w:type="dxa"/>
            <w:shd w:val="clear" w:color="auto" w:fill="E7E6E6" w:themeFill="background2"/>
          </w:tcPr>
          <w:p w14:paraId="2656B65B" w14:textId="77777777" w:rsidR="0087601C" w:rsidRPr="006A1EC7" w:rsidRDefault="0087601C" w:rsidP="00D56051">
            <w:pPr>
              <w:rPr>
                <w:b/>
                <w:sz w:val="15"/>
                <w:szCs w:val="15"/>
              </w:rPr>
            </w:pPr>
          </w:p>
        </w:tc>
      </w:tr>
      <w:tr w:rsidR="0087601C" w:rsidRPr="006A1EC7" w14:paraId="315BC421" w14:textId="77777777" w:rsidTr="00D56051">
        <w:tc>
          <w:tcPr>
            <w:tcW w:w="2433" w:type="dxa"/>
            <w:shd w:val="clear" w:color="auto" w:fill="E7E6E6" w:themeFill="background2"/>
          </w:tcPr>
          <w:p w14:paraId="4A22214E" w14:textId="77777777" w:rsidR="0087601C" w:rsidRPr="006A1EC7" w:rsidRDefault="0087601C" w:rsidP="00D56051">
            <w:pPr>
              <w:rPr>
                <w:b/>
                <w:sz w:val="15"/>
                <w:szCs w:val="15"/>
              </w:rPr>
            </w:pPr>
            <w:r w:rsidRPr="006A1EC7">
              <w:rPr>
                <w:b/>
                <w:sz w:val="15"/>
                <w:szCs w:val="15"/>
              </w:rPr>
              <w:t>Part 2: Reflux/Aspiration</w:t>
            </w:r>
          </w:p>
          <w:p w14:paraId="1A64889A" w14:textId="77777777" w:rsidR="0087601C" w:rsidRPr="006A1EC7" w:rsidRDefault="0087601C" w:rsidP="00D56051">
            <w:pPr>
              <w:rPr>
                <w:b/>
                <w:sz w:val="15"/>
                <w:szCs w:val="15"/>
              </w:rPr>
            </w:pPr>
            <w:r w:rsidRPr="006A1EC7">
              <w:rPr>
                <w:b/>
                <w:sz w:val="15"/>
                <w:szCs w:val="15"/>
              </w:rPr>
              <w:t>(Maximum points 8)</w:t>
            </w:r>
          </w:p>
        </w:tc>
        <w:tc>
          <w:tcPr>
            <w:tcW w:w="2524" w:type="dxa"/>
            <w:shd w:val="clear" w:color="auto" w:fill="E7E6E6" w:themeFill="background2"/>
          </w:tcPr>
          <w:p w14:paraId="1DD93891" w14:textId="77777777" w:rsidR="0087601C" w:rsidRPr="006A1EC7" w:rsidRDefault="0087601C" w:rsidP="00D56051">
            <w:pPr>
              <w:rPr>
                <w:b/>
                <w:sz w:val="15"/>
                <w:szCs w:val="15"/>
              </w:rPr>
            </w:pPr>
          </w:p>
        </w:tc>
      </w:tr>
      <w:tr w:rsidR="0087601C" w:rsidRPr="006A1EC7" w14:paraId="26640E94" w14:textId="77777777" w:rsidTr="00D56051">
        <w:tc>
          <w:tcPr>
            <w:tcW w:w="2433" w:type="dxa"/>
            <w:shd w:val="clear" w:color="auto" w:fill="E7E6E6" w:themeFill="background2"/>
          </w:tcPr>
          <w:p w14:paraId="287FFB55" w14:textId="77777777" w:rsidR="0087601C" w:rsidRPr="006A1EC7" w:rsidRDefault="0087601C" w:rsidP="00D56051">
            <w:pPr>
              <w:rPr>
                <w:b/>
                <w:sz w:val="15"/>
                <w:szCs w:val="15"/>
              </w:rPr>
            </w:pPr>
            <w:r w:rsidRPr="006A1EC7">
              <w:rPr>
                <w:b/>
                <w:sz w:val="15"/>
                <w:szCs w:val="15"/>
              </w:rPr>
              <w:t>Part 3: Vomiting</w:t>
            </w:r>
          </w:p>
          <w:p w14:paraId="50D9C172" w14:textId="77777777" w:rsidR="0087601C" w:rsidRPr="006A1EC7" w:rsidRDefault="0087601C" w:rsidP="00D56051">
            <w:pPr>
              <w:rPr>
                <w:b/>
                <w:sz w:val="15"/>
                <w:szCs w:val="15"/>
              </w:rPr>
            </w:pPr>
            <w:r w:rsidRPr="006A1EC7">
              <w:rPr>
                <w:b/>
                <w:sz w:val="15"/>
                <w:szCs w:val="15"/>
              </w:rPr>
              <w:t>(Maximum points 2)</w:t>
            </w:r>
          </w:p>
        </w:tc>
        <w:tc>
          <w:tcPr>
            <w:tcW w:w="2524" w:type="dxa"/>
            <w:shd w:val="clear" w:color="auto" w:fill="E7E6E6" w:themeFill="background2"/>
          </w:tcPr>
          <w:p w14:paraId="4CDF1CE3" w14:textId="77777777" w:rsidR="0087601C" w:rsidRPr="006A1EC7" w:rsidRDefault="0087601C" w:rsidP="00D56051">
            <w:pPr>
              <w:rPr>
                <w:b/>
                <w:sz w:val="15"/>
                <w:szCs w:val="15"/>
              </w:rPr>
            </w:pPr>
          </w:p>
        </w:tc>
      </w:tr>
      <w:tr w:rsidR="0087601C" w:rsidRPr="006A1EC7" w14:paraId="72B60E68" w14:textId="77777777" w:rsidTr="00D56051">
        <w:tc>
          <w:tcPr>
            <w:tcW w:w="2433" w:type="dxa"/>
            <w:shd w:val="clear" w:color="auto" w:fill="E7E6E6" w:themeFill="background2"/>
          </w:tcPr>
          <w:p w14:paraId="678FFCA2" w14:textId="77777777" w:rsidR="0087601C" w:rsidRPr="006A1EC7" w:rsidRDefault="0087601C" w:rsidP="00D56051">
            <w:pPr>
              <w:rPr>
                <w:b/>
                <w:sz w:val="15"/>
                <w:szCs w:val="15"/>
              </w:rPr>
            </w:pPr>
            <w:r w:rsidRPr="006A1EC7">
              <w:rPr>
                <w:b/>
                <w:sz w:val="15"/>
                <w:szCs w:val="15"/>
              </w:rPr>
              <w:t>Part 4: Bladder/Bowel control</w:t>
            </w:r>
          </w:p>
          <w:p w14:paraId="19DBCDE3" w14:textId="77777777" w:rsidR="0087601C" w:rsidRPr="006A1EC7" w:rsidRDefault="0087601C" w:rsidP="00D56051">
            <w:pPr>
              <w:rPr>
                <w:b/>
                <w:sz w:val="15"/>
                <w:szCs w:val="15"/>
              </w:rPr>
            </w:pPr>
            <w:r w:rsidRPr="006A1EC7">
              <w:rPr>
                <w:b/>
                <w:sz w:val="15"/>
                <w:szCs w:val="15"/>
              </w:rPr>
              <w:t>(Maximum points 4)</w:t>
            </w:r>
          </w:p>
        </w:tc>
        <w:tc>
          <w:tcPr>
            <w:tcW w:w="2524" w:type="dxa"/>
            <w:shd w:val="clear" w:color="auto" w:fill="E7E6E6" w:themeFill="background2"/>
          </w:tcPr>
          <w:p w14:paraId="20763AAF" w14:textId="77777777" w:rsidR="0087601C" w:rsidRPr="006A1EC7" w:rsidRDefault="0087601C" w:rsidP="00D56051">
            <w:pPr>
              <w:rPr>
                <w:b/>
                <w:sz w:val="15"/>
                <w:szCs w:val="15"/>
              </w:rPr>
            </w:pPr>
          </w:p>
        </w:tc>
      </w:tr>
      <w:tr w:rsidR="0087601C" w:rsidRPr="006A1EC7" w14:paraId="5DBAA3D8" w14:textId="77777777" w:rsidTr="00D56051">
        <w:tc>
          <w:tcPr>
            <w:tcW w:w="2433" w:type="dxa"/>
            <w:shd w:val="clear" w:color="auto" w:fill="E7E6E6" w:themeFill="background2"/>
          </w:tcPr>
          <w:p w14:paraId="4D53ACE2" w14:textId="77777777" w:rsidR="0087601C" w:rsidRPr="006A1EC7" w:rsidRDefault="0087601C" w:rsidP="00D56051">
            <w:pPr>
              <w:rPr>
                <w:b/>
                <w:sz w:val="15"/>
                <w:szCs w:val="15"/>
              </w:rPr>
            </w:pPr>
            <w:r w:rsidRPr="006A1EC7">
              <w:rPr>
                <w:b/>
                <w:sz w:val="15"/>
                <w:szCs w:val="15"/>
              </w:rPr>
              <w:t>Part 5: Bowel movements</w:t>
            </w:r>
          </w:p>
          <w:p w14:paraId="1E1C32BE" w14:textId="77777777" w:rsidR="0087601C" w:rsidRPr="006A1EC7" w:rsidRDefault="0087601C" w:rsidP="00D56051">
            <w:pPr>
              <w:rPr>
                <w:b/>
                <w:sz w:val="15"/>
                <w:szCs w:val="15"/>
              </w:rPr>
            </w:pPr>
            <w:r w:rsidRPr="006A1EC7">
              <w:rPr>
                <w:b/>
                <w:sz w:val="15"/>
                <w:szCs w:val="15"/>
              </w:rPr>
              <w:t>(Maximum points 10)</w:t>
            </w:r>
          </w:p>
        </w:tc>
        <w:tc>
          <w:tcPr>
            <w:tcW w:w="2524" w:type="dxa"/>
            <w:shd w:val="clear" w:color="auto" w:fill="E7E6E6" w:themeFill="background2"/>
          </w:tcPr>
          <w:p w14:paraId="3AD3784B" w14:textId="77777777" w:rsidR="0087601C" w:rsidRPr="006A1EC7" w:rsidRDefault="0087601C" w:rsidP="00D56051">
            <w:pPr>
              <w:rPr>
                <w:b/>
                <w:sz w:val="15"/>
                <w:szCs w:val="15"/>
              </w:rPr>
            </w:pPr>
          </w:p>
        </w:tc>
      </w:tr>
      <w:tr w:rsidR="0087601C" w:rsidRPr="006A1EC7" w14:paraId="5DB0E84F" w14:textId="77777777" w:rsidTr="00D56051">
        <w:tc>
          <w:tcPr>
            <w:tcW w:w="2433" w:type="dxa"/>
            <w:shd w:val="clear" w:color="auto" w:fill="E7E6E6" w:themeFill="background2"/>
          </w:tcPr>
          <w:p w14:paraId="5C2C8410" w14:textId="77777777" w:rsidR="0087601C" w:rsidRPr="006A1EC7" w:rsidRDefault="0087601C" w:rsidP="00D56051">
            <w:pPr>
              <w:rPr>
                <w:b/>
                <w:sz w:val="15"/>
                <w:szCs w:val="15"/>
              </w:rPr>
            </w:pPr>
            <w:r w:rsidRPr="006A1EC7">
              <w:rPr>
                <w:b/>
                <w:sz w:val="15"/>
                <w:szCs w:val="15"/>
              </w:rPr>
              <w:t>Part 6: Genito-urinary</w:t>
            </w:r>
          </w:p>
          <w:p w14:paraId="32D3378D" w14:textId="77777777" w:rsidR="0087601C" w:rsidRPr="006A1EC7" w:rsidRDefault="0087601C" w:rsidP="00D56051">
            <w:pPr>
              <w:rPr>
                <w:b/>
                <w:sz w:val="15"/>
                <w:szCs w:val="15"/>
              </w:rPr>
            </w:pPr>
            <w:r w:rsidRPr="006A1EC7">
              <w:rPr>
                <w:b/>
                <w:sz w:val="15"/>
                <w:szCs w:val="15"/>
              </w:rPr>
              <w:t xml:space="preserve">(Maximum points </w:t>
            </w:r>
            <w:r w:rsidRPr="006A1EC7">
              <w:rPr>
                <w:b/>
                <w:sz w:val="15"/>
                <w:szCs w:val="15"/>
              </w:rPr>
              <w:br/>
              <w:t>if female: 6, if male: 9)</w:t>
            </w:r>
          </w:p>
        </w:tc>
        <w:tc>
          <w:tcPr>
            <w:tcW w:w="2524" w:type="dxa"/>
            <w:shd w:val="clear" w:color="auto" w:fill="E7E6E6" w:themeFill="background2"/>
          </w:tcPr>
          <w:p w14:paraId="6C06D89D" w14:textId="77777777" w:rsidR="0087601C" w:rsidRPr="006A1EC7" w:rsidRDefault="0087601C" w:rsidP="00D56051">
            <w:pPr>
              <w:rPr>
                <w:b/>
                <w:sz w:val="15"/>
                <w:szCs w:val="15"/>
              </w:rPr>
            </w:pPr>
          </w:p>
        </w:tc>
      </w:tr>
      <w:tr w:rsidR="0087601C" w:rsidRPr="006A1EC7" w14:paraId="0A83EA7B" w14:textId="77777777" w:rsidTr="00D56051">
        <w:tc>
          <w:tcPr>
            <w:tcW w:w="2433" w:type="dxa"/>
            <w:shd w:val="clear" w:color="auto" w:fill="E7E6E6" w:themeFill="background2"/>
          </w:tcPr>
          <w:p w14:paraId="66CD007B" w14:textId="77777777" w:rsidR="0087601C" w:rsidRPr="006A1EC7" w:rsidRDefault="0087601C" w:rsidP="00D56051">
            <w:pPr>
              <w:rPr>
                <w:b/>
                <w:sz w:val="15"/>
                <w:szCs w:val="15"/>
              </w:rPr>
            </w:pPr>
            <w:r w:rsidRPr="006A1EC7">
              <w:rPr>
                <w:b/>
                <w:sz w:val="15"/>
                <w:szCs w:val="15"/>
              </w:rPr>
              <w:t>Total Section 3:</w:t>
            </w:r>
          </w:p>
          <w:p w14:paraId="61984A18" w14:textId="77777777" w:rsidR="0087601C" w:rsidRPr="006A1EC7" w:rsidRDefault="0087601C" w:rsidP="00D56051">
            <w:pPr>
              <w:rPr>
                <w:b/>
                <w:sz w:val="15"/>
                <w:szCs w:val="15"/>
              </w:rPr>
            </w:pPr>
            <w:r w:rsidRPr="006A1EC7">
              <w:rPr>
                <w:b/>
                <w:sz w:val="15"/>
                <w:szCs w:val="15"/>
              </w:rPr>
              <w:t xml:space="preserve"> (If female, 37 – if male, 40)</w:t>
            </w:r>
          </w:p>
          <w:p w14:paraId="2A5F6BA3" w14:textId="77777777" w:rsidR="0087601C" w:rsidRPr="006A1EC7" w:rsidRDefault="0087601C" w:rsidP="00D56051">
            <w:pPr>
              <w:rPr>
                <w:b/>
                <w:sz w:val="15"/>
                <w:szCs w:val="15"/>
              </w:rPr>
            </w:pPr>
          </w:p>
        </w:tc>
        <w:tc>
          <w:tcPr>
            <w:tcW w:w="2524" w:type="dxa"/>
            <w:shd w:val="clear" w:color="auto" w:fill="E7E6E6" w:themeFill="background2"/>
          </w:tcPr>
          <w:p w14:paraId="29B11BCA" w14:textId="77777777" w:rsidR="0087601C" w:rsidRPr="006A1EC7" w:rsidRDefault="0087601C" w:rsidP="00D56051">
            <w:pPr>
              <w:rPr>
                <w:b/>
                <w:sz w:val="15"/>
                <w:szCs w:val="15"/>
              </w:rPr>
            </w:pPr>
          </w:p>
        </w:tc>
      </w:tr>
    </w:tbl>
    <w:p w14:paraId="01C718D9" w14:textId="77777777" w:rsidR="0087601C" w:rsidRPr="006A1EC7" w:rsidRDefault="0087601C" w:rsidP="0087601C">
      <w:pPr>
        <w:rPr>
          <w:b/>
          <w:sz w:val="15"/>
          <w:szCs w:val="15"/>
          <w:u w:val="single"/>
        </w:rPr>
      </w:pPr>
    </w:p>
    <w:p w14:paraId="4E10FE18" w14:textId="77777777" w:rsidR="0087601C" w:rsidRPr="006A1EC7" w:rsidRDefault="0087601C" w:rsidP="0087601C">
      <w:pPr>
        <w:rPr>
          <w:b/>
          <w:sz w:val="15"/>
          <w:szCs w:val="15"/>
          <w:u w:val="single"/>
        </w:rPr>
      </w:pPr>
    </w:p>
    <w:p w14:paraId="7CF0C093" w14:textId="77777777" w:rsidR="0087601C" w:rsidRPr="006A1EC7" w:rsidRDefault="0087601C" w:rsidP="0087601C">
      <w:pPr>
        <w:rPr>
          <w:b/>
          <w:sz w:val="15"/>
          <w:szCs w:val="15"/>
          <w:u w:val="single"/>
        </w:rPr>
      </w:pPr>
      <w:r w:rsidRPr="006A1EC7">
        <w:rPr>
          <w:b/>
          <w:sz w:val="15"/>
          <w:szCs w:val="15"/>
          <w:u w:val="single"/>
        </w:rPr>
        <w:t>Section 4: Cardiac and respiratory symptoms</w:t>
      </w:r>
    </w:p>
    <w:p w14:paraId="3B18C0C9" w14:textId="77777777" w:rsidR="0087601C" w:rsidRPr="006A1EC7" w:rsidRDefault="0087601C" w:rsidP="0087601C">
      <w:pPr>
        <w:rPr>
          <w:sz w:val="15"/>
          <w:szCs w:val="15"/>
        </w:rPr>
      </w:pPr>
    </w:p>
    <w:p w14:paraId="3FA8C2C0" w14:textId="77777777" w:rsidR="0087601C" w:rsidRPr="006A1EC7" w:rsidRDefault="0087601C" w:rsidP="0087601C">
      <w:pPr>
        <w:ind w:firstLine="720"/>
        <w:rPr>
          <w:b/>
          <w:sz w:val="15"/>
          <w:szCs w:val="15"/>
        </w:rPr>
      </w:pPr>
      <w:r w:rsidRPr="006A1EC7">
        <w:rPr>
          <w:b/>
          <w:sz w:val="15"/>
          <w:szCs w:val="15"/>
        </w:rPr>
        <w:t>Part 1: Cardiac functioning</w:t>
      </w:r>
    </w:p>
    <w:p w14:paraId="48441086" w14:textId="77777777" w:rsidR="0087601C" w:rsidRPr="006A1EC7" w:rsidRDefault="0087601C" w:rsidP="0087601C">
      <w:pPr>
        <w:rPr>
          <w:i/>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4A7EEA1E" w14:textId="77777777" w:rsidTr="00D56051">
        <w:tc>
          <w:tcPr>
            <w:tcW w:w="640" w:type="dxa"/>
          </w:tcPr>
          <w:p w14:paraId="763AB72C" w14:textId="77777777" w:rsidR="0087601C" w:rsidRPr="006A1EC7" w:rsidRDefault="0087601C" w:rsidP="00D56051">
            <w:pPr>
              <w:rPr>
                <w:sz w:val="15"/>
                <w:szCs w:val="15"/>
                <w:u w:val="single"/>
              </w:rPr>
            </w:pPr>
            <w:r w:rsidRPr="006A1EC7">
              <w:rPr>
                <w:sz w:val="15"/>
                <w:szCs w:val="15"/>
                <w:u w:val="single"/>
              </w:rPr>
              <w:t>4A.1</w:t>
            </w:r>
          </w:p>
        </w:tc>
        <w:tc>
          <w:tcPr>
            <w:tcW w:w="2757" w:type="dxa"/>
          </w:tcPr>
          <w:p w14:paraId="459212AA" w14:textId="77777777" w:rsidR="0087601C" w:rsidRPr="006A1EC7" w:rsidRDefault="0087601C" w:rsidP="00D56051">
            <w:pPr>
              <w:rPr>
                <w:sz w:val="15"/>
                <w:szCs w:val="15"/>
              </w:rPr>
            </w:pPr>
            <w:r w:rsidRPr="006A1EC7">
              <w:rPr>
                <w:sz w:val="15"/>
                <w:szCs w:val="15"/>
              </w:rPr>
              <w:t>Has the patient ever been diagnosed with a structural heart defect (i.e. ventricular, ASD, …)?</w:t>
            </w:r>
          </w:p>
          <w:p w14:paraId="0FE2CB05" w14:textId="77777777" w:rsidR="0087601C" w:rsidRPr="006A1EC7" w:rsidRDefault="0087601C" w:rsidP="00D56051">
            <w:pPr>
              <w:rPr>
                <w:sz w:val="15"/>
                <w:szCs w:val="15"/>
              </w:rPr>
            </w:pPr>
          </w:p>
        </w:tc>
        <w:tc>
          <w:tcPr>
            <w:tcW w:w="1560" w:type="dxa"/>
          </w:tcPr>
          <w:p w14:paraId="0A932855" w14:textId="77777777" w:rsidR="0087601C" w:rsidRPr="006A1EC7" w:rsidRDefault="0087601C" w:rsidP="00D56051">
            <w:pPr>
              <w:rPr>
                <w:sz w:val="15"/>
                <w:szCs w:val="15"/>
              </w:rPr>
            </w:pPr>
          </w:p>
        </w:tc>
      </w:tr>
      <w:tr w:rsidR="0087601C" w:rsidRPr="006A1EC7" w14:paraId="43B18553" w14:textId="77777777" w:rsidTr="00D56051">
        <w:tc>
          <w:tcPr>
            <w:tcW w:w="3397" w:type="dxa"/>
            <w:gridSpan w:val="2"/>
          </w:tcPr>
          <w:p w14:paraId="01E8654E" w14:textId="77777777" w:rsidR="0087601C" w:rsidRPr="006A1EC7" w:rsidRDefault="0087601C" w:rsidP="00D56051">
            <w:pPr>
              <w:rPr>
                <w:b/>
                <w:sz w:val="15"/>
                <w:szCs w:val="15"/>
              </w:rPr>
            </w:pPr>
            <w:r w:rsidRPr="006A1EC7">
              <w:rPr>
                <w:sz w:val="15"/>
                <w:szCs w:val="15"/>
              </w:rPr>
              <w:t>Yes</w:t>
            </w:r>
            <w:r w:rsidRPr="006A1EC7">
              <w:rPr>
                <w:b/>
                <w:sz w:val="15"/>
                <w:szCs w:val="15"/>
              </w:rPr>
              <w:t xml:space="preserve"> </w:t>
            </w:r>
          </w:p>
          <w:p w14:paraId="4B832419" w14:textId="77777777" w:rsidR="0087601C" w:rsidRPr="006A1EC7" w:rsidRDefault="0087601C" w:rsidP="00D56051">
            <w:pPr>
              <w:rPr>
                <w:b/>
                <w:sz w:val="15"/>
                <w:szCs w:val="15"/>
              </w:rPr>
            </w:pPr>
          </w:p>
          <w:p w14:paraId="010CA6DC" w14:textId="77777777" w:rsidR="0087601C" w:rsidRPr="006A1EC7" w:rsidRDefault="0087601C" w:rsidP="00D56051">
            <w:pPr>
              <w:rPr>
                <w:b/>
                <w:sz w:val="15"/>
                <w:szCs w:val="15"/>
              </w:rPr>
            </w:pPr>
            <w:r w:rsidRPr="006A1EC7">
              <w:rPr>
                <w:b/>
                <w:sz w:val="15"/>
                <w:szCs w:val="15"/>
              </w:rPr>
              <w:t xml:space="preserve">If Yes, proceed to Item 4A.2 </w:t>
            </w:r>
          </w:p>
        </w:tc>
        <w:tc>
          <w:tcPr>
            <w:tcW w:w="1560" w:type="dxa"/>
          </w:tcPr>
          <w:p w14:paraId="5D69ECE2" w14:textId="77777777" w:rsidR="0087601C" w:rsidRPr="006A1EC7" w:rsidRDefault="0087601C" w:rsidP="00D56051">
            <w:pPr>
              <w:rPr>
                <w:sz w:val="15"/>
                <w:szCs w:val="15"/>
              </w:rPr>
            </w:pPr>
            <w:r w:rsidRPr="006A1EC7">
              <w:rPr>
                <w:sz w:val="15"/>
                <w:szCs w:val="15"/>
              </w:rPr>
              <w:t>1</w:t>
            </w:r>
          </w:p>
        </w:tc>
      </w:tr>
      <w:tr w:rsidR="0087601C" w:rsidRPr="006A1EC7" w14:paraId="6B64A0DE" w14:textId="77777777" w:rsidTr="00D56051">
        <w:tc>
          <w:tcPr>
            <w:tcW w:w="3397" w:type="dxa"/>
            <w:gridSpan w:val="2"/>
          </w:tcPr>
          <w:p w14:paraId="0C54A3B0" w14:textId="77777777" w:rsidR="0087601C" w:rsidRPr="006A1EC7" w:rsidRDefault="0087601C" w:rsidP="00D56051">
            <w:pPr>
              <w:rPr>
                <w:sz w:val="15"/>
                <w:szCs w:val="15"/>
              </w:rPr>
            </w:pPr>
            <w:r w:rsidRPr="006A1EC7">
              <w:rPr>
                <w:sz w:val="15"/>
                <w:szCs w:val="15"/>
              </w:rPr>
              <w:t>No</w:t>
            </w:r>
          </w:p>
          <w:p w14:paraId="261844F2" w14:textId="77777777" w:rsidR="0087601C" w:rsidRPr="006A1EC7" w:rsidRDefault="0087601C" w:rsidP="00D56051">
            <w:pPr>
              <w:rPr>
                <w:sz w:val="15"/>
                <w:szCs w:val="15"/>
              </w:rPr>
            </w:pPr>
          </w:p>
          <w:p w14:paraId="0C19BFA0" w14:textId="77777777" w:rsidR="0087601C" w:rsidRPr="006A1EC7" w:rsidRDefault="0087601C" w:rsidP="00D56051">
            <w:pPr>
              <w:rPr>
                <w:b/>
                <w:sz w:val="15"/>
                <w:szCs w:val="15"/>
              </w:rPr>
            </w:pPr>
            <w:r w:rsidRPr="006A1EC7">
              <w:rPr>
                <w:b/>
                <w:sz w:val="15"/>
                <w:szCs w:val="15"/>
              </w:rPr>
              <w:t>If No, proceed to Item 4B</w:t>
            </w:r>
          </w:p>
        </w:tc>
        <w:tc>
          <w:tcPr>
            <w:tcW w:w="1560" w:type="dxa"/>
          </w:tcPr>
          <w:p w14:paraId="52D90A15" w14:textId="77777777" w:rsidR="0087601C" w:rsidRPr="006A1EC7" w:rsidRDefault="0087601C" w:rsidP="00D56051">
            <w:pPr>
              <w:rPr>
                <w:sz w:val="15"/>
                <w:szCs w:val="15"/>
              </w:rPr>
            </w:pPr>
            <w:r w:rsidRPr="006A1EC7">
              <w:rPr>
                <w:sz w:val="15"/>
                <w:szCs w:val="15"/>
              </w:rPr>
              <w:t>0</w:t>
            </w:r>
          </w:p>
        </w:tc>
      </w:tr>
    </w:tbl>
    <w:p w14:paraId="0E7C4B4E" w14:textId="77777777" w:rsidR="0087601C" w:rsidRPr="006A1EC7" w:rsidRDefault="0087601C" w:rsidP="0087601C">
      <w:pPr>
        <w:rPr>
          <w:i/>
          <w:sz w:val="15"/>
          <w:szCs w:val="15"/>
        </w:rPr>
      </w:pPr>
    </w:p>
    <w:tbl>
      <w:tblPr>
        <w:tblStyle w:val="TableGrid"/>
        <w:tblW w:w="4957" w:type="dxa"/>
        <w:tblLook w:val="04A0" w:firstRow="1" w:lastRow="0" w:firstColumn="1" w:lastColumn="0" w:noHBand="0" w:noVBand="1"/>
      </w:tblPr>
      <w:tblGrid>
        <w:gridCol w:w="1129"/>
        <w:gridCol w:w="3828"/>
      </w:tblGrid>
      <w:tr w:rsidR="0087601C" w:rsidRPr="006A1EC7" w14:paraId="1CF98280" w14:textId="77777777" w:rsidTr="00D56051">
        <w:tc>
          <w:tcPr>
            <w:tcW w:w="1129" w:type="dxa"/>
          </w:tcPr>
          <w:p w14:paraId="51619D1E" w14:textId="77777777" w:rsidR="0087601C" w:rsidRPr="006A1EC7" w:rsidRDefault="0087601C" w:rsidP="00D56051">
            <w:pPr>
              <w:rPr>
                <w:sz w:val="15"/>
                <w:szCs w:val="15"/>
              </w:rPr>
            </w:pPr>
            <w:r w:rsidRPr="006A1EC7">
              <w:rPr>
                <w:sz w:val="15"/>
                <w:szCs w:val="15"/>
              </w:rPr>
              <w:t>Details:</w:t>
            </w:r>
          </w:p>
        </w:tc>
        <w:tc>
          <w:tcPr>
            <w:tcW w:w="3828" w:type="dxa"/>
          </w:tcPr>
          <w:p w14:paraId="28D56111" w14:textId="77777777" w:rsidR="0087601C" w:rsidRPr="006A1EC7" w:rsidRDefault="0087601C" w:rsidP="00D56051">
            <w:pPr>
              <w:rPr>
                <w:sz w:val="15"/>
                <w:szCs w:val="15"/>
              </w:rPr>
            </w:pPr>
          </w:p>
        </w:tc>
      </w:tr>
    </w:tbl>
    <w:p w14:paraId="2B101A41" w14:textId="77777777" w:rsidR="0087601C" w:rsidRPr="006A1EC7" w:rsidRDefault="0087601C" w:rsidP="0087601C">
      <w:pPr>
        <w:rPr>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2925A01C" w14:textId="77777777" w:rsidTr="00D56051">
        <w:tc>
          <w:tcPr>
            <w:tcW w:w="640" w:type="dxa"/>
          </w:tcPr>
          <w:p w14:paraId="23CBFA78" w14:textId="77777777" w:rsidR="0087601C" w:rsidRPr="006A1EC7" w:rsidRDefault="0087601C" w:rsidP="00D56051">
            <w:pPr>
              <w:rPr>
                <w:sz w:val="15"/>
                <w:szCs w:val="15"/>
                <w:u w:val="single"/>
              </w:rPr>
            </w:pPr>
            <w:r w:rsidRPr="006A1EC7">
              <w:rPr>
                <w:sz w:val="15"/>
                <w:szCs w:val="15"/>
                <w:u w:val="single"/>
              </w:rPr>
              <w:t>4A.3</w:t>
            </w:r>
          </w:p>
          <w:p w14:paraId="635492AD" w14:textId="77777777" w:rsidR="0087601C" w:rsidRPr="006A1EC7" w:rsidRDefault="0087601C" w:rsidP="00D56051">
            <w:pPr>
              <w:rPr>
                <w:sz w:val="15"/>
                <w:szCs w:val="15"/>
              </w:rPr>
            </w:pPr>
          </w:p>
        </w:tc>
        <w:tc>
          <w:tcPr>
            <w:tcW w:w="2757" w:type="dxa"/>
          </w:tcPr>
          <w:p w14:paraId="3E8BE2D2" w14:textId="77777777" w:rsidR="0087601C" w:rsidRPr="006A1EC7" w:rsidRDefault="0087601C" w:rsidP="00D56051">
            <w:pPr>
              <w:rPr>
                <w:sz w:val="15"/>
                <w:szCs w:val="15"/>
              </w:rPr>
            </w:pPr>
            <w:r w:rsidRPr="006A1EC7">
              <w:rPr>
                <w:sz w:val="15"/>
                <w:szCs w:val="15"/>
              </w:rPr>
              <w:t>How is/ has the structural heart defect being/been treated?</w:t>
            </w:r>
          </w:p>
          <w:p w14:paraId="17896251" w14:textId="77777777" w:rsidR="0087601C" w:rsidRPr="006A1EC7" w:rsidRDefault="0087601C" w:rsidP="00D56051">
            <w:pPr>
              <w:rPr>
                <w:sz w:val="15"/>
                <w:szCs w:val="15"/>
              </w:rPr>
            </w:pPr>
          </w:p>
        </w:tc>
        <w:tc>
          <w:tcPr>
            <w:tcW w:w="1560" w:type="dxa"/>
          </w:tcPr>
          <w:p w14:paraId="0C8D709B" w14:textId="77777777" w:rsidR="0087601C" w:rsidRPr="006A1EC7" w:rsidRDefault="0087601C" w:rsidP="00D56051">
            <w:pPr>
              <w:rPr>
                <w:sz w:val="15"/>
                <w:szCs w:val="15"/>
              </w:rPr>
            </w:pPr>
          </w:p>
        </w:tc>
      </w:tr>
      <w:tr w:rsidR="0087601C" w:rsidRPr="006A1EC7" w14:paraId="66170ECF" w14:textId="77777777" w:rsidTr="00D56051">
        <w:tc>
          <w:tcPr>
            <w:tcW w:w="3397" w:type="dxa"/>
            <w:gridSpan w:val="2"/>
          </w:tcPr>
          <w:p w14:paraId="237C15AF" w14:textId="77777777" w:rsidR="0087601C" w:rsidRPr="006A1EC7" w:rsidRDefault="0087601C" w:rsidP="00D56051">
            <w:pPr>
              <w:rPr>
                <w:sz w:val="15"/>
                <w:szCs w:val="15"/>
              </w:rPr>
            </w:pPr>
            <w:r w:rsidRPr="006A1EC7">
              <w:rPr>
                <w:sz w:val="15"/>
                <w:szCs w:val="15"/>
              </w:rPr>
              <w:t>Urgent surgery</w:t>
            </w:r>
          </w:p>
        </w:tc>
        <w:tc>
          <w:tcPr>
            <w:tcW w:w="1560" w:type="dxa"/>
          </w:tcPr>
          <w:p w14:paraId="6A58A74C" w14:textId="77777777" w:rsidR="0087601C" w:rsidRPr="006A1EC7" w:rsidRDefault="0087601C" w:rsidP="00D56051">
            <w:pPr>
              <w:rPr>
                <w:sz w:val="15"/>
                <w:szCs w:val="15"/>
              </w:rPr>
            </w:pPr>
            <w:r w:rsidRPr="006A1EC7">
              <w:rPr>
                <w:sz w:val="15"/>
                <w:szCs w:val="15"/>
              </w:rPr>
              <w:t>3</w:t>
            </w:r>
          </w:p>
        </w:tc>
      </w:tr>
      <w:tr w:rsidR="0087601C" w:rsidRPr="006A1EC7" w14:paraId="4DA305AA" w14:textId="77777777" w:rsidTr="00D56051">
        <w:tc>
          <w:tcPr>
            <w:tcW w:w="3397" w:type="dxa"/>
            <w:gridSpan w:val="2"/>
          </w:tcPr>
          <w:p w14:paraId="1DA0133D" w14:textId="77777777" w:rsidR="0087601C" w:rsidRPr="006A1EC7" w:rsidRDefault="0087601C" w:rsidP="00D56051">
            <w:pPr>
              <w:rPr>
                <w:sz w:val="15"/>
                <w:szCs w:val="15"/>
              </w:rPr>
            </w:pPr>
            <w:r w:rsidRPr="006A1EC7">
              <w:rPr>
                <w:sz w:val="15"/>
                <w:szCs w:val="15"/>
              </w:rPr>
              <w:t>Elective surgery</w:t>
            </w:r>
          </w:p>
        </w:tc>
        <w:tc>
          <w:tcPr>
            <w:tcW w:w="1560" w:type="dxa"/>
          </w:tcPr>
          <w:p w14:paraId="210EBE30" w14:textId="77777777" w:rsidR="0087601C" w:rsidRPr="006A1EC7" w:rsidRDefault="0087601C" w:rsidP="00D56051">
            <w:pPr>
              <w:rPr>
                <w:sz w:val="15"/>
                <w:szCs w:val="15"/>
              </w:rPr>
            </w:pPr>
            <w:r w:rsidRPr="006A1EC7">
              <w:rPr>
                <w:sz w:val="15"/>
                <w:szCs w:val="15"/>
              </w:rPr>
              <w:t>2</w:t>
            </w:r>
          </w:p>
        </w:tc>
      </w:tr>
      <w:tr w:rsidR="0087601C" w:rsidRPr="006A1EC7" w14:paraId="522C7A8F" w14:textId="77777777" w:rsidTr="00D56051">
        <w:tc>
          <w:tcPr>
            <w:tcW w:w="3397" w:type="dxa"/>
            <w:gridSpan w:val="2"/>
          </w:tcPr>
          <w:p w14:paraId="021D1684" w14:textId="77777777" w:rsidR="0087601C" w:rsidRPr="006A1EC7" w:rsidRDefault="0087601C" w:rsidP="00D56051">
            <w:pPr>
              <w:rPr>
                <w:sz w:val="15"/>
                <w:szCs w:val="15"/>
              </w:rPr>
            </w:pPr>
            <w:r w:rsidRPr="006A1EC7">
              <w:rPr>
                <w:sz w:val="15"/>
                <w:szCs w:val="15"/>
              </w:rPr>
              <w:t>Medication</w:t>
            </w:r>
          </w:p>
        </w:tc>
        <w:tc>
          <w:tcPr>
            <w:tcW w:w="1560" w:type="dxa"/>
          </w:tcPr>
          <w:p w14:paraId="30F56B92" w14:textId="77777777" w:rsidR="0087601C" w:rsidRPr="006A1EC7" w:rsidRDefault="0087601C" w:rsidP="00D56051">
            <w:pPr>
              <w:rPr>
                <w:sz w:val="15"/>
                <w:szCs w:val="15"/>
              </w:rPr>
            </w:pPr>
            <w:r w:rsidRPr="006A1EC7">
              <w:rPr>
                <w:sz w:val="15"/>
                <w:szCs w:val="15"/>
              </w:rPr>
              <w:t>1</w:t>
            </w:r>
          </w:p>
        </w:tc>
      </w:tr>
      <w:tr w:rsidR="0087601C" w:rsidRPr="006A1EC7" w14:paraId="058D0CAD" w14:textId="77777777" w:rsidTr="00D56051">
        <w:tc>
          <w:tcPr>
            <w:tcW w:w="3397" w:type="dxa"/>
            <w:gridSpan w:val="2"/>
          </w:tcPr>
          <w:p w14:paraId="0F66AB79" w14:textId="77777777" w:rsidR="0087601C" w:rsidRPr="006A1EC7" w:rsidRDefault="0087601C" w:rsidP="00D56051">
            <w:pPr>
              <w:rPr>
                <w:sz w:val="15"/>
                <w:szCs w:val="15"/>
              </w:rPr>
            </w:pPr>
            <w:r w:rsidRPr="006A1EC7">
              <w:rPr>
                <w:sz w:val="15"/>
                <w:szCs w:val="15"/>
              </w:rPr>
              <w:t>None needed/observation only</w:t>
            </w:r>
          </w:p>
        </w:tc>
        <w:tc>
          <w:tcPr>
            <w:tcW w:w="1560" w:type="dxa"/>
          </w:tcPr>
          <w:p w14:paraId="70CD0D88" w14:textId="77777777" w:rsidR="0087601C" w:rsidRPr="006A1EC7" w:rsidRDefault="0087601C" w:rsidP="00D56051">
            <w:pPr>
              <w:rPr>
                <w:sz w:val="15"/>
                <w:szCs w:val="15"/>
              </w:rPr>
            </w:pPr>
            <w:r w:rsidRPr="006A1EC7">
              <w:rPr>
                <w:sz w:val="15"/>
                <w:szCs w:val="15"/>
              </w:rPr>
              <w:t>0</w:t>
            </w:r>
          </w:p>
        </w:tc>
      </w:tr>
    </w:tbl>
    <w:p w14:paraId="0F2BFC7A" w14:textId="77777777" w:rsidR="0087601C" w:rsidRPr="006A1EC7" w:rsidRDefault="0087601C" w:rsidP="0087601C">
      <w:pPr>
        <w:rPr>
          <w:sz w:val="15"/>
          <w:szCs w:val="15"/>
          <w:u w:val="single"/>
        </w:rPr>
      </w:pPr>
    </w:p>
    <w:p w14:paraId="25818D91" w14:textId="77777777" w:rsidR="0087601C" w:rsidRPr="006A1EC7" w:rsidRDefault="0087601C" w:rsidP="0087601C">
      <w:pPr>
        <w:rPr>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71F77070" w14:textId="77777777" w:rsidTr="00D56051">
        <w:tc>
          <w:tcPr>
            <w:tcW w:w="640" w:type="dxa"/>
          </w:tcPr>
          <w:p w14:paraId="7620C4D2" w14:textId="77777777" w:rsidR="0087601C" w:rsidRPr="006A1EC7" w:rsidRDefault="0087601C" w:rsidP="00D56051">
            <w:pPr>
              <w:rPr>
                <w:sz w:val="15"/>
                <w:szCs w:val="15"/>
              </w:rPr>
            </w:pPr>
            <w:r w:rsidRPr="006A1EC7">
              <w:rPr>
                <w:sz w:val="15"/>
                <w:szCs w:val="15"/>
              </w:rPr>
              <w:t>3A.4</w:t>
            </w:r>
          </w:p>
        </w:tc>
        <w:tc>
          <w:tcPr>
            <w:tcW w:w="2757" w:type="dxa"/>
          </w:tcPr>
          <w:p w14:paraId="622BA1A0" w14:textId="77777777" w:rsidR="0087601C" w:rsidRPr="006A1EC7" w:rsidRDefault="0087601C" w:rsidP="00D56051">
            <w:pPr>
              <w:rPr>
                <w:sz w:val="15"/>
                <w:szCs w:val="15"/>
              </w:rPr>
            </w:pPr>
            <w:r w:rsidRPr="006A1EC7">
              <w:rPr>
                <w:sz w:val="15"/>
                <w:szCs w:val="15"/>
              </w:rPr>
              <w:t>Is the heart defect symptomatic?</w:t>
            </w:r>
          </w:p>
          <w:p w14:paraId="3EE46259" w14:textId="77777777" w:rsidR="0087601C" w:rsidRPr="006A1EC7" w:rsidRDefault="0087601C" w:rsidP="00D56051">
            <w:pPr>
              <w:rPr>
                <w:sz w:val="15"/>
                <w:szCs w:val="15"/>
              </w:rPr>
            </w:pPr>
          </w:p>
        </w:tc>
        <w:tc>
          <w:tcPr>
            <w:tcW w:w="1560" w:type="dxa"/>
          </w:tcPr>
          <w:p w14:paraId="5A9DC766" w14:textId="77777777" w:rsidR="0087601C" w:rsidRPr="006A1EC7" w:rsidRDefault="0087601C" w:rsidP="00D56051">
            <w:pPr>
              <w:rPr>
                <w:sz w:val="15"/>
                <w:szCs w:val="15"/>
              </w:rPr>
            </w:pPr>
          </w:p>
        </w:tc>
      </w:tr>
      <w:tr w:rsidR="0087601C" w:rsidRPr="006A1EC7" w14:paraId="1DBEEFF8" w14:textId="77777777" w:rsidTr="00D56051">
        <w:tc>
          <w:tcPr>
            <w:tcW w:w="3397" w:type="dxa"/>
            <w:gridSpan w:val="2"/>
          </w:tcPr>
          <w:p w14:paraId="3CA17777" w14:textId="77777777" w:rsidR="0087601C" w:rsidRPr="006A1EC7" w:rsidRDefault="0087601C" w:rsidP="00D56051">
            <w:pPr>
              <w:rPr>
                <w:sz w:val="15"/>
                <w:szCs w:val="15"/>
              </w:rPr>
            </w:pPr>
            <w:r w:rsidRPr="006A1EC7">
              <w:rPr>
                <w:sz w:val="15"/>
                <w:szCs w:val="15"/>
              </w:rPr>
              <w:t>Predominantly Yes</w:t>
            </w:r>
          </w:p>
        </w:tc>
        <w:tc>
          <w:tcPr>
            <w:tcW w:w="1560" w:type="dxa"/>
          </w:tcPr>
          <w:p w14:paraId="1970F6F6" w14:textId="77777777" w:rsidR="0087601C" w:rsidRPr="006A1EC7" w:rsidRDefault="0087601C" w:rsidP="00D56051">
            <w:pPr>
              <w:rPr>
                <w:sz w:val="15"/>
                <w:szCs w:val="15"/>
              </w:rPr>
            </w:pPr>
            <w:r w:rsidRPr="006A1EC7">
              <w:rPr>
                <w:sz w:val="15"/>
                <w:szCs w:val="15"/>
              </w:rPr>
              <w:t>1</w:t>
            </w:r>
          </w:p>
        </w:tc>
      </w:tr>
      <w:tr w:rsidR="0087601C" w:rsidRPr="006A1EC7" w14:paraId="430158DC" w14:textId="77777777" w:rsidTr="00D56051">
        <w:tc>
          <w:tcPr>
            <w:tcW w:w="3397" w:type="dxa"/>
            <w:gridSpan w:val="2"/>
          </w:tcPr>
          <w:p w14:paraId="4108C433" w14:textId="77777777" w:rsidR="0087601C" w:rsidRPr="006A1EC7" w:rsidRDefault="0087601C" w:rsidP="00D56051">
            <w:pPr>
              <w:rPr>
                <w:sz w:val="15"/>
                <w:szCs w:val="15"/>
              </w:rPr>
            </w:pPr>
            <w:r w:rsidRPr="006A1EC7">
              <w:rPr>
                <w:sz w:val="15"/>
                <w:szCs w:val="15"/>
              </w:rPr>
              <w:t>Predominantly No</w:t>
            </w:r>
          </w:p>
        </w:tc>
        <w:tc>
          <w:tcPr>
            <w:tcW w:w="1560" w:type="dxa"/>
          </w:tcPr>
          <w:p w14:paraId="085BC0D5" w14:textId="77777777" w:rsidR="0087601C" w:rsidRPr="006A1EC7" w:rsidRDefault="0087601C" w:rsidP="00D56051">
            <w:pPr>
              <w:rPr>
                <w:sz w:val="15"/>
                <w:szCs w:val="15"/>
              </w:rPr>
            </w:pPr>
            <w:r w:rsidRPr="006A1EC7">
              <w:rPr>
                <w:sz w:val="15"/>
                <w:szCs w:val="15"/>
              </w:rPr>
              <w:t>0</w:t>
            </w:r>
          </w:p>
        </w:tc>
      </w:tr>
    </w:tbl>
    <w:p w14:paraId="25BAD394" w14:textId="77777777" w:rsidR="0087601C" w:rsidRPr="006A1EC7" w:rsidRDefault="0087601C" w:rsidP="0087601C">
      <w:pPr>
        <w:rPr>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50EC8086" w14:textId="77777777" w:rsidTr="00D56051">
        <w:tc>
          <w:tcPr>
            <w:tcW w:w="640" w:type="dxa"/>
          </w:tcPr>
          <w:p w14:paraId="0B539E93" w14:textId="77777777" w:rsidR="0087601C" w:rsidRPr="006A1EC7" w:rsidRDefault="0087601C" w:rsidP="00D56051">
            <w:pPr>
              <w:rPr>
                <w:sz w:val="15"/>
                <w:szCs w:val="15"/>
                <w:u w:val="single"/>
              </w:rPr>
            </w:pPr>
            <w:r w:rsidRPr="006A1EC7">
              <w:rPr>
                <w:sz w:val="15"/>
                <w:szCs w:val="15"/>
                <w:u w:val="single"/>
              </w:rPr>
              <w:t>4A.5</w:t>
            </w:r>
          </w:p>
        </w:tc>
        <w:tc>
          <w:tcPr>
            <w:tcW w:w="2757" w:type="dxa"/>
          </w:tcPr>
          <w:p w14:paraId="21F71DA9" w14:textId="77777777" w:rsidR="0087601C" w:rsidRPr="006A1EC7" w:rsidRDefault="0087601C" w:rsidP="00D56051">
            <w:pPr>
              <w:rPr>
                <w:sz w:val="15"/>
                <w:szCs w:val="15"/>
              </w:rPr>
            </w:pPr>
            <w:r w:rsidRPr="006A1EC7">
              <w:rPr>
                <w:sz w:val="15"/>
                <w:szCs w:val="15"/>
              </w:rPr>
              <w:t>What specific heart defect-related symptoms does the patient suffer?</w:t>
            </w:r>
          </w:p>
          <w:p w14:paraId="20398EF9" w14:textId="77777777" w:rsidR="0087601C" w:rsidRPr="006A1EC7" w:rsidRDefault="0087601C" w:rsidP="00D56051">
            <w:pPr>
              <w:rPr>
                <w:sz w:val="15"/>
                <w:szCs w:val="15"/>
                <w:u w:val="single"/>
              </w:rPr>
            </w:pPr>
          </w:p>
          <w:p w14:paraId="5B2EB13C" w14:textId="77777777" w:rsidR="0087601C" w:rsidRPr="006A1EC7" w:rsidRDefault="0087601C" w:rsidP="00D56051">
            <w:pPr>
              <w:rPr>
                <w:sz w:val="15"/>
                <w:szCs w:val="15"/>
                <w:highlight w:val="yellow"/>
                <w:u w:val="single"/>
              </w:rPr>
            </w:pPr>
            <w:r w:rsidRPr="006A1EC7">
              <w:rPr>
                <w:i/>
                <w:sz w:val="15"/>
                <w:szCs w:val="15"/>
              </w:rPr>
              <w:t>If more than one applicable, add up</w:t>
            </w:r>
          </w:p>
        </w:tc>
        <w:tc>
          <w:tcPr>
            <w:tcW w:w="1560" w:type="dxa"/>
          </w:tcPr>
          <w:p w14:paraId="29522F47" w14:textId="77777777" w:rsidR="0087601C" w:rsidRPr="006A1EC7" w:rsidRDefault="0087601C" w:rsidP="00D56051">
            <w:pPr>
              <w:rPr>
                <w:sz w:val="15"/>
                <w:szCs w:val="15"/>
              </w:rPr>
            </w:pPr>
          </w:p>
        </w:tc>
      </w:tr>
      <w:tr w:rsidR="0087601C" w:rsidRPr="006A1EC7" w14:paraId="4439432B" w14:textId="77777777" w:rsidTr="00D56051">
        <w:tc>
          <w:tcPr>
            <w:tcW w:w="3397" w:type="dxa"/>
            <w:gridSpan w:val="2"/>
          </w:tcPr>
          <w:p w14:paraId="1C0B6455" w14:textId="77777777" w:rsidR="0087601C" w:rsidRPr="006A1EC7" w:rsidRDefault="0087601C" w:rsidP="00D56051">
            <w:pPr>
              <w:rPr>
                <w:sz w:val="15"/>
                <w:szCs w:val="15"/>
              </w:rPr>
            </w:pPr>
            <w:r w:rsidRPr="006A1EC7">
              <w:rPr>
                <w:sz w:val="15"/>
                <w:szCs w:val="15"/>
              </w:rPr>
              <w:t>Breathlessness</w:t>
            </w:r>
          </w:p>
        </w:tc>
        <w:tc>
          <w:tcPr>
            <w:tcW w:w="1560" w:type="dxa"/>
          </w:tcPr>
          <w:p w14:paraId="7C14C793" w14:textId="77777777" w:rsidR="0087601C" w:rsidRPr="006A1EC7" w:rsidRDefault="0087601C" w:rsidP="00D56051">
            <w:pPr>
              <w:rPr>
                <w:sz w:val="15"/>
                <w:szCs w:val="15"/>
              </w:rPr>
            </w:pPr>
            <w:r w:rsidRPr="006A1EC7">
              <w:rPr>
                <w:sz w:val="15"/>
                <w:szCs w:val="15"/>
              </w:rPr>
              <w:t>1</w:t>
            </w:r>
          </w:p>
        </w:tc>
      </w:tr>
      <w:tr w:rsidR="0087601C" w:rsidRPr="006A1EC7" w14:paraId="1473D0C0" w14:textId="77777777" w:rsidTr="00D56051">
        <w:tc>
          <w:tcPr>
            <w:tcW w:w="3397" w:type="dxa"/>
            <w:gridSpan w:val="2"/>
          </w:tcPr>
          <w:p w14:paraId="63D2B0B2" w14:textId="77777777" w:rsidR="0087601C" w:rsidRPr="006A1EC7" w:rsidRDefault="0087601C" w:rsidP="00D56051">
            <w:pPr>
              <w:rPr>
                <w:sz w:val="15"/>
                <w:szCs w:val="15"/>
              </w:rPr>
            </w:pPr>
            <w:r w:rsidRPr="006A1EC7">
              <w:rPr>
                <w:sz w:val="15"/>
                <w:szCs w:val="15"/>
              </w:rPr>
              <w:t>chest pain</w:t>
            </w:r>
          </w:p>
        </w:tc>
        <w:tc>
          <w:tcPr>
            <w:tcW w:w="1560" w:type="dxa"/>
          </w:tcPr>
          <w:p w14:paraId="24D181F8" w14:textId="77777777" w:rsidR="0087601C" w:rsidRPr="006A1EC7" w:rsidRDefault="0087601C" w:rsidP="00D56051">
            <w:pPr>
              <w:rPr>
                <w:sz w:val="15"/>
                <w:szCs w:val="15"/>
              </w:rPr>
            </w:pPr>
            <w:r w:rsidRPr="006A1EC7">
              <w:rPr>
                <w:sz w:val="15"/>
                <w:szCs w:val="15"/>
              </w:rPr>
              <w:t>1</w:t>
            </w:r>
          </w:p>
        </w:tc>
      </w:tr>
      <w:tr w:rsidR="0087601C" w:rsidRPr="006A1EC7" w14:paraId="14C4AC79" w14:textId="77777777" w:rsidTr="00D56051">
        <w:tc>
          <w:tcPr>
            <w:tcW w:w="3397" w:type="dxa"/>
            <w:gridSpan w:val="2"/>
          </w:tcPr>
          <w:p w14:paraId="3A1C1E6E" w14:textId="77777777" w:rsidR="0087601C" w:rsidRPr="006A1EC7" w:rsidRDefault="0087601C" w:rsidP="00D56051">
            <w:pPr>
              <w:rPr>
                <w:sz w:val="15"/>
                <w:szCs w:val="15"/>
              </w:rPr>
            </w:pPr>
            <w:r w:rsidRPr="006A1EC7">
              <w:rPr>
                <w:sz w:val="15"/>
                <w:szCs w:val="15"/>
              </w:rPr>
              <w:t>Fatigue</w:t>
            </w:r>
          </w:p>
        </w:tc>
        <w:tc>
          <w:tcPr>
            <w:tcW w:w="1560" w:type="dxa"/>
          </w:tcPr>
          <w:p w14:paraId="63C84324" w14:textId="77777777" w:rsidR="0087601C" w:rsidRPr="006A1EC7" w:rsidRDefault="0087601C" w:rsidP="00D56051">
            <w:pPr>
              <w:rPr>
                <w:sz w:val="15"/>
                <w:szCs w:val="15"/>
              </w:rPr>
            </w:pPr>
            <w:r w:rsidRPr="006A1EC7">
              <w:rPr>
                <w:sz w:val="15"/>
                <w:szCs w:val="15"/>
              </w:rPr>
              <w:t>1</w:t>
            </w:r>
          </w:p>
        </w:tc>
      </w:tr>
      <w:tr w:rsidR="0087601C" w:rsidRPr="006A1EC7" w14:paraId="488F0E39" w14:textId="77777777" w:rsidTr="00D56051">
        <w:tc>
          <w:tcPr>
            <w:tcW w:w="3397" w:type="dxa"/>
            <w:gridSpan w:val="2"/>
          </w:tcPr>
          <w:p w14:paraId="5819631D" w14:textId="77777777" w:rsidR="0087601C" w:rsidRPr="006A1EC7" w:rsidRDefault="0087601C" w:rsidP="00D56051">
            <w:pPr>
              <w:rPr>
                <w:sz w:val="15"/>
                <w:szCs w:val="15"/>
              </w:rPr>
            </w:pPr>
            <w:r w:rsidRPr="006A1EC7">
              <w:rPr>
                <w:sz w:val="15"/>
                <w:szCs w:val="15"/>
              </w:rPr>
              <w:t>Swelling on the ankles</w:t>
            </w:r>
          </w:p>
        </w:tc>
        <w:tc>
          <w:tcPr>
            <w:tcW w:w="1560" w:type="dxa"/>
          </w:tcPr>
          <w:p w14:paraId="60FC4279" w14:textId="77777777" w:rsidR="0087601C" w:rsidRPr="006A1EC7" w:rsidRDefault="0087601C" w:rsidP="00D56051">
            <w:pPr>
              <w:rPr>
                <w:sz w:val="15"/>
                <w:szCs w:val="15"/>
              </w:rPr>
            </w:pPr>
            <w:r w:rsidRPr="006A1EC7">
              <w:rPr>
                <w:sz w:val="15"/>
                <w:szCs w:val="15"/>
              </w:rPr>
              <w:t>1</w:t>
            </w:r>
          </w:p>
        </w:tc>
      </w:tr>
      <w:tr w:rsidR="0087601C" w:rsidRPr="006A1EC7" w14:paraId="4B518AB0" w14:textId="77777777" w:rsidTr="00D56051">
        <w:tc>
          <w:tcPr>
            <w:tcW w:w="3397" w:type="dxa"/>
            <w:gridSpan w:val="2"/>
          </w:tcPr>
          <w:p w14:paraId="33217A9F" w14:textId="77777777" w:rsidR="0087601C" w:rsidRPr="006A1EC7" w:rsidRDefault="0087601C" w:rsidP="00D56051">
            <w:pPr>
              <w:rPr>
                <w:sz w:val="15"/>
                <w:szCs w:val="15"/>
              </w:rPr>
            </w:pPr>
            <w:r w:rsidRPr="006A1EC7">
              <w:rPr>
                <w:sz w:val="15"/>
                <w:szCs w:val="15"/>
              </w:rPr>
              <w:t>Fainting</w:t>
            </w:r>
          </w:p>
        </w:tc>
        <w:tc>
          <w:tcPr>
            <w:tcW w:w="1560" w:type="dxa"/>
          </w:tcPr>
          <w:p w14:paraId="2669FE67" w14:textId="77777777" w:rsidR="0087601C" w:rsidRPr="006A1EC7" w:rsidRDefault="0087601C" w:rsidP="00D56051">
            <w:pPr>
              <w:rPr>
                <w:sz w:val="15"/>
                <w:szCs w:val="15"/>
              </w:rPr>
            </w:pPr>
            <w:r w:rsidRPr="006A1EC7">
              <w:rPr>
                <w:sz w:val="15"/>
                <w:szCs w:val="15"/>
              </w:rPr>
              <w:t>1</w:t>
            </w:r>
          </w:p>
        </w:tc>
      </w:tr>
    </w:tbl>
    <w:p w14:paraId="1242508A" w14:textId="77777777" w:rsidR="0087601C" w:rsidRPr="006A1EC7" w:rsidRDefault="0087601C" w:rsidP="0087601C">
      <w:pPr>
        <w:rPr>
          <w:sz w:val="15"/>
          <w:szCs w:val="15"/>
        </w:rPr>
      </w:pPr>
    </w:p>
    <w:p w14:paraId="1518865E" w14:textId="77777777" w:rsidR="0087601C" w:rsidRPr="006A1EC7" w:rsidRDefault="0087601C" w:rsidP="0087601C">
      <w:pPr>
        <w:ind w:firstLine="720"/>
        <w:rPr>
          <w:b/>
          <w:sz w:val="15"/>
          <w:szCs w:val="15"/>
        </w:rPr>
      </w:pPr>
      <w:r w:rsidRPr="006A1EC7">
        <w:rPr>
          <w:b/>
          <w:sz w:val="15"/>
          <w:szCs w:val="15"/>
        </w:rPr>
        <w:t>Part 2: Respiratory functioning</w:t>
      </w:r>
    </w:p>
    <w:p w14:paraId="68E77B85"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640"/>
        <w:gridCol w:w="2757"/>
        <w:gridCol w:w="1701"/>
      </w:tblGrid>
      <w:tr w:rsidR="0087601C" w:rsidRPr="006A1EC7" w14:paraId="1B04CB58" w14:textId="77777777" w:rsidTr="00D56051">
        <w:tc>
          <w:tcPr>
            <w:tcW w:w="640" w:type="dxa"/>
          </w:tcPr>
          <w:p w14:paraId="137A8013" w14:textId="77777777" w:rsidR="0087601C" w:rsidRPr="006A1EC7" w:rsidRDefault="0087601C" w:rsidP="00D56051">
            <w:pPr>
              <w:rPr>
                <w:sz w:val="15"/>
                <w:szCs w:val="15"/>
              </w:rPr>
            </w:pPr>
            <w:r w:rsidRPr="006A1EC7">
              <w:rPr>
                <w:sz w:val="15"/>
                <w:szCs w:val="15"/>
              </w:rPr>
              <w:lastRenderedPageBreak/>
              <w:t>4B.1</w:t>
            </w:r>
          </w:p>
        </w:tc>
        <w:tc>
          <w:tcPr>
            <w:tcW w:w="2757" w:type="dxa"/>
          </w:tcPr>
          <w:p w14:paraId="5D901BD0" w14:textId="77777777" w:rsidR="0087601C" w:rsidRPr="006A1EC7" w:rsidRDefault="0087601C" w:rsidP="00D56051">
            <w:pPr>
              <w:rPr>
                <w:sz w:val="15"/>
                <w:szCs w:val="15"/>
              </w:rPr>
            </w:pPr>
            <w:r w:rsidRPr="006A1EC7">
              <w:rPr>
                <w:sz w:val="15"/>
                <w:szCs w:val="15"/>
              </w:rPr>
              <w:t>Has the patient ever been diagnosed with a structural respiratory/upper airways malformation?</w:t>
            </w:r>
          </w:p>
          <w:p w14:paraId="7C87DC44" w14:textId="77777777" w:rsidR="0087601C" w:rsidRPr="006A1EC7" w:rsidRDefault="0087601C" w:rsidP="00D56051">
            <w:pPr>
              <w:rPr>
                <w:sz w:val="15"/>
                <w:szCs w:val="15"/>
              </w:rPr>
            </w:pPr>
          </w:p>
        </w:tc>
        <w:tc>
          <w:tcPr>
            <w:tcW w:w="1701" w:type="dxa"/>
          </w:tcPr>
          <w:p w14:paraId="031A1784" w14:textId="77777777" w:rsidR="0087601C" w:rsidRPr="006A1EC7" w:rsidRDefault="0087601C" w:rsidP="00D56051">
            <w:pPr>
              <w:rPr>
                <w:sz w:val="15"/>
                <w:szCs w:val="15"/>
              </w:rPr>
            </w:pPr>
          </w:p>
        </w:tc>
      </w:tr>
      <w:tr w:rsidR="0087601C" w:rsidRPr="006A1EC7" w14:paraId="24C9760A" w14:textId="77777777" w:rsidTr="00D56051">
        <w:tc>
          <w:tcPr>
            <w:tcW w:w="3397" w:type="dxa"/>
            <w:gridSpan w:val="2"/>
          </w:tcPr>
          <w:p w14:paraId="21F99EC7" w14:textId="77777777" w:rsidR="0087601C" w:rsidRPr="006A1EC7" w:rsidRDefault="0087601C" w:rsidP="00D56051">
            <w:pPr>
              <w:rPr>
                <w:sz w:val="15"/>
                <w:szCs w:val="15"/>
              </w:rPr>
            </w:pPr>
            <w:r w:rsidRPr="006A1EC7">
              <w:rPr>
                <w:sz w:val="15"/>
                <w:szCs w:val="15"/>
              </w:rPr>
              <w:t>Yes</w:t>
            </w:r>
          </w:p>
        </w:tc>
        <w:tc>
          <w:tcPr>
            <w:tcW w:w="1701" w:type="dxa"/>
          </w:tcPr>
          <w:p w14:paraId="004CFE6E" w14:textId="77777777" w:rsidR="0087601C" w:rsidRPr="006A1EC7" w:rsidRDefault="0087601C" w:rsidP="00D56051">
            <w:pPr>
              <w:rPr>
                <w:sz w:val="15"/>
                <w:szCs w:val="15"/>
              </w:rPr>
            </w:pPr>
            <w:r w:rsidRPr="006A1EC7">
              <w:rPr>
                <w:sz w:val="15"/>
                <w:szCs w:val="15"/>
              </w:rPr>
              <w:t>1</w:t>
            </w:r>
          </w:p>
        </w:tc>
      </w:tr>
      <w:tr w:rsidR="0087601C" w:rsidRPr="006A1EC7" w14:paraId="19B66F95" w14:textId="77777777" w:rsidTr="00D56051">
        <w:tc>
          <w:tcPr>
            <w:tcW w:w="3397" w:type="dxa"/>
            <w:gridSpan w:val="2"/>
          </w:tcPr>
          <w:p w14:paraId="5FC21A53" w14:textId="77777777" w:rsidR="0087601C" w:rsidRPr="006A1EC7" w:rsidRDefault="0087601C" w:rsidP="00D56051">
            <w:pPr>
              <w:rPr>
                <w:sz w:val="15"/>
                <w:szCs w:val="15"/>
              </w:rPr>
            </w:pPr>
            <w:r w:rsidRPr="006A1EC7">
              <w:rPr>
                <w:sz w:val="15"/>
                <w:szCs w:val="15"/>
              </w:rPr>
              <w:t>No</w:t>
            </w:r>
          </w:p>
        </w:tc>
        <w:tc>
          <w:tcPr>
            <w:tcW w:w="1701" w:type="dxa"/>
          </w:tcPr>
          <w:p w14:paraId="3478CF53" w14:textId="77777777" w:rsidR="0087601C" w:rsidRPr="006A1EC7" w:rsidRDefault="0087601C" w:rsidP="00D56051">
            <w:pPr>
              <w:rPr>
                <w:sz w:val="15"/>
                <w:szCs w:val="15"/>
              </w:rPr>
            </w:pPr>
            <w:r w:rsidRPr="006A1EC7">
              <w:rPr>
                <w:sz w:val="15"/>
                <w:szCs w:val="15"/>
              </w:rPr>
              <w:t>0</w:t>
            </w:r>
          </w:p>
        </w:tc>
      </w:tr>
    </w:tbl>
    <w:p w14:paraId="06E36519"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1129"/>
        <w:gridCol w:w="3969"/>
      </w:tblGrid>
      <w:tr w:rsidR="0087601C" w:rsidRPr="006A1EC7" w14:paraId="56E3F504" w14:textId="77777777" w:rsidTr="00D56051">
        <w:tc>
          <w:tcPr>
            <w:tcW w:w="1129" w:type="dxa"/>
          </w:tcPr>
          <w:p w14:paraId="5CAA2BE0" w14:textId="77777777" w:rsidR="0087601C" w:rsidRPr="006A1EC7" w:rsidRDefault="0087601C" w:rsidP="00D56051">
            <w:pPr>
              <w:rPr>
                <w:sz w:val="15"/>
                <w:szCs w:val="15"/>
              </w:rPr>
            </w:pPr>
            <w:r w:rsidRPr="006A1EC7">
              <w:rPr>
                <w:sz w:val="15"/>
                <w:szCs w:val="15"/>
              </w:rPr>
              <w:t>Details:</w:t>
            </w:r>
          </w:p>
        </w:tc>
        <w:tc>
          <w:tcPr>
            <w:tcW w:w="3969" w:type="dxa"/>
          </w:tcPr>
          <w:p w14:paraId="07620845" w14:textId="77777777" w:rsidR="0087601C" w:rsidRPr="006A1EC7" w:rsidRDefault="0087601C" w:rsidP="00D56051">
            <w:pPr>
              <w:rPr>
                <w:sz w:val="15"/>
                <w:szCs w:val="15"/>
              </w:rPr>
            </w:pPr>
          </w:p>
        </w:tc>
      </w:tr>
    </w:tbl>
    <w:p w14:paraId="023B6BE7"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640"/>
        <w:gridCol w:w="2757"/>
        <w:gridCol w:w="1701"/>
      </w:tblGrid>
      <w:tr w:rsidR="0087601C" w:rsidRPr="006A1EC7" w14:paraId="3F7E4939" w14:textId="77777777" w:rsidTr="00D56051">
        <w:tc>
          <w:tcPr>
            <w:tcW w:w="640" w:type="dxa"/>
          </w:tcPr>
          <w:p w14:paraId="3CA74167" w14:textId="77777777" w:rsidR="0087601C" w:rsidRPr="006A1EC7" w:rsidRDefault="0087601C" w:rsidP="00D56051">
            <w:pPr>
              <w:rPr>
                <w:sz w:val="15"/>
                <w:szCs w:val="15"/>
              </w:rPr>
            </w:pPr>
            <w:r w:rsidRPr="006A1EC7">
              <w:rPr>
                <w:sz w:val="15"/>
                <w:szCs w:val="15"/>
                <w:u w:val="single"/>
              </w:rPr>
              <w:t>4C.1</w:t>
            </w:r>
          </w:p>
        </w:tc>
        <w:tc>
          <w:tcPr>
            <w:tcW w:w="2757" w:type="dxa"/>
          </w:tcPr>
          <w:p w14:paraId="7784E701" w14:textId="77777777" w:rsidR="0087601C" w:rsidRPr="006A1EC7" w:rsidRDefault="0087601C" w:rsidP="00D56051">
            <w:pPr>
              <w:rPr>
                <w:sz w:val="15"/>
                <w:szCs w:val="15"/>
              </w:rPr>
            </w:pPr>
            <w:r w:rsidRPr="006A1EC7">
              <w:rPr>
                <w:sz w:val="15"/>
                <w:szCs w:val="15"/>
              </w:rPr>
              <w:t>Does the patient suffer recurrent respiratory tract infections?</w:t>
            </w:r>
          </w:p>
          <w:p w14:paraId="409F195C" w14:textId="77777777" w:rsidR="0087601C" w:rsidRPr="006A1EC7" w:rsidRDefault="0087601C" w:rsidP="00D56051">
            <w:pPr>
              <w:rPr>
                <w:sz w:val="15"/>
                <w:szCs w:val="15"/>
              </w:rPr>
            </w:pPr>
          </w:p>
        </w:tc>
        <w:tc>
          <w:tcPr>
            <w:tcW w:w="1701" w:type="dxa"/>
          </w:tcPr>
          <w:p w14:paraId="329CABF9" w14:textId="77777777" w:rsidR="0087601C" w:rsidRPr="006A1EC7" w:rsidRDefault="0087601C" w:rsidP="00D56051">
            <w:pPr>
              <w:rPr>
                <w:sz w:val="15"/>
                <w:szCs w:val="15"/>
              </w:rPr>
            </w:pPr>
          </w:p>
        </w:tc>
      </w:tr>
      <w:tr w:rsidR="0087601C" w:rsidRPr="006A1EC7" w14:paraId="333FB9E2" w14:textId="77777777" w:rsidTr="00D56051">
        <w:tc>
          <w:tcPr>
            <w:tcW w:w="3397" w:type="dxa"/>
            <w:gridSpan w:val="2"/>
          </w:tcPr>
          <w:p w14:paraId="6ACBDA69" w14:textId="77777777" w:rsidR="0087601C" w:rsidRPr="006A1EC7" w:rsidRDefault="0087601C" w:rsidP="00D56051">
            <w:pPr>
              <w:rPr>
                <w:sz w:val="15"/>
                <w:szCs w:val="15"/>
              </w:rPr>
            </w:pPr>
            <w:r w:rsidRPr="006A1EC7">
              <w:rPr>
                <w:sz w:val="15"/>
                <w:szCs w:val="15"/>
              </w:rPr>
              <w:t>Yes</w:t>
            </w:r>
          </w:p>
        </w:tc>
        <w:tc>
          <w:tcPr>
            <w:tcW w:w="1701" w:type="dxa"/>
          </w:tcPr>
          <w:p w14:paraId="2986CBA8" w14:textId="77777777" w:rsidR="0087601C" w:rsidRPr="006A1EC7" w:rsidRDefault="0087601C" w:rsidP="00D56051">
            <w:pPr>
              <w:rPr>
                <w:sz w:val="15"/>
                <w:szCs w:val="15"/>
              </w:rPr>
            </w:pPr>
            <w:r w:rsidRPr="006A1EC7">
              <w:rPr>
                <w:sz w:val="15"/>
                <w:szCs w:val="15"/>
              </w:rPr>
              <w:t>1</w:t>
            </w:r>
          </w:p>
        </w:tc>
      </w:tr>
      <w:tr w:rsidR="0087601C" w:rsidRPr="006A1EC7" w14:paraId="241D3084" w14:textId="77777777" w:rsidTr="00D56051">
        <w:tc>
          <w:tcPr>
            <w:tcW w:w="3397" w:type="dxa"/>
            <w:gridSpan w:val="2"/>
          </w:tcPr>
          <w:p w14:paraId="2ECAE261" w14:textId="77777777" w:rsidR="0087601C" w:rsidRPr="006A1EC7" w:rsidRDefault="0087601C" w:rsidP="00D56051">
            <w:pPr>
              <w:rPr>
                <w:sz w:val="15"/>
                <w:szCs w:val="15"/>
              </w:rPr>
            </w:pPr>
            <w:r w:rsidRPr="006A1EC7">
              <w:rPr>
                <w:sz w:val="15"/>
                <w:szCs w:val="15"/>
              </w:rPr>
              <w:t>No</w:t>
            </w:r>
          </w:p>
        </w:tc>
        <w:tc>
          <w:tcPr>
            <w:tcW w:w="1701" w:type="dxa"/>
          </w:tcPr>
          <w:p w14:paraId="385B5D75" w14:textId="77777777" w:rsidR="0087601C" w:rsidRPr="006A1EC7" w:rsidRDefault="0087601C" w:rsidP="00D56051">
            <w:pPr>
              <w:rPr>
                <w:sz w:val="15"/>
                <w:szCs w:val="15"/>
              </w:rPr>
            </w:pPr>
            <w:r w:rsidRPr="006A1EC7">
              <w:rPr>
                <w:sz w:val="15"/>
                <w:szCs w:val="15"/>
              </w:rPr>
              <w:t>0</w:t>
            </w:r>
          </w:p>
        </w:tc>
      </w:tr>
    </w:tbl>
    <w:p w14:paraId="0EDAF7B8" w14:textId="77777777" w:rsidR="0087601C" w:rsidRPr="006A1EC7" w:rsidRDefault="0087601C" w:rsidP="0087601C">
      <w:pPr>
        <w:rPr>
          <w:sz w:val="15"/>
          <w:szCs w:val="15"/>
          <w:u w:val="single"/>
        </w:rPr>
      </w:pPr>
    </w:p>
    <w:tbl>
      <w:tblPr>
        <w:tblStyle w:val="TableGrid"/>
        <w:tblW w:w="5098" w:type="dxa"/>
        <w:tblLook w:val="04A0" w:firstRow="1" w:lastRow="0" w:firstColumn="1" w:lastColumn="0" w:noHBand="0" w:noVBand="1"/>
      </w:tblPr>
      <w:tblGrid>
        <w:gridCol w:w="640"/>
        <w:gridCol w:w="2757"/>
        <w:gridCol w:w="1701"/>
      </w:tblGrid>
      <w:tr w:rsidR="0087601C" w:rsidRPr="006A1EC7" w14:paraId="38ECCAC2" w14:textId="77777777" w:rsidTr="00D56051">
        <w:tc>
          <w:tcPr>
            <w:tcW w:w="640" w:type="dxa"/>
          </w:tcPr>
          <w:p w14:paraId="015E176D" w14:textId="77777777" w:rsidR="0087601C" w:rsidRPr="006A1EC7" w:rsidRDefault="0087601C" w:rsidP="00D56051">
            <w:pPr>
              <w:rPr>
                <w:sz w:val="15"/>
                <w:szCs w:val="15"/>
              </w:rPr>
            </w:pPr>
            <w:r w:rsidRPr="006A1EC7">
              <w:rPr>
                <w:sz w:val="15"/>
                <w:szCs w:val="15"/>
              </w:rPr>
              <w:t>4C.2</w:t>
            </w:r>
          </w:p>
        </w:tc>
        <w:tc>
          <w:tcPr>
            <w:tcW w:w="2757" w:type="dxa"/>
          </w:tcPr>
          <w:p w14:paraId="11B57250" w14:textId="77777777" w:rsidR="0087601C" w:rsidRPr="006A1EC7" w:rsidRDefault="0087601C" w:rsidP="00D56051">
            <w:pPr>
              <w:rPr>
                <w:sz w:val="15"/>
                <w:szCs w:val="15"/>
              </w:rPr>
            </w:pPr>
            <w:r w:rsidRPr="006A1EC7">
              <w:rPr>
                <w:sz w:val="15"/>
                <w:szCs w:val="15"/>
              </w:rPr>
              <w:t>Over the past 6 months, what was the maximum level of care needed to treat respiratory tract infections?</w:t>
            </w:r>
          </w:p>
          <w:p w14:paraId="78EF2600" w14:textId="77777777" w:rsidR="0087601C" w:rsidRPr="006A1EC7" w:rsidRDefault="0087601C" w:rsidP="00D56051">
            <w:pPr>
              <w:rPr>
                <w:sz w:val="15"/>
                <w:szCs w:val="15"/>
              </w:rPr>
            </w:pPr>
          </w:p>
        </w:tc>
        <w:tc>
          <w:tcPr>
            <w:tcW w:w="1701" w:type="dxa"/>
          </w:tcPr>
          <w:p w14:paraId="0991C986" w14:textId="77777777" w:rsidR="0087601C" w:rsidRPr="006A1EC7" w:rsidRDefault="0087601C" w:rsidP="00D56051">
            <w:pPr>
              <w:rPr>
                <w:sz w:val="15"/>
                <w:szCs w:val="15"/>
              </w:rPr>
            </w:pPr>
          </w:p>
        </w:tc>
      </w:tr>
      <w:tr w:rsidR="0087601C" w:rsidRPr="006A1EC7" w14:paraId="018276F9" w14:textId="77777777" w:rsidTr="00D56051">
        <w:tc>
          <w:tcPr>
            <w:tcW w:w="3397" w:type="dxa"/>
            <w:gridSpan w:val="2"/>
          </w:tcPr>
          <w:p w14:paraId="6F2B4D57" w14:textId="77777777" w:rsidR="0087601C" w:rsidRPr="006A1EC7" w:rsidRDefault="0087601C" w:rsidP="00D56051">
            <w:pPr>
              <w:rPr>
                <w:sz w:val="15"/>
                <w:szCs w:val="15"/>
              </w:rPr>
            </w:pPr>
            <w:r w:rsidRPr="006A1EC7">
              <w:rPr>
                <w:sz w:val="15"/>
                <w:szCs w:val="15"/>
              </w:rPr>
              <w:t>Patient required hospital admission</w:t>
            </w:r>
          </w:p>
        </w:tc>
        <w:tc>
          <w:tcPr>
            <w:tcW w:w="1701" w:type="dxa"/>
          </w:tcPr>
          <w:p w14:paraId="6B42ECC7" w14:textId="77777777" w:rsidR="0087601C" w:rsidRPr="006A1EC7" w:rsidRDefault="0087601C" w:rsidP="00D56051">
            <w:pPr>
              <w:rPr>
                <w:sz w:val="15"/>
                <w:szCs w:val="15"/>
              </w:rPr>
            </w:pPr>
            <w:r w:rsidRPr="006A1EC7">
              <w:rPr>
                <w:sz w:val="15"/>
                <w:szCs w:val="15"/>
              </w:rPr>
              <w:t>3</w:t>
            </w:r>
          </w:p>
        </w:tc>
      </w:tr>
      <w:tr w:rsidR="0087601C" w:rsidRPr="006A1EC7" w14:paraId="266651CD" w14:textId="77777777" w:rsidTr="00D56051">
        <w:tc>
          <w:tcPr>
            <w:tcW w:w="3397" w:type="dxa"/>
            <w:gridSpan w:val="2"/>
          </w:tcPr>
          <w:p w14:paraId="051AD87F" w14:textId="77777777" w:rsidR="0087601C" w:rsidRPr="006A1EC7" w:rsidRDefault="0087601C" w:rsidP="00D56051">
            <w:pPr>
              <w:rPr>
                <w:sz w:val="15"/>
                <w:szCs w:val="15"/>
              </w:rPr>
            </w:pPr>
            <w:r w:rsidRPr="006A1EC7">
              <w:rPr>
                <w:sz w:val="15"/>
                <w:szCs w:val="15"/>
              </w:rPr>
              <w:t>Home care/GP care with antibiotics</w:t>
            </w:r>
          </w:p>
        </w:tc>
        <w:tc>
          <w:tcPr>
            <w:tcW w:w="1701" w:type="dxa"/>
          </w:tcPr>
          <w:p w14:paraId="71F02FCA" w14:textId="77777777" w:rsidR="0087601C" w:rsidRPr="006A1EC7" w:rsidRDefault="0087601C" w:rsidP="00D56051">
            <w:pPr>
              <w:rPr>
                <w:sz w:val="15"/>
                <w:szCs w:val="15"/>
              </w:rPr>
            </w:pPr>
            <w:r w:rsidRPr="006A1EC7">
              <w:rPr>
                <w:sz w:val="15"/>
                <w:szCs w:val="15"/>
              </w:rPr>
              <w:t>2</w:t>
            </w:r>
          </w:p>
        </w:tc>
      </w:tr>
      <w:tr w:rsidR="0087601C" w:rsidRPr="006A1EC7" w14:paraId="55117226" w14:textId="77777777" w:rsidTr="00D56051">
        <w:tc>
          <w:tcPr>
            <w:tcW w:w="3397" w:type="dxa"/>
            <w:gridSpan w:val="2"/>
          </w:tcPr>
          <w:p w14:paraId="3E5CF1FA" w14:textId="77777777" w:rsidR="0087601C" w:rsidRPr="006A1EC7" w:rsidRDefault="0087601C" w:rsidP="00D56051">
            <w:pPr>
              <w:rPr>
                <w:sz w:val="15"/>
                <w:szCs w:val="15"/>
              </w:rPr>
            </w:pPr>
            <w:r w:rsidRPr="006A1EC7">
              <w:rPr>
                <w:sz w:val="15"/>
                <w:szCs w:val="15"/>
              </w:rPr>
              <w:t>Self-care (e.g. Lempsip)</w:t>
            </w:r>
          </w:p>
        </w:tc>
        <w:tc>
          <w:tcPr>
            <w:tcW w:w="1701" w:type="dxa"/>
          </w:tcPr>
          <w:p w14:paraId="0EBBC8C2" w14:textId="77777777" w:rsidR="0087601C" w:rsidRPr="006A1EC7" w:rsidRDefault="0087601C" w:rsidP="00D56051">
            <w:pPr>
              <w:rPr>
                <w:sz w:val="15"/>
                <w:szCs w:val="15"/>
              </w:rPr>
            </w:pPr>
            <w:r w:rsidRPr="006A1EC7">
              <w:rPr>
                <w:sz w:val="15"/>
                <w:szCs w:val="15"/>
              </w:rPr>
              <w:t>1</w:t>
            </w:r>
          </w:p>
        </w:tc>
      </w:tr>
      <w:tr w:rsidR="0087601C" w:rsidRPr="006A1EC7" w14:paraId="66388CB8" w14:textId="77777777" w:rsidTr="00D56051">
        <w:tc>
          <w:tcPr>
            <w:tcW w:w="3397" w:type="dxa"/>
            <w:gridSpan w:val="2"/>
          </w:tcPr>
          <w:p w14:paraId="1954F413" w14:textId="77777777" w:rsidR="0087601C" w:rsidRPr="006A1EC7" w:rsidRDefault="0087601C" w:rsidP="00D56051">
            <w:pPr>
              <w:rPr>
                <w:sz w:val="15"/>
                <w:szCs w:val="15"/>
              </w:rPr>
            </w:pPr>
            <w:r w:rsidRPr="006A1EC7">
              <w:rPr>
                <w:sz w:val="15"/>
                <w:szCs w:val="15"/>
              </w:rPr>
              <w:t>N/A</w:t>
            </w:r>
          </w:p>
        </w:tc>
        <w:tc>
          <w:tcPr>
            <w:tcW w:w="1701" w:type="dxa"/>
          </w:tcPr>
          <w:p w14:paraId="6B242F54" w14:textId="77777777" w:rsidR="0087601C" w:rsidRPr="006A1EC7" w:rsidRDefault="0087601C" w:rsidP="00D56051">
            <w:pPr>
              <w:rPr>
                <w:sz w:val="15"/>
                <w:szCs w:val="15"/>
              </w:rPr>
            </w:pPr>
            <w:r w:rsidRPr="006A1EC7">
              <w:rPr>
                <w:sz w:val="15"/>
                <w:szCs w:val="15"/>
              </w:rPr>
              <w:t>0</w:t>
            </w:r>
          </w:p>
        </w:tc>
      </w:tr>
    </w:tbl>
    <w:p w14:paraId="227B5B91"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2433"/>
        <w:gridCol w:w="2665"/>
      </w:tblGrid>
      <w:tr w:rsidR="0087601C" w:rsidRPr="006A1EC7" w14:paraId="2EBA5231" w14:textId="77777777" w:rsidTr="00D56051">
        <w:tc>
          <w:tcPr>
            <w:tcW w:w="2433" w:type="dxa"/>
            <w:shd w:val="clear" w:color="auto" w:fill="E7E6E6" w:themeFill="background2"/>
          </w:tcPr>
          <w:p w14:paraId="717492A7" w14:textId="77777777" w:rsidR="0087601C" w:rsidRPr="006A1EC7" w:rsidRDefault="0087601C" w:rsidP="00D56051">
            <w:pPr>
              <w:rPr>
                <w:b/>
                <w:sz w:val="15"/>
                <w:szCs w:val="15"/>
              </w:rPr>
            </w:pPr>
            <w:r w:rsidRPr="006A1EC7">
              <w:rPr>
                <w:b/>
                <w:sz w:val="15"/>
                <w:szCs w:val="15"/>
              </w:rPr>
              <w:t xml:space="preserve">Part 1: Cardiac functioning (Maximum points 10) </w:t>
            </w:r>
          </w:p>
        </w:tc>
        <w:tc>
          <w:tcPr>
            <w:tcW w:w="2665" w:type="dxa"/>
            <w:shd w:val="clear" w:color="auto" w:fill="E7E6E6" w:themeFill="background2"/>
          </w:tcPr>
          <w:p w14:paraId="202B0DBA" w14:textId="77777777" w:rsidR="0087601C" w:rsidRPr="006A1EC7" w:rsidRDefault="0087601C" w:rsidP="00D56051">
            <w:pPr>
              <w:rPr>
                <w:b/>
                <w:sz w:val="15"/>
                <w:szCs w:val="15"/>
              </w:rPr>
            </w:pPr>
          </w:p>
        </w:tc>
      </w:tr>
      <w:tr w:rsidR="0087601C" w:rsidRPr="006A1EC7" w14:paraId="020A34C2" w14:textId="77777777" w:rsidTr="00D56051">
        <w:tc>
          <w:tcPr>
            <w:tcW w:w="2433" w:type="dxa"/>
            <w:shd w:val="clear" w:color="auto" w:fill="E7E6E6" w:themeFill="background2"/>
          </w:tcPr>
          <w:p w14:paraId="3CEFEF6D" w14:textId="77777777" w:rsidR="0087601C" w:rsidRPr="006A1EC7" w:rsidRDefault="0087601C" w:rsidP="00D56051">
            <w:pPr>
              <w:rPr>
                <w:b/>
                <w:sz w:val="15"/>
                <w:szCs w:val="15"/>
              </w:rPr>
            </w:pPr>
            <w:r w:rsidRPr="006A1EC7">
              <w:rPr>
                <w:b/>
                <w:sz w:val="15"/>
                <w:szCs w:val="15"/>
              </w:rPr>
              <w:t>Part 2: Respiratory functioning</w:t>
            </w:r>
          </w:p>
          <w:p w14:paraId="5BC10954" w14:textId="77777777" w:rsidR="0087601C" w:rsidRPr="006A1EC7" w:rsidRDefault="0087601C" w:rsidP="00D56051">
            <w:pPr>
              <w:rPr>
                <w:b/>
                <w:sz w:val="15"/>
                <w:szCs w:val="15"/>
              </w:rPr>
            </w:pPr>
            <w:r w:rsidRPr="006A1EC7">
              <w:rPr>
                <w:b/>
                <w:sz w:val="15"/>
                <w:szCs w:val="15"/>
              </w:rPr>
              <w:t>(Maximum points 5)</w:t>
            </w:r>
          </w:p>
        </w:tc>
        <w:tc>
          <w:tcPr>
            <w:tcW w:w="2665" w:type="dxa"/>
            <w:shd w:val="clear" w:color="auto" w:fill="E7E6E6" w:themeFill="background2"/>
          </w:tcPr>
          <w:p w14:paraId="178FC877" w14:textId="77777777" w:rsidR="0087601C" w:rsidRPr="006A1EC7" w:rsidRDefault="0087601C" w:rsidP="00D56051">
            <w:pPr>
              <w:rPr>
                <w:b/>
                <w:sz w:val="15"/>
                <w:szCs w:val="15"/>
              </w:rPr>
            </w:pPr>
          </w:p>
        </w:tc>
      </w:tr>
      <w:tr w:rsidR="0087601C" w:rsidRPr="006A1EC7" w14:paraId="36BECBB1" w14:textId="77777777" w:rsidTr="00D56051">
        <w:tc>
          <w:tcPr>
            <w:tcW w:w="2433" w:type="dxa"/>
            <w:shd w:val="clear" w:color="auto" w:fill="E7E6E6" w:themeFill="background2"/>
          </w:tcPr>
          <w:p w14:paraId="5C969A71" w14:textId="77777777" w:rsidR="0087601C" w:rsidRPr="006A1EC7" w:rsidRDefault="0087601C" w:rsidP="00D56051">
            <w:pPr>
              <w:rPr>
                <w:b/>
                <w:sz w:val="15"/>
                <w:szCs w:val="15"/>
              </w:rPr>
            </w:pPr>
            <w:r w:rsidRPr="006A1EC7">
              <w:rPr>
                <w:b/>
                <w:sz w:val="15"/>
                <w:szCs w:val="15"/>
              </w:rPr>
              <w:t>Total Section 4:</w:t>
            </w:r>
          </w:p>
          <w:p w14:paraId="18AFC217" w14:textId="77777777" w:rsidR="0087601C" w:rsidRPr="006A1EC7" w:rsidRDefault="0087601C" w:rsidP="00D56051">
            <w:pPr>
              <w:rPr>
                <w:b/>
                <w:sz w:val="15"/>
                <w:szCs w:val="15"/>
              </w:rPr>
            </w:pPr>
            <w:r w:rsidRPr="006A1EC7">
              <w:rPr>
                <w:b/>
                <w:sz w:val="15"/>
                <w:szCs w:val="15"/>
              </w:rPr>
              <w:t>(Maximum points 15)</w:t>
            </w:r>
          </w:p>
        </w:tc>
        <w:tc>
          <w:tcPr>
            <w:tcW w:w="2665" w:type="dxa"/>
            <w:shd w:val="clear" w:color="auto" w:fill="E7E6E6" w:themeFill="background2"/>
          </w:tcPr>
          <w:p w14:paraId="29B59917" w14:textId="77777777" w:rsidR="0087601C" w:rsidRPr="006A1EC7" w:rsidRDefault="0087601C" w:rsidP="00D56051">
            <w:pPr>
              <w:rPr>
                <w:b/>
                <w:sz w:val="15"/>
                <w:szCs w:val="15"/>
              </w:rPr>
            </w:pPr>
          </w:p>
        </w:tc>
      </w:tr>
    </w:tbl>
    <w:p w14:paraId="509911F4" w14:textId="77777777" w:rsidR="0087601C" w:rsidRPr="006A1EC7" w:rsidRDefault="0087601C" w:rsidP="0087601C">
      <w:pPr>
        <w:rPr>
          <w:sz w:val="15"/>
          <w:szCs w:val="15"/>
        </w:rPr>
      </w:pPr>
    </w:p>
    <w:p w14:paraId="1B529084" w14:textId="77777777" w:rsidR="0087601C" w:rsidRPr="006A1EC7" w:rsidRDefault="0087601C" w:rsidP="0087601C">
      <w:pPr>
        <w:jc w:val="center"/>
        <w:rPr>
          <w:b/>
          <w:sz w:val="15"/>
          <w:szCs w:val="15"/>
          <w:u w:val="single"/>
        </w:rPr>
      </w:pPr>
      <w:r w:rsidRPr="006A1EC7">
        <w:rPr>
          <w:b/>
          <w:sz w:val="15"/>
          <w:szCs w:val="15"/>
          <w:u w:val="single"/>
        </w:rPr>
        <w:t>Section 5: Central Nervous System</w:t>
      </w:r>
    </w:p>
    <w:p w14:paraId="497EC762" w14:textId="77777777" w:rsidR="0087601C" w:rsidRPr="006A1EC7" w:rsidRDefault="0087601C" w:rsidP="0087601C">
      <w:pPr>
        <w:rPr>
          <w:sz w:val="15"/>
          <w:szCs w:val="15"/>
        </w:rPr>
      </w:pPr>
    </w:p>
    <w:p w14:paraId="1FB3D39E" w14:textId="77777777" w:rsidR="0087601C" w:rsidRPr="006A1EC7" w:rsidRDefault="0087601C" w:rsidP="0087601C">
      <w:pPr>
        <w:ind w:firstLine="720"/>
        <w:rPr>
          <w:i/>
          <w:color w:val="FF0000"/>
          <w:sz w:val="15"/>
          <w:szCs w:val="15"/>
        </w:rPr>
      </w:pPr>
      <w:r w:rsidRPr="006A1EC7">
        <w:rPr>
          <w:i/>
          <w:color w:val="FF0000"/>
          <w:sz w:val="15"/>
          <w:szCs w:val="15"/>
        </w:rPr>
        <w:t>Part 1: EYES &amp; VISION</w:t>
      </w:r>
    </w:p>
    <w:p w14:paraId="50CA2625"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640"/>
        <w:gridCol w:w="2757"/>
        <w:gridCol w:w="1701"/>
      </w:tblGrid>
      <w:tr w:rsidR="0087601C" w:rsidRPr="006A1EC7" w14:paraId="7015BF78" w14:textId="77777777" w:rsidTr="00D56051">
        <w:tc>
          <w:tcPr>
            <w:tcW w:w="640" w:type="dxa"/>
          </w:tcPr>
          <w:p w14:paraId="762639CC" w14:textId="77777777" w:rsidR="0087601C" w:rsidRPr="006A1EC7" w:rsidRDefault="0087601C" w:rsidP="00D56051">
            <w:pPr>
              <w:rPr>
                <w:sz w:val="15"/>
                <w:szCs w:val="15"/>
              </w:rPr>
            </w:pPr>
            <w:r w:rsidRPr="006A1EC7">
              <w:rPr>
                <w:sz w:val="15"/>
                <w:szCs w:val="15"/>
                <w:u w:val="single"/>
              </w:rPr>
              <w:t>5A.1:</w:t>
            </w:r>
          </w:p>
        </w:tc>
        <w:tc>
          <w:tcPr>
            <w:tcW w:w="2757" w:type="dxa"/>
          </w:tcPr>
          <w:p w14:paraId="33843794" w14:textId="77777777" w:rsidR="0087601C" w:rsidRPr="006A1EC7" w:rsidRDefault="0087601C" w:rsidP="00D56051">
            <w:pPr>
              <w:rPr>
                <w:bCs/>
                <w:sz w:val="15"/>
                <w:szCs w:val="15"/>
              </w:rPr>
            </w:pPr>
            <w:r w:rsidRPr="006A1EC7">
              <w:rPr>
                <w:bCs/>
                <w:color w:val="FF0000"/>
                <w:sz w:val="15"/>
                <w:szCs w:val="15"/>
              </w:rPr>
              <w:t>DOES THE PATIENT HAVE A DIAGNOSIS OF STRUCTURAL EYE DISEASE, SUCH AS CATARACT, STRABISMUS, REFRACTIVE ERRORS? BLINDNESS IS EXCLUDED.</w:t>
            </w:r>
          </w:p>
          <w:p w14:paraId="7254F4F7" w14:textId="77777777" w:rsidR="0087601C" w:rsidRPr="006A1EC7" w:rsidRDefault="0087601C" w:rsidP="00D56051">
            <w:pPr>
              <w:rPr>
                <w:sz w:val="15"/>
                <w:szCs w:val="15"/>
              </w:rPr>
            </w:pPr>
          </w:p>
        </w:tc>
        <w:tc>
          <w:tcPr>
            <w:tcW w:w="1701" w:type="dxa"/>
          </w:tcPr>
          <w:p w14:paraId="40469D85" w14:textId="77777777" w:rsidR="0087601C" w:rsidRPr="006A1EC7" w:rsidRDefault="0087601C" w:rsidP="00D56051">
            <w:pPr>
              <w:rPr>
                <w:sz w:val="15"/>
                <w:szCs w:val="15"/>
              </w:rPr>
            </w:pPr>
          </w:p>
        </w:tc>
      </w:tr>
      <w:tr w:rsidR="0087601C" w:rsidRPr="006A1EC7" w14:paraId="4BA56145" w14:textId="77777777" w:rsidTr="00D56051">
        <w:tc>
          <w:tcPr>
            <w:tcW w:w="3397" w:type="dxa"/>
            <w:gridSpan w:val="2"/>
          </w:tcPr>
          <w:p w14:paraId="0D5F5BBA" w14:textId="77777777" w:rsidR="0087601C" w:rsidRPr="006A1EC7" w:rsidRDefault="0087601C" w:rsidP="00D56051">
            <w:pPr>
              <w:rPr>
                <w:sz w:val="15"/>
                <w:szCs w:val="15"/>
              </w:rPr>
            </w:pPr>
            <w:r w:rsidRPr="006A1EC7">
              <w:rPr>
                <w:sz w:val="15"/>
                <w:szCs w:val="15"/>
              </w:rPr>
              <w:t>Yes</w:t>
            </w:r>
          </w:p>
        </w:tc>
        <w:tc>
          <w:tcPr>
            <w:tcW w:w="1701" w:type="dxa"/>
          </w:tcPr>
          <w:p w14:paraId="1E4EAF3C" w14:textId="77777777" w:rsidR="0087601C" w:rsidRPr="006A1EC7" w:rsidRDefault="0087601C" w:rsidP="00D56051">
            <w:pPr>
              <w:rPr>
                <w:sz w:val="15"/>
                <w:szCs w:val="15"/>
              </w:rPr>
            </w:pPr>
            <w:r w:rsidRPr="006A1EC7">
              <w:rPr>
                <w:sz w:val="15"/>
                <w:szCs w:val="15"/>
              </w:rPr>
              <w:t>1</w:t>
            </w:r>
          </w:p>
        </w:tc>
      </w:tr>
      <w:tr w:rsidR="0087601C" w:rsidRPr="006A1EC7" w14:paraId="77CD7F6F" w14:textId="77777777" w:rsidTr="00D56051">
        <w:tc>
          <w:tcPr>
            <w:tcW w:w="3397" w:type="dxa"/>
            <w:gridSpan w:val="2"/>
          </w:tcPr>
          <w:p w14:paraId="2291710E" w14:textId="77777777" w:rsidR="0087601C" w:rsidRPr="006A1EC7" w:rsidRDefault="0087601C" w:rsidP="00D56051">
            <w:pPr>
              <w:rPr>
                <w:sz w:val="15"/>
                <w:szCs w:val="15"/>
              </w:rPr>
            </w:pPr>
            <w:r w:rsidRPr="006A1EC7">
              <w:rPr>
                <w:sz w:val="15"/>
                <w:szCs w:val="15"/>
              </w:rPr>
              <w:t>No</w:t>
            </w:r>
          </w:p>
        </w:tc>
        <w:tc>
          <w:tcPr>
            <w:tcW w:w="1701" w:type="dxa"/>
          </w:tcPr>
          <w:p w14:paraId="40AAE986" w14:textId="77777777" w:rsidR="0087601C" w:rsidRPr="006A1EC7" w:rsidRDefault="0087601C" w:rsidP="00D56051">
            <w:pPr>
              <w:rPr>
                <w:sz w:val="15"/>
                <w:szCs w:val="15"/>
              </w:rPr>
            </w:pPr>
            <w:r w:rsidRPr="006A1EC7">
              <w:rPr>
                <w:sz w:val="15"/>
                <w:szCs w:val="15"/>
              </w:rPr>
              <w:t>0</w:t>
            </w:r>
          </w:p>
        </w:tc>
      </w:tr>
    </w:tbl>
    <w:p w14:paraId="219EC9A6"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1129"/>
        <w:gridCol w:w="3969"/>
      </w:tblGrid>
      <w:tr w:rsidR="0087601C" w:rsidRPr="006A1EC7" w14:paraId="3CCF9E2C" w14:textId="77777777" w:rsidTr="00D56051">
        <w:tc>
          <w:tcPr>
            <w:tcW w:w="1129" w:type="dxa"/>
          </w:tcPr>
          <w:p w14:paraId="63AAB6C0" w14:textId="77777777" w:rsidR="0087601C" w:rsidRPr="006A1EC7" w:rsidRDefault="0087601C" w:rsidP="00D56051">
            <w:pPr>
              <w:rPr>
                <w:sz w:val="15"/>
                <w:szCs w:val="15"/>
              </w:rPr>
            </w:pPr>
            <w:r w:rsidRPr="006A1EC7">
              <w:rPr>
                <w:sz w:val="15"/>
                <w:szCs w:val="15"/>
              </w:rPr>
              <w:t>Details:</w:t>
            </w:r>
          </w:p>
        </w:tc>
        <w:tc>
          <w:tcPr>
            <w:tcW w:w="3969" w:type="dxa"/>
          </w:tcPr>
          <w:p w14:paraId="2731CE99" w14:textId="77777777" w:rsidR="0087601C" w:rsidRPr="006A1EC7" w:rsidRDefault="0087601C" w:rsidP="00D56051">
            <w:pPr>
              <w:rPr>
                <w:sz w:val="15"/>
                <w:szCs w:val="15"/>
              </w:rPr>
            </w:pPr>
          </w:p>
        </w:tc>
      </w:tr>
    </w:tbl>
    <w:p w14:paraId="03F3C89E"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640"/>
        <w:gridCol w:w="2757"/>
        <w:gridCol w:w="1701"/>
      </w:tblGrid>
      <w:tr w:rsidR="0087601C" w:rsidRPr="006A1EC7" w14:paraId="73ECA956" w14:textId="77777777" w:rsidTr="00D56051">
        <w:tc>
          <w:tcPr>
            <w:tcW w:w="640" w:type="dxa"/>
          </w:tcPr>
          <w:p w14:paraId="3A640594" w14:textId="77777777" w:rsidR="0087601C" w:rsidRPr="006A1EC7" w:rsidRDefault="0087601C" w:rsidP="00D56051">
            <w:pPr>
              <w:rPr>
                <w:sz w:val="15"/>
                <w:szCs w:val="15"/>
              </w:rPr>
            </w:pPr>
          </w:p>
        </w:tc>
        <w:tc>
          <w:tcPr>
            <w:tcW w:w="2757" w:type="dxa"/>
          </w:tcPr>
          <w:p w14:paraId="2A36D0BD" w14:textId="77777777" w:rsidR="0087601C" w:rsidRPr="006A1EC7" w:rsidRDefault="0087601C" w:rsidP="00D56051">
            <w:pPr>
              <w:rPr>
                <w:sz w:val="15"/>
                <w:szCs w:val="15"/>
              </w:rPr>
            </w:pPr>
            <w:r w:rsidRPr="006A1EC7">
              <w:rPr>
                <w:sz w:val="15"/>
                <w:szCs w:val="15"/>
              </w:rPr>
              <w:t>If applicable, does/did the patient require eye surgery for structural eye disease?</w:t>
            </w:r>
          </w:p>
          <w:p w14:paraId="13F2B190" w14:textId="77777777" w:rsidR="0087601C" w:rsidRPr="006A1EC7" w:rsidRDefault="0087601C" w:rsidP="00D56051">
            <w:pPr>
              <w:rPr>
                <w:sz w:val="15"/>
                <w:szCs w:val="15"/>
              </w:rPr>
            </w:pPr>
          </w:p>
        </w:tc>
        <w:tc>
          <w:tcPr>
            <w:tcW w:w="1701" w:type="dxa"/>
          </w:tcPr>
          <w:p w14:paraId="60929F0D" w14:textId="77777777" w:rsidR="0087601C" w:rsidRPr="006A1EC7" w:rsidRDefault="0087601C" w:rsidP="00D56051">
            <w:pPr>
              <w:rPr>
                <w:sz w:val="15"/>
                <w:szCs w:val="15"/>
              </w:rPr>
            </w:pPr>
          </w:p>
        </w:tc>
      </w:tr>
      <w:tr w:rsidR="0087601C" w:rsidRPr="006A1EC7" w14:paraId="6C360EE7" w14:textId="77777777" w:rsidTr="00D56051">
        <w:tc>
          <w:tcPr>
            <w:tcW w:w="3397" w:type="dxa"/>
            <w:gridSpan w:val="2"/>
          </w:tcPr>
          <w:p w14:paraId="59292C7F" w14:textId="77777777" w:rsidR="0087601C" w:rsidRPr="006A1EC7" w:rsidRDefault="0087601C" w:rsidP="00D56051">
            <w:pPr>
              <w:rPr>
                <w:sz w:val="15"/>
                <w:szCs w:val="15"/>
              </w:rPr>
            </w:pPr>
            <w:r w:rsidRPr="006A1EC7">
              <w:rPr>
                <w:sz w:val="15"/>
                <w:szCs w:val="15"/>
              </w:rPr>
              <w:t>Yes</w:t>
            </w:r>
          </w:p>
        </w:tc>
        <w:tc>
          <w:tcPr>
            <w:tcW w:w="1701" w:type="dxa"/>
          </w:tcPr>
          <w:p w14:paraId="1B9CDF7A" w14:textId="77777777" w:rsidR="0087601C" w:rsidRPr="006A1EC7" w:rsidRDefault="0087601C" w:rsidP="00D56051">
            <w:pPr>
              <w:rPr>
                <w:sz w:val="15"/>
                <w:szCs w:val="15"/>
              </w:rPr>
            </w:pPr>
            <w:r w:rsidRPr="006A1EC7">
              <w:rPr>
                <w:sz w:val="15"/>
                <w:szCs w:val="15"/>
              </w:rPr>
              <w:t>1</w:t>
            </w:r>
          </w:p>
        </w:tc>
      </w:tr>
      <w:tr w:rsidR="0087601C" w:rsidRPr="006A1EC7" w14:paraId="7988D11F" w14:textId="77777777" w:rsidTr="00D56051">
        <w:tc>
          <w:tcPr>
            <w:tcW w:w="3397" w:type="dxa"/>
            <w:gridSpan w:val="2"/>
          </w:tcPr>
          <w:p w14:paraId="70E6ADF9" w14:textId="77777777" w:rsidR="0087601C" w:rsidRPr="006A1EC7" w:rsidRDefault="0087601C" w:rsidP="00D56051">
            <w:pPr>
              <w:rPr>
                <w:sz w:val="15"/>
                <w:szCs w:val="15"/>
              </w:rPr>
            </w:pPr>
            <w:r w:rsidRPr="006A1EC7">
              <w:rPr>
                <w:sz w:val="15"/>
                <w:szCs w:val="15"/>
              </w:rPr>
              <w:t>No</w:t>
            </w:r>
          </w:p>
        </w:tc>
        <w:tc>
          <w:tcPr>
            <w:tcW w:w="1701" w:type="dxa"/>
          </w:tcPr>
          <w:p w14:paraId="5CAD259D" w14:textId="77777777" w:rsidR="0087601C" w:rsidRPr="006A1EC7" w:rsidRDefault="0087601C" w:rsidP="00D56051">
            <w:pPr>
              <w:rPr>
                <w:sz w:val="15"/>
                <w:szCs w:val="15"/>
              </w:rPr>
            </w:pPr>
            <w:r w:rsidRPr="006A1EC7">
              <w:rPr>
                <w:sz w:val="15"/>
                <w:szCs w:val="15"/>
              </w:rPr>
              <w:t>0</w:t>
            </w:r>
          </w:p>
        </w:tc>
      </w:tr>
    </w:tbl>
    <w:p w14:paraId="10CB9158"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1129"/>
        <w:gridCol w:w="3969"/>
      </w:tblGrid>
      <w:tr w:rsidR="0087601C" w:rsidRPr="006A1EC7" w14:paraId="4F305D08" w14:textId="77777777" w:rsidTr="00D56051">
        <w:tc>
          <w:tcPr>
            <w:tcW w:w="1129" w:type="dxa"/>
          </w:tcPr>
          <w:p w14:paraId="6C9392D7" w14:textId="77777777" w:rsidR="0087601C" w:rsidRPr="006A1EC7" w:rsidRDefault="0087601C" w:rsidP="00D56051">
            <w:pPr>
              <w:rPr>
                <w:sz w:val="15"/>
                <w:szCs w:val="15"/>
              </w:rPr>
            </w:pPr>
            <w:r w:rsidRPr="006A1EC7">
              <w:rPr>
                <w:sz w:val="15"/>
                <w:szCs w:val="15"/>
              </w:rPr>
              <w:t>Details:</w:t>
            </w:r>
          </w:p>
        </w:tc>
        <w:tc>
          <w:tcPr>
            <w:tcW w:w="3969" w:type="dxa"/>
          </w:tcPr>
          <w:p w14:paraId="747532F2" w14:textId="77777777" w:rsidR="0087601C" w:rsidRPr="006A1EC7" w:rsidRDefault="0087601C" w:rsidP="00D56051">
            <w:pPr>
              <w:rPr>
                <w:sz w:val="15"/>
                <w:szCs w:val="15"/>
              </w:rPr>
            </w:pPr>
          </w:p>
        </w:tc>
      </w:tr>
    </w:tbl>
    <w:p w14:paraId="0D6DE423" w14:textId="77777777" w:rsidR="0087601C" w:rsidRPr="006A1EC7" w:rsidRDefault="0087601C" w:rsidP="0087601C">
      <w:pPr>
        <w:rPr>
          <w:sz w:val="15"/>
          <w:szCs w:val="15"/>
        </w:rPr>
      </w:pPr>
    </w:p>
    <w:p w14:paraId="4BD5B93A"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640"/>
        <w:gridCol w:w="2757"/>
        <w:gridCol w:w="1701"/>
      </w:tblGrid>
      <w:tr w:rsidR="0087601C" w:rsidRPr="006A1EC7" w14:paraId="49034C8E" w14:textId="77777777" w:rsidTr="00D56051">
        <w:tc>
          <w:tcPr>
            <w:tcW w:w="640" w:type="dxa"/>
          </w:tcPr>
          <w:p w14:paraId="612FCDD8" w14:textId="77777777" w:rsidR="0087601C" w:rsidRPr="006A1EC7" w:rsidRDefault="0087601C" w:rsidP="00D56051">
            <w:pPr>
              <w:rPr>
                <w:sz w:val="15"/>
                <w:szCs w:val="15"/>
              </w:rPr>
            </w:pPr>
            <w:r w:rsidRPr="006A1EC7">
              <w:rPr>
                <w:sz w:val="15"/>
                <w:szCs w:val="15"/>
                <w:u w:val="single"/>
              </w:rPr>
              <w:t>5B</w:t>
            </w:r>
          </w:p>
        </w:tc>
        <w:tc>
          <w:tcPr>
            <w:tcW w:w="2757" w:type="dxa"/>
          </w:tcPr>
          <w:p w14:paraId="01F8C744" w14:textId="77777777" w:rsidR="0087601C" w:rsidRPr="006A1EC7" w:rsidRDefault="0087601C" w:rsidP="00D56051">
            <w:pPr>
              <w:rPr>
                <w:sz w:val="15"/>
                <w:szCs w:val="15"/>
              </w:rPr>
            </w:pPr>
            <w:r w:rsidRPr="006A1EC7">
              <w:rPr>
                <w:sz w:val="15"/>
                <w:szCs w:val="15"/>
              </w:rPr>
              <w:t>What is the patient’s sight like?</w:t>
            </w:r>
          </w:p>
          <w:p w14:paraId="40012F7B" w14:textId="77777777" w:rsidR="0087601C" w:rsidRPr="006A1EC7" w:rsidRDefault="0087601C" w:rsidP="00D56051">
            <w:pPr>
              <w:rPr>
                <w:sz w:val="15"/>
                <w:szCs w:val="15"/>
              </w:rPr>
            </w:pPr>
          </w:p>
        </w:tc>
        <w:tc>
          <w:tcPr>
            <w:tcW w:w="1701" w:type="dxa"/>
          </w:tcPr>
          <w:p w14:paraId="088748DF" w14:textId="77777777" w:rsidR="0087601C" w:rsidRPr="006A1EC7" w:rsidRDefault="0087601C" w:rsidP="00D56051">
            <w:pPr>
              <w:rPr>
                <w:sz w:val="15"/>
                <w:szCs w:val="15"/>
              </w:rPr>
            </w:pPr>
          </w:p>
        </w:tc>
      </w:tr>
      <w:tr w:rsidR="0087601C" w:rsidRPr="006A1EC7" w14:paraId="527BA477" w14:textId="77777777" w:rsidTr="00D56051">
        <w:tc>
          <w:tcPr>
            <w:tcW w:w="3397" w:type="dxa"/>
            <w:gridSpan w:val="2"/>
          </w:tcPr>
          <w:p w14:paraId="1E9CD09C" w14:textId="77777777" w:rsidR="0087601C" w:rsidRPr="006A1EC7" w:rsidRDefault="0087601C" w:rsidP="00D56051">
            <w:pPr>
              <w:rPr>
                <w:sz w:val="15"/>
                <w:szCs w:val="15"/>
              </w:rPr>
            </w:pPr>
            <w:r w:rsidRPr="006A1EC7">
              <w:rPr>
                <w:sz w:val="15"/>
                <w:szCs w:val="15"/>
              </w:rPr>
              <w:t>Registered blind (visual defect that cannot be fixed</w:t>
            </w:r>
          </w:p>
        </w:tc>
        <w:tc>
          <w:tcPr>
            <w:tcW w:w="1701" w:type="dxa"/>
          </w:tcPr>
          <w:p w14:paraId="00FBAF2B" w14:textId="77777777" w:rsidR="0087601C" w:rsidRPr="006A1EC7" w:rsidRDefault="0087601C" w:rsidP="00D56051">
            <w:pPr>
              <w:rPr>
                <w:sz w:val="15"/>
                <w:szCs w:val="15"/>
              </w:rPr>
            </w:pPr>
            <w:r w:rsidRPr="006A1EC7">
              <w:rPr>
                <w:sz w:val="15"/>
                <w:szCs w:val="15"/>
              </w:rPr>
              <w:t>2</w:t>
            </w:r>
          </w:p>
        </w:tc>
      </w:tr>
      <w:tr w:rsidR="0087601C" w:rsidRPr="006A1EC7" w14:paraId="24A4132E" w14:textId="77777777" w:rsidTr="00D56051">
        <w:tc>
          <w:tcPr>
            <w:tcW w:w="3397" w:type="dxa"/>
            <w:gridSpan w:val="2"/>
          </w:tcPr>
          <w:p w14:paraId="6C614AA3" w14:textId="77777777" w:rsidR="0087601C" w:rsidRPr="006A1EC7" w:rsidRDefault="0087601C" w:rsidP="00D56051">
            <w:pPr>
              <w:rPr>
                <w:sz w:val="15"/>
                <w:szCs w:val="15"/>
              </w:rPr>
            </w:pPr>
            <w:r w:rsidRPr="006A1EC7">
              <w:rPr>
                <w:sz w:val="15"/>
                <w:szCs w:val="15"/>
              </w:rPr>
              <w:t>Requires glasses</w:t>
            </w:r>
          </w:p>
        </w:tc>
        <w:tc>
          <w:tcPr>
            <w:tcW w:w="1701" w:type="dxa"/>
          </w:tcPr>
          <w:p w14:paraId="6B79399C" w14:textId="77777777" w:rsidR="0087601C" w:rsidRPr="006A1EC7" w:rsidRDefault="0087601C" w:rsidP="00D56051">
            <w:pPr>
              <w:rPr>
                <w:sz w:val="15"/>
                <w:szCs w:val="15"/>
              </w:rPr>
            </w:pPr>
            <w:r w:rsidRPr="006A1EC7">
              <w:rPr>
                <w:sz w:val="15"/>
                <w:szCs w:val="15"/>
              </w:rPr>
              <w:t>1</w:t>
            </w:r>
          </w:p>
        </w:tc>
      </w:tr>
      <w:tr w:rsidR="0087601C" w:rsidRPr="006A1EC7" w14:paraId="3DA3CB91" w14:textId="77777777" w:rsidTr="00D56051">
        <w:tc>
          <w:tcPr>
            <w:tcW w:w="3397" w:type="dxa"/>
            <w:gridSpan w:val="2"/>
          </w:tcPr>
          <w:p w14:paraId="458088C7" w14:textId="77777777" w:rsidR="0087601C" w:rsidRPr="006A1EC7" w:rsidRDefault="0087601C" w:rsidP="00D56051">
            <w:pPr>
              <w:rPr>
                <w:sz w:val="15"/>
                <w:szCs w:val="15"/>
              </w:rPr>
            </w:pPr>
            <w:r w:rsidRPr="006A1EC7">
              <w:rPr>
                <w:sz w:val="15"/>
                <w:szCs w:val="15"/>
              </w:rPr>
              <w:t>Normal vision</w:t>
            </w:r>
          </w:p>
        </w:tc>
        <w:tc>
          <w:tcPr>
            <w:tcW w:w="1701" w:type="dxa"/>
          </w:tcPr>
          <w:p w14:paraId="6F0C158E" w14:textId="77777777" w:rsidR="0087601C" w:rsidRPr="006A1EC7" w:rsidRDefault="0087601C" w:rsidP="00D56051">
            <w:pPr>
              <w:rPr>
                <w:sz w:val="15"/>
                <w:szCs w:val="15"/>
              </w:rPr>
            </w:pPr>
            <w:r w:rsidRPr="006A1EC7">
              <w:rPr>
                <w:sz w:val="15"/>
                <w:szCs w:val="15"/>
              </w:rPr>
              <w:t>0</w:t>
            </w:r>
          </w:p>
        </w:tc>
      </w:tr>
    </w:tbl>
    <w:p w14:paraId="4FC55191" w14:textId="77777777" w:rsidR="0087601C" w:rsidRPr="006A1EC7" w:rsidRDefault="0087601C" w:rsidP="0087601C">
      <w:pPr>
        <w:rPr>
          <w:b/>
          <w:bCs/>
          <w:sz w:val="15"/>
          <w:szCs w:val="15"/>
        </w:rPr>
      </w:pPr>
    </w:p>
    <w:p w14:paraId="5FD703FC" w14:textId="77777777" w:rsidR="0087601C" w:rsidRPr="006A1EC7" w:rsidRDefault="0087601C" w:rsidP="0087601C">
      <w:pPr>
        <w:ind w:firstLine="720"/>
        <w:rPr>
          <w:b/>
          <w:bCs/>
          <w:sz w:val="15"/>
          <w:szCs w:val="15"/>
        </w:rPr>
      </w:pPr>
      <w:r w:rsidRPr="006A1EC7">
        <w:rPr>
          <w:b/>
          <w:bCs/>
          <w:sz w:val="15"/>
          <w:szCs w:val="15"/>
        </w:rPr>
        <w:lastRenderedPageBreak/>
        <w:t>Part 2: Hearing &amp; ENT</w:t>
      </w:r>
    </w:p>
    <w:p w14:paraId="56C0D25B" w14:textId="77777777" w:rsidR="0087601C" w:rsidRPr="006A1EC7" w:rsidRDefault="0087601C" w:rsidP="0087601C">
      <w:pPr>
        <w:rPr>
          <w:sz w:val="15"/>
          <w:szCs w:val="15"/>
        </w:rPr>
      </w:pPr>
    </w:p>
    <w:p w14:paraId="3E52D7E8"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640"/>
        <w:gridCol w:w="2757"/>
        <w:gridCol w:w="1701"/>
      </w:tblGrid>
      <w:tr w:rsidR="0087601C" w:rsidRPr="006A1EC7" w14:paraId="231053B3" w14:textId="77777777" w:rsidTr="00D56051">
        <w:tc>
          <w:tcPr>
            <w:tcW w:w="640" w:type="dxa"/>
          </w:tcPr>
          <w:p w14:paraId="0B31B9E0" w14:textId="77777777" w:rsidR="0087601C" w:rsidRPr="006A1EC7" w:rsidRDefault="0087601C" w:rsidP="00D56051">
            <w:pPr>
              <w:rPr>
                <w:sz w:val="15"/>
                <w:szCs w:val="15"/>
              </w:rPr>
            </w:pPr>
            <w:r w:rsidRPr="006A1EC7">
              <w:rPr>
                <w:sz w:val="15"/>
                <w:szCs w:val="15"/>
              </w:rPr>
              <w:t>5C</w:t>
            </w:r>
          </w:p>
        </w:tc>
        <w:tc>
          <w:tcPr>
            <w:tcW w:w="2757" w:type="dxa"/>
          </w:tcPr>
          <w:p w14:paraId="0DB46AA5" w14:textId="77777777" w:rsidR="0087601C" w:rsidRPr="006A1EC7" w:rsidRDefault="0087601C" w:rsidP="00D56051">
            <w:pPr>
              <w:rPr>
                <w:sz w:val="15"/>
                <w:szCs w:val="15"/>
              </w:rPr>
            </w:pPr>
            <w:r w:rsidRPr="006A1EC7">
              <w:rPr>
                <w:sz w:val="15"/>
                <w:szCs w:val="15"/>
              </w:rPr>
              <w:t>What is the patient’s hearing like?</w:t>
            </w:r>
          </w:p>
          <w:p w14:paraId="5D6BEC1E" w14:textId="77777777" w:rsidR="0087601C" w:rsidRPr="006A1EC7" w:rsidRDefault="0087601C" w:rsidP="00D56051">
            <w:pPr>
              <w:rPr>
                <w:sz w:val="15"/>
                <w:szCs w:val="15"/>
              </w:rPr>
            </w:pPr>
          </w:p>
        </w:tc>
        <w:tc>
          <w:tcPr>
            <w:tcW w:w="1701" w:type="dxa"/>
          </w:tcPr>
          <w:p w14:paraId="104E333D" w14:textId="77777777" w:rsidR="0087601C" w:rsidRPr="006A1EC7" w:rsidRDefault="0087601C" w:rsidP="00D56051">
            <w:pPr>
              <w:rPr>
                <w:sz w:val="15"/>
                <w:szCs w:val="15"/>
              </w:rPr>
            </w:pPr>
          </w:p>
        </w:tc>
      </w:tr>
      <w:tr w:rsidR="0087601C" w:rsidRPr="006A1EC7" w14:paraId="1241AF2F" w14:textId="77777777" w:rsidTr="00D56051">
        <w:tc>
          <w:tcPr>
            <w:tcW w:w="3397" w:type="dxa"/>
            <w:gridSpan w:val="2"/>
          </w:tcPr>
          <w:p w14:paraId="4467B7C5" w14:textId="77777777" w:rsidR="0087601C" w:rsidRPr="006A1EC7" w:rsidRDefault="0087601C" w:rsidP="00D56051">
            <w:pPr>
              <w:rPr>
                <w:sz w:val="15"/>
                <w:szCs w:val="15"/>
              </w:rPr>
            </w:pPr>
            <w:r w:rsidRPr="006A1EC7">
              <w:rPr>
                <w:sz w:val="15"/>
                <w:szCs w:val="15"/>
              </w:rPr>
              <w:t>Registered deaf = 2</w:t>
            </w:r>
          </w:p>
        </w:tc>
        <w:tc>
          <w:tcPr>
            <w:tcW w:w="1701" w:type="dxa"/>
          </w:tcPr>
          <w:p w14:paraId="5A01CDD1" w14:textId="77777777" w:rsidR="0087601C" w:rsidRPr="006A1EC7" w:rsidRDefault="0087601C" w:rsidP="00D56051">
            <w:pPr>
              <w:rPr>
                <w:sz w:val="15"/>
                <w:szCs w:val="15"/>
              </w:rPr>
            </w:pPr>
            <w:r w:rsidRPr="006A1EC7">
              <w:rPr>
                <w:sz w:val="15"/>
                <w:szCs w:val="15"/>
              </w:rPr>
              <w:t>2</w:t>
            </w:r>
          </w:p>
        </w:tc>
      </w:tr>
      <w:tr w:rsidR="0087601C" w:rsidRPr="006A1EC7" w14:paraId="422A1F9D" w14:textId="77777777" w:rsidTr="00D56051">
        <w:tc>
          <w:tcPr>
            <w:tcW w:w="3397" w:type="dxa"/>
            <w:gridSpan w:val="2"/>
          </w:tcPr>
          <w:p w14:paraId="7CEA52E5" w14:textId="77777777" w:rsidR="0087601C" w:rsidRPr="006A1EC7" w:rsidRDefault="0087601C" w:rsidP="00D56051">
            <w:pPr>
              <w:rPr>
                <w:sz w:val="15"/>
                <w:szCs w:val="15"/>
              </w:rPr>
            </w:pPr>
            <w:r w:rsidRPr="006A1EC7">
              <w:rPr>
                <w:sz w:val="15"/>
                <w:szCs w:val="15"/>
              </w:rPr>
              <w:t>Requires an aid</w:t>
            </w:r>
          </w:p>
        </w:tc>
        <w:tc>
          <w:tcPr>
            <w:tcW w:w="1701" w:type="dxa"/>
          </w:tcPr>
          <w:p w14:paraId="447B1D91" w14:textId="77777777" w:rsidR="0087601C" w:rsidRPr="006A1EC7" w:rsidRDefault="0087601C" w:rsidP="00D56051">
            <w:pPr>
              <w:rPr>
                <w:sz w:val="15"/>
                <w:szCs w:val="15"/>
              </w:rPr>
            </w:pPr>
            <w:r w:rsidRPr="006A1EC7">
              <w:rPr>
                <w:sz w:val="15"/>
                <w:szCs w:val="15"/>
              </w:rPr>
              <w:t>1</w:t>
            </w:r>
          </w:p>
        </w:tc>
      </w:tr>
      <w:tr w:rsidR="0087601C" w:rsidRPr="006A1EC7" w14:paraId="6833B4DB" w14:textId="77777777" w:rsidTr="00D56051">
        <w:tc>
          <w:tcPr>
            <w:tcW w:w="3397" w:type="dxa"/>
            <w:gridSpan w:val="2"/>
          </w:tcPr>
          <w:p w14:paraId="650B9F00" w14:textId="77777777" w:rsidR="0087601C" w:rsidRPr="006A1EC7" w:rsidRDefault="0087601C" w:rsidP="00D56051">
            <w:pPr>
              <w:rPr>
                <w:sz w:val="15"/>
                <w:szCs w:val="15"/>
              </w:rPr>
            </w:pPr>
            <w:r w:rsidRPr="006A1EC7">
              <w:rPr>
                <w:sz w:val="15"/>
                <w:szCs w:val="15"/>
              </w:rPr>
              <w:t>Normal hearing</w:t>
            </w:r>
          </w:p>
        </w:tc>
        <w:tc>
          <w:tcPr>
            <w:tcW w:w="1701" w:type="dxa"/>
          </w:tcPr>
          <w:p w14:paraId="09DFC275" w14:textId="77777777" w:rsidR="0087601C" w:rsidRPr="006A1EC7" w:rsidRDefault="0087601C" w:rsidP="00D56051">
            <w:pPr>
              <w:rPr>
                <w:sz w:val="15"/>
                <w:szCs w:val="15"/>
              </w:rPr>
            </w:pPr>
            <w:r w:rsidRPr="006A1EC7">
              <w:rPr>
                <w:sz w:val="15"/>
                <w:szCs w:val="15"/>
              </w:rPr>
              <w:t>0</w:t>
            </w:r>
          </w:p>
        </w:tc>
      </w:tr>
    </w:tbl>
    <w:p w14:paraId="22AE11CC"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1129"/>
        <w:gridCol w:w="3969"/>
      </w:tblGrid>
      <w:tr w:rsidR="0087601C" w:rsidRPr="006A1EC7" w14:paraId="62373F14" w14:textId="77777777" w:rsidTr="00D56051">
        <w:tc>
          <w:tcPr>
            <w:tcW w:w="1129" w:type="dxa"/>
          </w:tcPr>
          <w:p w14:paraId="0AED8997" w14:textId="77777777" w:rsidR="0087601C" w:rsidRPr="006A1EC7" w:rsidRDefault="0087601C" w:rsidP="00D56051">
            <w:pPr>
              <w:rPr>
                <w:sz w:val="15"/>
                <w:szCs w:val="15"/>
              </w:rPr>
            </w:pPr>
            <w:r w:rsidRPr="006A1EC7">
              <w:rPr>
                <w:sz w:val="15"/>
                <w:szCs w:val="15"/>
              </w:rPr>
              <w:t>Details:</w:t>
            </w:r>
          </w:p>
        </w:tc>
        <w:tc>
          <w:tcPr>
            <w:tcW w:w="3969" w:type="dxa"/>
          </w:tcPr>
          <w:p w14:paraId="55C42E76" w14:textId="77777777" w:rsidR="0087601C" w:rsidRPr="006A1EC7" w:rsidRDefault="0087601C" w:rsidP="00D56051">
            <w:pPr>
              <w:rPr>
                <w:sz w:val="15"/>
                <w:szCs w:val="15"/>
              </w:rPr>
            </w:pPr>
          </w:p>
        </w:tc>
      </w:tr>
    </w:tbl>
    <w:p w14:paraId="7C7BD6C7" w14:textId="77777777" w:rsidR="0087601C" w:rsidRPr="006A1EC7" w:rsidRDefault="0087601C" w:rsidP="0087601C">
      <w:pPr>
        <w:rPr>
          <w:sz w:val="15"/>
          <w:szCs w:val="15"/>
        </w:rPr>
      </w:pPr>
    </w:p>
    <w:p w14:paraId="35EB7B71"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640"/>
        <w:gridCol w:w="2757"/>
        <w:gridCol w:w="1701"/>
      </w:tblGrid>
      <w:tr w:rsidR="0087601C" w:rsidRPr="006A1EC7" w14:paraId="64349919" w14:textId="77777777" w:rsidTr="00D56051">
        <w:tc>
          <w:tcPr>
            <w:tcW w:w="640" w:type="dxa"/>
          </w:tcPr>
          <w:p w14:paraId="25EB6E4D" w14:textId="77777777" w:rsidR="0087601C" w:rsidRPr="006A1EC7" w:rsidRDefault="0087601C" w:rsidP="00D56051">
            <w:pPr>
              <w:rPr>
                <w:sz w:val="15"/>
                <w:szCs w:val="15"/>
              </w:rPr>
            </w:pPr>
            <w:r w:rsidRPr="006A1EC7">
              <w:rPr>
                <w:sz w:val="15"/>
                <w:szCs w:val="15"/>
              </w:rPr>
              <w:t>5D.1</w:t>
            </w:r>
          </w:p>
        </w:tc>
        <w:tc>
          <w:tcPr>
            <w:tcW w:w="2757" w:type="dxa"/>
          </w:tcPr>
          <w:p w14:paraId="53F3480E" w14:textId="77777777" w:rsidR="0087601C" w:rsidRPr="006A1EC7" w:rsidRDefault="0087601C" w:rsidP="00D56051">
            <w:pPr>
              <w:rPr>
                <w:sz w:val="15"/>
                <w:szCs w:val="15"/>
              </w:rPr>
            </w:pPr>
            <w:r w:rsidRPr="006A1EC7">
              <w:rPr>
                <w:sz w:val="15"/>
                <w:szCs w:val="15"/>
              </w:rPr>
              <w:t>Does the patient suffer recurrent ear infections?</w:t>
            </w:r>
          </w:p>
        </w:tc>
        <w:tc>
          <w:tcPr>
            <w:tcW w:w="1701" w:type="dxa"/>
          </w:tcPr>
          <w:p w14:paraId="372010E3" w14:textId="77777777" w:rsidR="0087601C" w:rsidRPr="006A1EC7" w:rsidRDefault="0087601C" w:rsidP="00D56051">
            <w:pPr>
              <w:rPr>
                <w:sz w:val="15"/>
                <w:szCs w:val="15"/>
              </w:rPr>
            </w:pPr>
          </w:p>
        </w:tc>
      </w:tr>
      <w:tr w:rsidR="0087601C" w:rsidRPr="006A1EC7" w14:paraId="204EE9BE" w14:textId="77777777" w:rsidTr="00D56051">
        <w:tc>
          <w:tcPr>
            <w:tcW w:w="3397" w:type="dxa"/>
            <w:gridSpan w:val="2"/>
          </w:tcPr>
          <w:p w14:paraId="50E23C9B" w14:textId="77777777" w:rsidR="0087601C" w:rsidRPr="006A1EC7" w:rsidRDefault="0087601C" w:rsidP="00D56051">
            <w:pPr>
              <w:rPr>
                <w:sz w:val="15"/>
                <w:szCs w:val="15"/>
              </w:rPr>
            </w:pPr>
            <w:r w:rsidRPr="006A1EC7">
              <w:rPr>
                <w:sz w:val="15"/>
                <w:szCs w:val="15"/>
              </w:rPr>
              <w:t>Yes</w:t>
            </w:r>
          </w:p>
        </w:tc>
        <w:tc>
          <w:tcPr>
            <w:tcW w:w="1701" w:type="dxa"/>
          </w:tcPr>
          <w:p w14:paraId="123BEF10" w14:textId="77777777" w:rsidR="0087601C" w:rsidRPr="006A1EC7" w:rsidRDefault="0087601C" w:rsidP="00D56051">
            <w:pPr>
              <w:rPr>
                <w:sz w:val="15"/>
                <w:szCs w:val="15"/>
              </w:rPr>
            </w:pPr>
            <w:r w:rsidRPr="006A1EC7">
              <w:rPr>
                <w:sz w:val="15"/>
                <w:szCs w:val="15"/>
              </w:rPr>
              <w:t>1</w:t>
            </w:r>
          </w:p>
        </w:tc>
      </w:tr>
      <w:tr w:rsidR="0087601C" w:rsidRPr="006A1EC7" w14:paraId="692D0226" w14:textId="77777777" w:rsidTr="00D56051">
        <w:tc>
          <w:tcPr>
            <w:tcW w:w="3397" w:type="dxa"/>
            <w:gridSpan w:val="2"/>
          </w:tcPr>
          <w:p w14:paraId="0E69E8F5" w14:textId="77777777" w:rsidR="0087601C" w:rsidRPr="006A1EC7" w:rsidRDefault="0087601C" w:rsidP="00D56051">
            <w:pPr>
              <w:rPr>
                <w:color w:val="FF0000"/>
                <w:sz w:val="15"/>
                <w:szCs w:val="15"/>
              </w:rPr>
            </w:pPr>
            <w:r w:rsidRPr="006A1EC7">
              <w:rPr>
                <w:color w:val="FF0000"/>
                <w:sz w:val="15"/>
                <w:szCs w:val="15"/>
              </w:rPr>
              <w:t>No</w:t>
            </w:r>
          </w:p>
        </w:tc>
        <w:tc>
          <w:tcPr>
            <w:tcW w:w="1701" w:type="dxa"/>
          </w:tcPr>
          <w:p w14:paraId="101AA4B2" w14:textId="77777777" w:rsidR="0087601C" w:rsidRPr="006A1EC7" w:rsidRDefault="0087601C" w:rsidP="00D56051">
            <w:pPr>
              <w:rPr>
                <w:color w:val="FF0000"/>
                <w:sz w:val="15"/>
                <w:szCs w:val="15"/>
              </w:rPr>
            </w:pPr>
            <w:r w:rsidRPr="006A1EC7">
              <w:rPr>
                <w:color w:val="FF0000"/>
                <w:sz w:val="15"/>
                <w:szCs w:val="15"/>
              </w:rPr>
              <w:t>0</w:t>
            </w:r>
          </w:p>
        </w:tc>
      </w:tr>
    </w:tbl>
    <w:p w14:paraId="7EB86290" w14:textId="77777777" w:rsidR="0087601C" w:rsidRPr="006A1EC7" w:rsidRDefault="0087601C" w:rsidP="0087601C">
      <w:pPr>
        <w:rPr>
          <w:sz w:val="15"/>
          <w:szCs w:val="15"/>
        </w:rPr>
      </w:pPr>
    </w:p>
    <w:tbl>
      <w:tblPr>
        <w:tblStyle w:val="TableGrid"/>
        <w:tblW w:w="5098" w:type="dxa"/>
        <w:tblLook w:val="04A0" w:firstRow="1" w:lastRow="0" w:firstColumn="1" w:lastColumn="0" w:noHBand="0" w:noVBand="1"/>
      </w:tblPr>
      <w:tblGrid>
        <w:gridCol w:w="640"/>
        <w:gridCol w:w="2757"/>
        <w:gridCol w:w="1701"/>
      </w:tblGrid>
      <w:tr w:rsidR="0087601C" w:rsidRPr="006A1EC7" w14:paraId="69E2F4F0" w14:textId="77777777" w:rsidTr="00D56051">
        <w:tc>
          <w:tcPr>
            <w:tcW w:w="640" w:type="dxa"/>
          </w:tcPr>
          <w:p w14:paraId="02AA2AB3" w14:textId="77777777" w:rsidR="0087601C" w:rsidRPr="006A1EC7" w:rsidRDefault="0087601C" w:rsidP="00D56051">
            <w:pPr>
              <w:rPr>
                <w:sz w:val="15"/>
                <w:szCs w:val="15"/>
              </w:rPr>
            </w:pPr>
            <w:r w:rsidRPr="006A1EC7">
              <w:rPr>
                <w:sz w:val="15"/>
                <w:szCs w:val="15"/>
              </w:rPr>
              <w:t>5D.2</w:t>
            </w:r>
          </w:p>
        </w:tc>
        <w:tc>
          <w:tcPr>
            <w:tcW w:w="2757" w:type="dxa"/>
          </w:tcPr>
          <w:p w14:paraId="5534B638" w14:textId="77777777" w:rsidR="0087601C" w:rsidRPr="006A1EC7" w:rsidRDefault="0087601C" w:rsidP="00D56051">
            <w:pPr>
              <w:rPr>
                <w:sz w:val="15"/>
                <w:szCs w:val="15"/>
              </w:rPr>
            </w:pPr>
            <w:r w:rsidRPr="006A1EC7">
              <w:rPr>
                <w:sz w:val="15"/>
                <w:szCs w:val="15"/>
              </w:rPr>
              <w:t>Over the past 6 months, what was the maximum level of care needed to treat ear infection?</w:t>
            </w:r>
          </w:p>
          <w:p w14:paraId="623F6E17" w14:textId="77777777" w:rsidR="0087601C" w:rsidRPr="006A1EC7" w:rsidRDefault="0087601C" w:rsidP="00D56051">
            <w:pPr>
              <w:rPr>
                <w:sz w:val="15"/>
                <w:szCs w:val="15"/>
              </w:rPr>
            </w:pPr>
          </w:p>
        </w:tc>
        <w:tc>
          <w:tcPr>
            <w:tcW w:w="1701" w:type="dxa"/>
          </w:tcPr>
          <w:p w14:paraId="366F60D7" w14:textId="77777777" w:rsidR="0087601C" w:rsidRPr="006A1EC7" w:rsidRDefault="0087601C" w:rsidP="00D56051">
            <w:pPr>
              <w:rPr>
                <w:sz w:val="15"/>
                <w:szCs w:val="15"/>
              </w:rPr>
            </w:pPr>
          </w:p>
        </w:tc>
      </w:tr>
      <w:tr w:rsidR="0087601C" w:rsidRPr="006A1EC7" w14:paraId="5255DA07" w14:textId="77777777" w:rsidTr="00D56051">
        <w:tc>
          <w:tcPr>
            <w:tcW w:w="3397" w:type="dxa"/>
            <w:gridSpan w:val="2"/>
          </w:tcPr>
          <w:p w14:paraId="42DB9D6A" w14:textId="77777777" w:rsidR="0087601C" w:rsidRPr="006A1EC7" w:rsidRDefault="0087601C" w:rsidP="00D56051">
            <w:pPr>
              <w:rPr>
                <w:sz w:val="15"/>
                <w:szCs w:val="15"/>
              </w:rPr>
            </w:pPr>
            <w:r w:rsidRPr="006A1EC7">
              <w:rPr>
                <w:sz w:val="15"/>
                <w:szCs w:val="15"/>
              </w:rPr>
              <w:t>Patient required hospital admission</w:t>
            </w:r>
          </w:p>
          <w:p w14:paraId="7E32B981" w14:textId="77777777" w:rsidR="0087601C" w:rsidRPr="006A1EC7" w:rsidRDefault="0087601C" w:rsidP="00D56051">
            <w:pPr>
              <w:rPr>
                <w:sz w:val="15"/>
                <w:szCs w:val="15"/>
              </w:rPr>
            </w:pPr>
          </w:p>
        </w:tc>
        <w:tc>
          <w:tcPr>
            <w:tcW w:w="1701" w:type="dxa"/>
          </w:tcPr>
          <w:p w14:paraId="7B038D6F" w14:textId="77777777" w:rsidR="0087601C" w:rsidRPr="006A1EC7" w:rsidRDefault="0087601C" w:rsidP="00D56051">
            <w:pPr>
              <w:rPr>
                <w:sz w:val="15"/>
                <w:szCs w:val="15"/>
              </w:rPr>
            </w:pPr>
            <w:r w:rsidRPr="006A1EC7">
              <w:rPr>
                <w:sz w:val="15"/>
                <w:szCs w:val="15"/>
              </w:rPr>
              <w:t>3</w:t>
            </w:r>
          </w:p>
        </w:tc>
      </w:tr>
      <w:tr w:rsidR="0087601C" w:rsidRPr="006A1EC7" w14:paraId="75F12312" w14:textId="77777777" w:rsidTr="00D56051">
        <w:tc>
          <w:tcPr>
            <w:tcW w:w="3397" w:type="dxa"/>
            <w:gridSpan w:val="2"/>
          </w:tcPr>
          <w:p w14:paraId="429A1E60" w14:textId="77777777" w:rsidR="0087601C" w:rsidRPr="006A1EC7" w:rsidRDefault="0087601C" w:rsidP="00D56051">
            <w:pPr>
              <w:rPr>
                <w:sz w:val="15"/>
                <w:szCs w:val="15"/>
              </w:rPr>
            </w:pPr>
            <w:r w:rsidRPr="006A1EC7">
              <w:rPr>
                <w:sz w:val="15"/>
                <w:szCs w:val="15"/>
              </w:rPr>
              <w:t>Home care/GP care with antibiotics</w:t>
            </w:r>
          </w:p>
        </w:tc>
        <w:tc>
          <w:tcPr>
            <w:tcW w:w="1701" w:type="dxa"/>
          </w:tcPr>
          <w:p w14:paraId="2D8C2EEE" w14:textId="77777777" w:rsidR="0087601C" w:rsidRPr="006A1EC7" w:rsidRDefault="0087601C" w:rsidP="00D56051">
            <w:pPr>
              <w:rPr>
                <w:sz w:val="15"/>
                <w:szCs w:val="15"/>
              </w:rPr>
            </w:pPr>
            <w:r w:rsidRPr="006A1EC7">
              <w:rPr>
                <w:sz w:val="15"/>
                <w:szCs w:val="15"/>
              </w:rPr>
              <w:t>2</w:t>
            </w:r>
          </w:p>
        </w:tc>
      </w:tr>
      <w:tr w:rsidR="0087601C" w:rsidRPr="006A1EC7" w14:paraId="447D683F" w14:textId="77777777" w:rsidTr="00D56051">
        <w:tc>
          <w:tcPr>
            <w:tcW w:w="3397" w:type="dxa"/>
            <w:gridSpan w:val="2"/>
          </w:tcPr>
          <w:p w14:paraId="3EDB55BC" w14:textId="77777777" w:rsidR="0087601C" w:rsidRPr="006A1EC7" w:rsidRDefault="0087601C" w:rsidP="00D56051">
            <w:pPr>
              <w:rPr>
                <w:sz w:val="15"/>
                <w:szCs w:val="15"/>
              </w:rPr>
            </w:pPr>
            <w:r w:rsidRPr="006A1EC7">
              <w:rPr>
                <w:sz w:val="15"/>
                <w:szCs w:val="15"/>
              </w:rPr>
              <w:t>Self-care</w:t>
            </w:r>
          </w:p>
        </w:tc>
        <w:tc>
          <w:tcPr>
            <w:tcW w:w="1701" w:type="dxa"/>
          </w:tcPr>
          <w:p w14:paraId="7F74F239" w14:textId="77777777" w:rsidR="0087601C" w:rsidRPr="006A1EC7" w:rsidRDefault="0087601C" w:rsidP="00D56051">
            <w:pPr>
              <w:rPr>
                <w:sz w:val="15"/>
                <w:szCs w:val="15"/>
              </w:rPr>
            </w:pPr>
            <w:r w:rsidRPr="006A1EC7">
              <w:rPr>
                <w:sz w:val="15"/>
                <w:szCs w:val="15"/>
              </w:rPr>
              <w:t>1</w:t>
            </w:r>
          </w:p>
        </w:tc>
      </w:tr>
      <w:tr w:rsidR="0087601C" w:rsidRPr="006A1EC7" w14:paraId="272D6DAB" w14:textId="77777777" w:rsidTr="00D56051">
        <w:tc>
          <w:tcPr>
            <w:tcW w:w="3397" w:type="dxa"/>
            <w:gridSpan w:val="2"/>
          </w:tcPr>
          <w:p w14:paraId="1A151653" w14:textId="77777777" w:rsidR="0087601C" w:rsidRPr="006A1EC7" w:rsidRDefault="0087601C" w:rsidP="00D56051">
            <w:pPr>
              <w:rPr>
                <w:sz w:val="15"/>
                <w:szCs w:val="15"/>
              </w:rPr>
            </w:pPr>
            <w:r w:rsidRPr="006A1EC7">
              <w:rPr>
                <w:sz w:val="15"/>
                <w:szCs w:val="15"/>
              </w:rPr>
              <w:t>N/A</w:t>
            </w:r>
          </w:p>
        </w:tc>
        <w:tc>
          <w:tcPr>
            <w:tcW w:w="1701" w:type="dxa"/>
          </w:tcPr>
          <w:p w14:paraId="36063509" w14:textId="77777777" w:rsidR="0087601C" w:rsidRPr="006A1EC7" w:rsidRDefault="0087601C" w:rsidP="00D56051">
            <w:pPr>
              <w:rPr>
                <w:sz w:val="15"/>
                <w:szCs w:val="15"/>
              </w:rPr>
            </w:pPr>
            <w:r w:rsidRPr="006A1EC7">
              <w:rPr>
                <w:sz w:val="15"/>
                <w:szCs w:val="15"/>
              </w:rPr>
              <w:t>0</w:t>
            </w:r>
          </w:p>
        </w:tc>
      </w:tr>
    </w:tbl>
    <w:p w14:paraId="14D4F2F8" w14:textId="77777777" w:rsidR="0087601C" w:rsidRPr="006A1EC7" w:rsidRDefault="0087601C" w:rsidP="0087601C">
      <w:pPr>
        <w:rPr>
          <w:sz w:val="15"/>
          <w:szCs w:val="15"/>
        </w:rPr>
      </w:pPr>
    </w:p>
    <w:p w14:paraId="4879D043" w14:textId="77777777" w:rsidR="0087601C" w:rsidRPr="006A1EC7" w:rsidRDefault="0087601C" w:rsidP="0087601C">
      <w:pPr>
        <w:ind w:firstLine="720"/>
        <w:rPr>
          <w:b/>
          <w:bCs/>
          <w:sz w:val="15"/>
          <w:szCs w:val="15"/>
        </w:rPr>
      </w:pPr>
      <w:r w:rsidRPr="006A1EC7">
        <w:rPr>
          <w:b/>
          <w:bCs/>
          <w:sz w:val="15"/>
          <w:szCs w:val="15"/>
        </w:rPr>
        <w:t xml:space="preserve">Part 3: Brain </w:t>
      </w:r>
    </w:p>
    <w:p w14:paraId="04376EB7"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7E1F376B" w14:textId="77777777" w:rsidTr="00D56051">
        <w:tc>
          <w:tcPr>
            <w:tcW w:w="640" w:type="dxa"/>
          </w:tcPr>
          <w:p w14:paraId="5D9F03D2" w14:textId="77777777" w:rsidR="0087601C" w:rsidRPr="006A1EC7" w:rsidRDefault="0087601C" w:rsidP="00D56051">
            <w:pPr>
              <w:rPr>
                <w:sz w:val="15"/>
                <w:szCs w:val="15"/>
              </w:rPr>
            </w:pPr>
            <w:r w:rsidRPr="006A1EC7">
              <w:rPr>
                <w:sz w:val="15"/>
                <w:szCs w:val="15"/>
              </w:rPr>
              <w:t>5E.1</w:t>
            </w:r>
          </w:p>
        </w:tc>
        <w:tc>
          <w:tcPr>
            <w:tcW w:w="2757" w:type="dxa"/>
          </w:tcPr>
          <w:p w14:paraId="386288F9" w14:textId="77777777" w:rsidR="0087601C" w:rsidRPr="006A1EC7" w:rsidRDefault="0087601C" w:rsidP="00D56051">
            <w:pPr>
              <w:rPr>
                <w:sz w:val="15"/>
                <w:szCs w:val="15"/>
              </w:rPr>
            </w:pPr>
            <w:r w:rsidRPr="006A1EC7">
              <w:rPr>
                <w:sz w:val="15"/>
                <w:szCs w:val="15"/>
              </w:rPr>
              <w:t>Does the patient have any structural brain abnormalities confirmed by investigation (e.g. MRI/CAT scan)?</w:t>
            </w:r>
          </w:p>
          <w:p w14:paraId="372D91B3" w14:textId="77777777" w:rsidR="0087601C" w:rsidRPr="006A1EC7" w:rsidRDefault="0087601C" w:rsidP="00D56051">
            <w:pPr>
              <w:rPr>
                <w:sz w:val="15"/>
                <w:szCs w:val="15"/>
              </w:rPr>
            </w:pPr>
          </w:p>
        </w:tc>
        <w:tc>
          <w:tcPr>
            <w:tcW w:w="1560" w:type="dxa"/>
          </w:tcPr>
          <w:p w14:paraId="6A3B4050" w14:textId="77777777" w:rsidR="0087601C" w:rsidRPr="006A1EC7" w:rsidRDefault="0087601C" w:rsidP="00D56051">
            <w:pPr>
              <w:rPr>
                <w:sz w:val="15"/>
                <w:szCs w:val="15"/>
              </w:rPr>
            </w:pPr>
          </w:p>
        </w:tc>
      </w:tr>
      <w:tr w:rsidR="0087601C" w:rsidRPr="006A1EC7" w14:paraId="6A553A41" w14:textId="77777777" w:rsidTr="00D56051">
        <w:tc>
          <w:tcPr>
            <w:tcW w:w="3397" w:type="dxa"/>
            <w:gridSpan w:val="2"/>
          </w:tcPr>
          <w:p w14:paraId="0E9DF577" w14:textId="77777777" w:rsidR="0087601C" w:rsidRPr="006A1EC7" w:rsidRDefault="0087601C" w:rsidP="00D56051">
            <w:pPr>
              <w:rPr>
                <w:sz w:val="15"/>
                <w:szCs w:val="15"/>
              </w:rPr>
            </w:pPr>
            <w:r w:rsidRPr="006A1EC7">
              <w:rPr>
                <w:sz w:val="15"/>
                <w:szCs w:val="15"/>
              </w:rPr>
              <w:t>Yes</w:t>
            </w:r>
          </w:p>
          <w:p w14:paraId="5CDE97CB" w14:textId="77777777" w:rsidR="0087601C" w:rsidRPr="006A1EC7" w:rsidRDefault="0087601C" w:rsidP="00D56051">
            <w:pPr>
              <w:rPr>
                <w:sz w:val="15"/>
                <w:szCs w:val="15"/>
              </w:rPr>
            </w:pPr>
          </w:p>
          <w:p w14:paraId="62721E1C" w14:textId="77777777" w:rsidR="0087601C" w:rsidRPr="006A1EC7" w:rsidRDefault="0087601C" w:rsidP="00D56051">
            <w:pPr>
              <w:rPr>
                <w:sz w:val="15"/>
                <w:szCs w:val="15"/>
              </w:rPr>
            </w:pPr>
            <w:r w:rsidRPr="006A1EC7">
              <w:rPr>
                <w:b/>
                <w:sz w:val="15"/>
                <w:szCs w:val="15"/>
              </w:rPr>
              <w:t>If Yes, proceed to Item 5E.2</w:t>
            </w:r>
          </w:p>
        </w:tc>
        <w:tc>
          <w:tcPr>
            <w:tcW w:w="1560" w:type="dxa"/>
          </w:tcPr>
          <w:p w14:paraId="4EFA106E" w14:textId="77777777" w:rsidR="0087601C" w:rsidRPr="006A1EC7" w:rsidRDefault="0087601C" w:rsidP="00D56051">
            <w:pPr>
              <w:rPr>
                <w:sz w:val="15"/>
                <w:szCs w:val="15"/>
              </w:rPr>
            </w:pPr>
            <w:r w:rsidRPr="006A1EC7">
              <w:rPr>
                <w:sz w:val="15"/>
                <w:szCs w:val="15"/>
              </w:rPr>
              <w:t>1</w:t>
            </w:r>
          </w:p>
        </w:tc>
      </w:tr>
      <w:tr w:rsidR="0087601C" w:rsidRPr="006A1EC7" w14:paraId="4958B91E" w14:textId="77777777" w:rsidTr="00D56051">
        <w:tc>
          <w:tcPr>
            <w:tcW w:w="3397" w:type="dxa"/>
            <w:gridSpan w:val="2"/>
          </w:tcPr>
          <w:p w14:paraId="62A8B7D6" w14:textId="77777777" w:rsidR="0087601C" w:rsidRPr="006A1EC7" w:rsidRDefault="0087601C" w:rsidP="00D56051">
            <w:pPr>
              <w:rPr>
                <w:sz w:val="15"/>
                <w:szCs w:val="15"/>
              </w:rPr>
            </w:pPr>
            <w:r w:rsidRPr="006A1EC7">
              <w:rPr>
                <w:sz w:val="15"/>
                <w:szCs w:val="15"/>
              </w:rPr>
              <w:t>No</w:t>
            </w:r>
          </w:p>
          <w:p w14:paraId="7DA17FFA" w14:textId="77777777" w:rsidR="0087601C" w:rsidRPr="006A1EC7" w:rsidRDefault="0087601C" w:rsidP="00D56051">
            <w:pPr>
              <w:rPr>
                <w:sz w:val="15"/>
                <w:szCs w:val="15"/>
              </w:rPr>
            </w:pPr>
          </w:p>
          <w:p w14:paraId="37B7A7F6" w14:textId="77777777" w:rsidR="0087601C" w:rsidRPr="006A1EC7" w:rsidRDefault="0087601C" w:rsidP="00D56051">
            <w:pPr>
              <w:rPr>
                <w:sz w:val="15"/>
                <w:szCs w:val="15"/>
              </w:rPr>
            </w:pPr>
            <w:r w:rsidRPr="006A1EC7">
              <w:rPr>
                <w:b/>
                <w:sz w:val="15"/>
                <w:szCs w:val="15"/>
              </w:rPr>
              <w:t>If No proceed to Item 5F</w:t>
            </w:r>
          </w:p>
        </w:tc>
        <w:tc>
          <w:tcPr>
            <w:tcW w:w="1560" w:type="dxa"/>
          </w:tcPr>
          <w:p w14:paraId="1BB351E0" w14:textId="77777777" w:rsidR="0087601C" w:rsidRPr="006A1EC7" w:rsidRDefault="0087601C" w:rsidP="00D56051">
            <w:pPr>
              <w:rPr>
                <w:sz w:val="15"/>
                <w:szCs w:val="15"/>
              </w:rPr>
            </w:pPr>
            <w:r w:rsidRPr="006A1EC7">
              <w:rPr>
                <w:sz w:val="15"/>
                <w:szCs w:val="15"/>
              </w:rPr>
              <w:t>0</w:t>
            </w:r>
          </w:p>
        </w:tc>
      </w:tr>
    </w:tbl>
    <w:p w14:paraId="6BC29D52"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1129"/>
        <w:gridCol w:w="3828"/>
      </w:tblGrid>
      <w:tr w:rsidR="0087601C" w:rsidRPr="006A1EC7" w14:paraId="4C839235" w14:textId="77777777" w:rsidTr="00D56051">
        <w:tc>
          <w:tcPr>
            <w:tcW w:w="1129" w:type="dxa"/>
          </w:tcPr>
          <w:p w14:paraId="241A426F" w14:textId="77777777" w:rsidR="0087601C" w:rsidRPr="006A1EC7" w:rsidRDefault="0087601C" w:rsidP="00D56051">
            <w:pPr>
              <w:rPr>
                <w:sz w:val="15"/>
                <w:szCs w:val="15"/>
              </w:rPr>
            </w:pPr>
            <w:r w:rsidRPr="006A1EC7">
              <w:rPr>
                <w:sz w:val="15"/>
                <w:szCs w:val="15"/>
              </w:rPr>
              <w:t>Details:</w:t>
            </w:r>
          </w:p>
        </w:tc>
        <w:tc>
          <w:tcPr>
            <w:tcW w:w="3828" w:type="dxa"/>
          </w:tcPr>
          <w:p w14:paraId="1E7368AE" w14:textId="77777777" w:rsidR="0087601C" w:rsidRPr="006A1EC7" w:rsidRDefault="0087601C" w:rsidP="00D56051">
            <w:pPr>
              <w:rPr>
                <w:sz w:val="15"/>
                <w:szCs w:val="15"/>
              </w:rPr>
            </w:pPr>
          </w:p>
        </w:tc>
      </w:tr>
    </w:tbl>
    <w:p w14:paraId="6E8CE187" w14:textId="77777777" w:rsidR="0087601C" w:rsidRPr="006A1EC7" w:rsidRDefault="0087601C" w:rsidP="0087601C">
      <w:pPr>
        <w:rPr>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02DA3EC6" w14:textId="77777777" w:rsidTr="00D56051">
        <w:tc>
          <w:tcPr>
            <w:tcW w:w="640" w:type="dxa"/>
          </w:tcPr>
          <w:p w14:paraId="2DB4F5ED" w14:textId="77777777" w:rsidR="0087601C" w:rsidRPr="006A1EC7" w:rsidRDefault="0087601C" w:rsidP="00D56051">
            <w:pPr>
              <w:rPr>
                <w:sz w:val="15"/>
                <w:szCs w:val="15"/>
              </w:rPr>
            </w:pPr>
            <w:r w:rsidRPr="006A1EC7">
              <w:rPr>
                <w:sz w:val="15"/>
                <w:szCs w:val="15"/>
              </w:rPr>
              <w:t>5E.3</w:t>
            </w:r>
          </w:p>
        </w:tc>
        <w:tc>
          <w:tcPr>
            <w:tcW w:w="2757" w:type="dxa"/>
          </w:tcPr>
          <w:p w14:paraId="124B3E92" w14:textId="77777777" w:rsidR="0087601C" w:rsidRPr="006A1EC7" w:rsidRDefault="0087601C" w:rsidP="00D56051">
            <w:pPr>
              <w:rPr>
                <w:sz w:val="15"/>
                <w:szCs w:val="15"/>
              </w:rPr>
            </w:pPr>
            <w:r w:rsidRPr="006A1EC7">
              <w:rPr>
                <w:sz w:val="15"/>
                <w:szCs w:val="15"/>
              </w:rPr>
              <w:t>Was surgical intervention required for structural brain abnormalities?</w:t>
            </w:r>
          </w:p>
          <w:p w14:paraId="6BAC26BA" w14:textId="77777777" w:rsidR="0087601C" w:rsidRPr="006A1EC7" w:rsidRDefault="0087601C" w:rsidP="00D56051">
            <w:pPr>
              <w:rPr>
                <w:sz w:val="15"/>
                <w:szCs w:val="15"/>
              </w:rPr>
            </w:pPr>
          </w:p>
        </w:tc>
        <w:tc>
          <w:tcPr>
            <w:tcW w:w="1560" w:type="dxa"/>
          </w:tcPr>
          <w:p w14:paraId="4656968B" w14:textId="77777777" w:rsidR="0087601C" w:rsidRPr="006A1EC7" w:rsidRDefault="0087601C" w:rsidP="00D56051">
            <w:pPr>
              <w:rPr>
                <w:sz w:val="15"/>
                <w:szCs w:val="15"/>
              </w:rPr>
            </w:pPr>
          </w:p>
        </w:tc>
      </w:tr>
      <w:tr w:rsidR="0087601C" w:rsidRPr="006A1EC7" w14:paraId="154A7228" w14:textId="77777777" w:rsidTr="00D56051">
        <w:tc>
          <w:tcPr>
            <w:tcW w:w="3397" w:type="dxa"/>
            <w:gridSpan w:val="2"/>
          </w:tcPr>
          <w:p w14:paraId="09A6D11A" w14:textId="77777777" w:rsidR="0087601C" w:rsidRPr="006A1EC7" w:rsidRDefault="0087601C" w:rsidP="00D56051">
            <w:pPr>
              <w:rPr>
                <w:sz w:val="15"/>
                <w:szCs w:val="15"/>
              </w:rPr>
            </w:pPr>
            <w:r w:rsidRPr="006A1EC7">
              <w:rPr>
                <w:sz w:val="15"/>
                <w:szCs w:val="15"/>
              </w:rPr>
              <w:t>Yes</w:t>
            </w:r>
          </w:p>
        </w:tc>
        <w:tc>
          <w:tcPr>
            <w:tcW w:w="1560" w:type="dxa"/>
          </w:tcPr>
          <w:p w14:paraId="5FB09B80" w14:textId="77777777" w:rsidR="0087601C" w:rsidRPr="006A1EC7" w:rsidRDefault="0087601C" w:rsidP="00D56051">
            <w:pPr>
              <w:rPr>
                <w:sz w:val="15"/>
                <w:szCs w:val="15"/>
              </w:rPr>
            </w:pPr>
            <w:r w:rsidRPr="006A1EC7">
              <w:rPr>
                <w:sz w:val="15"/>
                <w:szCs w:val="15"/>
              </w:rPr>
              <w:t>1</w:t>
            </w:r>
          </w:p>
        </w:tc>
      </w:tr>
      <w:tr w:rsidR="0087601C" w:rsidRPr="006A1EC7" w14:paraId="08861F29" w14:textId="77777777" w:rsidTr="00D56051">
        <w:tc>
          <w:tcPr>
            <w:tcW w:w="3397" w:type="dxa"/>
            <w:gridSpan w:val="2"/>
          </w:tcPr>
          <w:p w14:paraId="640A2BF7" w14:textId="77777777" w:rsidR="0087601C" w:rsidRPr="006A1EC7" w:rsidRDefault="0087601C" w:rsidP="00D56051">
            <w:pPr>
              <w:rPr>
                <w:color w:val="000000" w:themeColor="text1"/>
                <w:sz w:val="15"/>
                <w:szCs w:val="15"/>
              </w:rPr>
            </w:pPr>
            <w:r w:rsidRPr="006A1EC7">
              <w:rPr>
                <w:color w:val="000000" w:themeColor="text1"/>
                <w:sz w:val="15"/>
                <w:szCs w:val="15"/>
              </w:rPr>
              <w:t>No</w:t>
            </w:r>
          </w:p>
        </w:tc>
        <w:tc>
          <w:tcPr>
            <w:tcW w:w="1560" w:type="dxa"/>
          </w:tcPr>
          <w:p w14:paraId="75458ED9" w14:textId="77777777" w:rsidR="0087601C" w:rsidRPr="006A1EC7" w:rsidRDefault="0087601C" w:rsidP="00D56051">
            <w:pPr>
              <w:rPr>
                <w:color w:val="000000" w:themeColor="text1"/>
                <w:sz w:val="15"/>
                <w:szCs w:val="15"/>
              </w:rPr>
            </w:pPr>
            <w:r w:rsidRPr="006A1EC7">
              <w:rPr>
                <w:color w:val="000000" w:themeColor="text1"/>
                <w:sz w:val="15"/>
                <w:szCs w:val="15"/>
              </w:rPr>
              <w:t>0</w:t>
            </w:r>
          </w:p>
        </w:tc>
      </w:tr>
    </w:tbl>
    <w:p w14:paraId="1C6612FB" w14:textId="77777777" w:rsidR="0087601C" w:rsidRPr="006A1EC7" w:rsidRDefault="0087601C" w:rsidP="0087601C">
      <w:pPr>
        <w:rPr>
          <w:color w:val="000000" w:themeColor="text1"/>
          <w:sz w:val="15"/>
          <w:szCs w:val="15"/>
        </w:rPr>
      </w:pPr>
    </w:p>
    <w:tbl>
      <w:tblPr>
        <w:tblStyle w:val="TableGrid"/>
        <w:tblW w:w="4957" w:type="dxa"/>
        <w:tblLook w:val="04A0" w:firstRow="1" w:lastRow="0" w:firstColumn="1" w:lastColumn="0" w:noHBand="0" w:noVBand="1"/>
      </w:tblPr>
      <w:tblGrid>
        <w:gridCol w:w="1129"/>
        <w:gridCol w:w="3828"/>
      </w:tblGrid>
      <w:tr w:rsidR="0087601C" w:rsidRPr="006A1EC7" w14:paraId="3B77E5BF" w14:textId="77777777" w:rsidTr="00D56051">
        <w:tc>
          <w:tcPr>
            <w:tcW w:w="1129" w:type="dxa"/>
          </w:tcPr>
          <w:p w14:paraId="12F2EBAC" w14:textId="77777777" w:rsidR="0087601C" w:rsidRPr="006A1EC7" w:rsidRDefault="0087601C" w:rsidP="00D56051">
            <w:pPr>
              <w:rPr>
                <w:sz w:val="15"/>
                <w:szCs w:val="15"/>
              </w:rPr>
            </w:pPr>
            <w:r w:rsidRPr="006A1EC7">
              <w:rPr>
                <w:sz w:val="15"/>
                <w:szCs w:val="15"/>
              </w:rPr>
              <w:t>Details:</w:t>
            </w:r>
          </w:p>
        </w:tc>
        <w:tc>
          <w:tcPr>
            <w:tcW w:w="3828" w:type="dxa"/>
          </w:tcPr>
          <w:p w14:paraId="0C47D9B6" w14:textId="77777777" w:rsidR="0087601C" w:rsidRPr="006A1EC7" w:rsidRDefault="0087601C" w:rsidP="00D56051">
            <w:pPr>
              <w:rPr>
                <w:sz w:val="15"/>
                <w:szCs w:val="15"/>
              </w:rPr>
            </w:pPr>
          </w:p>
        </w:tc>
      </w:tr>
    </w:tbl>
    <w:p w14:paraId="01B5A6EF" w14:textId="77777777" w:rsidR="0087601C" w:rsidRPr="006A1EC7" w:rsidRDefault="0087601C" w:rsidP="0087601C">
      <w:pPr>
        <w:rPr>
          <w:sz w:val="15"/>
          <w:szCs w:val="15"/>
        </w:rPr>
      </w:pPr>
    </w:p>
    <w:p w14:paraId="30D1CA6F" w14:textId="77777777" w:rsidR="0087601C" w:rsidRPr="006A1EC7" w:rsidRDefault="0087601C" w:rsidP="0087601C">
      <w:pPr>
        <w:ind w:firstLine="720"/>
        <w:rPr>
          <w:b/>
          <w:bCs/>
          <w:sz w:val="15"/>
          <w:szCs w:val="15"/>
        </w:rPr>
      </w:pPr>
      <w:r w:rsidRPr="006A1EC7">
        <w:rPr>
          <w:b/>
          <w:bCs/>
          <w:sz w:val="15"/>
          <w:szCs w:val="15"/>
        </w:rPr>
        <w:t>Part 4: Mobility</w:t>
      </w:r>
    </w:p>
    <w:p w14:paraId="7B4FD339"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03DBE809" w14:textId="77777777" w:rsidTr="00D56051">
        <w:tc>
          <w:tcPr>
            <w:tcW w:w="640" w:type="dxa"/>
          </w:tcPr>
          <w:p w14:paraId="40672CD1" w14:textId="77777777" w:rsidR="0087601C" w:rsidRPr="006A1EC7" w:rsidRDefault="0087601C" w:rsidP="00D56051">
            <w:pPr>
              <w:rPr>
                <w:sz w:val="15"/>
                <w:szCs w:val="15"/>
              </w:rPr>
            </w:pPr>
            <w:r w:rsidRPr="006A1EC7">
              <w:rPr>
                <w:sz w:val="15"/>
                <w:szCs w:val="15"/>
                <w:u w:val="single"/>
              </w:rPr>
              <w:t>5F</w:t>
            </w:r>
          </w:p>
        </w:tc>
        <w:tc>
          <w:tcPr>
            <w:tcW w:w="2757" w:type="dxa"/>
          </w:tcPr>
          <w:p w14:paraId="512F122F" w14:textId="77777777" w:rsidR="0087601C" w:rsidRPr="006A1EC7" w:rsidRDefault="0087601C" w:rsidP="00D56051">
            <w:pPr>
              <w:rPr>
                <w:sz w:val="15"/>
                <w:szCs w:val="15"/>
              </w:rPr>
            </w:pPr>
            <w:r w:rsidRPr="006A1EC7">
              <w:rPr>
                <w:sz w:val="15"/>
                <w:szCs w:val="15"/>
              </w:rPr>
              <w:t>Is the patient able to sit?</w:t>
            </w:r>
          </w:p>
          <w:p w14:paraId="15D98120" w14:textId="77777777" w:rsidR="0087601C" w:rsidRPr="006A1EC7" w:rsidRDefault="0087601C" w:rsidP="00D56051">
            <w:pPr>
              <w:rPr>
                <w:sz w:val="15"/>
                <w:szCs w:val="15"/>
              </w:rPr>
            </w:pPr>
          </w:p>
        </w:tc>
        <w:tc>
          <w:tcPr>
            <w:tcW w:w="1560" w:type="dxa"/>
          </w:tcPr>
          <w:p w14:paraId="543B5941" w14:textId="77777777" w:rsidR="0087601C" w:rsidRPr="006A1EC7" w:rsidRDefault="0087601C" w:rsidP="00D56051">
            <w:pPr>
              <w:rPr>
                <w:sz w:val="15"/>
                <w:szCs w:val="15"/>
              </w:rPr>
            </w:pPr>
          </w:p>
        </w:tc>
      </w:tr>
      <w:tr w:rsidR="0087601C" w:rsidRPr="006A1EC7" w14:paraId="4B38FDE7" w14:textId="77777777" w:rsidTr="00D56051">
        <w:tc>
          <w:tcPr>
            <w:tcW w:w="3397" w:type="dxa"/>
            <w:gridSpan w:val="2"/>
          </w:tcPr>
          <w:p w14:paraId="26615772" w14:textId="77777777" w:rsidR="0087601C" w:rsidRPr="006A1EC7" w:rsidRDefault="0087601C" w:rsidP="00D56051">
            <w:pPr>
              <w:rPr>
                <w:sz w:val="15"/>
                <w:szCs w:val="15"/>
              </w:rPr>
            </w:pPr>
            <w:r w:rsidRPr="006A1EC7">
              <w:rPr>
                <w:sz w:val="15"/>
                <w:szCs w:val="15"/>
              </w:rPr>
              <w:t>Patient unable to sit safely without formal support (i.e. safety belt, safety harness in wheelchair or special chair</w:t>
            </w:r>
          </w:p>
        </w:tc>
        <w:tc>
          <w:tcPr>
            <w:tcW w:w="1560" w:type="dxa"/>
          </w:tcPr>
          <w:p w14:paraId="7F647066" w14:textId="77777777" w:rsidR="0087601C" w:rsidRPr="006A1EC7" w:rsidRDefault="0087601C" w:rsidP="00D56051">
            <w:pPr>
              <w:rPr>
                <w:sz w:val="15"/>
                <w:szCs w:val="15"/>
              </w:rPr>
            </w:pPr>
            <w:r w:rsidRPr="006A1EC7">
              <w:rPr>
                <w:sz w:val="15"/>
                <w:szCs w:val="15"/>
              </w:rPr>
              <w:t>3</w:t>
            </w:r>
          </w:p>
        </w:tc>
      </w:tr>
      <w:tr w:rsidR="0087601C" w:rsidRPr="006A1EC7" w14:paraId="152D805B" w14:textId="77777777" w:rsidTr="00D56051">
        <w:tc>
          <w:tcPr>
            <w:tcW w:w="3397" w:type="dxa"/>
            <w:gridSpan w:val="2"/>
          </w:tcPr>
          <w:p w14:paraId="647162B4" w14:textId="77777777" w:rsidR="0087601C" w:rsidRPr="006A1EC7" w:rsidRDefault="0087601C" w:rsidP="00D56051">
            <w:pPr>
              <w:rPr>
                <w:sz w:val="15"/>
                <w:szCs w:val="15"/>
              </w:rPr>
            </w:pPr>
            <w:r w:rsidRPr="006A1EC7">
              <w:rPr>
                <w:sz w:val="15"/>
                <w:szCs w:val="15"/>
              </w:rPr>
              <w:t>Patient sits with poor posture (slumped forward or to one side; requiring pillows or similar support)</w:t>
            </w:r>
          </w:p>
        </w:tc>
        <w:tc>
          <w:tcPr>
            <w:tcW w:w="1560" w:type="dxa"/>
          </w:tcPr>
          <w:p w14:paraId="6CE480C9" w14:textId="77777777" w:rsidR="0087601C" w:rsidRPr="006A1EC7" w:rsidRDefault="0087601C" w:rsidP="00D56051">
            <w:pPr>
              <w:rPr>
                <w:sz w:val="15"/>
                <w:szCs w:val="15"/>
              </w:rPr>
            </w:pPr>
            <w:r w:rsidRPr="006A1EC7">
              <w:rPr>
                <w:sz w:val="15"/>
                <w:szCs w:val="15"/>
              </w:rPr>
              <w:t>2</w:t>
            </w:r>
          </w:p>
        </w:tc>
      </w:tr>
      <w:tr w:rsidR="0087601C" w:rsidRPr="006A1EC7" w14:paraId="6BE63610" w14:textId="77777777" w:rsidTr="00D56051">
        <w:tc>
          <w:tcPr>
            <w:tcW w:w="3397" w:type="dxa"/>
            <w:gridSpan w:val="2"/>
          </w:tcPr>
          <w:p w14:paraId="0DA1D4BD" w14:textId="77777777" w:rsidR="0087601C" w:rsidRPr="006A1EC7" w:rsidRDefault="0087601C" w:rsidP="00D56051">
            <w:pPr>
              <w:rPr>
                <w:sz w:val="15"/>
                <w:szCs w:val="15"/>
              </w:rPr>
            </w:pPr>
            <w:r w:rsidRPr="006A1EC7">
              <w:rPr>
                <w:sz w:val="15"/>
                <w:szCs w:val="15"/>
              </w:rPr>
              <w:t>Occasionally requires support when sitting</w:t>
            </w:r>
          </w:p>
        </w:tc>
        <w:tc>
          <w:tcPr>
            <w:tcW w:w="1560" w:type="dxa"/>
          </w:tcPr>
          <w:p w14:paraId="146B1A8C" w14:textId="77777777" w:rsidR="0087601C" w:rsidRPr="006A1EC7" w:rsidRDefault="0087601C" w:rsidP="00D56051">
            <w:pPr>
              <w:rPr>
                <w:sz w:val="15"/>
                <w:szCs w:val="15"/>
              </w:rPr>
            </w:pPr>
            <w:r w:rsidRPr="006A1EC7">
              <w:rPr>
                <w:sz w:val="15"/>
                <w:szCs w:val="15"/>
              </w:rPr>
              <w:t>1</w:t>
            </w:r>
          </w:p>
        </w:tc>
      </w:tr>
      <w:tr w:rsidR="0087601C" w:rsidRPr="006A1EC7" w14:paraId="2643E829" w14:textId="77777777" w:rsidTr="00D56051">
        <w:tc>
          <w:tcPr>
            <w:tcW w:w="3397" w:type="dxa"/>
            <w:gridSpan w:val="2"/>
          </w:tcPr>
          <w:p w14:paraId="79B4EF68" w14:textId="77777777" w:rsidR="0087601C" w:rsidRPr="006A1EC7" w:rsidRDefault="0087601C" w:rsidP="00D56051">
            <w:pPr>
              <w:rPr>
                <w:sz w:val="15"/>
                <w:szCs w:val="15"/>
              </w:rPr>
            </w:pPr>
            <w:r w:rsidRPr="006A1EC7">
              <w:rPr>
                <w:sz w:val="15"/>
                <w:szCs w:val="15"/>
              </w:rPr>
              <w:t>No issues, sits independently</w:t>
            </w:r>
          </w:p>
        </w:tc>
        <w:tc>
          <w:tcPr>
            <w:tcW w:w="1560" w:type="dxa"/>
          </w:tcPr>
          <w:p w14:paraId="2D5162B1" w14:textId="77777777" w:rsidR="0087601C" w:rsidRPr="006A1EC7" w:rsidRDefault="0087601C" w:rsidP="00D56051">
            <w:pPr>
              <w:rPr>
                <w:sz w:val="15"/>
                <w:szCs w:val="15"/>
              </w:rPr>
            </w:pPr>
            <w:r w:rsidRPr="006A1EC7">
              <w:rPr>
                <w:sz w:val="15"/>
                <w:szCs w:val="15"/>
              </w:rPr>
              <w:t>0</w:t>
            </w:r>
          </w:p>
        </w:tc>
      </w:tr>
    </w:tbl>
    <w:p w14:paraId="162E27CB"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64F6708F" w14:textId="77777777" w:rsidTr="00D56051">
        <w:tc>
          <w:tcPr>
            <w:tcW w:w="640" w:type="dxa"/>
          </w:tcPr>
          <w:p w14:paraId="03B94162" w14:textId="77777777" w:rsidR="0087601C" w:rsidRPr="006A1EC7" w:rsidRDefault="0087601C" w:rsidP="00D56051">
            <w:pPr>
              <w:rPr>
                <w:sz w:val="15"/>
                <w:szCs w:val="15"/>
              </w:rPr>
            </w:pPr>
            <w:r w:rsidRPr="006A1EC7">
              <w:rPr>
                <w:sz w:val="15"/>
                <w:szCs w:val="15"/>
                <w:u w:val="single"/>
              </w:rPr>
              <w:lastRenderedPageBreak/>
              <w:t>5G</w:t>
            </w:r>
          </w:p>
        </w:tc>
        <w:tc>
          <w:tcPr>
            <w:tcW w:w="2757" w:type="dxa"/>
          </w:tcPr>
          <w:p w14:paraId="750E0DA3" w14:textId="77777777" w:rsidR="0087601C" w:rsidRPr="006A1EC7" w:rsidRDefault="0087601C" w:rsidP="00D56051">
            <w:pPr>
              <w:rPr>
                <w:sz w:val="15"/>
                <w:szCs w:val="15"/>
              </w:rPr>
            </w:pPr>
            <w:r w:rsidRPr="006A1EC7">
              <w:rPr>
                <w:sz w:val="15"/>
                <w:szCs w:val="15"/>
              </w:rPr>
              <w:t>Is the patient able to stand?</w:t>
            </w:r>
          </w:p>
          <w:p w14:paraId="372E1988" w14:textId="77777777" w:rsidR="0087601C" w:rsidRPr="006A1EC7" w:rsidRDefault="0087601C" w:rsidP="00D56051">
            <w:pPr>
              <w:rPr>
                <w:sz w:val="15"/>
                <w:szCs w:val="15"/>
              </w:rPr>
            </w:pPr>
          </w:p>
        </w:tc>
        <w:tc>
          <w:tcPr>
            <w:tcW w:w="1560" w:type="dxa"/>
          </w:tcPr>
          <w:p w14:paraId="7E963EDC" w14:textId="77777777" w:rsidR="0087601C" w:rsidRPr="006A1EC7" w:rsidRDefault="0087601C" w:rsidP="00D56051">
            <w:pPr>
              <w:rPr>
                <w:sz w:val="15"/>
                <w:szCs w:val="15"/>
              </w:rPr>
            </w:pPr>
          </w:p>
        </w:tc>
      </w:tr>
      <w:tr w:rsidR="0087601C" w:rsidRPr="006A1EC7" w14:paraId="5D7ED14E" w14:textId="77777777" w:rsidTr="00D56051">
        <w:tc>
          <w:tcPr>
            <w:tcW w:w="3397" w:type="dxa"/>
            <w:gridSpan w:val="2"/>
          </w:tcPr>
          <w:p w14:paraId="5D491ADA" w14:textId="77777777" w:rsidR="0087601C" w:rsidRPr="006A1EC7" w:rsidRDefault="0087601C" w:rsidP="00D56051">
            <w:pPr>
              <w:rPr>
                <w:sz w:val="15"/>
                <w:szCs w:val="15"/>
              </w:rPr>
            </w:pPr>
            <w:r w:rsidRPr="006A1EC7">
              <w:rPr>
                <w:sz w:val="15"/>
                <w:szCs w:val="15"/>
              </w:rPr>
              <w:t>Unable to stand at all (walking frames and caregiver support ineffective)</w:t>
            </w:r>
          </w:p>
        </w:tc>
        <w:tc>
          <w:tcPr>
            <w:tcW w:w="1560" w:type="dxa"/>
          </w:tcPr>
          <w:p w14:paraId="58981587" w14:textId="77777777" w:rsidR="0087601C" w:rsidRPr="006A1EC7" w:rsidRDefault="0087601C" w:rsidP="00D56051">
            <w:pPr>
              <w:rPr>
                <w:sz w:val="15"/>
                <w:szCs w:val="15"/>
              </w:rPr>
            </w:pPr>
            <w:r w:rsidRPr="006A1EC7">
              <w:rPr>
                <w:sz w:val="15"/>
                <w:szCs w:val="15"/>
              </w:rPr>
              <w:t>3</w:t>
            </w:r>
          </w:p>
        </w:tc>
      </w:tr>
      <w:tr w:rsidR="0087601C" w:rsidRPr="006A1EC7" w14:paraId="6020033A" w14:textId="77777777" w:rsidTr="00D56051">
        <w:tc>
          <w:tcPr>
            <w:tcW w:w="3397" w:type="dxa"/>
            <w:gridSpan w:val="2"/>
          </w:tcPr>
          <w:p w14:paraId="65308170" w14:textId="77777777" w:rsidR="0087601C" w:rsidRPr="006A1EC7" w:rsidRDefault="0087601C" w:rsidP="00D56051">
            <w:pPr>
              <w:rPr>
                <w:sz w:val="15"/>
                <w:szCs w:val="15"/>
              </w:rPr>
            </w:pPr>
            <w:r w:rsidRPr="006A1EC7">
              <w:rPr>
                <w:sz w:val="15"/>
                <w:szCs w:val="15"/>
              </w:rPr>
              <w:t>Able to stand with support of at least one other individual</w:t>
            </w:r>
          </w:p>
        </w:tc>
        <w:tc>
          <w:tcPr>
            <w:tcW w:w="1560" w:type="dxa"/>
          </w:tcPr>
          <w:p w14:paraId="10E2994E" w14:textId="77777777" w:rsidR="0087601C" w:rsidRPr="006A1EC7" w:rsidRDefault="0087601C" w:rsidP="00D56051">
            <w:pPr>
              <w:rPr>
                <w:sz w:val="15"/>
                <w:szCs w:val="15"/>
              </w:rPr>
            </w:pPr>
            <w:r w:rsidRPr="006A1EC7">
              <w:rPr>
                <w:sz w:val="15"/>
                <w:szCs w:val="15"/>
              </w:rPr>
              <w:t>2</w:t>
            </w:r>
          </w:p>
        </w:tc>
      </w:tr>
      <w:tr w:rsidR="0087601C" w:rsidRPr="006A1EC7" w14:paraId="4F0F23D9" w14:textId="77777777" w:rsidTr="00D56051">
        <w:tc>
          <w:tcPr>
            <w:tcW w:w="3397" w:type="dxa"/>
            <w:gridSpan w:val="2"/>
          </w:tcPr>
          <w:p w14:paraId="4728A342" w14:textId="77777777" w:rsidR="0087601C" w:rsidRPr="006A1EC7" w:rsidRDefault="0087601C" w:rsidP="00D56051">
            <w:pPr>
              <w:rPr>
                <w:sz w:val="15"/>
                <w:szCs w:val="15"/>
              </w:rPr>
            </w:pPr>
            <w:r w:rsidRPr="006A1EC7">
              <w:rPr>
                <w:sz w:val="15"/>
                <w:szCs w:val="15"/>
              </w:rPr>
              <w:t>Able to stand with walking aid</w:t>
            </w:r>
          </w:p>
        </w:tc>
        <w:tc>
          <w:tcPr>
            <w:tcW w:w="1560" w:type="dxa"/>
          </w:tcPr>
          <w:p w14:paraId="7D0BF6FC" w14:textId="77777777" w:rsidR="0087601C" w:rsidRPr="006A1EC7" w:rsidRDefault="0087601C" w:rsidP="00D56051">
            <w:pPr>
              <w:rPr>
                <w:sz w:val="15"/>
                <w:szCs w:val="15"/>
              </w:rPr>
            </w:pPr>
            <w:r w:rsidRPr="006A1EC7">
              <w:rPr>
                <w:sz w:val="15"/>
                <w:szCs w:val="15"/>
              </w:rPr>
              <w:t>1</w:t>
            </w:r>
          </w:p>
        </w:tc>
      </w:tr>
      <w:tr w:rsidR="0087601C" w:rsidRPr="006A1EC7" w14:paraId="4FB613EB" w14:textId="77777777" w:rsidTr="00D56051">
        <w:tc>
          <w:tcPr>
            <w:tcW w:w="3397" w:type="dxa"/>
            <w:gridSpan w:val="2"/>
          </w:tcPr>
          <w:p w14:paraId="12DF10E1" w14:textId="77777777" w:rsidR="0087601C" w:rsidRPr="006A1EC7" w:rsidRDefault="0087601C" w:rsidP="00D56051">
            <w:pPr>
              <w:rPr>
                <w:sz w:val="15"/>
                <w:szCs w:val="15"/>
              </w:rPr>
            </w:pPr>
            <w:r w:rsidRPr="006A1EC7">
              <w:rPr>
                <w:sz w:val="15"/>
                <w:szCs w:val="15"/>
              </w:rPr>
              <w:t>No issues</w:t>
            </w:r>
          </w:p>
        </w:tc>
        <w:tc>
          <w:tcPr>
            <w:tcW w:w="1560" w:type="dxa"/>
          </w:tcPr>
          <w:p w14:paraId="12974170" w14:textId="77777777" w:rsidR="0087601C" w:rsidRPr="006A1EC7" w:rsidRDefault="0087601C" w:rsidP="00D56051">
            <w:pPr>
              <w:rPr>
                <w:sz w:val="15"/>
                <w:szCs w:val="15"/>
              </w:rPr>
            </w:pPr>
            <w:r w:rsidRPr="006A1EC7">
              <w:rPr>
                <w:sz w:val="15"/>
                <w:szCs w:val="15"/>
              </w:rPr>
              <w:t>0</w:t>
            </w:r>
          </w:p>
        </w:tc>
      </w:tr>
    </w:tbl>
    <w:p w14:paraId="1726FAFC"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4C35F268" w14:textId="77777777" w:rsidTr="00D56051">
        <w:tc>
          <w:tcPr>
            <w:tcW w:w="640" w:type="dxa"/>
          </w:tcPr>
          <w:p w14:paraId="4D775C81" w14:textId="77777777" w:rsidR="0087601C" w:rsidRPr="006A1EC7" w:rsidRDefault="0087601C" w:rsidP="00D56051">
            <w:pPr>
              <w:rPr>
                <w:sz w:val="15"/>
                <w:szCs w:val="15"/>
              </w:rPr>
            </w:pPr>
            <w:r w:rsidRPr="006A1EC7">
              <w:rPr>
                <w:sz w:val="15"/>
                <w:szCs w:val="15"/>
                <w:u w:val="single"/>
              </w:rPr>
              <w:t>5H</w:t>
            </w:r>
          </w:p>
        </w:tc>
        <w:tc>
          <w:tcPr>
            <w:tcW w:w="2757" w:type="dxa"/>
          </w:tcPr>
          <w:p w14:paraId="77249B39" w14:textId="77777777" w:rsidR="0087601C" w:rsidRPr="006A1EC7" w:rsidRDefault="0087601C" w:rsidP="00D56051">
            <w:pPr>
              <w:rPr>
                <w:sz w:val="15"/>
                <w:szCs w:val="15"/>
              </w:rPr>
            </w:pPr>
            <w:r w:rsidRPr="006A1EC7">
              <w:rPr>
                <w:sz w:val="15"/>
                <w:szCs w:val="15"/>
              </w:rPr>
              <w:t>Is the patient able to walk?</w:t>
            </w:r>
          </w:p>
          <w:p w14:paraId="5263DC28" w14:textId="77777777" w:rsidR="0087601C" w:rsidRPr="006A1EC7" w:rsidRDefault="0087601C" w:rsidP="00D56051">
            <w:pPr>
              <w:rPr>
                <w:sz w:val="15"/>
                <w:szCs w:val="15"/>
              </w:rPr>
            </w:pPr>
          </w:p>
        </w:tc>
        <w:tc>
          <w:tcPr>
            <w:tcW w:w="1560" w:type="dxa"/>
          </w:tcPr>
          <w:p w14:paraId="5C01CD83" w14:textId="77777777" w:rsidR="0087601C" w:rsidRPr="006A1EC7" w:rsidRDefault="0087601C" w:rsidP="00D56051">
            <w:pPr>
              <w:rPr>
                <w:sz w:val="15"/>
                <w:szCs w:val="15"/>
              </w:rPr>
            </w:pPr>
          </w:p>
        </w:tc>
      </w:tr>
      <w:tr w:rsidR="0087601C" w:rsidRPr="006A1EC7" w14:paraId="3FCE7C46" w14:textId="77777777" w:rsidTr="00D56051">
        <w:tc>
          <w:tcPr>
            <w:tcW w:w="3397" w:type="dxa"/>
            <w:gridSpan w:val="2"/>
          </w:tcPr>
          <w:p w14:paraId="4CA15520" w14:textId="77777777" w:rsidR="0087601C" w:rsidRPr="006A1EC7" w:rsidRDefault="0087601C" w:rsidP="00D56051">
            <w:pPr>
              <w:rPr>
                <w:sz w:val="15"/>
                <w:szCs w:val="15"/>
              </w:rPr>
            </w:pPr>
            <w:r w:rsidRPr="006A1EC7">
              <w:rPr>
                <w:sz w:val="15"/>
                <w:szCs w:val="15"/>
              </w:rPr>
              <w:t>Unable to walk, patient entirely reliant on wheelchair/</w:t>
            </w:r>
          </w:p>
        </w:tc>
        <w:tc>
          <w:tcPr>
            <w:tcW w:w="1560" w:type="dxa"/>
          </w:tcPr>
          <w:p w14:paraId="644B8231" w14:textId="77777777" w:rsidR="0087601C" w:rsidRPr="006A1EC7" w:rsidRDefault="0087601C" w:rsidP="00D56051">
            <w:pPr>
              <w:rPr>
                <w:sz w:val="15"/>
                <w:szCs w:val="15"/>
              </w:rPr>
            </w:pPr>
            <w:r w:rsidRPr="006A1EC7">
              <w:rPr>
                <w:sz w:val="15"/>
                <w:szCs w:val="15"/>
              </w:rPr>
              <w:t>4</w:t>
            </w:r>
          </w:p>
        </w:tc>
      </w:tr>
      <w:tr w:rsidR="0087601C" w:rsidRPr="006A1EC7" w14:paraId="1DA702E5" w14:textId="77777777" w:rsidTr="00D56051">
        <w:tc>
          <w:tcPr>
            <w:tcW w:w="3397" w:type="dxa"/>
            <w:gridSpan w:val="2"/>
          </w:tcPr>
          <w:p w14:paraId="6F826789" w14:textId="77777777" w:rsidR="0087601C" w:rsidRPr="006A1EC7" w:rsidRDefault="0087601C" w:rsidP="00D56051">
            <w:pPr>
              <w:rPr>
                <w:sz w:val="15"/>
                <w:szCs w:val="15"/>
              </w:rPr>
            </w:pPr>
            <w:r w:rsidRPr="006A1EC7">
              <w:rPr>
                <w:sz w:val="15"/>
                <w:szCs w:val="15"/>
              </w:rPr>
              <w:t>Patient can walk very short distances with caregiver support</w:t>
            </w:r>
          </w:p>
        </w:tc>
        <w:tc>
          <w:tcPr>
            <w:tcW w:w="1560" w:type="dxa"/>
          </w:tcPr>
          <w:p w14:paraId="78CAF85D" w14:textId="77777777" w:rsidR="0087601C" w:rsidRPr="006A1EC7" w:rsidRDefault="0087601C" w:rsidP="00D56051">
            <w:pPr>
              <w:rPr>
                <w:sz w:val="15"/>
                <w:szCs w:val="15"/>
              </w:rPr>
            </w:pPr>
            <w:r w:rsidRPr="006A1EC7">
              <w:rPr>
                <w:sz w:val="15"/>
                <w:szCs w:val="15"/>
              </w:rPr>
              <w:t>3</w:t>
            </w:r>
          </w:p>
        </w:tc>
      </w:tr>
      <w:tr w:rsidR="0087601C" w:rsidRPr="006A1EC7" w14:paraId="683627A4" w14:textId="77777777" w:rsidTr="00D56051">
        <w:tc>
          <w:tcPr>
            <w:tcW w:w="3397" w:type="dxa"/>
            <w:gridSpan w:val="2"/>
          </w:tcPr>
          <w:p w14:paraId="2B26CF74" w14:textId="77777777" w:rsidR="0087601C" w:rsidRPr="006A1EC7" w:rsidRDefault="0087601C" w:rsidP="00D56051">
            <w:pPr>
              <w:rPr>
                <w:sz w:val="15"/>
                <w:szCs w:val="15"/>
              </w:rPr>
            </w:pPr>
            <w:r w:rsidRPr="006A1EC7">
              <w:rPr>
                <w:sz w:val="15"/>
                <w:szCs w:val="15"/>
              </w:rPr>
              <w:t>Patient can walk short distances, aided with walking frame or similar</w:t>
            </w:r>
          </w:p>
        </w:tc>
        <w:tc>
          <w:tcPr>
            <w:tcW w:w="1560" w:type="dxa"/>
          </w:tcPr>
          <w:p w14:paraId="0AF15AD4" w14:textId="77777777" w:rsidR="0087601C" w:rsidRPr="006A1EC7" w:rsidRDefault="0087601C" w:rsidP="00D56051">
            <w:pPr>
              <w:rPr>
                <w:sz w:val="15"/>
                <w:szCs w:val="15"/>
              </w:rPr>
            </w:pPr>
            <w:r w:rsidRPr="006A1EC7">
              <w:rPr>
                <w:sz w:val="15"/>
                <w:szCs w:val="15"/>
              </w:rPr>
              <w:t>2</w:t>
            </w:r>
          </w:p>
        </w:tc>
      </w:tr>
      <w:tr w:rsidR="0087601C" w:rsidRPr="006A1EC7" w14:paraId="20F4985C" w14:textId="77777777" w:rsidTr="00D56051">
        <w:tc>
          <w:tcPr>
            <w:tcW w:w="3397" w:type="dxa"/>
            <w:gridSpan w:val="2"/>
          </w:tcPr>
          <w:p w14:paraId="009BBA5D" w14:textId="77777777" w:rsidR="0087601C" w:rsidRPr="006A1EC7" w:rsidRDefault="0087601C" w:rsidP="00D56051">
            <w:pPr>
              <w:rPr>
                <w:sz w:val="15"/>
                <w:szCs w:val="15"/>
              </w:rPr>
            </w:pPr>
            <w:r w:rsidRPr="006A1EC7">
              <w:rPr>
                <w:sz w:val="15"/>
                <w:szCs w:val="15"/>
              </w:rPr>
              <w:t>Patient can walk short distances unaided, needs intervention for longer distances</w:t>
            </w:r>
          </w:p>
        </w:tc>
        <w:tc>
          <w:tcPr>
            <w:tcW w:w="1560" w:type="dxa"/>
          </w:tcPr>
          <w:p w14:paraId="714937F5" w14:textId="77777777" w:rsidR="0087601C" w:rsidRPr="006A1EC7" w:rsidRDefault="0087601C" w:rsidP="00D56051">
            <w:pPr>
              <w:rPr>
                <w:sz w:val="15"/>
                <w:szCs w:val="15"/>
              </w:rPr>
            </w:pPr>
            <w:r w:rsidRPr="006A1EC7">
              <w:rPr>
                <w:sz w:val="15"/>
                <w:szCs w:val="15"/>
              </w:rPr>
              <w:t>1</w:t>
            </w:r>
          </w:p>
        </w:tc>
      </w:tr>
      <w:tr w:rsidR="0087601C" w:rsidRPr="006A1EC7" w14:paraId="6860BBD7" w14:textId="77777777" w:rsidTr="00D56051">
        <w:tc>
          <w:tcPr>
            <w:tcW w:w="3397" w:type="dxa"/>
            <w:gridSpan w:val="2"/>
          </w:tcPr>
          <w:p w14:paraId="6285C515" w14:textId="77777777" w:rsidR="0087601C" w:rsidRPr="006A1EC7" w:rsidRDefault="0087601C" w:rsidP="00D56051">
            <w:pPr>
              <w:rPr>
                <w:sz w:val="15"/>
                <w:szCs w:val="15"/>
              </w:rPr>
            </w:pPr>
            <w:r w:rsidRPr="006A1EC7">
              <w:rPr>
                <w:sz w:val="15"/>
                <w:szCs w:val="15"/>
              </w:rPr>
              <w:t>Can walk unaided at all times</w:t>
            </w:r>
          </w:p>
        </w:tc>
        <w:tc>
          <w:tcPr>
            <w:tcW w:w="1560" w:type="dxa"/>
          </w:tcPr>
          <w:p w14:paraId="40E6914B" w14:textId="77777777" w:rsidR="0087601C" w:rsidRPr="006A1EC7" w:rsidRDefault="0087601C" w:rsidP="00D56051">
            <w:pPr>
              <w:rPr>
                <w:sz w:val="15"/>
                <w:szCs w:val="15"/>
              </w:rPr>
            </w:pPr>
            <w:r w:rsidRPr="006A1EC7">
              <w:rPr>
                <w:sz w:val="15"/>
                <w:szCs w:val="15"/>
              </w:rPr>
              <w:t>0</w:t>
            </w:r>
          </w:p>
        </w:tc>
      </w:tr>
    </w:tbl>
    <w:p w14:paraId="62131FE3" w14:textId="77777777" w:rsidR="0087601C" w:rsidRPr="006A1EC7" w:rsidRDefault="0087601C" w:rsidP="0087601C">
      <w:pPr>
        <w:rPr>
          <w:sz w:val="15"/>
          <w:szCs w:val="15"/>
        </w:rPr>
      </w:pPr>
    </w:p>
    <w:p w14:paraId="12BB402D" w14:textId="77777777" w:rsidR="0087601C" w:rsidRPr="006A1EC7" w:rsidRDefault="0087601C" w:rsidP="0087601C">
      <w:pPr>
        <w:ind w:firstLine="720"/>
        <w:rPr>
          <w:b/>
          <w:bCs/>
          <w:sz w:val="15"/>
          <w:szCs w:val="15"/>
        </w:rPr>
      </w:pPr>
      <w:r w:rsidRPr="006A1EC7">
        <w:rPr>
          <w:b/>
          <w:bCs/>
          <w:sz w:val="15"/>
          <w:szCs w:val="15"/>
        </w:rPr>
        <w:t>Part 5: Skeletal abnormalities</w:t>
      </w:r>
    </w:p>
    <w:p w14:paraId="3499C9BA"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1613E881" w14:textId="77777777" w:rsidTr="00D56051">
        <w:tc>
          <w:tcPr>
            <w:tcW w:w="640" w:type="dxa"/>
          </w:tcPr>
          <w:p w14:paraId="0ADCB413" w14:textId="77777777" w:rsidR="0087601C" w:rsidRPr="006A1EC7" w:rsidRDefault="0087601C" w:rsidP="00D56051">
            <w:pPr>
              <w:rPr>
                <w:sz w:val="15"/>
                <w:szCs w:val="15"/>
              </w:rPr>
            </w:pPr>
            <w:r w:rsidRPr="006A1EC7">
              <w:rPr>
                <w:sz w:val="15"/>
                <w:szCs w:val="15"/>
              </w:rPr>
              <w:t>5K.1</w:t>
            </w:r>
          </w:p>
        </w:tc>
        <w:tc>
          <w:tcPr>
            <w:tcW w:w="2757" w:type="dxa"/>
          </w:tcPr>
          <w:p w14:paraId="4FF4E5AA" w14:textId="77777777" w:rsidR="0087601C" w:rsidRPr="006A1EC7" w:rsidRDefault="0087601C" w:rsidP="00D56051">
            <w:pPr>
              <w:rPr>
                <w:sz w:val="15"/>
                <w:szCs w:val="15"/>
              </w:rPr>
            </w:pPr>
            <w:r w:rsidRPr="006A1EC7">
              <w:rPr>
                <w:sz w:val="15"/>
                <w:szCs w:val="15"/>
              </w:rPr>
              <w:t>Does the patient have talipes/ clubfoot?</w:t>
            </w:r>
          </w:p>
          <w:p w14:paraId="011B7D68" w14:textId="77777777" w:rsidR="0087601C" w:rsidRPr="006A1EC7" w:rsidRDefault="0087601C" w:rsidP="00D56051">
            <w:pPr>
              <w:rPr>
                <w:sz w:val="15"/>
                <w:szCs w:val="15"/>
              </w:rPr>
            </w:pPr>
          </w:p>
        </w:tc>
        <w:tc>
          <w:tcPr>
            <w:tcW w:w="1560" w:type="dxa"/>
          </w:tcPr>
          <w:p w14:paraId="16A6BFAC" w14:textId="77777777" w:rsidR="0087601C" w:rsidRPr="006A1EC7" w:rsidRDefault="0087601C" w:rsidP="00D56051">
            <w:pPr>
              <w:rPr>
                <w:sz w:val="15"/>
                <w:szCs w:val="15"/>
              </w:rPr>
            </w:pPr>
          </w:p>
        </w:tc>
      </w:tr>
      <w:tr w:rsidR="0087601C" w:rsidRPr="006A1EC7" w14:paraId="0B1379DA" w14:textId="77777777" w:rsidTr="00D56051">
        <w:tc>
          <w:tcPr>
            <w:tcW w:w="3397" w:type="dxa"/>
            <w:gridSpan w:val="2"/>
          </w:tcPr>
          <w:p w14:paraId="14CB52A1" w14:textId="77777777" w:rsidR="0087601C" w:rsidRPr="006A1EC7" w:rsidRDefault="0087601C" w:rsidP="00D56051">
            <w:pPr>
              <w:rPr>
                <w:sz w:val="15"/>
                <w:szCs w:val="15"/>
              </w:rPr>
            </w:pPr>
            <w:r w:rsidRPr="006A1EC7">
              <w:rPr>
                <w:sz w:val="15"/>
                <w:szCs w:val="15"/>
              </w:rPr>
              <w:t>Yes</w:t>
            </w:r>
          </w:p>
        </w:tc>
        <w:tc>
          <w:tcPr>
            <w:tcW w:w="1560" w:type="dxa"/>
          </w:tcPr>
          <w:p w14:paraId="572D9755" w14:textId="77777777" w:rsidR="0087601C" w:rsidRPr="006A1EC7" w:rsidRDefault="0087601C" w:rsidP="00D56051">
            <w:pPr>
              <w:rPr>
                <w:sz w:val="15"/>
                <w:szCs w:val="15"/>
              </w:rPr>
            </w:pPr>
            <w:r w:rsidRPr="006A1EC7">
              <w:rPr>
                <w:sz w:val="15"/>
                <w:szCs w:val="15"/>
              </w:rPr>
              <w:t>1</w:t>
            </w:r>
          </w:p>
        </w:tc>
      </w:tr>
      <w:tr w:rsidR="0087601C" w:rsidRPr="006A1EC7" w14:paraId="07C2FD41" w14:textId="77777777" w:rsidTr="00D56051">
        <w:tc>
          <w:tcPr>
            <w:tcW w:w="3397" w:type="dxa"/>
            <w:gridSpan w:val="2"/>
          </w:tcPr>
          <w:p w14:paraId="05365373" w14:textId="77777777" w:rsidR="0087601C" w:rsidRPr="006A1EC7" w:rsidRDefault="0087601C" w:rsidP="00D56051">
            <w:pPr>
              <w:rPr>
                <w:color w:val="000000" w:themeColor="text1"/>
                <w:sz w:val="15"/>
                <w:szCs w:val="15"/>
              </w:rPr>
            </w:pPr>
            <w:r w:rsidRPr="006A1EC7">
              <w:rPr>
                <w:color w:val="000000" w:themeColor="text1"/>
                <w:sz w:val="15"/>
                <w:szCs w:val="15"/>
              </w:rPr>
              <w:t>No</w:t>
            </w:r>
          </w:p>
        </w:tc>
        <w:tc>
          <w:tcPr>
            <w:tcW w:w="1560" w:type="dxa"/>
          </w:tcPr>
          <w:p w14:paraId="102C1F8C" w14:textId="77777777" w:rsidR="0087601C" w:rsidRPr="006A1EC7" w:rsidRDefault="0087601C" w:rsidP="00D56051">
            <w:pPr>
              <w:rPr>
                <w:color w:val="000000" w:themeColor="text1"/>
                <w:sz w:val="15"/>
                <w:szCs w:val="15"/>
              </w:rPr>
            </w:pPr>
            <w:r w:rsidRPr="006A1EC7">
              <w:rPr>
                <w:color w:val="000000" w:themeColor="text1"/>
                <w:sz w:val="15"/>
                <w:szCs w:val="15"/>
              </w:rPr>
              <w:t>0</w:t>
            </w:r>
          </w:p>
        </w:tc>
      </w:tr>
    </w:tbl>
    <w:p w14:paraId="5E7A4D5A"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2D83D234" w14:textId="77777777" w:rsidTr="00D56051">
        <w:tc>
          <w:tcPr>
            <w:tcW w:w="640" w:type="dxa"/>
          </w:tcPr>
          <w:p w14:paraId="14F64C04" w14:textId="77777777" w:rsidR="0087601C" w:rsidRPr="006A1EC7" w:rsidRDefault="0087601C" w:rsidP="00D56051">
            <w:pPr>
              <w:rPr>
                <w:sz w:val="15"/>
                <w:szCs w:val="15"/>
              </w:rPr>
            </w:pPr>
            <w:r w:rsidRPr="006A1EC7">
              <w:rPr>
                <w:sz w:val="15"/>
                <w:szCs w:val="15"/>
              </w:rPr>
              <w:t>5K.2</w:t>
            </w:r>
          </w:p>
        </w:tc>
        <w:tc>
          <w:tcPr>
            <w:tcW w:w="2757" w:type="dxa"/>
          </w:tcPr>
          <w:p w14:paraId="47CEF285" w14:textId="77777777" w:rsidR="0087601C" w:rsidRPr="006A1EC7" w:rsidRDefault="0087601C" w:rsidP="00D56051">
            <w:pPr>
              <w:rPr>
                <w:sz w:val="15"/>
                <w:szCs w:val="15"/>
              </w:rPr>
            </w:pPr>
            <w:r w:rsidRPr="006A1EC7">
              <w:rPr>
                <w:sz w:val="15"/>
                <w:szCs w:val="15"/>
              </w:rPr>
              <w:t>Was Surgery required for talipes/ clubfoot?</w:t>
            </w:r>
          </w:p>
          <w:p w14:paraId="693AB394" w14:textId="77777777" w:rsidR="0087601C" w:rsidRPr="006A1EC7" w:rsidRDefault="0087601C" w:rsidP="00D56051">
            <w:pPr>
              <w:rPr>
                <w:sz w:val="15"/>
                <w:szCs w:val="15"/>
              </w:rPr>
            </w:pPr>
          </w:p>
        </w:tc>
        <w:tc>
          <w:tcPr>
            <w:tcW w:w="1560" w:type="dxa"/>
          </w:tcPr>
          <w:p w14:paraId="0C0817C0" w14:textId="77777777" w:rsidR="0087601C" w:rsidRPr="006A1EC7" w:rsidRDefault="0087601C" w:rsidP="00D56051">
            <w:pPr>
              <w:rPr>
                <w:sz w:val="15"/>
                <w:szCs w:val="15"/>
              </w:rPr>
            </w:pPr>
          </w:p>
        </w:tc>
      </w:tr>
      <w:tr w:rsidR="0087601C" w:rsidRPr="006A1EC7" w14:paraId="024F3B43" w14:textId="77777777" w:rsidTr="00D56051">
        <w:tc>
          <w:tcPr>
            <w:tcW w:w="3397" w:type="dxa"/>
            <w:gridSpan w:val="2"/>
          </w:tcPr>
          <w:p w14:paraId="3523EA3C" w14:textId="77777777" w:rsidR="0087601C" w:rsidRPr="006A1EC7" w:rsidRDefault="0087601C" w:rsidP="00D56051">
            <w:pPr>
              <w:rPr>
                <w:sz w:val="15"/>
                <w:szCs w:val="15"/>
              </w:rPr>
            </w:pPr>
            <w:r w:rsidRPr="006A1EC7">
              <w:rPr>
                <w:sz w:val="15"/>
                <w:szCs w:val="15"/>
              </w:rPr>
              <w:t>Yes</w:t>
            </w:r>
          </w:p>
        </w:tc>
        <w:tc>
          <w:tcPr>
            <w:tcW w:w="1560" w:type="dxa"/>
          </w:tcPr>
          <w:p w14:paraId="3DDDD55E" w14:textId="77777777" w:rsidR="0087601C" w:rsidRPr="006A1EC7" w:rsidRDefault="0087601C" w:rsidP="00D56051">
            <w:pPr>
              <w:rPr>
                <w:sz w:val="15"/>
                <w:szCs w:val="15"/>
              </w:rPr>
            </w:pPr>
            <w:r w:rsidRPr="006A1EC7">
              <w:rPr>
                <w:sz w:val="15"/>
                <w:szCs w:val="15"/>
              </w:rPr>
              <w:t>1</w:t>
            </w:r>
          </w:p>
        </w:tc>
      </w:tr>
      <w:tr w:rsidR="0087601C" w:rsidRPr="006A1EC7" w14:paraId="3913B4BE" w14:textId="77777777" w:rsidTr="00D56051">
        <w:tc>
          <w:tcPr>
            <w:tcW w:w="3397" w:type="dxa"/>
            <w:gridSpan w:val="2"/>
          </w:tcPr>
          <w:p w14:paraId="34A13116" w14:textId="77777777" w:rsidR="0087601C" w:rsidRPr="006A1EC7" w:rsidRDefault="0087601C" w:rsidP="00D56051">
            <w:pPr>
              <w:rPr>
                <w:color w:val="000000" w:themeColor="text1"/>
                <w:sz w:val="15"/>
                <w:szCs w:val="15"/>
              </w:rPr>
            </w:pPr>
            <w:r w:rsidRPr="006A1EC7">
              <w:rPr>
                <w:color w:val="000000" w:themeColor="text1"/>
                <w:sz w:val="15"/>
                <w:szCs w:val="15"/>
              </w:rPr>
              <w:t>No</w:t>
            </w:r>
          </w:p>
        </w:tc>
        <w:tc>
          <w:tcPr>
            <w:tcW w:w="1560" w:type="dxa"/>
          </w:tcPr>
          <w:p w14:paraId="26E4F83B" w14:textId="77777777" w:rsidR="0087601C" w:rsidRPr="006A1EC7" w:rsidRDefault="0087601C" w:rsidP="00D56051">
            <w:pPr>
              <w:rPr>
                <w:color w:val="000000" w:themeColor="text1"/>
                <w:sz w:val="15"/>
                <w:szCs w:val="15"/>
              </w:rPr>
            </w:pPr>
            <w:r w:rsidRPr="006A1EC7">
              <w:rPr>
                <w:color w:val="000000" w:themeColor="text1"/>
                <w:sz w:val="15"/>
                <w:szCs w:val="15"/>
              </w:rPr>
              <w:t>0</w:t>
            </w:r>
          </w:p>
        </w:tc>
      </w:tr>
    </w:tbl>
    <w:p w14:paraId="4409B789"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6F72E5C2" w14:textId="77777777" w:rsidTr="00D56051">
        <w:tc>
          <w:tcPr>
            <w:tcW w:w="640" w:type="dxa"/>
          </w:tcPr>
          <w:p w14:paraId="43D2ECCB" w14:textId="77777777" w:rsidR="0087601C" w:rsidRPr="006A1EC7" w:rsidRDefault="0087601C" w:rsidP="00D56051">
            <w:pPr>
              <w:rPr>
                <w:sz w:val="15"/>
                <w:szCs w:val="15"/>
              </w:rPr>
            </w:pPr>
            <w:r w:rsidRPr="006A1EC7">
              <w:rPr>
                <w:sz w:val="15"/>
                <w:szCs w:val="15"/>
              </w:rPr>
              <w:t>5I.1</w:t>
            </w:r>
          </w:p>
        </w:tc>
        <w:tc>
          <w:tcPr>
            <w:tcW w:w="2757" w:type="dxa"/>
          </w:tcPr>
          <w:p w14:paraId="0DD3026A" w14:textId="77777777" w:rsidR="0087601C" w:rsidRPr="006A1EC7" w:rsidRDefault="0087601C" w:rsidP="00D56051">
            <w:pPr>
              <w:rPr>
                <w:sz w:val="15"/>
                <w:szCs w:val="15"/>
              </w:rPr>
            </w:pPr>
            <w:r w:rsidRPr="006A1EC7">
              <w:rPr>
                <w:sz w:val="15"/>
                <w:szCs w:val="15"/>
              </w:rPr>
              <w:t>Has the patient been diagnosed with Scoliosis?</w:t>
            </w:r>
          </w:p>
          <w:p w14:paraId="731047BD" w14:textId="77777777" w:rsidR="0087601C" w:rsidRPr="006A1EC7" w:rsidRDefault="0087601C" w:rsidP="00D56051">
            <w:pPr>
              <w:rPr>
                <w:sz w:val="15"/>
                <w:szCs w:val="15"/>
              </w:rPr>
            </w:pPr>
          </w:p>
        </w:tc>
        <w:tc>
          <w:tcPr>
            <w:tcW w:w="1560" w:type="dxa"/>
          </w:tcPr>
          <w:p w14:paraId="529D1672" w14:textId="77777777" w:rsidR="0087601C" w:rsidRPr="006A1EC7" w:rsidRDefault="0087601C" w:rsidP="00D56051">
            <w:pPr>
              <w:rPr>
                <w:sz w:val="15"/>
                <w:szCs w:val="15"/>
              </w:rPr>
            </w:pPr>
          </w:p>
        </w:tc>
      </w:tr>
      <w:tr w:rsidR="0087601C" w:rsidRPr="006A1EC7" w14:paraId="1B901156" w14:textId="77777777" w:rsidTr="00D56051">
        <w:tc>
          <w:tcPr>
            <w:tcW w:w="3397" w:type="dxa"/>
            <w:gridSpan w:val="2"/>
          </w:tcPr>
          <w:p w14:paraId="25E53538" w14:textId="77777777" w:rsidR="0087601C" w:rsidRPr="006A1EC7" w:rsidRDefault="0087601C" w:rsidP="00D56051">
            <w:pPr>
              <w:rPr>
                <w:sz w:val="15"/>
                <w:szCs w:val="15"/>
              </w:rPr>
            </w:pPr>
            <w:r w:rsidRPr="006A1EC7">
              <w:rPr>
                <w:sz w:val="15"/>
                <w:szCs w:val="15"/>
              </w:rPr>
              <w:t>Yes</w:t>
            </w:r>
          </w:p>
        </w:tc>
        <w:tc>
          <w:tcPr>
            <w:tcW w:w="1560" w:type="dxa"/>
          </w:tcPr>
          <w:p w14:paraId="653774FE" w14:textId="77777777" w:rsidR="0087601C" w:rsidRPr="006A1EC7" w:rsidRDefault="0087601C" w:rsidP="00D56051">
            <w:pPr>
              <w:rPr>
                <w:sz w:val="15"/>
                <w:szCs w:val="15"/>
              </w:rPr>
            </w:pPr>
            <w:r w:rsidRPr="006A1EC7">
              <w:rPr>
                <w:sz w:val="15"/>
                <w:szCs w:val="15"/>
              </w:rPr>
              <w:t>1</w:t>
            </w:r>
          </w:p>
        </w:tc>
      </w:tr>
      <w:tr w:rsidR="0087601C" w:rsidRPr="006A1EC7" w14:paraId="76BCA2E2" w14:textId="77777777" w:rsidTr="00D56051">
        <w:tc>
          <w:tcPr>
            <w:tcW w:w="3397" w:type="dxa"/>
            <w:gridSpan w:val="2"/>
          </w:tcPr>
          <w:p w14:paraId="00F5DAA6" w14:textId="77777777" w:rsidR="0087601C" w:rsidRPr="006A1EC7" w:rsidRDefault="0087601C" w:rsidP="00D56051">
            <w:pPr>
              <w:rPr>
                <w:color w:val="000000" w:themeColor="text1"/>
                <w:sz w:val="15"/>
                <w:szCs w:val="15"/>
              </w:rPr>
            </w:pPr>
            <w:r w:rsidRPr="006A1EC7">
              <w:rPr>
                <w:color w:val="000000" w:themeColor="text1"/>
                <w:sz w:val="15"/>
                <w:szCs w:val="15"/>
              </w:rPr>
              <w:t>No</w:t>
            </w:r>
          </w:p>
        </w:tc>
        <w:tc>
          <w:tcPr>
            <w:tcW w:w="1560" w:type="dxa"/>
          </w:tcPr>
          <w:p w14:paraId="72D1D3F0" w14:textId="77777777" w:rsidR="0087601C" w:rsidRPr="006A1EC7" w:rsidRDefault="0087601C" w:rsidP="00D56051">
            <w:pPr>
              <w:rPr>
                <w:color w:val="000000" w:themeColor="text1"/>
                <w:sz w:val="15"/>
                <w:szCs w:val="15"/>
              </w:rPr>
            </w:pPr>
            <w:r w:rsidRPr="006A1EC7">
              <w:rPr>
                <w:color w:val="000000" w:themeColor="text1"/>
                <w:sz w:val="15"/>
                <w:szCs w:val="15"/>
              </w:rPr>
              <w:t>0</w:t>
            </w:r>
          </w:p>
        </w:tc>
      </w:tr>
    </w:tbl>
    <w:p w14:paraId="3DC1B7DB"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344C2326" w14:textId="77777777" w:rsidTr="00D56051">
        <w:trPr>
          <w:trHeight w:val="386"/>
        </w:trPr>
        <w:tc>
          <w:tcPr>
            <w:tcW w:w="640" w:type="dxa"/>
          </w:tcPr>
          <w:p w14:paraId="4BB71ADC" w14:textId="77777777" w:rsidR="0087601C" w:rsidRPr="006A1EC7" w:rsidRDefault="0087601C" w:rsidP="00D56051">
            <w:pPr>
              <w:rPr>
                <w:sz w:val="15"/>
                <w:szCs w:val="15"/>
              </w:rPr>
            </w:pPr>
            <w:r w:rsidRPr="006A1EC7">
              <w:rPr>
                <w:sz w:val="15"/>
                <w:szCs w:val="15"/>
              </w:rPr>
              <w:t>5I.2</w:t>
            </w:r>
          </w:p>
        </w:tc>
        <w:tc>
          <w:tcPr>
            <w:tcW w:w="2757" w:type="dxa"/>
          </w:tcPr>
          <w:p w14:paraId="4A8E3CA4" w14:textId="77777777" w:rsidR="0087601C" w:rsidRPr="006A1EC7" w:rsidRDefault="0087601C" w:rsidP="00D56051">
            <w:pPr>
              <w:rPr>
                <w:sz w:val="15"/>
                <w:szCs w:val="15"/>
              </w:rPr>
            </w:pPr>
            <w:r w:rsidRPr="006A1EC7">
              <w:rPr>
                <w:sz w:val="15"/>
                <w:szCs w:val="15"/>
              </w:rPr>
              <w:t>If yes, was surgery required for scoliosis?</w:t>
            </w:r>
          </w:p>
          <w:p w14:paraId="4DB94DCC" w14:textId="77777777" w:rsidR="0087601C" w:rsidRPr="006A1EC7" w:rsidRDefault="0087601C" w:rsidP="00D56051">
            <w:pPr>
              <w:rPr>
                <w:sz w:val="15"/>
                <w:szCs w:val="15"/>
              </w:rPr>
            </w:pPr>
          </w:p>
        </w:tc>
        <w:tc>
          <w:tcPr>
            <w:tcW w:w="1560" w:type="dxa"/>
          </w:tcPr>
          <w:p w14:paraId="58EA6C5D" w14:textId="77777777" w:rsidR="0087601C" w:rsidRPr="006A1EC7" w:rsidRDefault="0087601C" w:rsidP="00D56051">
            <w:pPr>
              <w:rPr>
                <w:sz w:val="15"/>
                <w:szCs w:val="15"/>
              </w:rPr>
            </w:pPr>
          </w:p>
        </w:tc>
      </w:tr>
      <w:tr w:rsidR="0087601C" w:rsidRPr="006A1EC7" w14:paraId="7661C79D" w14:textId="77777777" w:rsidTr="00D56051">
        <w:tc>
          <w:tcPr>
            <w:tcW w:w="3397" w:type="dxa"/>
            <w:gridSpan w:val="2"/>
          </w:tcPr>
          <w:p w14:paraId="67ED29D7" w14:textId="77777777" w:rsidR="0087601C" w:rsidRPr="006A1EC7" w:rsidRDefault="0087601C" w:rsidP="00D56051">
            <w:pPr>
              <w:rPr>
                <w:sz w:val="15"/>
                <w:szCs w:val="15"/>
              </w:rPr>
            </w:pPr>
            <w:r w:rsidRPr="006A1EC7">
              <w:rPr>
                <w:sz w:val="15"/>
                <w:szCs w:val="15"/>
              </w:rPr>
              <w:t>Yes</w:t>
            </w:r>
          </w:p>
        </w:tc>
        <w:tc>
          <w:tcPr>
            <w:tcW w:w="1560" w:type="dxa"/>
          </w:tcPr>
          <w:p w14:paraId="106B106C" w14:textId="77777777" w:rsidR="0087601C" w:rsidRPr="006A1EC7" w:rsidRDefault="0087601C" w:rsidP="00D56051">
            <w:pPr>
              <w:rPr>
                <w:sz w:val="15"/>
                <w:szCs w:val="15"/>
              </w:rPr>
            </w:pPr>
            <w:r w:rsidRPr="006A1EC7">
              <w:rPr>
                <w:sz w:val="15"/>
                <w:szCs w:val="15"/>
              </w:rPr>
              <w:t>1</w:t>
            </w:r>
          </w:p>
        </w:tc>
      </w:tr>
      <w:tr w:rsidR="0087601C" w:rsidRPr="006A1EC7" w14:paraId="65E43198" w14:textId="77777777" w:rsidTr="00D56051">
        <w:tc>
          <w:tcPr>
            <w:tcW w:w="3397" w:type="dxa"/>
            <w:gridSpan w:val="2"/>
          </w:tcPr>
          <w:p w14:paraId="2033BDB6" w14:textId="77777777" w:rsidR="0087601C" w:rsidRPr="006A1EC7" w:rsidRDefault="0087601C" w:rsidP="00D56051">
            <w:pPr>
              <w:rPr>
                <w:sz w:val="15"/>
                <w:szCs w:val="15"/>
              </w:rPr>
            </w:pPr>
            <w:r w:rsidRPr="006A1EC7">
              <w:rPr>
                <w:sz w:val="15"/>
                <w:szCs w:val="15"/>
              </w:rPr>
              <w:t>No</w:t>
            </w:r>
          </w:p>
        </w:tc>
        <w:tc>
          <w:tcPr>
            <w:tcW w:w="1560" w:type="dxa"/>
          </w:tcPr>
          <w:p w14:paraId="7C01A357" w14:textId="77777777" w:rsidR="0087601C" w:rsidRPr="006A1EC7" w:rsidRDefault="0087601C" w:rsidP="00D56051">
            <w:pPr>
              <w:rPr>
                <w:sz w:val="15"/>
                <w:szCs w:val="15"/>
              </w:rPr>
            </w:pPr>
            <w:r w:rsidRPr="006A1EC7">
              <w:rPr>
                <w:sz w:val="15"/>
                <w:szCs w:val="15"/>
              </w:rPr>
              <w:t>0</w:t>
            </w:r>
          </w:p>
        </w:tc>
      </w:tr>
    </w:tbl>
    <w:p w14:paraId="7E4F911F"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3397"/>
        <w:gridCol w:w="1560"/>
      </w:tblGrid>
      <w:tr w:rsidR="0087601C" w:rsidRPr="006A1EC7" w14:paraId="606BBE6A" w14:textId="77777777" w:rsidTr="00D56051">
        <w:tc>
          <w:tcPr>
            <w:tcW w:w="3397" w:type="dxa"/>
          </w:tcPr>
          <w:p w14:paraId="4D7F4A99" w14:textId="77777777" w:rsidR="0087601C" w:rsidRPr="006A1EC7" w:rsidRDefault="0087601C" w:rsidP="00D56051">
            <w:pPr>
              <w:rPr>
                <w:color w:val="000000" w:themeColor="text1"/>
                <w:sz w:val="15"/>
                <w:szCs w:val="15"/>
              </w:rPr>
            </w:pPr>
            <w:r w:rsidRPr="006A1EC7">
              <w:rPr>
                <w:color w:val="000000" w:themeColor="text1"/>
                <w:sz w:val="15"/>
                <w:szCs w:val="15"/>
              </w:rPr>
              <w:t>Part 1: Eyes &amp; vision</w:t>
            </w:r>
          </w:p>
          <w:p w14:paraId="275D9EA2" w14:textId="77777777" w:rsidR="0087601C" w:rsidRPr="006A1EC7" w:rsidRDefault="0087601C" w:rsidP="00D56051">
            <w:pPr>
              <w:rPr>
                <w:color w:val="000000" w:themeColor="text1"/>
                <w:sz w:val="15"/>
                <w:szCs w:val="15"/>
              </w:rPr>
            </w:pPr>
            <w:r w:rsidRPr="006A1EC7">
              <w:rPr>
                <w:color w:val="000000" w:themeColor="text1"/>
                <w:sz w:val="15"/>
                <w:szCs w:val="15"/>
              </w:rPr>
              <w:t>(Maximum points 4)</w:t>
            </w:r>
          </w:p>
        </w:tc>
        <w:tc>
          <w:tcPr>
            <w:tcW w:w="1560" w:type="dxa"/>
          </w:tcPr>
          <w:p w14:paraId="4D9B7887" w14:textId="77777777" w:rsidR="0087601C" w:rsidRPr="006A1EC7" w:rsidRDefault="0087601C" w:rsidP="00D56051">
            <w:pPr>
              <w:rPr>
                <w:color w:val="000000" w:themeColor="text1"/>
                <w:sz w:val="15"/>
                <w:szCs w:val="15"/>
              </w:rPr>
            </w:pPr>
          </w:p>
        </w:tc>
      </w:tr>
      <w:tr w:rsidR="0087601C" w:rsidRPr="006A1EC7" w14:paraId="77103D8C" w14:textId="77777777" w:rsidTr="00D56051">
        <w:tc>
          <w:tcPr>
            <w:tcW w:w="3397" w:type="dxa"/>
          </w:tcPr>
          <w:p w14:paraId="2074CD83" w14:textId="77777777" w:rsidR="0087601C" w:rsidRPr="006A1EC7" w:rsidRDefault="0087601C" w:rsidP="00D56051">
            <w:pPr>
              <w:rPr>
                <w:color w:val="000000" w:themeColor="text1"/>
                <w:sz w:val="15"/>
                <w:szCs w:val="15"/>
              </w:rPr>
            </w:pPr>
            <w:r w:rsidRPr="006A1EC7">
              <w:rPr>
                <w:color w:val="000000" w:themeColor="text1"/>
                <w:sz w:val="15"/>
                <w:szCs w:val="15"/>
              </w:rPr>
              <w:t>Part 2: Hearing/ENT</w:t>
            </w:r>
          </w:p>
          <w:p w14:paraId="3BFCEEBC" w14:textId="77777777" w:rsidR="0087601C" w:rsidRPr="006A1EC7" w:rsidRDefault="0087601C" w:rsidP="00D56051">
            <w:pPr>
              <w:rPr>
                <w:color w:val="000000" w:themeColor="text1"/>
                <w:sz w:val="15"/>
                <w:szCs w:val="15"/>
              </w:rPr>
            </w:pPr>
            <w:r w:rsidRPr="006A1EC7">
              <w:rPr>
                <w:color w:val="000000" w:themeColor="text1"/>
                <w:sz w:val="15"/>
                <w:szCs w:val="15"/>
              </w:rPr>
              <w:t>(Maximum points 6)</w:t>
            </w:r>
          </w:p>
        </w:tc>
        <w:tc>
          <w:tcPr>
            <w:tcW w:w="1560" w:type="dxa"/>
          </w:tcPr>
          <w:p w14:paraId="715F7B75" w14:textId="77777777" w:rsidR="0087601C" w:rsidRPr="006A1EC7" w:rsidRDefault="0087601C" w:rsidP="00D56051">
            <w:pPr>
              <w:rPr>
                <w:color w:val="000000" w:themeColor="text1"/>
                <w:sz w:val="15"/>
                <w:szCs w:val="15"/>
              </w:rPr>
            </w:pPr>
          </w:p>
        </w:tc>
      </w:tr>
      <w:tr w:rsidR="0087601C" w:rsidRPr="006A1EC7" w14:paraId="1AAFF558" w14:textId="77777777" w:rsidTr="00D56051">
        <w:tc>
          <w:tcPr>
            <w:tcW w:w="3397" w:type="dxa"/>
          </w:tcPr>
          <w:p w14:paraId="4516226A" w14:textId="77777777" w:rsidR="0087601C" w:rsidRPr="006A1EC7" w:rsidRDefault="0087601C" w:rsidP="00D56051">
            <w:pPr>
              <w:rPr>
                <w:color w:val="000000" w:themeColor="text1"/>
                <w:sz w:val="15"/>
                <w:szCs w:val="15"/>
              </w:rPr>
            </w:pPr>
            <w:r w:rsidRPr="006A1EC7">
              <w:rPr>
                <w:color w:val="000000" w:themeColor="text1"/>
                <w:sz w:val="15"/>
                <w:szCs w:val="15"/>
              </w:rPr>
              <w:t>Part 3: Brain abnormalities</w:t>
            </w:r>
          </w:p>
          <w:p w14:paraId="7D330E67" w14:textId="77777777" w:rsidR="0087601C" w:rsidRPr="006A1EC7" w:rsidRDefault="0087601C" w:rsidP="00D56051">
            <w:pPr>
              <w:rPr>
                <w:color w:val="000000" w:themeColor="text1"/>
                <w:sz w:val="15"/>
                <w:szCs w:val="15"/>
              </w:rPr>
            </w:pPr>
            <w:r w:rsidRPr="006A1EC7">
              <w:rPr>
                <w:color w:val="000000" w:themeColor="text1"/>
                <w:sz w:val="15"/>
                <w:szCs w:val="15"/>
              </w:rPr>
              <w:t>(Maximum points 2)</w:t>
            </w:r>
          </w:p>
        </w:tc>
        <w:tc>
          <w:tcPr>
            <w:tcW w:w="1560" w:type="dxa"/>
          </w:tcPr>
          <w:p w14:paraId="2ABC73B7" w14:textId="77777777" w:rsidR="0087601C" w:rsidRPr="006A1EC7" w:rsidRDefault="0087601C" w:rsidP="00D56051">
            <w:pPr>
              <w:rPr>
                <w:color w:val="000000" w:themeColor="text1"/>
                <w:sz w:val="15"/>
                <w:szCs w:val="15"/>
              </w:rPr>
            </w:pPr>
          </w:p>
        </w:tc>
      </w:tr>
      <w:tr w:rsidR="0087601C" w:rsidRPr="006A1EC7" w14:paraId="79A0D682" w14:textId="77777777" w:rsidTr="00D56051">
        <w:tc>
          <w:tcPr>
            <w:tcW w:w="3397" w:type="dxa"/>
          </w:tcPr>
          <w:p w14:paraId="6B63FDD8" w14:textId="77777777" w:rsidR="0087601C" w:rsidRPr="006A1EC7" w:rsidRDefault="0087601C" w:rsidP="00D56051">
            <w:pPr>
              <w:rPr>
                <w:color w:val="000000" w:themeColor="text1"/>
                <w:sz w:val="15"/>
                <w:szCs w:val="15"/>
              </w:rPr>
            </w:pPr>
            <w:r w:rsidRPr="006A1EC7">
              <w:rPr>
                <w:color w:val="000000" w:themeColor="text1"/>
                <w:sz w:val="15"/>
                <w:szCs w:val="15"/>
              </w:rPr>
              <w:t>Part 4: Mobility</w:t>
            </w:r>
          </w:p>
          <w:p w14:paraId="760E2F3E" w14:textId="77777777" w:rsidR="0087601C" w:rsidRPr="006A1EC7" w:rsidRDefault="0087601C" w:rsidP="00D56051">
            <w:pPr>
              <w:rPr>
                <w:color w:val="000000" w:themeColor="text1"/>
                <w:sz w:val="15"/>
                <w:szCs w:val="15"/>
              </w:rPr>
            </w:pPr>
            <w:r w:rsidRPr="006A1EC7">
              <w:rPr>
                <w:color w:val="000000" w:themeColor="text1"/>
                <w:sz w:val="15"/>
                <w:szCs w:val="15"/>
              </w:rPr>
              <w:t>(Maximum points 10)</w:t>
            </w:r>
          </w:p>
        </w:tc>
        <w:tc>
          <w:tcPr>
            <w:tcW w:w="1560" w:type="dxa"/>
          </w:tcPr>
          <w:p w14:paraId="19374D65" w14:textId="77777777" w:rsidR="0087601C" w:rsidRPr="006A1EC7" w:rsidRDefault="0087601C" w:rsidP="00D56051">
            <w:pPr>
              <w:rPr>
                <w:color w:val="000000" w:themeColor="text1"/>
                <w:sz w:val="15"/>
                <w:szCs w:val="15"/>
              </w:rPr>
            </w:pPr>
          </w:p>
        </w:tc>
      </w:tr>
      <w:tr w:rsidR="0087601C" w:rsidRPr="006A1EC7" w14:paraId="2C6A2FF7" w14:textId="77777777" w:rsidTr="00D56051">
        <w:tc>
          <w:tcPr>
            <w:tcW w:w="3397" w:type="dxa"/>
          </w:tcPr>
          <w:p w14:paraId="2A52299F" w14:textId="77777777" w:rsidR="0087601C" w:rsidRPr="006A1EC7" w:rsidRDefault="0087601C" w:rsidP="00D56051">
            <w:pPr>
              <w:rPr>
                <w:color w:val="000000" w:themeColor="text1"/>
                <w:sz w:val="15"/>
                <w:szCs w:val="15"/>
              </w:rPr>
            </w:pPr>
            <w:r w:rsidRPr="006A1EC7">
              <w:rPr>
                <w:color w:val="000000" w:themeColor="text1"/>
                <w:sz w:val="15"/>
                <w:szCs w:val="15"/>
              </w:rPr>
              <w:t>Part 5: Skeletal abnormalities</w:t>
            </w:r>
          </w:p>
          <w:p w14:paraId="2D137DEC" w14:textId="77777777" w:rsidR="0087601C" w:rsidRPr="006A1EC7" w:rsidRDefault="0087601C" w:rsidP="00D56051">
            <w:pPr>
              <w:rPr>
                <w:color w:val="000000" w:themeColor="text1"/>
                <w:sz w:val="15"/>
                <w:szCs w:val="15"/>
              </w:rPr>
            </w:pPr>
            <w:r w:rsidRPr="006A1EC7">
              <w:rPr>
                <w:color w:val="000000" w:themeColor="text1"/>
                <w:sz w:val="15"/>
                <w:szCs w:val="15"/>
              </w:rPr>
              <w:t>(Maximum points 4)</w:t>
            </w:r>
          </w:p>
        </w:tc>
        <w:tc>
          <w:tcPr>
            <w:tcW w:w="1560" w:type="dxa"/>
          </w:tcPr>
          <w:p w14:paraId="5FD2934F" w14:textId="77777777" w:rsidR="0087601C" w:rsidRPr="006A1EC7" w:rsidRDefault="0087601C" w:rsidP="00D56051">
            <w:pPr>
              <w:rPr>
                <w:color w:val="000000" w:themeColor="text1"/>
                <w:sz w:val="15"/>
                <w:szCs w:val="15"/>
              </w:rPr>
            </w:pPr>
          </w:p>
        </w:tc>
      </w:tr>
      <w:tr w:rsidR="0087601C" w:rsidRPr="006A1EC7" w14:paraId="297C5A1F" w14:textId="77777777" w:rsidTr="00D56051">
        <w:tc>
          <w:tcPr>
            <w:tcW w:w="3397" w:type="dxa"/>
          </w:tcPr>
          <w:p w14:paraId="00BEF0A6" w14:textId="77777777" w:rsidR="0087601C" w:rsidRPr="006A1EC7" w:rsidRDefault="0087601C" w:rsidP="00D56051">
            <w:pPr>
              <w:rPr>
                <w:color w:val="000000" w:themeColor="text1"/>
                <w:sz w:val="15"/>
                <w:szCs w:val="15"/>
              </w:rPr>
            </w:pPr>
            <w:r w:rsidRPr="006A1EC7">
              <w:rPr>
                <w:color w:val="000000" w:themeColor="text1"/>
                <w:sz w:val="15"/>
                <w:szCs w:val="15"/>
              </w:rPr>
              <w:t xml:space="preserve">Total Section 5: </w:t>
            </w:r>
          </w:p>
          <w:p w14:paraId="3822C295" w14:textId="77777777" w:rsidR="0087601C" w:rsidRPr="006A1EC7" w:rsidRDefault="0087601C" w:rsidP="00D56051">
            <w:pPr>
              <w:rPr>
                <w:color w:val="000000" w:themeColor="text1"/>
                <w:sz w:val="15"/>
                <w:szCs w:val="15"/>
              </w:rPr>
            </w:pPr>
            <w:r w:rsidRPr="006A1EC7">
              <w:rPr>
                <w:color w:val="000000" w:themeColor="text1"/>
                <w:sz w:val="15"/>
                <w:szCs w:val="15"/>
              </w:rPr>
              <w:t>(Maximum points 26)</w:t>
            </w:r>
          </w:p>
        </w:tc>
        <w:tc>
          <w:tcPr>
            <w:tcW w:w="1560" w:type="dxa"/>
          </w:tcPr>
          <w:p w14:paraId="288FA366" w14:textId="77777777" w:rsidR="0087601C" w:rsidRPr="006A1EC7" w:rsidRDefault="0087601C" w:rsidP="00D56051">
            <w:pPr>
              <w:rPr>
                <w:color w:val="000000" w:themeColor="text1"/>
                <w:sz w:val="15"/>
                <w:szCs w:val="15"/>
              </w:rPr>
            </w:pPr>
          </w:p>
        </w:tc>
      </w:tr>
    </w:tbl>
    <w:p w14:paraId="229A177A" w14:textId="77777777" w:rsidR="0087601C" w:rsidRPr="006A1EC7" w:rsidRDefault="0087601C" w:rsidP="0087601C">
      <w:pPr>
        <w:rPr>
          <w:sz w:val="15"/>
          <w:szCs w:val="15"/>
        </w:rPr>
      </w:pPr>
    </w:p>
    <w:p w14:paraId="0C83705A" w14:textId="77777777" w:rsidR="0087601C" w:rsidRPr="006A1EC7" w:rsidRDefault="0087601C" w:rsidP="0087601C">
      <w:pPr>
        <w:jc w:val="center"/>
        <w:rPr>
          <w:b/>
          <w:sz w:val="15"/>
          <w:szCs w:val="15"/>
          <w:u w:val="single"/>
        </w:rPr>
      </w:pPr>
      <w:r w:rsidRPr="006A1EC7">
        <w:rPr>
          <w:b/>
          <w:sz w:val="15"/>
          <w:szCs w:val="15"/>
          <w:u w:val="single"/>
        </w:rPr>
        <w:t>Section 6: Immunity</w:t>
      </w:r>
    </w:p>
    <w:p w14:paraId="2979D5AF"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35CC36D7" w14:textId="77777777" w:rsidTr="00D56051">
        <w:tc>
          <w:tcPr>
            <w:tcW w:w="640" w:type="dxa"/>
          </w:tcPr>
          <w:p w14:paraId="42075BC3" w14:textId="77777777" w:rsidR="0087601C" w:rsidRPr="006A1EC7" w:rsidRDefault="0087601C" w:rsidP="00D56051">
            <w:pPr>
              <w:rPr>
                <w:sz w:val="15"/>
                <w:szCs w:val="15"/>
              </w:rPr>
            </w:pPr>
            <w:r w:rsidRPr="006A1EC7">
              <w:rPr>
                <w:sz w:val="15"/>
                <w:szCs w:val="15"/>
              </w:rPr>
              <w:t>6A</w:t>
            </w:r>
          </w:p>
        </w:tc>
        <w:tc>
          <w:tcPr>
            <w:tcW w:w="2757" w:type="dxa"/>
          </w:tcPr>
          <w:p w14:paraId="2F5822BB" w14:textId="77777777" w:rsidR="0087601C" w:rsidRPr="006A1EC7" w:rsidRDefault="0087601C" w:rsidP="00D56051">
            <w:pPr>
              <w:rPr>
                <w:sz w:val="15"/>
                <w:szCs w:val="15"/>
              </w:rPr>
            </w:pPr>
            <w:r w:rsidRPr="006A1EC7">
              <w:rPr>
                <w:sz w:val="15"/>
                <w:szCs w:val="15"/>
              </w:rPr>
              <w:t>How often does the patient suffer from infections?</w:t>
            </w:r>
          </w:p>
          <w:p w14:paraId="63392012" w14:textId="77777777" w:rsidR="0087601C" w:rsidRPr="006A1EC7" w:rsidRDefault="0087601C" w:rsidP="00D56051">
            <w:pPr>
              <w:rPr>
                <w:sz w:val="15"/>
                <w:szCs w:val="15"/>
              </w:rPr>
            </w:pPr>
          </w:p>
        </w:tc>
        <w:tc>
          <w:tcPr>
            <w:tcW w:w="1560" w:type="dxa"/>
          </w:tcPr>
          <w:p w14:paraId="21903EF6" w14:textId="77777777" w:rsidR="0087601C" w:rsidRPr="006A1EC7" w:rsidRDefault="0087601C" w:rsidP="00D56051">
            <w:pPr>
              <w:rPr>
                <w:sz w:val="15"/>
                <w:szCs w:val="15"/>
              </w:rPr>
            </w:pPr>
          </w:p>
        </w:tc>
      </w:tr>
      <w:tr w:rsidR="0087601C" w:rsidRPr="006A1EC7" w14:paraId="49543466" w14:textId="77777777" w:rsidTr="00D56051">
        <w:tc>
          <w:tcPr>
            <w:tcW w:w="3397" w:type="dxa"/>
            <w:gridSpan w:val="2"/>
          </w:tcPr>
          <w:p w14:paraId="766096EA" w14:textId="77777777" w:rsidR="0087601C" w:rsidRPr="006A1EC7" w:rsidRDefault="0087601C" w:rsidP="00D56051">
            <w:pPr>
              <w:rPr>
                <w:sz w:val="15"/>
                <w:szCs w:val="15"/>
              </w:rPr>
            </w:pPr>
            <w:r w:rsidRPr="006A1EC7">
              <w:rPr>
                <w:sz w:val="15"/>
                <w:szCs w:val="15"/>
              </w:rPr>
              <w:t>Frequent infections (more than 5/year; excluding the common cold)</w:t>
            </w:r>
          </w:p>
        </w:tc>
        <w:tc>
          <w:tcPr>
            <w:tcW w:w="1560" w:type="dxa"/>
          </w:tcPr>
          <w:p w14:paraId="728A93C7" w14:textId="77777777" w:rsidR="0087601C" w:rsidRPr="006A1EC7" w:rsidRDefault="0087601C" w:rsidP="00D56051">
            <w:pPr>
              <w:rPr>
                <w:sz w:val="15"/>
                <w:szCs w:val="15"/>
              </w:rPr>
            </w:pPr>
            <w:r w:rsidRPr="006A1EC7">
              <w:rPr>
                <w:sz w:val="15"/>
                <w:szCs w:val="15"/>
              </w:rPr>
              <w:t>5</w:t>
            </w:r>
          </w:p>
        </w:tc>
      </w:tr>
      <w:tr w:rsidR="0087601C" w:rsidRPr="006A1EC7" w14:paraId="776BAF2E" w14:textId="77777777" w:rsidTr="00D56051">
        <w:tc>
          <w:tcPr>
            <w:tcW w:w="3397" w:type="dxa"/>
            <w:gridSpan w:val="2"/>
          </w:tcPr>
          <w:p w14:paraId="3E6B17AE" w14:textId="77777777" w:rsidR="0087601C" w:rsidRPr="006A1EC7" w:rsidRDefault="0087601C" w:rsidP="00D56051">
            <w:pPr>
              <w:rPr>
                <w:sz w:val="15"/>
                <w:szCs w:val="15"/>
              </w:rPr>
            </w:pPr>
            <w:r w:rsidRPr="006A1EC7">
              <w:rPr>
                <w:sz w:val="15"/>
                <w:szCs w:val="15"/>
              </w:rPr>
              <w:t>Infrequent infections (3-5/ year, excluding the common cold)</w:t>
            </w:r>
          </w:p>
        </w:tc>
        <w:tc>
          <w:tcPr>
            <w:tcW w:w="1560" w:type="dxa"/>
          </w:tcPr>
          <w:p w14:paraId="2D7833E5" w14:textId="77777777" w:rsidR="0087601C" w:rsidRPr="006A1EC7" w:rsidRDefault="0087601C" w:rsidP="00D56051">
            <w:pPr>
              <w:rPr>
                <w:sz w:val="15"/>
                <w:szCs w:val="15"/>
              </w:rPr>
            </w:pPr>
            <w:r w:rsidRPr="006A1EC7">
              <w:rPr>
                <w:sz w:val="15"/>
                <w:szCs w:val="15"/>
              </w:rPr>
              <w:t>3</w:t>
            </w:r>
          </w:p>
        </w:tc>
      </w:tr>
      <w:tr w:rsidR="0087601C" w:rsidRPr="006A1EC7" w14:paraId="6DA20E20" w14:textId="77777777" w:rsidTr="00D56051">
        <w:tc>
          <w:tcPr>
            <w:tcW w:w="3397" w:type="dxa"/>
            <w:gridSpan w:val="2"/>
          </w:tcPr>
          <w:p w14:paraId="792C737D" w14:textId="77777777" w:rsidR="0087601C" w:rsidRPr="006A1EC7" w:rsidRDefault="0087601C" w:rsidP="00D56051">
            <w:pPr>
              <w:rPr>
                <w:sz w:val="15"/>
                <w:szCs w:val="15"/>
              </w:rPr>
            </w:pPr>
            <w:r w:rsidRPr="006A1EC7">
              <w:rPr>
                <w:sz w:val="15"/>
                <w:szCs w:val="15"/>
              </w:rPr>
              <w:t>Rare infections (&lt; 3/year, excluding the common cold)</w:t>
            </w:r>
          </w:p>
        </w:tc>
        <w:tc>
          <w:tcPr>
            <w:tcW w:w="1560" w:type="dxa"/>
          </w:tcPr>
          <w:p w14:paraId="39578550" w14:textId="77777777" w:rsidR="0087601C" w:rsidRPr="006A1EC7" w:rsidRDefault="0087601C" w:rsidP="00D56051">
            <w:pPr>
              <w:rPr>
                <w:sz w:val="15"/>
                <w:szCs w:val="15"/>
              </w:rPr>
            </w:pPr>
            <w:r w:rsidRPr="006A1EC7">
              <w:rPr>
                <w:sz w:val="15"/>
                <w:szCs w:val="15"/>
              </w:rPr>
              <w:t>0</w:t>
            </w:r>
          </w:p>
        </w:tc>
      </w:tr>
    </w:tbl>
    <w:p w14:paraId="7D04C713" w14:textId="77777777" w:rsidR="0087601C" w:rsidRPr="006A1EC7" w:rsidRDefault="0087601C" w:rsidP="0087601C">
      <w:pPr>
        <w:rPr>
          <w:b/>
          <w:sz w:val="15"/>
          <w:szCs w:val="15"/>
          <w:u w:val="single"/>
        </w:rPr>
      </w:pPr>
    </w:p>
    <w:p w14:paraId="3B562202" w14:textId="77777777" w:rsidR="0087601C" w:rsidRPr="006A1EC7" w:rsidRDefault="0087601C" w:rsidP="0087601C">
      <w:pPr>
        <w:rPr>
          <w:b/>
          <w:sz w:val="15"/>
          <w:szCs w:val="15"/>
          <w:u w:val="single"/>
        </w:rPr>
      </w:pPr>
    </w:p>
    <w:p w14:paraId="7263752C" w14:textId="77777777" w:rsidR="0087601C" w:rsidRPr="006A1EC7" w:rsidRDefault="0087601C" w:rsidP="0087601C">
      <w:pPr>
        <w:rPr>
          <w:b/>
          <w:sz w:val="15"/>
          <w:szCs w:val="15"/>
          <w:u w:val="single"/>
        </w:rPr>
      </w:pPr>
    </w:p>
    <w:p w14:paraId="6C932001" w14:textId="77777777" w:rsidR="0087601C" w:rsidRPr="006A1EC7" w:rsidRDefault="0087601C" w:rsidP="0087601C">
      <w:pPr>
        <w:rPr>
          <w:b/>
          <w:sz w:val="15"/>
          <w:szCs w:val="15"/>
          <w:u w:val="single"/>
        </w:rPr>
      </w:pPr>
    </w:p>
    <w:p w14:paraId="633FAC7D"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7868090A" w14:textId="77777777" w:rsidTr="00D56051">
        <w:tc>
          <w:tcPr>
            <w:tcW w:w="640" w:type="dxa"/>
          </w:tcPr>
          <w:p w14:paraId="1CC9276E" w14:textId="77777777" w:rsidR="0087601C" w:rsidRPr="006A1EC7" w:rsidRDefault="0087601C" w:rsidP="00D56051">
            <w:pPr>
              <w:rPr>
                <w:sz w:val="15"/>
                <w:szCs w:val="15"/>
              </w:rPr>
            </w:pPr>
            <w:r w:rsidRPr="006A1EC7">
              <w:rPr>
                <w:sz w:val="15"/>
                <w:szCs w:val="15"/>
              </w:rPr>
              <w:t>6B</w:t>
            </w:r>
          </w:p>
        </w:tc>
        <w:tc>
          <w:tcPr>
            <w:tcW w:w="2757" w:type="dxa"/>
          </w:tcPr>
          <w:p w14:paraId="6BFA6FA4" w14:textId="77777777" w:rsidR="0087601C" w:rsidRPr="006A1EC7" w:rsidRDefault="0087601C" w:rsidP="00D56051">
            <w:pPr>
              <w:rPr>
                <w:sz w:val="15"/>
                <w:szCs w:val="15"/>
              </w:rPr>
            </w:pPr>
            <w:r w:rsidRPr="006A1EC7">
              <w:rPr>
                <w:sz w:val="15"/>
                <w:szCs w:val="15"/>
              </w:rPr>
              <w:t>How many hospital admissions did the patient have in the past year, due to infections (excluding elective surgery, outpatient appointments)?</w:t>
            </w:r>
          </w:p>
          <w:p w14:paraId="0199C7C4" w14:textId="77777777" w:rsidR="0087601C" w:rsidRPr="006A1EC7" w:rsidRDefault="0087601C" w:rsidP="00D56051">
            <w:pPr>
              <w:rPr>
                <w:sz w:val="15"/>
                <w:szCs w:val="15"/>
              </w:rPr>
            </w:pPr>
          </w:p>
        </w:tc>
        <w:tc>
          <w:tcPr>
            <w:tcW w:w="1560" w:type="dxa"/>
          </w:tcPr>
          <w:p w14:paraId="03914DF3" w14:textId="77777777" w:rsidR="0087601C" w:rsidRPr="006A1EC7" w:rsidRDefault="0087601C" w:rsidP="00D56051">
            <w:pPr>
              <w:rPr>
                <w:sz w:val="15"/>
                <w:szCs w:val="15"/>
              </w:rPr>
            </w:pPr>
          </w:p>
        </w:tc>
      </w:tr>
      <w:tr w:rsidR="0087601C" w:rsidRPr="006A1EC7" w14:paraId="0BD9FDB2" w14:textId="77777777" w:rsidTr="00D56051">
        <w:tc>
          <w:tcPr>
            <w:tcW w:w="3397" w:type="dxa"/>
            <w:gridSpan w:val="2"/>
          </w:tcPr>
          <w:p w14:paraId="4A2FBEF3" w14:textId="77777777" w:rsidR="0087601C" w:rsidRPr="006A1EC7" w:rsidRDefault="0087601C" w:rsidP="00D56051">
            <w:pPr>
              <w:rPr>
                <w:sz w:val="15"/>
                <w:szCs w:val="15"/>
              </w:rPr>
            </w:pPr>
            <w:r w:rsidRPr="006A1EC7">
              <w:rPr>
                <w:sz w:val="15"/>
                <w:szCs w:val="15"/>
              </w:rPr>
              <w:t>5 or more hospital admissions</w:t>
            </w:r>
          </w:p>
        </w:tc>
        <w:tc>
          <w:tcPr>
            <w:tcW w:w="1560" w:type="dxa"/>
          </w:tcPr>
          <w:p w14:paraId="24BD43AD" w14:textId="77777777" w:rsidR="0087601C" w:rsidRPr="006A1EC7" w:rsidRDefault="0087601C" w:rsidP="00D56051">
            <w:pPr>
              <w:rPr>
                <w:sz w:val="15"/>
                <w:szCs w:val="15"/>
              </w:rPr>
            </w:pPr>
            <w:r w:rsidRPr="006A1EC7">
              <w:rPr>
                <w:sz w:val="15"/>
                <w:szCs w:val="15"/>
              </w:rPr>
              <w:t>5</w:t>
            </w:r>
          </w:p>
        </w:tc>
      </w:tr>
      <w:tr w:rsidR="0087601C" w:rsidRPr="006A1EC7" w14:paraId="30678975" w14:textId="77777777" w:rsidTr="00D56051">
        <w:tc>
          <w:tcPr>
            <w:tcW w:w="3397" w:type="dxa"/>
            <w:gridSpan w:val="2"/>
          </w:tcPr>
          <w:p w14:paraId="44E651D5" w14:textId="77777777" w:rsidR="0087601C" w:rsidRPr="006A1EC7" w:rsidRDefault="0087601C" w:rsidP="00D56051">
            <w:pPr>
              <w:rPr>
                <w:sz w:val="15"/>
                <w:szCs w:val="15"/>
              </w:rPr>
            </w:pPr>
            <w:r w:rsidRPr="006A1EC7">
              <w:rPr>
                <w:sz w:val="15"/>
                <w:szCs w:val="15"/>
              </w:rPr>
              <w:t>3-5 hospital admissions</w:t>
            </w:r>
          </w:p>
        </w:tc>
        <w:tc>
          <w:tcPr>
            <w:tcW w:w="1560" w:type="dxa"/>
          </w:tcPr>
          <w:p w14:paraId="52DE2CBF" w14:textId="77777777" w:rsidR="0087601C" w:rsidRPr="006A1EC7" w:rsidRDefault="0087601C" w:rsidP="00D56051">
            <w:pPr>
              <w:rPr>
                <w:sz w:val="15"/>
                <w:szCs w:val="15"/>
              </w:rPr>
            </w:pPr>
            <w:r w:rsidRPr="006A1EC7">
              <w:rPr>
                <w:sz w:val="15"/>
                <w:szCs w:val="15"/>
              </w:rPr>
              <w:t>4</w:t>
            </w:r>
          </w:p>
        </w:tc>
      </w:tr>
      <w:tr w:rsidR="0087601C" w:rsidRPr="006A1EC7" w14:paraId="6D126C7A" w14:textId="77777777" w:rsidTr="00D56051">
        <w:tc>
          <w:tcPr>
            <w:tcW w:w="3397" w:type="dxa"/>
            <w:gridSpan w:val="2"/>
          </w:tcPr>
          <w:p w14:paraId="0F1120D4" w14:textId="77777777" w:rsidR="0087601C" w:rsidRPr="006A1EC7" w:rsidRDefault="0087601C" w:rsidP="00D56051">
            <w:pPr>
              <w:rPr>
                <w:sz w:val="15"/>
                <w:szCs w:val="15"/>
              </w:rPr>
            </w:pPr>
            <w:r w:rsidRPr="006A1EC7">
              <w:rPr>
                <w:sz w:val="15"/>
                <w:szCs w:val="15"/>
              </w:rPr>
              <w:t>2 Hospital admissions</w:t>
            </w:r>
          </w:p>
        </w:tc>
        <w:tc>
          <w:tcPr>
            <w:tcW w:w="1560" w:type="dxa"/>
          </w:tcPr>
          <w:p w14:paraId="1F2517E5" w14:textId="77777777" w:rsidR="0087601C" w:rsidRPr="006A1EC7" w:rsidRDefault="0087601C" w:rsidP="00D56051">
            <w:pPr>
              <w:rPr>
                <w:sz w:val="15"/>
                <w:szCs w:val="15"/>
              </w:rPr>
            </w:pPr>
            <w:r w:rsidRPr="006A1EC7">
              <w:rPr>
                <w:sz w:val="15"/>
                <w:szCs w:val="15"/>
              </w:rPr>
              <w:t>2</w:t>
            </w:r>
          </w:p>
        </w:tc>
      </w:tr>
      <w:tr w:rsidR="0087601C" w:rsidRPr="006A1EC7" w14:paraId="6434248F" w14:textId="77777777" w:rsidTr="00D56051">
        <w:tc>
          <w:tcPr>
            <w:tcW w:w="3397" w:type="dxa"/>
            <w:gridSpan w:val="2"/>
          </w:tcPr>
          <w:p w14:paraId="76D87EAD" w14:textId="77777777" w:rsidR="0087601C" w:rsidRPr="006A1EC7" w:rsidRDefault="0087601C" w:rsidP="00D56051">
            <w:pPr>
              <w:rPr>
                <w:sz w:val="15"/>
                <w:szCs w:val="15"/>
              </w:rPr>
            </w:pPr>
            <w:r w:rsidRPr="006A1EC7">
              <w:rPr>
                <w:sz w:val="15"/>
                <w:szCs w:val="15"/>
              </w:rPr>
              <w:t>1 Hospital admission</w:t>
            </w:r>
          </w:p>
        </w:tc>
        <w:tc>
          <w:tcPr>
            <w:tcW w:w="1560" w:type="dxa"/>
          </w:tcPr>
          <w:p w14:paraId="6A80A483" w14:textId="77777777" w:rsidR="0087601C" w:rsidRPr="006A1EC7" w:rsidRDefault="0087601C" w:rsidP="00D56051">
            <w:pPr>
              <w:rPr>
                <w:sz w:val="15"/>
                <w:szCs w:val="15"/>
              </w:rPr>
            </w:pPr>
            <w:r w:rsidRPr="006A1EC7">
              <w:rPr>
                <w:sz w:val="15"/>
                <w:szCs w:val="15"/>
              </w:rPr>
              <w:t>1</w:t>
            </w:r>
          </w:p>
        </w:tc>
      </w:tr>
      <w:tr w:rsidR="0087601C" w:rsidRPr="006A1EC7" w14:paraId="78F9D1ED" w14:textId="77777777" w:rsidTr="00D56051">
        <w:tc>
          <w:tcPr>
            <w:tcW w:w="3397" w:type="dxa"/>
            <w:gridSpan w:val="2"/>
          </w:tcPr>
          <w:p w14:paraId="3F6B5C2A" w14:textId="77777777" w:rsidR="0087601C" w:rsidRPr="006A1EC7" w:rsidRDefault="0087601C" w:rsidP="00D56051">
            <w:pPr>
              <w:rPr>
                <w:sz w:val="15"/>
                <w:szCs w:val="15"/>
              </w:rPr>
            </w:pPr>
            <w:r w:rsidRPr="006A1EC7">
              <w:rPr>
                <w:sz w:val="15"/>
                <w:szCs w:val="15"/>
              </w:rPr>
              <w:t xml:space="preserve">None </w:t>
            </w:r>
          </w:p>
        </w:tc>
        <w:tc>
          <w:tcPr>
            <w:tcW w:w="1560" w:type="dxa"/>
          </w:tcPr>
          <w:p w14:paraId="14BB8569" w14:textId="77777777" w:rsidR="0087601C" w:rsidRPr="006A1EC7" w:rsidRDefault="0087601C" w:rsidP="00D56051">
            <w:pPr>
              <w:rPr>
                <w:sz w:val="15"/>
                <w:szCs w:val="15"/>
              </w:rPr>
            </w:pPr>
            <w:r w:rsidRPr="006A1EC7">
              <w:rPr>
                <w:sz w:val="15"/>
                <w:szCs w:val="15"/>
              </w:rPr>
              <w:t>0</w:t>
            </w:r>
          </w:p>
        </w:tc>
      </w:tr>
    </w:tbl>
    <w:p w14:paraId="22F76790"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45AD59D3" w14:textId="77777777" w:rsidTr="00D56051">
        <w:tc>
          <w:tcPr>
            <w:tcW w:w="640" w:type="dxa"/>
          </w:tcPr>
          <w:p w14:paraId="084CB989" w14:textId="77777777" w:rsidR="0087601C" w:rsidRPr="006A1EC7" w:rsidRDefault="0087601C" w:rsidP="00D56051">
            <w:pPr>
              <w:rPr>
                <w:sz w:val="15"/>
                <w:szCs w:val="15"/>
              </w:rPr>
            </w:pPr>
            <w:r w:rsidRPr="006A1EC7">
              <w:rPr>
                <w:sz w:val="15"/>
                <w:szCs w:val="15"/>
              </w:rPr>
              <w:t>6C.1</w:t>
            </w:r>
          </w:p>
        </w:tc>
        <w:tc>
          <w:tcPr>
            <w:tcW w:w="2757" w:type="dxa"/>
          </w:tcPr>
          <w:p w14:paraId="0276756B" w14:textId="77777777" w:rsidR="0087601C" w:rsidRPr="006A1EC7" w:rsidRDefault="0087601C" w:rsidP="00D56051">
            <w:pPr>
              <w:rPr>
                <w:sz w:val="15"/>
                <w:szCs w:val="15"/>
              </w:rPr>
            </w:pPr>
            <w:r w:rsidRPr="006A1EC7">
              <w:rPr>
                <w:sz w:val="15"/>
                <w:szCs w:val="15"/>
              </w:rPr>
              <w:t>Does the patient have any tumours or malignancies?</w:t>
            </w:r>
          </w:p>
          <w:p w14:paraId="158349A3" w14:textId="77777777" w:rsidR="0087601C" w:rsidRPr="006A1EC7" w:rsidRDefault="0087601C" w:rsidP="00D56051">
            <w:pPr>
              <w:rPr>
                <w:sz w:val="15"/>
                <w:szCs w:val="15"/>
              </w:rPr>
            </w:pPr>
          </w:p>
        </w:tc>
        <w:tc>
          <w:tcPr>
            <w:tcW w:w="1560" w:type="dxa"/>
          </w:tcPr>
          <w:p w14:paraId="68ACBBCB" w14:textId="77777777" w:rsidR="0087601C" w:rsidRPr="006A1EC7" w:rsidRDefault="0087601C" w:rsidP="00D56051">
            <w:pPr>
              <w:rPr>
                <w:sz w:val="15"/>
                <w:szCs w:val="15"/>
              </w:rPr>
            </w:pPr>
          </w:p>
        </w:tc>
      </w:tr>
      <w:tr w:rsidR="0087601C" w:rsidRPr="006A1EC7" w14:paraId="4A6E274E" w14:textId="77777777" w:rsidTr="00D56051">
        <w:tc>
          <w:tcPr>
            <w:tcW w:w="3397" w:type="dxa"/>
            <w:gridSpan w:val="2"/>
          </w:tcPr>
          <w:p w14:paraId="265BCFE4" w14:textId="77777777" w:rsidR="0087601C" w:rsidRPr="006A1EC7" w:rsidRDefault="0087601C" w:rsidP="00D56051">
            <w:pPr>
              <w:rPr>
                <w:sz w:val="15"/>
                <w:szCs w:val="15"/>
              </w:rPr>
            </w:pPr>
            <w:r w:rsidRPr="006A1EC7">
              <w:rPr>
                <w:sz w:val="15"/>
                <w:szCs w:val="15"/>
              </w:rPr>
              <w:t>Yes</w:t>
            </w:r>
          </w:p>
        </w:tc>
        <w:tc>
          <w:tcPr>
            <w:tcW w:w="1560" w:type="dxa"/>
          </w:tcPr>
          <w:p w14:paraId="2B43284F" w14:textId="77777777" w:rsidR="0087601C" w:rsidRPr="006A1EC7" w:rsidRDefault="0087601C" w:rsidP="00D56051">
            <w:pPr>
              <w:rPr>
                <w:sz w:val="15"/>
                <w:szCs w:val="15"/>
              </w:rPr>
            </w:pPr>
            <w:r w:rsidRPr="006A1EC7">
              <w:rPr>
                <w:sz w:val="15"/>
                <w:szCs w:val="15"/>
              </w:rPr>
              <w:t>1</w:t>
            </w:r>
          </w:p>
        </w:tc>
      </w:tr>
      <w:tr w:rsidR="0087601C" w:rsidRPr="006A1EC7" w14:paraId="01AE17BD" w14:textId="77777777" w:rsidTr="00D56051">
        <w:tc>
          <w:tcPr>
            <w:tcW w:w="3397" w:type="dxa"/>
            <w:gridSpan w:val="2"/>
          </w:tcPr>
          <w:p w14:paraId="7EE6B58C" w14:textId="77777777" w:rsidR="0087601C" w:rsidRPr="006A1EC7" w:rsidRDefault="0087601C" w:rsidP="00D56051">
            <w:pPr>
              <w:rPr>
                <w:color w:val="000000" w:themeColor="text1"/>
                <w:sz w:val="15"/>
                <w:szCs w:val="15"/>
              </w:rPr>
            </w:pPr>
            <w:r w:rsidRPr="006A1EC7">
              <w:rPr>
                <w:color w:val="000000" w:themeColor="text1"/>
                <w:sz w:val="15"/>
                <w:szCs w:val="15"/>
              </w:rPr>
              <w:t>No</w:t>
            </w:r>
          </w:p>
        </w:tc>
        <w:tc>
          <w:tcPr>
            <w:tcW w:w="1560" w:type="dxa"/>
          </w:tcPr>
          <w:p w14:paraId="73CFB05F" w14:textId="77777777" w:rsidR="0087601C" w:rsidRPr="006A1EC7" w:rsidRDefault="0087601C" w:rsidP="00D56051">
            <w:pPr>
              <w:rPr>
                <w:color w:val="000000" w:themeColor="text1"/>
                <w:sz w:val="15"/>
                <w:szCs w:val="15"/>
              </w:rPr>
            </w:pPr>
            <w:r w:rsidRPr="006A1EC7">
              <w:rPr>
                <w:color w:val="000000" w:themeColor="text1"/>
                <w:sz w:val="15"/>
                <w:szCs w:val="15"/>
              </w:rPr>
              <w:t>0</w:t>
            </w:r>
          </w:p>
        </w:tc>
      </w:tr>
    </w:tbl>
    <w:p w14:paraId="0ED15E71"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1129"/>
        <w:gridCol w:w="3828"/>
      </w:tblGrid>
      <w:tr w:rsidR="0087601C" w:rsidRPr="006A1EC7" w14:paraId="74B7AA47" w14:textId="77777777" w:rsidTr="00D56051">
        <w:tc>
          <w:tcPr>
            <w:tcW w:w="1129" w:type="dxa"/>
          </w:tcPr>
          <w:p w14:paraId="1120D20C" w14:textId="77777777" w:rsidR="0087601C" w:rsidRPr="006A1EC7" w:rsidRDefault="0087601C" w:rsidP="00D56051">
            <w:pPr>
              <w:rPr>
                <w:sz w:val="15"/>
                <w:szCs w:val="15"/>
              </w:rPr>
            </w:pPr>
            <w:r w:rsidRPr="006A1EC7">
              <w:rPr>
                <w:sz w:val="15"/>
                <w:szCs w:val="15"/>
              </w:rPr>
              <w:t>Details:</w:t>
            </w:r>
          </w:p>
        </w:tc>
        <w:tc>
          <w:tcPr>
            <w:tcW w:w="3828" w:type="dxa"/>
          </w:tcPr>
          <w:p w14:paraId="3326DB4B" w14:textId="77777777" w:rsidR="0087601C" w:rsidRPr="006A1EC7" w:rsidRDefault="0087601C" w:rsidP="00D56051">
            <w:pPr>
              <w:rPr>
                <w:sz w:val="15"/>
                <w:szCs w:val="15"/>
              </w:rPr>
            </w:pPr>
          </w:p>
        </w:tc>
      </w:tr>
    </w:tbl>
    <w:p w14:paraId="450C646C"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13EDD7C9" w14:textId="77777777" w:rsidTr="00D56051">
        <w:tc>
          <w:tcPr>
            <w:tcW w:w="640" w:type="dxa"/>
          </w:tcPr>
          <w:p w14:paraId="07755C2E" w14:textId="77777777" w:rsidR="0087601C" w:rsidRPr="006A1EC7" w:rsidRDefault="0087601C" w:rsidP="00D56051">
            <w:pPr>
              <w:rPr>
                <w:sz w:val="15"/>
                <w:szCs w:val="15"/>
              </w:rPr>
            </w:pPr>
            <w:r w:rsidRPr="006A1EC7">
              <w:rPr>
                <w:sz w:val="15"/>
                <w:szCs w:val="15"/>
              </w:rPr>
              <w:t>6D.1</w:t>
            </w:r>
          </w:p>
        </w:tc>
        <w:tc>
          <w:tcPr>
            <w:tcW w:w="2757" w:type="dxa"/>
          </w:tcPr>
          <w:p w14:paraId="3C5DF520" w14:textId="77777777" w:rsidR="0087601C" w:rsidRPr="006A1EC7" w:rsidRDefault="0087601C" w:rsidP="00D56051">
            <w:pPr>
              <w:rPr>
                <w:sz w:val="15"/>
                <w:szCs w:val="15"/>
              </w:rPr>
            </w:pPr>
            <w:r w:rsidRPr="006A1EC7">
              <w:rPr>
                <w:sz w:val="15"/>
                <w:szCs w:val="15"/>
              </w:rPr>
              <w:t>Does the patient have any abnormal skin findings?</w:t>
            </w:r>
          </w:p>
          <w:p w14:paraId="7B91B11A" w14:textId="77777777" w:rsidR="0087601C" w:rsidRPr="006A1EC7" w:rsidRDefault="0087601C" w:rsidP="00D56051">
            <w:pPr>
              <w:rPr>
                <w:sz w:val="15"/>
                <w:szCs w:val="15"/>
              </w:rPr>
            </w:pPr>
          </w:p>
        </w:tc>
        <w:tc>
          <w:tcPr>
            <w:tcW w:w="1560" w:type="dxa"/>
          </w:tcPr>
          <w:p w14:paraId="1F44228A" w14:textId="77777777" w:rsidR="0087601C" w:rsidRPr="006A1EC7" w:rsidRDefault="0087601C" w:rsidP="00D56051">
            <w:pPr>
              <w:rPr>
                <w:sz w:val="15"/>
                <w:szCs w:val="15"/>
              </w:rPr>
            </w:pPr>
          </w:p>
        </w:tc>
      </w:tr>
      <w:tr w:rsidR="0087601C" w:rsidRPr="006A1EC7" w14:paraId="3E0D91E3" w14:textId="77777777" w:rsidTr="00D56051">
        <w:tc>
          <w:tcPr>
            <w:tcW w:w="3397" w:type="dxa"/>
            <w:gridSpan w:val="2"/>
          </w:tcPr>
          <w:p w14:paraId="267BF0B8" w14:textId="77777777" w:rsidR="0087601C" w:rsidRPr="006A1EC7" w:rsidRDefault="0087601C" w:rsidP="00D56051">
            <w:pPr>
              <w:rPr>
                <w:sz w:val="15"/>
                <w:szCs w:val="15"/>
              </w:rPr>
            </w:pPr>
            <w:r w:rsidRPr="006A1EC7">
              <w:rPr>
                <w:sz w:val="15"/>
                <w:szCs w:val="15"/>
              </w:rPr>
              <w:t>Yes</w:t>
            </w:r>
          </w:p>
        </w:tc>
        <w:tc>
          <w:tcPr>
            <w:tcW w:w="1560" w:type="dxa"/>
          </w:tcPr>
          <w:p w14:paraId="7BCE8D3F" w14:textId="77777777" w:rsidR="0087601C" w:rsidRPr="006A1EC7" w:rsidRDefault="0087601C" w:rsidP="00D56051">
            <w:pPr>
              <w:rPr>
                <w:sz w:val="15"/>
                <w:szCs w:val="15"/>
              </w:rPr>
            </w:pPr>
            <w:r w:rsidRPr="006A1EC7">
              <w:rPr>
                <w:sz w:val="15"/>
                <w:szCs w:val="15"/>
              </w:rPr>
              <w:t>1</w:t>
            </w:r>
          </w:p>
        </w:tc>
      </w:tr>
      <w:tr w:rsidR="0087601C" w:rsidRPr="006A1EC7" w14:paraId="54FF548E" w14:textId="77777777" w:rsidTr="00D56051">
        <w:tc>
          <w:tcPr>
            <w:tcW w:w="3397" w:type="dxa"/>
            <w:gridSpan w:val="2"/>
          </w:tcPr>
          <w:p w14:paraId="29A28FCD" w14:textId="77777777" w:rsidR="0087601C" w:rsidRPr="006A1EC7" w:rsidRDefault="0087601C" w:rsidP="00D56051">
            <w:pPr>
              <w:rPr>
                <w:color w:val="000000" w:themeColor="text1"/>
                <w:sz w:val="15"/>
                <w:szCs w:val="15"/>
              </w:rPr>
            </w:pPr>
            <w:r w:rsidRPr="006A1EC7">
              <w:rPr>
                <w:color w:val="000000" w:themeColor="text1"/>
                <w:sz w:val="15"/>
                <w:szCs w:val="15"/>
              </w:rPr>
              <w:t>No</w:t>
            </w:r>
          </w:p>
        </w:tc>
        <w:tc>
          <w:tcPr>
            <w:tcW w:w="1560" w:type="dxa"/>
          </w:tcPr>
          <w:p w14:paraId="5C73793F" w14:textId="77777777" w:rsidR="0087601C" w:rsidRPr="006A1EC7" w:rsidRDefault="0087601C" w:rsidP="00D56051">
            <w:pPr>
              <w:rPr>
                <w:color w:val="000000" w:themeColor="text1"/>
                <w:sz w:val="15"/>
                <w:szCs w:val="15"/>
              </w:rPr>
            </w:pPr>
            <w:r w:rsidRPr="006A1EC7">
              <w:rPr>
                <w:color w:val="000000" w:themeColor="text1"/>
                <w:sz w:val="15"/>
                <w:szCs w:val="15"/>
              </w:rPr>
              <w:t>0</w:t>
            </w:r>
          </w:p>
        </w:tc>
      </w:tr>
      <w:tr w:rsidR="0087601C" w:rsidRPr="006A1EC7" w14:paraId="3C1FE29A" w14:textId="77777777" w:rsidTr="00D56051">
        <w:tc>
          <w:tcPr>
            <w:tcW w:w="3397" w:type="dxa"/>
            <w:gridSpan w:val="2"/>
          </w:tcPr>
          <w:p w14:paraId="625BB04A" w14:textId="77777777" w:rsidR="0087601C" w:rsidRPr="006A1EC7" w:rsidRDefault="0087601C" w:rsidP="00D56051">
            <w:pPr>
              <w:rPr>
                <w:color w:val="000000" w:themeColor="text1"/>
                <w:sz w:val="15"/>
                <w:szCs w:val="15"/>
              </w:rPr>
            </w:pPr>
          </w:p>
        </w:tc>
        <w:tc>
          <w:tcPr>
            <w:tcW w:w="1560" w:type="dxa"/>
          </w:tcPr>
          <w:p w14:paraId="7286E584" w14:textId="77777777" w:rsidR="0087601C" w:rsidRPr="006A1EC7" w:rsidRDefault="0087601C" w:rsidP="00D56051">
            <w:pPr>
              <w:rPr>
                <w:color w:val="000000" w:themeColor="text1"/>
                <w:sz w:val="15"/>
                <w:szCs w:val="15"/>
              </w:rPr>
            </w:pPr>
          </w:p>
        </w:tc>
      </w:tr>
    </w:tbl>
    <w:p w14:paraId="2E450C48" w14:textId="77777777" w:rsidR="0087601C" w:rsidRPr="006A1EC7" w:rsidRDefault="0087601C" w:rsidP="0087601C">
      <w:pPr>
        <w:rPr>
          <w:b/>
          <w:sz w:val="15"/>
          <w:szCs w:val="15"/>
          <w:u w:val="single"/>
        </w:rPr>
      </w:pPr>
    </w:p>
    <w:p w14:paraId="29F4F3EF" w14:textId="77777777" w:rsidR="0087601C" w:rsidRPr="006A1EC7" w:rsidRDefault="0087601C" w:rsidP="0087601C">
      <w:pPr>
        <w:rPr>
          <w:b/>
          <w:sz w:val="15"/>
          <w:szCs w:val="15"/>
          <w:u w:val="single"/>
        </w:rPr>
      </w:pPr>
    </w:p>
    <w:p w14:paraId="353EE022" w14:textId="77777777" w:rsidR="0087601C" w:rsidRPr="006A1EC7" w:rsidRDefault="0087601C" w:rsidP="0087601C">
      <w:pPr>
        <w:jc w:val="center"/>
        <w:rPr>
          <w:b/>
          <w:sz w:val="15"/>
          <w:szCs w:val="15"/>
          <w:u w:val="single"/>
        </w:rPr>
      </w:pPr>
      <w:r w:rsidRPr="006A1EC7">
        <w:rPr>
          <w:b/>
          <w:sz w:val="15"/>
          <w:szCs w:val="15"/>
          <w:u w:val="single"/>
        </w:rPr>
        <w:t>Section 7: Functional assessment</w:t>
      </w:r>
    </w:p>
    <w:p w14:paraId="482936B1"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6439F17C" w14:textId="77777777" w:rsidTr="00D56051">
        <w:tc>
          <w:tcPr>
            <w:tcW w:w="640" w:type="dxa"/>
          </w:tcPr>
          <w:p w14:paraId="702402EF" w14:textId="77777777" w:rsidR="0087601C" w:rsidRPr="006A1EC7" w:rsidRDefault="0087601C" w:rsidP="00D56051">
            <w:pPr>
              <w:rPr>
                <w:bCs/>
                <w:sz w:val="15"/>
                <w:szCs w:val="15"/>
              </w:rPr>
            </w:pPr>
            <w:r w:rsidRPr="006A1EC7">
              <w:rPr>
                <w:bCs/>
                <w:color w:val="FF0000"/>
                <w:sz w:val="15"/>
                <w:szCs w:val="15"/>
                <w:u w:val="single"/>
              </w:rPr>
              <w:t>7A</w:t>
            </w:r>
          </w:p>
        </w:tc>
        <w:tc>
          <w:tcPr>
            <w:tcW w:w="2757" w:type="dxa"/>
          </w:tcPr>
          <w:p w14:paraId="30917479" w14:textId="77777777" w:rsidR="0087601C" w:rsidRPr="006A1EC7" w:rsidRDefault="0087601C" w:rsidP="00D56051">
            <w:pPr>
              <w:rPr>
                <w:bCs/>
                <w:color w:val="FF0000"/>
                <w:sz w:val="15"/>
                <w:szCs w:val="15"/>
              </w:rPr>
            </w:pPr>
            <w:r w:rsidRPr="006A1EC7">
              <w:rPr>
                <w:bCs/>
                <w:color w:val="FF0000"/>
                <w:sz w:val="15"/>
                <w:szCs w:val="15"/>
              </w:rPr>
              <w:t>What’s the patients engagement with external stimuli like? Including play behaviour.</w:t>
            </w:r>
          </w:p>
          <w:p w14:paraId="572E244A" w14:textId="77777777" w:rsidR="0087601C" w:rsidRPr="006A1EC7" w:rsidRDefault="0087601C" w:rsidP="00D56051">
            <w:pPr>
              <w:rPr>
                <w:bCs/>
                <w:sz w:val="15"/>
                <w:szCs w:val="15"/>
              </w:rPr>
            </w:pPr>
          </w:p>
        </w:tc>
        <w:tc>
          <w:tcPr>
            <w:tcW w:w="1560" w:type="dxa"/>
          </w:tcPr>
          <w:p w14:paraId="20331F06" w14:textId="77777777" w:rsidR="0087601C" w:rsidRPr="006A1EC7" w:rsidRDefault="0087601C" w:rsidP="00D56051">
            <w:pPr>
              <w:rPr>
                <w:sz w:val="15"/>
                <w:szCs w:val="15"/>
              </w:rPr>
            </w:pPr>
          </w:p>
        </w:tc>
      </w:tr>
      <w:tr w:rsidR="0087601C" w:rsidRPr="006A1EC7" w14:paraId="5308E340" w14:textId="77777777" w:rsidTr="00D56051">
        <w:tc>
          <w:tcPr>
            <w:tcW w:w="3397" w:type="dxa"/>
            <w:gridSpan w:val="2"/>
          </w:tcPr>
          <w:p w14:paraId="1DF206C1" w14:textId="77777777" w:rsidR="0087601C" w:rsidRPr="006A1EC7" w:rsidRDefault="0087601C" w:rsidP="00D56051">
            <w:pPr>
              <w:rPr>
                <w:bCs/>
                <w:sz w:val="15"/>
                <w:szCs w:val="15"/>
              </w:rPr>
            </w:pPr>
            <w:r w:rsidRPr="006A1EC7">
              <w:rPr>
                <w:bCs/>
                <w:color w:val="FF0000"/>
                <w:sz w:val="15"/>
                <w:szCs w:val="15"/>
              </w:rPr>
              <w:t>Patient unable to engage with stimuli/play, no reactions to toys/ stimuli</w:t>
            </w:r>
          </w:p>
        </w:tc>
        <w:tc>
          <w:tcPr>
            <w:tcW w:w="1560" w:type="dxa"/>
          </w:tcPr>
          <w:p w14:paraId="68F9D262" w14:textId="77777777" w:rsidR="0087601C" w:rsidRPr="006A1EC7" w:rsidRDefault="0087601C" w:rsidP="00D56051">
            <w:pPr>
              <w:rPr>
                <w:sz w:val="15"/>
                <w:szCs w:val="15"/>
              </w:rPr>
            </w:pPr>
            <w:r w:rsidRPr="006A1EC7">
              <w:rPr>
                <w:sz w:val="15"/>
                <w:szCs w:val="15"/>
              </w:rPr>
              <w:t>2</w:t>
            </w:r>
          </w:p>
        </w:tc>
      </w:tr>
      <w:tr w:rsidR="0087601C" w:rsidRPr="006A1EC7" w14:paraId="2492BF98" w14:textId="77777777" w:rsidTr="00D56051">
        <w:tc>
          <w:tcPr>
            <w:tcW w:w="3397" w:type="dxa"/>
            <w:gridSpan w:val="2"/>
          </w:tcPr>
          <w:p w14:paraId="1702EC70" w14:textId="77777777" w:rsidR="0087601C" w:rsidRPr="006A1EC7" w:rsidRDefault="0087601C" w:rsidP="00D56051">
            <w:pPr>
              <w:rPr>
                <w:bCs/>
                <w:sz w:val="15"/>
                <w:szCs w:val="15"/>
              </w:rPr>
            </w:pPr>
            <w:r w:rsidRPr="006A1EC7">
              <w:rPr>
                <w:bCs/>
                <w:color w:val="FF0000"/>
                <w:sz w:val="15"/>
                <w:szCs w:val="15"/>
              </w:rPr>
              <w:t>Patient partly able to engage with stimuli, such as holding toys or looking at lights</w:t>
            </w:r>
          </w:p>
        </w:tc>
        <w:tc>
          <w:tcPr>
            <w:tcW w:w="1560" w:type="dxa"/>
          </w:tcPr>
          <w:p w14:paraId="66354486" w14:textId="77777777" w:rsidR="0087601C" w:rsidRPr="006A1EC7" w:rsidRDefault="0087601C" w:rsidP="00D56051">
            <w:pPr>
              <w:rPr>
                <w:sz w:val="15"/>
                <w:szCs w:val="15"/>
              </w:rPr>
            </w:pPr>
            <w:r w:rsidRPr="006A1EC7">
              <w:rPr>
                <w:sz w:val="15"/>
                <w:szCs w:val="15"/>
              </w:rPr>
              <w:t>1</w:t>
            </w:r>
          </w:p>
        </w:tc>
      </w:tr>
      <w:tr w:rsidR="0087601C" w:rsidRPr="006A1EC7" w14:paraId="4B4ADEDF" w14:textId="77777777" w:rsidTr="00D56051">
        <w:tc>
          <w:tcPr>
            <w:tcW w:w="3397" w:type="dxa"/>
            <w:gridSpan w:val="2"/>
          </w:tcPr>
          <w:p w14:paraId="2CCCE7D0" w14:textId="77777777" w:rsidR="0087601C" w:rsidRPr="006A1EC7" w:rsidRDefault="0087601C" w:rsidP="00D56051">
            <w:pPr>
              <w:rPr>
                <w:bCs/>
                <w:sz w:val="15"/>
                <w:szCs w:val="15"/>
              </w:rPr>
            </w:pPr>
            <w:r w:rsidRPr="006A1EC7">
              <w:rPr>
                <w:bCs/>
                <w:color w:val="FF0000"/>
                <w:sz w:val="15"/>
                <w:szCs w:val="15"/>
              </w:rPr>
              <w:t>Patient able to engage fully in external stimuli, displays play behaviour</w:t>
            </w:r>
          </w:p>
        </w:tc>
        <w:tc>
          <w:tcPr>
            <w:tcW w:w="1560" w:type="dxa"/>
          </w:tcPr>
          <w:p w14:paraId="4BE5D5E0" w14:textId="77777777" w:rsidR="0087601C" w:rsidRPr="006A1EC7" w:rsidRDefault="0087601C" w:rsidP="00D56051">
            <w:pPr>
              <w:rPr>
                <w:sz w:val="15"/>
                <w:szCs w:val="15"/>
              </w:rPr>
            </w:pPr>
            <w:r w:rsidRPr="006A1EC7">
              <w:rPr>
                <w:sz w:val="15"/>
                <w:szCs w:val="15"/>
              </w:rPr>
              <w:t>0</w:t>
            </w:r>
          </w:p>
        </w:tc>
      </w:tr>
    </w:tbl>
    <w:p w14:paraId="1254EB74"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2F6C7BA1" w14:textId="77777777" w:rsidTr="00D56051">
        <w:tc>
          <w:tcPr>
            <w:tcW w:w="640" w:type="dxa"/>
          </w:tcPr>
          <w:p w14:paraId="5ED97DD5" w14:textId="77777777" w:rsidR="0087601C" w:rsidRPr="006A1EC7" w:rsidRDefault="0087601C" w:rsidP="00D56051">
            <w:pPr>
              <w:rPr>
                <w:sz w:val="15"/>
                <w:szCs w:val="15"/>
              </w:rPr>
            </w:pPr>
            <w:r w:rsidRPr="006A1EC7">
              <w:rPr>
                <w:sz w:val="15"/>
                <w:szCs w:val="15"/>
              </w:rPr>
              <w:t>7B</w:t>
            </w:r>
          </w:p>
        </w:tc>
        <w:tc>
          <w:tcPr>
            <w:tcW w:w="2757" w:type="dxa"/>
          </w:tcPr>
          <w:p w14:paraId="58BD3329" w14:textId="77777777" w:rsidR="0087601C" w:rsidRPr="006A1EC7" w:rsidRDefault="0087601C" w:rsidP="00D56051">
            <w:pPr>
              <w:rPr>
                <w:bCs/>
                <w:sz w:val="15"/>
                <w:szCs w:val="15"/>
              </w:rPr>
            </w:pPr>
            <w:r w:rsidRPr="006A1EC7">
              <w:rPr>
                <w:bCs/>
                <w:color w:val="FF0000"/>
                <w:sz w:val="15"/>
                <w:szCs w:val="15"/>
              </w:rPr>
              <w:t>CAN THE PATIENT PERFORM SIMPLE TASKS? (TAKEN OUT ‘HOUSEHOLD’)</w:t>
            </w:r>
          </w:p>
        </w:tc>
        <w:tc>
          <w:tcPr>
            <w:tcW w:w="1560" w:type="dxa"/>
          </w:tcPr>
          <w:p w14:paraId="6D60A37A" w14:textId="77777777" w:rsidR="0087601C" w:rsidRPr="006A1EC7" w:rsidRDefault="0087601C" w:rsidP="00D56051">
            <w:pPr>
              <w:rPr>
                <w:sz w:val="15"/>
                <w:szCs w:val="15"/>
              </w:rPr>
            </w:pPr>
          </w:p>
        </w:tc>
      </w:tr>
      <w:tr w:rsidR="0087601C" w:rsidRPr="006A1EC7" w14:paraId="6D9DA5DA" w14:textId="77777777" w:rsidTr="00D56051">
        <w:tc>
          <w:tcPr>
            <w:tcW w:w="3397" w:type="dxa"/>
            <w:gridSpan w:val="2"/>
          </w:tcPr>
          <w:p w14:paraId="6FCF9026" w14:textId="77777777" w:rsidR="0087601C" w:rsidRPr="006A1EC7" w:rsidRDefault="0087601C" w:rsidP="00D56051">
            <w:pPr>
              <w:pStyle w:val="Default"/>
              <w:rPr>
                <w:color w:val="000000" w:themeColor="text1"/>
                <w:sz w:val="15"/>
                <w:szCs w:val="15"/>
              </w:rPr>
            </w:pPr>
            <w:r w:rsidRPr="006A1EC7">
              <w:rPr>
                <w:color w:val="000000" w:themeColor="text1"/>
                <w:sz w:val="15"/>
                <w:szCs w:val="15"/>
              </w:rPr>
              <w:t xml:space="preserve">Patient unable to perform any tasks </w:t>
            </w:r>
          </w:p>
          <w:p w14:paraId="08D9F8A5" w14:textId="77777777" w:rsidR="0087601C" w:rsidRPr="006A1EC7" w:rsidRDefault="0087601C" w:rsidP="00D56051">
            <w:pPr>
              <w:rPr>
                <w:sz w:val="15"/>
                <w:szCs w:val="15"/>
              </w:rPr>
            </w:pPr>
          </w:p>
        </w:tc>
        <w:tc>
          <w:tcPr>
            <w:tcW w:w="1560" w:type="dxa"/>
          </w:tcPr>
          <w:p w14:paraId="2D2488B7" w14:textId="77777777" w:rsidR="0087601C" w:rsidRPr="006A1EC7" w:rsidRDefault="0087601C" w:rsidP="00D56051">
            <w:pPr>
              <w:rPr>
                <w:sz w:val="15"/>
                <w:szCs w:val="15"/>
              </w:rPr>
            </w:pPr>
            <w:r w:rsidRPr="006A1EC7">
              <w:rPr>
                <w:sz w:val="15"/>
                <w:szCs w:val="15"/>
              </w:rPr>
              <w:t>2</w:t>
            </w:r>
          </w:p>
        </w:tc>
      </w:tr>
      <w:tr w:rsidR="0087601C" w:rsidRPr="006A1EC7" w14:paraId="3B5B2C29" w14:textId="77777777" w:rsidTr="00D56051">
        <w:tc>
          <w:tcPr>
            <w:tcW w:w="3397" w:type="dxa"/>
            <w:gridSpan w:val="2"/>
          </w:tcPr>
          <w:p w14:paraId="53F08013" w14:textId="77777777" w:rsidR="0087601C" w:rsidRPr="006A1EC7" w:rsidRDefault="0087601C" w:rsidP="00D56051">
            <w:pPr>
              <w:rPr>
                <w:sz w:val="15"/>
                <w:szCs w:val="15"/>
              </w:rPr>
            </w:pPr>
            <w:r w:rsidRPr="006A1EC7">
              <w:rPr>
                <w:color w:val="000000" w:themeColor="text1"/>
                <w:sz w:val="15"/>
                <w:szCs w:val="15"/>
              </w:rPr>
              <w:t>Patient able to perform simple tasks, aided (e.g. making bed, setting table)</w:t>
            </w:r>
          </w:p>
        </w:tc>
        <w:tc>
          <w:tcPr>
            <w:tcW w:w="1560" w:type="dxa"/>
          </w:tcPr>
          <w:p w14:paraId="4C6E37B0" w14:textId="77777777" w:rsidR="0087601C" w:rsidRPr="006A1EC7" w:rsidRDefault="0087601C" w:rsidP="00D56051">
            <w:pPr>
              <w:rPr>
                <w:sz w:val="15"/>
                <w:szCs w:val="15"/>
              </w:rPr>
            </w:pPr>
            <w:r w:rsidRPr="006A1EC7">
              <w:rPr>
                <w:sz w:val="15"/>
                <w:szCs w:val="15"/>
              </w:rPr>
              <w:t>1</w:t>
            </w:r>
          </w:p>
        </w:tc>
      </w:tr>
      <w:tr w:rsidR="0087601C" w:rsidRPr="006A1EC7" w14:paraId="18EDB42C" w14:textId="77777777" w:rsidTr="00D56051">
        <w:tc>
          <w:tcPr>
            <w:tcW w:w="3397" w:type="dxa"/>
            <w:gridSpan w:val="2"/>
          </w:tcPr>
          <w:p w14:paraId="33B9F6D7" w14:textId="77777777" w:rsidR="0087601C" w:rsidRPr="006A1EC7" w:rsidRDefault="0087601C" w:rsidP="00D56051">
            <w:pPr>
              <w:rPr>
                <w:sz w:val="15"/>
                <w:szCs w:val="15"/>
              </w:rPr>
            </w:pPr>
            <w:r w:rsidRPr="006A1EC7">
              <w:rPr>
                <w:color w:val="000000" w:themeColor="text1"/>
                <w:sz w:val="15"/>
                <w:szCs w:val="15"/>
              </w:rPr>
              <w:t>Patient able to do simple tasks independently</w:t>
            </w:r>
          </w:p>
        </w:tc>
        <w:tc>
          <w:tcPr>
            <w:tcW w:w="1560" w:type="dxa"/>
          </w:tcPr>
          <w:p w14:paraId="003F56B3" w14:textId="77777777" w:rsidR="0087601C" w:rsidRPr="006A1EC7" w:rsidRDefault="0087601C" w:rsidP="00D56051">
            <w:pPr>
              <w:rPr>
                <w:sz w:val="15"/>
                <w:szCs w:val="15"/>
              </w:rPr>
            </w:pPr>
            <w:r w:rsidRPr="006A1EC7">
              <w:rPr>
                <w:sz w:val="15"/>
                <w:szCs w:val="15"/>
              </w:rPr>
              <w:t>0</w:t>
            </w:r>
          </w:p>
        </w:tc>
      </w:tr>
    </w:tbl>
    <w:p w14:paraId="7225B6BA" w14:textId="77777777" w:rsidR="0087601C" w:rsidRPr="006A1EC7" w:rsidRDefault="0087601C" w:rsidP="0087601C">
      <w:pPr>
        <w:rPr>
          <w:b/>
          <w:sz w:val="15"/>
          <w:szCs w:val="15"/>
          <w:u w:val="single"/>
        </w:rPr>
      </w:pPr>
    </w:p>
    <w:tbl>
      <w:tblPr>
        <w:tblStyle w:val="TableGrid"/>
        <w:tblW w:w="4957" w:type="dxa"/>
        <w:tblLook w:val="04A0" w:firstRow="1" w:lastRow="0" w:firstColumn="1" w:lastColumn="0" w:noHBand="0" w:noVBand="1"/>
      </w:tblPr>
      <w:tblGrid>
        <w:gridCol w:w="640"/>
        <w:gridCol w:w="2757"/>
        <w:gridCol w:w="1560"/>
      </w:tblGrid>
      <w:tr w:rsidR="0087601C" w:rsidRPr="006A1EC7" w14:paraId="2B5D502E" w14:textId="77777777" w:rsidTr="00D56051">
        <w:tc>
          <w:tcPr>
            <w:tcW w:w="640" w:type="dxa"/>
          </w:tcPr>
          <w:p w14:paraId="2BDFF55D" w14:textId="77777777" w:rsidR="0087601C" w:rsidRPr="006A1EC7" w:rsidRDefault="0087601C" w:rsidP="00D56051">
            <w:pPr>
              <w:rPr>
                <w:sz w:val="15"/>
                <w:szCs w:val="15"/>
              </w:rPr>
            </w:pPr>
            <w:r w:rsidRPr="006A1EC7">
              <w:rPr>
                <w:sz w:val="15"/>
                <w:szCs w:val="15"/>
              </w:rPr>
              <w:lastRenderedPageBreak/>
              <w:t>7C</w:t>
            </w:r>
          </w:p>
        </w:tc>
        <w:tc>
          <w:tcPr>
            <w:tcW w:w="2757" w:type="dxa"/>
          </w:tcPr>
          <w:p w14:paraId="49D4BD23" w14:textId="77777777" w:rsidR="0087601C" w:rsidRPr="006A1EC7" w:rsidRDefault="0087601C" w:rsidP="00D56051">
            <w:pPr>
              <w:rPr>
                <w:bCs/>
                <w:sz w:val="15"/>
                <w:szCs w:val="15"/>
              </w:rPr>
            </w:pPr>
            <w:r w:rsidRPr="006A1EC7">
              <w:rPr>
                <w:bCs/>
                <w:color w:val="FF0000"/>
                <w:sz w:val="15"/>
                <w:szCs w:val="15"/>
              </w:rPr>
              <w:t>IF APPLICABLE, WHAT SCHOOL/DAY CARE FACILITY DOES THE PATIENT ATTEND? (IF NO OPTION FITS ENTIRELY, USE SUBJECTIVE JUDGEMENT)</w:t>
            </w:r>
          </w:p>
        </w:tc>
        <w:tc>
          <w:tcPr>
            <w:tcW w:w="1560" w:type="dxa"/>
          </w:tcPr>
          <w:p w14:paraId="0168C514" w14:textId="77777777" w:rsidR="0087601C" w:rsidRPr="006A1EC7" w:rsidRDefault="0087601C" w:rsidP="00D56051">
            <w:pPr>
              <w:rPr>
                <w:sz w:val="15"/>
                <w:szCs w:val="15"/>
              </w:rPr>
            </w:pPr>
          </w:p>
        </w:tc>
      </w:tr>
      <w:tr w:rsidR="0087601C" w:rsidRPr="006A1EC7" w14:paraId="6EBB3C27" w14:textId="77777777" w:rsidTr="00D56051">
        <w:tc>
          <w:tcPr>
            <w:tcW w:w="3397" w:type="dxa"/>
            <w:gridSpan w:val="2"/>
          </w:tcPr>
          <w:p w14:paraId="35D9CC3B" w14:textId="77777777" w:rsidR="0087601C" w:rsidRPr="006A1EC7" w:rsidRDefault="0087601C" w:rsidP="00D56051">
            <w:pPr>
              <w:rPr>
                <w:sz w:val="15"/>
                <w:szCs w:val="15"/>
              </w:rPr>
            </w:pPr>
            <w:r w:rsidRPr="006A1EC7">
              <w:rPr>
                <w:sz w:val="15"/>
                <w:szCs w:val="15"/>
              </w:rPr>
              <w:t>Patient attends special needs school or day care centre, unable to go to work/mainstream school</w:t>
            </w:r>
          </w:p>
        </w:tc>
        <w:tc>
          <w:tcPr>
            <w:tcW w:w="1560" w:type="dxa"/>
          </w:tcPr>
          <w:p w14:paraId="7F7CB867" w14:textId="77777777" w:rsidR="0087601C" w:rsidRPr="006A1EC7" w:rsidRDefault="0087601C" w:rsidP="00D56051">
            <w:pPr>
              <w:rPr>
                <w:sz w:val="15"/>
                <w:szCs w:val="15"/>
              </w:rPr>
            </w:pPr>
            <w:r w:rsidRPr="006A1EC7">
              <w:rPr>
                <w:sz w:val="15"/>
                <w:szCs w:val="15"/>
              </w:rPr>
              <w:t>3</w:t>
            </w:r>
          </w:p>
        </w:tc>
      </w:tr>
      <w:tr w:rsidR="0087601C" w:rsidRPr="006A1EC7" w14:paraId="2FCA9E56" w14:textId="77777777" w:rsidTr="00D56051">
        <w:tc>
          <w:tcPr>
            <w:tcW w:w="3397" w:type="dxa"/>
            <w:gridSpan w:val="2"/>
          </w:tcPr>
          <w:p w14:paraId="1FFFA45F" w14:textId="77777777" w:rsidR="0087601C" w:rsidRPr="006A1EC7" w:rsidRDefault="0087601C" w:rsidP="00D56051">
            <w:pPr>
              <w:rPr>
                <w:sz w:val="15"/>
                <w:szCs w:val="15"/>
              </w:rPr>
            </w:pPr>
            <w:r w:rsidRPr="006A1EC7">
              <w:rPr>
                <w:sz w:val="15"/>
                <w:szCs w:val="15"/>
              </w:rPr>
              <w:t>Patient able to go to mainstream school/work, but requires 1:1 assistance at all times</w:t>
            </w:r>
          </w:p>
        </w:tc>
        <w:tc>
          <w:tcPr>
            <w:tcW w:w="1560" w:type="dxa"/>
          </w:tcPr>
          <w:p w14:paraId="2D51A243" w14:textId="77777777" w:rsidR="0087601C" w:rsidRPr="006A1EC7" w:rsidRDefault="0087601C" w:rsidP="00D56051">
            <w:pPr>
              <w:rPr>
                <w:sz w:val="15"/>
                <w:szCs w:val="15"/>
              </w:rPr>
            </w:pPr>
            <w:r w:rsidRPr="006A1EC7">
              <w:rPr>
                <w:sz w:val="15"/>
                <w:szCs w:val="15"/>
              </w:rPr>
              <w:t>2</w:t>
            </w:r>
          </w:p>
        </w:tc>
      </w:tr>
      <w:tr w:rsidR="0087601C" w:rsidRPr="006A1EC7" w14:paraId="17EFBC53" w14:textId="77777777" w:rsidTr="00D56051">
        <w:tc>
          <w:tcPr>
            <w:tcW w:w="3397" w:type="dxa"/>
            <w:gridSpan w:val="2"/>
          </w:tcPr>
          <w:p w14:paraId="0B29135A" w14:textId="77777777" w:rsidR="0087601C" w:rsidRPr="006A1EC7" w:rsidRDefault="0087601C" w:rsidP="00D56051">
            <w:pPr>
              <w:rPr>
                <w:sz w:val="15"/>
                <w:szCs w:val="15"/>
              </w:rPr>
            </w:pPr>
            <w:r w:rsidRPr="006A1EC7">
              <w:rPr>
                <w:sz w:val="15"/>
                <w:szCs w:val="15"/>
              </w:rPr>
              <w:t>Patient able to go to mainstream school/work with assistance (does not need 1:1 assistance at all times)</w:t>
            </w:r>
          </w:p>
        </w:tc>
        <w:tc>
          <w:tcPr>
            <w:tcW w:w="1560" w:type="dxa"/>
          </w:tcPr>
          <w:p w14:paraId="41D80976" w14:textId="77777777" w:rsidR="0087601C" w:rsidRPr="006A1EC7" w:rsidRDefault="0087601C" w:rsidP="00D56051">
            <w:pPr>
              <w:rPr>
                <w:sz w:val="15"/>
                <w:szCs w:val="15"/>
              </w:rPr>
            </w:pPr>
            <w:r w:rsidRPr="006A1EC7">
              <w:rPr>
                <w:sz w:val="15"/>
                <w:szCs w:val="15"/>
              </w:rPr>
              <w:t>1</w:t>
            </w:r>
          </w:p>
        </w:tc>
      </w:tr>
      <w:tr w:rsidR="0087601C" w:rsidRPr="006A1EC7" w14:paraId="3197F918" w14:textId="77777777" w:rsidTr="00D56051">
        <w:tc>
          <w:tcPr>
            <w:tcW w:w="3397" w:type="dxa"/>
            <w:gridSpan w:val="2"/>
          </w:tcPr>
          <w:p w14:paraId="6318886D" w14:textId="77777777" w:rsidR="0087601C" w:rsidRPr="006A1EC7" w:rsidRDefault="0087601C" w:rsidP="00D56051">
            <w:pPr>
              <w:rPr>
                <w:sz w:val="15"/>
                <w:szCs w:val="15"/>
              </w:rPr>
            </w:pPr>
            <w:r w:rsidRPr="006A1EC7">
              <w:rPr>
                <w:sz w:val="15"/>
                <w:szCs w:val="15"/>
              </w:rPr>
              <w:t>Patient able to go to mainstream school/participate in paid employment</w:t>
            </w:r>
          </w:p>
        </w:tc>
        <w:tc>
          <w:tcPr>
            <w:tcW w:w="1560" w:type="dxa"/>
          </w:tcPr>
          <w:p w14:paraId="3F36BA5B" w14:textId="77777777" w:rsidR="0087601C" w:rsidRPr="006A1EC7" w:rsidRDefault="0087601C" w:rsidP="00D56051">
            <w:pPr>
              <w:rPr>
                <w:sz w:val="15"/>
                <w:szCs w:val="15"/>
              </w:rPr>
            </w:pPr>
            <w:r w:rsidRPr="006A1EC7">
              <w:rPr>
                <w:sz w:val="15"/>
                <w:szCs w:val="15"/>
              </w:rPr>
              <w:t>0</w:t>
            </w:r>
          </w:p>
        </w:tc>
      </w:tr>
    </w:tbl>
    <w:p w14:paraId="2E3BE4DD"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2C289A29" w14:textId="77777777" w:rsidTr="00D56051">
        <w:tc>
          <w:tcPr>
            <w:tcW w:w="640" w:type="dxa"/>
          </w:tcPr>
          <w:p w14:paraId="4AC7AF47" w14:textId="77777777" w:rsidR="0087601C" w:rsidRPr="006A1EC7" w:rsidRDefault="0087601C" w:rsidP="00D56051">
            <w:pPr>
              <w:rPr>
                <w:sz w:val="15"/>
                <w:szCs w:val="15"/>
              </w:rPr>
            </w:pPr>
            <w:r w:rsidRPr="006A1EC7">
              <w:rPr>
                <w:sz w:val="15"/>
                <w:szCs w:val="15"/>
              </w:rPr>
              <w:t>7D</w:t>
            </w:r>
          </w:p>
        </w:tc>
        <w:tc>
          <w:tcPr>
            <w:tcW w:w="2757" w:type="dxa"/>
          </w:tcPr>
          <w:p w14:paraId="699C0B16" w14:textId="77777777" w:rsidR="0087601C" w:rsidRPr="006A1EC7" w:rsidRDefault="0087601C" w:rsidP="00D56051">
            <w:pPr>
              <w:rPr>
                <w:sz w:val="15"/>
                <w:szCs w:val="15"/>
              </w:rPr>
            </w:pPr>
            <w:r w:rsidRPr="006A1EC7">
              <w:rPr>
                <w:sz w:val="15"/>
                <w:szCs w:val="15"/>
                <w:u w:val="single"/>
              </w:rPr>
              <w:t>What is the patient’s communication and speech like?</w:t>
            </w:r>
          </w:p>
        </w:tc>
        <w:tc>
          <w:tcPr>
            <w:tcW w:w="1560" w:type="dxa"/>
          </w:tcPr>
          <w:p w14:paraId="22623218" w14:textId="77777777" w:rsidR="0087601C" w:rsidRPr="006A1EC7" w:rsidRDefault="0087601C" w:rsidP="00D56051">
            <w:pPr>
              <w:rPr>
                <w:sz w:val="15"/>
                <w:szCs w:val="15"/>
              </w:rPr>
            </w:pPr>
          </w:p>
        </w:tc>
      </w:tr>
      <w:tr w:rsidR="0087601C" w:rsidRPr="006A1EC7" w14:paraId="419AFBE8" w14:textId="77777777" w:rsidTr="00D56051">
        <w:tc>
          <w:tcPr>
            <w:tcW w:w="3397" w:type="dxa"/>
            <w:gridSpan w:val="2"/>
          </w:tcPr>
          <w:p w14:paraId="2CAEEFC3" w14:textId="77777777" w:rsidR="0087601C" w:rsidRPr="006A1EC7" w:rsidRDefault="0087601C" w:rsidP="00D56051">
            <w:pPr>
              <w:rPr>
                <w:sz w:val="15"/>
                <w:szCs w:val="15"/>
              </w:rPr>
            </w:pPr>
            <w:r w:rsidRPr="006A1EC7">
              <w:rPr>
                <w:sz w:val="15"/>
                <w:szCs w:val="15"/>
              </w:rPr>
              <w:t>Patient neither uses words nor sounds</w:t>
            </w:r>
          </w:p>
        </w:tc>
        <w:tc>
          <w:tcPr>
            <w:tcW w:w="1560" w:type="dxa"/>
          </w:tcPr>
          <w:p w14:paraId="4E30CFA6" w14:textId="77777777" w:rsidR="0087601C" w:rsidRPr="006A1EC7" w:rsidRDefault="0087601C" w:rsidP="00D56051">
            <w:pPr>
              <w:rPr>
                <w:sz w:val="15"/>
                <w:szCs w:val="15"/>
              </w:rPr>
            </w:pPr>
            <w:r w:rsidRPr="006A1EC7">
              <w:rPr>
                <w:sz w:val="15"/>
                <w:szCs w:val="15"/>
              </w:rPr>
              <w:t>4</w:t>
            </w:r>
          </w:p>
        </w:tc>
      </w:tr>
      <w:tr w:rsidR="0087601C" w:rsidRPr="006A1EC7" w14:paraId="62B17D6A" w14:textId="77777777" w:rsidTr="00D56051">
        <w:tc>
          <w:tcPr>
            <w:tcW w:w="3397" w:type="dxa"/>
            <w:gridSpan w:val="2"/>
          </w:tcPr>
          <w:p w14:paraId="71BEBCA2" w14:textId="77777777" w:rsidR="0087601C" w:rsidRPr="006A1EC7" w:rsidRDefault="0087601C" w:rsidP="00D56051">
            <w:pPr>
              <w:rPr>
                <w:sz w:val="15"/>
                <w:szCs w:val="15"/>
              </w:rPr>
            </w:pPr>
            <w:r w:rsidRPr="006A1EC7">
              <w:rPr>
                <w:sz w:val="15"/>
                <w:szCs w:val="15"/>
              </w:rPr>
              <w:t>Patient communicates via noise and sound</w:t>
            </w:r>
          </w:p>
        </w:tc>
        <w:tc>
          <w:tcPr>
            <w:tcW w:w="1560" w:type="dxa"/>
          </w:tcPr>
          <w:p w14:paraId="3D578C63" w14:textId="77777777" w:rsidR="0087601C" w:rsidRPr="006A1EC7" w:rsidRDefault="0087601C" w:rsidP="00D56051">
            <w:pPr>
              <w:rPr>
                <w:sz w:val="15"/>
                <w:szCs w:val="15"/>
              </w:rPr>
            </w:pPr>
            <w:r w:rsidRPr="006A1EC7">
              <w:rPr>
                <w:sz w:val="15"/>
                <w:szCs w:val="15"/>
              </w:rPr>
              <w:t>3</w:t>
            </w:r>
          </w:p>
        </w:tc>
      </w:tr>
      <w:tr w:rsidR="0087601C" w:rsidRPr="006A1EC7" w14:paraId="626BBFB1" w14:textId="77777777" w:rsidTr="00D56051">
        <w:tc>
          <w:tcPr>
            <w:tcW w:w="3397" w:type="dxa"/>
            <w:gridSpan w:val="2"/>
          </w:tcPr>
          <w:p w14:paraId="4E254856" w14:textId="77777777" w:rsidR="0087601C" w:rsidRPr="006A1EC7" w:rsidRDefault="0087601C" w:rsidP="00D56051">
            <w:pPr>
              <w:rPr>
                <w:sz w:val="15"/>
                <w:szCs w:val="15"/>
              </w:rPr>
            </w:pPr>
            <w:r w:rsidRPr="006A1EC7">
              <w:rPr>
                <w:sz w:val="15"/>
                <w:szCs w:val="15"/>
              </w:rPr>
              <w:t>Patient communicates using Makaton/sign language</w:t>
            </w:r>
          </w:p>
        </w:tc>
        <w:tc>
          <w:tcPr>
            <w:tcW w:w="1560" w:type="dxa"/>
          </w:tcPr>
          <w:p w14:paraId="0754FC9D" w14:textId="77777777" w:rsidR="0087601C" w:rsidRPr="006A1EC7" w:rsidRDefault="0087601C" w:rsidP="00D56051">
            <w:pPr>
              <w:rPr>
                <w:sz w:val="15"/>
                <w:szCs w:val="15"/>
              </w:rPr>
            </w:pPr>
            <w:r w:rsidRPr="006A1EC7">
              <w:rPr>
                <w:sz w:val="15"/>
                <w:szCs w:val="15"/>
              </w:rPr>
              <w:t>2</w:t>
            </w:r>
          </w:p>
        </w:tc>
      </w:tr>
      <w:tr w:rsidR="0087601C" w:rsidRPr="006A1EC7" w14:paraId="0B36F1B6" w14:textId="77777777" w:rsidTr="00D56051">
        <w:tc>
          <w:tcPr>
            <w:tcW w:w="3397" w:type="dxa"/>
            <w:gridSpan w:val="2"/>
          </w:tcPr>
          <w:p w14:paraId="5AA5CD07" w14:textId="77777777" w:rsidR="0087601C" w:rsidRPr="006A1EC7" w:rsidRDefault="0087601C" w:rsidP="00D56051">
            <w:pPr>
              <w:rPr>
                <w:sz w:val="15"/>
                <w:szCs w:val="15"/>
              </w:rPr>
            </w:pPr>
            <w:r w:rsidRPr="006A1EC7">
              <w:rPr>
                <w:sz w:val="15"/>
                <w:szCs w:val="15"/>
              </w:rPr>
              <w:t>Patient able to from a limited number of words, but unable to form sentences</w:t>
            </w:r>
          </w:p>
        </w:tc>
        <w:tc>
          <w:tcPr>
            <w:tcW w:w="1560" w:type="dxa"/>
          </w:tcPr>
          <w:p w14:paraId="25B77CAE" w14:textId="77777777" w:rsidR="0087601C" w:rsidRPr="006A1EC7" w:rsidRDefault="0087601C" w:rsidP="00D56051">
            <w:pPr>
              <w:rPr>
                <w:sz w:val="15"/>
                <w:szCs w:val="15"/>
              </w:rPr>
            </w:pPr>
            <w:r w:rsidRPr="006A1EC7">
              <w:rPr>
                <w:sz w:val="15"/>
                <w:szCs w:val="15"/>
              </w:rPr>
              <w:t>1</w:t>
            </w:r>
          </w:p>
        </w:tc>
      </w:tr>
      <w:tr w:rsidR="0087601C" w:rsidRPr="006A1EC7" w14:paraId="1F528CFC" w14:textId="77777777" w:rsidTr="00D56051">
        <w:tc>
          <w:tcPr>
            <w:tcW w:w="3397" w:type="dxa"/>
            <w:gridSpan w:val="2"/>
          </w:tcPr>
          <w:p w14:paraId="55E38611" w14:textId="77777777" w:rsidR="0087601C" w:rsidRPr="006A1EC7" w:rsidRDefault="0087601C" w:rsidP="00D56051">
            <w:pPr>
              <w:rPr>
                <w:sz w:val="15"/>
                <w:szCs w:val="15"/>
              </w:rPr>
            </w:pPr>
            <w:r w:rsidRPr="006A1EC7">
              <w:rPr>
                <w:sz w:val="15"/>
                <w:szCs w:val="15"/>
              </w:rPr>
              <w:t>Patient able to form short sentences of at least 3-5 words</w:t>
            </w:r>
          </w:p>
        </w:tc>
        <w:tc>
          <w:tcPr>
            <w:tcW w:w="1560" w:type="dxa"/>
          </w:tcPr>
          <w:p w14:paraId="149B27CD" w14:textId="77777777" w:rsidR="0087601C" w:rsidRPr="006A1EC7" w:rsidRDefault="0087601C" w:rsidP="00D56051">
            <w:pPr>
              <w:rPr>
                <w:sz w:val="15"/>
                <w:szCs w:val="15"/>
              </w:rPr>
            </w:pPr>
            <w:r w:rsidRPr="006A1EC7">
              <w:rPr>
                <w:sz w:val="15"/>
                <w:szCs w:val="15"/>
              </w:rPr>
              <w:t>0</w:t>
            </w:r>
          </w:p>
        </w:tc>
      </w:tr>
    </w:tbl>
    <w:p w14:paraId="3CF76B26" w14:textId="77777777" w:rsidR="0087601C" w:rsidRPr="006A1EC7" w:rsidRDefault="0087601C" w:rsidP="0087601C">
      <w:pPr>
        <w:rPr>
          <w:sz w:val="15"/>
          <w:szCs w:val="15"/>
        </w:rPr>
      </w:pPr>
    </w:p>
    <w:tbl>
      <w:tblPr>
        <w:tblStyle w:val="TableGrid"/>
        <w:tblW w:w="4962" w:type="dxa"/>
        <w:tblInd w:w="-5" w:type="dxa"/>
        <w:tblLook w:val="04A0" w:firstRow="1" w:lastRow="0" w:firstColumn="1" w:lastColumn="0" w:noHBand="0" w:noVBand="1"/>
      </w:tblPr>
      <w:tblGrid>
        <w:gridCol w:w="3411"/>
        <w:gridCol w:w="1551"/>
      </w:tblGrid>
      <w:tr w:rsidR="0087601C" w:rsidRPr="006A1EC7" w14:paraId="32B84549" w14:textId="77777777" w:rsidTr="00D56051">
        <w:tc>
          <w:tcPr>
            <w:tcW w:w="3411" w:type="dxa"/>
            <w:shd w:val="clear" w:color="auto" w:fill="E7E6E6" w:themeFill="background2"/>
          </w:tcPr>
          <w:p w14:paraId="7AD67535" w14:textId="77777777" w:rsidR="0087601C" w:rsidRPr="006A1EC7" w:rsidRDefault="0087601C" w:rsidP="00D56051">
            <w:pPr>
              <w:rPr>
                <w:b/>
                <w:sz w:val="15"/>
                <w:szCs w:val="15"/>
              </w:rPr>
            </w:pPr>
            <w:r w:rsidRPr="006A1EC7">
              <w:rPr>
                <w:b/>
                <w:sz w:val="15"/>
                <w:szCs w:val="15"/>
              </w:rPr>
              <w:t>Total Section 7</w:t>
            </w:r>
          </w:p>
          <w:p w14:paraId="105B5B62" w14:textId="77777777" w:rsidR="0087601C" w:rsidRPr="006A1EC7" w:rsidRDefault="0087601C" w:rsidP="00D56051">
            <w:pPr>
              <w:rPr>
                <w:b/>
                <w:sz w:val="15"/>
                <w:szCs w:val="15"/>
              </w:rPr>
            </w:pPr>
            <w:r w:rsidRPr="006A1EC7">
              <w:rPr>
                <w:b/>
                <w:sz w:val="15"/>
                <w:szCs w:val="15"/>
              </w:rPr>
              <w:t>(Maximum points 11)</w:t>
            </w:r>
          </w:p>
        </w:tc>
        <w:tc>
          <w:tcPr>
            <w:tcW w:w="1551" w:type="dxa"/>
            <w:shd w:val="clear" w:color="auto" w:fill="E7E6E6" w:themeFill="background2"/>
          </w:tcPr>
          <w:p w14:paraId="1BCD6C16" w14:textId="77777777" w:rsidR="0087601C" w:rsidRPr="006A1EC7" w:rsidRDefault="0087601C" w:rsidP="00D56051">
            <w:pPr>
              <w:rPr>
                <w:sz w:val="15"/>
                <w:szCs w:val="15"/>
              </w:rPr>
            </w:pPr>
          </w:p>
        </w:tc>
      </w:tr>
    </w:tbl>
    <w:p w14:paraId="6246CB52" w14:textId="77777777" w:rsidR="0087601C" w:rsidRPr="006A1EC7" w:rsidRDefault="0087601C" w:rsidP="0087601C">
      <w:pPr>
        <w:jc w:val="center"/>
        <w:rPr>
          <w:b/>
          <w:sz w:val="15"/>
          <w:szCs w:val="15"/>
          <w:u w:val="single"/>
        </w:rPr>
      </w:pPr>
    </w:p>
    <w:p w14:paraId="50F305C5" w14:textId="77777777" w:rsidR="0087601C" w:rsidRPr="006A1EC7" w:rsidRDefault="0087601C" w:rsidP="0087601C">
      <w:pPr>
        <w:jc w:val="center"/>
        <w:rPr>
          <w:b/>
          <w:sz w:val="15"/>
          <w:szCs w:val="15"/>
          <w:u w:val="single"/>
        </w:rPr>
      </w:pPr>
    </w:p>
    <w:p w14:paraId="16312F82" w14:textId="77777777" w:rsidR="0087601C" w:rsidRPr="006A1EC7" w:rsidRDefault="0087601C" w:rsidP="0087601C">
      <w:pPr>
        <w:jc w:val="center"/>
        <w:rPr>
          <w:b/>
          <w:sz w:val="15"/>
          <w:szCs w:val="15"/>
          <w:u w:val="single"/>
        </w:rPr>
      </w:pPr>
    </w:p>
    <w:p w14:paraId="77F85900" w14:textId="77777777" w:rsidR="0087601C" w:rsidRPr="006A1EC7" w:rsidRDefault="0087601C" w:rsidP="0087601C">
      <w:pPr>
        <w:jc w:val="center"/>
        <w:rPr>
          <w:b/>
          <w:sz w:val="15"/>
          <w:szCs w:val="15"/>
          <w:u w:val="single"/>
        </w:rPr>
      </w:pPr>
    </w:p>
    <w:p w14:paraId="0D7B5FD8" w14:textId="77777777" w:rsidR="0087601C" w:rsidRPr="006A1EC7" w:rsidRDefault="0087601C" w:rsidP="0087601C">
      <w:pPr>
        <w:ind w:left="720" w:firstLine="720"/>
        <w:rPr>
          <w:b/>
          <w:sz w:val="15"/>
          <w:szCs w:val="15"/>
          <w:u w:val="single"/>
        </w:rPr>
      </w:pPr>
      <w:r w:rsidRPr="006A1EC7">
        <w:rPr>
          <w:b/>
          <w:sz w:val="15"/>
          <w:szCs w:val="15"/>
          <w:u w:val="single"/>
        </w:rPr>
        <w:t>Section 8: Sleep</w:t>
      </w:r>
    </w:p>
    <w:p w14:paraId="5118AB46"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988"/>
        <w:gridCol w:w="2420"/>
        <w:gridCol w:w="1549"/>
      </w:tblGrid>
      <w:tr w:rsidR="0087601C" w:rsidRPr="006A1EC7" w14:paraId="37CDFA3B" w14:textId="77777777" w:rsidTr="00D56051">
        <w:tc>
          <w:tcPr>
            <w:tcW w:w="988" w:type="dxa"/>
          </w:tcPr>
          <w:p w14:paraId="3A6F730C" w14:textId="77777777" w:rsidR="0087601C" w:rsidRPr="006A1EC7" w:rsidRDefault="0087601C" w:rsidP="00D56051">
            <w:pPr>
              <w:rPr>
                <w:bCs/>
                <w:sz w:val="15"/>
                <w:szCs w:val="15"/>
              </w:rPr>
            </w:pPr>
            <w:r w:rsidRPr="006A1EC7">
              <w:rPr>
                <w:bCs/>
                <w:color w:val="FF0000"/>
                <w:sz w:val="15"/>
                <w:szCs w:val="15"/>
              </w:rPr>
              <w:t>8A</w:t>
            </w:r>
          </w:p>
        </w:tc>
        <w:tc>
          <w:tcPr>
            <w:tcW w:w="2420" w:type="dxa"/>
          </w:tcPr>
          <w:p w14:paraId="609D6C4C" w14:textId="77777777" w:rsidR="0087601C" w:rsidRPr="006A1EC7" w:rsidRDefault="0087601C" w:rsidP="00D56051">
            <w:pPr>
              <w:rPr>
                <w:bCs/>
                <w:sz w:val="15"/>
                <w:szCs w:val="15"/>
              </w:rPr>
            </w:pPr>
            <w:r w:rsidRPr="006A1EC7">
              <w:rPr>
                <w:bCs/>
                <w:color w:val="FF0000"/>
                <w:sz w:val="15"/>
                <w:szCs w:val="15"/>
              </w:rPr>
              <w:t>WHAT ARE THE PATIENT’S SLEEPING PATTERNS AT NIGHT?</w:t>
            </w:r>
          </w:p>
        </w:tc>
        <w:tc>
          <w:tcPr>
            <w:tcW w:w="1549" w:type="dxa"/>
          </w:tcPr>
          <w:p w14:paraId="125090C1" w14:textId="77777777" w:rsidR="0087601C" w:rsidRPr="006A1EC7" w:rsidRDefault="0087601C" w:rsidP="00D56051">
            <w:pPr>
              <w:rPr>
                <w:bCs/>
                <w:sz w:val="15"/>
                <w:szCs w:val="15"/>
              </w:rPr>
            </w:pPr>
          </w:p>
        </w:tc>
      </w:tr>
      <w:tr w:rsidR="0087601C" w:rsidRPr="006A1EC7" w14:paraId="322A5E6B" w14:textId="77777777" w:rsidTr="00D56051">
        <w:tc>
          <w:tcPr>
            <w:tcW w:w="3408" w:type="dxa"/>
            <w:gridSpan w:val="2"/>
          </w:tcPr>
          <w:p w14:paraId="74057329" w14:textId="77777777" w:rsidR="0087601C" w:rsidRPr="006A1EC7" w:rsidRDefault="0087601C" w:rsidP="00D56051">
            <w:pPr>
              <w:rPr>
                <w:bCs/>
                <w:sz w:val="15"/>
                <w:szCs w:val="15"/>
              </w:rPr>
            </w:pPr>
            <w:r w:rsidRPr="006A1EC7">
              <w:rPr>
                <w:bCs/>
                <w:color w:val="FF0000"/>
                <w:sz w:val="15"/>
                <w:szCs w:val="15"/>
              </w:rPr>
              <w:t>MAJORITY OF NIGHTS DISTURBED</w:t>
            </w:r>
          </w:p>
        </w:tc>
        <w:tc>
          <w:tcPr>
            <w:tcW w:w="1549" w:type="dxa"/>
          </w:tcPr>
          <w:p w14:paraId="101FE1E9" w14:textId="77777777" w:rsidR="0087601C" w:rsidRPr="006A1EC7" w:rsidRDefault="0087601C" w:rsidP="00D56051">
            <w:pPr>
              <w:rPr>
                <w:bCs/>
                <w:sz w:val="15"/>
                <w:szCs w:val="15"/>
              </w:rPr>
            </w:pPr>
            <w:r w:rsidRPr="006A1EC7">
              <w:rPr>
                <w:bCs/>
                <w:sz w:val="15"/>
                <w:szCs w:val="15"/>
              </w:rPr>
              <w:t>3</w:t>
            </w:r>
          </w:p>
        </w:tc>
      </w:tr>
      <w:tr w:rsidR="0087601C" w:rsidRPr="006A1EC7" w14:paraId="07DC0422" w14:textId="77777777" w:rsidTr="00D56051">
        <w:tc>
          <w:tcPr>
            <w:tcW w:w="3408" w:type="dxa"/>
            <w:gridSpan w:val="2"/>
          </w:tcPr>
          <w:p w14:paraId="1E75003F" w14:textId="77777777" w:rsidR="0087601C" w:rsidRPr="006A1EC7" w:rsidRDefault="0087601C" w:rsidP="00D56051">
            <w:pPr>
              <w:rPr>
                <w:bCs/>
                <w:sz w:val="15"/>
                <w:szCs w:val="15"/>
              </w:rPr>
            </w:pPr>
            <w:r w:rsidRPr="006A1EC7">
              <w:rPr>
                <w:bCs/>
                <w:color w:val="FF0000"/>
                <w:sz w:val="15"/>
                <w:szCs w:val="15"/>
              </w:rPr>
              <w:t>SOME DISTURBED NIGHTS (MAX. 2 A WEEK)</w:t>
            </w:r>
          </w:p>
        </w:tc>
        <w:tc>
          <w:tcPr>
            <w:tcW w:w="1549" w:type="dxa"/>
          </w:tcPr>
          <w:p w14:paraId="09972E68" w14:textId="77777777" w:rsidR="0087601C" w:rsidRPr="006A1EC7" w:rsidRDefault="0087601C" w:rsidP="00D56051">
            <w:pPr>
              <w:rPr>
                <w:bCs/>
                <w:sz w:val="15"/>
                <w:szCs w:val="15"/>
              </w:rPr>
            </w:pPr>
            <w:r w:rsidRPr="006A1EC7">
              <w:rPr>
                <w:bCs/>
                <w:sz w:val="15"/>
                <w:szCs w:val="15"/>
              </w:rPr>
              <w:t>2</w:t>
            </w:r>
          </w:p>
        </w:tc>
      </w:tr>
      <w:tr w:rsidR="0087601C" w:rsidRPr="006A1EC7" w14:paraId="2EAB2512" w14:textId="77777777" w:rsidTr="00D56051">
        <w:tc>
          <w:tcPr>
            <w:tcW w:w="3408" w:type="dxa"/>
            <w:gridSpan w:val="2"/>
          </w:tcPr>
          <w:p w14:paraId="1E97303F" w14:textId="77777777" w:rsidR="0087601C" w:rsidRPr="006A1EC7" w:rsidRDefault="0087601C" w:rsidP="00D56051">
            <w:pPr>
              <w:rPr>
                <w:bCs/>
                <w:sz w:val="15"/>
                <w:szCs w:val="15"/>
              </w:rPr>
            </w:pPr>
            <w:r w:rsidRPr="006A1EC7">
              <w:rPr>
                <w:bCs/>
                <w:color w:val="FF0000"/>
                <w:sz w:val="15"/>
                <w:szCs w:val="15"/>
              </w:rPr>
              <w:t>ONE DISTURBED NIGHT A WEEK</w:t>
            </w:r>
          </w:p>
        </w:tc>
        <w:tc>
          <w:tcPr>
            <w:tcW w:w="1549" w:type="dxa"/>
          </w:tcPr>
          <w:p w14:paraId="29229497" w14:textId="77777777" w:rsidR="0087601C" w:rsidRPr="006A1EC7" w:rsidRDefault="0087601C" w:rsidP="00D56051">
            <w:pPr>
              <w:rPr>
                <w:bCs/>
                <w:sz w:val="15"/>
                <w:szCs w:val="15"/>
              </w:rPr>
            </w:pPr>
            <w:r w:rsidRPr="006A1EC7">
              <w:rPr>
                <w:bCs/>
                <w:sz w:val="15"/>
                <w:szCs w:val="15"/>
              </w:rPr>
              <w:t>1</w:t>
            </w:r>
          </w:p>
        </w:tc>
      </w:tr>
      <w:tr w:rsidR="0087601C" w:rsidRPr="006A1EC7" w14:paraId="25435FCF" w14:textId="77777777" w:rsidTr="00D56051">
        <w:tc>
          <w:tcPr>
            <w:tcW w:w="3408" w:type="dxa"/>
            <w:gridSpan w:val="2"/>
          </w:tcPr>
          <w:p w14:paraId="76B9F090" w14:textId="77777777" w:rsidR="0087601C" w:rsidRPr="006A1EC7" w:rsidRDefault="0087601C" w:rsidP="00D56051">
            <w:pPr>
              <w:rPr>
                <w:bCs/>
                <w:sz w:val="15"/>
                <w:szCs w:val="15"/>
              </w:rPr>
            </w:pPr>
            <w:r w:rsidRPr="006A1EC7">
              <w:rPr>
                <w:bCs/>
                <w:color w:val="FF0000"/>
                <w:sz w:val="15"/>
                <w:szCs w:val="15"/>
              </w:rPr>
              <w:t>NO DISTURBED NIGHTS</w:t>
            </w:r>
          </w:p>
        </w:tc>
        <w:tc>
          <w:tcPr>
            <w:tcW w:w="1549" w:type="dxa"/>
          </w:tcPr>
          <w:p w14:paraId="564EBA06" w14:textId="77777777" w:rsidR="0087601C" w:rsidRPr="006A1EC7" w:rsidRDefault="0087601C" w:rsidP="00D56051">
            <w:pPr>
              <w:rPr>
                <w:bCs/>
                <w:sz w:val="15"/>
                <w:szCs w:val="15"/>
              </w:rPr>
            </w:pPr>
            <w:r w:rsidRPr="006A1EC7">
              <w:rPr>
                <w:bCs/>
                <w:sz w:val="15"/>
                <w:szCs w:val="15"/>
              </w:rPr>
              <w:t>0</w:t>
            </w:r>
          </w:p>
        </w:tc>
      </w:tr>
    </w:tbl>
    <w:p w14:paraId="24BF43B2" w14:textId="77777777" w:rsidR="0087601C" w:rsidRPr="006A1EC7" w:rsidRDefault="0087601C" w:rsidP="0087601C">
      <w:pPr>
        <w:rPr>
          <w:bCs/>
          <w:sz w:val="15"/>
          <w:szCs w:val="15"/>
        </w:rPr>
      </w:pPr>
    </w:p>
    <w:p w14:paraId="5894BFAE" w14:textId="77777777" w:rsidR="0087601C" w:rsidRPr="006A1EC7" w:rsidRDefault="0087601C" w:rsidP="0087601C">
      <w:pPr>
        <w:rPr>
          <w:bCs/>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118D3728" w14:textId="77777777" w:rsidTr="00D56051">
        <w:tc>
          <w:tcPr>
            <w:tcW w:w="640" w:type="dxa"/>
          </w:tcPr>
          <w:p w14:paraId="5D8A6301" w14:textId="77777777" w:rsidR="0087601C" w:rsidRPr="006A1EC7" w:rsidRDefault="0087601C" w:rsidP="00D56051">
            <w:pPr>
              <w:rPr>
                <w:bCs/>
                <w:sz w:val="15"/>
                <w:szCs w:val="15"/>
              </w:rPr>
            </w:pPr>
            <w:r w:rsidRPr="006A1EC7">
              <w:rPr>
                <w:bCs/>
                <w:color w:val="FF0000"/>
                <w:sz w:val="15"/>
                <w:szCs w:val="15"/>
              </w:rPr>
              <w:t>8B</w:t>
            </w:r>
          </w:p>
        </w:tc>
        <w:tc>
          <w:tcPr>
            <w:tcW w:w="2757" w:type="dxa"/>
          </w:tcPr>
          <w:p w14:paraId="210513AD" w14:textId="77777777" w:rsidR="0087601C" w:rsidRPr="006A1EC7" w:rsidRDefault="0087601C" w:rsidP="00D56051">
            <w:pPr>
              <w:rPr>
                <w:bCs/>
                <w:sz w:val="15"/>
                <w:szCs w:val="15"/>
              </w:rPr>
            </w:pPr>
            <w:r w:rsidRPr="006A1EC7">
              <w:rPr>
                <w:bCs/>
                <w:color w:val="FF0000"/>
                <w:sz w:val="15"/>
                <w:szCs w:val="15"/>
              </w:rPr>
              <w:t>IS PATIENT ABLE TO SELF-SOOTH IF DISTRUBED SLEEP?</w:t>
            </w:r>
          </w:p>
        </w:tc>
        <w:tc>
          <w:tcPr>
            <w:tcW w:w="1560" w:type="dxa"/>
          </w:tcPr>
          <w:p w14:paraId="5AD0A66B" w14:textId="77777777" w:rsidR="0087601C" w:rsidRPr="006A1EC7" w:rsidRDefault="0087601C" w:rsidP="00D56051">
            <w:pPr>
              <w:rPr>
                <w:bCs/>
                <w:sz w:val="15"/>
                <w:szCs w:val="15"/>
              </w:rPr>
            </w:pPr>
          </w:p>
        </w:tc>
      </w:tr>
      <w:tr w:rsidR="0087601C" w:rsidRPr="006A1EC7" w14:paraId="45A250AB" w14:textId="77777777" w:rsidTr="00D56051">
        <w:tc>
          <w:tcPr>
            <w:tcW w:w="3397" w:type="dxa"/>
            <w:gridSpan w:val="2"/>
          </w:tcPr>
          <w:p w14:paraId="7189BCAA" w14:textId="77777777" w:rsidR="0087601C" w:rsidRPr="006A1EC7" w:rsidRDefault="0087601C" w:rsidP="00D56051">
            <w:pPr>
              <w:rPr>
                <w:bCs/>
                <w:sz w:val="15"/>
                <w:szCs w:val="15"/>
              </w:rPr>
            </w:pPr>
            <w:r w:rsidRPr="006A1EC7">
              <w:rPr>
                <w:bCs/>
                <w:color w:val="FF0000"/>
                <w:sz w:val="15"/>
                <w:szCs w:val="15"/>
              </w:rPr>
              <w:t>NEVER, PATIENTS NEEDS CARE AND ASSISTANCE DURING WAKING PHASES</w:t>
            </w:r>
          </w:p>
        </w:tc>
        <w:tc>
          <w:tcPr>
            <w:tcW w:w="1560" w:type="dxa"/>
          </w:tcPr>
          <w:p w14:paraId="4C17BC5E" w14:textId="77777777" w:rsidR="0087601C" w:rsidRPr="006A1EC7" w:rsidRDefault="0087601C" w:rsidP="00D56051">
            <w:pPr>
              <w:rPr>
                <w:bCs/>
                <w:sz w:val="15"/>
                <w:szCs w:val="15"/>
              </w:rPr>
            </w:pPr>
            <w:r w:rsidRPr="006A1EC7">
              <w:rPr>
                <w:bCs/>
                <w:sz w:val="15"/>
                <w:szCs w:val="15"/>
              </w:rPr>
              <w:t>2</w:t>
            </w:r>
          </w:p>
        </w:tc>
      </w:tr>
      <w:tr w:rsidR="0087601C" w:rsidRPr="006A1EC7" w14:paraId="4D038794" w14:textId="77777777" w:rsidTr="00D56051">
        <w:tc>
          <w:tcPr>
            <w:tcW w:w="3397" w:type="dxa"/>
            <w:gridSpan w:val="2"/>
          </w:tcPr>
          <w:p w14:paraId="7EFD86E2" w14:textId="77777777" w:rsidR="0087601C" w:rsidRPr="006A1EC7" w:rsidRDefault="0087601C" w:rsidP="00D56051">
            <w:pPr>
              <w:rPr>
                <w:bCs/>
                <w:sz w:val="15"/>
                <w:szCs w:val="15"/>
              </w:rPr>
            </w:pPr>
            <w:r w:rsidRPr="006A1EC7">
              <w:rPr>
                <w:bCs/>
                <w:color w:val="FF0000"/>
                <w:sz w:val="15"/>
                <w:szCs w:val="15"/>
              </w:rPr>
              <w:t>SOMETIMES ABLE TO SELF SOOTH, OTHER TIMES REQUIRES</w:t>
            </w:r>
          </w:p>
        </w:tc>
        <w:tc>
          <w:tcPr>
            <w:tcW w:w="1560" w:type="dxa"/>
          </w:tcPr>
          <w:p w14:paraId="5F2C9957" w14:textId="77777777" w:rsidR="0087601C" w:rsidRPr="006A1EC7" w:rsidRDefault="0087601C" w:rsidP="00D56051">
            <w:pPr>
              <w:rPr>
                <w:bCs/>
                <w:sz w:val="15"/>
                <w:szCs w:val="15"/>
              </w:rPr>
            </w:pPr>
            <w:r w:rsidRPr="006A1EC7">
              <w:rPr>
                <w:bCs/>
                <w:sz w:val="15"/>
                <w:szCs w:val="15"/>
              </w:rPr>
              <w:t>1</w:t>
            </w:r>
          </w:p>
        </w:tc>
      </w:tr>
      <w:tr w:rsidR="0087601C" w:rsidRPr="006A1EC7" w14:paraId="4584EEC9" w14:textId="77777777" w:rsidTr="00D56051">
        <w:tc>
          <w:tcPr>
            <w:tcW w:w="3397" w:type="dxa"/>
            <w:gridSpan w:val="2"/>
          </w:tcPr>
          <w:p w14:paraId="1B7524F7" w14:textId="77777777" w:rsidR="0087601C" w:rsidRPr="006A1EC7" w:rsidRDefault="0087601C" w:rsidP="00D56051">
            <w:pPr>
              <w:rPr>
                <w:bCs/>
                <w:sz w:val="15"/>
                <w:szCs w:val="15"/>
              </w:rPr>
            </w:pPr>
            <w:r w:rsidRPr="006A1EC7">
              <w:rPr>
                <w:bCs/>
                <w:color w:val="FF0000"/>
                <w:sz w:val="15"/>
                <w:szCs w:val="15"/>
              </w:rPr>
              <w:t>ALWAYS, PATIENT DOES NOT REQUIRE ASSISTANCE OR CARE</w:t>
            </w:r>
          </w:p>
        </w:tc>
        <w:tc>
          <w:tcPr>
            <w:tcW w:w="1560" w:type="dxa"/>
          </w:tcPr>
          <w:p w14:paraId="7817D64B" w14:textId="77777777" w:rsidR="0087601C" w:rsidRPr="006A1EC7" w:rsidRDefault="0087601C" w:rsidP="00D56051">
            <w:pPr>
              <w:rPr>
                <w:bCs/>
                <w:sz w:val="15"/>
                <w:szCs w:val="15"/>
              </w:rPr>
            </w:pPr>
            <w:r w:rsidRPr="006A1EC7">
              <w:rPr>
                <w:bCs/>
                <w:sz w:val="15"/>
                <w:szCs w:val="15"/>
              </w:rPr>
              <w:t>0</w:t>
            </w:r>
          </w:p>
        </w:tc>
      </w:tr>
    </w:tbl>
    <w:p w14:paraId="17C97275" w14:textId="77777777" w:rsidR="0087601C" w:rsidRPr="006A1EC7" w:rsidRDefault="0087601C" w:rsidP="0087601C">
      <w:pPr>
        <w:rPr>
          <w:sz w:val="15"/>
          <w:szCs w:val="15"/>
        </w:rPr>
      </w:pPr>
    </w:p>
    <w:tbl>
      <w:tblPr>
        <w:tblStyle w:val="TableGrid"/>
        <w:tblW w:w="4962" w:type="dxa"/>
        <w:tblInd w:w="-5" w:type="dxa"/>
        <w:tblLook w:val="04A0" w:firstRow="1" w:lastRow="0" w:firstColumn="1" w:lastColumn="0" w:noHBand="0" w:noVBand="1"/>
      </w:tblPr>
      <w:tblGrid>
        <w:gridCol w:w="3552"/>
        <w:gridCol w:w="1410"/>
      </w:tblGrid>
      <w:tr w:rsidR="0087601C" w:rsidRPr="006A1EC7" w14:paraId="3F0AB605" w14:textId="77777777" w:rsidTr="00D56051">
        <w:tc>
          <w:tcPr>
            <w:tcW w:w="3552" w:type="dxa"/>
            <w:shd w:val="clear" w:color="auto" w:fill="E7E6E6" w:themeFill="background2"/>
          </w:tcPr>
          <w:p w14:paraId="2638B963" w14:textId="77777777" w:rsidR="0087601C" w:rsidRPr="006A1EC7" w:rsidRDefault="0087601C" w:rsidP="00D56051">
            <w:pPr>
              <w:rPr>
                <w:b/>
                <w:sz w:val="15"/>
                <w:szCs w:val="15"/>
              </w:rPr>
            </w:pPr>
            <w:r w:rsidRPr="006A1EC7">
              <w:rPr>
                <w:b/>
                <w:sz w:val="15"/>
                <w:szCs w:val="15"/>
              </w:rPr>
              <w:t>Total Section 8:</w:t>
            </w:r>
          </w:p>
          <w:p w14:paraId="692CDE5C" w14:textId="77777777" w:rsidR="0087601C" w:rsidRPr="006A1EC7" w:rsidRDefault="0087601C" w:rsidP="00D56051">
            <w:pPr>
              <w:rPr>
                <w:b/>
                <w:sz w:val="15"/>
                <w:szCs w:val="15"/>
              </w:rPr>
            </w:pPr>
            <w:r w:rsidRPr="006A1EC7">
              <w:rPr>
                <w:b/>
                <w:sz w:val="15"/>
                <w:szCs w:val="15"/>
              </w:rPr>
              <w:t>(Maximum points 5)</w:t>
            </w:r>
          </w:p>
        </w:tc>
        <w:tc>
          <w:tcPr>
            <w:tcW w:w="1410" w:type="dxa"/>
            <w:shd w:val="clear" w:color="auto" w:fill="E7E6E6" w:themeFill="background2"/>
          </w:tcPr>
          <w:p w14:paraId="795B4FA0" w14:textId="77777777" w:rsidR="0087601C" w:rsidRPr="006A1EC7" w:rsidRDefault="0087601C" w:rsidP="00D56051">
            <w:pPr>
              <w:rPr>
                <w:b/>
                <w:sz w:val="15"/>
                <w:szCs w:val="15"/>
              </w:rPr>
            </w:pPr>
          </w:p>
        </w:tc>
      </w:tr>
    </w:tbl>
    <w:p w14:paraId="18F5B243" w14:textId="77777777" w:rsidR="0087601C" w:rsidRPr="006A1EC7" w:rsidRDefault="0087601C" w:rsidP="0087601C">
      <w:pPr>
        <w:rPr>
          <w:sz w:val="15"/>
          <w:szCs w:val="15"/>
        </w:rPr>
      </w:pPr>
    </w:p>
    <w:p w14:paraId="24C48304" w14:textId="77777777" w:rsidR="0087601C" w:rsidRPr="006A1EC7" w:rsidRDefault="0087601C" w:rsidP="0087601C">
      <w:pPr>
        <w:jc w:val="center"/>
        <w:rPr>
          <w:b/>
          <w:color w:val="FF0000"/>
          <w:sz w:val="15"/>
          <w:szCs w:val="15"/>
          <w:u w:val="single"/>
        </w:rPr>
      </w:pPr>
      <w:r w:rsidRPr="006A1EC7">
        <w:rPr>
          <w:b/>
          <w:color w:val="FF0000"/>
          <w:sz w:val="15"/>
          <w:szCs w:val="15"/>
          <w:u w:val="single"/>
        </w:rPr>
        <w:t>SECTION 9: CARE</w:t>
      </w:r>
    </w:p>
    <w:p w14:paraId="21E2FFA8" w14:textId="77777777" w:rsidR="0087601C" w:rsidRPr="006A1EC7" w:rsidRDefault="0087601C" w:rsidP="0087601C">
      <w:pPr>
        <w:rPr>
          <w:b/>
          <w:color w:val="FF0000"/>
          <w:sz w:val="15"/>
          <w:szCs w:val="15"/>
        </w:rPr>
      </w:pPr>
    </w:p>
    <w:tbl>
      <w:tblPr>
        <w:tblStyle w:val="TableGrid"/>
        <w:tblW w:w="4957" w:type="dxa"/>
        <w:tblLook w:val="04A0" w:firstRow="1" w:lastRow="0" w:firstColumn="1" w:lastColumn="0" w:noHBand="0" w:noVBand="1"/>
      </w:tblPr>
      <w:tblGrid>
        <w:gridCol w:w="640"/>
        <w:gridCol w:w="2757"/>
        <w:gridCol w:w="1560"/>
      </w:tblGrid>
      <w:tr w:rsidR="0087601C" w:rsidRPr="006A1EC7" w14:paraId="595C73B9" w14:textId="77777777" w:rsidTr="00D56051">
        <w:tc>
          <w:tcPr>
            <w:tcW w:w="640" w:type="dxa"/>
          </w:tcPr>
          <w:p w14:paraId="1C768349" w14:textId="77777777" w:rsidR="0087601C" w:rsidRPr="006A1EC7" w:rsidRDefault="0087601C" w:rsidP="00D56051">
            <w:pPr>
              <w:rPr>
                <w:sz w:val="15"/>
                <w:szCs w:val="15"/>
              </w:rPr>
            </w:pPr>
            <w:r w:rsidRPr="006A1EC7">
              <w:rPr>
                <w:sz w:val="15"/>
                <w:szCs w:val="15"/>
              </w:rPr>
              <w:t>9</w:t>
            </w:r>
          </w:p>
        </w:tc>
        <w:tc>
          <w:tcPr>
            <w:tcW w:w="2757" w:type="dxa"/>
          </w:tcPr>
          <w:p w14:paraId="0997444A" w14:textId="77777777" w:rsidR="0087601C" w:rsidRPr="006A1EC7" w:rsidRDefault="0087601C" w:rsidP="00D56051">
            <w:pPr>
              <w:rPr>
                <w:bCs/>
                <w:color w:val="FF0000"/>
                <w:sz w:val="15"/>
                <w:szCs w:val="15"/>
              </w:rPr>
            </w:pPr>
            <w:r w:rsidRPr="006A1EC7">
              <w:rPr>
                <w:bCs/>
                <w:color w:val="FF0000"/>
                <w:sz w:val="15"/>
                <w:szCs w:val="15"/>
              </w:rPr>
              <w:t>WHAT IS THE LEVEL OF CARE REQUIRED FOR DAY-TO-DAY LIFE?</w:t>
            </w:r>
          </w:p>
          <w:p w14:paraId="0B238A47" w14:textId="77777777" w:rsidR="0087601C" w:rsidRPr="006A1EC7" w:rsidRDefault="0087601C" w:rsidP="00D56051">
            <w:pPr>
              <w:rPr>
                <w:bCs/>
                <w:sz w:val="15"/>
                <w:szCs w:val="15"/>
              </w:rPr>
            </w:pPr>
          </w:p>
        </w:tc>
        <w:tc>
          <w:tcPr>
            <w:tcW w:w="1560" w:type="dxa"/>
          </w:tcPr>
          <w:p w14:paraId="6D7C6C87" w14:textId="77777777" w:rsidR="0087601C" w:rsidRPr="006A1EC7" w:rsidRDefault="0087601C" w:rsidP="00D56051">
            <w:pPr>
              <w:rPr>
                <w:bCs/>
                <w:sz w:val="15"/>
                <w:szCs w:val="15"/>
              </w:rPr>
            </w:pPr>
          </w:p>
        </w:tc>
      </w:tr>
      <w:tr w:rsidR="0087601C" w:rsidRPr="006A1EC7" w14:paraId="740F0E4C" w14:textId="77777777" w:rsidTr="00D56051">
        <w:tc>
          <w:tcPr>
            <w:tcW w:w="3397" w:type="dxa"/>
            <w:gridSpan w:val="2"/>
          </w:tcPr>
          <w:p w14:paraId="4AD063A3" w14:textId="77777777" w:rsidR="0087601C" w:rsidRPr="006A1EC7" w:rsidRDefault="0087601C" w:rsidP="00D56051">
            <w:pPr>
              <w:rPr>
                <w:bCs/>
                <w:sz w:val="15"/>
                <w:szCs w:val="15"/>
              </w:rPr>
            </w:pPr>
            <w:r w:rsidRPr="006A1EC7">
              <w:rPr>
                <w:bCs/>
                <w:color w:val="FF0000"/>
                <w:sz w:val="15"/>
                <w:szCs w:val="15"/>
              </w:rPr>
              <w:t>SKILLED NURSING CARE REQUIRED, EITHER AT HOME OR A NURSING HOME</w:t>
            </w:r>
          </w:p>
        </w:tc>
        <w:tc>
          <w:tcPr>
            <w:tcW w:w="1560" w:type="dxa"/>
          </w:tcPr>
          <w:p w14:paraId="378B3F7A" w14:textId="77777777" w:rsidR="0087601C" w:rsidRPr="006A1EC7" w:rsidRDefault="0087601C" w:rsidP="00D56051">
            <w:pPr>
              <w:rPr>
                <w:bCs/>
                <w:sz w:val="15"/>
                <w:szCs w:val="15"/>
              </w:rPr>
            </w:pPr>
            <w:r w:rsidRPr="006A1EC7">
              <w:rPr>
                <w:bCs/>
                <w:sz w:val="15"/>
                <w:szCs w:val="15"/>
              </w:rPr>
              <w:t>2</w:t>
            </w:r>
          </w:p>
        </w:tc>
      </w:tr>
      <w:tr w:rsidR="0087601C" w:rsidRPr="006A1EC7" w14:paraId="15A99624" w14:textId="77777777" w:rsidTr="00D56051">
        <w:tc>
          <w:tcPr>
            <w:tcW w:w="3397" w:type="dxa"/>
            <w:gridSpan w:val="2"/>
          </w:tcPr>
          <w:p w14:paraId="00A477CB" w14:textId="77777777" w:rsidR="0087601C" w:rsidRPr="006A1EC7" w:rsidRDefault="0087601C" w:rsidP="00D56051">
            <w:pPr>
              <w:rPr>
                <w:bCs/>
                <w:sz w:val="15"/>
                <w:szCs w:val="15"/>
              </w:rPr>
            </w:pPr>
            <w:r w:rsidRPr="006A1EC7">
              <w:rPr>
                <w:bCs/>
                <w:color w:val="FF0000"/>
                <w:sz w:val="15"/>
                <w:szCs w:val="15"/>
              </w:rPr>
              <w:t>HOME NURSING BY FAMILY MEMBER, NO ADDITIONAL NURSING OR CARE SUPPORT REQUIRED (EXCLUDES DAYCARE CENTRE, SCHOOL)=</w:t>
            </w:r>
          </w:p>
        </w:tc>
        <w:tc>
          <w:tcPr>
            <w:tcW w:w="1560" w:type="dxa"/>
          </w:tcPr>
          <w:p w14:paraId="409455BA" w14:textId="77777777" w:rsidR="0087601C" w:rsidRPr="006A1EC7" w:rsidRDefault="0087601C" w:rsidP="00D56051">
            <w:pPr>
              <w:rPr>
                <w:sz w:val="15"/>
                <w:szCs w:val="15"/>
              </w:rPr>
            </w:pPr>
            <w:r w:rsidRPr="006A1EC7">
              <w:rPr>
                <w:sz w:val="15"/>
                <w:szCs w:val="15"/>
              </w:rPr>
              <w:t>1</w:t>
            </w:r>
          </w:p>
        </w:tc>
      </w:tr>
      <w:tr w:rsidR="0087601C" w:rsidRPr="006A1EC7" w14:paraId="1FC1B55E" w14:textId="77777777" w:rsidTr="00D56051">
        <w:tc>
          <w:tcPr>
            <w:tcW w:w="3397" w:type="dxa"/>
            <w:gridSpan w:val="2"/>
          </w:tcPr>
          <w:p w14:paraId="25F1B2A7" w14:textId="77777777" w:rsidR="0087601C" w:rsidRPr="006A1EC7" w:rsidRDefault="0087601C" w:rsidP="00D56051">
            <w:pPr>
              <w:rPr>
                <w:bCs/>
                <w:sz w:val="15"/>
                <w:szCs w:val="15"/>
              </w:rPr>
            </w:pPr>
            <w:r w:rsidRPr="006A1EC7">
              <w:rPr>
                <w:bCs/>
                <w:color w:val="FF0000"/>
                <w:sz w:val="15"/>
                <w:szCs w:val="15"/>
              </w:rPr>
              <w:lastRenderedPageBreak/>
              <w:t>NO CARE REQUIRED, PATIENT IS INDEPENDENT</w:t>
            </w:r>
          </w:p>
        </w:tc>
        <w:tc>
          <w:tcPr>
            <w:tcW w:w="1560" w:type="dxa"/>
          </w:tcPr>
          <w:p w14:paraId="445F86C3" w14:textId="77777777" w:rsidR="0087601C" w:rsidRPr="006A1EC7" w:rsidRDefault="0087601C" w:rsidP="00D56051">
            <w:pPr>
              <w:rPr>
                <w:sz w:val="15"/>
                <w:szCs w:val="15"/>
              </w:rPr>
            </w:pPr>
            <w:r w:rsidRPr="006A1EC7">
              <w:rPr>
                <w:sz w:val="15"/>
                <w:szCs w:val="15"/>
              </w:rPr>
              <w:t>0</w:t>
            </w:r>
          </w:p>
        </w:tc>
      </w:tr>
    </w:tbl>
    <w:p w14:paraId="65579869" w14:textId="77777777" w:rsidR="0087601C" w:rsidRPr="006A1EC7" w:rsidRDefault="0087601C" w:rsidP="0087601C">
      <w:pPr>
        <w:rPr>
          <w:sz w:val="15"/>
          <w:szCs w:val="15"/>
        </w:rPr>
      </w:pPr>
    </w:p>
    <w:tbl>
      <w:tblPr>
        <w:tblStyle w:val="TableGrid"/>
        <w:tblW w:w="4962" w:type="dxa"/>
        <w:tblInd w:w="-5" w:type="dxa"/>
        <w:tblLook w:val="04A0" w:firstRow="1" w:lastRow="0" w:firstColumn="1" w:lastColumn="0" w:noHBand="0" w:noVBand="1"/>
      </w:tblPr>
      <w:tblGrid>
        <w:gridCol w:w="3552"/>
        <w:gridCol w:w="1410"/>
      </w:tblGrid>
      <w:tr w:rsidR="0087601C" w:rsidRPr="006A1EC7" w14:paraId="7D308716" w14:textId="77777777" w:rsidTr="00D56051">
        <w:tc>
          <w:tcPr>
            <w:tcW w:w="3552" w:type="dxa"/>
            <w:shd w:val="clear" w:color="auto" w:fill="E7E6E6" w:themeFill="background2"/>
          </w:tcPr>
          <w:p w14:paraId="6C7ED600" w14:textId="77777777" w:rsidR="0087601C" w:rsidRPr="006A1EC7" w:rsidRDefault="0087601C" w:rsidP="00D56051">
            <w:pPr>
              <w:rPr>
                <w:b/>
                <w:sz w:val="15"/>
                <w:szCs w:val="15"/>
              </w:rPr>
            </w:pPr>
            <w:r w:rsidRPr="006A1EC7">
              <w:rPr>
                <w:b/>
                <w:sz w:val="15"/>
                <w:szCs w:val="15"/>
              </w:rPr>
              <w:t>Total Section 9:</w:t>
            </w:r>
          </w:p>
          <w:p w14:paraId="58E4A061" w14:textId="77777777" w:rsidR="0087601C" w:rsidRPr="006A1EC7" w:rsidRDefault="0087601C" w:rsidP="00D56051">
            <w:pPr>
              <w:rPr>
                <w:b/>
                <w:sz w:val="15"/>
                <w:szCs w:val="15"/>
              </w:rPr>
            </w:pPr>
            <w:r w:rsidRPr="006A1EC7">
              <w:rPr>
                <w:b/>
                <w:sz w:val="15"/>
                <w:szCs w:val="15"/>
              </w:rPr>
              <w:t>(Maximum points 2)</w:t>
            </w:r>
          </w:p>
        </w:tc>
        <w:tc>
          <w:tcPr>
            <w:tcW w:w="1410" w:type="dxa"/>
            <w:shd w:val="clear" w:color="auto" w:fill="E7E6E6" w:themeFill="background2"/>
          </w:tcPr>
          <w:p w14:paraId="55E9961C" w14:textId="77777777" w:rsidR="0087601C" w:rsidRPr="006A1EC7" w:rsidRDefault="0087601C" w:rsidP="00D56051">
            <w:pPr>
              <w:rPr>
                <w:b/>
                <w:sz w:val="15"/>
                <w:szCs w:val="15"/>
              </w:rPr>
            </w:pPr>
          </w:p>
        </w:tc>
      </w:tr>
    </w:tbl>
    <w:p w14:paraId="49BB4BCE" w14:textId="77777777" w:rsidR="0087601C" w:rsidRPr="006A1EC7" w:rsidRDefault="0087601C" w:rsidP="0087601C">
      <w:pPr>
        <w:rPr>
          <w:sz w:val="15"/>
          <w:szCs w:val="15"/>
        </w:rPr>
      </w:pPr>
    </w:p>
    <w:p w14:paraId="3157FE92" w14:textId="77777777" w:rsidR="0087601C" w:rsidRPr="006A1EC7" w:rsidRDefault="0087601C" w:rsidP="0087601C">
      <w:pPr>
        <w:rPr>
          <w:b/>
          <w:sz w:val="15"/>
          <w:szCs w:val="15"/>
          <w:u w:val="single"/>
        </w:rPr>
      </w:pPr>
      <w:r w:rsidRPr="006A1EC7">
        <w:rPr>
          <w:b/>
          <w:sz w:val="15"/>
          <w:szCs w:val="15"/>
          <w:u w:val="single"/>
        </w:rPr>
        <w:t>Scoring</w:t>
      </w:r>
    </w:p>
    <w:p w14:paraId="17CDEDA0" w14:textId="77777777" w:rsidR="0087601C" w:rsidRPr="006A1EC7" w:rsidRDefault="0087601C" w:rsidP="0087601C">
      <w:pPr>
        <w:rPr>
          <w:sz w:val="15"/>
          <w:szCs w:val="15"/>
        </w:rPr>
      </w:pPr>
    </w:p>
    <w:tbl>
      <w:tblPr>
        <w:tblStyle w:val="TableGrid"/>
        <w:tblW w:w="4957" w:type="dxa"/>
        <w:tblLook w:val="04A0" w:firstRow="1" w:lastRow="0" w:firstColumn="1" w:lastColumn="0" w:noHBand="0" w:noVBand="1"/>
      </w:tblPr>
      <w:tblGrid>
        <w:gridCol w:w="2433"/>
        <w:gridCol w:w="2524"/>
      </w:tblGrid>
      <w:tr w:rsidR="0087601C" w:rsidRPr="006A1EC7" w14:paraId="33B983E3" w14:textId="77777777" w:rsidTr="00D56051">
        <w:tc>
          <w:tcPr>
            <w:tcW w:w="2433" w:type="dxa"/>
            <w:shd w:val="clear" w:color="auto" w:fill="E7E6E6" w:themeFill="background2"/>
          </w:tcPr>
          <w:p w14:paraId="5221CAA5" w14:textId="77777777" w:rsidR="0087601C" w:rsidRPr="006A1EC7" w:rsidRDefault="0087601C" w:rsidP="00D56051">
            <w:pPr>
              <w:rPr>
                <w:b/>
                <w:sz w:val="15"/>
                <w:szCs w:val="15"/>
              </w:rPr>
            </w:pPr>
            <w:r w:rsidRPr="006A1EC7">
              <w:rPr>
                <w:b/>
                <w:sz w:val="15"/>
                <w:szCs w:val="15"/>
              </w:rPr>
              <w:t>Facial Features</w:t>
            </w:r>
          </w:p>
        </w:tc>
        <w:tc>
          <w:tcPr>
            <w:tcW w:w="2524" w:type="dxa"/>
            <w:shd w:val="clear" w:color="auto" w:fill="E7E6E6" w:themeFill="background2"/>
          </w:tcPr>
          <w:p w14:paraId="75680CA1" w14:textId="77777777" w:rsidR="0087601C" w:rsidRPr="006A1EC7" w:rsidRDefault="0087601C" w:rsidP="00D56051">
            <w:pPr>
              <w:jc w:val="right"/>
              <w:rPr>
                <w:b/>
                <w:sz w:val="15"/>
                <w:szCs w:val="15"/>
              </w:rPr>
            </w:pPr>
            <w:r w:rsidRPr="006A1EC7">
              <w:rPr>
                <w:b/>
                <w:sz w:val="15"/>
                <w:szCs w:val="15"/>
              </w:rPr>
              <w:t xml:space="preserve">  /11</w:t>
            </w:r>
          </w:p>
        </w:tc>
      </w:tr>
      <w:tr w:rsidR="0087601C" w:rsidRPr="006A1EC7" w14:paraId="7EFE708F" w14:textId="77777777" w:rsidTr="00D56051">
        <w:tc>
          <w:tcPr>
            <w:tcW w:w="2433" w:type="dxa"/>
            <w:shd w:val="clear" w:color="auto" w:fill="E7E6E6" w:themeFill="background2"/>
          </w:tcPr>
          <w:p w14:paraId="6F0557A1" w14:textId="77777777" w:rsidR="0087601C" w:rsidRPr="006A1EC7" w:rsidRDefault="0087601C" w:rsidP="00D56051">
            <w:pPr>
              <w:rPr>
                <w:b/>
                <w:sz w:val="15"/>
                <w:szCs w:val="15"/>
              </w:rPr>
            </w:pPr>
            <w:r w:rsidRPr="006A1EC7">
              <w:rPr>
                <w:b/>
                <w:sz w:val="15"/>
                <w:szCs w:val="15"/>
              </w:rPr>
              <w:t>Epilepsy/Seizures</w:t>
            </w:r>
          </w:p>
        </w:tc>
        <w:tc>
          <w:tcPr>
            <w:tcW w:w="2524" w:type="dxa"/>
            <w:shd w:val="clear" w:color="auto" w:fill="E7E6E6" w:themeFill="background2"/>
          </w:tcPr>
          <w:p w14:paraId="3AFFB639" w14:textId="77777777" w:rsidR="0087601C" w:rsidRPr="006A1EC7" w:rsidRDefault="0087601C" w:rsidP="00D56051">
            <w:pPr>
              <w:jc w:val="right"/>
              <w:rPr>
                <w:b/>
                <w:sz w:val="15"/>
                <w:szCs w:val="15"/>
              </w:rPr>
            </w:pPr>
            <w:r w:rsidRPr="006A1EC7">
              <w:rPr>
                <w:b/>
                <w:sz w:val="15"/>
                <w:szCs w:val="15"/>
              </w:rPr>
              <w:t>/21</w:t>
            </w:r>
          </w:p>
        </w:tc>
      </w:tr>
      <w:tr w:rsidR="0087601C" w:rsidRPr="006A1EC7" w14:paraId="11E63939" w14:textId="77777777" w:rsidTr="00D56051">
        <w:tc>
          <w:tcPr>
            <w:tcW w:w="2433" w:type="dxa"/>
            <w:shd w:val="clear" w:color="auto" w:fill="E7E6E6" w:themeFill="background2"/>
          </w:tcPr>
          <w:p w14:paraId="02312593" w14:textId="77777777" w:rsidR="0087601C" w:rsidRPr="006A1EC7" w:rsidRDefault="0087601C" w:rsidP="00D56051">
            <w:pPr>
              <w:rPr>
                <w:b/>
                <w:sz w:val="15"/>
                <w:szCs w:val="15"/>
              </w:rPr>
            </w:pPr>
            <w:r w:rsidRPr="006A1EC7">
              <w:rPr>
                <w:b/>
                <w:sz w:val="15"/>
                <w:szCs w:val="15"/>
              </w:rPr>
              <w:t>Gastrointestinal + Genitourinary</w:t>
            </w:r>
          </w:p>
        </w:tc>
        <w:tc>
          <w:tcPr>
            <w:tcW w:w="2524" w:type="dxa"/>
            <w:shd w:val="clear" w:color="auto" w:fill="E7E6E6" w:themeFill="background2"/>
          </w:tcPr>
          <w:p w14:paraId="327B2330" w14:textId="77777777" w:rsidR="0087601C" w:rsidRPr="006A1EC7" w:rsidRDefault="0087601C" w:rsidP="00D56051">
            <w:pPr>
              <w:jc w:val="right"/>
              <w:rPr>
                <w:b/>
                <w:sz w:val="15"/>
                <w:szCs w:val="15"/>
              </w:rPr>
            </w:pPr>
            <w:r w:rsidRPr="006A1EC7">
              <w:rPr>
                <w:b/>
                <w:sz w:val="15"/>
                <w:szCs w:val="15"/>
              </w:rPr>
              <w:t>/37 if female</w:t>
            </w:r>
          </w:p>
          <w:p w14:paraId="3901B76A" w14:textId="77777777" w:rsidR="0087601C" w:rsidRPr="006A1EC7" w:rsidRDefault="0087601C" w:rsidP="00D56051">
            <w:pPr>
              <w:jc w:val="right"/>
              <w:rPr>
                <w:b/>
                <w:sz w:val="15"/>
                <w:szCs w:val="15"/>
              </w:rPr>
            </w:pPr>
            <w:r w:rsidRPr="006A1EC7">
              <w:rPr>
                <w:b/>
                <w:sz w:val="15"/>
                <w:szCs w:val="15"/>
              </w:rPr>
              <w:t>/40 if male</w:t>
            </w:r>
          </w:p>
        </w:tc>
      </w:tr>
      <w:tr w:rsidR="0087601C" w:rsidRPr="006A1EC7" w14:paraId="27B8AD69" w14:textId="77777777" w:rsidTr="00D56051">
        <w:tc>
          <w:tcPr>
            <w:tcW w:w="2433" w:type="dxa"/>
            <w:shd w:val="clear" w:color="auto" w:fill="E7E6E6" w:themeFill="background2"/>
          </w:tcPr>
          <w:p w14:paraId="482DFFC5" w14:textId="77777777" w:rsidR="0087601C" w:rsidRPr="006A1EC7" w:rsidRDefault="0087601C" w:rsidP="00D56051">
            <w:pPr>
              <w:rPr>
                <w:b/>
                <w:sz w:val="15"/>
                <w:szCs w:val="15"/>
              </w:rPr>
            </w:pPr>
            <w:r w:rsidRPr="006A1EC7">
              <w:rPr>
                <w:b/>
                <w:sz w:val="15"/>
                <w:szCs w:val="15"/>
              </w:rPr>
              <w:t>Cardiac and respiratory</w:t>
            </w:r>
          </w:p>
        </w:tc>
        <w:tc>
          <w:tcPr>
            <w:tcW w:w="2524" w:type="dxa"/>
            <w:shd w:val="clear" w:color="auto" w:fill="E7E6E6" w:themeFill="background2"/>
          </w:tcPr>
          <w:p w14:paraId="27BA0E05" w14:textId="77777777" w:rsidR="0087601C" w:rsidRPr="006A1EC7" w:rsidRDefault="0087601C" w:rsidP="00D56051">
            <w:pPr>
              <w:jc w:val="right"/>
              <w:rPr>
                <w:b/>
                <w:sz w:val="15"/>
                <w:szCs w:val="15"/>
              </w:rPr>
            </w:pPr>
            <w:r w:rsidRPr="006A1EC7">
              <w:rPr>
                <w:b/>
                <w:sz w:val="15"/>
                <w:szCs w:val="15"/>
              </w:rPr>
              <w:t>/15</w:t>
            </w:r>
          </w:p>
        </w:tc>
      </w:tr>
      <w:tr w:rsidR="0087601C" w:rsidRPr="006A1EC7" w14:paraId="2A8A83E0" w14:textId="77777777" w:rsidTr="00D56051">
        <w:tc>
          <w:tcPr>
            <w:tcW w:w="2433" w:type="dxa"/>
            <w:shd w:val="clear" w:color="auto" w:fill="E7E6E6" w:themeFill="background2"/>
          </w:tcPr>
          <w:p w14:paraId="72E15595" w14:textId="77777777" w:rsidR="0087601C" w:rsidRPr="006A1EC7" w:rsidRDefault="0087601C" w:rsidP="00D56051">
            <w:pPr>
              <w:rPr>
                <w:b/>
                <w:sz w:val="15"/>
                <w:szCs w:val="15"/>
              </w:rPr>
            </w:pPr>
            <w:r w:rsidRPr="006A1EC7">
              <w:rPr>
                <w:b/>
                <w:sz w:val="15"/>
                <w:szCs w:val="15"/>
              </w:rPr>
              <w:t>CNS</w:t>
            </w:r>
          </w:p>
        </w:tc>
        <w:tc>
          <w:tcPr>
            <w:tcW w:w="2524" w:type="dxa"/>
            <w:shd w:val="clear" w:color="auto" w:fill="E7E6E6" w:themeFill="background2"/>
          </w:tcPr>
          <w:p w14:paraId="499D170F" w14:textId="77777777" w:rsidR="0087601C" w:rsidRPr="006A1EC7" w:rsidRDefault="0087601C" w:rsidP="00D56051">
            <w:pPr>
              <w:jc w:val="right"/>
              <w:rPr>
                <w:b/>
                <w:sz w:val="15"/>
                <w:szCs w:val="15"/>
              </w:rPr>
            </w:pPr>
            <w:r w:rsidRPr="006A1EC7">
              <w:rPr>
                <w:b/>
                <w:sz w:val="15"/>
                <w:szCs w:val="15"/>
              </w:rPr>
              <w:t>/26</w:t>
            </w:r>
          </w:p>
        </w:tc>
      </w:tr>
      <w:tr w:rsidR="0087601C" w:rsidRPr="006A1EC7" w14:paraId="54BA7B38" w14:textId="77777777" w:rsidTr="00D56051">
        <w:tc>
          <w:tcPr>
            <w:tcW w:w="2433" w:type="dxa"/>
            <w:shd w:val="clear" w:color="auto" w:fill="E7E6E6" w:themeFill="background2"/>
          </w:tcPr>
          <w:p w14:paraId="1EF1F1A8" w14:textId="77777777" w:rsidR="0087601C" w:rsidRPr="006A1EC7" w:rsidRDefault="0087601C" w:rsidP="00D56051">
            <w:pPr>
              <w:rPr>
                <w:b/>
                <w:sz w:val="15"/>
                <w:szCs w:val="15"/>
              </w:rPr>
            </w:pPr>
            <w:r w:rsidRPr="006A1EC7">
              <w:rPr>
                <w:b/>
                <w:sz w:val="15"/>
                <w:szCs w:val="15"/>
              </w:rPr>
              <w:t>Immunity</w:t>
            </w:r>
          </w:p>
        </w:tc>
        <w:tc>
          <w:tcPr>
            <w:tcW w:w="2524" w:type="dxa"/>
            <w:shd w:val="clear" w:color="auto" w:fill="E7E6E6" w:themeFill="background2"/>
          </w:tcPr>
          <w:p w14:paraId="42D0863C" w14:textId="77777777" w:rsidR="0087601C" w:rsidRPr="006A1EC7" w:rsidRDefault="0087601C" w:rsidP="00D56051">
            <w:pPr>
              <w:jc w:val="right"/>
              <w:rPr>
                <w:b/>
                <w:sz w:val="15"/>
                <w:szCs w:val="15"/>
              </w:rPr>
            </w:pPr>
            <w:r w:rsidRPr="006A1EC7">
              <w:rPr>
                <w:b/>
                <w:sz w:val="15"/>
                <w:szCs w:val="15"/>
              </w:rPr>
              <w:t>/12</w:t>
            </w:r>
          </w:p>
        </w:tc>
      </w:tr>
      <w:tr w:rsidR="0087601C" w:rsidRPr="006A1EC7" w14:paraId="3522A39A" w14:textId="77777777" w:rsidTr="00D56051">
        <w:tc>
          <w:tcPr>
            <w:tcW w:w="2433" w:type="dxa"/>
            <w:shd w:val="clear" w:color="auto" w:fill="E7E6E6" w:themeFill="background2"/>
          </w:tcPr>
          <w:p w14:paraId="111601DE" w14:textId="77777777" w:rsidR="0087601C" w:rsidRPr="006A1EC7" w:rsidRDefault="0087601C" w:rsidP="00D56051">
            <w:pPr>
              <w:rPr>
                <w:b/>
                <w:sz w:val="15"/>
                <w:szCs w:val="15"/>
              </w:rPr>
            </w:pPr>
            <w:r w:rsidRPr="006A1EC7">
              <w:rPr>
                <w:b/>
                <w:sz w:val="15"/>
                <w:szCs w:val="15"/>
              </w:rPr>
              <w:t>Sleep</w:t>
            </w:r>
          </w:p>
        </w:tc>
        <w:tc>
          <w:tcPr>
            <w:tcW w:w="2524" w:type="dxa"/>
            <w:shd w:val="clear" w:color="auto" w:fill="E7E6E6" w:themeFill="background2"/>
          </w:tcPr>
          <w:p w14:paraId="1452520E" w14:textId="77777777" w:rsidR="0087601C" w:rsidRPr="006A1EC7" w:rsidRDefault="0087601C" w:rsidP="00D56051">
            <w:pPr>
              <w:jc w:val="right"/>
              <w:rPr>
                <w:b/>
                <w:sz w:val="15"/>
                <w:szCs w:val="15"/>
              </w:rPr>
            </w:pPr>
            <w:r w:rsidRPr="006A1EC7">
              <w:rPr>
                <w:b/>
                <w:sz w:val="15"/>
                <w:szCs w:val="15"/>
              </w:rPr>
              <w:t>/5</w:t>
            </w:r>
          </w:p>
        </w:tc>
      </w:tr>
      <w:tr w:rsidR="0087601C" w:rsidRPr="006A1EC7" w14:paraId="7C092FB1" w14:textId="77777777" w:rsidTr="00D56051">
        <w:tc>
          <w:tcPr>
            <w:tcW w:w="2433" w:type="dxa"/>
            <w:shd w:val="clear" w:color="auto" w:fill="E7E6E6" w:themeFill="background2"/>
          </w:tcPr>
          <w:p w14:paraId="0CEB0D7C" w14:textId="77777777" w:rsidR="0087601C" w:rsidRPr="006A1EC7" w:rsidRDefault="0087601C" w:rsidP="00D56051">
            <w:pPr>
              <w:rPr>
                <w:b/>
                <w:sz w:val="15"/>
                <w:szCs w:val="15"/>
              </w:rPr>
            </w:pPr>
            <w:r w:rsidRPr="006A1EC7">
              <w:rPr>
                <w:b/>
                <w:sz w:val="15"/>
                <w:szCs w:val="15"/>
              </w:rPr>
              <w:t>Care</w:t>
            </w:r>
          </w:p>
        </w:tc>
        <w:tc>
          <w:tcPr>
            <w:tcW w:w="2524" w:type="dxa"/>
            <w:shd w:val="clear" w:color="auto" w:fill="E7E6E6" w:themeFill="background2"/>
          </w:tcPr>
          <w:p w14:paraId="30710CEA" w14:textId="77777777" w:rsidR="0087601C" w:rsidRPr="006A1EC7" w:rsidRDefault="0087601C" w:rsidP="00D56051">
            <w:pPr>
              <w:jc w:val="right"/>
              <w:rPr>
                <w:b/>
                <w:sz w:val="15"/>
                <w:szCs w:val="15"/>
              </w:rPr>
            </w:pPr>
            <w:r w:rsidRPr="006A1EC7">
              <w:rPr>
                <w:b/>
                <w:sz w:val="15"/>
                <w:szCs w:val="15"/>
              </w:rPr>
              <w:t>/2</w:t>
            </w:r>
          </w:p>
        </w:tc>
      </w:tr>
      <w:tr w:rsidR="0087601C" w:rsidRPr="006A1EC7" w14:paraId="62557603" w14:textId="77777777" w:rsidTr="00D56051">
        <w:tc>
          <w:tcPr>
            <w:tcW w:w="2433" w:type="dxa"/>
            <w:shd w:val="clear" w:color="auto" w:fill="E7E6E6" w:themeFill="background2"/>
          </w:tcPr>
          <w:p w14:paraId="07778C78" w14:textId="77777777" w:rsidR="0087601C" w:rsidRPr="006A1EC7" w:rsidRDefault="0087601C" w:rsidP="00D56051">
            <w:pPr>
              <w:rPr>
                <w:b/>
                <w:sz w:val="15"/>
                <w:szCs w:val="15"/>
              </w:rPr>
            </w:pPr>
            <w:r w:rsidRPr="006A1EC7">
              <w:rPr>
                <w:b/>
                <w:sz w:val="15"/>
                <w:szCs w:val="15"/>
              </w:rPr>
              <w:t>Total score:</w:t>
            </w:r>
          </w:p>
        </w:tc>
        <w:tc>
          <w:tcPr>
            <w:tcW w:w="2524" w:type="dxa"/>
            <w:shd w:val="clear" w:color="auto" w:fill="E7E6E6" w:themeFill="background2"/>
          </w:tcPr>
          <w:p w14:paraId="1054921E" w14:textId="77777777" w:rsidR="0087601C" w:rsidRPr="006A1EC7" w:rsidRDefault="0087601C" w:rsidP="00D56051">
            <w:pPr>
              <w:jc w:val="right"/>
              <w:rPr>
                <w:b/>
                <w:sz w:val="15"/>
                <w:szCs w:val="15"/>
              </w:rPr>
            </w:pPr>
            <w:r w:rsidRPr="006A1EC7">
              <w:rPr>
                <w:b/>
                <w:sz w:val="15"/>
                <w:szCs w:val="15"/>
              </w:rPr>
              <w:t>/137 if female</w:t>
            </w:r>
          </w:p>
          <w:p w14:paraId="1776370F" w14:textId="77777777" w:rsidR="0087601C" w:rsidRPr="006A1EC7" w:rsidRDefault="0087601C" w:rsidP="00D56051">
            <w:pPr>
              <w:jc w:val="right"/>
              <w:rPr>
                <w:b/>
                <w:sz w:val="15"/>
                <w:szCs w:val="15"/>
              </w:rPr>
            </w:pPr>
          </w:p>
          <w:p w14:paraId="2D2AE9BB" w14:textId="77777777" w:rsidR="0087601C" w:rsidRPr="006A1EC7" w:rsidRDefault="0087601C" w:rsidP="00D56051">
            <w:pPr>
              <w:jc w:val="right"/>
              <w:rPr>
                <w:b/>
                <w:sz w:val="15"/>
                <w:szCs w:val="15"/>
              </w:rPr>
            </w:pPr>
            <w:r w:rsidRPr="006A1EC7">
              <w:rPr>
                <w:b/>
                <w:sz w:val="15"/>
                <w:szCs w:val="15"/>
              </w:rPr>
              <w:t>/140 if male</w:t>
            </w:r>
          </w:p>
        </w:tc>
      </w:tr>
    </w:tbl>
    <w:p w14:paraId="039D2B15" w14:textId="77777777" w:rsidR="0087601C" w:rsidRPr="006A1EC7" w:rsidRDefault="0087601C" w:rsidP="0087601C">
      <w:pPr>
        <w:rPr>
          <w:sz w:val="15"/>
          <w:szCs w:val="15"/>
        </w:rPr>
      </w:pPr>
    </w:p>
    <w:p w14:paraId="3F8A7DE0" w14:textId="77777777" w:rsidR="0087601C" w:rsidRPr="006A1EC7" w:rsidRDefault="0087601C" w:rsidP="0087601C">
      <w:pPr>
        <w:rPr>
          <w:b/>
          <w:sz w:val="15"/>
          <w:szCs w:val="15"/>
          <w:u w:val="single"/>
        </w:rPr>
      </w:pPr>
      <w:r w:rsidRPr="006A1EC7">
        <w:rPr>
          <w:b/>
          <w:sz w:val="15"/>
          <w:szCs w:val="15"/>
          <w:u w:val="single"/>
        </w:rPr>
        <w:t>Notes:</w:t>
      </w:r>
    </w:p>
    <w:p w14:paraId="3F0BCB86" w14:textId="77777777" w:rsidR="0087601C" w:rsidRPr="006A1EC7" w:rsidRDefault="0087601C" w:rsidP="0087601C">
      <w:pPr>
        <w:rPr>
          <w:b/>
          <w:sz w:val="15"/>
          <w:szCs w:val="15"/>
          <w:u w:val="single"/>
        </w:rPr>
      </w:pPr>
    </w:p>
    <w:p w14:paraId="428BA2A7" w14:textId="77777777" w:rsidR="0087601C" w:rsidRPr="006A1EC7" w:rsidRDefault="0087601C" w:rsidP="0087601C">
      <w:pPr>
        <w:rPr>
          <w:b/>
          <w:sz w:val="15"/>
          <w:szCs w:val="15"/>
          <w:u w:val="single"/>
        </w:rPr>
      </w:pPr>
    </w:p>
    <w:tbl>
      <w:tblPr>
        <w:tblStyle w:val="TableGrid"/>
        <w:tblW w:w="0" w:type="auto"/>
        <w:tblLook w:val="04A0" w:firstRow="1" w:lastRow="0" w:firstColumn="1" w:lastColumn="0" w:noHBand="0" w:noVBand="1"/>
      </w:tblPr>
      <w:tblGrid>
        <w:gridCol w:w="4671"/>
      </w:tblGrid>
      <w:tr w:rsidR="0087601C" w:rsidRPr="006A1EC7" w14:paraId="4AD88F9A" w14:textId="77777777" w:rsidTr="00D56051">
        <w:trPr>
          <w:trHeight w:val="1689"/>
        </w:trPr>
        <w:tc>
          <w:tcPr>
            <w:tcW w:w="4671" w:type="dxa"/>
          </w:tcPr>
          <w:p w14:paraId="01EBCBBF" w14:textId="77777777" w:rsidR="0087601C" w:rsidRPr="006A1EC7" w:rsidRDefault="0087601C" w:rsidP="00D56051">
            <w:pPr>
              <w:rPr>
                <w:b/>
                <w:sz w:val="15"/>
                <w:szCs w:val="15"/>
                <w:u w:val="single"/>
              </w:rPr>
            </w:pPr>
          </w:p>
          <w:p w14:paraId="4DF40127" w14:textId="77777777" w:rsidR="0087601C" w:rsidRPr="006A1EC7" w:rsidRDefault="0087601C" w:rsidP="00D56051">
            <w:pPr>
              <w:rPr>
                <w:b/>
                <w:sz w:val="15"/>
                <w:szCs w:val="15"/>
                <w:u w:val="single"/>
              </w:rPr>
            </w:pPr>
            <w:r w:rsidRPr="006A1EC7">
              <w:rPr>
                <w:b/>
                <w:sz w:val="15"/>
                <w:szCs w:val="15"/>
                <w:u w:val="single"/>
              </w:rPr>
              <w:t>Additional questions, suggested by international Wolf-Hirschhorn experts, that you may wish to ask in the consultation:</w:t>
            </w:r>
          </w:p>
          <w:p w14:paraId="24DD19CD" w14:textId="77777777" w:rsidR="0087601C" w:rsidRPr="006A1EC7" w:rsidRDefault="0087601C" w:rsidP="00D56051">
            <w:pPr>
              <w:pStyle w:val="ListParagraph"/>
              <w:numPr>
                <w:ilvl w:val="0"/>
                <w:numId w:val="19"/>
              </w:numPr>
              <w:spacing w:after="0"/>
              <w:rPr>
                <w:rFonts w:ascii="Times New Roman" w:hAnsi="Times New Roman" w:cs="Times New Roman"/>
                <w:b/>
                <w:sz w:val="15"/>
                <w:szCs w:val="15"/>
                <w:u w:val="single"/>
              </w:rPr>
            </w:pPr>
            <w:r w:rsidRPr="006A1EC7">
              <w:rPr>
                <w:rFonts w:ascii="Times New Roman" w:hAnsi="Times New Roman" w:cs="Times New Roman"/>
                <w:b/>
                <w:sz w:val="15"/>
                <w:szCs w:val="15"/>
                <w:u w:val="single"/>
              </w:rPr>
              <w:t>When were developmental milestones reached (e.g. rolling over, first words)?</w:t>
            </w:r>
          </w:p>
          <w:p w14:paraId="513395C7" w14:textId="77777777" w:rsidR="0087601C" w:rsidRPr="006A1EC7" w:rsidRDefault="0087601C" w:rsidP="00D56051">
            <w:pPr>
              <w:pStyle w:val="ListParagraph"/>
              <w:numPr>
                <w:ilvl w:val="0"/>
                <w:numId w:val="19"/>
              </w:numPr>
              <w:spacing w:after="0"/>
              <w:rPr>
                <w:rFonts w:ascii="Times New Roman" w:hAnsi="Times New Roman" w:cs="Times New Roman"/>
                <w:b/>
                <w:sz w:val="15"/>
                <w:szCs w:val="15"/>
                <w:u w:val="single"/>
              </w:rPr>
            </w:pPr>
            <w:r w:rsidRPr="006A1EC7">
              <w:rPr>
                <w:rFonts w:ascii="Times New Roman" w:hAnsi="Times New Roman" w:cs="Times New Roman"/>
                <w:b/>
                <w:sz w:val="15"/>
                <w:szCs w:val="15"/>
                <w:u w:val="single"/>
              </w:rPr>
              <w:t>Information regarding pre- and post-natal growth?</w:t>
            </w:r>
          </w:p>
          <w:p w14:paraId="4305D7FF" w14:textId="77777777" w:rsidR="0087601C" w:rsidRPr="006A1EC7" w:rsidRDefault="0087601C" w:rsidP="00D56051">
            <w:pPr>
              <w:rPr>
                <w:sz w:val="15"/>
                <w:szCs w:val="15"/>
              </w:rPr>
            </w:pPr>
            <w:r w:rsidRPr="006A1EC7">
              <w:rPr>
                <w:b/>
                <w:sz w:val="15"/>
                <w:szCs w:val="15"/>
                <w:u w:val="single"/>
              </w:rPr>
              <w:t>Any dental abnormalities?</w:t>
            </w:r>
          </w:p>
          <w:p w14:paraId="523C3045" w14:textId="77777777" w:rsidR="0087601C" w:rsidRPr="006A1EC7" w:rsidRDefault="0087601C" w:rsidP="00D56051">
            <w:pPr>
              <w:rPr>
                <w:b/>
                <w:sz w:val="15"/>
                <w:szCs w:val="15"/>
                <w:u w:val="single"/>
              </w:rPr>
            </w:pPr>
          </w:p>
          <w:p w14:paraId="6A14B0B7" w14:textId="77777777" w:rsidR="0087601C" w:rsidRPr="006A1EC7" w:rsidRDefault="0087601C" w:rsidP="00D56051">
            <w:pPr>
              <w:rPr>
                <w:b/>
                <w:sz w:val="15"/>
                <w:szCs w:val="15"/>
                <w:u w:val="single"/>
              </w:rPr>
            </w:pPr>
          </w:p>
          <w:p w14:paraId="36CC3AAB" w14:textId="77777777" w:rsidR="0087601C" w:rsidRPr="006A1EC7" w:rsidRDefault="0087601C" w:rsidP="00D56051">
            <w:pPr>
              <w:rPr>
                <w:b/>
                <w:sz w:val="15"/>
                <w:szCs w:val="15"/>
                <w:u w:val="single"/>
              </w:rPr>
            </w:pPr>
          </w:p>
          <w:p w14:paraId="53F371F6" w14:textId="77777777" w:rsidR="0087601C" w:rsidRPr="006A1EC7" w:rsidRDefault="0087601C" w:rsidP="00D56051">
            <w:pPr>
              <w:rPr>
                <w:b/>
                <w:sz w:val="15"/>
                <w:szCs w:val="15"/>
                <w:u w:val="single"/>
              </w:rPr>
            </w:pPr>
          </w:p>
          <w:p w14:paraId="3D67BAEA" w14:textId="77777777" w:rsidR="0087601C" w:rsidRPr="006A1EC7" w:rsidRDefault="0087601C" w:rsidP="00D56051">
            <w:pPr>
              <w:rPr>
                <w:b/>
                <w:sz w:val="15"/>
                <w:szCs w:val="15"/>
                <w:u w:val="single"/>
              </w:rPr>
            </w:pPr>
          </w:p>
          <w:p w14:paraId="4F7A86F6" w14:textId="77777777" w:rsidR="0087601C" w:rsidRPr="006A1EC7" w:rsidRDefault="0087601C" w:rsidP="00D56051">
            <w:pPr>
              <w:rPr>
                <w:b/>
                <w:sz w:val="15"/>
                <w:szCs w:val="15"/>
                <w:u w:val="single"/>
              </w:rPr>
            </w:pPr>
          </w:p>
          <w:p w14:paraId="2A98710C" w14:textId="77777777" w:rsidR="0087601C" w:rsidRPr="006A1EC7" w:rsidRDefault="0087601C" w:rsidP="00D56051">
            <w:pPr>
              <w:rPr>
                <w:b/>
                <w:sz w:val="15"/>
                <w:szCs w:val="15"/>
                <w:u w:val="single"/>
              </w:rPr>
            </w:pPr>
          </w:p>
          <w:p w14:paraId="35359F7E" w14:textId="77777777" w:rsidR="0087601C" w:rsidRPr="006A1EC7" w:rsidRDefault="0087601C" w:rsidP="00D56051">
            <w:pPr>
              <w:rPr>
                <w:b/>
                <w:sz w:val="15"/>
                <w:szCs w:val="15"/>
                <w:u w:val="single"/>
              </w:rPr>
            </w:pPr>
          </w:p>
          <w:p w14:paraId="6E4792D3" w14:textId="77777777" w:rsidR="0087601C" w:rsidRPr="006A1EC7" w:rsidRDefault="0087601C" w:rsidP="00D56051">
            <w:pPr>
              <w:rPr>
                <w:b/>
                <w:sz w:val="15"/>
                <w:szCs w:val="15"/>
                <w:u w:val="single"/>
              </w:rPr>
            </w:pPr>
          </w:p>
        </w:tc>
      </w:tr>
    </w:tbl>
    <w:p w14:paraId="7109F6F6" w14:textId="57F3D348" w:rsidR="0087601C" w:rsidRPr="006A1EC7" w:rsidRDefault="0087601C" w:rsidP="0087601C">
      <w:pPr>
        <w:rPr>
          <w:b/>
          <w:sz w:val="15"/>
          <w:szCs w:val="15"/>
          <w:u w:val="single"/>
        </w:rPr>
      </w:pPr>
    </w:p>
    <w:p w14:paraId="3FFD4A52" w14:textId="77777777" w:rsidR="004B32CA" w:rsidRPr="006A1EC7" w:rsidRDefault="004B32CA" w:rsidP="0087601C">
      <w:pPr>
        <w:rPr>
          <w:b/>
          <w:sz w:val="15"/>
          <w:szCs w:val="15"/>
          <w:u w:val="single"/>
        </w:rPr>
      </w:pPr>
    </w:p>
    <w:p w14:paraId="1F6D165C" w14:textId="0904B042" w:rsidR="004B32CA" w:rsidRPr="006A1EC7" w:rsidRDefault="004B32CA" w:rsidP="004B32CA">
      <w:pPr>
        <w:pStyle w:val="Heading4"/>
        <w:rPr>
          <w:rFonts w:ascii="Times New Roman" w:hAnsi="Times New Roman" w:cs="Times New Roman"/>
        </w:rPr>
      </w:pPr>
      <w:r w:rsidRPr="006A1EC7">
        <w:rPr>
          <w:rFonts w:ascii="Times New Roman" w:hAnsi="Times New Roman" w:cs="Times New Roman"/>
        </w:rPr>
        <w:t>Appendix 7.14: Sample size/power calculation for future research (one sample t-test)</w:t>
      </w:r>
    </w:p>
    <w:p w14:paraId="4DADA6F0" w14:textId="36FF4CF6" w:rsidR="004B32CA" w:rsidRPr="006A1EC7" w:rsidRDefault="004B32CA" w:rsidP="00F10D12"/>
    <w:p w14:paraId="7B384471" w14:textId="2331B6B5" w:rsidR="004B32CA" w:rsidRPr="006A1EC7" w:rsidRDefault="004B32CA" w:rsidP="00F10D12">
      <w:r w:rsidRPr="006A1EC7">
        <w:rPr>
          <w:noProof/>
        </w:rPr>
        <w:lastRenderedPageBreak/>
        <w:drawing>
          <wp:inline distT="0" distB="0" distL="0" distR="0" wp14:anchorId="453B14AC" wp14:editId="0694D8F0">
            <wp:extent cx="4754033" cy="5542507"/>
            <wp:effectExtent l="0" t="0" r="0" b="0"/>
            <wp:docPr id="48" name="Picture 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020-05-01 at 20.10.40.png"/>
                    <pic:cNvPicPr/>
                  </pic:nvPicPr>
                  <pic:blipFill>
                    <a:blip r:embed="rId58">
                      <a:extLst>
                        <a:ext uri="{28A0092B-C50C-407E-A947-70E740481C1C}">
                          <a14:useLocalDpi xmlns:a14="http://schemas.microsoft.com/office/drawing/2010/main" val="0"/>
                        </a:ext>
                      </a:extLst>
                    </a:blip>
                    <a:stretch>
                      <a:fillRect/>
                    </a:stretch>
                  </pic:blipFill>
                  <pic:spPr>
                    <a:xfrm>
                      <a:off x="0" y="0"/>
                      <a:ext cx="4758569" cy="5547796"/>
                    </a:xfrm>
                    <a:prstGeom prst="rect">
                      <a:avLst/>
                    </a:prstGeom>
                  </pic:spPr>
                </pic:pic>
              </a:graphicData>
            </a:graphic>
          </wp:inline>
        </w:drawing>
      </w:r>
    </w:p>
    <w:p w14:paraId="6BD78619" w14:textId="66FC802D" w:rsidR="004B32CA" w:rsidRPr="006A1EC7" w:rsidRDefault="004B32CA" w:rsidP="00F10D12"/>
    <w:p w14:paraId="4858A2D3" w14:textId="77777777" w:rsidR="004B32CA" w:rsidRPr="006A1EC7" w:rsidRDefault="004B32CA" w:rsidP="00F10D12">
      <w:r w:rsidRPr="006A1EC7">
        <w:rPr>
          <w:rStyle w:val="Heading4Char"/>
          <w:rFonts w:ascii="Times New Roman" w:hAnsi="Times New Roman" w:cs="Times New Roman"/>
        </w:rPr>
        <w:lastRenderedPageBreak/>
        <w:t xml:space="preserve">Appendix 7.15: Sample size/power calculation for future research (Paired samples t-test) </w:t>
      </w:r>
      <w:r w:rsidRPr="006A1EC7">
        <w:rPr>
          <w:noProof/>
        </w:rPr>
        <w:drawing>
          <wp:inline distT="0" distB="0" distL="0" distR="0" wp14:anchorId="1BFB5FC4" wp14:editId="55AB5B39">
            <wp:extent cx="5727700" cy="6817995"/>
            <wp:effectExtent l="0" t="0" r="0" b="1905"/>
            <wp:docPr id="40" name="Picture 4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0-05-01 at 20.16.47.png"/>
                    <pic:cNvPicPr/>
                  </pic:nvPicPr>
                  <pic:blipFill>
                    <a:blip r:embed="rId59">
                      <a:extLst>
                        <a:ext uri="{28A0092B-C50C-407E-A947-70E740481C1C}">
                          <a14:useLocalDpi xmlns:a14="http://schemas.microsoft.com/office/drawing/2010/main" val="0"/>
                        </a:ext>
                      </a:extLst>
                    </a:blip>
                    <a:stretch>
                      <a:fillRect/>
                    </a:stretch>
                  </pic:blipFill>
                  <pic:spPr>
                    <a:xfrm>
                      <a:off x="0" y="0"/>
                      <a:ext cx="5727700" cy="6817995"/>
                    </a:xfrm>
                    <a:prstGeom prst="rect">
                      <a:avLst/>
                    </a:prstGeom>
                  </pic:spPr>
                </pic:pic>
              </a:graphicData>
            </a:graphic>
          </wp:inline>
        </w:drawing>
      </w:r>
    </w:p>
    <w:sectPr w:rsidR="004B32CA" w:rsidRPr="006A1EC7" w:rsidSect="00817E25">
      <w:headerReference w:type="default" r:id="rId60"/>
      <w:footerReference w:type="default" r:id="rId6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47546" w14:textId="77777777" w:rsidR="00DB6482" w:rsidRDefault="00DB6482" w:rsidP="00065496">
      <w:r>
        <w:separator/>
      </w:r>
    </w:p>
  </w:endnote>
  <w:endnote w:type="continuationSeparator" w:id="0">
    <w:p w14:paraId="4B05EE64" w14:textId="77777777" w:rsidR="00DB6482" w:rsidRDefault="00DB6482" w:rsidP="00065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0965865"/>
      <w:docPartObj>
        <w:docPartGallery w:val="Page Numbers (Bottom of Page)"/>
        <w:docPartUnique/>
      </w:docPartObj>
    </w:sdtPr>
    <w:sdtContent>
      <w:p w14:paraId="28A20FE1" w14:textId="21DEB3B3" w:rsidR="00BE607C" w:rsidRDefault="00BE607C" w:rsidP="00BE73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C50D75" w14:textId="77777777" w:rsidR="00BE607C" w:rsidRDefault="00BE607C" w:rsidP="0092678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681594"/>
      <w:docPartObj>
        <w:docPartGallery w:val="Page Numbers (Bottom of Page)"/>
        <w:docPartUnique/>
      </w:docPartObj>
    </w:sdtPr>
    <w:sdtEndPr>
      <w:rPr>
        <w:noProof/>
      </w:rPr>
    </w:sdtEndPr>
    <w:sdtContent>
      <w:p w14:paraId="5C7E860F" w14:textId="77777777" w:rsidR="00BE607C" w:rsidRDefault="00BE607C">
        <w:pPr>
          <w:pStyle w:val="Footer"/>
          <w:jc w:val="right"/>
        </w:pPr>
        <w:r>
          <w:fldChar w:fldCharType="begin"/>
        </w:r>
        <w:r>
          <w:instrText xml:space="preserve"> PAGE   \* MERGEFORMAT </w:instrText>
        </w:r>
        <w:r>
          <w:fldChar w:fldCharType="separate"/>
        </w:r>
        <w:r>
          <w:rPr>
            <w:noProof/>
          </w:rPr>
          <w:t>396</w:t>
        </w:r>
        <w:r>
          <w:rPr>
            <w:noProof/>
          </w:rPr>
          <w:fldChar w:fldCharType="end"/>
        </w:r>
      </w:p>
    </w:sdtContent>
  </w:sdt>
  <w:p w14:paraId="7CE9DA04" w14:textId="77777777" w:rsidR="00BE607C" w:rsidRPr="00E004B1" w:rsidRDefault="00BE607C" w:rsidP="00AC2435">
    <w:pPr>
      <w:pBdr>
        <w:top w:val="nil"/>
        <w:left w:val="nil"/>
        <w:bottom w:val="nil"/>
        <w:right w:val="nil"/>
        <w:between w:val="nil"/>
      </w:pBdr>
      <w:tabs>
        <w:tab w:val="center" w:pos="4513"/>
        <w:tab w:val="right" w:pos="902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9819342"/>
      <w:docPartObj>
        <w:docPartGallery w:val="Page Numbers (Bottom of Page)"/>
        <w:docPartUnique/>
      </w:docPartObj>
    </w:sdtPr>
    <w:sdtContent>
      <w:p w14:paraId="70AEF3D0" w14:textId="6BDD2DB7" w:rsidR="00BE607C" w:rsidRDefault="00BE607C" w:rsidP="00AC24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1F361BF3" w14:textId="7A48B4C0" w:rsidR="00BE607C" w:rsidRPr="00CE3F96" w:rsidRDefault="00BE607C" w:rsidP="00CE3F96">
    <w:pPr>
      <w:pStyle w:val="Footer"/>
      <w:tabs>
        <w:tab w:val="clear" w:pos="4513"/>
        <w:tab w:val="clear" w:pos="9026"/>
        <w:tab w:val="left" w:pos="7127"/>
      </w:tabs>
      <w:ind w:right="360"/>
      <w:rPr>
        <w:lang w:val="en-US"/>
      </w:rPr>
    </w:pPr>
    <w:r>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6824181"/>
      <w:docPartObj>
        <w:docPartGallery w:val="Page Numbers (Bottom of Page)"/>
        <w:docPartUnique/>
      </w:docPartObj>
    </w:sdtPr>
    <w:sdtContent>
      <w:p w14:paraId="1B9EE6E7" w14:textId="0D4D5CE5" w:rsidR="00BE607C" w:rsidRDefault="00BE607C" w:rsidP="00AC24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33C95A39" w14:textId="77777777" w:rsidR="00BE607C" w:rsidRDefault="00BE607C" w:rsidP="00BE739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175447"/>
      <w:docPartObj>
        <w:docPartGallery w:val="Page Numbers (Bottom of Page)"/>
        <w:docPartUnique/>
      </w:docPartObj>
    </w:sdtPr>
    <w:sdtEndPr>
      <w:rPr>
        <w:noProof/>
      </w:rPr>
    </w:sdtEndPr>
    <w:sdtContent>
      <w:p w14:paraId="75427978" w14:textId="77777777" w:rsidR="00BE607C" w:rsidRDefault="00BE607C">
        <w:pPr>
          <w:pStyle w:val="Footer"/>
          <w:jc w:val="right"/>
        </w:pPr>
        <w:r>
          <w:fldChar w:fldCharType="begin"/>
        </w:r>
        <w:r>
          <w:instrText xml:space="preserve"> PAGE   \* MERGEFORMAT </w:instrText>
        </w:r>
        <w:r>
          <w:fldChar w:fldCharType="separate"/>
        </w:r>
        <w:r>
          <w:rPr>
            <w:noProof/>
          </w:rPr>
          <w:t>275</w:t>
        </w:r>
        <w:r>
          <w:rPr>
            <w:noProof/>
          </w:rPr>
          <w:fldChar w:fldCharType="end"/>
        </w:r>
      </w:p>
    </w:sdtContent>
  </w:sdt>
  <w:p w14:paraId="123AD633" w14:textId="77777777" w:rsidR="00BE607C" w:rsidRDefault="00BE60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007595"/>
      <w:docPartObj>
        <w:docPartGallery w:val="Page Numbers (Bottom of Page)"/>
        <w:docPartUnique/>
      </w:docPartObj>
    </w:sdtPr>
    <w:sdtEndPr>
      <w:rPr>
        <w:noProof/>
      </w:rPr>
    </w:sdtEndPr>
    <w:sdtContent>
      <w:p w14:paraId="0F7D09BA" w14:textId="77777777" w:rsidR="00BE607C" w:rsidRDefault="00BE607C">
        <w:pPr>
          <w:pStyle w:val="Footer"/>
          <w:jc w:val="right"/>
        </w:pPr>
        <w:r>
          <w:fldChar w:fldCharType="begin"/>
        </w:r>
        <w:r>
          <w:instrText xml:space="preserve"> PAGE   \* MERGEFORMAT </w:instrText>
        </w:r>
        <w:r>
          <w:fldChar w:fldCharType="separate"/>
        </w:r>
        <w:r>
          <w:rPr>
            <w:noProof/>
          </w:rPr>
          <w:t>275</w:t>
        </w:r>
        <w:r>
          <w:rPr>
            <w:noProof/>
          </w:rPr>
          <w:fldChar w:fldCharType="end"/>
        </w:r>
      </w:p>
    </w:sdtContent>
  </w:sdt>
  <w:p w14:paraId="4AEAD101" w14:textId="77777777" w:rsidR="00BE607C" w:rsidRDefault="00BE607C">
    <w:pPr>
      <w:pStyle w:val="Footer"/>
    </w:pPr>
  </w:p>
  <w:p w14:paraId="7B9ACF1F" w14:textId="77777777" w:rsidR="00BE607C" w:rsidRDefault="00BE607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11557" w14:textId="77777777" w:rsidR="00BE607C" w:rsidRDefault="00BE607C" w:rsidP="00D56051">
    <w:pPr>
      <w:widowControl w:val="0"/>
      <w:ind w:left="-720" w:right="-720"/>
    </w:pPr>
  </w:p>
  <w:p w14:paraId="72CC7E26" w14:textId="77777777" w:rsidR="00BE607C" w:rsidRDefault="00BE607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1512462"/>
      <w:docPartObj>
        <w:docPartGallery w:val="Page Numbers (Bottom of Page)"/>
        <w:docPartUnique/>
      </w:docPartObj>
    </w:sdtPr>
    <w:sdtContent>
      <w:p w14:paraId="499C768E" w14:textId="77777777" w:rsidR="00BE607C" w:rsidRDefault="00BE607C" w:rsidP="00D560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7CF6D0" w14:textId="77777777" w:rsidR="00BE607C" w:rsidRDefault="00BE607C" w:rsidP="00D5605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6322186"/>
      <w:docPartObj>
        <w:docPartGallery w:val="Page Numbers (Bottom of Page)"/>
        <w:docPartUnique/>
      </w:docPartObj>
    </w:sdtPr>
    <w:sdtContent>
      <w:p w14:paraId="4C3E0107" w14:textId="77777777" w:rsidR="00BE607C" w:rsidRDefault="00BE607C" w:rsidP="00D560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332</w:t>
        </w:r>
        <w:r>
          <w:rPr>
            <w:rStyle w:val="PageNumber"/>
          </w:rPr>
          <w:fldChar w:fldCharType="end"/>
        </w:r>
      </w:p>
    </w:sdtContent>
  </w:sdt>
  <w:p w14:paraId="01BA596A" w14:textId="77777777" w:rsidR="00BE607C" w:rsidRDefault="00BE607C" w:rsidP="00D56051">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557691"/>
      <w:docPartObj>
        <w:docPartGallery w:val="Page Numbers (Bottom of Page)"/>
        <w:docPartUnique/>
      </w:docPartObj>
    </w:sdtPr>
    <w:sdtEndPr>
      <w:rPr>
        <w:noProof/>
      </w:rPr>
    </w:sdtEndPr>
    <w:sdtContent>
      <w:p w14:paraId="67EB8E7C" w14:textId="77777777" w:rsidR="00BE607C" w:rsidRDefault="00BE607C">
        <w:pPr>
          <w:pStyle w:val="Footer"/>
          <w:jc w:val="right"/>
        </w:pPr>
        <w:r>
          <w:fldChar w:fldCharType="begin"/>
        </w:r>
        <w:r>
          <w:instrText xml:space="preserve"> PAGE   \* MERGEFORMAT </w:instrText>
        </w:r>
        <w:r>
          <w:fldChar w:fldCharType="separate"/>
        </w:r>
        <w:r>
          <w:rPr>
            <w:noProof/>
          </w:rPr>
          <w:t>396</w:t>
        </w:r>
        <w:r>
          <w:rPr>
            <w:noProof/>
          </w:rPr>
          <w:fldChar w:fldCharType="end"/>
        </w:r>
      </w:p>
    </w:sdtContent>
  </w:sdt>
  <w:p w14:paraId="52C621A8" w14:textId="77777777" w:rsidR="00BE607C" w:rsidRPr="00E004B1" w:rsidRDefault="00BE607C" w:rsidP="00D56051">
    <w:pPr>
      <w:pBdr>
        <w:top w:val="nil"/>
        <w:left w:val="nil"/>
        <w:bottom w:val="nil"/>
        <w:right w:val="nil"/>
        <w:between w:val="nil"/>
      </w:pBdr>
      <w:tabs>
        <w:tab w:val="center" w:pos="4513"/>
        <w:tab w:val="right" w:pos="902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FCE7F" w14:textId="77777777" w:rsidR="00DB6482" w:rsidRDefault="00DB6482" w:rsidP="00065496">
      <w:r>
        <w:separator/>
      </w:r>
    </w:p>
  </w:footnote>
  <w:footnote w:type="continuationSeparator" w:id="0">
    <w:p w14:paraId="6CDF76C2" w14:textId="77777777" w:rsidR="00DB6482" w:rsidRDefault="00DB6482" w:rsidP="00065496">
      <w:r>
        <w:continuationSeparator/>
      </w:r>
    </w:p>
  </w:footnote>
  <w:footnote w:id="1">
    <w:p w14:paraId="31ADC749" w14:textId="3912513C" w:rsidR="00BE607C" w:rsidRPr="00744A8E" w:rsidRDefault="00BE607C">
      <w:pPr>
        <w:pStyle w:val="FootnoteText"/>
        <w:rPr>
          <w:lang w:val="en-US"/>
        </w:rPr>
      </w:pPr>
      <w:r>
        <w:rPr>
          <w:rStyle w:val="FootnoteReference"/>
        </w:rPr>
        <w:footnoteRef/>
      </w:r>
      <w:r>
        <w:t xml:space="preserve"> </w:t>
      </w:r>
      <w:r>
        <w:rPr>
          <w:lang w:val="en-US"/>
        </w:rPr>
        <w:t xml:space="preserve">Permission for reproduction obtained. </w:t>
      </w:r>
    </w:p>
  </w:footnote>
  <w:footnote w:id="2">
    <w:p w14:paraId="54C59974" w14:textId="50DD3AFB" w:rsidR="00BE607C" w:rsidRPr="00B95420" w:rsidRDefault="00BE607C">
      <w:pPr>
        <w:pStyle w:val="FootnoteText"/>
        <w:rPr>
          <w:lang w:val="en-US"/>
        </w:rPr>
      </w:pPr>
      <w:r w:rsidRPr="00B95420">
        <w:rPr>
          <w:rStyle w:val="FootnoteReference"/>
        </w:rPr>
        <w:footnoteRef/>
      </w:r>
      <w:r w:rsidRPr="00B95420">
        <w:t xml:space="preserve"> </w:t>
      </w:r>
      <w:r w:rsidRPr="00B95420">
        <w:rPr>
          <w:lang w:val="en-US"/>
        </w:rPr>
        <w:t>Reproduced with permission.</w:t>
      </w:r>
    </w:p>
  </w:footnote>
  <w:footnote w:id="3">
    <w:p w14:paraId="73450E19" w14:textId="54314FD8" w:rsidR="00BE607C" w:rsidRPr="00B95420" w:rsidRDefault="00BE607C">
      <w:pPr>
        <w:pStyle w:val="FootnoteText"/>
        <w:rPr>
          <w:lang w:val="en-US"/>
        </w:rPr>
      </w:pPr>
      <w:r w:rsidRPr="00B95420">
        <w:rPr>
          <w:rStyle w:val="FootnoteReference"/>
        </w:rPr>
        <w:footnoteRef/>
      </w:r>
      <w:r w:rsidRPr="00B95420">
        <w:t xml:space="preserve"> </w:t>
      </w:r>
      <w:r w:rsidRPr="00B95420">
        <w:rPr>
          <w:lang w:val="en-US"/>
        </w:rPr>
        <w:t>Permission for reproduction not needed.</w:t>
      </w:r>
    </w:p>
  </w:footnote>
  <w:footnote w:id="4">
    <w:p w14:paraId="33DAAD2F" w14:textId="17436147" w:rsidR="00BE607C" w:rsidRPr="00744A8E" w:rsidRDefault="00BE607C" w:rsidP="00744A8E">
      <w:pPr>
        <w:rPr>
          <w:sz w:val="16"/>
          <w:szCs w:val="16"/>
          <w:lang w:eastAsia="en-GB"/>
        </w:rPr>
      </w:pPr>
      <w:r w:rsidRPr="00744A8E">
        <w:rPr>
          <w:rStyle w:val="FootnoteReference"/>
          <w:sz w:val="16"/>
          <w:szCs w:val="16"/>
        </w:rPr>
        <w:footnoteRef/>
      </w:r>
      <w:r w:rsidRPr="00744A8E">
        <w:rPr>
          <w:sz w:val="16"/>
          <w:szCs w:val="16"/>
        </w:rPr>
        <w:t xml:space="preserve"> </w:t>
      </w:r>
      <w:r w:rsidRPr="00744A8E">
        <w:rPr>
          <w:color w:val="000000"/>
          <w:sz w:val="16"/>
          <w:szCs w:val="16"/>
          <w:shd w:val="clear" w:color="auto" w:fill="FFFFFF"/>
          <w:lang w:eastAsia="en-GB"/>
        </w:rPr>
        <w:t>Reproduced with permission of the © ERS 2019:  </w:t>
      </w:r>
      <w:r w:rsidRPr="00744A8E">
        <w:rPr>
          <w:i/>
          <w:iCs/>
          <w:color w:val="000000"/>
          <w:sz w:val="16"/>
          <w:szCs w:val="16"/>
          <w:bdr w:val="none" w:sz="0" w:space="0" w:color="auto" w:frame="1"/>
          <w:shd w:val="clear" w:color="auto" w:fill="FFFFFF"/>
          <w:lang w:eastAsia="en-GB"/>
        </w:rPr>
        <w:t>European Respiratory Journal 44 (5) 1223-1233; DOI: 10.1183/09031936.00004814 Published 31 October 2014</w:t>
      </w:r>
    </w:p>
  </w:footnote>
  <w:footnote w:id="5">
    <w:p w14:paraId="517BBD34" w14:textId="446E184C" w:rsidR="00BE607C" w:rsidRPr="00744A8E" w:rsidRDefault="00BE607C">
      <w:pPr>
        <w:pStyle w:val="FootnoteText"/>
        <w:rPr>
          <w:sz w:val="16"/>
          <w:szCs w:val="16"/>
          <w:lang w:val="en-US"/>
        </w:rPr>
      </w:pPr>
      <w:r w:rsidRPr="00744A8E">
        <w:rPr>
          <w:rStyle w:val="FootnoteReference"/>
          <w:sz w:val="16"/>
          <w:szCs w:val="16"/>
        </w:rPr>
        <w:footnoteRef/>
      </w:r>
      <w:r w:rsidRPr="00744A8E">
        <w:rPr>
          <w:sz w:val="16"/>
          <w:szCs w:val="16"/>
        </w:rPr>
        <w:t xml:space="preserve"> </w:t>
      </w:r>
      <w:r w:rsidRPr="00744A8E">
        <w:rPr>
          <w:sz w:val="16"/>
          <w:szCs w:val="16"/>
          <w:lang w:val="en-US"/>
        </w:rPr>
        <w:t>Permission for Reproduction not needed.</w:t>
      </w:r>
    </w:p>
  </w:footnote>
  <w:footnote w:id="6">
    <w:p w14:paraId="67CCB031" w14:textId="77777777" w:rsidR="00BE607C" w:rsidRPr="00B95420" w:rsidRDefault="00BE607C" w:rsidP="00A40374">
      <w:pPr>
        <w:pStyle w:val="FootnoteText"/>
      </w:pPr>
      <w:r w:rsidRPr="00744A8E">
        <w:rPr>
          <w:rStyle w:val="FootnoteReference"/>
          <w:sz w:val="16"/>
          <w:szCs w:val="16"/>
        </w:rPr>
        <w:footnoteRef/>
      </w:r>
      <w:r w:rsidRPr="00744A8E">
        <w:rPr>
          <w:sz w:val="16"/>
          <w:szCs w:val="16"/>
        </w:rPr>
        <w:t xml:space="preserve"> Elaborated below</w:t>
      </w:r>
    </w:p>
  </w:footnote>
  <w:footnote w:id="7">
    <w:p w14:paraId="0EA7F6F6" w14:textId="6CC82DD4" w:rsidR="00BE607C" w:rsidRPr="00B95420" w:rsidRDefault="00BE607C">
      <w:pPr>
        <w:pStyle w:val="FootnoteText"/>
        <w:rPr>
          <w:lang w:val="en-US"/>
        </w:rPr>
      </w:pPr>
      <w:r w:rsidRPr="00B95420">
        <w:rPr>
          <w:rStyle w:val="FootnoteReference"/>
        </w:rPr>
        <w:footnoteRef/>
      </w:r>
      <w:r w:rsidRPr="00B95420">
        <w:t xml:space="preserve"> </w:t>
      </w:r>
      <w:r w:rsidRPr="00B95420">
        <w:rPr>
          <w:lang w:val="en-US"/>
        </w:rPr>
        <w:t>Permission for reproduction not needed.</w:t>
      </w:r>
    </w:p>
  </w:footnote>
  <w:footnote w:id="8">
    <w:p w14:paraId="5DC3EDE1" w14:textId="77777777" w:rsidR="00BE607C" w:rsidRPr="00744A8E" w:rsidRDefault="00BE607C" w:rsidP="00D13545">
      <w:pPr>
        <w:pStyle w:val="FootnoteText"/>
        <w:rPr>
          <w:lang w:val="en-US"/>
        </w:rPr>
      </w:pPr>
      <w:r w:rsidRPr="00B95420">
        <w:rPr>
          <w:rStyle w:val="FootnoteReference"/>
        </w:rPr>
        <w:footnoteRef/>
      </w:r>
      <w:r w:rsidRPr="00744A8E">
        <w:t xml:space="preserve"> </w:t>
      </w:r>
      <w:r w:rsidRPr="00744A8E">
        <w:rPr>
          <w:lang w:val="en-US"/>
        </w:rPr>
        <w:t xml:space="preserve">Deceased patients not included in calculation </w:t>
      </w:r>
    </w:p>
  </w:footnote>
  <w:footnote w:id="9">
    <w:p w14:paraId="01A4D107" w14:textId="77777777" w:rsidR="00BE607C" w:rsidRPr="00744A8E" w:rsidRDefault="00BE607C" w:rsidP="00D13545">
      <w:pPr>
        <w:pStyle w:val="FootnoteText"/>
        <w:rPr>
          <w:lang w:val="en-US"/>
        </w:rPr>
      </w:pPr>
      <w:r w:rsidRPr="00400746">
        <w:rPr>
          <w:rStyle w:val="FootnoteReference"/>
        </w:rPr>
        <w:footnoteRef/>
      </w:r>
      <w:r w:rsidRPr="00744A8E">
        <w:t xml:space="preserve"> </w:t>
      </w:r>
      <w:r w:rsidRPr="00744A8E">
        <w:rPr>
          <w:lang w:val="en-US"/>
        </w:rPr>
        <w:t>Two other affected daughters deceased at ages 6 and 37.</w:t>
      </w:r>
    </w:p>
  </w:footnote>
  <w:footnote w:id="10">
    <w:p w14:paraId="2AF3981E" w14:textId="77777777" w:rsidR="00BE607C" w:rsidRPr="00744A8E" w:rsidRDefault="00BE607C" w:rsidP="00D13545">
      <w:pPr>
        <w:pStyle w:val="FootnoteText"/>
        <w:rPr>
          <w:lang w:val="en-US"/>
        </w:rPr>
      </w:pPr>
      <w:r w:rsidRPr="00400746">
        <w:rPr>
          <w:rStyle w:val="FootnoteReference"/>
        </w:rPr>
        <w:footnoteRef/>
      </w:r>
      <w:r w:rsidRPr="00744A8E">
        <w:t xml:space="preserve"> Affected </w:t>
      </w:r>
      <w:r w:rsidRPr="00744A8E">
        <w:rPr>
          <w:lang w:val="en-US"/>
        </w:rPr>
        <w:t>son deceased at age 19</w:t>
      </w:r>
    </w:p>
  </w:footnote>
  <w:footnote w:id="11">
    <w:p w14:paraId="4046231E" w14:textId="77777777" w:rsidR="00BE607C" w:rsidRPr="00744A8E" w:rsidRDefault="00BE607C" w:rsidP="006120EE">
      <w:pPr>
        <w:pStyle w:val="FootnoteText"/>
        <w:rPr>
          <w:lang w:val="en-US"/>
        </w:rPr>
      </w:pPr>
      <w:r w:rsidRPr="00400746">
        <w:rPr>
          <w:rStyle w:val="FootnoteReference"/>
        </w:rPr>
        <w:footnoteRef/>
      </w:r>
      <w:r w:rsidRPr="00744A8E">
        <w:t xml:space="preserve"> This theme comprises non-system specific infections, such as colds or viruses; more specific infections are discussed in the appropriate theme </w:t>
      </w:r>
    </w:p>
  </w:footnote>
  <w:footnote w:id="12">
    <w:p w14:paraId="5DBE05C5" w14:textId="77777777" w:rsidR="00BE607C" w:rsidRPr="00B95420" w:rsidRDefault="00BE607C" w:rsidP="006120EE">
      <w:pPr>
        <w:tabs>
          <w:tab w:val="left" w:pos="6949"/>
        </w:tabs>
        <w:spacing w:line="360" w:lineRule="auto"/>
        <w:rPr>
          <w:color w:val="000000" w:themeColor="text1"/>
        </w:rPr>
      </w:pPr>
      <w:r w:rsidRPr="00B95420">
        <w:rPr>
          <w:rStyle w:val="FootnoteReference"/>
        </w:rPr>
        <w:footnoteRef/>
      </w:r>
      <w:r w:rsidRPr="00B95420">
        <w:t xml:space="preserve"> </w:t>
      </w:r>
      <w:r w:rsidRPr="00B95420">
        <w:rPr>
          <w:color w:val="000000" w:themeColor="text1"/>
        </w:rPr>
        <w:t>Neurological issues relating to seizures &amp; epilepsy are discussed separately in “Theme 1.1 Epilepsy”.</w:t>
      </w:r>
    </w:p>
    <w:p w14:paraId="5DF04888" w14:textId="77777777" w:rsidR="00BE607C" w:rsidRPr="00B95420" w:rsidRDefault="00BE607C" w:rsidP="006120EE">
      <w:pPr>
        <w:pStyle w:val="FootnoteText"/>
        <w:rPr>
          <w:lang w:val="en-US"/>
        </w:rPr>
      </w:pPr>
    </w:p>
  </w:footnote>
  <w:footnote w:id="13">
    <w:p w14:paraId="102DC21F" w14:textId="77777777" w:rsidR="00BE607C" w:rsidRPr="00B95420" w:rsidRDefault="00BE607C" w:rsidP="008F4ABD">
      <w:pPr>
        <w:pStyle w:val="FootnoteText"/>
      </w:pPr>
      <w:r w:rsidRPr="00B95420">
        <w:rPr>
          <w:rStyle w:val="FootnoteReference"/>
        </w:rPr>
        <w:footnoteRef/>
      </w:r>
      <w:r w:rsidRPr="00B95420">
        <w:t xml:space="preserve"> The psychosocial themes are discussed in Chapter 4</w:t>
      </w:r>
    </w:p>
  </w:footnote>
  <w:footnote w:id="14">
    <w:p w14:paraId="467CDECD" w14:textId="77777777" w:rsidR="00BE607C" w:rsidRPr="00B95420" w:rsidRDefault="00BE607C" w:rsidP="008F4ABD">
      <w:pPr>
        <w:pStyle w:val="FootnoteText"/>
        <w:rPr>
          <w:lang w:val="en-US"/>
        </w:rPr>
      </w:pPr>
      <w:r w:rsidRPr="00B95420">
        <w:rPr>
          <w:rStyle w:val="FootnoteReference"/>
        </w:rPr>
        <w:footnoteRef/>
      </w:r>
      <w:r w:rsidRPr="00B95420">
        <w:t xml:space="preserve"> </w:t>
      </w:r>
      <w:r w:rsidRPr="00B95420">
        <w:rPr>
          <w:lang w:val="en-US"/>
        </w:rPr>
        <w:t>The percentages reported in this discussion are calculated from the data-saturation table</w:t>
      </w:r>
    </w:p>
  </w:footnote>
  <w:footnote w:id="15">
    <w:p w14:paraId="570C88D3" w14:textId="77777777" w:rsidR="00BE607C" w:rsidRPr="00B95420" w:rsidRDefault="00BE607C" w:rsidP="008B1FBF">
      <w:pPr>
        <w:pStyle w:val="FootnoteText"/>
        <w:rPr>
          <w:lang w:val="en-US"/>
        </w:rPr>
      </w:pPr>
      <w:r w:rsidRPr="00B95420">
        <w:rPr>
          <w:rStyle w:val="FootnoteReference"/>
          <w:rFonts w:eastAsiaTheme="majorEastAsia"/>
        </w:rPr>
        <w:footnoteRef/>
      </w:r>
      <w:r w:rsidRPr="00B95420">
        <w:t xml:space="preserve"> </w:t>
      </w:r>
      <w:r w:rsidRPr="00B95420">
        <w:rPr>
          <w:color w:val="000000" w:themeColor="text1"/>
        </w:rPr>
        <w:t>It is important to note that participants were not directly asked about these experiences – which may explain why there are disproportionately more negative experiences reported than negative experiences.</w:t>
      </w:r>
    </w:p>
  </w:footnote>
  <w:footnote w:id="16">
    <w:p w14:paraId="16E9FCAB" w14:textId="77777777" w:rsidR="00BE607C" w:rsidRPr="00B95420" w:rsidRDefault="00BE607C" w:rsidP="008B1FBF">
      <w:pPr>
        <w:pStyle w:val="FootnoteText"/>
        <w:rPr>
          <w:lang w:val="en-US"/>
        </w:rPr>
      </w:pPr>
      <w:r w:rsidRPr="00B95420">
        <w:rPr>
          <w:rStyle w:val="FootnoteReference"/>
        </w:rPr>
        <w:footnoteRef/>
      </w:r>
      <w:r w:rsidRPr="00B95420">
        <w:t xml:space="preserve"> </w:t>
      </w:r>
      <w:r w:rsidRPr="00B95420">
        <w:rPr>
          <w:lang w:val="en-US"/>
        </w:rPr>
        <w:t>These recommendations will not be discussed in detail in this thesis; but are important to be reported due to their relevance to improving clinical practice</w:t>
      </w:r>
    </w:p>
  </w:footnote>
  <w:footnote w:id="17">
    <w:p w14:paraId="2D5E87EA" w14:textId="77777777" w:rsidR="00BE607C" w:rsidRPr="00B95420" w:rsidRDefault="00BE607C" w:rsidP="00402D26">
      <w:pPr>
        <w:pStyle w:val="FootnoteText"/>
        <w:rPr>
          <w:lang w:val="en-US"/>
        </w:rPr>
      </w:pPr>
      <w:r w:rsidRPr="00B95420">
        <w:rPr>
          <w:rStyle w:val="FootnoteReference"/>
        </w:rPr>
        <w:footnoteRef/>
      </w:r>
      <w:r w:rsidRPr="00B95420">
        <w:t xml:space="preserve"> the words “section” and “domain” will be used interchangeably in this thesis</w:t>
      </w:r>
    </w:p>
  </w:footnote>
  <w:footnote w:id="18">
    <w:p w14:paraId="4434DCC5" w14:textId="2A7C0384" w:rsidR="00BE607C" w:rsidRPr="00B95420" w:rsidRDefault="00BE607C" w:rsidP="0010036C">
      <w:pPr>
        <w:pStyle w:val="FootnoteText"/>
        <w:rPr>
          <w:lang w:val="en-US"/>
        </w:rPr>
      </w:pPr>
      <w:r w:rsidRPr="00B95420">
        <w:rPr>
          <w:rStyle w:val="FootnoteReference"/>
        </w:rPr>
        <w:footnoteRef/>
      </w:r>
      <w:r w:rsidRPr="00B95420">
        <w:t xml:space="preserve"> for information re importance of Conceptual Framework/s, please refer to Chapter 2</w:t>
      </w:r>
    </w:p>
  </w:footnote>
  <w:footnote w:id="19">
    <w:p w14:paraId="08DB624C" w14:textId="77777777" w:rsidR="00BE607C" w:rsidRPr="00744A8E" w:rsidRDefault="00BE607C" w:rsidP="003677C2">
      <w:pPr>
        <w:pStyle w:val="FootnoteText"/>
      </w:pPr>
      <w:r w:rsidRPr="00B95420">
        <w:rPr>
          <w:rStyle w:val="FootnoteReference"/>
          <w:rFonts w:eastAsiaTheme="majorEastAsia"/>
        </w:rPr>
        <w:footnoteRef/>
      </w:r>
      <w:r w:rsidRPr="00744A8E">
        <w:t xml:space="preserve"> The QQ-10 and QI-10 were developed by a team around Professor Jones, the supervisor of this thesis</w:t>
      </w:r>
    </w:p>
  </w:footnote>
  <w:footnote w:id="20">
    <w:p w14:paraId="6356BEA5" w14:textId="77777777" w:rsidR="00BE607C" w:rsidRPr="00B95420" w:rsidRDefault="00BE607C" w:rsidP="003677C2">
      <w:pPr>
        <w:pStyle w:val="FootnoteText"/>
        <w:rPr>
          <w:lang w:val="en-US"/>
        </w:rPr>
      </w:pPr>
      <w:r w:rsidRPr="00B95420">
        <w:rPr>
          <w:rStyle w:val="FootnoteReference"/>
        </w:rPr>
        <w:footnoteRef/>
      </w:r>
      <w:r w:rsidRPr="00B95420">
        <w:t xml:space="preserve"> </w:t>
      </w:r>
      <w:r w:rsidRPr="00744A8E">
        <w:t>which should be the basis of any measure development</w:t>
      </w:r>
    </w:p>
  </w:footnote>
  <w:footnote w:id="21">
    <w:p w14:paraId="7FE39087" w14:textId="77777777" w:rsidR="00BE607C" w:rsidRPr="0063521B" w:rsidRDefault="00BE607C" w:rsidP="00F53CB4">
      <w:pPr>
        <w:pStyle w:val="FootnoteText"/>
        <w:rPr>
          <w:lang w:val="en-US"/>
        </w:rPr>
      </w:pPr>
      <w:r w:rsidRPr="0063521B">
        <w:rPr>
          <w:rStyle w:val="FootnoteReference"/>
        </w:rPr>
        <w:footnoteRef/>
      </w:r>
      <w:r w:rsidRPr="0063521B">
        <w:t xml:space="preserve"> </w:t>
      </w:r>
      <w:r w:rsidRPr="0063521B">
        <w:rPr>
          <w:lang w:val="en-US"/>
        </w:rPr>
        <w:t>Personal communication with the UK WHS trust</w:t>
      </w:r>
    </w:p>
  </w:footnote>
  <w:footnote w:id="22">
    <w:p w14:paraId="582C9B0E" w14:textId="77777777" w:rsidR="00BE607C" w:rsidRPr="0063521B" w:rsidRDefault="00BE607C" w:rsidP="00F53CB4">
      <w:pPr>
        <w:pStyle w:val="FootnoteText"/>
        <w:rPr>
          <w:lang w:val="en-US"/>
        </w:rPr>
      </w:pPr>
      <w:r w:rsidRPr="0063521B">
        <w:rPr>
          <w:rStyle w:val="FootnoteReference"/>
        </w:rPr>
        <w:footnoteRef/>
      </w:r>
      <w:r w:rsidRPr="0063521B">
        <w:t xml:space="preserve"> </w:t>
      </w:r>
      <w:r w:rsidRPr="0063521B">
        <w:rPr>
          <w:lang w:val="en-US"/>
        </w:rPr>
        <w:t>Personal communication with AM, NHS Sheffield Teaching Hospitals Clinical Genetics Service</w:t>
      </w:r>
    </w:p>
  </w:footnote>
  <w:footnote w:id="23">
    <w:p w14:paraId="4245466C" w14:textId="77777777" w:rsidR="00BE607C" w:rsidRPr="0063521B" w:rsidRDefault="00BE607C" w:rsidP="00F53CB4">
      <w:pPr>
        <w:pStyle w:val="FootnoteText"/>
        <w:rPr>
          <w:lang w:val="en-US"/>
        </w:rPr>
      </w:pPr>
      <w:r w:rsidRPr="00B171B7">
        <w:rPr>
          <w:rStyle w:val="FootnoteReference"/>
        </w:rPr>
        <w:footnoteRef/>
      </w:r>
      <w:r w:rsidRPr="00B171B7">
        <w:t xml:space="preserve"> in keeping with the suggestion by </w:t>
      </w:r>
      <w:r w:rsidRPr="00B171B7">
        <w:fldChar w:fldCharType="begin" w:fldLock="1"/>
      </w:r>
      <w:r w:rsidRPr="00B171B7">
        <w:instrText>ADDIN CSL_CITATION {"citationItems":[{"id":"ITEM-1","itemData":{"DOI":"10.1136/bmj.g6802","ISSN":"17561833","abstract":"OBJECTIVE: To examine methods for generating evidence on health outcomes in patients with rare diseases. DESIGN: Methodological review of existing literature. SETTING: PubMed, Embase, and Academic Search Premier searched for articles describing innovative approaches to randomized trial design and analysis methods and methods for conducting observational research in patients with rare diseases. MAIN OUTCOME MEASURES: We assessed information related to the proposed methods, the specific rare disease being studied, and outcomes from the application of the methods. We summarize methods with respect to their advantages in studying health outcomes in rare diseases and provide examples of their application. RESULTS: We identified 46 articles that proposed or described methods for studying patient health outcomes in rare diseases. Articles covered a wide range of rare diseases and most (72%) were published in 2008 or later. We identified 16 research strategies for studying rare disease. Innovative clinical trial methods minimize sample size requirements (n=4) and maximize the proportion of patients who receive active treatment (n=2), strategies crucial to studying small populations of patients with limited treatment choices. No studies describing unique methods for conducting observational studies in patients with rare diseases were identified. CONCLUSIONS: Though numerous studies apply unique clinical trial designs and considerations to assess patient health outcomes in rare diseases, less attention has been paid to innovative methods for studying rare diseases using observational data.","author":[{"dropping-particle":"","family":"Gagne","given":"Joshua J.","non-dropping-particle":"","parse-names":false,"suffix":""},{"dropping-particle":"","family":"Thompson","given":"Lauren","non-dropping-particle":"","parse-names":false,"suffix":""},{"dropping-particle":"","family":"O'Keefe","given":"Kelly","non-dropping-particle":"","parse-names":false,"suffix":""},{"dropping-particle":"","family":"Kesselheim","given":"Aaron S.","non-dropping-particle":"","parse-names":false,"suffix":""}],"container-title":"BMJ (Online)","id":"ITEM-1","issue":"November","issued":{"date-parts":[["2014"]]},"page":"1-10","title":"Innovative research methods for studying treatments for rare diseases: Methodological review","type":"article-journal","volume":"349"},"uris":["http://www.mendeley.com/documents/?uuid=e17520e8-ddb8-4d65-ac58-c18af15eca2b"]}],"mendeley":{"formattedCitation":"(Gagne et al., 2014)","manualFormatting":"Gagne et al. (2014)","plainTextFormattedCitation":"(Gagne et al., 2014)","previouslyFormattedCitation":"(Gagne et al., 2014)"},"properties":{"noteIndex":0},"schema":"https://github.com/citation-style-language/schema/raw/master/csl-citation.json"}</w:instrText>
      </w:r>
      <w:r w:rsidRPr="00B171B7">
        <w:fldChar w:fldCharType="separate"/>
      </w:r>
      <w:r w:rsidRPr="00B171B7">
        <w:rPr>
          <w:noProof/>
        </w:rPr>
        <w:t>Gagne et al. (2014)</w:t>
      </w:r>
      <w:r w:rsidRPr="00B171B7">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3F5B7" w14:textId="77777777" w:rsidR="00BE607C" w:rsidRDefault="00BE6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E6AAE" w14:textId="77777777" w:rsidR="00BE607C" w:rsidRDefault="00BE607C" w:rsidP="00D56051">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F59CF" w14:textId="77777777" w:rsidR="00BE607C" w:rsidRDefault="00BE607C" w:rsidP="00AC243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5C71"/>
    <w:multiLevelType w:val="hybridMultilevel"/>
    <w:tmpl w:val="46ACB8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5A551E"/>
    <w:multiLevelType w:val="hybridMultilevel"/>
    <w:tmpl w:val="4D7C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C319A"/>
    <w:multiLevelType w:val="hybridMultilevel"/>
    <w:tmpl w:val="4B043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577D7"/>
    <w:multiLevelType w:val="hybridMultilevel"/>
    <w:tmpl w:val="81C26F7C"/>
    <w:lvl w:ilvl="0" w:tplc="781C63E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CEA0BF6"/>
    <w:multiLevelType w:val="multilevel"/>
    <w:tmpl w:val="0409001D"/>
    <w:numStyleLink w:val="Singlepunch"/>
  </w:abstractNum>
  <w:abstractNum w:abstractNumId="5" w15:restartNumberingAfterBreak="0">
    <w:nsid w:val="0F351AE8"/>
    <w:multiLevelType w:val="hybridMultilevel"/>
    <w:tmpl w:val="BDA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203B8"/>
    <w:multiLevelType w:val="hybridMultilevel"/>
    <w:tmpl w:val="BEBCDBC4"/>
    <w:lvl w:ilvl="0" w:tplc="EA740BB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F0F06"/>
    <w:multiLevelType w:val="hybridMultilevel"/>
    <w:tmpl w:val="9670D436"/>
    <w:lvl w:ilvl="0" w:tplc="47C235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38B6975"/>
    <w:multiLevelType w:val="hybridMultilevel"/>
    <w:tmpl w:val="101C5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1127F"/>
    <w:multiLevelType w:val="hybridMultilevel"/>
    <w:tmpl w:val="79A401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AEB6A29"/>
    <w:multiLevelType w:val="hybridMultilevel"/>
    <w:tmpl w:val="E8A83B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953DEE"/>
    <w:multiLevelType w:val="hybridMultilevel"/>
    <w:tmpl w:val="11AEC738"/>
    <w:lvl w:ilvl="0" w:tplc="D32E35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C7778"/>
    <w:multiLevelType w:val="hybridMultilevel"/>
    <w:tmpl w:val="1788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B5D3B"/>
    <w:multiLevelType w:val="hybridMultilevel"/>
    <w:tmpl w:val="BEEC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53567"/>
    <w:multiLevelType w:val="hybridMultilevel"/>
    <w:tmpl w:val="B06C8ABC"/>
    <w:lvl w:ilvl="0" w:tplc="9290018A">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28336F5"/>
    <w:multiLevelType w:val="hybridMultilevel"/>
    <w:tmpl w:val="2050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C80DCE"/>
    <w:multiLevelType w:val="hybridMultilevel"/>
    <w:tmpl w:val="24E252C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A0E070E"/>
    <w:multiLevelType w:val="multilevel"/>
    <w:tmpl w:val="8B8C1BA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A2334A0"/>
    <w:multiLevelType w:val="multilevel"/>
    <w:tmpl w:val="15222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C1C66AE"/>
    <w:multiLevelType w:val="hybridMultilevel"/>
    <w:tmpl w:val="7C4E1A7C"/>
    <w:lvl w:ilvl="0" w:tplc="E3CE0470">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5E3039"/>
    <w:multiLevelType w:val="hybridMultilevel"/>
    <w:tmpl w:val="63AAF200"/>
    <w:lvl w:ilvl="0" w:tplc="99C245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902998"/>
    <w:multiLevelType w:val="multilevel"/>
    <w:tmpl w:val="A7BC7556"/>
    <w:lvl w:ilvl="0">
      <w:start w:val="1"/>
      <w:numFmt w:val="decimal"/>
      <w:lvlText w:val="%1."/>
      <w:lvlJc w:val="left"/>
      <w:pPr>
        <w:ind w:left="1800" w:hanging="360"/>
      </w:pPr>
      <w:rPr>
        <w:rFonts w:hint="default"/>
      </w:rPr>
    </w:lvl>
    <w:lvl w:ilvl="1">
      <w:start w:val="6"/>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2" w15:restartNumberingAfterBreak="0">
    <w:nsid w:val="39BB0923"/>
    <w:multiLevelType w:val="hybridMultilevel"/>
    <w:tmpl w:val="7FC8B568"/>
    <w:lvl w:ilvl="0" w:tplc="E68E82B2">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6B557B"/>
    <w:multiLevelType w:val="hybridMultilevel"/>
    <w:tmpl w:val="2828D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441B48"/>
    <w:multiLevelType w:val="multilevel"/>
    <w:tmpl w:val="BB2E7620"/>
    <w:lvl w:ilvl="0">
      <w:start w:val="8"/>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9A62D75"/>
    <w:multiLevelType w:val="hybridMultilevel"/>
    <w:tmpl w:val="350ED9EE"/>
    <w:lvl w:ilvl="0" w:tplc="DCF8AD5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A513CE0"/>
    <w:multiLevelType w:val="hybridMultilevel"/>
    <w:tmpl w:val="FDFA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62B97"/>
    <w:multiLevelType w:val="hybridMultilevel"/>
    <w:tmpl w:val="D01E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6F1DDB"/>
    <w:multiLevelType w:val="hybridMultilevel"/>
    <w:tmpl w:val="F446BCC8"/>
    <w:lvl w:ilvl="0" w:tplc="E98402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F4E63"/>
    <w:multiLevelType w:val="hybridMultilevel"/>
    <w:tmpl w:val="E2240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F658CA"/>
    <w:multiLevelType w:val="hybridMultilevel"/>
    <w:tmpl w:val="FB627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E25DAA"/>
    <w:multiLevelType w:val="hybridMultilevel"/>
    <w:tmpl w:val="418AC6A8"/>
    <w:lvl w:ilvl="0" w:tplc="1EAC31B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703DE8"/>
    <w:multiLevelType w:val="hybridMultilevel"/>
    <w:tmpl w:val="401AA6F4"/>
    <w:lvl w:ilvl="0" w:tplc="EA740BB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932330"/>
    <w:multiLevelType w:val="hybridMultilevel"/>
    <w:tmpl w:val="334427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DD455A1"/>
    <w:multiLevelType w:val="hybridMultilevel"/>
    <w:tmpl w:val="968CEBE0"/>
    <w:lvl w:ilvl="0" w:tplc="164840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3551161"/>
    <w:multiLevelType w:val="hybridMultilevel"/>
    <w:tmpl w:val="C8DC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A01790"/>
    <w:multiLevelType w:val="hybridMultilevel"/>
    <w:tmpl w:val="9B3CED40"/>
    <w:lvl w:ilvl="0" w:tplc="129ADBD2">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A52637"/>
    <w:multiLevelType w:val="hybridMultilevel"/>
    <w:tmpl w:val="F83CDB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B538B5"/>
    <w:multiLevelType w:val="multilevel"/>
    <w:tmpl w:val="66704A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4605782"/>
    <w:multiLevelType w:val="hybridMultilevel"/>
    <w:tmpl w:val="24A65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2C1619"/>
    <w:multiLevelType w:val="hybridMultilevel"/>
    <w:tmpl w:val="84B6A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F70DD2"/>
    <w:multiLevelType w:val="hybridMultilevel"/>
    <w:tmpl w:val="272E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1"/>
  </w:num>
  <w:num w:numId="3">
    <w:abstractNumId w:val="25"/>
  </w:num>
  <w:num w:numId="4">
    <w:abstractNumId w:val="22"/>
  </w:num>
  <w:num w:numId="5">
    <w:abstractNumId w:val="6"/>
  </w:num>
  <w:num w:numId="6">
    <w:abstractNumId w:val="32"/>
  </w:num>
  <w:num w:numId="7">
    <w:abstractNumId w:val="8"/>
  </w:num>
  <w:num w:numId="8">
    <w:abstractNumId w:val="42"/>
  </w:num>
  <w:num w:numId="9">
    <w:abstractNumId w:val="13"/>
  </w:num>
  <w:num w:numId="10">
    <w:abstractNumId w:val="21"/>
  </w:num>
  <w:num w:numId="11">
    <w:abstractNumId w:val="24"/>
  </w:num>
  <w:num w:numId="12">
    <w:abstractNumId w:val="35"/>
  </w:num>
  <w:num w:numId="13">
    <w:abstractNumId w:val="26"/>
  </w:num>
  <w:num w:numId="14">
    <w:abstractNumId w:val="4"/>
  </w:num>
  <w:num w:numId="15">
    <w:abstractNumId w:val="11"/>
  </w:num>
  <w:num w:numId="16">
    <w:abstractNumId w:val="27"/>
  </w:num>
  <w:num w:numId="17">
    <w:abstractNumId w:val="5"/>
  </w:num>
  <w:num w:numId="18">
    <w:abstractNumId w:val="28"/>
  </w:num>
  <w:num w:numId="19">
    <w:abstractNumId w:val="37"/>
  </w:num>
  <w:num w:numId="20">
    <w:abstractNumId w:val="12"/>
  </w:num>
  <w:num w:numId="21">
    <w:abstractNumId w:val="29"/>
  </w:num>
  <w:num w:numId="22">
    <w:abstractNumId w:val="7"/>
  </w:num>
  <w:num w:numId="23">
    <w:abstractNumId w:val="33"/>
  </w:num>
  <w:num w:numId="24">
    <w:abstractNumId w:val="2"/>
  </w:num>
  <w:num w:numId="25">
    <w:abstractNumId w:val="36"/>
  </w:num>
  <w:num w:numId="26">
    <w:abstractNumId w:val="16"/>
  </w:num>
  <w:num w:numId="27">
    <w:abstractNumId w:val="10"/>
  </w:num>
  <w:num w:numId="28">
    <w:abstractNumId w:val="23"/>
  </w:num>
  <w:num w:numId="29">
    <w:abstractNumId w:val="41"/>
  </w:num>
  <w:num w:numId="30">
    <w:abstractNumId w:val="18"/>
  </w:num>
  <w:num w:numId="31">
    <w:abstractNumId w:val="40"/>
  </w:num>
  <w:num w:numId="32">
    <w:abstractNumId w:val="19"/>
  </w:num>
  <w:num w:numId="33">
    <w:abstractNumId w:val="30"/>
  </w:num>
  <w:num w:numId="34">
    <w:abstractNumId w:val="17"/>
  </w:num>
  <w:num w:numId="35">
    <w:abstractNumId w:val="20"/>
  </w:num>
  <w:num w:numId="36">
    <w:abstractNumId w:val="34"/>
  </w:num>
  <w:num w:numId="37">
    <w:abstractNumId w:val="3"/>
  </w:num>
  <w:num w:numId="38">
    <w:abstractNumId w:val="14"/>
  </w:num>
  <w:num w:numId="39">
    <w:abstractNumId w:val="0"/>
  </w:num>
  <w:num w:numId="40">
    <w:abstractNumId w:val="9"/>
  </w:num>
  <w:num w:numId="41">
    <w:abstractNumId w:val="1"/>
  </w:num>
  <w:num w:numId="42">
    <w:abstractNumId w:val="15"/>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496"/>
    <w:rsid w:val="000072A9"/>
    <w:rsid w:val="0001579B"/>
    <w:rsid w:val="00017B03"/>
    <w:rsid w:val="0002027E"/>
    <w:rsid w:val="0004067D"/>
    <w:rsid w:val="00065496"/>
    <w:rsid w:val="000944A6"/>
    <w:rsid w:val="000E1574"/>
    <w:rsid w:val="000E4DA8"/>
    <w:rsid w:val="0010036C"/>
    <w:rsid w:val="0017745C"/>
    <w:rsid w:val="00194EF2"/>
    <w:rsid w:val="001B3626"/>
    <w:rsid w:val="001C21FC"/>
    <w:rsid w:val="001C353B"/>
    <w:rsid w:val="001D30B6"/>
    <w:rsid w:val="001F5373"/>
    <w:rsid w:val="00224EA5"/>
    <w:rsid w:val="00256CE4"/>
    <w:rsid w:val="00256D48"/>
    <w:rsid w:val="0026747E"/>
    <w:rsid w:val="002705C1"/>
    <w:rsid w:val="002960EA"/>
    <w:rsid w:val="002A4AD6"/>
    <w:rsid w:val="002E2070"/>
    <w:rsid w:val="003139D0"/>
    <w:rsid w:val="003176B3"/>
    <w:rsid w:val="00345ED4"/>
    <w:rsid w:val="003677C2"/>
    <w:rsid w:val="00372B50"/>
    <w:rsid w:val="00381251"/>
    <w:rsid w:val="00381BB6"/>
    <w:rsid w:val="0039285A"/>
    <w:rsid w:val="003D5EAC"/>
    <w:rsid w:val="003D691C"/>
    <w:rsid w:val="003F2C02"/>
    <w:rsid w:val="00400746"/>
    <w:rsid w:val="00401754"/>
    <w:rsid w:val="00402D26"/>
    <w:rsid w:val="004038C6"/>
    <w:rsid w:val="00421249"/>
    <w:rsid w:val="004306E0"/>
    <w:rsid w:val="004318F8"/>
    <w:rsid w:val="00460784"/>
    <w:rsid w:val="004917A4"/>
    <w:rsid w:val="004972F6"/>
    <w:rsid w:val="00497347"/>
    <w:rsid w:val="004A633E"/>
    <w:rsid w:val="004B32CA"/>
    <w:rsid w:val="004B628D"/>
    <w:rsid w:val="004D190D"/>
    <w:rsid w:val="004D5E53"/>
    <w:rsid w:val="004E33BB"/>
    <w:rsid w:val="004E3C36"/>
    <w:rsid w:val="0053703B"/>
    <w:rsid w:val="00547ED2"/>
    <w:rsid w:val="005A7BA5"/>
    <w:rsid w:val="005B279F"/>
    <w:rsid w:val="005C7EB7"/>
    <w:rsid w:val="006120EE"/>
    <w:rsid w:val="00612326"/>
    <w:rsid w:val="00624503"/>
    <w:rsid w:val="00633969"/>
    <w:rsid w:val="00636760"/>
    <w:rsid w:val="00652313"/>
    <w:rsid w:val="00686B64"/>
    <w:rsid w:val="00687DD7"/>
    <w:rsid w:val="006A1EC7"/>
    <w:rsid w:val="006B5C59"/>
    <w:rsid w:val="006C7209"/>
    <w:rsid w:val="006E58E3"/>
    <w:rsid w:val="0070384B"/>
    <w:rsid w:val="00735B4B"/>
    <w:rsid w:val="00744A8E"/>
    <w:rsid w:val="00780B57"/>
    <w:rsid w:val="007847CB"/>
    <w:rsid w:val="00784B68"/>
    <w:rsid w:val="00796817"/>
    <w:rsid w:val="007B106F"/>
    <w:rsid w:val="007C5C30"/>
    <w:rsid w:val="007D183D"/>
    <w:rsid w:val="007E5C7E"/>
    <w:rsid w:val="008128D6"/>
    <w:rsid w:val="00817E25"/>
    <w:rsid w:val="00827A95"/>
    <w:rsid w:val="00846985"/>
    <w:rsid w:val="0087601C"/>
    <w:rsid w:val="00881375"/>
    <w:rsid w:val="008B1FBF"/>
    <w:rsid w:val="008B50CE"/>
    <w:rsid w:val="008C2297"/>
    <w:rsid w:val="008F4ABD"/>
    <w:rsid w:val="0092678A"/>
    <w:rsid w:val="009276E2"/>
    <w:rsid w:val="0094439D"/>
    <w:rsid w:val="00960C82"/>
    <w:rsid w:val="0097625B"/>
    <w:rsid w:val="009C1F79"/>
    <w:rsid w:val="009F0718"/>
    <w:rsid w:val="00A40374"/>
    <w:rsid w:val="00A72729"/>
    <w:rsid w:val="00A851AB"/>
    <w:rsid w:val="00A95372"/>
    <w:rsid w:val="00AC2435"/>
    <w:rsid w:val="00AC33BA"/>
    <w:rsid w:val="00AD67F5"/>
    <w:rsid w:val="00AF53A7"/>
    <w:rsid w:val="00B5139F"/>
    <w:rsid w:val="00B93D6E"/>
    <w:rsid w:val="00B95420"/>
    <w:rsid w:val="00BD251C"/>
    <w:rsid w:val="00BE607C"/>
    <w:rsid w:val="00BE7390"/>
    <w:rsid w:val="00C13F96"/>
    <w:rsid w:val="00C32587"/>
    <w:rsid w:val="00C77145"/>
    <w:rsid w:val="00C77A68"/>
    <w:rsid w:val="00C97034"/>
    <w:rsid w:val="00CA1FF5"/>
    <w:rsid w:val="00CA277C"/>
    <w:rsid w:val="00CA5ACC"/>
    <w:rsid w:val="00CB239D"/>
    <w:rsid w:val="00CB3F3B"/>
    <w:rsid w:val="00CD2E5A"/>
    <w:rsid w:val="00CE3F96"/>
    <w:rsid w:val="00CE56E3"/>
    <w:rsid w:val="00CF4460"/>
    <w:rsid w:val="00D02E79"/>
    <w:rsid w:val="00D06D0D"/>
    <w:rsid w:val="00D07DCD"/>
    <w:rsid w:val="00D13545"/>
    <w:rsid w:val="00D20EB9"/>
    <w:rsid w:val="00D219E6"/>
    <w:rsid w:val="00D320DB"/>
    <w:rsid w:val="00D403DF"/>
    <w:rsid w:val="00D56051"/>
    <w:rsid w:val="00D70DD2"/>
    <w:rsid w:val="00D74605"/>
    <w:rsid w:val="00D81E31"/>
    <w:rsid w:val="00D85DAD"/>
    <w:rsid w:val="00DA6987"/>
    <w:rsid w:val="00DB5C12"/>
    <w:rsid w:val="00DB6482"/>
    <w:rsid w:val="00DC2667"/>
    <w:rsid w:val="00DF2F14"/>
    <w:rsid w:val="00DF74E6"/>
    <w:rsid w:val="00E424F1"/>
    <w:rsid w:val="00E648AF"/>
    <w:rsid w:val="00E82BDE"/>
    <w:rsid w:val="00ED4BCD"/>
    <w:rsid w:val="00F10D12"/>
    <w:rsid w:val="00F343C4"/>
    <w:rsid w:val="00F53CB4"/>
    <w:rsid w:val="00F607B7"/>
    <w:rsid w:val="00F67A37"/>
    <w:rsid w:val="00F92360"/>
    <w:rsid w:val="00F9643E"/>
    <w:rsid w:val="00FC4AFE"/>
    <w:rsid w:val="00FD75D7"/>
    <w:rsid w:val="00FF5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1CA6E"/>
  <w14:defaultImageDpi w14:val="32767"/>
  <w15:chartTrackingRefBased/>
  <w15:docId w15:val="{BE22F576-7C2D-F74B-A921-E0BCDC9A5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65496"/>
    <w:rPr>
      <w:rFonts w:ascii="Times New Roman" w:eastAsia="Times New Roman" w:hAnsi="Times New Roman" w:cs="Times New Roman"/>
    </w:rPr>
  </w:style>
  <w:style w:type="paragraph" w:styleId="Heading1">
    <w:name w:val="heading 1"/>
    <w:basedOn w:val="Normal"/>
    <w:next w:val="Normal"/>
    <w:link w:val="Heading1Char"/>
    <w:uiPriority w:val="9"/>
    <w:qFormat/>
    <w:rsid w:val="00065496"/>
    <w:pPr>
      <w:keepNext/>
      <w:keepLines/>
      <w:spacing w:before="240" w:after="8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5496"/>
    <w:pPr>
      <w:keepNext/>
      <w:keepLines/>
      <w:spacing w:before="40" w:after="8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5496"/>
    <w:pPr>
      <w:keepNext/>
      <w:keepLines/>
      <w:spacing w:before="40" w:after="8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65496"/>
    <w:pPr>
      <w:keepNext/>
      <w:keepLines/>
      <w:spacing w:before="40" w:after="8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65496"/>
    <w:pPr>
      <w:keepNext/>
      <w:keepLines/>
      <w:spacing w:before="40" w:after="80"/>
      <w:outlineLvl w:val="4"/>
    </w:pPr>
    <w:rPr>
      <w:rFonts w:asciiTheme="majorHAnsi" w:eastAsiaTheme="majorEastAsia" w:hAnsiTheme="majorHAnsi" w:cstheme="majorBidi"/>
      <w:color w:val="2F5496" w:themeColor="accent1" w:themeShade="BF"/>
      <w:lang w:eastAsia="en-GB"/>
    </w:rPr>
  </w:style>
  <w:style w:type="paragraph" w:styleId="Heading6">
    <w:name w:val="heading 6"/>
    <w:basedOn w:val="Normal"/>
    <w:next w:val="Normal"/>
    <w:link w:val="Heading6Char"/>
    <w:uiPriority w:val="9"/>
    <w:unhideWhenUsed/>
    <w:qFormat/>
    <w:rsid w:val="00065496"/>
    <w:pPr>
      <w:keepNext/>
      <w:keepLines/>
      <w:spacing w:before="40" w:after="8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54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6549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06549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65496"/>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rsid w:val="00065496"/>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065496"/>
    <w:rPr>
      <w:sz w:val="18"/>
      <w:szCs w:val="18"/>
    </w:rPr>
  </w:style>
  <w:style w:type="character" w:customStyle="1" w:styleId="BalloonTextChar">
    <w:name w:val="Balloon Text Char"/>
    <w:basedOn w:val="DefaultParagraphFont"/>
    <w:link w:val="BalloonText"/>
    <w:uiPriority w:val="99"/>
    <w:semiHidden/>
    <w:rsid w:val="00065496"/>
    <w:rPr>
      <w:rFonts w:ascii="Times New Roman" w:eastAsia="Times New Roman" w:hAnsi="Times New Roman" w:cs="Times New Roman"/>
      <w:sz w:val="18"/>
      <w:szCs w:val="18"/>
    </w:rPr>
  </w:style>
  <w:style w:type="paragraph" w:styleId="ListParagraph">
    <w:name w:val="List Paragraph"/>
    <w:basedOn w:val="Normal"/>
    <w:uiPriority w:val="34"/>
    <w:qFormat/>
    <w:rsid w:val="00065496"/>
    <w:pPr>
      <w:spacing w:after="80"/>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065496"/>
    <w:pPr>
      <w:spacing w:after="80"/>
    </w:pPr>
    <w:rPr>
      <w:sz w:val="20"/>
      <w:szCs w:val="20"/>
    </w:rPr>
  </w:style>
  <w:style w:type="character" w:customStyle="1" w:styleId="FootnoteTextChar">
    <w:name w:val="Footnote Text Char"/>
    <w:basedOn w:val="DefaultParagraphFont"/>
    <w:link w:val="FootnoteText"/>
    <w:uiPriority w:val="99"/>
    <w:semiHidden/>
    <w:rsid w:val="0006549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65496"/>
    <w:rPr>
      <w:vertAlign w:val="superscript"/>
    </w:rPr>
  </w:style>
  <w:style w:type="paragraph" w:styleId="NormalWeb">
    <w:name w:val="Normal (Web)"/>
    <w:basedOn w:val="Normal"/>
    <w:uiPriority w:val="99"/>
    <w:unhideWhenUsed/>
    <w:rsid w:val="00065496"/>
    <w:pPr>
      <w:spacing w:before="100" w:beforeAutospacing="1" w:after="100" w:afterAutospacing="1"/>
    </w:pPr>
  </w:style>
  <w:style w:type="paragraph" w:styleId="TOCHeading">
    <w:name w:val="TOC Heading"/>
    <w:basedOn w:val="Heading1"/>
    <w:next w:val="Normal"/>
    <w:uiPriority w:val="39"/>
    <w:unhideWhenUsed/>
    <w:qFormat/>
    <w:rsid w:val="0006549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065496"/>
    <w:pPr>
      <w:spacing w:before="120"/>
    </w:pPr>
    <w:rPr>
      <w:rFonts w:asciiTheme="minorHAnsi" w:hAnsiTheme="minorHAnsi"/>
      <w:b/>
      <w:bCs/>
      <w:i/>
      <w:iCs/>
    </w:rPr>
  </w:style>
  <w:style w:type="paragraph" w:styleId="TOC2">
    <w:name w:val="toc 2"/>
    <w:basedOn w:val="Normal"/>
    <w:next w:val="Normal"/>
    <w:autoRedefine/>
    <w:uiPriority w:val="39"/>
    <w:unhideWhenUsed/>
    <w:rsid w:val="00065496"/>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065496"/>
    <w:pPr>
      <w:ind w:left="480"/>
    </w:pPr>
    <w:rPr>
      <w:rFonts w:asciiTheme="minorHAnsi" w:hAnsiTheme="minorHAnsi"/>
      <w:sz w:val="20"/>
      <w:szCs w:val="20"/>
    </w:rPr>
  </w:style>
  <w:style w:type="paragraph" w:styleId="TOC4">
    <w:name w:val="toc 4"/>
    <w:basedOn w:val="Normal"/>
    <w:next w:val="Normal"/>
    <w:autoRedefine/>
    <w:uiPriority w:val="39"/>
    <w:unhideWhenUsed/>
    <w:rsid w:val="00065496"/>
    <w:pPr>
      <w:ind w:left="720"/>
    </w:pPr>
    <w:rPr>
      <w:rFonts w:asciiTheme="minorHAnsi" w:hAnsiTheme="minorHAnsi"/>
      <w:sz w:val="20"/>
      <w:szCs w:val="20"/>
    </w:rPr>
  </w:style>
  <w:style w:type="paragraph" w:styleId="TOC5">
    <w:name w:val="toc 5"/>
    <w:basedOn w:val="Normal"/>
    <w:next w:val="Normal"/>
    <w:autoRedefine/>
    <w:uiPriority w:val="39"/>
    <w:unhideWhenUsed/>
    <w:rsid w:val="00065496"/>
    <w:pPr>
      <w:ind w:left="960"/>
    </w:pPr>
    <w:rPr>
      <w:rFonts w:asciiTheme="minorHAnsi" w:hAnsiTheme="minorHAnsi"/>
      <w:sz w:val="20"/>
      <w:szCs w:val="20"/>
    </w:rPr>
  </w:style>
  <w:style w:type="paragraph" w:styleId="TOC6">
    <w:name w:val="toc 6"/>
    <w:basedOn w:val="Normal"/>
    <w:next w:val="Normal"/>
    <w:autoRedefine/>
    <w:uiPriority w:val="39"/>
    <w:unhideWhenUsed/>
    <w:rsid w:val="00065496"/>
    <w:pPr>
      <w:ind w:left="1200"/>
    </w:pPr>
    <w:rPr>
      <w:rFonts w:asciiTheme="minorHAnsi" w:hAnsiTheme="minorHAnsi"/>
      <w:sz w:val="20"/>
      <w:szCs w:val="20"/>
    </w:rPr>
  </w:style>
  <w:style w:type="paragraph" w:styleId="TOC7">
    <w:name w:val="toc 7"/>
    <w:basedOn w:val="Normal"/>
    <w:next w:val="Normal"/>
    <w:autoRedefine/>
    <w:uiPriority w:val="39"/>
    <w:unhideWhenUsed/>
    <w:rsid w:val="00065496"/>
    <w:pPr>
      <w:ind w:left="1440"/>
    </w:pPr>
    <w:rPr>
      <w:rFonts w:asciiTheme="minorHAnsi" w:hAnsiTheme="minorHAnsi"/>
      <w:sz w:val="20"/>
      <w:szCs w:val="20"/>
    </w:rPr>
  </w:style>
  <w:style w:type="paragraph" w:styleId="TOC8">
    <w:name w:val="toc 8"/>
    <w:basedOn w:val="Normal"/>
    <w:next w:val="Normal"/>
    <w:autoRedefine/>
    <w:uiPriority w:val="39"/>
    <w:unhideWhenUsed/>
    <w:rsid w:val="00065496"/>
    <w:pPr>
      <w:ind w:left="1680"/>
    </w:pPr>
    <w:rPr>
      <w:rFonts w:asciiTheme="minorHAnsi" w:hAnsiTheme="minorHAnsi"/>
      <w:sz w:val="20"/>
      <w:szCs w:val="20"/>
    </w:rPr>
  </w:style>
  <w:style w:type="paragraph" w:styleId="TOC9">
    <w:name w:val="toc 9"/>
    <w:basedOn w:val="Normal"/>
    <w:next w:val="Normal"/>
    <w:autoRedefine/>
    <w:uiPriority w:val="39"/>
    <w:unhideWhenUsed/>
    <w:rsid w:val="00065496"/>
    <w:pPr>
      <w:ind w:left="1920"/>
    </w:pPr>
    <w:rPr>
      <w:rFonts w:asciiTheme="minorHAnsi" w:hAnsiTheme="minorHAnsi"/>
      <w:sz w:val="20"/>
      <w:szCs w:val="20"/>
    </w:rPr>
  </w:style>
  <w:style w:type="character" w:styleId="Hyperlink">
    <w:name w:val="Hyperlink"/>
    <w:basedOn w:val="DefaultParagraphFont"/>
    <w:uiPriority w:val="99"/>
    <w:unhideWhenUsed/>
    <w:rsid w:val="00065496"/>
    <w:rPr>
      <w:color w:val="0563C1" w:themeColor="hyperlink"/>
      <w:u w:val="single"/>
    </w:rPr>
  </w:style>
  <w:style w:type="table" w:styleId="TableGrid">
    <w:name w:val="Table Grid"/>
    <w:basedOn w:val="TableNormal"/>
    <w:uiPriority w:val="39"/>
    <w:rsid w:val="00065496"/>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65496"/>
    <w:pPr>
      <w:spacing w:after="8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iPriority w:val="99"/>
    <w:semiHidden/>
    <w:unhideWhenUsed/>
    <w:rsid w:val="00065496"/>
    <w:pPr>
      <w:spacing w:after="8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065496"/>
  </w:style>
  <w:style w:type="character" w:styleId="CommentReference">
    <w:name w:val="annotation reference"/>
    <w:basedOn w:val="DefaultParagraphFont"/>
    <w:uiPriority w:val="99"/>
    <w:semiHidden/>
    <w:unhideWhenUsed/>
    <w:rsid w:val="00065496"/>
    <w:rPr>
      <w:sz w:val="16"/>
      <w:szCs w:val="16"/>
    </w:rPr>
  </w:style>
  <w:style w:type="character" w:styleId="Emphasis">
    <w:name w:val="Emphasis"/>
    <w:basedOn w:val="DefaultParagraphFont"/>
    <w:uiPriority w:val="20"/>
    <w:qFormat/>
    <w:rsid w:val="00065496"/>
    <w:rPr>
      <w:i/>
      <w:iCs/>
    </w:rPr>
  </w:style>
  <w:style w:type="paragraph" w:styleId="Subtitle">
    <w:name w:val="Subtitle"/>
    <w:basedOn w:val="Normal"/>
    <w:next w:val="Normal"/>
    <w:link w:val="SubtitleChar"/>
    <w:uiPriority w:val="11"/>
    <w:qFormat/>
    <w:rsid w:val="0006549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65496"/>
    <w:rPr>
      <w:rFonts w:eastAsiaTheme="minorEastAsia"/>
      <w:color w:val="5A5A5A" w:themeColor="text1" w:themeTint="A5"/>
      <w:spacing w:val="15"/>
      <w:sz w:val="22"/>
      <w:szCs w:val="22"/>
    </w:rPr>
  </w:style>
  <w:style w:type="character" w:styleId="IntenseEmphasis">
    <w:name w:val="Intense Emphasis"/>
    <w:basedOn w:val="DefaultParagraphFont"/>
    <w:uiPriority w:val="21"/>
    <w:qFormat/>
    <w:rsid w:val="00065496"/>
    <w:rPr>
      <w:i/>
      <w:iCs/>
      <w:color w:val="4472C4" w:themeColor="accent1"/>
    </w:rPr>
  </w:style>
  <w:style w:type="character" w:styleId="BookTitle">
    <w:name w:val="Book Title"/>
    <w:basedOn w:val="DefaultParagraphFont"/>
    <w:uiPriority w:val="33"/>
    <w:qFormat/>
    <w:rsid w:val="00065496"/>
    <w:rPr>
      <w:b/>
      <w:bCs/>
      <w:i/>
      <w:iCs/>
      <w:spacing w:val="5"/>
    </w:rPr>
  </w:style>
  <w:style w:type="paragraph" w:styleId="Title">
    <w:name w:val="Title"/>
    <w:basedOn w:val="Normal"/>
    <w:next w:val="Normal"/>
    <w:link w:val="TitleChar"/>
    <w:uiPriority w:val="10"/>
    <w:qFormat/>
    <w:rsid w:val="000654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5496"/>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065496"/>
    <w:rPr>
      <w:b/>
      <w:bCs/>
    </w:rPr>
  </w:style>
  <w:style w:type="paragraph" w:styleId="NoSpacing">
    <w:name w:val="No Spacing"/>
    <w:link w:val="NoSpacingChar"/>
    <w:uiPriority w:val="1"/>
    <w:qFormat/>
    <w:rsid w:val="00065496"/>
    <w:pPr>
      <w:spacing w:after="80"/>
    </w:pPr>
    <w:rPr>
      <w:rFonts w:ascii="Times New Roman" w:eastAsia="Times New Roman" w:hAnsi="Times New Roman" w:cs="Times New Roman"/>
    </w:rPr>
  </w:style>
  <w:style w:type="character" w:styleId="PlaceholderText">
    <w:name w:val="Placeholder Text"/>
    <w:basedOn w:val="DefaultParagraphFont"/>
    <w:uiPriority w:val="99"/>
    <w:semiHidden/>
    <w:rsid w:val="00065496"/>
    <w:rPr>
      <w:color w:val="808080"/>
    </w:rPr>
  </w:style>
  <w:style w:type="paragraph" w:styleId="CommentSubject">
    <w:name w:val="annotation subject"/>
    <w:basedOn w:val="CommentText"/>
    <w:next w:val="CommentText"/>
    <w:link w:val="CommentSubjectChar"/>
    <w:uiPriority w:val="99"/>
    <w:semiHidden/>
    <w:unhideWhenUsed/>
    <w:rsid w:val="00065496"/>
    <w:rPr>
      <w:rFonts w:ascii="Times New Roman" w:eastAsia="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065496"/>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065496"/>
    <w:rPr>
      <w:color w:val="954F72" w:themeColor="followedHyperlink"/>
      <w:u w:val="single"/>
    </w:rPr>
  </w:style>
  <w:style w:type="paragraph" w:styleId="EndnoteText">
    <w:name w:val="endnote text"/>
    <w:basedOn w:val="Normal"/>
    <w:link w:val="EndnoteTextChar"/>
    <w:uiPriority w:val="99"/>
    <w:semiHidden/>
    <w:unhideWhenUsed/>
    <w:rsid w:val="00065496"/>
    <w:rPr>
      <w:sz w:val="20"/>
      <w:szCs w:val="20"/>
    </w:rPr>
  </w:style>
  <w:style w:type="character" w:customStyle="1" w:styleId="EndnoteTextChar">
    <w:name w:val="Endnote Text Char"/>
    <w:basedOn w:val="DefaultParagraphFont"/>
    <w:link w:val="EndnoteText"/>
    <w:uiPriority w:val="99"/>
    <w:semiHidden/>
    <w:rsid w:val="0006549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65496"/>
    <w:rPr>
      <w:vertAlign w:val="superscript"/>
    </w:rPr>
  </w:style>
  <w:style w:type="table" w:styleId="TableGridLight">
    <w:name w:val="Grid Table Light"/>
    <w:basedOn w:val="TableNormal"/>
    <w:uiPriority w:val="40"/>
    <w:rsid w:val="00065496"/>
    <w:pPr>
      <w:spacing w:after="8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65496"/>
    <w:pPr>
      <w:spacing w:after="8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65496"/>
    <w:pPr>
      <w:tabs>
        <w:tab w:val="center" w:pos="4513"/>
        <w:tab w:val="right" w:pos="9026"/>
      </w:tabs>
      <w:spacing w:after="80"/>
    </w:pPr>
  </w:style>
  <w:style w:type="character" w:customStyle="1" w:styleId="HeaderChar">
    <w:name w:val="Header Char"/>
    <w:basedOn w:val="DefaultParagraphFont"/>
    <w:link w:val="Header"/>
    <w:uiPriority w:val="99"/>
    <w:rsid w:val="00065496"/>
    <w:rPr>
      <w:rFonts w:ascii="Times New Roman" w:eastAsia="Times New Roman" w:hAnsi="Times New Roman" w:cs="Times New Roman"/>
    </w:rPr>
  </w:style>
  <w:style w:type="paragraph" w:styleId="Footer">
    <w:name w:val="footer"/>
    <w:basedOn w:val="Normal"/>
    <w:link w:val="FooterChar"/>
    <w:uiPriority w:val="99"/>
    <w:unhideWhenUsed/>
    <w:rsid w:val="00065496"/>
    <w:pPr>
      <w:tabs>
        <w:tab w:val="center" w:pos="4513"/>
        <w:tab w:val="right" w:pos="9026"/>
      </w:tabs>
      <w:spacing w:after="80"/>
    </w:pPr>
  </w:style>
  <w:style w:type="character" w:customStyle="1" w:styleId="FooterChar">
    <w:name w:val="Footer Char"/>
    <w:basedOn w:val="DefaultParagraphFont"/>
    <w:link w:val="Footer"/>
    <w:uiPriority w:val="99"/>
    <w:rsid w:val="00065496"/>
    <w:rPr>
      <w:rFonts w:ascii="Times New Roman" w:eastAsia="Times New Roman" w:hAnsi="Times New Roman" w:cs="Times New Roman"/>
    </w:rPr>
  </w:style>
  <w:style w:type="paragraph" w:customStyle="1" w:styleId="Default">
    <w:name w:val="Default"/>
    <w:rsid w:val="00065496"/>
    <w:pPr>
      <w:autoSpaceDE w:val="0"/>
      <w:autoSpaceDN w:val="0"/>
      <w:adjustRightInd w:val="0"/>
      <w:spacing w:after="80"/>
    </w:pPr>
    <w:rPr>
      <w:rFonts w:ascii="Times New Roman" w:hAnsi="Times New Roman" w:cs="Times New Roman"/>
      <w:color w:val="000000"/>
      <w:lang w:val="en-US"/>
    </w:rPr>
  </w:style>
  <w:style w:type="character" w:styleId="PageNumber">
    <w:name w:val="page number"/>
    <w:basedOn w:val="DefaultParagraphFont"/>
    <w:uiPriority w:val="99"/>
    <w:semiHidden/>
    <w:unhideWhenUsed/>
    <w:rsid w:val="00065496"/>
  </w:style>
  <w:style w:type="character" w:customStyle="1" w:styleId="apple-converted-space">
    <w:name w:val="apple-converted-space"/>
    <w:basedOn w:val="DefaultParagraphFont"/>
    <w:rsid w:val="00065496"/>
  </w:style>
  <w:style w:type="table" w:styleId="PlainTable2">
    <w:name w:val="Plain Table 2"/>
    <w:basedOn w:val="TableNormal"/>
    <w:uiPriority w:val="42"/>
    <w:rsid w:val="00065496"/>
    <w:pPr>
      <w:spacing w:after="80"/>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unhideWhenUsed/>
    <w:rsid w:val="00065496"/>
    <w:rPr>
      <w:color w:val="605E5C"/>
      <w:shd w:val="clear" w:color="auto" w:fill="E1DFDD"/>
    </w:rPr>
  </w:style>
  <w:style w:type="table" w:customStyle="1" w:styleId="QQuestionTable">
    <w:name w:val="QQuestionTable"/>
    <w:uiPriority w:val="99"/>
    <w:qFormat/>
    <w:rsid w:val="00065496"/>
    <w:pPr>
      <w:jc w:val="center"/>
    </w:pPr>
    <w:rPr>
      <w:rFonts w:eastAsiaTheme="minorEastAsia"/>
      <w:sz w:val="22"/>
      <w:szCs w:val="22"/>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065496"/>
    <w:pPr>
      <w:numPr>
        <w:numId w:val="13"/>
      </w:numPr>
    </w:pPr>
  </w:style>
  <w:style w:type="paragraph" w:customStyle="1" w:styleId="QSkipLogic">
    <w:name w:val="QSkipLogic"/>
    <w:basedOn w:val="Normal"/>
    <w:qFormat/>
    <w:rsid w:val="00065496"/>
    <w:pPr>
      <w:shd w:val="clear" w:color="auto" w:fill="8D8D8D"/>
      <w:spacing w:before="120" w:after="120"/>
    </w:pPr>
    <w:rPr>
      <w:rFonts w:asciiTheme="minorHAnsi" w:eastAsiaTheme="minorEastAsia" w:hAnsiTheme="minorHAnsi" w:cstheme="minorBidi"/>
      <w:i/>
      <w:color w:val="FFFFFF"/>
      <w:sz w:val="20"/>
      <w:szCs w:val="22"/>
      <w:lang w:val="en-US"/>
    </w:rPr>
  </w:style>
  <w:style w:type="paragraph" w:customStyle="1" w:styleId="H2">
    <w:name w:val="H2"/>
    <w:next w:val="Normal"/>
    <w:rsid w:val="00065496"/>
    <w:pPr>
      <w:spacing w:after="240"/>
    </w:pPr>
    <w:rPr>
      <w:rFonts w:eastAsiaTheme="minorEastAsia"/>
      <w:b/>
      <w:color w:val="000000"/>
      <w:sz w:val="48"/>
      <w:szCs w:val="48"/>
      <w:lang w:val="en-US"/>
    </w:rPr>
  </w:style>
  <w:style w:type="paragraph" w:customStyle="1" w:styleId="BlockStartLabel">
    <w:name w:val="BlockStartLabel"/>
    <w:basedOn w:val="Normal"/>
    <w:qFormat/>
    <w:rsid w:val="00065496"/>
    <w:pPr>
      <w:spacing w:before="120" w:after="120"/>
    </w:pPr>
    <w:rPr>
      <w:rFonts w:asciiTheme="minorHAnsi" w:eastAsiaTheme="minorEastAsia" w:hAnsiTheme="minorHAnsi" w:cstheme="minorBidi"/>
      <w:b/>
      <w:color w:val="CCCCCC"/>
      <w:sz w:val="22"/>
      <w:szCs w:val="22"/>
      <w:lang w:val="en-US"/>
    </w:rPr>
  </w:style>
  <w:style w:type="paragraph" w:customStyle="1" w:styleId="BlockEndLabel">
    <w:name w:val="BlockEndLabel"/>
    <w:basedOn w:val="Normal"/>
    <w:qFormat/>
    <w:rsid w:val="00065496"/>
    <w:pPr>
      <w:spacing w:before="120"/>
    </w:pPr>
    <w:rPr>
      <w:rFonts w:asciiTheme="minorHAnsi" w:eastAsiaTheme="minorEastAsia" w:hAnsiTheme="minorHAnsi" w:cstheme="minorBidi"/>
      <w:b/>
      <w:color w:val="CCCCCC"/>
      <w:sz w:val="22"/>
      <w:szCs w:val="22"/>
      <w:lang w:val="en-US"/>
    </w:rPr>
  </w:style>
  <w:style w:type="paragraph" w:customStyle="1" w:styleId="BlockSeparator">
    <w:name w:val="BlockSeparator"/>
    <w:basedOn w:val="Normal"/>
    <w:qFormat/>
    <w:rsid w:val="00065496"/>
    <w:pPr>
      <w:pBdr>
        <w:bottom w:val="single" w:sz="8" w:space="0" w:color="CCCCCC"/>
      </w:pBdr>
      <w:spacing w:line="120" w:lineRule="auto"/>
      <w:jc w:val="center"/>
    </w:pPr>
    <w:rPr>
      <w:rFonts w:asciiTheme="minorHAnsi" w:eastAsiaTheme="minorEastAsia" w:hAnsiTheme="minorHAnsi" w:cstheme="minorBidi"/>
      <w:b/>
      <w:color w:val="CCCCCC"/>
      <w:sz w:val="22"/>
      <w:szCs w:val="22"/>
      <w:lang w:val="en-US"/>
    </w:rPr>
  </w:style>
  <w:style w:type="paragraph" w:customStyle="1" w:styleId="QuestionSeparator">
    <w:name w:val="QuestionSeparator"/>
    <w:basedOn w:val="Normal"/>
    <w:qFormat/>
    <w:rsid w:val="00065496"/>
    <w:pPr>
      <w:pBdr>
        <w:top w:val="dashed" w:sz="8" w:space="0" w:color="CCCCCC"/>
      </w:pBdr>
      <w:spacing w:before="120" w:after="120" w:line="120" w:lineRule="auto"/>
    </w:pPr>
    <w:rPr>
      <w:rFonts w:asciiTheme="minorHAnsi" w:eastAsiaTheme="minorEastAsia" w:hAnsiTheme="minorHAnsi" w:cstheme="minorBidi"/>
      <w:sz w:val="22"/>
      <w:szCs w:val="22"/>
      <w:lang w:val="en-US"/>
    </w:rPr>
  </w:style>
  <w:style w:type="paragraph" w:customStyle="1" w:styleId="TextEntryLine">
    <w:name w:val="TextEntryLine"/>
    <w:basedOn w:val="Normal"/>
    <w:qFormat/>
    <w:rsid w:val="00065496"/>
    <w:pPr>
      <w:spacing w:before="240"/>
    </w:pPr>
    <w:rPr>
      <w:rFonts w:asciiTheme="minorHAnsi" w:eastAsiaTheme="minorEastAsia" w:hAnsiTheme="minorHAnsi" w:cstheme="minorBidi"/>
      <w:sz w:val="22"/>
      <w:szCs w:val="22"/>
      <w:lang w:val="en-US"/>
    </w:rPr>
  </w:style>
  <w:style w:type="table" w:styleId="PlainTable3">
    <w:name w:val="Plain Table 3"/>
    <w:basedOn w:val="TableNormal"/>
    <w:uiPriority w:val="43"/>
    <w:rsid w:val="000654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urfulAccent2">
    <w:name w:val="Grid Table 7 Colorful Accent 2"/>
    <w:basedOn w:val="TableNormal"/>
    <w:uiPriority w:val="52"/>
    <w:rsid w:val="0006549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06549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6549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065496"/>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065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65496"/>
    <w:rPr>
      <w:rFonts w:ascii="Courier New" w:eastAsia="Times New Roman" w:hAnsi="Courier New" w:cs="Courier New"/>
      <w:sz w:val="20"/>
      <w:szCs w:val="20"/>
    </w:rPr>
  </w:style>
  <w:style w:type="paragraph" w:styleId="Revision">
    <w:name w:val="Revision"/>
    <w:hidden/>
    <w:uiPriority w:val="99"/>
    <w:semiHidden/>
    <w:rsid w:val="00065496"/>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065496"/>
    <w:rPr>
      <w:color w:val="605E5C"/>
      <w:shd w:val="clear" w:color="auto" w:fill="E1DFDD"/>
    </w:rPr>
  </w:style>
  <w:style w:type="character" w:customStyle="1" w:styleId="UnresolvedMention3">
    <w:name w:val="Unresolved Mention3"/>
    <w:basedOn w:val="DefaultParagraphFont"/>
    <w:uiPriority w:val="99"/>
    <w:unhideWhenUsed/>
    <w:rsid w:val="00065496"/>
    <w:rPr>
      <w:color w:val="605E5C"/>
      <w:shd w:val="clear" w:color="auto" w:fill="E1DFDD"/>
    </w:rPr>
  </w:style>
  <w:style w:type="character" w:customStyle="1" w:styleId="UnresolvedMention31">
    <w:name w:val="Unresolved Mention31"/>
    <w:basedOn w:val="DefaultParagraphFont"/>
    <w:uiPriority w:val="99"/>
    <w:unhideWhenUsed/>
    <w:rsid w:val="00065496"/>
    <w:rPr>
      <w:color w:val="605E5C"/>
      <w:shd w:val="clear" w:color="auto" w:fill="E1DFDD"/>
    </w:rPr>
  </w:style>
  <w:style w:type="paragraph" w:styleId="Caption">
    <w:name w:val="caption"/>
    <w:basedOn w:val="Normal"/>
    <w:next w:val="Normal"/>
    <w:uiPriority w:val="35"/>
    <w:unhideWhenUsed/>
    <w:qFormat/>
    <w:rsid w:val="00065496"/>
    <w:pPr>
      <w:spacing w:after="200"/>
    </w:pPr>
    <w:rPr>
      <w:i/>
      <w:iCs/>
      <w:color w:val="44546A" w:themeColor="text2"/>
      <w:sz w:val="18"/>
      <w:szCs w:val="18"/>
    </w:rPr>
  </w:style>
  <w:style w:type="paragraph" w:styleId="TableofFigures">
    <w:name w:val="table of figures"/>
    <w:basedOn w:val="Normal"/>
    <w:next w:val="Normal"/>
    <w:uiPriority w:val="99"/>
    <w:unhideWhenUsed/>
    <w:rsid w:val="00065496"/>
  </w:style>
  <w:style w:type="character" w:customStyle="1" w:styleId="UnresolvedMention4">
    <w:name w:val="Unresolved Mention4"/>
    <w:basedOn w:val="DefaultParagraphFont"/>
    <w:uiPriority w:val="99"/>
    <w:semiHidden/>
    <w:unhideWhenUsed/>
    <w:rsid w:val="00065496"/>
    <w:rPr>
      <w:color w:val="605E5C"/>
      <w:shd w:val="clear" w:color="auto" w:fill="E1DFDD"/>
    </w:rPr>
  </w:style>
  <w:style w:type="paragraph" w:styleId="BodyText3">
    <w:name w:val="Body Text 3"/>
    <w:basedOn w:val="Normal"/>
    <w:link w:val="BodyText3Char"/>
    <w:rsid w:val="00065496"/>
    <w:pPr>
      <w:jc w:val="both"/>
    </w:pPr>
    <w:rPr>
      <w:rFonts w:ascii="Arial" w:hAnsi="Arial"/>
      <w:b/>
      <w:bCs/>
      <w:sz w:val="22"/>
      <w:lang w:val="en-AU"/>
    </w:rPr>
  </w:style>
  <w:style w:type="character" w:customStyle="1" w:styleId="BodyText3Char">
    <w:name w:val="Body Text 3 Char"/>
    <w:basedOn w:val="DefaultParagraphFont"/>
    <w:link w:val="BodyText3"/>
    <w:rsid w:val="00065496"/>
    <w:rPr>
      <w:rFonts w:ascii="Arial" w:eastAsia="Times New Roman" w:hAnsi="Arial" w:cs="Times New Roman"/>
      <w:b/>
      <w:bCs/>
      <w:sz w:val="22"/>
      <w:lang w:val="en-AU"/>
    </w:rPr>
  </w:style>
  <w:style w:type="paragraph" w:styleId="BodyText2">
    <w:name w:val="Body Text 2"/>
    <w:basedOn w:val="Normal"/>
    <w:link w:val="BodyText2Char"/>
    <w:rsid w:val="00065496"/>
    <w:pPr>
      <w:tabs>
        <w:tab w:val="left" w:pos="720"/>
        <w:tab w:val="left" w:pos="1440"/>
        <w:tab w:val="left" w:pos="2160"/>
        <w:tab w:val="left" w:pos="2880"/>
        <w:tab w:val="left" w:pos="4680"/>
        <w:tab w:val="left" w:pos="5400"/>
        <w:tab w:val="right" w:pos="9000"/>
      </w:tabs>
      <w:autoSpaceDE w:val="0"/>
      <w:autoSpaceDN w:val="0"/>
      <w:spacing w:line="240" w:lineRule="atLeast"/>
      <w:jc w:val="both"/>
    </w:pPr>
    <w:rPr>
      <w:rFonts w:ascii="Arial" w:hAnsi="Arial" w:cs="Arial"/>
      <w:i/>
      <w:iCs/>
      <w:sz w:val="20"/>
    </w:rPr>
  </w:style>
  <w:style w:type="character" w:customStyle="1" w:styleId="BodyText2Char">
    <w:name w:val="Body Text 2 Char"/>
    <w:basedOn w:val="DefaultParagraphFont"/>
    <w:link w:val="BodyText2"/>
    <w:rsid w:val="00065496"/>
    <w:rPr>
      <w:rFonts w:ascii="Arial" w:eastAsia="Times New Roman" w:hAnsi="Arial" w:cs="Arial"/>
      <w:i/>
      <w:iCs/>
      <w:sz w:val="20"/>
    </w:rPr>
  </w:style>
  <w:style w:type="paragraph" w:styleId="BodyTextIndent">
    <w:name w:val="Body Text Indent"/>
    <w:basedOn w:val="Normal"/>
    <w:link w:val="BodyTextIndentChar"/>
    <w:rsid w:val="00065496"/>
    <w:pPr>
      <w:tabs>
        <w:tab w:val="left" w:pos="720"/>
        <w:tab w:val="left" w:pos="1440"/>
        <w:tab w:val="left" w:pos="2160"/>
        <w:tab w:val="left" w:pos="2880"/>
        <w:tab w:val="left" w:pos="4680"/>
        <w:tab w:val="left" w:pos="5400"/>
        <w:tab w:val="right" w:pos="9000"/>
      </w:tabs>
      <w:autoSpaceDE w:val="0"/>
      <w:autoSpaceDN w:val="0"/>
      <w:jc w:val="both"/>
    </w:pPr>
    <w:rPr>
      <w:rFonts w:ascii="Arial" w:hAnsi="Arial" w:cs="Arial"/>
      <w:i/>
      <w:iCs/>
      <w:sz w:val="20"/>
    </w:rPr>
  </w:style>
  <w:style w:type="character" w:customStyle="1" w:styleId="BodyTextIndentChar">
    <w:name w:val="Body Text Indent Char"/>
    <w:basedOn w:val="DefaultParagraphFont"/>
    <w:link w:val="BodyTextIndent"/>
    <w:rsid w:val="00065496"/>
    <w:rPr>
      <w:rFonts w:ascii="Arial" w:eastAsia="Times New Roman" w:hAnsi="Arial" w:cs="Arial"/>
      <w:i/>
      <w:iCs/>
      <w:sz w:val="20"/>
    </w:rPr>
  </w:style>
  <w:style w:type="paragraph" w:styleId="BodyText">
    <w:name w:val="Body Text"/>
    <w:basedOn w:val="Normal"/>
    <w:link w:val="BodyTextChar"/>
    <w:rsid w:val="00065496"/>
    <w:rPr>
      <w:rFonts w:ascii="Arial" w:hAnsi="Arial"/>
      <w:iCs/>
      <w:lang w:eastAsia="en-GB"/>
    </w:rPr>
  </w:style>
  <w:style w:type="character" w:customStyle="1" w:styleId="BodyTextChar">
    <w:name w:val="Body Text Char"/>
    <w:basedOn w:val="DefaultParagraphFont"/>
    <w:link w:val="BodyText"/>
    <w:rsid w:val="00065496"/>
    <w:rPr>
      <w:rFonts w:ascii="Arial" w:eastAsia="Times New Roman" w:hAnsi="Arial" w:cs="Times New Roman"/>
      <w:iCs/>
      <w:lang w:eastAsia="en-GB"/>
    </w:rPr>
  </w:style>
  <w:style w:type="paragraph" w:styleId="BodyTextIndent3">
    <w:name w:val="Body Text Indent 3"/>
    <w:basedOn w:val="Normal"/>
    <w:link w:val="BodyTextIndent3Char"/>
    <w:rsid w:val="00065496"/>
    <w:pPr>
      <w:tabs>
        <w:tab w:val="left" w:pos="720"/>
        <w:tab w:val="left" w:pos="1440"/>
        <w:tab w:val="left" w:pos="2160"/>
        <w:tab w:val="left" w:pos="2880"/>
        <w:tab w:val="left" w:pos="4680"/>
        <w:tab w:val="left" w:pos="5400"/>
        <w:tab w:val="right" w:pos="9000"/>
      </w:tabs>
      <w:autoSpaceDE w:val="0"/>
      <w:autoSpaceDN w:val="0"/>
      <w:spacing w:line="240" w:lineRule="atLeast"/>
      <w:ind w:left="360"/>
      <w:jc w:val="both"/>
      <w:outlineLvl w:val="0"/>
    </w:pPr>
    <w:rPr>
      <w:rFonts w:ascii="Arial" w:hAnsi="Arial" w:cs="Arial"/>
      <w:i/>
      <w:iCs/>
      <w:sz w:val="20"/>
    </w:rPr>
  </w:style>
  <w:style w:type="character" w:customStyle="1" w:styleId="BodyTextIndent3Char">
    <w:name w:val="Body Text Indent 3 Char"/>
    <w:basedOn w:val="DefaultParagraphFont"/>
    <w:link w:val="BodyTextIndent3"/>
    <w:rsid w:val="00065496"/>
    <w:rPr>
      <w:rFonts w:ascii="Arial" w:eastAsia="Times New Roman" w:hAnsi="Arial" w:cs="Arial"/>
      <w:i/>
      <w:iCs/>
      <w:sz w:val="20"/>
    </w:rPr>
  </w:style>
  <w:style w:type="character" w:customStyle="1" w:styleId="UnresolvedMention5">
    <w:name w:val="Unresolved Mention5"/>
    <w:basedOn w:val="DefaultParagraphFont"/>
    <w:uiPriority w:val="99"/>
    <w:semiHidden/>
    <w:unhideWhenUsed/>
    <w:rsid w:val="00065496"/>
    <w:rPr>
      <w:color w:val="605E5C"/>
      <w:shd w:val="clear" w:color="auto" w:fill="E1DFDD"/>
    </w:rPr>
  </w:style>
  <w:style w:type="character" w:styleId="LineNumber">
    <w:name w:val="line number"/>
    <w:basedOn w:val="DefaultParagraphFont"/>
    <w:uiPriority w:val="99"/>
    <w:semiHidden/>
    <w:unhideWhenUsed/>
    <w:rsid w:val="00065496"/>
  </w:style>
  <w:style w:type="character" w:styleId="UnresolvedMention">
    <w:name w:val="Unresolved Mention"/>
    <w:basedOn w:val="DefaultParagraphFont"/>
    <w:uiPriority w:val="99"/>
    <w:unhideWhenUsed/>
    <w:rsid w:val="0006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30123">
      <w:bodyDiv w:val="1"/>
      <w:marLeft w:val="0"/>
      <w:marRight w:val="0"/>
      <w:marTop w:val="0"/>
      <w:marBottom w:val="0"/>
      <w:divBdr>
        <w:top w:val="none" w:sz="0" w:space="0" w:color="auto"/>
        <w:left w:val="none" w:sz="0" w:space="0" w:color="auto"/>
        <w:bottom w:val="none" w:sz="0" w:space="0" w:color="auto"/>
        <w:right w:val="none" w:sz="0" w:space="0" w:color="auto"/>
      </w:divBdr>
    </w:div>
    <w:div w:id="982661791">
      <w:bodyDiv w:val="1"/>
      <w:marLeft w:val="0"/>
      <w:marRight w:val="0"/>
      <w:marTop w:val="0"/>
      <w:marBottom w:val="0"/>
      <w:divBdr>
        <w:top w:val="none" w:sz="0" w:space="0" w:color="auto"/>
        <w:left w:val="none" w:sz="0" w:space="0" w:color="auto"/>
        <w:bottom w:val="none" w:sz="0" w:space="0" w:color="auto"/>
        <w:right w:val="none" w:sz="0" w:space="0" w:color="auto"/>
      </w:divBdr>
    </w:div>
    <w:div w:id="1044984852">
      <w:bodyDiv w:val="1"/>
      <w:marLeft w:val="0"/>
      <w:marRight w:val="0"/>
      <w:marTop w:val="0"/>
      <w:marBottom w:val="0"/>
      <w:divBdr>
        <w:top w:val="none" w:sz="0" w:space="0" w:color="auto"/>
        <w:left w:val="none" w:sz="0" w:space="0" w:color="auto"/>
        <w:bottom w:val="none" w:sz="0" w:space="0" w:color="auto"/>
        <w:right w:val="none" w:sz="0" w:space="0" w:color="auto"/>
      </w:divBdr>
    </w:div>
    <w:div w:id="1210410771">
      <w:bodyDiv w:val="1"/>
      <w:marLeft w:val="0"/>
      <w:marRight w:val="0"/>
      <w:marTop w:val="0"/>
      <w:marBottom w:val="0"/>
      <w:divBdr>
        <w:top w:val="none" w:sz="0" w:space="0" w:color="auto"/>
        <w:left w:val="none" w:sz="0" w:space="0" w:color="auto"/>
        <w:bottom w:val="none" w:sz="0" w:space="0" w:color="auto"/>
        <w:right w:val="none" w:sz="0" w:space="0" w:color="auto"/>
      </w:divBdr>
    </w:div>
    <w:div w:id="185915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www.sheffieldchildrens.nhs.uk/research-and-innovation.htm" TargetMode="External"/><Relationship Id="rId21" Type="http://schemas.openxmlformats.org/officeDocument/2006/relationships/image" Target="cid:4F0332CC-C132-4A5C-A777-D48537A1EC77@ad.hud.ac.uk" TargetMode="External"/><Relationship Id="rId34" Type="http://schemas.openxmlformats.org/officeDocument/2006/relationships/image" Target="media/image19.tiff"/><Relationship Id="rId42" Type="http://schemas.openxmlformats.org/officeDocument/2006/relationships/image" Target="media/image23.png"/><Relationship Id="rId47" Type="http://schemas.openxmlformats.org/officeDocument/2006/relationships/footer" Target="footer7.xml"/><Relationship Id="rId50" Type="http://schemas.openxmlformats.org/officeDocument/2006/relationships/hyperlink" Target="mailto:ksvogt1@sheffield.ac.uk" TargetMode="External"/><Relationship Id="rId55" Type="http://schemas.openxmlformats.org/officeDocument/2006/relationships/image" Target="media/image28.tif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tiff"/><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www.sheffieldchildrens.nhs.uk/research-and-innovation.htm" TargetMode="External"/><Relationship Id="rId45" Type="http://schemas.openxmlformats.org/officeDocument/2006/relationships/hyperlink" Target="mailto:a.mcneill@sheffield.ac.uk" TargetMode="External"/><Relationship Id="rId53" Type="http://schemas.openxmlformats.org/officeDocument/2006/relationships/footer" Target="footer9.xml"/><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https://www.hra.nhs.uk/planning-and-improving-research/application-summaries/research-summaries/a-clinical-outcome-assessment-for-wolf-hirschhorn-syndrome/"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 Id="rId43" Type="http://schemas.openxmlformats.org/officeDocument/2006/relationships/image" Target="media/image24.png"/><Relationship Id="rId48" Type="http://schemas.openxmlformats.org/officeDocument/2006/relationships/footer" Target="footer8.xml"/><Relationship Id="rId56"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hyperlink" Target="https://www.sheffield.ac.uk/govern/data-protection/privacy/general" TargetMode="External"/><Relationship Id="rId3" Type="http://schemas.openxmlformats.org/officeDocument/2006/relationships/styles" Target="styles.xml"/><Relationship Id="rId12" Type="http://schemas.openxmlformats.org/officeDocument/2006/relationships/hyperlink" Target="http://www.sheffield.ac.uk/ssid/unfair-means"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eader" Target="header1.xml"/><Relationship Id="rId59"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27.tif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itunes.apple.com/gb/app/f5-transcription-pro/id935669212?mt=12" TargetMode="External"/><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footer" Target="footer2.xml"/><Relationship Id="rId31" Type="http://schemas.openxmlformats.org/officeDocument/2006/relationships/footer" Target="footer4.xml"/><Relationship Id="rId44" Type="http://schemas.openxmlformats.org/officeDocument/2006/relationships/image" Target="media/image25.png"/><Relationship Id="rId52" Type="http://schemas.openxmlformats.org/officeDocument/2006/relationships/header" Target="header2.xm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524C33-47F2-314D-B090-73D80C453C31}">
  <we:reference id="wa104381714" version="2.0.0.0" store="en-GB" storeType="OMEX"/>
  <we:alternateReferences>
    <we:reference id="wa104381714" version="2.0.0.0" store="WA104381714" storeType="OMEX"/>
  </we:alternateReferences>
  <we:properties>
    <we:property name="DOC_UUID" value="&quot;3aabeb7b-d424-4bba-879d-f34b39b1bc5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5E5DB-AD98-4E49-828E-E26F89ED4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392</Pages>
  <Words>409014</Words>
  <Characters>2331386</Characters>
  <Application>Microsoft Office Word</Application>
  <DocSecurity>0</DocSecurity>
  <Lines>19428</Lines>
  <Paragraphs>5469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Sophie Vogt</dc:creator>
  <cp:keywords/>
  <dc:description/>
  <cp:lastModifiedBy>Katharina Sophie Vogt</cp:lastModifiedBy>
  <cp:revision>5</cp:revision>
  <dcterms:created xsi:type="dcterms:W3CDTF">2020-05-12T08:35:00Z</dcterms:created>
  <dcterms:modified xsi:type="dcterms:W3CDTF">2020-05-12T08:49:00Z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http://www.zotero.org/styles/frontiers-in-immunology</vt:lpwstr>
  </property>
  <property fmtid="{D5CDD505-2E9C-101B-9397-08002B2CF9AE}" pid="11" name="Mendeley Recent Style Name 4_1">
    <vt:lpwstr>Frontiers in Immunology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3be7d001-864f-3f67-9641-a28416172ce0</vt:lpwstr>
  </property>
  <property fmtid="{D5CDD505-2E9C-101B-9397-08002B2CF9AE}" pid="24" name="Mendeley Citation Style_1">
    <vt:lpwstr>http://www.zotero.org/styles/apa</vt:lpwstr>
  </property>
</Properties>
</file>